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BBCB8" w14:textId="77777777" w:rsidR="00254ADD" w:rsidRPr="00C71118" w:rsidRDefault="00254ADD" w:rsidP="00180AEB">
      <w:pPr>
        <w:pStyle w:val="Heading1"/>
        <w:rPr>
          <w:sz w:val="22"/>
        </w:rPr>
      </w:pPr>
      <w:bookmarkStart w:id="0" w:name="_Toc533073494"/>
      <w:r>
        <w:t>Executive Summary</w:t>
      </w:r>
      <w:bookmarkEnd w:id="0"/>
      <w:r w:rsidR="00BF4DE9">
        <w:br/>
      </w:r>
    </w:p>
    <w:p w14:paraId="60B3AB32" w14:textId="77777777" w:rsidR="00180AEB" w:rsidRDefault="00EC137D" w:rsidP="00180AEB">
      <w:pPr>
        <w:pStyle w:val="Heading2"/>
      </w:pPr>
      <w:bookmarkStart w:id="1" w:name="_Toc533073495"/>
      <w:r>
        <w:rPr>
          <w:noProof/>
          <w:lang w:eastAsia="zh-CN"/>
        </w:rPr>
        <mc:AlternateContent>
          <mc:Choice Requires="wps">
            <w:drawing>
              <wp:anchor distT="0" distB="0" distL="114300" distR="114300" simplePos="0" relativeHeight="251659264" behindDoc="0" locked="0" layoutInCell="1" allowOverlap="1" wp14:anchorId="407D72C2" wp14:editId="27A8466F">
                <wp:simplePos x="0" y="0"/>
                <wp:positionH relativeFrom="column">
                  <wp:posOffset>4578350</wp:posOffset>
                </wp:positionH>
                <wp:positionV relativeFrom="paragraph">
                  <wp:posOffset>28575</wp:posOffset>
                </wp:positionV>
                <wp:extent cx="2120900" cy="5473700"/>
                <wp:effectExtent l="0" t="0" r="12700" b="12700"/>
                <wp:wrapSquare wrapText="bothSides"/>
                <wp:docPr id="16" name="Rectangle 16"/>
                <wp:cNvGraphicFramePr/>
                <a:graphic xmlns:a="http://schemas.openxmlformats.org/drawingml/2006/main">
                  <a:graphicData uri="http://schemas.microsoft.com/office/word/2010/wordprocessingShape">
                    <wps:wsp>
                      <wps:cNvSpPr/>
                      <wps:spPr>
                        <a:xfrm>
                          <a:off x="0" y="0"/>
                          <a:ext cx="2120900" cy="5473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C31738" w14:textId="77777777" w:rsidR="00CC15B8" w:rsidRPr="00EC137D" w:rsidRDefault="00CC15B8" w:rsidP="00EC137D">
                            <w:pPr>
                              <w:jc w:val="center"/>
                              <w:rPr>
                                <w:b/>
                                <w:sz w:val="24"/>
                              </w:rPr>
                            </w:pPr>
                            <w:r w:rsidRPr="00EC137D">
                              <w:rPr>
                                <w:b/>
                                <w:sz w:val="24"/>
                              </w:rPr>
                              <w:t>2014-2018 Review Highlights</w:t>
                            </w:r>
                          </w:p>
                          <w:p w14:paraId="7D5E9954" w14:textId="77777777" w:rsidR="00CC15B8" w:rsidRPr="00EC137D" w:rsidRDefault="00CC15B8" w:rsidP="00EC137D">
                            <w:pPr>
                              <w:pStyle w:val="ListParagraph"/>
                              <w:numPr>
                                <w:ilvl w:val="0"/>
                                <w:numId w:val="5"/>
                              </w:numPr>
                              <w:spacing w:before="120" w:after="120" w:line="240" w:lineRule="auto"/>
                              <w:ind w:left="274"/>
                              <w:contextualSpacing w:val="0"/>
                              <w:rPr>
                                <w:b/>
                              </w:rPr>
                            </w:pPr>
                            <w:r w:rsidRPr="00EC137D">
                              <w:rPr>
                                <w:b/>
                              </w:rPr>
                              <w:t>From 2014 through 2018, the 33 Sponsoring Organizations completed, on average, 2,723 educators</w:t>
                            </w:r>
                            <w:r>
                              <w:rPr>
                                <w:b/>
                              </w:rPr>
                              <w:t xml:space="preserve"> annually</w:t>
                            </w:r>
                            <w:r w:rsidRPr="00EC137D">
                              <w:rPr>
                                <w:b/>
                              </w:rPr>
                              <w:t>, representing 53 percent of the completers statewide</w:t>
                            </w:r>
                            <w:r>
                              <w:rPr>
                                <w:b/>
                              </w:rPr>
                              <w:t>.</w:t>
                            </w:r>
                          </w:p>
                          <w:p w14:paraId="312D317D" w14:textId="77777777" w:rsidR="00CC15B8" w:rsidRPr="00EC137D" w:rsidRDefault="00CC15B8" w:rsidP="00EC137D">
                            <w:pPr>
                              <w:pStyle w:val="ListParagraph"/>
                              <w:numPr>
                                <w:ilvl w:val="0"/>
                                <w:numId w:val="5"/>
                              </w:numPr>
                              <w:spacing w:before="120" w:after="120" w:line="240" w:lineRule="auto"/>
                              <w:ind w:left="274"/>
                              <w:contextualSpacing w:val="0"/>
                              <w:rPr>
                                <w:b/>
                              </w:rPr>
                            </w:pPr>
                            <w:r w:rsidRPr="00EC137D">
                              <w:rPr>
                                <w:b/>
                              </w:rPr>
                              <w:t>Across these four years, 1 SO was Approved with Distinction, 23 were Approved, 8 were Approved with Conditions, and 2 received Probationary Approval</w:t>
                            </w:r>
                            <w:r>
                              <w:rPr>
                                <w:b/>
                              </w:rPr>
                              <w:t>.</w:t>
                            </w:r>
                          </w:p>
                          <w:p w14:paraId="2DD0598F" w14:textId="77777777" w:rsidR="00CC15B8" w:rsidRPr="00EC137D" w:rsidRDefault="00CC15B8" w:rsidP="00EC137D">
                            <w:pPr>
                              <w:pStyle w:val="ListParagraph"/>
                              <w:numPr>
                                <w:ilvl w:val="0"/>
                                <w:numId w:val="5"/>
                              </w:numPr>
                              <w:spacing w:before="120" w:after="120" w:line="240" w:lineRule="auto"/>
                              <w:ind w:left="274"/>
                              <w:contextualSpacing w:val="0"/>
                              <w:rPr>
                                <w:b/>
                              </w:rPr>
                            </w:pPr>
                            <w:r w:rsidRPr="00EC137D">
                              <w:rPr>
                                <w:b/>
                              </w:rPr>
                              <w:t>The number of findings SOs received varied greatly, from zero to 32. On average, SOs received nine findings.</w:t>
                            </w:r>
                          </w:p>
                          <w:p w14:paraId="2D0891ED" w14:textId="77777777" w:rsidR="00CC15B8" w:rsidRPr="00EC137D" w:rsidRDefault="00CC15B8" w:rsidP="00EC137D">
                            <w:pPr>
                              <w:pStyle w:val="ListParagraph"/>
                              <w:numPr>
                                <w:ilvl w:val="0"/>
                                <w:numId w:val="5"/>
                              </w:numPr>
                              <w:spacing w:before="120" w:after="120" w:line="240" w:lineRule="auto"/>
                              <w:ind w:left="274"/>
                              <w:contextualSpacing w:val="0"/>
                              <w:rPr>
                                <w:b/>
                              </w:rPr>
                            </w:pPr>
                            <w:r w:rsidRPr="00EC137D">
                              <w:rPr>
                                <w:b/>
                              </w:rPr>
                              <w:t xml:space="preserve">External reviewers felt highly confident in the consistency and efficacy of the review process. </w:t>
                            </w:r>
                          </w:p>
                          <w:p w14:paraId="3CD2F5CF" w14:textId="77777777" w:rsidR="00CC15B8" w:rsidRPr="00EC137D" w:rsidRDefault="00CC15B8" w:rsidP="00EC137D">
                            <w:pPr>
                              <w:pStyle w:val="ListParagraph"/>
                              <w:numPr>
                                <w:ilvl w:val="0"/>
                                <w:numId w:val="5"/>
                              </w:numPr>
                              <w:spacing w:before="120" w:after="120" w:line="240" w:lineRule="auto"/>
                              <w:ind w:left="274"/>
                              <w:contextualSpacing w:val="0"/>
                              <w:rPr>
                                <w:b/>
                              </w:rPr>
                            </w:pPr>
                            <w:r w:rsidRPr="00EC137D">
                              <w:rPr>
                                <w:b/>
                              </w:rPr>
                              <w:t>69 percent of SOs who underwent review agreed that the process will inform the continuous improvement of their programs</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D72C2" id="Rectangle 16" o:spid="_x0000_s1026" style="position:absolute;margin-left:360.5pt;margin-top:2.25pt;width:167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" fillcolor="#5b9bd5 [3204]" strokecolor="#1f4d78 [1604]" strokeweight="1pt">
                <v:textbox>
                  <w:txbxContent>
                    <w:p w14:paraId="5EC31738" w14:textId="77777777" w:rsidR="00CC15B8" w:rsidRPr="00EC137D" w:rsidRDefault="00CC15B8" w:rsidP="00EC137D">
                      <w:pPr>
                        <w:jc w:val="center"/>
                        <w:rPr>
                          <w:b/>
                          <w:sz w:val="24"/>
                        </w:rPr>
                      </w:pPr>
                      <w:r w:rsidRPr="00EC137D">
                        <w:rPr>
                          <w:b/>
                          <w:sz w:val="24"/>
                        </w:rPr>
                        <w:t>2014-2018 Review Highlights</w:t>
                      </w:r>
                    </w:p>
                    <w:p w14:paraId="7D5E9954" w14:textId="77777777" w:rsidR="00CC15B8" w:rsidRPr="00EC137D" w:rsidRDefault="00CC15B8" w:rsidP="00EC137D">
                      <w:pPr>
                        <w:pStyle w:val="ListParagraph"/>
                        <w:numPr>
                          <w:ilvl w:val="0"/>
                          <w:numId w:val="5"/>
                        </w:numPr>
                        <w:spacing w:before="120" w:after="120" w:line="240" w:lineRule="auto"/>
                        <w:ind w:left="274"/>
                        <w:contextualSpacing w:val="0"/>
                        <w:rPr>
                          <w:b/>
                        </w:rPr>
                      </w:pPr>
                      <w:r w:rsidRPr="00EC137D">
                        <w:rPr>
                          <w:b/>
                        </w:rPr>
                        <w:t>From 2014 through 2018, the 33 Sponsoring Organizations completed, on average, 2,723 educators</w:t>
                      </w:r>
                      <w:r>
                        <w:rPr>
                          <w:b/>
                        </w:rPr>
                        <w:t xml:space="preserve"> annually</w:t>
                      </w:r>
                      <w:r w:rsidRPr="00EC137D">
                        <w:rPr>
                          <w:b/>
                        </w:rPr>
                        <w:t>, representing 53 percent of the completers statewide</w:t>
                      </w:r>
                      <w:r>
                        <w:rPr>
                          <w:b/>
                        </w:rPr>
                        <w:t>.</w:t>
                      </w:r>
                    </w:p>
                    <w:p w14:paraId="312D317D" w14:textId="77777777" w:rsidR="00CC15B8" w:rsidRPr="00EC137D" w:rsidRDefault="00CC15B8" w:rsidP="00EC137D">
                      <w:pPr>
                        <w:pStyle w:val="ListParagraph"/>
                        <w:numPr>
                          <w:ilvl w:val="0"/>
                          <w:numId w:val="5"/>
                        </w:numPr>
                        <w:spacing w:before="120" w:after="120" w:line="240" w:lineRule="auto"/>
                        <w:ind w:left="274"/>
                        <w:contextualSpacing w:val="0"/>
                        <w:rPr>
                          <w:b/>
                        </w:rPr>
                      </w:pPr>
                      <w:r w:rsidRPr="00EC137D">
                        <w:rPr>
                          <w:b/>
                        </w:rPr>
                        <w:t>Across these four years, 1 SO was Approved with Distinction, 23 were Approved, 8 were Approved with Conditions, and 2 received Probationary Approval</w:t>
                      </w:r>
                      <w:r>
                        <w:rPr>
                          <w:b/>
                        </w:rPr>
                        <w:t>.</w:t>
                      </w:r>
                    </w:p>
                    <w:p w14:paraId="2DD0598F" w14:textId="77777777" w:rsidR="00CC15B8" w:rsidRPr="00EC137D" w:rsidRDefault="00CC15B8" w:rsidP="00EC137D">
                      <w:pPr>
                        <w:pStyle w:val="ListParagraph"/>
                        <w:numPr>
                          <w:ilvl w:val="0"/>
                          <w:numId w:val="5"/>
                        </w:numPr>
                        <w:spacing w:before="120" w:after="120" w:line="240" w:lineRule="auto"/>
                        <w:ind w:left="274"/>
                        <w:contextualSpacing w:val="0"/>
                        <w:rPr>
                          <w:b/>
                        </w:rPr>
                      </w:pPr>
                      <w:r w:rsidRPr="00EC137D">
                        <w:rPr>
                          <w:b/>
                        </w:rPr>
                        <w:t>The number of findings SOs received varied greatly, from zero to 32. On average, SOs received nine findings.</w:t>
                      </w:r>
                    </w:p>
                    <w:p w14:paraId="2D0891ED" w14:textId="77777777" w:rsidR="00CC15B8" w:rsidRPr="00EC137D" w:rsidRDefault="00CC15B8" w:rsidP="00EC137D">
                      <w:pPr>
                        <w:pStyle w:val="ListParagraph"/>
                        <w:numPr>
                          <w:ilvl w:val="0"/>
                          <w:numId w:val="5"/>
                        </w:numPr>
                        <w:spacing w:before="120" w:after="120" w:line="240" w:lineRule="auto"/>
                        <w:ind w:left="274"/>
                        <w:contextualSpacing w:val="0"/>
                        <w:rPr>
                          <w:b/>
                        </w:rPr>
                      </w:pPr>
                      <w:r w:rsidRPr="00EC137D">
                        <w:rPr>
                          <w:b/>
                        </w:rPr>
                        <w:t xml:space="preserve">External reviewers felt highly confident in the consistency and efficacy of the review process. </w:t>
                      </w:r>
                    </w:p>
                    <w:p w14:paraId="3CD2F5CF" w14:textId="77777777" w:rsidR="00CC15B8" w:rsidRPr="00EC137D" w:rsidRDefault="00CC15B8" w:rsidP="00EC137D">
                      <w:pPr>
                        <w:pStyle w:val="ListParagraph"/>
                        <w:numPr>
                          <w:ilvl w:val="0"/>
                          <w:numId w:val="5"/>
                        </w:numPr>
                        <w:spacing w:before="120" w:after="120" w:line="240" w:lineRule="auto"/>
                        <w:ind w:left="274"/>
                        <w:contextualSpacing w:val="0"/>
                        <w:rPr>
                          <w:b/>
                        </w:rPr>
                      </w:pPr>
                      <w:r w:rsidRPr="00EC137D">
                        <w:rPr>
                          <w:b/>
                        </w:rPr>
                        <w:t>69 percent of SOs who underwent review agreed that the process will inform the continuous improvement of their programs</w:t>
                      </w:r>
                      <w:r>
                        <w:rPr>
                          <w:b/>
                        </w:rPr>
                        <w:t>.</w:t>
                      </w:r>
                    </w:p>
                  </w:txbxContent>
                </v:textbox>
                <w10:wrap type="square"/>
              </v:rect>
            </w:pict>
          </mc:Fallback>
        </mc:AlternateContent>
      </w:r>
      <w:r w:rsidR="00180AEB">
        <w:t>Overview</w:t>
      </w:r>
      <w:bookmarkEnd w:id="1"/>
    </w:p>
    <w:p w14:paraId="67BB7A86" w14:textId="77777777" w:rsidR="00BF4DE9" w:rsidRDefault="008D34BC" w:rsidP="00BF4DE9">
      <w:r>
        <w:t>The Massachusetts Department of Elementary and Secondary Education (</w:t>
      </w:r>
      <w:r w:rsidR="00BF4DE9">
        <w:t>D</w:t>
      </w:r>
      <w:r>
        <w:t>ESE) believes that regular program review ensures the continued growth and improvement of our Sponsoring Organizations (SOs). We are committed to ensuring that preparation in Massachusetts results in effective educators who are ready to support the success of all students. We</w:t>
      </w:r>
      <w:r w:rsidR="00BF4DE9">
        <w:t xml:space="preserve"> are pleased to release the 2017</w:t>
      </w:r>
      <w:r>
        <w:t>-201</w:t>
      </w:r>
      <w:r w:rsidR="00BF4DE9">
        <w:t>8</w:t>
      </w:r>
      <w:r>
        <w:t xml:space="preserve"> Formal Review Culminating Report to docume</w:t>
      </w:r>
      <w:r w:rsidR="00BF4DE9">
        <w:t>nt trends and lessons learned</w:t>
      </w:r>
      <w:r w:rsidR="006B4C2B">
        <w:t xml:space="preserve"> since the formal review process was updated in 2013</w:t>
      </w:r>
      <w:r w:rsidR="00BF4DE9">
        <w:t>. Given the range and scale of Sponsoring Organizations (SOs) that have undergone review over the past four years, th</w:t>
      </w:r>
      <w:r w:rsidR="00FC06EF">
        <w:t>is</w:t>
      </w:r>
      <w:r w:rsidR="00BF4DE9">
        <w:t xml:space="preserve"> year’s Culminating Report</w:t>
      </w:r>
      <w:r w:rsidR="00CC15B8">
        <w:t xml:space="preserve">’s focus is </w:t>
      </w:r>
      <w:r w:rsidR="00BF4DE9">
        <w:t xml:space="preserve">better understanding trends across the four years of this review process. </w:t>
      </w:r>
    </w:p>
    <w:p w14:paraId="1E584CF6" w14:textId="77777777" w:rsidR="00BF4DE9" w:rsidRDefault="008D34BC" w:rsidP="00180AEB">
      <w:r>
        <w:t>This report demonstrates our commitment to transparency</w:t>
      </w:r>
      <w:r w:rsidR="006B4C2B">
        <w:t xml:space="preserve">. In addition to </w:t>
      </w:r>
      <w:r>
        <w:t xml:space="preserve">reflecting on our own efficacy in executing reviews, </w:t>
      </w:r>
      <w:r w:rsidR="006B4C2B">
        <w:t>we seek to i</w:t>
      </w:r>
      <w:r>
        <w:t xml:space="preserve">nform the field of educator preparation by identifying common areas of growth as they relate to </w:t>
      </w:r>
      <w:r w:rsidR="00BF4DE9">
        <w:t>D</w:t>
      </w:r>
      <w:r>
        <w:t xml:space="preserve">ESE’s </w:t>
      </w:r>
      <w:hyperlink r:id="rId12" w:history="1">
        <w:r w:rsidRPr="00CC15B8">
          <w:rPr>
            <w:rStyle w:val="Hyperlink"/>
          </w:rPr>
          <w:t>Program Approval Criteria</w:t>
        </w:r>
      </w:hyperlink>
      <w:r>
        <w:t xml:space="preserve">. It is important to note this report is not designed to be representative of all SOs in the Commonwealth; it is a summary report of </w:t>
      </w:r>
      <w:r w:rsidR="006B4C2B">
        <w:t>33 SOs</w:t>
      </w:r>
      <w:r>
        <w:t xml:space="preserve"> t</w:t>
      </w:r>
      <w:r w:rsidR="00BF4DE9">
        <w:t>hat participated in a review</w:t>
      </w:r>
      <w:r w:rsidR="0064768B">
        <w:t xml:space="preserve"> since 2014</w:t>
      </w:r>
      <w:r w:rsidR="006B4C2B">
        <w:t>, representing approximately one-half of the state’s providers</w:t>
      </w:r>
      <w:r w:rsidR="00BF4DE9">
        <w:t xml:space="preserve">. </w:t>
      </w:r>
      <w:r>
        <w:t xml:space="preserve">Therefore, our conclusions </w:t>
      </w:r>
      <w:r w:rsidR="006B4C2B">
        <w:t>are not generalizable</w:t>
      </w:r>
      <w:r>
        <w:t xml:space="preserve"> to all SOs in the Commonwealth. </w:t>
      </w:r>
      <w:r w:rsidR="00BF4DE9">
        <w:t>Throughout this report, w</w:t>
      </w:r>
      <w:r>
        <w:t>e</w:t>
      </w:r>
      <w:r w:rsidR="00BF4DE9">
        <w:t xml:space="preserve"> primarily</w:t>
      </w:r>
      <w:r>
        <w:t xml:space="preserve"> share results in the aggregate. </w:t>
      </w:r>
    </w:p>
    <w:p w14:paraId="3C8D2A85" w14:textId="77777777" w:rsidR="00254ADD" w:rsidRDefault="006B4C2B" w:rsidP="00180AEB">
      <w:pPr>
        <w:pStyle w:val="Heading2"/>
      </w:pPr>
      <w:bookmarkStart w:id="2" w:name="_Toc533073496"/>
      <w:r>
        <w:t xml:space="preserve">Key </w:t>
      </w:r>
      <w:r w:rsidR="00254ADD">
        <w:t>Takeaways</w:t>
      </w:r>
      <w:r w:rsidR="00180AEB">
        <w:t xml:space="preserve"> from the Formal Review Process, 2014-</w:t>
      </w:r>
      <w:r w:rsidR="00CC15B8">
        <w:t>20</w:t>
      </w:r>
      <w:r w:rsidR="00180AEB">
        <w:t>18</w:t>
      </w:r>
      <w:bookmarkEnd w:id="2"/>
    </w:p>
    <w:p w14:paraId="0EA51027" w14:textId="77777777" w:rsidR="001A08DA" w:rsidRDefault="00EC137D">
      <w:r w:rsidRPr="001A08DA">
        <w:rPr>
          <w:b/>
          <w:i/>
        </w:rPr>
        <w:t xml:space="preserve">SOs were most proficient in the Candidate </w:t>
      </w:r>
      <w:r w:rsidR="00CC15B8">
        <w:rPr>
          <w:b/>
          <w:i/>
        </w:rPr>
        <w:t xml:space="preserve">(CAN) </w:t>
      </w:r>
      <w:r w:rsidRPr="001A08DA">
        <w:rPr>
          <w:b/>
          <w:i/>
        </w:rPr>
        <w:t>domain.</w:t>
      </w:r>
      <w:r>
        <w:br/>
        <w:t>The C</w:t>
      </w:r>
      <w:r w:rsidR="00CC15B8">
        <w:t>AN</w:t>
      </w:r>
      <w:r>
        <w:t xml:space="preserve"> domain sets expectations for programmatic features such as recruitment, admission, advising, and identifying candidates-at-risk. Twenty-five SOs that received domain ratings </w:t>
      </w:r>
      <w:r w:rsidR="0064768B">
        <w:t xml:space="preserve">were rated </w:t>
      </w:r>
      <w:r>
        <w:t xml:space="preserve">proficient or above in this domain. This data indicates that candidates are generally having a positive experience and are supported by admission, advising, and at-risk systems that contribute to their effectiveness in the licensure role. </w:t>
      </w:r>
      <w:r w:rsidR="001A08DA">
        <w:t>However, 40 percent of SOs received a finding for the criterion that requires recruitment and admission practices that result in an increase in the racial and ethnic diversity of the workforce</w:t>
      </w:r>
      <w:r w:rsidR="0064768B">
        <w:t>, indicating</w:t>
      </w:r>
      <w:r w:rsidR="006E6CE7">
        <w:t xml:space="preserve"> </w:t>
      </w:r>
      <w:r w:rsidR="006B4C2B">
        <w:t xml:space="preserve">that </w:t>
      </w:r>
      <w:r w:rsidR="006E6CE7">
        <w:t>continued work needs to be done to ensure increased diversity in the workforce</w:t>
      </w:r>
      <w:r w:rsidR="001A08DA">
        <w:t>.</w:t>
      </w:r>
    </w:p>
    <w:p w14:paraId="6D6967DB" w14:textId="77777777" w:rsidR="001A08DA" w:rsidRDefault="001A08DA">
      <w:r w:rsidRPr="001A08DA">
        <w:rPr>
          <w:b/>
          <w:i/>
        </w:rPr>
        <w:t xml:space="preserve">SOs most often needed improvement in the Field-Based Experiences </w:t>
      </w:r>
      <w:r w:rsidR="00CC15B8">
        <w:rPr>
          <w:b/>
          <w:i/>
        </w:rPr>
        <w:t xml:space="preserve">(FBE) </w:t>
      </w:r>
      <w:r w:rsidRPr="001A08DA">
        <w:rPr>
          <w:b/>
          <w:i/>
        </w:rPr>
        <w:t>domain.</w:t>
      </w:r>
      <w:r>
        <w:br/>
        <w:t xml:space="preserve">The </w:t>
      </w:r>
      <w:r w:rsidR="00CC15B8">
        <w:t>FBE</w:t>
      </w:r>
      <w:r>
        <w:t xml:space="preserve"> domain sets expectations for programmatic features such as the structure of the practicum, the placement process, and supervision. Across the four review cycles, SOs were </w:t>
      </w:r>
      <w:r w:rsidR="0064768B">
        <w:t xml:space="preserve">most often </w:t>
      </w:r>
      <w:r>
        <w:t xml:space="preserve">rated Needs Improvement or Unsatisfactory in the </w:t>
      </w:r>
      <w:r w:rsidR="00CC15B8">
        <w:t>FBE</w:t>
      </w:r>
      <w:r>
        <w:t xml:space="preserve"> domain. Across many SOs, inadequate evidence of training and support for Supervising Practitioners and a lack of systems for involving district partners in the design of field-based experiences contributed to these ratings. </w:t>
      </w:r>
    </w:p>
    <w:p w14:paraId="7FC22588" w14:textId="77777777" w:rsidR="001A08DA" w:rsidRDefault="001A08DA">
      <w:r w:rsidRPr="001A08DA">
        <w:rPr>
          <w:b/>
          <w:i/>
        </w:rPr>
        <w:lastRenderedPageBreak/>
        <w:t>SOs are committed to Continuous Improvement</w:t>
      </w:r>
      <w:r w:rsidR="00CC15B8">
        <w:rPr>
          <w:b/>
          <w:i/>
        </w:rPr>
        <w:t xml:space="preserve"> (CI)</w:t>
      </w:r>
      <w:r w:rsidRPr="001A08DA">
        <w:rPr>
          <w:b/>
          <w:i/>
        </w:rPr>
        <w:t>.</w:t>
      </w:r>
      <w:r>
        <w:br/>
        <w:t xml:space="preserve">The </w:t>
      </w:r>
      <w:r w:rsidR="00CC15B8">
        <w:t>CI</w:t>
      </w:r>
      <w:r>
        <w:t xml:space="preserve"> domain sets expectations for the systems and structures SOs have in place to ensure individual programs are effective, utilize data to inform improvements, and act on stakeholder feedback. While SOs most often needed improvement in this domain from 2014-2016, SOs were most often proficient in this domain from 2016-2018. This indicates that SOs are increasingly using data and feedback to improve their educator preparation programs.</w:t>
      </w:r>
    </w:p>
    <w:p w14:paraId="5626BEAD" w14:textId="77777777" w:rsidR="001A08DA" w:rsidRDefault="001A08DA">
      <w:r>
        <w:t xml:space="preserve">Similarly, </w:t>
      </w:r>
      <w:r w:rsidR="00781AB0">
        <w:t xml:space="preserve">four </w:t>
      </w:r>
      <w:r>
        <w:t xml:space="preserve">SOs from early cohorts who were previously determined to be Approved with Conditions have </w:t>
      </w:r>
      <w:r w:rsidR="0064768B">
        <w:t xml:space="preserve">since </w:t>
      </w:r>
      <w:r>
        <w:t>demonstrated evidence that they met conditions outlined in their reports.</w:t>
      </w:r>
    </w:p>
    <w:p w14:paraId="276DDED2" w14:textId="77777777" w:rsidR="001A08DA" w:rsidRDefault="001A08DA">
      <w:r w:rsidRPr="001A08DA">
        <w:rPr>
          <w:b/>
          <w:i/>
        </w:rPr>
        <w:t>ESE implemented a review process that is effective and consistently rigorous, though SOs raised some concerns.</w:t>
      </w:r>
      <w:r>
        <w:br/>
        <w:t>In general, the external reviewers and SOs who underwent review agreed that the state has a process that is effective, consistently rigorous, and leads to better prepared educators:</w:t>
      </w:r>
    </w:p>
    <w:p w14:paraId="3D09EE50" w14:textId="77777777" w:rsidR="001A08DA" w:rsidRDefault="00D3013F" w:rsidP="001A08DA">
      <w:pPr>
        <w:pStyle w:val="ListParagraph"/>
        <w:numPr>
          <w:ilvl w:val="0"/>
          <w:numId w:val="7"/>
        </w:numPr>
        <w:ind w:left="900"/>
      </w:pPr>
      <w:r>
        <w:t xml:space="preserve">87 percent of reviewers (n=148) and 66 percent of SOs (n=32) </w:t>
      </w:r>
      <w:r w:rsidR="00781AB0">
        <w:t xml:space="preserve">that underwent review </w:t>
      </w:r>
      <w:r>
        <w:t xml:space="preserve">felt highly confident that judgments made in the review process were consistent and calibrated across the state. </w:t>
      </w:r>
    </w:p>
    <w:p w14:paraId="41084C9A" w14:textId="77777777" w:rsidR="00D3013F" w:rsidRDefault="00D3013F" w:rsidP="001A08DA">
      <w:pPr>
        <w:pStyle w:val="ListParagraph"/>
        <w:numPr>
          <w:ilvl w:val="0"/>
          <w:numId w:val="7"/>
        </w:numPr>
        <w:ind w:left="900"/>
      </w:pPr>
      <w:r>
        <w:t xml:space="preserve">53 percent of SOs (n=32) </w:t>
      </w:r>
      <w:r w:rsidR="00781AB0">
        <w:t xml:space="preserve">that underwent review </w:t>
      </w:r>
      <w:r>
        <w:t>agreed that their organization will better prepare educators as a result of undergoing the formal review process.</w:t>
      </w:r>
    </w:p>
    <w:p w14:paraId="766F8C1B" w14:textId="77777777" w:rsidR="00D3013F" w:rsidRDefault="00D3013F" w:rsidP="00D3013F">
      <w:r>
        <w:t>When asked about the efficacy of the review process, several SOs raised concerns about the weight given to evidence collected in focus groups and interviews with stakeholder</w:t>
      </w:r>
      <w:r w:rsidR="00CC15B8">
        <w:t>s</w:t>
      </w:r>
      <w:r>
        <w:t xml:space="preserve"> as compared to the evidence submitted by the SO in the offsite submission. As is outlined in our </w:t>
      </w:r>
      <w:hyperlink r:id="rId13" w:history="1">
        <w:r w:rsidRPr="00D3013F">
          <w:rPr>
            <w:rStyle w:val="Hyperlink"/>
          </w:rPr>
          <w:t>Guidelines for Program Approval</w:t>
        </w:r>
      </w:hyperlink>
      <w:r>
        <w:t xml:space="preserve">, DESE has an outcomes-driven review process that focuses most heavily on evidence of impact. DESE held an Evidence Workshop in 2018 for SOs under review in upcoming years to improve their understanding of </w:t>
      </w:r>
      <w:r w:rsidR="002928F7">
        <w:t xml:space="preserve">outcomes-based </w:t>
      </w:r>
      <w:r>
        <w:t xml:space="preserve">evidence of impact and how to best </w:t>
      </w:r>
      <w:r w:rsidR="002928F7">
        <w:t>collect and</w:t>
      </w:r>
      <w:r>
        <w:t xml:space="preserve"> incorporate it in their offsite submission</w:t>
      </w:r>
      <w:r w:rsidR="00CC15B8">
        <w:t>. DESE also</w:t>
      </w:r>
      <w:r w:rsidR="002928F7">
        <w:t xml:space="preserve"> disseminated an accompanying </w:t>
      </w:r>
      <w:hyperlink r:id="rId14" w:history="1">
        <w:r w:rsidR="002928F7" w:rsidRPr="002928F7">
          <w:rPr>
            <w:rStyle w:val="Hyperlink"/>
          </w:rPr>
          <w:t>advisory</w:t>
        </w:r>
      </w:hyperlink>
      <w:r>
        <w:t>. The response to that workshop was very positive, and SOs reported feeling more confident about analyzing evidence of impact and incorporating it in their offsite submissions.</w:t>
      </w:r>
    </w:p>
    <w:p w14:paraId="305ED1AF" w14:textId="77777777" w:rsidR="00D3013F" w:rsidRDefault="00D3013F" w:rsidP="00D3013F"/>
    <w:p w14:paraId="409EF360" w14:textId="77777777" w:rsidR="00180AEB" w:rsidRDefault="00180AEB" w:rsidP="001A08DA">
      <w:pPr>
        <w:pStyle w:val="ListParagraph"/>
        <w:numPr>
          <w:ilvl w:val="0"/>
          <w:numId w:val="7"/>
        </w:numPr>
      </w:pPr>
      <w:r>
        <w:br w:type="page"/>
      </w:r>
    </w:p>
    <w:p w14:paraId="2CEB8AAF" w14:textId="77777777" w:rsidR="00180AEB" w:rsidRDefault="00180AEB" w:rsidP="00180AEB"/>
    <w:sdt>
      <w:sdtPr>
        <w:rPr>
          <w:rFonts w:asciiTheme="minorHAnsi" w:eastAsiaTheme="minorHAnsi" w:hAnsiTheme="minorHAnsi" w:cstheme="minorBidi"/>
          <w:color w:val="auto"/>
          <w:sz w:val="22"/>
          <w:szCs w:val="22"/>
        </w:rPr>
        <w:id w:val="-1141195807"/>
        <w:docPartObj>
          <w:docPartGallery w:val="Table of Contents"/>
          <w:docPartUnique/>
        </w:docPartObj>
      </w:sdtPr>
      <w:sdtEndPr>
        <w:rPr>
          <w:b/>
          <w:bCs/>
          <w:noProof/>
        </w:rPr>
      </w:sdtEndPr>
      <w:sdtContent>
        <w:p w14:paraId="63342920" w14:textId="77777777" w:rsidR="00180AEB" w:rsidRDefault="00180AEB">
          <w:pPr>
            <w:pStyle w:val="TOCHeading"/>
          </w:pPr>
          <w:r>
            <w:t>Contents</w:t>
          </w:r>
        </w:p>
        <w:p w14:paraId="631A8A63" w14:textId="77777777" w:rsidR="00CC15B8" w:rsidRDefault="00180AE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33073494" w:history="1">
            <w:r w:rsidR="00CC15B8" w:rsidRPr="005F103C">
              <w:rPr>
                <w:rStyle w:val="Hyperlink"/>
                <w:noProof/>
              </w:rPr>
              <w:t>Executive Summary</w:t>
            </w:r>
            <w:r w:rsidR="00CC15B8">
              <w:rPr>
                <w:noProof/>
                <w:webHidden/>
              </w:rPr>
              <w:tab/>
            </w:r>
            <w:r w:rsidR="00CC15B8">
              <w:rPr>
                <w:noProof/>
                <w:webHidden/>
              </w:rPr>
              <w:fldChar w:fldCharType="begin"/>
            </w:r>
            <w:r w:rsidR="00CC15B8">
              <w:rPr>
                <w:noProof/>
                <w:webHidden/>
              </w:rPr>
              <w:instrText xml:space="preserve"> PAGEREF _Toc533073494 \h </w:instrText>
            </w:r>
            <w:r w:rsidR="00CC15B8">
              <w:rPr>
                <w:noProof/>
                <w:webHidden/>
              </w:rPr>
            </w:r>
            <w:r w:rsidR="00CC15B8">
              <w:rPr>
                <w:noProof/>
                <w:webHidden/>
              </w:rPr>
              <w:fldChar w:fldCharType="separate"/>
            </w:r>
            <w:r w:rsidR="009A2669">
              <w:rPr>
                <w:noProof/>
                <w:webHidden/>
              </w:rPr>
              <w:t>1</w:t>
            </w:r>
            <w:r w:rsidR="00CC15B8">
              <w:rPr>
                <w:noProof/>
                <w:webHidden/>
              </w:rPr>
              <w:fldChar w:fldCharType="end"/>
            </w:r>
          </w:hyperlink>
        </w:p>
        <w:p w14:paraId="0C3BE909" w14:textId="77777777" w:rsidR="00CC15B8" w:rsidRDefault="00407C49">
          <w:pPr>
            <w:pStyle w:val="TOC2"/>
            <w:tabs>
              <w:tab w:val="right" w:leader="dot" w:pos="9350"/>
            </w:tabs>
            <w:rPr>
              <w:rFonts w:eastAsiaTheme="minorEastAsia"/>
              <w:noProof/>
            </w:rPr>
          </w:pPr>
          <w:hyperlink w:anchor="_Toc533073495" w:history="1">
            <w:r w:rsidR="00CC15B8" w:rsidRPr="005F103C">
              <w:rPr>
                <w:rStyle w:val="Hyperlink"/>
                <w:noProof/>
              </w:rPr>
              <w:t>Overview</w:t>
            </w:r>
            <w:r w:rsidR="00CC15B8">
              <w:rPr>
                <w:noProof/>
                <w:webHidden/>
              </w:rPr>
              <w:tab/>
            </w:r>
            <w:r w:rsidR="00CC15B8">
              <w:rPr>
                <w:noProof/>
                <w:webHidden/>
              </w:rPr>
              <w:fldChar w:fldCharType="begin"/>
            </w:r>
            <w:r w:rsidR="00CC15B8">
              <w:rPr>
                <w:noProof/>
                <w:webHidden/>
              </w:rPr>
              <w:instrText xml:space="preserve"> PAGEREF _Toc533073495 \h </w:instrText>
            </w:r>
            <w:r w:rsidR="00CC15B8">
              <w:rPr>
                <w:noProof/>
                <w:webHidden/>
              </w:rPr>
            </w:r>
            <w:r w:rsidR="00CC15B8">
              <w:rPr>
                <w:noProof/>
                <w:webHidden/>
              </w:rPr>
              <w:fldChar w:fldCharType="separate"/>
            </w:r>
            <w:r w:rsidR="009A2669">
              <w:rPr>
                <w:noProof/>
                <w:webHidden/>
              </w:rPr>
              <w:t>1</w:t>
            </w:r>
            <w:r w:rsidR="00CC15B8">
              <w:rPr>
                <w:noProof/>
                <w:webHidden/>
              </w:rPr>
              <w:fldChar w:fldCharType="end"/>
            </w:r>
          </w:hyperlink>
        </w:p>
        <w:p w14:paraId="7167B56A" w14:textId="77777777" w:rsidR="00CC15B8" w:rsidRDefault="00407C49">
          <w:pPr>
            <w:pStyle w:val="TOC2"/>
            <w:tabs>
              <w:tab w:val="right" w:leader="dot" w:pos="9350"/>
            </w:tabs>
            <w:rPr>
              <w:rFonts w:eastAsiaTheme="minorEastAsia"/>
              <w:noProof/>
            </w:rPr>
          </w:pPr>
          <w:hyperlink w:anchor="_Toc533073496" w:history="1">
            <w:r w:rsidR="00CC15B8" w:rsidRPr="005F103C">
              <w:rPr>
                <w:rStyle w:val="Hyperlink"/>
                <w:noProof/>
              </w:rPr>
              <w:t>Key Takeaways from the Formal Review Process, 2014-2018</w:t>
            </w:r>
            <w:r w:rsidR="00CC15B8">
              <w:rPr>
                <w:noProof/>
                <w:webHidden/>
              </w:rPr>
              <w:tab/>
            </w:r>
            <w:r w:rsidR="00CC15B8">
              <w:rPr>
                <w:noProof/>
                <w:webHidden/>
              </w:rPr>
              <w:fldChar w:fldCharType="begin"/>
            </w:r>
            <w:r w:rsidR="00CC15B8">
              <w:rPr>
                <w:noProof/>
                <w:webHidden/>
              </w:rPr>
              <w:instrText xml:space="preserve"> PAGEREF _Toc533073496 \h </w:instrText>
            </w:r>
            <w:r w:rsidR="00CC15B8">
              <w:rPr>
                <w:noProof/>
                <w:webHidden/>
              </w:rPr>
            </w:r>
            <w:r w:rsidR="00CC15B8">
              <w:rPr>
                <w:noProof/>
                <w:webHidden/>
              </w:rPr>
              <w:fldChar w:fldCharType="separate"/>
            </w:r>
            <w:r w:rsidR="009A2669">
              <w:rPr>
                <w:noProof/>
                <w:webHidden/>
              </w:rPr>
              <w:t>1</w:t>
            </w:r>
            <w:r w:rsidR="00CC15B8">
              <w:rPr>
                <w:noProof/>
                <w:webHidden/>
              </w:rPr>
              <w:fldChar w:fldCharType="end"/>
            </w:r>
          </w:hyperlink>
        </w:p>
        <w:p w14:paraId="32A797B9" w14:textId="77777777" w:rsidR="00CC15B8" w:rsidRDefault="00407C49">
          <w:pPr>
            <w:pStyle w:val="TOC1"/>
            <w:tabs>
              <w:tab w:val="right" w:leader="dot" w:pos="9350"/>
            </w:tabs>
            <w:rPr>
              <w:rFonts w:eastAsiaTheme="minorEastAsia"/>
              <w:noProof/>
            </w:rPr>
          </w:pPr>
          <w:hyperlink w:anchor="_Toc533073497" w:history="1">
            <w:r w:rsidR="00CC15B8" w:rsidRPr="005F103C">
              <w:rPr>
                <w:rStyle w:val="Hyperlink"/>
                <w:noProof/>
              </w:rPr>
              <w:t>Background Information &amp; Context</w:t>
            </w:r>
            <w:r w:rsidR="00CC15B8">
              <w:rPr>
                <w:noProof/>
                <w:webHidden/>
              </w:rPr>
              <w:tab/>
            </w:r>
            <w:r w:rsidR="00CC15B8">
              <w:rPr>
                <w:noProof/>
                <w:webHidden/>
              </w:rPr>
              <w:fldChar w:fldCharType="begin"/>
            </w:r>
            <w:r w:rsidR="00CC15B8">
              <w:rPr>
                <w:noProof/>
                <w:webHidden/>
              </w:rPr>
              <w:instrText xml:space="preserve"> PAGEREF _Toc533073497 \h </w:instrText>
            </w:r>
            <w:r w:rsidR="00CC15B8">
              <w:rPr>
                <w:noProof/>
                <w:webHidden/>
              </w:rPr>
            </w:r>
            <w:r w:rsidR="00CC15B8">
              <w:rPr>
                <w:noProof/>
                <w:webHidden/>
              </w:rPr>
              <w:fldChar w:fldCharType="separate"/>
            </w:r>
            <w:r w:rsidR="009A2669">
              <w:rPr>
                <w:noProof/>
                <w:webHidden/>
              </w:rPr>
              <w:t>4</w:t>
            </w:r>
            <w:r w:rsidR="00CC15B8">
              <w:rPr>
                <w:noProof/>
                <w:webHidden/>
              </w:rPr>
              <w:fldChar w:fldCharType="end"/>
            </w:r>
          </w:hyperlink>
        </w:p>
        <w:p w14:paraId="6274638E" w14:textId="77777777" w:rsidR="00CC15B8" w:rsidRDefault="00407C49">
          <w:pPr>
            <w:pStyle w:val="TOC2"/>
            <w:tabs>
              <w:tab w:val="right" w:leader="dot" w:pos="9350"/>
            </w:tabs>
            <w:rPr>
              <w:rFonts w:eastAsiaTheme="minorEastAsia"/>
              <w:noProof/>
            </w:rPr>
          </w:pPr>
          <w:hyperlink w:anchor="_Toc533073498" w:history="1">
            <w:r w:rsidR="00CC15B8" w:rsidRPr="005F103C">
              <w:rPr>
                <w:rStyle w:val="Hyperlink"/>
                <w:noProof/>
              </w:rPr>
              <w:t>Needs Assessments</w:t>
            </w:r>
            <w:r w:rsidR="00CC15B8">
              <w:rPr>
                <w:noProof/>
                <w:webHidden/>
              </w:rPr>
              <w:tab/>
            </w:r>
            <w:r w:rsidR="00CC15B8">
              <w:rPr>
                <w:noProof/>
                <w:webHidden/>
              </w:rPr>
              <w:fldChar w:fldCharType="begin"/>
            </w:r>
            <w:r w:rsidR="00CC15B8">
              <w:rPr>
                <w:noProof/>
                <w:webHidden/>
              </w:rPr>
              <w:instrText xml:space="preserve"> PAGEREF _Toc533073498 \h </w:instrText>
            </w:r>
            <w:r w:rsidR="00CC15B8">
              <w:rPr>
                <w:noProof/>
                <w:webHidden/>
              </w:rPr>
            </w:r>
            <w:r w:rsidR="00CC15B8">
              <w:rPr>
                <w:noProof/>
                <w:webHidden/>
              </w:rPr>
              <w:fldChar w:fldCharType="separate"/>
            </w:r>
            <w:r w:rsidR="009A2669">
              <w:rPr>
                <w:noProof/>
                <w:webHidden/>
              </w:rPr>
              <w:t>4</w:t>
            </w:r>
            <w:r w:rsidR="00CC15B8">
              <w:rPr>
                <w:noProof/>
                <w:webHidden/>
              </w:rPr>
              <w:fldChar w:fldCharType="end"/>
            </w:r>
          </w:hyperlink>
        </w:p>
        <w:p w14:paraId="261C2624" w14:textId="77777777" w:rsidR="00CC15B8" w:rsidRDefault="00407C49">
          <w:pPr>
            <w:pStyle w:val="TOC1"/>
            <w:tabs>
              <w:tab w:val="right" w:leader="dot" w:pos="9350"/>
            </w:tabs>
            <w:rPr>
              <w:rFonts w:eastAsiaTheme="minorEastAsia"/>
              <w:noProof/>
            </w:rPr>
          </w:pPr>
          <w:hyperlink w:anchor="_Toc533073499" w:history="1">
            <w:r w:rsidR="00CC15B8" w:rsidRPr="005F103C">
              <w:rPr>
                <w:rStyle w:val="Hyperlink"/>
                <w:noProof/>
              </w:rPr>
              <w:t>Overall Formal Review Determination Ratings</w:t>
            </w:r>
            <w:r w:rsidR="00CC15B8">
              <w:rPr>
                <w:noProof/>
                <w:webHidden/>
              </w:rPr>
              <w:tab/>
            </w:r>
            <w:r w:rsidR="00CC15B8">
              <w:rPr>
                <w:noProof/>
                <w:webHidden/>
              </w:rPr>
              <w:fldChar w:fldCharType="begin"/>
            </w:r>
            <w:r w:rsidR="00CC15B8">
              <w:rPr>
                <w:noProof/>
                <w:webHidden/>
              </w:rPr>
              <w:instrText xml:space="preserve"> PAGEREF _Toc533073499 \h </w:instrText>
            </w:r>
            <w:r w:rsidR="00CC15B8">
              <w:rPr>
                <w:noProof/>
                <w:webHidden/>
              </w:rPr>
            </w:r>
            <w:r w:rsidR="00CC15B8">
              <w:rPr>
                <w:noProof/>
                <w:webHidden/>
              </w:rPr>
              <w:fldChar w:fldCharType="separate"/>
            </w:r>
            <w:r w:rsidR="009A2669">
              <w:rPr>
                <w:noProof/>
                <w:webHidden/>
              </w:rPr>
              <w:t>5</w:t>
            </w:r>
            <w:r w:rsidR="00CC15B8">
              <w:rPr>
                <w:noProof/>
                <w:webHidden/>
              </w:rPr>
              <w:fldChar w:fldCharType="end"/>
            </w:r>
          </w:hyperlink>
        </w:p>
        <w:p w14:paraId="20EFE79B" w14:textId="77777777" w:rsidR="00CC15B8" w:rsidRDefault="00407C49">
          <w:pPr>
            <w:pStyle w:val="TOC2"/>
            <w:tabs>
              <w:tab w:val="right" w:leader="dot" w:pos="9350"/>
            </w:tabs>
            <w:rPr>
              <w:rFonts w:eastAsiaTheme="minorEastAsia"/>
              <w:noProof/>
            </w:rPr>
          </w:pPr>
          <w:hyperlink w:anchor="_Toc533073500" w:history="1">
            <w:r w:rsidR="00CC15B8" w:rsidRPr="005F103C">
              <w:rPr>
                <w:rStyle w:val="Hyperlink"/>
                <w:noProof/>
              </w:rPr>
              <w:t>Changes in Approval Ratings</w:t>
            </w:r>
            <w:r w:rsidR="00CC15B8">
              <w:rPr>
                <w:noProof/>
                <w:webHidden/>
              </w:rPr>
              <w:tab/>
            </w:r>
            <w:r w:rsidR="00CC15B8">
              <w:rPr>
                <w:noProof/>
                <w:webHidden/>
              </w:rPr>
              <w:fldChar w:fldCharType="begin"/>
            </w:r>
            <w:r w:rsidR="00CC15B8">
              <w:rPr>
                <w:noProof/>
                <w:webHidden/>
              </w:rPr>
              <w:instrText xml:space="preserve"> PAGEREF _Toc533073500 \h </w:instrText>
            </w:r>
            <w:r w:rsidR="00CC15B8">
              <w:rPr>
                <w:noProof/>
                <w:webHidden/>
              </w:rPr>
            </w:r>
            <w:r w:rsidR="00CC15B8">
              <w:rPr>
                <w:noProof/>
                <w:webHidden/>
              </w:rPr>
              <w:fldChar w:fldCharType="separate"/>
            </w:r>
            <w:r w:rsidR="009A2669">
              <w:rPr>
                <w:noProof/>
                <w:webHidden/>
              </w:rPr>
              <w:t>6</w:t>
            </w:r>
            <w:r w:rsidR="00CC15B8">
              <w:rPr>
                <w:noProof/>
                <w:webHidden/>
              </w:rPr>
              <w:fldChar w:fldCharType="end"/>
            </w:r>
          </w:hyperlink>
        </w:p>
        <w:p w14:paraId="2E94E573" w14:textId="77777777" w:rsidR="00CC15B8" w:rsidRDefault="00407C49">
          <w:pPr>
            <w:pStyle w:val="TOC1"/>
            <w:tabs>
              <w:tab w:val="right" w:leader="dot" w:pos="9350"/>
            </w:tabs>
            <w:rPr>
              <w:rFonts w:eastAsiaTheme="minorEastAsia"/>
              <w:noProof/>
            </w:rPr>
          </w:pPr>
          <w:hyperlink w:anchor="_Toc533073501" w:history="1">
            <w:r w:rsidR="00CC15B8" w:rsidRPr="005F103C">
              <w:rPr>
                <w:rStyle w:val="Hyperlink"/>
                <w:noProof/>
              </w:rPr>
              <w:t>Domain Ratings</w:t>
            </w:r>
            <w:r w:rsidR="00CC15B8">
              <w:rPr>
                <w:noProof/>
                <w:webHidden/>
              </w:rPr>
              <w:tab/>
            </w:r>
            <w:r w:rsidR="00CC15B8">
              <w:rPr>
                <w:noProof/>
                <w:webHidden/>
              </w:rPr>
              <w:fldChar w:fldCharType="begin"/>
            </w:r>
            <w:r w:rsidR="00CC15B8">
              <w:rPr>
                <w:noProof/>
                <w:webHidden/>
              </w:rPr>
              <w:instrText xml:space="preserve"> PAGEREF _Toc533073501 \h </w:instrText>
            </w:r>
            <w:r w:rsidR="00CC15B8">
              <w:rPr>
                <w:noProof/>
                <w:webHidden/>
              </w:rPr>
            </w:r>
            <w:r w:rsidR="00CC15B8">
              <w:rPr>
                <w:noProof/>
                <w:webHidden/>
              </w:rPr>
              <w:fldChar w:fldCharType="separate"/>
            </w:r>
            <w:r w:rsidR="009A2669">
              <w:rPr>
                <w:noProof/>
                <w:webHidden/>
              </w:rPr>
              <w:t>7</w:t>
            </w:r>
            <w:r w:rsidR="00CC15B8">
              <w:rPr>
                <w:noProof/>
                <w:webHidden/>
              </w:rPr>
              <w:fldChar w:fldCharType="end"/>
            </w:r>
          </w:hyperlink>
        </w:p>
        <w:p w14:paraId="213332D6" w14:textId="77777777" w:rsidR="00CC15B8" w:rsidRDefault="00407C49">
          <w:pPr>
            <w:pStyle w:val="TOC1"/>
            <w:tabs>
              <w:tab w:val="right" w:leader="dot" w:pos="9350"/>
            </w:tabs>
            <w:rPr>
              <w:rFonts w:eastAsiaTheme="minorEastAsia"/>
              <w:noProof/>
            </w:rPr>
          </w:pPr>
          <w:hyperlink w:anchor="_Toc533073502" w:history="1">
            <w:r w:rsidR="00CC15B8" w:rsidRPr="005F103C">
              <w:rPr>
                <w:rStyle w:val="Hyperlink"/>
                <w:noProof/>
              </w:rPr>
              <w:t>Criteria Ratings</w:t>
            </w:r>
            <w:r w:rsidR="00CC15B8">
              <w:rPr>
                <w:noProof/>
                <w:webHidden/>
              </w:rPr>
              <w:tab/>
            </w:r>
            <w:r w:rsidR="00CC15B8">
              <w:rPr>
                <w:noProof/>
                <w:webHidden/>
              </w:rPr>
              <w:fldChar w:fldCharType="begin"/>
            </w:r>
            <w:r w:rsidR="00CC15B8">
              <w:rPr>
                <w:noProof/>
                <w:webHidden/>
              </w:rPr>
              <w:instrText xml:space="preserve"> PAGEREF _Toc533073502 \h </w:instrText>
            </w:r>
            <w:r w:rsidR="00CC15B8">
              <w:rPr>
                <w:noProof/>
                <w:webHidden/>
              </w:rPr>
            </w:r>
            <w:r w:rsidR="00CC15B8">
              <w:rPr>
                <w:noProof/>
                <w:webHidden/>
              </w:rPr>
              <w:fldChar w:fldCharType="separate"/>
            </w:r>
            <w:r w:rsidR="009A2669">
              <w:rPr>
                <w:noProof/>
                <w:webHidden/>
              </w:rPr>
              <w:t>9</w:t>
            </w:r>
            <w:r w:rsidR="00CC15B8">
              <w:rPr>
                <w:noProof/>
                <w:webHidden/>
              </w:rPr>
              <w:fldChar w:fldCharType="end"/>
            </w:r>
          </w:hyperlink>
        </w:p>
        <w:p w14:paraId="44320F36" w14:textId="77777777" w:rsidR="00CC15B8" w:rsidRDefault="00407C49">
          <w:pPr>
            <w:pStyle w:val="TOC2"/>
            <w:tabs>
              <w:tab w:val="right" w:leader="dot" w:pos="9350"/>
            </w:tabs>
            <w:rPr>
              <w:rFonts w:eastAsiaTheme="minorEastAsia"/>
              <w:noProof/>
            </w:rPr>
          </w:pPr>
          <w:hyperlink w:anchor="_Toc533073503" w:history="1">
            <w:r w:rsidR="00CC15B8" w:rsidRPr="005F103C">
              <w:rPr>
                <w:rStyle w:val="Hyperlink"/>
                <w:noProof/>
              </w:rPr>
              <w:t>Diversity Criteria</w:t>
            </w:r>
            <w:r w:rsidR="00CC15B8">
              <w:rPr>
                <w:noProof/>
                <w:webHidden/>
              </w:rPr>
              <w:tab/>
            </w:r>
            <w:r w:rsidR="00CC15B8">
              <w:rPr>
                <w:noProof/>
                <w:webHidden/>
              </w:rPr>
              <w:fldChar w:fldCharType="begin"/>
            </w:r>
            <w:r w:rsidR="00CC15B8">
              <w:rPr>
                <w:noProof/>
                <w:webHidden/>
              </w:rPr>
              <w:instrText xml:space="preserve"> PAGEREF _Toc533073503 \h </w:instrText>
            </w:r>
            <w:r w:rsidR="00CC15B8">
              <w:rPr>
                <w:noProof/>
                <w:webHidden/>
              </w:rPr>
            </w:r>
            <w:r w:rsidR="00CC15B8">
              <w:rPr>
                <w:noProof/>
                <w:webHidden/>
              </w:rPr>
              <w:fldChar w:fldCharType="separate"/>
            </w:r>
            <w:r w:rsidR="009A2669">
              <w:rPr>
                <w:noProof/>
                <w:webHidden/>
              </w:rPr>
              <w:t>11</w:t>
            </w:r>
            <w:r w:rsidR="00CC15B8">
              <w:rPr>
                <w:noProof/>
                <w:webHidden/>
              </w:rPr>
              <w:fldChar w:fldCharType="end"/>
            </w:r>
          </w:hyperlink>
        </w:p>
        <w:p w14:paraId="4F7E71CB" w14:textId="77777777" w:rsidR="00CC15B8" w:rsidRDefault="00407C49">
          <w:pPr>
            <w:pStyle w:val="TOC2"/>
            <w:tabs>
              <w:tab w:val="right" w:leader="dot" w:pos="9350"/>
            </w:tabs>
            <w:rPr>
              <w:rFonts w:eastAsiaTheme="minorEastAsia"/>
              <w:noProof/>
            </w:rPr>
          </w:pPr>
          <w:hyperlink w:anchor="_Toc533073504" w:history="1">
            <w:r w:rsidR="00CC15B8" w:rsidRPr="005F103C">
              <w:rPr>
                <w:rStyle w:val="Hyperlink"/>
                <w:noProof/>
              </w:rPr>
              <w:t>Commendations</w:t>
            </w:r>
            <w:r w:rsidR="00CC15B8">
              <w:rPr>
                <w:noProof/>
                <w:webHidden/>
              </w:rPr>
              <w:tab/>
            </w:r>
            <w:r w:rsidR="00CC15B8">
              <w:rPr>
                <w:noProof/>
                <w:webHidden/>
              </w:rPr>
              <w:fldChar w:fldCharType="begin"/>
            </w:r>
            <w:r w:rsidR="00CC15B8">
              <w:rPr>
                <w:noProof/>
                <w:webHidden/>
              </w:rPr>
              <w:instrText xml:space="preserve"> PAGEREF _Toc533073504 \h </w:instrText>
            </w:r>
            <w:r w:rsidR="00CC15B8">
              <w:rPr>
                <w:noProof/>
                <w:webHidden/>
              </w:rPr>
            </w:r>
            <w:r w:rsidR="00CC15B8">
              <w:rPr>
                <w:noProof/>
                <w:webHidden/>
              </w:rPr>
              <w:fldChar w:fldCharType="separate"/>
            </w:r>
            <w:r w:rsidR="009A2669">
              <w:rPr>
                <w:noProof/>
                <w:webHidden/>
              </w:rPr>
              <w:t>12</w:t>
            </w:r>
            <w:r w:rsidR="00CC15B8">
              <w:rPr>
                <w:noProof/>
                <w:webHidden/>
              </w:rPr>
              <w:fldChar w:fldCharType="end"/>
            </w:r>
          </w:hyperlink>
        </w:p>
        <w:p w14:paraId="40E05728" w14:textId="77777777" w:rsidR="00CC15B8" w:rsidRDefault="00407C49">
          <w:pPr>
            <w:pStyle w:val="TOC1"/>
            <w:tabs>
              <w:tab w:val="right" w:leader="dot" w:pos="9350"/>
            </w:tabs>
            <w:rPr>
              <w:rFonts w:eastAsiaTheme="minorEastAsia"/>
              <w:noProof/>
            </w:rPr>
          </w:pPr>
          <w:hyperlink w:anchor="_Toc533073505" w:history="1">
            <w:r w:rsidR="00CC15B8" w:rsidRPr="005F103C">
              <w:rPr>
                <w:rStyle w:val="Hyperlink"/>
                <w:noProof/>
              </w:rPr>
              <w:t>Evaluation of the Consistency, Efficacy, and Efficiency of the Formal Review Process</w:t>
            </w:r>
            <w:r w:rsidR="00CC15B8">
              <w:rPr>
                <w:noProof/>
                <w:webHidden/>
              </w:rPr>
              <w:tab/>
            </w:r>
            <w:r w:rsidR="00CC15B8">
              <w:rPr>
                <w:noProof/>
                <w:webHidden/>
              </w:rPr>
              <w:fldChar w:fldCharType="begin"/>
            </w:r>
            <w:r w:rsidR="00CC15B8">
              <w:rPr>
                <w:noProof/>
                <w:webHidden/>
              </w:rPr>
              <w:instrText xml:space="preserve"> PAGEREF _Toc533073505 \h </w:instrText>
            </w:r>
            <w:r w:rsidR="00CC15B8">
              <w:rPr>
                <w:noProof/>
                <w:webHidden/>
              </w:rPr>
            </w:r>
            <w:r w:rsidR="00CC15B8">
              <w:rPr>
                <w:noProof/>
                <w:webHidden/>
              </w:rPr>
              <w:fldChar w:fldCharType="separate"/>
            </w:r>
            <w:r w:rsidR="009A2669">
              <w:rPr>
                <w:noProof/>
                <w:webHidden/>
              </w:rPr>
              <w:t>12</w:t>
            </w:r>
            <w:r w:rsidR="00CC15B8">
              <w:rPr>
                <w:noProof/>
                <w:webHidden/>
              </w:rPr>
              <w:fldChar w:fldCharType="end"/>
            </w:r>
          </w:hyperlink>
        </w:p>
        <w:p w14:paraId="797C6E46" w14:textId="77777777" w:rsidR="00CC15B8" w:rsidRDefault="00407C49">
          <w:pPr>
            <w:pStyle w:val="TOC2"/>
            <w:tabs>
              <w:tab w:val="right" w:leader="dot" w:pos="9350"/>
            </w:tabs>
            <w:rPr>
              <w:rFonts w:eastAsiaTheme="minorEastAsia"/>
              <w:noProof/>
            </w:rPr>
          </w:pPr>
          <w:hyperlink w:anchor="_Toc533073506" w:history="1">
            <w:r w:rsidR="00CC15B8" w:rsidRPr="005F103C">
              <w:rPr>
                <w:rStyle w:val="Hyperlink"/>
                <w:noProof/>
              </w:rPr>
              <w:t>Formal Review Consistency</w:t>
            </w:r>
            <w:r w:rsidR="00CC15B8">
              <w:rPr>
                <w:noProof/>
                <w:webHidden/>
              </w:rPr>
              <w:tab/>
            </w:r>
            <w:r w:rsidR="00CC15B8">
              <w:rPr>
                <w:noProof/>
                <w:webHidden/>
              </w:rPr>
              <w:fldChar w:fldCharType="begin"/>
            </w:r>
            <w:r w:rsidR="00CC15B8">
              <w:rPr>
                <w:noProof/>
                <w:webHidden/>
              </w:rPr>
              <w:instrText xml:space="preserve"> PAGEREF _Toc533073506 \h </w:instrText>
            </w:r>
            <w:r w:rsidR="00CC15B8">
              <w:rPr>
                <w:noProof/>
                <w:webHidden/>
              </w:rPr>
            </w:r>
            <w:r w:rsidR="00CC15B8">
              <w:rPr>
                <w:noProof/>
                <w:webHidden/>
              </w:rPr>
              <w:fldChar w:fldCharType="separate"/>
            </w:r>
            <w:r w:rsidR="009A2669">
              <w:rPr>
                <w:noProof/>
                <w:webHidden/>
              </w:rPr>
              <w:t>13</w:t>
            </w:r>
            <w:r w:rsidR="00CC15B8">
              <w:rPr>
                <w:noProof/>
                <w:webHidden/>
              </w:rPr>
              <w:fldChar w:fldCharType="end"/>
            </w:r>
          </w:hyperlink>
        </w:p>
        <w:p w14:paraId="359F5DFB" w14:textId="77777777" w:rsidR="00CC15B8" w:rsidRDefault="00407C49">
          <w:pPr>
            <w:pStyle w:val="TOC2"/>
            <w:tabs>
              <w:tab w:val="right" w:leader="dot" w:pos="9350"/>
            </w:tabs>
            <w:rPr>
              <w:rFonts w:eastAsiaTheme="minorEastAsia"/>
              <w:noProof/>
            </w:rPr>
          </w:pPr>
          <w:hyperlink w:anchor="_Toc533073507" w:history="1">
            <w:r w:rsidR="00CC15B8" w:rsidRPr="005F103C">
              <w:rPr>
                <w:rStyle w:val="Hyperlink"/>
                <w:noProof/>
              </w:rPr>
              <w:t>Formal Review Efficacy</w:t>
            </w:r>
            <w:r w:rsidR="00CC15B8">
              <w:rPr>
                <w:noProof/>
                <w:webHidden/>
              </w:rPr>
              <w:tab/>
            </w:r>
            <w:r w:rsidR="00CC15B8">
              <w:rPr>
                <w:noProof/>
                <w:webHidden/>
              </w:rPr>
              <w:fldChar w:fldCharType="begin"/>
            </w:r>
            <w:r w:rsidR="00CC15B8">
              <w:rPr>
                <w:noProof/>
                <w:webHidden/>
              </w:rPr>
              <w:instrText xml:space="preserve"> PAGEREF _Toc533073507 \h </w:instrText>
            </w:r>
            <w:r w:rsidR="00CC15B8">
              <w:rPr>
                <w:noProof/>
                <w:webHidden/>
              </w:rPr>
            </w:r>
            <w:r w:rsidR="00CC15B8">
              <w:rPr>
                <w:noProof/>
                <w:webHidden/>
              </w:rPr>
              <w:fldChar w:fldCharType="separate"/>
            </w:r>
            <w:r w:rsidR="009A2669">
              <w:rPr>
                <w:noProof/>
                <w:webHidden/>
              </w:rPr>
              <w:t>14</w:t>
            </w:r>
            <w:r w:rsidR="00CC15B8">
              <w:rPr>
                <w:noProof/>
                <w:webHidden/>
              </w:rPr>
              <w:fldChar w:fldCharType="end"/>
            </w:r>
          </w:hyperlink>
        </w:p>
        <w:p w14:paraId="3DE5250D" w14:textId="77777777" w:rsidR="00CC15B8" w:rsidRDefault="00407C49">
          <w:pPr>
            <w:pStyle w:val="TOC2"/>
            <w:tabs>
              <w:tab w:val="right" w:leader="dot" w:pos="9350"/>
            </w:tabs>
            <w:rPr>
              <w:rFonts w:eastAsiaTheme="minorEastAsia"/>
              <w:noProof/>
            </w:rPr>
          </w:pPr>
          <w:hyperlink w:anchor="_Toc533073508" w:history="1">
            <w:r w:rsidR="00CC15B8" w:rsidRPr="005F103C">
              <w:rPr>
                <w:rStyle w:val="Hyperlink"/>
                <w:noProof/>
              </w:rPr>
              <w:t>Time &amp; Cost Estimates</w:t>
            </w:r>
            <w:r w:rsidR="00CC15B8">
              <w:rPr>
                <w:noProof/>
                <w:webHidden/>
              </w:rPr>
              <w:tab/>
            </w:r>
            <w:r w:rsidR="00CC15B8">
              <w:rPr>
                <w:noProof/>
                <w:webHidden/>
              </w:rPr>
              <w:fldChar w:fldCharType="begin"/>
            </w:r>
            <w:r w:rsidR="00CC15B8">
              <w:rPr>
                <w:noProof/>
                <w:webHidden/>
              </w:rPr>
              <w:instrText xml:space="preserve"> PAGEREF _Toc533073508 \h </w:instrText>
            </w:r>
            <w:r w:rsidR="00CC15B8">
              <w:rPr>
                <w:noProof/>
                <w:webHidden/>
              </w:rPr>
            </w:r>
            <w:r w:rsidR="00CC15B8">
              <w:rPr>
                <w:noProof/>
                <w:webHidden/>
              </w:rPr>
              <w:fldChar w:fldCharType="separate"/>
            </w:r>
            <w:r w:rsidR="009A2669">
              <w:rPr>
                <w:noProof/>
                <w:webHidden/>
              </w:rPr>
              <w:t>15</w:t>
            </w:r>
            <w:r w:rsidR="00CC15B8">
              <w:rPr>
                <w:noProof/>
                <w:webHidden/>
              </w:rPr>
              <w:fldChar w:fldCharType="end"/>
            </w:r>
          </w:hyperlink>
        </w:p>
        <w:p w14:paraId="1ACB2669" w14:textId="77777777" w:rsidR="00CC15B8" w:rsidRDefault="00407C49">
          <w:pPr>
            <w:pStyle w:val="TOC2"/>
            <w:tabs>
              <w:tab w:val="right" w:leader="dot" w:pos="9350"/>
            </w:tabs>
            <w:rPr>
              <w:rFonts w:eastAsiaTheme="minorEastAsia"/>
              <w:noProof/>
            </w:rPr>
          </w:pPr>
          <w:hyperlink w:anchor="_Toc533073509" w:history="1">
            <w:r w:rsidR="00CC15B8" w:rsidRPr="005F103C">
              <w:rPr>
                <w:rStyle w:val="Hyperlink"/>
                <w:noProof/>
              </w:rPr>
              <w:t>Formal Review Informing Continuous Improvement Efforts</w:t>
            </w:r>
            <w:r w:rsidR="00CC15B8">
              <w:rPr>
                <w:noProof/>
                <w:webHidden/>
              </w:rPr>
              <w:tab/>
            </w:r>
            <w:r w:rsidR="00CC15B8">
              <w:rPr>
                <w:noProof/>
                <w:webHidden/>
              </w:rPr>
              <w:fldChar w:fldCharType="begin"/>
            </w:r>
            <w:r w:rsidR="00CC15B8">
              <w:rPr>
                <w:noProof/>
                <w:webHidden/>
              </w:rPr>
              <w:instrText xml:space="preserve"> PAGEREF _Toc533073509 \h </w:instrText>
            </w:r>
            <w:r w:rsidR="00CC15B8">
              <w:rPr>
                <w:noProof/>
                <w:webHidden/>
              </w:rPr>
            </w:r>
            <w:r w:rsidR="00CC15B8">
              <w:rPr>
                <w:noProof/>
                <w:webHidden/>
              </w:rPr>
              <w:fldChar w:fldCharType="separate"/>
            </w:r>
            <w:r w:rsidR="009A2669">
              <w:rPr>
                <w:noProof/>
                <w:webHidden/>
              </w:rPr>
              <w:t>15</w:t>
            </w:r>
            <w:r w:rsidR="00CC15B8">
              <w:rPr>
                <w:noProof/>
                <w:webHidden/>
              </w:rPr>
              <w:fldChar w:fldCharType="end"/>
            </w:r>
          </w:hyperlink>
        </w:p>
        <w:p w14:paraId="7E8D56F1" w14:textId="77777777" w:rsidR="00CC15B8" w:rsidRDefault="00407C49">
          <w:pPr>
            <w:pStyle w:val="TOC1"/>
            <w:tabs>
              <w:tab w:val="right" w:leader="dot" w:pos="9350"/>
            </w:tabs>
            <w:rPr>
              <w:rFonts w:eastAsiaTheme="minorEastAsia"/>
              <w:noProof/>
            </w:rPr>
          </w:pPr>
          <w:hyperlink w:anchor="_Toc533073510" w:history="1">
            <w:r w:rsidR="00CC15B8" w:rsidRPr="005F103C">
              <w:rPr>
                <w:rStyle w:val="Hyperlink"/>
                <w:noProof/>
              </w:rPr>
              <w:t>Appendix A: Full List of Sponsoring Organizations Reviewed, 2014-2018</w:t>
            </w:r>
            <w:r w:rsidR="00CC15B8">
              <w:rPr>
                <w:noProof/>
                <w:webHidden/>
              </w:rPr>
              <w:tab/>
            </w:r>
            <w:r w:rsidR="00CC15B8">
              <w:rPr>
                <w:noProof/>
                <w:webHidden/>
              </w:rPr>
              <w:fldChar w:fldCharType="begin"/>
            </w:r>
            <w:r w:rsidR="00CC15B8">
              <w:rPr>
                <w:noProof/>
                <w:webHidden/>
              </w:rPr>
              <w:instrText xml:space="preserve"> PAGEREF _Toc533073510 \h </w:instrText>
            </w:r>
            <w:r w:rsidR="00CC15B8">
              <w:rPr>
                <w:noProof/>
                <w:webHidden/>
              </w:rPr>
            </w:r>
            <w:r w:rsidR="00CC15B8">
              <w:rPr>
                <w:noProof/>
                <w:webHidden/>
              </w:rPr>
              <w:fldChar w:fldCharType="separate"/>
            </w:r>
            <w:r w:rsidR="009A2669">
              <w:rPr>
                <w:noProof/>
                <w:webHidden/>
              </w:rPr>
              <w:t>17</w:t>
            </w:r>
            <w:r w:rsidR="00CC15B8">
              <w:rPr>
                <w:noProof/>
                <w:webHidden/>
              </w:rPr>
              <w:fldChar w:fldCharType="end"/>
            </w:r>
          </w:hyperlink>
        </w:p>
        <w:p w14:paraId="0F4D62BA" w14:textId="77777777" w:rsidR="00180AEB" w:rsidRDefault="00180AEB">
          <w:r>
            <w:rPr>
              <w:b/>
              <w:bCs/>
              <w:noProof/>
            </w:rPr>
            <w:fldChar w:fldCharType="end"/>
          </w:r>
        </w:p>
      </w:sdtContent>
    </w:sdt>
    <w:p w14:paraId="26D120C2" w14:textId="77777777" w:rsidR="00180AEB" w:rsidRDefault="00180AEB">
      <w:r>
        <w:br w:type="page"/>
      </w:r>
    </w:p>
    <w:p w14:paraId="3FE28C3E" w14:textId="77777777" w:rsidR="00254ADD" w:rsidRDefault="00254ADD" w:rsidP="00180AEB">
      <w:pPr>
        <w:pStyle w:val="Heading1"/>
      </w:pPr>
      <w:bookmarkStart w:id="3" w:name="_Toc533073497"/>
      <w:r>
        <w:lastRenderedPageBreak/>
        <w:t>Background Info</w:t>
      </w:r>
      <w:r w:rsidR="00180AEB">
        <w:t>rmation &amp; Context</w:t>
      </w:r>
      <w:bookmarkEnd w:id="3"/>
    </w:p>
    <w:p w14:paraId="712AF139" w14:textId="77777777" w:rsidR="00B25EC9" w:rsidRDefault="00B25EC9" w:rsidP="00B25EC9">
      <w:r>
        <w:t xml:space="preserve">Given the range and scale of Sponsoring Organizations (SOs) that have undergone review over the past four years, the focus of this year’s Culminating Report is on better understanding trends across the four years of this review process. </w:t>
      </w:r>
    </w:p>
    <w:p w14:paraId="17751B95" w14:textId="77777777" w:rsidR="00254ADD" w:rsidRDefault="00797C08" w:rsidP="00797C08">
      <w:r>
        <w:t xml:space="preserve">Forty-four </w:t>
      </w:r>
      <w:r w:rsidR="003757BA">
        <w:t>SOs</w:t>
      </w:r>
      <w:r>
        <w:t xml:space="preserve"> were scheduled to undergo formal review between 2014-</w:t>
      </w:r>
      <w:r w:rsidR="00534905">
        <w:t>20</w:t>
      </w:r>
      <w:r>
        <w:t>18. Eleven of these SOs chose to expire and no longer endorse candidates for licensure in Massachusetts</w:t>
      </w:r>
      <w:r w:rsidR="003757BA">
        <w:t>; t</w:t>
      </w:r>
      <w:r w:rsidR="00C56B57">
        <w:t xml:space="preserve">he remaining 33 SOs underwent review. One of these </w:t>
      </w:r>
      <w:r w:rsidR="00CC15B8">
        <w:t>SOs</w:t>
      </w:r>
      <w:r w:rsidR="00C56B57">
        <w:t xml:space="preserve"> underwent review in both 2014-</w:t>
      </w:r>
      <w:r w:rsidR="00CC15B8">
        <w:t>20</w:t>
      </w:r>
      <w:r w:rsidR="00C56B57">
        <w:t>15 and 2017-</w:t>
      </w:r>
      <w:r w:rsidR="00CC15B8">
        <w:t>20</w:t>
      </w:r>
      <w:r w:rsidR="00C56B57">
        <w:t xml:space="preserve">18 as a result of their </w:t>
      </w:r>
      <w:r w:rsidR="003E775F">
        <w:t xml:space="preserve">initial </w:t>
      </w:r>
      <w:r w:rsidR="00C56B57">
        <w:t>Approval with Conditions</w:t>
      </w:r>
      <w:r w:rsidR="003E775F">
        <w:t xml:space="preserve"> designation</w:t>
      </w:r>
      <w:r w:rsidR="00C56B57">
        <w:t xml:space="preserve">. </w:t>
      </w:r>
    </w:p>
    <w:p w14:paraId="02AFF0FC" w14:textId="77777777" w:rsidR="00D72EE8" w:rsidRDefault="00C56B57" w:rsidP="00C56B57">
      <w:r>
        <w:t>These 33 SOs represent a variety of types of organizations, including public and private institutions of higher education, alternative programs, and other organizations. They range in size</w:t>
      </w:r>
      <w:r w:rsidR="003E775F">
        <w:t xml:space="preserve">, from offering </w:t>
      </w:r>
      <w:r>
        <w:t xml:space="preserve">one </w:t>
      </w:r>
      <w:r w:rsidR="003757BA">
        <w:t xml:space="preserve">licensure </w:t>
      </w:r>
      <w:r>
        <w:t xml:space="preserve">program to 58 different </w:t>
      </w:r>
      <w:r w:rsidR="003757BA">
        <w:t xml:space="preserve">licensure </w:t>
      </w:r>
      <w:r>
        <w:t xml:space="preserve">programs, and </w:t>
      </w:r>
      <w:r w:rsidR="003E775F">
        <w:t xml:space="preserve">graduating </w:t>
      </w:r>
      <w:r>
        <w:t>an average of three to</w:t>
      </w:r>
      <w:r w:rsidR="003E775F">
        <w:t xml:space="preserve"> over </w:t>
      </w:r>
      <w:r>
        <w:t xml:space="preserve">540 completers each year. Across these SOs, on average, 2723 completers are endorsed for licensure each year, representing 53 percent of the total number of completers in the state each year (average 5113 across 2013-2016). On average, </w:t>
      </w:r>
      <w:r w:rsidR="00A52F8A">
        <w:t>68</w:t>
      </w:r>
      <w:r>
        <w:t xml:space="preserve"> percent of completers at these SOs are employed in Massachusetts each year. See </w:t>
      </w:r>
      <w:hyperlink w:anchor="_Appendix_A:_Full" w:history="1">
        <w:r w:rsidRPr="00C56B57">
          <w:rPr>
            <w:rStyle w:val="Hyperlink"/>
          </w:rPr>
          <w:t>Appendix A</w:t>
        </w:r>
      </w:hyperlink>
      <w:r>
        <w:t xml:space="preserve"> for a full list of these SOs, including their number of completers and employment data.</w:t>
      </w:r>
    </w:p>
    <w:p w14:paraId="32BC9C75" w14:textId="77777777" w:rsidR="00E94E71" w:rsidRDefault="00254ADD" w:rsidP="00C56B57">
      <w:pPr>
        <w:pStyle w:val="Heading2"/>
      </w:pPr>
      <w:bookmarkStart w:id="4" w:name="_Toc533073498"/>
      <w:r>
        <w:t>Needs Assessments</w:t>
      </w:r>
      <w:bookmarkEnd w:id="4"/>
    </w:p>
    <w:p w14:paraId="08CB1518" w14:textId="77777777" w:rsidR="00E94E71" w:rsidRDefault="003E775F" w:rsidP="00E94E71">
      <w:r>
        <w:t xml:space="preserve">The first step in the Formal Review process is the Needs Assessment. This phase is specifically designed for </w:t>
      </w:r>
      <w:r w:rsidR="00E94E71">
        <w:t>programs that have had low completion or zero completion over the previous three years</w:t>
      </w:r>
      <w:r>
        <w:t>,</w:t>
      </w:r>
      <w:r w:rsidR="00E94E71">
        <w:t xml:space="preserve"> or</w:t>
      </w:r>
      <w:r w:rsidR="00B25EC9">
        <w:t xml:space="preserve"> for</w:t>
      </w:r>
      <w:r w:rsidR="00E94E71">
        <w:t xml:space="preserve"> new programs being submitted by a SO for state approval. During this phase, the SO must demonstrate state-specific need for the program and its capacity to meet those needs. The Needs Assessment ensures that both the SO’s resources and </w:t>
      </w:r>
      <w:r w:rsidR="00CC15B8">
        <w:t>D</w:t>
      </w:r>
      <w:r w:rsidR="00E94E71">
        <w:t>ESE’s review are focused on the programs that will continue to serve the Commonwealth’s need for effective educators.</w:t>
      </w:r>
      <w:r w:rsidR="00E94E71">
        <w:rPr>
          <w:rStyle w:val="FootnoteReference"/>
        </w:rPr>
        <w:footnoteReference w:id="1"/>
      </w:r>
    </w:p>
    <w:tbl>
      <w:tblPr>
        <w:tblW w:w="0" w:type="auto"/>
        <w:tblLook w:val="04A0" w:firstRow="1" w:lastRow="0" w:firstColumn="1" w:lastColumn="0" w:noHBand="0" w:noVBand="1"/>
      </w:tblPr>
      <w:tblGrid>
        <w:gridCol w:w="1095"/>
        <w:gridCol w:w="8265"/>
      </w:tblGrid>
      <w:tr w:rsidR="00E94E71" w14:paraId="7F267226" w14:textId="77777777" w:rsidTr="00DA6DB5">
        <w:trPr>
          <w:trHeight w:val="810"/>
        </w:trPr>
        <w:tc>
          <w:tcPr>
            <w:tcW w:w="1095" w:type="dxa"/>
            <w:vAlign w:val="center"/>
          </w:tcPr>
          <w:p w14:paraId="71F4E300" w14:textId="77777777" w:rsidR="00E94E71" w:rsidRDefault="00E94E71" w:rsidP="00BD7B85">
            <w:pPr>
              <w:spacing w:after="0"/>
            </w:pPr>
            <w:r>
              <w:rPr>
                <w:noProof/>
                <w:color w:val="538135"/>
                <w:lang w:eastAsia="zh-CN"/>
              </w:rPr>
              <w:drawing>
                <wp:inline distT="0" distB="0" distL="0" distR="0" wp14:anchorId="7DA2CE83" wp14:editId="69D96EA6">
                  <wp:extent cx="501650" cy="444500"/>
                  <wp:effectExtent l="0" t="0" r="0" b="0"/>
                  <wp:docPr id="4" name="Picture 288"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ata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650" cy="444500"/>
                          </a:xfrm>
                          <a:prstGeom prst="rect">
                            <a:avLst/>
                          </a:prstGeom>
                          <a:noFill/>
                          <a:ln>
                            <a:noFill/>
                          </a:ln>
                        </pic:spPr>
                      </pic:pic>
                    </a:graphicData>
                  </a:graphic>
                </wp:inline>
              </w:drawing>
            </w:r>
          </w:p>
        </w:tc>
        <w:tc>
          <w:tcPr>
            <w:tcW w:w="8265" w:type="dxa"/>
            <w:shd w:val="clear" w:color="auto" w:fill="5B9BD5"/>
            <w:vAlign w:val="center"/>
          </w:tcPr>
          <w:p w14:paraId="5AB57A6C" w14:textId="77777777" w:rsidR="00E94E71" w:rsidRPr="003D16FA" w:rsidRDefault="00E94E71">
            <w:pPr>
              <w:spacing w:after="0"/>
              <w:rPr>
                <w:b/>
                <w:color w:val="FFFFFF"/>
              </w:rPr>
            </w:pPr>
            <w:r>
              <w:rPr>
                <w:b/>
                <w:color w:val="FFFFFF"/>
              </w:rPr>
              <w:t>The Needs Assessment phase le</w:t>
            </w:r>
            <w:r w:rsidR="00271704">
              <w:rPr>
                <w:b/>
                <w:color w:val="FFFFFF"/>
              </w:rPr>
              <w:t>d</w:t>
            </w:r>
            <w:r>
              <w:rPr>
                <w:b/>
                <w:color w:val="FFFFFF"/>
              </w:rPr>
              <w:t xml:space="preserve"> to a 38% reduction in the number of programs (from 1145 to 707). </w:t>
            </w:r>
          </w:p>
        </w:tc>
      </w:tr>
    </w:tbl>
    <w:p w14:paraId="00F611BF" w14:textId="77777777" w:rsidR="00DA6DB5" w:rsidRDefault="00DA6DB5" w:rsidP="00DA6DB5">
      <w:pPr>
        <w:pStyle w:val="Caption"/>
        <w:keepNext/>
      </w:pPr>
      <w:r>
        <w:lastRenderedPageBreak/>
        <w:t xml:space="preserve">Chart </w:t>
      </w:r>
      <w:r w:rsidR="00B6785B">
        <w:rPr>
          <w:noProof/>
        </w:rPr>
        <w:fldChar w:fldCharType="begin"/>
      </w:r>
      <w:r w:rsidR="00B6785B">
        <w:rPr>
          <w:noProof/>
        </w:rPr>
        <w:instrText xml:space="preserve"> SEQ Chart \* ARABIC </w:instrText>
      </w:r>
      <w:r w:rsidR="00B6785B">
        <w:rPr>
          <w:noProof/>
        </w:rPr>
        <w:fldChar w:fldCharType="separate"/>
      </w:r>
      <w:r w:rsidR="009A2669">
        <w:rPr>
          <w:noProof/>
        </w:rPr>
        <w:t>1</w:t>
      </w:r>
      <w:r w:rsidR="00B6785B">
        <w:rPr>
          <w:noProof/>
        </w:rPr>
        <w:fldChar w:fldCharType="end"/>
      </w:r>
      <w:r>
        <w:t>: Number of Programs by Phase of Formal Review, 2014-2018</w:t>
      </w:r>
    </w:p>
    <w:p w14:paraId="7B137C43" w14:textId="77777777" w:rsidR="00DA6DB5" w:rsidRDefault="003E775F" w:rsidP="00E94E71">
      <w:r>
        <w:rPr>
          <w:noProof/>
          <w:lang w:eastAsia="zh-CN"/>
        </w:rPr>
        <w:drawing>
          <wp:anchor distT="0" distB="0" distL="114300" distR="114300" simplePos="0" relativeHeight="251658240" behindDoc="0" locked="0" layoutInCell="1" allowOverlap="1" wp14:anchorId="5576C845" wp14:editId="48EDE378">
            <wp:simplePos x="0" y="0"/>
            <wp:positionH relativeFrom="column">
              <wp:posOffset>-102870</wp:posOffset>
            </wp:positionH>
            <wp:positionV relativeFrom="paragraph">
              <wp:posOffset>148369</wp:posOffset>
            </wp:positionV>
            <wp:extent cx="4155476" cy="2476500"/>
            <wp:effectExtent l="0" t="0" r="0" b="0"/>
            <wp:wrapSquare wrapText="bothSides"/>
            <wp:docPr id="2" name="Picture 2" descr="Chart 1: Number of Program by Phase of Formal Review,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5476" cy="2476500"/>
                    </a:xfrm>
                    <a:prstGeom prst="rect">
                      <a:avLst/>
                    </a:prstGeom>
                    <a:noFill/>
                  </pic:spPr>
                </pic:pic>
              </a:graphicData>
            </a:graphic>
          </wp:anchor>
        </w:drawing>
      </w:r>
      <w:r>
        <w:t xml:space="preserve">Between 2014 and 2018, </w:t>
      </w:r>
      <w:r w:rsidR="00DA6DB5" w:rsidRPr="00DA6DB5">
        <w:t xml:space="preserve">SOs </w:t>
      </w:r>
      <w:r w:rsidR="00DA6DB5">
        <w:t>opted</w:t>
      </w:r>
      <w:r w:rsidR="00DA6DB5" w:rsidRPr="00DA6DB5">
        <w:t xml:space="preserve"> to expire 346</w:t>
      </w:r>
      <w:r w:rsidR="00DA6DB5">
        <w:t xml:space="preserve"> low or zero completion programs</w:t>
      </w:r>
      <w:r w:rsidR="00DA6DB5" w:rsidRPr="00DA6DB5">
        <w:t xml:space="preserve"> prior to the Needs Assessment. </w:t>
      </w:r>
      <w:r w:rsidR="00DA6DB5">
        <w:t>Of the remaining 92 programs</w:t>
      </w:r>
      <w:r w:rsidR="00480B40">
        <w:t xml:space="preserve"> with low or zero completion</w:t>
      </w:r>
      <w:r w:rsidR="00DA6DB5">
        <w:t>, 88 percent demonstrated need</w:t>
      </w:r>
      <w:r w:rsidR="00480B40">
        <w:t xml:space="preserve"> to continue operating</w:t>
      </w:r>
      <w:r w:rsidR="00DA6DB5">
        <w:t>. The percent of programs demonstrating need through the Needs Assessment has risen over the four years of formal review, from 82 percent in 2014-</w:t>
      </w:r>
      <w:r w:rsidR="00CC15B8">
        <w:t>20</w:t>
      </w:r>
      <w:r w:rsidR="00DA6DB5">
        <w:t>15 to 94 percent in 2017-</w:t>
      </w:r>
      <w:r w:rsidR="00CC15B8">
        <w:t>20</w:t>
      </w:r>
      <w:r w:rsidR="00DA6DB5">
        <w:t xml:space="preserve">18. </w:t>
      </w:r>
    </w:p>
    <w:p w14:paraId="3593192B" w14:textId="77777777" w:rsidR="00E94E71" w:rsidRPr="00E94E71" w:rsidRDefault="00DA6DB5" w:rsidP="00E94E71">
      <w:r>
        <w:t xml:space="preserve">DESE </w:t>
      </w:r>
      <w:r w:rsidR="003E775F">
        <w:t xml:space="preserve">also </w:t>
      </w:r>
      <w:r>
        <w:t xml:space="preserve">approved 19 new </w:t>
      </w:r>
      <w:r w:rsidR="00480B40">
        <w:t xml:space="preserve">licensure </w:t>
      </w:r>
      <w:r>
        <w:t xml:space="preserve">programs during the 2014-2018 formal reviews, resulting in a total of 726 programs approved as part of </w:t>
      </w:r>
      <w:r w:rsidR="00170093">
        <w:t>formal</w:t>
      </w:r>
      <w:r>
        <w:t xml:space="preserve"> review.</w:t>
      </w:r>
      <w:r w:rsidR="005258C3">
        <w:t xml:space="preserve"> </w:t>
      </w:r>
    </w:p>
    <w:p w14:paraId="67394B2E" w14:textId="77777777" w:rsidR="00F35244" w:rsidRPr="00180AEB" w:rsidRDefault="00454ABE" w:rsidP="00454ABE">
      <w:r>
        <w:t xml:space="preserve">In 2013, just 46 percent of the 1,719 initial licensure teacher programs approved to operate in Massachusetts were active. The purpose of the </w:t>
      </w:r>
      <w:r w:rsidR="00CC15B8">
        <w:t>N</w:t>
      </w:r>
      <w:r>
        <w:t xml:space="preserve">eeds </w:t>
      </w:r>
      <w:r w:rsidR="00CC15B8">
        <w:t>A</w:t>
      </w:r>
      <w:r>
        <w:t>ssessment process is to ensure DESE resources are used to review and approve only those programs that are going to actively recruit, enroll, and produce educators for the Commonwealth. The 38 percent reduction rate in the number of programs indicates that SOs are expiring a portion of those dormant programs, though it will remain important to vet low completer programs with a high bar to ensure SO and DESE resources are focused on active programs.</w:t>
      </w:r>
    </w:p>
    <w:p w14:paraId="1C060545" w14:textId="77777777" w:rsidR="00180AEB" w:rsidRDefault="00254ADD" w:rsidP="00180AEB">
      <w:pPr>
        <w:pStyle w:val="Heading1"/>
      </w:pPr>
      <w:bookmarkStart w:id="5" w:name="_Toc533073499"/>
      <w:r>
        <w:t xml:space="preserve">Overall </w:t>
      </w:r>
      <w:r w:rsidR="00B6785B">
        <w:t xml:space="preserve">Formal </w:t>
      </w:r>
      <w:r w:rsidR="00781AB0">
        <w:t xml:space="preserve">Review </w:t>
      </w:r>
      <w:r w:rsidR="00180AEB">
        <w:t>Determination Ratings</w:t>
      </w:r>
      <w:bookmarkEnd w:id="5"/>
      <w:r>
        <w:t xml:space="preserve"> </w:t>
      </w:r>
    </w:p>
    <w:p w14:paraId="2E04EE93" w14:textId="77777777" w:rsidR="007B750C" w:rsidRDefault="006E585A" w:rsidP="007B750C">
      <w:r>
        <w:t xml:space="preserve">Formal </w:t>
      </w:r>
      <w:r w:rsidR="007B750C">
        <w:t xml:space="preserve">review results in an approval determination for the </w:t>
      </w:r>
      <w:r w:rsidR="005E3AB9">
        <w:t>SO</w:t>
      </w:r>
      <w:r w:rsidR="007B750C">
        <w:t xml:space="preserve"> reflecting the cumulative impact of all judgements made throughout the review. From 2014-2016, the approval determinations were: Approved, Approved with Conditions, </w:t>
      </w:r>
      <w:r w:rsidR="005E3AB9">
        <w:t xml:space="preserve">and </w:t>
      </w:r>
      <w:r w:rsidR="007B750C">
        <w:t>Not Approved.</w:t>
      </w:r>
      <w:r w:rsidR="00CC15B8">
        <w:t xml:space="preserve"> To further differentiate performance within the Commonwealth, DESE </w:t>
      </w:r>
      <w:r w:rsidR="007B750C">
        <w:t xml:space="preserve">expanded the levels of approval in </w:t>
      </w:r>
      <w:r w:rsidR="00CC15B8">
        <w:t>2016.</w:t>
      </w:r>
      <w:r w:rsidR="007B750C">
        <w:t xml:space="preserve"> The updated approval determinations are: Approved with Distinction, Approved, Approved with Conditions, Probationary Approval, and Not Approved.</w:t>
      </w:r>
      <w:r w:rsidR="007B750C">
        <w:rPr>
          <w:rStyle w:val="FootnoteReference"/>
        </w:rPr>
        <w:footnoteReference w:id="2"/>
      </w:r>
      <w:r w:rsidR="00315E10">
        <w:t xml:space="preserve"> Since that change, four of the five approval status have been used: Approved with Distinction, Approved, Approved with Conditions, and Probationary Approval.</w:t>
      </w:r>
      <w:r w:rsidR="00454ABE">
        <w:t xml:space="preserve"> The range of approval statuses used signals that the formal review process effectively captures evidence </w:t>
      </w:r>
      <w:r w:rsidR="004D19CD">
        <w:t>and differentiates</w:t>
      </w:r>
      <w:r w:rsidR="00454ABE">
        <w:t xml:space="preserve"> the extent to which an SO is meeting state expectations</w:t>
      </w:r>
      <w:r w:rsidR="004D19CD">
        <w:t>.</w:t>
      </w:r>
    </w:p>
    <w:tbl>
      <w:tblPr>
        <w:tblW w:w="0" w:type="auto"/>
        <w:tblLook w:val="04A0" w:firstRow="1" w:lastRow="0" w:firstColumn="1" w:lastColumn="0" w:noHBand="0" w:noVBand="1"/>
      </w:tblPr>
      <w:tblGrid>
        <w:gridCol w:w="1095"/>
        <w:gridCol w:w="8265"/>
      </w:tblGrid>
      <w:tr w:rsidR="007B750C" w14:paraId="4512B0D1" w14:textId="77777777" w:rsidTr="00BD7B85">
        <w:trPr>
          <w:trHeight w:val="810"/>
        </w:trPr>
        <w:tc>
          <w:tcPr>
            <w:tcW w:w="1095" w:type="dxa"/>
            <w:vAlign w:val="center"/>
          </w:tcPr>
          <w:p w14:paraId="0E415453" w14:textId="77777777" w:rsidR="007B750C" w:rsidRDefault="007B750C" w:rsidP="00BD7B85">
            <w:pPr>
              <w:spacing w:after="0"/>
            </w:pPr>
            <w:r>
              <w:rPr>
                <w:noProof/>
                <w:color w:val="538135"/>
                <w:lang w:eastAsia="zh-CN"/>
              </w:rPr>
              <w:drawing>
                <wp:inline distT="0" distB="0" distL="0" distR="0" wp14:anchorId="693C5BB7" wp14:editId="4B97759D">
                  <wp:extent cx="501650" cy="444500"/>
                  <wp:effectExtent l="0" t="0" r="0" b="0"/>
                  <wp:docPr id="1" name="Picture 288"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ata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650" cy="444500"/>
                          </a:xfrm>
                          <a:prstGeom prst="rect">
                            <a:avLst/>
                          </a:prstGeom>
                          <a:noFill/>
                          <a:ln>
                            <a:noFill/>
                          </a:ln>
                        </pic:spPr>
                      </pic:pic>
                    </a:graphicData>
                  </a:graphic>
                </wp:inline>
              </w:drawing>
            </w:r>
          </w:p>
        </w:tc>
        <w:tc>
          <w:tcPr>
            <w:tcW w:w="8265" w:type="dxa"/>
            <w:shd w:val="clear" w:color="auto" w:fill="5B9BD5"/>
            <w:vAlign w:val="center"/>
          </w:tcPr>
          <w:p w14:paraId="7B4C9C3C" w14:textId="77777777" w:rsidR="007B750C" w:rsidRPr="003D16FA" w:rsidRDefault="007B750C">
            <w:pPr>
              <w:spacing w:after="0"/>
              <w:rPr>
                <w:b/>
                <w:color w:val="FFFFFF"/>
              </w:rPr>
            </w:pPr>
            <w:r>
              <w:rPr>
                <w:b/>
                <w:color w:val="FFFFFF"/>
              </w:rPr>
              <w:t xml:space="preserve">Of the 34 Sponsoring Organizations that underwent review, 23 </w:t>
            </w:r>
            <w:r w:rsidR="00A46786">
              <w:rPr>
                <w:b/>
                <w:color w:val="FFFFFF"/>
              </w:rPr>
              <w:t>received the “</w:t>
            </w:r>
            <w:r>
              <w:rPr>
                <w:b/>
                <w:color w:val="FFFFFF"/>
              </w:rPr>
              <w:t>Approved</w:t>
            </w:r>
            <w:r w:rsidR="00A46786">
              <w:rPr>
                <w:b/>
                <w:color w:val="FFFFFF"/>
              </w:rPr>
              <w:t>” rating</w:t>
            </w:r>
            <w:r>
              <w:rPr>
                <w:b/>
                <w:color w:val="FFFFFF"/>
              </w:rPr>
              <w:t xml:space="preserve">.  </w:t>
            </w:r>
          </w:p>
        </w:tc>
      </w:tr>
    </w:tbl>
    <w:p w14:paraId="7916280D" w14:textId="77777777" w:rsidR="00180AEB" w:rsidRDefault="00180AEB" w:rsidP="00180AEB">
      <w:pPr>
        <w:pStyle w:val="Caption"/>
        <w:keepNext/>
      </w:pPr>
      <w:r>
        <w:lastRenderedPageBreak/>
        <w:t xml:space="preserve">Chart </w:t>
      </w:r>
      <w:r w:rsidR="00B6785B">
        <w:rPr>
          <w:noProof/>
        </w:rPr>
        <w:fldChar w:fldCharType="begin"/>
      </w:r>
      <w:r w:rsidR="00B6785B">
        <w:rPr>
          <w:noProof/>
        </w:rPr>
        <w:instrText xml:space="preserve"> SEQ Chart \* ARABIC </w:instrText>
      </w:r>
      <w:r w:rsidR="00B6785B">
        <w:rPr>
          <w:noProof/>
        </w:rPr>
        <w:fldChar w:fldCharType="separate"/>
      </w:r>
      <w:r w:rsidR="009A2669">
        <w:rPr>
          <w:noProof/>
        </w:rPr>
        <w:t>2</w:t>
      </w:r>
      <w:r w:rsidR="00B6785B">
        <w:rPr>
          <w:noProof/>
        </w:rPr>
        <w:fldChar w:fldCharType="end"/>
      </w:r>
      <w:r>
        <w:t>: Approval Ratings, Formal Review, 2014-</w:t>
      </w:r>
      <w:r w:rsidR="000C46CC">
        <w:t>20</w:t>
      </w:r>
      <w:r>
        <w:t>15 through 2017-</w:t>
      </w:r>
      <w:r w:rsidR="00CC15B8">
        <w:t>20</w:t>
      </w:r>
      <w:r>
        <w:t>18</w:t>
      </w:r>
      <w:r w:rsidR="00C71118">
        <w:rPr>
          <w:rStyle w:val="FootnoteReference"/>
        </w:rPr>
        <w:footnoteReference w:id="3"/>
      </w:r>
    </w:p>
    <w:p w14:paraId="620B6AAA" w14:textId="77777777" w:rsidR="004731D0" w:rsidRDefault="00C92B0D" w:rsidP="004731D0">
      <w:r>
        <w:rPr>
          <w:noProof/>
          <w:lang w:eastAsia="zh-CN"/>
        </w:rPr>
        <w:drawing>
          <wp:inline distT="0" distB="0" distL="0" distR="0" wp14:anchorId="0C87E4BA" wp14:editId="545E5B22">
            <wp:extent cx="5460127" cy="3007995"/>
            <wp:effectExtent l="0" t="0" r="7620" b="1905"/>
            <wp:docPr id="7" name="Picture 7" descr="Chart 2: Approval Ratings, Formal Review, 2014-2015 through 201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6151" cy="3011314"/>
                    </a:xfrm>
                    <a:prstGeom prst="rect">
                      <a:avLst/>
                    </a:prstGeom>
                    <a:noFill/>
                  </pic:spPr>
                </pic:pic>
              </a:graphicData>
            </a:graphic>
          </wp:inline>
        </w:drawing>
      </w:r>
    </w:p>
    <w:p w14:paraId="6B07E3FB" w14:textId="77777777" w:rsidR="00315E10" w:rsidRDefault="006E585A" w:rsidP="004731D0">
      <w:r>
        <w:t>Between 2014 and 2018</w:t>
      </w:r>
      <w:r w:rsidR="00DA6DB5">
        <w:t xml:space="preserve">, </w:t>
      </w:r>
      <w:r w:rsidR="000C46CC">
        <w:t>11</w:t>
      </w:r>
      <w:r w:rsidR="00DA6DB5">
        <w:t xml:space="preserve"> </w:t>
      </w:r>
      <w:r w:rsidR="00315E10">
        <w:t>SOs</w:t>
      </w:r>
      <w:r w:rsidR="00DA6DB5">
        <w:t xml:space="preserve"> </w:t>
      </w:r>
      <w:r w:rsidR="00206224">
        <w:t xml:space="preserve">(or 25 percent) </w:t>
      </w:r>
      <w:r w:rsidR="00DA6DB5">
        <w:t xml:space="preserve">chose to expire before their formal review. These SOs no longer endorse candidates for licensure in the Commonwealth. </w:t>
      </w:r>
    </w:p>
    <w:p w14:paraId="28C2076D" w14:textId="77777777" w:rsidR="007B750C" w:rsidRDefault="00DA6DB5" w:rsidP="004731D0">
      <w:r>
        <w:t>Of the 3</w:t>
      </w:r>
      <w:r w:rsidR="00206224">
        <w:t>3</w:t>
      </w:r>
      <w:r w:rsidR="00315E10">
        <w:rPr>
          <w:rStyle w:val="FootnoteReference"/>
        </w:rPr>
        <w:footnoteReference w:id="4"/>
      </w:r>
      <w:r>
        <w:t xml:space="preserve"> SOs that underwent review, </w:t>
      </w:r>
      <w:r w:rsidR="006E585A">
        <w:t>23 (53 percent)</w:t>
      </w:r>
      <w:r>
        <w:t xml:space="preserve"> were Approved</w:t>
      </w:r>
      <w:r w:rsidR="004D19CD">
        <w:t>. This</w:t>
      </w:r>
      <w:r w:rsidR="001C0888">
        <w:t xml:space="preserve"> approval rating</w:t>
      </w:r>
      <w:r w:rsidR="004D19CD">
        <w:t xml:space="preserve"> indicates that the SO has met all standards for preparing effective educators in Massachusetts, though criteria may be identified that are not yet fully meeting expectations.</w:t>
      </w:r>
      <w:r>
        <w:t xml:space="preserve"> </w:t>
      </w:r>
      <w:r w:rsidR="007B750C">
        <w:t xml:space="preserve">One </w:t>
      </w:r>
      <w:r w:rsidR="000C46CC">
        <w:t>SO</w:t>
      </w:r>
      <w:r w:rsidR="007B750C">
        <w:t xml:space="preserve"> exceeded the rigorous state expectations and was Approved with Distinction</w:t>
      </w:r>
      <w:r w:rsidR="00F96E76">
        <w:t>, demonstrating evidence that it serv</w:t>
      </w:r>
      <w:r w:rsidR="006E6CE7">
        <w:t>es</w:t>
      </w:r>
      <w:r w:rsidR="00F96E76">
        <w:t xml:space="preserve"> as a model of exemplary performance</w:t>
      </w:r>
      <w:r w:rsidR="007B750C">
        <w:t xml:space="preserve">. Eight </w:t>
      </w:r>
      <w:r w:rsidR="006E585A">
        <w:t xml:space="preserve">(24 percent) </w:t>
      </w:r>
      <w:r w:rsidR="007B750C">
        <w:t>were Approved with Conditions</w:t>
      </w:r>
      <w:r w:rsidR="004D19CD">
        <w:t>, demonstrating that, despite evidence that not all state expectations are being met, the SO has overall program readiness and commitment to improvement</w:t>
      </w:r>
      <w:r w:rsidR="007B750C">
        <w:t xml:space="preserve">. Two </w:t>
      </w:r>
      <w:r w:rsidR="006E585A">
        <w:t xml:space="preserve">(6 percent) </w:t>
      </w:r>
      <w:r w:rsidR="007B750C">
        <w:t>received Probationary Approval</w:t>
      </w:r>
      <w:r w:rsidR="004D19CD">
        <w:t>, signaling that state standards are being insufficiently met such that candidates are not guaranteed a quality experience</w:t>
      </w:r>
      <w:r w:rsidR="007B750C">
        <w:t>.</w:t>
      </w:r>
    </w:p>
    <w:p w14:paraId="36A3A229" w14:textId="77777777" w:rsidR="00180AEB" w:rsidRDefault="00180AEB" w:rsidP="00180AEB">
      <w:pPr>
        <w:pStyle w:val="Heading2"/>
      </w:pPr>
      <w:bookmarkStart w:id="6" w:name="_Toc533073500"/>
      <w:r>
        <w:t>Changes in Approval Ratings</w:t>
      </w:r>
      <w:bookmarkEnd w:id="6"/>
    </w:p>
    <w:p w14:paraId="3E90D643" w14:textId="77777777" w:rsidR="00D1154F" w:rsidRDefault="00D1154F" w:rsidP="00D1154F">
      <w:r>
        <w:t>The</w:t>
      </w:r>
      <w:r w:rsidR="007B750C">
        <w:t xml:space="preserve"> above chart reflects</w:t>
      </w:r>
      <w:r>
        <w:t xml:space="preserve"> the approval </w:t>
      </w:r>
      <w:r w:rsidR="007B750C">
        <w:t>determination</w:t>
      </w:r>
      <w:r>
        <w:t xml:space="preserve">s as of the formal review. </w:t>
      </w:r>
      <w:r w:rsidR="007B750C">
        <w:t>Four</w:t>
      </w:r>
      <w:r>
        <w:t xml:space="preserve"> </w:t>
      </w:r>
      <w:r w:rsidR="006E585A">
        <w:t xml:space="preserve">SOs originally </w:t>
      </w:r>
      <w:r>
        <w:t xml:space="preserve">Approved with Conditions </w:t>
      </w:r>
      <w:r w:rsidR="007B750C">
        <w:t xml:space="preserve">(Berklee College of Music, City on a Hill, Worcester Polytechnic Institute, and Massachusetts College of Art) </w:t>
      </w:r>
      <w:r>
        <w:t xml:space="preserve">have </w:t>
      </w:r>
      <w:r w:rsidR="00F96E76">
        <w:t xml:space="preserve">since </w:t>
      </w:r>
      <w:r w:rsidR="00315E10">
        <w:t xml:space="preserve">demonstrated </w:t>
      </w:r>
      <w:r w:rsidR="00F96E76">
        <w:t xml:space="preserve">with </w:t>
      </w:r>
      <w:r w:rsidR="00315E10">
        <w:t xml:space="preserve">evidence that </w:t>
      </w:r>
      <w:r w:rsidR="007B750C">
        <w:t>they have met the conditions outlined in their reports based on their review.</w:t>
      </w:r>
      <w:r w:rsidR="00315E10">
        <w:t xml:space="preserve"> As such, their approval status is now Approv</w:t>
      </w:r>
      <w:r w:rsidR="00F96E76">
        <w:t>ed</w:t>
      </w:r>
      <w:r w:rsidR="00315E10">
        <w:t>.</w:t>
      </w:r>
    </w:p>
    <w:p w14:paraId="55789A3C" w14:textId="77777777" w:rsidR="00315E10" w:rsidRDefault="00315E10" w:rsidP="00D1154F"/>
    <w:p w14:paraId="0EC1DE18" w14:textId="77777777" w:rsidR="00D1154F" w:rsidRDefault="00254ADD" w:rsidP="00180AEB">
      <w:pPr>
        <w:pStyle w:val="Heading1"/>
      </w:pPr>
      <w:bookmarkStart w:id="7" w:name="_Toc533073501"/>
      <w:r>
        <w:lastRenderedPageBreak/>
        <w:t>Domain Ratings</w:t>
      </w:r>
      <w:bookmarkEnd w:id="7"/>
    </w:p>
    <w:p w14:paraId="3E720095" w14:textId="77777777" w:rsidR="004527E3" w:rsidRDefault="004527E3" w:rsidP="004527E3">
      <w:r>
        <w:t>Domains are the major categories upon with DESE evaluates SOs. There are five domains assessed that the organization level.</w:t>
      </w:r>
      <w:r>
        <w:rPr>
          <w:rStyle w:val="FootnoteReference"/>
        </w:rPr>
        <w:footnoteReference w:id="5"/>
      </w:r>
    </w:p>
    <w:p w14:paraId="368D2102" w14:textId="77777777" w:rsidR="004527E3" w:rsidRDefault="004527E3" w:rsidP="004527E3">
      <w:pPr>
        <w:pStyle w:val="ListParagraph"/>
        <w:numPr>
          <w:ilvl w:val="0"/>
          <w:numId w:val="2"/>
        </w:numPr>
      </w:pPr>
      <w:r w:rsidRPr="004527E3">
        <w:rPr>
          <w:b/>
        </w:rPr>
        <w:t>The Organization</w:t>
      </w:r>
      <w:r>
        <w:t xml:space="preserve"> (ORG): </w:t>
      </w:r>
      <w:r w:rsidRPr="004527E3">
        <w:rPr>
          <w:i/>
        </w:rPr>
        <w:t>Is the organization set up to support and sustain effective preparation?</w:t>
      </w:r>
      <w:r>
        <w:t xml:space="preserve"> </w:t>
      </w:r>
    </w:p>
    <w:p w14:paraId="5F380B23" w14:textId="77777777" w:rsidR="004527E3" w:rsidRDefault="004527E3" w:rsidP="004527E3">
      <w:pPr>
        <w:pStyle w:val="ListParagraph"/>
        <w:numPr>
          <w:ilvl w:val="0"/>
          <w:numId w:val="2"/>
        </w:numPr>
      </w:pPr>
      <w:r w:rsidRPr="004527E3">
        <w:rPr>
          <w:b/>
        </w:rPr>
        <w:t>Partnerships</w:t>
      </w:r>
      <w:r>
        <w:t xml:space="preserve"> (PAR): </w:t>
      </w:r>
      <w:r w:rsidRPr="004527E3">
        <w:rPr>
          <w:i/>
        </w:rPr>
        <w:t>Is the organization meeting the needs of the PK-12 system?</w:t>
      </w:r>
      <w:r>
        <w:t xml:space="preserve"> </w:t>
      </w:r>
    </w:p>
    <w:p w14:paraId="04102D83" w14:textId="77777777" w:rsidR="004527E3" w:rsidRDefault="004527E3" w:rsidP="004527E3">
      <w:pPr>
        <w:pStyle w:val="ListParagraph"/>
        <w:numPr>
          <w:ilvl w:val="0"/>
          <w:numId w:val="2"/>
        </w:numPr>
      </w:pPr>
      <w:r w:rsidRPr="004527E3">
        <w:rPr>
          <w:b/>
        </w:rPr>
        <w:t>Continuous Improvement</w:t>
      </w:r>
      <w:r>
        <w:t xml:space="preserve"> (CI): </w:t>
      </w:r>
      <w:r w:rsidRPr="004527E3">
        <w:rPr>
          <w:i/>
        </w:rPr>
        <w:t>Is the organization engaging in continuous improvement efforts that result in better prepared educators?</w:t>
      </w:r>
      <w:r>
        <w:t xml:space="preserve"> </w:t>
      </w:r>
    </w:p>
    <w:p w14:paraId="7BAEAE5D" w14:textId="77777777" w:rsidR="004527E3" w:rsidRDefault="004527E3" w:rsidP="004527E3">
      <w:pPr>
        <w:pStyle w:val="ListParagraph"/>
        <w:numPr>
          <w:ilvl w:val="0"/>
          <w:numId w:val="2"/>
        </w:numPr>
      </w:pPr>
      <w:r w:rsidRPr="004527E3">
        <w:rPr>
          <w:b/>
        </w:rPr>
        <w:t>The Candidate</w:t>
      </w:r>
      <w:r>
        <w:t xml:space="preserve"> (CAN): </w:t>
      </w:r>
      <w:r w:rsidRPr="004527E3">
        <w:rPr>
          <w:i/>
        </w:rPr>
        <w:t>Is the candidate’s experience in the program contributing to effective preparation?</w:t>
      </w:r>
      <w:r>
        <w:t xml:space="preserve"> </w:t>
      </w:r>
    </w:p>
    <w:p w14:paraId="77641354" w14:textId="77777777" w:rsidR="004527E3" w:rsidRPr="004527E3" w:rsidRDefault="004527E3" w:rsidP="004527E3">
      <w:pPr>
        <w:pStyle w:val="ListParagraph"/>
        <w:numPr>
          <w:ilvl w:val="0"/>
          <w:numId w:val="2"/>
        </w:numPr>
      </w:pPr>
      <w:r w:rsidRPr="004527E3">
        <w:rPr>
          <w:b/>
        </w:rPr>
        <w:t>Field-Based Experience</w:t>
      </w:r>
      <w:r>
        <w:t xml:space="preserve"> (FBE): </w:t>
      </w:r>
      <w:r w:rsidRPr="004527E3">
        <w:rPr>
          <w:i/>
        </w:rPr>
        <w:t>Do candidates have the necessary experiences in the field to be ready for the licensure role?</w:t>
      </w:r>
    </w:p>
    <w:p w14:paraId="55466CEF" w14:textId="77777777" w:rsidR="004527E3" w:rsidRPr="00C71118" w:rsidRDefault="004527E3" w:rsidP="004527E3">
      <w:pPr>
        <w:pStyle w:val="ListParagraph"/>
        <w:rPr>
          <w:sz w:val="14"/>
        </w:rPr>
      </w:pPr>
    </w:p>
    <w:tbl>
      <w:tblPr>
        <w:tblW w:w="0" w:type="auto"/>
        <w:tblLook w:val="04A0" w:firstRow="1" w:lastRow="0" w:firstColumn="1" w:lastColumn="0" w:noHBand="0" w:noVBand="1"/>
      </w:tblPr>
      <w:tblGrid>
        <w:gridCol w:w="1095"/>
        <w:gridCol w:w="8265"/>
      </w:tblGrid>
      <w:tr w:rsidR="004527E3" w14:paraId="5CEDACAA" w14:textId="77777777" w:rsidTr="00BD7B85">
        <w:trPr>
          <w:trHeight w:val="810"/>
        </w:trPr>
        <w:tc>
          <w:tcPr>
            <w:tcW w:w="1095" w:type="dxa"/>
            <w:vAlign w:val="center"/>
          </w:tcPr>
          <w:p w14:paraId="09CDEA90" w14:textId="77777777" w:rsidR="004527E3" w:rsidRDefault="004527E3" w:rsidP="00BD7B85">
            <w:pPr>
              <w:spacing w:after="0"/>
            </w:pPr>
            <w:r>
              <w:rPr>
                <w:noProof/>
                <w:color w:val="538135"/>
                <w:lang w:eastAsia="zh-CN"/>
              </w:rPr>
              <w:drawing>
                <wp:inline distT="0" distB="0" distL="0" distR="0" wp14:anchorId="42DAFD98" wp14:editId="663F8CAE">
                  <wp:extent cx="501650" cy="444500"/>
                  <wp:effectExtent l="0" t="0" r="0" b="0"/>
                  <wp:docPr id="3" name="Picture 288"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ata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650" cy="444500"/>
                          </a:xfrm>
                          <a:prstGeom prst="rect">
                            <a:avLst/>
                          </a:prstGeom>
                          <a:noFill/>
                          <a:ln>
                            <a:noFill/>
                          </a:ln>
                        </pic:spPr>
                      </pic:pic>
                    </a:graphicData>
                  </a:graphic>
                </wp:inline>
              </w:drawing>
            </w:r>
          </w:p>
        </w:tc>
        <w:tc>
          <w:tcPr>
            <w:tcW w:w="8265" w:type="dxa"/>
            <w:shd w:val="clear" w:color="auto" w:fill="5B9BD5"/>
            <w:vAlign w:val="center"/>
          </w:tcPr>
          <w:p w14:paraId="3BAC52B5" w14:textId="77777777" w:rsidR="004527E3" w:rsidRPr="003D16FA" w:rsidRDefault="00604A10" w:rsidP="000C46CC">
            <w:pPr>
              <w:spacing w:after="0"/>
              <w:rPr>
                <w:b/>
                <w:color w:val="FFFFFF"/>
              </w:rPr>
            </w:pPr>
            <w:r>
              <w:rPr>
                <w:b/>
                <w:color w:val="FFFFFF"/>
              </w:rPr>
              <w:t>Between 2014-2018, SOs were most often Proficient in the C</w:t>
            </w:r>
            <w:r w:rsidR="000C46CC">
              <w:rPr>
                <w:b/>
                <w:color w:val="FFFFFF"/>
              </w:rPr>
              <w:t>AN</w:t>
            </w:r>
            <w:r>
              <w:rPr>
                <w:b/>
                <w:color w:val="FFFFFF"/>
              </w:rPr>
              <w:t xml:space="preserve"> domain and most often needed improvement in the </w:t>
            </w:r>
            <w:r w:rsidR="000C46CC">
              <w:rPr>
                <w:b/>
                <w:color w:val="FFFFFF"/>
              </w:rPr>
              <w:t>FBE</w:t>
            </w:r>
            <w:r>
              <w:rPr>
                <w:b/>
                <w:color w:val="FFFFFF"/>
              </w:rPr>
              <w:t xml:space="preserve"> domain. In the </w:t>
            </w:r>
            <w:r w:rsidR="000C46CC">
              <w:rPr>
                <w:b/>
                <w:color w:val="FFFFFF"/>
              </w:rPr>
              <w:t>CI</w:t>
            </w:r>
            <w:r>
              <w:rPr>
                <w:b/>
                <w:color w:val="FFFFFF"/>
              </w:rPr>
              <w:t xml:space="preserve"> domain, ratings for SOs improved beginning in 2016. </w:t>
            </w:r>
          </w:p>
        </w:tc>
      </w:tr>
    </w:tbl>
    <w:p w14:paraId="2505D777" w14:textId="77777777" w:rsidR="004527E3" w:rsidRPr="004527E3" w:rsidRDefault="004527E3" w:rsidP="004527E3">
      <w:pPr>
        <w:pStyle w:val="ListParagraph"/>
      </w:pPr>
    </w:p>
    <w:p w14:paraId="6C27C4AC" w14:textId="77777777" w:rsidR="00180AEB" w:rsidRDefault="00180AEB" w:rsidP="00180AEB">
      <w:pPr>
        <w:pStyle w:val="Caption"/>
        <w:keepNext/>
      </w:pPr>
      <w:r>
        <w:t xml:space="preserve">Chart </w:t>
      </w:r>
      <w:r w:rsidR="00B6785B">
        <w:rPr>
          <w:noProof/>
        </w:rPr>
        <w:fldChar w:fldCharType="begin"/>
      </w:r>
      <w:r w:rsidR="00B6785B">
        <w:rPr>
          <w:noProof/>
        </w:rPr>
        <w:instrText xml:space="preserve"> SEQ Chart \* ARABIC </w:instrText>
      </w:r>
      <w:r w:rsidR="00B6785B">
        <w:rPr>
          <w:noProof/>
        </w:rPr>
        <w:fldChar w:fldCharType="separate"/>
      </w:r>
      <w:r w:rsidR="009A2669">
        <w:rPr>
          <w:noProof/>
        </w:rPr>
        <w:t>3</w:t>
      </w:r>
      <w:r w:rsidR="00B6785B">
        <w:rPr>
          <w:noProof/>
        </w:rPr>
        <w:fldChar w:fldCharType="end"/>
      </w:r>
      <w:r>
        <w:t xml:space="preserve">: </w:t>
      </w:r>
      <w:r w:rsidRPr="00633D1F">
        <w:t>Domain Ratings, Formal Review, 2014-</w:t>
      </w:r>
      <w:r w:rsidR="000C46CC">
        <w:t>20</w:t>
      </w:r>
      <w:r w:rsidRPr="00633D1F">
        <w:t>15 through 2017-</w:t>
      </w:r>
      <w:r w:rsidR="000C46CC">
        <w:t>20</w:t>
      </w:r>
      <w:r w:rsidRPr="00633D1F">
        <w:t>18</w:t>
      </w:r>
      <w:r w:rsidR="00315E10">
        <w:rPr>
          <w:rStyle w:val="FootnoteReference"/>
        </w:rPr>
        <w:footnoteReference w:id="6"/>
      </w:r>
    </w:p>
    <w:p w14:paraId="4CB0EF86" w14:textId="77777777" w:rsidR="00180AEB" w:rsidRDefault="00D1154F" w:rsidP="00180AEB">
      <w:pPr>
        <w:keepNext/>
      </w:pPr>
      <w:r>
        <w:rPr>
          <w:noProof/>
          <w:lang w:eastAsia="zh-CN"/>
        </w:rPr>
        <w:drawing>
          <wp:inline distT="0" distB="0" distL="0" distR="0" wp14:anchorId="2F04CE99" wp14:editId="66767FD3">
            <wp:extent cx="5546891" cy="3476625"/>
            <wp:effectExtent l="0" t="0" r="0" b="0"/>
            <wp:docPr id="5" name="Picture 5" descr="Chart 3: Domain Ratings, Formal Review, 2014-2015 through 201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1903" cy="3479766"/>
                    </a:xfrm>
                    <a:prstGeom prst="rect">
                      <a:avLst/>
                    </a:prstGeom>
                    <a:noFill/>
                  </pic:spPr>
                </pic:pic>
              </a:graphicData>
            </a:graphic>
          </wp:inline>
        </w:drawing>
      </w:r>
    </w:p>
    <w:p w14:paraId="3AE1B708" w14:textId="77777777" w:rsidR="006E6CE7" w:rsidRDefault="006E6CE7" w:rsidP="00644FF7">
      <w:pPr>
        <w:rPr>
          <w:b/>
          <w:i/>
        </w:rPr>
      </w:pPr>
    </w:p>
    <w:p w14:paraId="00376F19" w14:textId="77777777" w:rsidR="00D1154F" w:rsidRDefault="006B79AE" w:rsidP="00644FF7">
      <w:r w:rsidRPr="007510A2">
        <w:rPr>
          <w:b/>
          <w:i/>
        </w:rPr>
        <w:lastRenderedPageBreak/>
        <w:t>SOs were most proficient in the Candidate</w:t>
      </w:r>
      <w:r w:rsidR="000C46CC">
        <w:rPr>
          <w:b/>
          <w:i/>
        </w:rPr>
        <w:t xml:space="preserve"> (CAN)</w:t>
      </w:r>
      <w:r w:rsidRPr="007510A2">
        <w:rPr>
          <w:b/>
          <w:i/>
        </w:rPr>
        <w:t xml:space="preserve"> domain</w:t>
      </w:r>
      <w:r w:rsidRPr="007510A2">
        <w:rPr>
          <w:b/>
        </w:rPr>
        <w:t>.</w:t>
      </w:r>
      <w:r>
        <w:t xml:space="preserve"> </w:t>
      </w:r>
      <w:r w:rsidR="005A52AC">
        <w:br/>
      </w:r>
      <w:r w:rsidR="00644FF7">
        <w:t xml:space="preserve">The </w:t>
      </w:r>
      <w:r w:rsidR="000C46CC">
        <w:t>CAN</w:t>
      </w:r>
      <w:r w:rsidR="00192A64">
        <w:t xml:space="preserve"> </w:t>
      </w:r>
      <w:r w:rsidR="00644FF7">
        <w:t xml:space="preserve">domain sets expectations for programmatic features such as recruitment, admission, advising, and identifying candidates at-risk. </w:t>
      </w:r>
      <w:r w:rsidR="00D1154F">
        <w:t>In aggregate and</w:t>
      </w:r>
      <w:r w:rsidR="00315E10">
        <w:t xml:space="preserve"> in three</w:t>
      </w:r>
      <w:r w:rsidR="00D1154F">
        <w:t xml:space="preserve"> of the four years</w:t>
      </w:r>
      <w:r w:rsidR="00FA4849">
        <w:t xml:space="preserve"> (2014-</w:t>
      </w:r>
      <w:r w:rsidR="000C46CC">
        <w:t>20</w:t>
      </w:r>
      <w:r w:rsidR="00FA4849">
        <w:t>15, 2015-</w:t>
      </w:r>
      <w:r w:rsidR="000C46CC">
        <w:t>20</w:t>
      </w:r>
      <w:r w:rsidR="00FA4849">
        <w:t>16, 2016-</w:t>
      </w:r>
      <w:r w:rsidR="000C46CC">
        <w:t>20</w:t>
      </w:r>
      <w:r w:rsidR="00FA4849">
        <w:t xml:space="preserve">17) </w:t>
      </w:r>
      <w:r w:rsidR="00B6785B">
        <w:t>the domain in which SOs were most often rated Proficient or Exemplary w</w:t>
      </w:r>
      <w:r w:rsidR="000C46CC">
        <w:t>as the CAN</w:t>
      </w:r>
      <w:r w:rsidR="00B6785B">
        <w:t xml:space="preserve"> domain.</w:t>
      </w:r>
      <w:r w:rsidR="00FA4849">
        <w:t xml:space="preserve"> </w:t>
      </w:r>
      <w:r w:rsidR="00644FF7">
        <w:t>This data indicates that candidates are generally having positive experiences in programs that are contributing to their effectiveness in the licensure role and ability to be hired upon completion.</w:t>
      </w:r>
      <w:r w:rsidR="00604A10">
        <w:t xml:space="preserve"> While </w:t>
      </w:r>
      <w:r w:rsidR="00B6785B">
        <w:t>25</w:t>
      </w:r>
      <w:r w:rsidR="00192A64">
        <w:t xml:space="preserve"> SOs (over</w:t>
      </w:r>
      <w:r w:rsidR="00604A10">
        <w:t xml:space="preserve"> 75 percent</w:t>
      </w:r>
      <w:r w:rsidR="00192A64">
        <w:t>)</w:t>
      </w:r>
      <w:r w:rsidR="00604A10">
        <w:t xml:space="preserve"> of SOs met </w:t>
      </w:r>
      <w:r w:rsidR="00B6785B">
        <w:t xml:space="preserve">overall </w:t>
      </w:r>
      <w:r w:rsidR="00604A10">
        <w:t>expectations for the</w:t>
      </w:r>
      <w:r w:rsidR="000E1575">
        <w:t xml:space="preserve"> </w:t>
      </w:r>
      <w:r w:rsidR="00B6785B">
        <w:t xml:space="preserve">CAN </w:t>
      </w:r>
      <w:r w:rsidR="000E1575">
        <w:t>domain</w:t>
      </w:r>
      <w:r w:rsidR="00604A10">
        <w:t xml:space="preserve"> criteria related admission, advising, supporting candidates at</w:t>
      </w:r>
      <w:r w:rsidR="000C46CC">
        <w:t>-</w:t>
      </w:r>
      <w:r w:rsidR="00604A10">
        <w:t xml:space="preserve">risk, and waivers, </w:t>
      </w:r>
      <w:r w:rsidR="00192A64">
        <w:t>12 (</w:t>
      </w:r>
      <w:r w:rsidR="00604A10">
        <w:t>40 percent</w:t>
      </w:r>
      <w:r w:rsidR="00192A64">
        <w:t>)</w:t>
      </w:r>
      <w:r w:rsidR="00604A10">
        <w:t xml:space="preserve"> lacked evidence of systems to recruit and admit candidates that result in increased racial and ethnic diversity in the workforce. </w:t>
      </w:r>
      <w:r w:rsidR="000E1575">
        <w:t>This suggests that, while the systems to admit and support candidates throughout their programs are in place overall, continued work needs to be done to ensure increased diversity in the workforce. More information about this criterion is included below.</w:t>
      </w:r>
    </w:p>
    <w:p w14:paraId="69ADC69B" w14:textId="77777777" w:rsidR="006B79AE" w:rsidRDefault="006B79AE" w:rsidP="006B79AE">
      <w:r w:rsidRPr="007510A2">
        <w:rPr>
          <w:b/>
          <w:i/>
        </w:rPr>
        <w:t>SOs</w:t>
      </w:r>
      <w:r w:rsidR="000E575D">
        <w:rPr>
          <w:b/>
          <w:i/>
        </w:rPr>
        <w:t xml:space="preserve"> most often needed improvement</w:t>
      </w:r>
      <w:r w:rsidRPr="007510A2">
        <w:rPr>
          <w:b/>
          <w:i/>
        </w:rPr>
        <w:t xml:space="preserve"> in </w:t>
      </w:r>
      <w:r w:rsidR="000E575D">
        <w:rPr>
          <w:b/>
          <w:i/>
        </w:rPr>
        <w:t xml:space="preserve">the </w:t>
      </w:r>
      <w:r w:rsidRPr="007510A2">
        <w:rPr>
          <w:b/>
          <w:i/>
        </w:rPr>
        <w:t>Field-Based Experiences</w:t>
      </w:r>
      <w:r w:rsidR="000E575D">
        <w:rPr>
          <w:b/>
          <w:i/>
        </w:rPr>
        <w:t xml:space="preserve"> </w:t>
      </w:r>
      <w:r w:rsidR="000C46CC">
        <w:rPr>
          <w:b/>
          <w:i/>
        </w:rPr>
        <w:t xml:space="preserve">(FBE) </w:t>
      </w:r>
      <w:r w:rsidR="000E575D">
        <w:rPr>
          <w:b/>
          <w:i/>
        </w:rPr>
        <w:t>domain</w:t>
      </w:r>
      <w:r w:rsidR="00FA4849" w:rsidRPr="007510A2">
        <w:rPr>
          <w:b/>
          <w:i/>
        </w:rPr>
        <w:t>.</w:t>
      </w:r>
      <w:r w:rsidR="00FA4849" w:rsidRPr="001F6684">
        <w:rPr>
          <w:i/>
        </w:rPr>
        <w:t xml:space="preserve"> </w:t>
      </w:r>
      <w:r w:rsidR="005A52AC">
        <w:rPr>
          <w:i/>
        </w:rPr>
        <w:br/>
      </w:r>
      <w:r w:rsidR="00644FF7">
        <w:t xml:space="preserve">The </w:t>
      </w:r>
      <w:r w:rsidR="000C46CC">
        <w:t>FBE</w:t>
      </w:r>
      <w:r w:rsidR="00192A64">
        <w:t xml:space="preserve"> </w:t>
      </w:r>
      <w:r w:rsidR="00644FF7">
        <w:t xml:space="preserve">domain sets expectations for programmatic features such as the structure of the practicum, the placement process, and supervision. </w:t>
      </w:r>
      <w:r w:rsidR="00FA4849">
        <w:t xml:space="preserve">Across the four review cycles, the </w:t>
      </w:r>
      <w:r w:rsidR="00B6785B">
        <w:t xml:space="preserve">domain in which SOs were most often rated Needs Improvement or Unsatisfactory was the FBE domain. </w:t>
      </w:r>
      <w:r w:rsidR="00FA4849">
        <w:t xml:space="preserve">Looking at individual years, this domain had the fewest SOs proficient in </w:t>
      </w:r>
      <w:r w:rsidR="000C46CC">
        <w:t>20</w:t>
      </w:r>
      <w:r w:rsidR="00FA4849">
        <w:t>15-</w:t>
      </w:r>
      <w:r w:rsidR="000C46CC">
        <w:t>20</w:t>
      </w:r>
      <w:r w:rsidR="00FA4849">
        <w:t xml:space="preserve">16 and </w:t>
      </w:r>
      <w:r w:rsidR="000C46CC">
        <w:t>20</w:t>
      </w:r>
      <w:r w:rsidR="00FA4849">
        <w:t>16-</w:t>
      </w:r>
      <w:r w:rsidR="000C46CC">
        <w:t>20</w:t>
      </w:r>
      <w:r w:rsidR="00FA4849">
        <w:t xml:space="preserve">17. In </w:t>
      </w:r>
      <w:r w:rsidR="000C46CC">
        <w:t>20</w:t>
      </w:r>
      <w:r w:rsidR="00FA4849">
        <w:t>14-</w:t>
      </w:r>
      <w:r w:rsidR="000C46CC">
        <w:t>20</w:t>
      </w:r>
      <w:r w:rsidR="00FA4849">
        <w:t xml:space="preserve">15 and </w:t>
      </w:r>
      <w:r w:rsidR="000C46CC">
        <w:t>20</w:t>
      </w:r>
      <w:r w:rsidR="00FA4849">
        <w:t>16-</w:t>
      </w:r>
      <w:r w:rsidR="000C46CC">
        <w:t>20</w:t>
      </w:r>
      <w:r w:rsidR="00FA4849">
        <w:t xml:space="preserve">17, FBE was the second weakest domain. </w:t>
      </w:r>
      <w:r w:rsidR="00644FF7">
        <w:t xml:space="preserve">Across many SOs, inadequate evidence of training and support for Supervising Practitioners and a lack of systems for involving district partners in the design of field-based experiences contributed to these ratings. Additionally, about </w:t>
      </w:r>
      <w:r w:rsidR="00192A64">
        <w:t>one-</w:t>
      </w:r>
      <w:r w:rsidR="00644FF7">
        <w:t>third of SOs lacked systems to ensure candidates have field-based experiences in settings with diverse learners and</w:t>
      </w:r>
      <w:r w:rsidR="00BD1523">
        <w:t>/or</w:t>
      </w:r>
      <w:r w:rsidR="00644FF7">
        <w:t xml:space="preserve"> that a performance assessment is implemented consistently and rigorously across programs. </w:t>
      </w:r>
    </w:p>
    <w:p w14:paraId="4AA90ED0" w14:textId="77777777" w:rsidR="00D1154F" w:rsidRDefault="006B79AE" w:rsidP="00D1154F">
      <w:r w:rsidRPr="007510A2">
        <w:rPr>
          <w:b/>
          <w:i/>
        </w:rPr>
        <w:t xml:space="preserve">SOs are getting stronger </w:t>
      </w:r>
      <w:r w:rsidR="005A52AC" w:rsidRPr="007510A2">
        <w:rPr>
          <w:b/>
          <w:i/>
        </w:rPr>
        <w:t>in the</w:t>
      </w:r>
      <w:r w:rsidRPr="007510A2">
        <w:rPr>
          <w:b/>
          <w:i/>
        </w:rPr>
        <w:t xml:space="preserve"> Continuous Improvement</w:t>
      </w:r>
      <w:r w:rsidR="005A52AC" w:rsidRPr="007510A2">
        <w:rPr>
          <w:b/>
          <w:i/>
        </w:rPr>
        <w:t xml:space="preserve"> </w:t>
      </w:r>
      <w:r w:rsidR="000C46CC">
        <w:rPr>
          <w:b/>
          <w:i/>
        </w:rPr>
        <w:t xml:space="preserve">(CI) </w:t>
      </w:r>
      <w:r w:rsidR="005A52AC" w:rsidRPr="007510A2">
        <w:rPr>
          <w:b/>
          <w:i/>
        </w:rPr>
        <w:t>domain</w:t>
      </w:r>
      <w:r w:rsidRPr="007510A2">
        <w:rPr>
          <w:b/>
          <w:i/>
        </w:rPr>
        <w:t>.</w:t>
      </w:r>
      <w:r>
        <w:t xml:space="preserve"> </w:t>
      </w:r>
      <w:r w:rsidR="005A52AC">
        <w:br/>
      </w:r>
      <w:r w:rsidR="00644FF7">
        <w:t xml:space="preserve">The </w:t>
      </w:r>
      <w:r w:rsidR="000C46CC">
        <w:t>CI</w:t>
      </w:r>
      <w:r w:rsidR="00192A64">
        <w:t xml:space="preserve"> </w:t>
      </w:r>
      <w:r w:rsidR="00644FF7">
        <w:t xml:space="preserve">domain sets expectations for programmatic features such as the ongoing and consistent use of internal and external evidence and the solicitation and implementation of stakeholder feedback. </w:t>
      </w:r>
      <w:r w:rsidR="00A00C18">
        <w:t xml:space="preserve">While </w:t>
      </w:r>
      <w:r w:rsidR="000C46CC">
        <w:t>the CI</w:t>
      </w:r>
      <w:r w:rsidR="00A00C18">
        <w:t xml:space="preserve"> </w:t>
      </w:r>
      <w:r w:rsidR="00192A64">
        <w:t xml:space="preserve">domain generated the </w:t>
      </w:r>
      <w:r w:rsidR="00A00C18">
        <w:t xml:space="preserve">most Needs Improvement or Unsatisfactory </w:t>
      </w:r>
      <w:r w:rsidR="00192A64">
        <w:t xml:space="preserve">ratings </w:t>
      </w:r>
      <w:r w:rsidR="00A00C18">
        <w:t>in 2014-</w:t>
      </w:r>
      <w:r w:rsidR="000C46CC">
        <w:t>20</w:t>
      </w:r>
      <w:r w:rsidR="00A00C18">
        <w:t>15 and 2015-</w:t>
      </w:r>
      <w:r w:rsidR="000C46CC">
        <w:t>20</w:t>
      </w:r>
      <w:r w:rsidR="00A00C18">
        <w:t xml:space="preserve">16, </w:t>
      </w:r>
      <w:r w:rsidR="00206224">
        <w:t>there was a shift</w:t>
      </w:r>
      <w:r w:rsidR="00644FF7">
        <w:t xml:space="preserve"> beginning in 2016-</w:t>
      </w:r>
      <w:r w:rsidR="000C46CC">
        <w:t>20</w:t>
      </w:r>
      <w:r w:rsidR="00644FF7">
        <w:t>17.</w:t>
      </w:r>
      <w:r w:rsidR="00206224">
        <w:t xml:space="preserve"> In that year, Continuous </w:t>
      </w:r>
      <w:r w:rsidR="004527E3">
        <w:t>Improvement</w:t>
      </w:r>
      <w:r w:rsidR="00206224">
        <w:t xml:space="preserve"> </w:t>
      </w:r>
      <w:r w:rsidR="00192A64">
        <w:t>domain generated the highest numbers of Proficient ratings, and i</w:t>
      </w:r>
      <w:r w:rsidR="00206224">
        <w:t>n 2017-</w:t>
      </w:r>
      <w:r w:rsidR="000C46CC">
        <w:t>20</w:t>
      </w:r>
      <w:r w:rsidR="00206224">
        <w:t xml:space="preserve">18, it </w:t>
      </w:r>
      <w:r w:rsidR="00192A64">
        <w:t xml:space="preserve">yielded </w:t>
      </w:r>
      <w:r w:rsidR="00206224">
        <w:t xml:space="preserve">the second </w:t>
      </w:r>
      <w:r w:rsidR="00192A64">
        <w:t>highest number of Proficient ratings</w:t>
      </w:r>
      <w:r w:rsidR="00206224">
        <w:t xml:space="preserve">. </w:t>
      </w:r>
      <w:r w:rsidR="000E1575">
        <w:t>This data suggests that SOs are making efforts to improve their systems for monitoring the quality of programs, using internal and external data to inform programmatic changes, and acting on stakeholder feedback. This timing also suggests that SOs may be leveraging newly available data on Edwin (first released in 2014 and expanded in 2017) and additional technical assistance provided by DESE.</w:t>
      </w:r>
    </w:p>
    <w:p w14:paraId="52AA1602" w14:textId="77777777" w:rsidR="00F750A6" w:rsidRDefault="00186FD9" w:rsidP="00E64F6E">
      <w:r w:rsidRPr="00B6785B">
        <w:rPr>
          <w:b/>
          <w:i/>
        </w:rPr>
        <w:t>Fewer SOs in 2017-</w:t>
      </w:r>
      <w:r w:rsidR="000C46CC">
        <w:rPr>
          <w:b/>
          <w:i/>
        </w:rPr>
        <w:t>20</w:t>
      </w:r>
      <w:r w:rsidRPr="00B6785B">
        <w:rPr>
          <w:b/>
          <w:i/>
        </w:rPr>
        <w:t xml:space="preserve">18 were rated Proficient in the Partnerships </w:t>
      </w:r>
      <w:r w:rsidR="000C46CC">
        <w:rPr>
          <w:b/>
          <w:i/>
        </w:rPr>
        <w:t xml:space="preserve">(PAR) </w:t>
      </w:r>
      <w:r w:rsidRPr="00B6785B">
        <w:rPr>
          <w:b/>
          <w:i/>
        </w:rPr>
        <w:t>domain than in prior years</w:t>
      </w:r>
      <w:r>
        <w:t>.</w:t>
      </w:r>
      <w:r w:rsidR="006B79AE" w:rsidRPr="007510A2">
        <w:rPr>
          <w:b/>
          <w:i/>
        </w:rPr>
        <w:t xml:space="preserve"> </w:t>
      </w:r>
      <w:r w:rsidR="005A52AC">
        <w:rPr>
          <w:i/>
        </w:rPr>
        <w:br/>
      </w:r>
      <w:r w:rsidR="004F1E73">
        <w:t xml:space="preserve">The </w:t>
      </w:r>
      <w:r w:rsidR="000C46CC">
        <w:t>PAR</w:t>
      </w:r>
      <w:r w:rsidR="00B6785B">
        <w:t xml:space="preserve"> </w:t>
      </w:r>
      <w:r w:rsidR="004F1E73">
        <w:t xml:space="preserve">domain sets expectations for programmatic features that are designed to meet the needs of partner schools/districts, including ensuring that partners inform continuous improvement and that partnerships improve outcomes for PK-12 students and preparation for candidates. </w:t>
      </w:r>
      <w:r w:rsidR="001F6684">
        <w:t>While 70</w:t>
      </w:r>
      <w:r w:rsidR="00E64F6E">
        <w:t xml:space="preserve"> percent </w:t>
      </w:r>
      <w:r w:rsidR="001F6684">
        <w:t xml:space="preserve">of SOs were rated Proficient or above in the </w:t>
      </w:r>
      <w:r w:rsidR="00B6785B">
        <w:t xml:space="preserve">PAR </w:t>
      </w:r>
      <w:r w:rsidR="001F6684">
        <w:t>domain between 2014-2017, only 44</w:t>
      </w:r>
      <w:r w:rsidR="00E64F6E">
        <w:t xml:space="preserve"> percent </w:t>
      </w:r>
      <w:r w:rsidR="001F6684">
        <w:t>were rated Proficient in 2017-</w:t>
      </w:r>
      <w:r w:rsidR="000C46CC">
        <w:t>20</w:t>
      </w:r>
      <w:r w:rsidR="001F6684">
        <w:t xml:space="preserve">18. </w:t>
      </w:r>
      <w:r w:rsidR="00436E1F">
        <w:t>DESE has been increasingly explicit about the expectation that partnerships serve the needs of PK-12 schools/districts.</w:t>
      </w:r>
      <w:r w:rsidR="00846508">
        <w:rPr>
          <w:rStyle w:val="FootnoteReference"/>
        </w:rPr>
        <w:footnoteReference w:id="7"/>
      </w:r>
      <w:r w:rsidR="00436E1F">
        <w:t xml:space="preserve"> </w:t>
      </w:r>
      <w:r w:rsidR="00E64F6E">
        <w:t>Within the group of</w:t>
      </w:r>
      <w:r w:rsidR="00436E1F">
        <w:t xml:space="preserve"> </w:t>
      </w:r>
      <w:r w:rsidR="00D05D3B">
        <w:t>SOs</w:t>
      </w:r>
      <w:r w:rsidR="005A52AC">
        <w:t xml:space="preserve"> reviewed in 2017-</w:t>
      </w:r>
      <w:r w:rsidR="000C46CC">
        <w:t>20</w:t>
      </w:r>
      <w:r w:rsidR="005A52AC">
        <w:t>18</w:t>
      </w:r>
      <w:r w:rsidR="00436E1F">
        <w:t xml:space="preserve">, there was </w:t>
      </w:r>
      <w:r w:rsidR="00436E1F">
        <w:lastRenderedPageBreak/>
        <w:t xml:space="preserve">limited evidence of </w:t>
      </w:r>
      <w:r w:rsidR="00B6785B">
        <w:t xml:space="preserve">partnerships </w:t>
      </w:r>
      <w:r w:rsidR="00436E1F">
        <w:t xml:space="preserve">that </w:t>
      </w:r>
      <w:r w:rsidR="00E64F6E">
        <w:t>went</w:t>
      </w:r>
      <w:r w:rsidR="00E64F6E" w:rsidRPr="00E64F6E">
        <w:t xml:space="preserve"> beyond mere transactional relationships (e.g. field-based experience placements only) </w:t>
      </w:r>
      <w:r w:rsidR="00436E1F">
        <w:t>to be more systemic in nature.</w:t>
      </w:r>
      <w:r w:rsidR="005A52AC" w:rsidRPr="005A52AC">
        <w:t xml:space="preserve"> </w:t>
      </w:r>
    </w:p>
    <w:p w14:paraId="621B1966" w14:textId="77777777" w:rsidR="00E64F6E" w:rsidRPr="00B6785B" w:rsidRDefault="00E64F6E" w:rsidP="005A52AC">
      <w:pPr>
        <w:rPr>
          <w:i/>
        </w:rPr>
      </w:pPr>
      <w:r w:rsidRPr="00B6785B">
        <w:rPr>
          <w:b/>
          <w:i/>
        </w:rPr>
        <w:t xml:space="preserve">Across </w:t>
      </w:r>
      <w:r w:rsidR="00F750A6" w:rsidRPr="00B6785B">
        <w:rPr>
          <w:b/>
          <w:i/>
        </w:rPr>
        <w:t>all five domains,</w:t>
      </w:r>
      <w:r w:rsidRPr="00B6785B">
        <w:rPr>
          <w:b/>
          <w:i/>
        </w:rPr>
        <w:t xml:space="preserve"> while most SOs received a rating of Proficient, reviewers utilized </w:t>
      </w:r>
      <w:r w:rsidR="00F750A6" w:rsidRPr="00B6785B">
        <w:rPr>
          <w:b/>
          <w:i/>
        </w:rPr>
        <w:t>the full rating scale</w:t>
      </w:r>
      <w:r w:rsidRPr="00B6785B">
        <w:rPr>
          <w:b/>
          <w:i/>
        </w:rPr>
        <w:t xml:space="preserve"> in making determinations</w:t>
      </w:r>
      <w:r w:rsidR="00F750A6" w:rsidRPr="00B6785B">
        <w:rPr>
          <w:b/>
          <w:i/>
        </w:rPr>
        <w:t>.</w:t>
      </w:r>
      <w:r w:rsidR="00F750A6" w:rsidRPr="00B6785B">
        <w:rPr>
          <w:i/>
        </w:rPr>
        <w:t xml:space="preserve"> </w:t>
      </w:r>
    </w:p>
    <w:p w14:paraId="44AA539E" w14:textId="77777777" w:rsidR="00F750A6" w:rsidRDefault="008B3586" w:rsidP="005A52AC">
      <w:r>
        <w:t xml:space="preserve">This indicates that the formal review process is effectively identifying and differentiating between SOs at various levels of meeting DESE’s expectations. The ratings in the </w:t>
      </w:r>
      <w:r w:rsidR="000C46CC">
        <w:t>ORG</w:t>
      </w:r>
      <w:r>
        <w:t xml:space="preserve"> and C</w:t>
      </w:r>
      <w:r w:rsidR="000C46CC">
        <w:t>AN</w:t>
      </w:r>
      <w:r>
        <w:t xml:space="preserve"> domains demonstrate that most SOs a</w:t>
      </w:r>
      <w:r w:rsidRPr="008B3586">
        <w:t xml:space="preserve">re set up to support and sustain effective preparation </w:t>
      </w:r>
      <w:r>
        <w:t xml:space="preserve">and ensure candidates have an experience that prepares them to be effective. </w:t>
      </w:r>
    </w:p>
    <w:p w14:paraId="5556AE03" w14:textId="77777777" w:rsidR="00254ADD" w:rsidRDefault="00180AEB" w:rsidP="00180AEB">
      <w:pPr>
        <w:pStyle w:val="Heading1"/>
      </w:pPr>
      <w:bookmarkStart w:id="8" w:name="_Toc533073502"/>
      <w:r>
        <w:t>Criteria R</w:t>
      </w:r>
      <w:r w:rsidR="00254ADD">
        <w:t>atings</w:t>
      </w:r>
      <w:bookmarkEnd w:id="8"/>
    </w:p>
    <w:p w14:paraId="795E8C38" w14:textId="77777777" w:rsidR="00D05D3B" w:rsidRDefault="00D05D3B" w:rsidP="0054254F">
      <w:r>
        <w:t>Each domain is comprised of 4 to 12 criteria, which are the expectations against which evidence is</w:t>
      </w:r>
      <w:r w:rsidR="0070589C">
        <w:t xml:space="preserve"> </w:t>
      </w:r>
      <w:r>
        <w:t xml:space="preserve">evaluated. </w:t>
      </w:r>
      <w:r w:rsidR="0070589C">
        <w:t>Program</w:t>
      </w:r>
      <w:r>
        <w:t xml:space="preserve"> Approval Criteria are derived from the </w:t>
      </w:r>
      <w:hyperlink r:id="rId19" w:history="1">
        <w:r w:rsidRPr="0070589C">
          <w:rPr>
            <w:rStyle w:val="Hyperlink"/>
          </w:rPr>
          <w:t>Program Approval Standards</w:t>
        </w:r>
      </w:hyperlink>
      <w:r>
        <w:t xml:space="preserve"> and are designed to distill high-level </w:t>
      </w:r>
      <w:r w:rsidR="0070589C">
        <w:t>concepts</w:t>
      </w:r>
      <w:r>
        <w:t xml:space="preserve"> into a set of concreate, actionable expectations. C</w:t>
      </w:r>
      <w:r w:rsidR="0070589C">
        <w:t>ri</w:t>
      </w:r>
      <w:r>
        <w:t xml:space="preserve">teria were </w:t>
      </w:r>
      <w:r w:rsidR="0070589C">
        <w:t>intentionally</w:t>
      </w:r>
      <w:r>
        <w:t xml:space="preserve"> developed to be descriptive of expectations, not </w:t>
      </w:r>
      <w:r w:rsidR="0070589C">
        <w:t>prescriptive</w:t>
      </w:r>
      <w:r>
        <w:t xml:space="preserve"> of approach.</w:t>
      </w:r>
      <w:r w:rsidR="0070589C" w:rsidRPr="0070589C">
        <w:rPr>
          <w:rStyle w:val="FootnoteReference"/>
        </w:rPr>
        <w:t xml:space="preserve"> </w:t>
      </w:r>
      <w:r w:rsidR="0070589C">
        <w:rPr>
          <w:rStyle w:val="FootnoteReference"/>
        </w:rPr>
        <w:footnoteReference w:id="8"/>
      </w:r>
      <w:r w:rsidR="0070589C">
        <w:t xml:space="preserve"> </w:t>
      </w:r>
      <w:r>
        <w:t xml:space="preserve"> </w:t>
      </w:r>
    </w:p>
    <w:p w14:paraId="3B362619" w14:textId="77777777" w:rsidR="008A041B" w:rsidRDefault="00D05D3B" w:rsidP="0070589C">
      <w:r>
        <w:t xml:space="preserve">For each criterion, </w:t>
      </w:r>
      <w:r w:rsidR="0070589C">
        <w:t>an SO receives a rating of met, finding, or commendation. A met rating demonstrates that the evidence indicates the SO is meeting the expectation described in the criteria.</w:t>
      </w:r>
      <w:r>
        <w:t xml:space="preserve"> </w:t>
      </w:r>
      <w:r w:rsidR="008A041B">
        <w:t xml:space="preserve">Findings are areas of concern that require corrective action and may impact an SO’s overall approval status because they indicate that a program approval criterion is not being met. </w:t>
      </w:r>
      <w:r w:rsidR="0070589C">
        <w:t>Commendations are reserved for truly exceptional, innovative, or outstanding practices that would serve as a model for other SOs.</w:t>
      </w:r>
    </w:p>
    <w:p w14:paraId="27605A56" w14:textId="77777777" w:rsidR="0070589C" w:rsidRDefault="0070589C" w:rsidP="0054254F"/>
    <w:tbl>
      <w:tblPr>
        <w:tblW w:w="0" w:type="auto"/>
        <w:tblLook w:val="04A0" w:firstRow="1" w:lastRow="0" w:firstColumn="1" w:lastColumn="0" w:noHBand="0" w:noVBand="1"/>
      </w:tblPr>
      <w:tblGrid>
        <w:gridCol w:w="1095"/>
        <w:gridCol w:w="8265"/>
      </w:tblGrid>
      <w:tr w:rsidR="008A041B" w14:paraId="25E6FC26" w14:textId="77777777" w:rsidTr="00BD7B85">
        <w:trPr>
          <w:trHeight w:val="810"/>
        </w:trPr>
        <w:tc>
          <w:tcPr>
            <w:tcW w:w="1095" w:type="dxa"/>
            <w:vAlign w:val="center"/>
          </w:tcPr>
          <w:p w14:paraId="36765322" w14:textId="77777777" w:rsidR="008A041B" w:rsidRDefault="008A041B" w:rsidP="00BD7B85">
            <w:pPr>
              <w:spacing w:after="0"/>
            </w:pPr>
            <w:r>
              <w:rPr>
                <w:noProof/>
                <w:color w:val="538135"/>
                <w:lang w:eastAsia="zh-CN"/>
              </w:rPr>
              <w:drawing>
                <wp:inline distT="0" distB="0" distL="0" distR="0" wp14:anchorId="6B129CFD" wp14:editId="441D7FDC">
                  <wp:extent cx="501650" cy="444500"/>
                  <wp:effectExtent l="0" t="0" r="0" b="0"/>
                  <wp:docPr id="9" name="Picture 288"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ata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650" cy="444500"/>
                          </a:xfrm>
                          <a:prstGeom prst="rect">
                            <a:avLst/>
                          </a:prstGeom>
                          <a:noFill/>
                          <a:ln>
                            <a:noFill/>
                          </a:ln>
                        </pic:spPr>
                      </pic:pic>
                    </a:graphicData>
                  </a:graphic>
                </wp:inline>
              </w:drawing>
            </w:r>
          </w:p>
        </w:tc>
        <w:tc>
          <w:tcPr>
            <w:tcW w:w="8265" w:type="dxa"/>
            <w:shd w:val="clear" w:color="auto" w:fill="5B9BD5"/>
            <w:vAlign w:val="center"/>
          </w:tcPr>
          <w:p w14:paraId="74601A89" w14:textId="77777777" w:rsidR="008A041B" w:rsidRPr="003D16FA" w:rsidRDefault="008A041B" w:rsidP="000C46CC">
            <w:pPr>
              <w:spacing w:after="0"/>
              <w:rPr>
                <w:b/>
                <w:color w:val="FFFFFF"/>
              </w:rPr>
            </w:pPr>
            <w:r>
              <w:rPr>
                <w:b/>
                <w:color w:val="FFFFFF"/>
              </w:rPr>
              <w:t xml:space="preserve">Most SOs received a finding in the area of training supervisors and half of SOs received a finding in the area of acting on feedback from stakeholders. </w:t>
            </w:r>
            <w:r w:rsidRPr="0054254F">
              <w:rPr>
                <w:b/>
                <w:color w:val="FFFFFF" w:themeColor="background1"/>
              </w:rPr>
              <w:t xml:space="preserve">On average, SOs received </w:t>
            </w:r>
            <w:r w:rsidR="000C46CC">
              <w:rPr>
                <w:b/>
                <w:color w:val="FFFFFF" w:themeColor="background1"/>
              </w:rPr>
              <w:t>nine</w:t>
            </w:r>
            <w:r w:rsidRPr="0054254F">
              <w:rPr>
                <w:b/>
                <w:color w:val="FFFFFF" w:themeColor="background1"/>
              </w:rPr>
              <w:t xml:space="preserve"> findings; the number of findings ranged from </w:t>
            </w:r>
            <w:r w:rsidR="0070589C">
              <w:rPr>
                <w:b/>
                <w:color w:val="FFFFFF" w:themeColor="background1"/>
              </w:rPr>
              <w:t>0</w:t>
            </w:r>
            <w:r w:rsidRPr="0054254F">
              <w:rPr>
                <w:b/>
                <w:color w:val="FFFFFF" w:themeColor="background1"/>
              </w:rPr>
              <w:t xml:space="preserve"> to 32.</w:t>
            </w:r>
          </w:p>
        </w:tc>
      </w:tr>
    </w:tbl>
    <w:p w14:paraId="2963F361" w14:textId="77777777" w:rsidR="008A041B" w:rsidRPr="004527E3" w:rsidRDefault="008A041B" w:rsidP="008A041B">
      <w:pPr>
        <w:pStyle w:val="ListParagraph"/>
      </w:pPr>
    </w:p>
    <w:p w14:paraId="7A7CA534" w14:textId="77777777" w:rsidR="00E742E9" w:rsidRDefault="00E742E9" w:rsidP="00E742E9">
      <w:pPr>
        <w:pStyle w:val="Caption"/>
        <w:keepNext/>
      </w:pPr>
      <w:r>
        <w:lastRenderedPageBreak/>
        <w:t xml:space="preserve">Chart </w:t>
      </w:r>
      <w:r w:rsidR="00B6785B">
        <w:rPr>
          <w:noProof/>
        </w:rPr>
        <w:fldChar w:fldCharType="begin"/>
      </w:r>
      <w:r w:rsidR="00B6785B">
        <w:rPr>
          <w:noProof/>
        </w:rPr>
        <w:instrText xml:space="preserve"> SEQ Chart \* ARABIC </w:instrText>
      </w:r>
      <w:r w:rsidR="00B6785B">
        <w:rPr>
          <w:noProof/>
        </w:rPr>
        <w:fldChar w:fldCharType="separate"/>
      </w:r>
      <w:r w:rsidR="009A2669">
        <w:rPr>
          <w:noProof/>
        </w:rPr>
        <w:t>4</w:t>
      </w:r>
      <w:r w:rsidR="00B6785B">
        <w:rPr>
          <w:noProof/>
        </w:rPr>
        <w:fldChar w:fldCharType="end"/>
      </w:r>
      <w:r>
        <w:t>: Most Common Findings, 2014-2018</w:t>
      </w:r>
      <w:r w:rsidR="00846508">
        <w:t xml:space="preserve"> </w:t>
      </w:r>
      <w:r w:rsidR="00846508">
        <w:rPr>
          <w:rStyle w:val="FootnoteReference"/>
        </w:rPr>
        <w:footnoteReference w:id="9"/>
      </w:r>
      <w:r w:rsidR="00846508">
        <w:t xml:space="preserve"> </w:t>
      </w:r>
      <w:r w:rsidR="002B2F1D">
        <w:rPr>
          <w:rStyle w:val="FootnoteReference"/>
        </w:rPr>
        <w:footnoteReference w:id="10"/>
      </w:r>
    </w:p>
    <w:p w14:paraId="1ADABB59" w14:textId="77777777" w:rsidR="00E742E9" w:rsidRDefault="00EF2152" w:rsidP="004B2688">
      <w:r>
        <w:rPr>
          <w:noProof/>
          <w:lang w:eastAsia="zh-CN"/>
        </w:rPr>
        <w:drawing>
          <wp:inline distT="0" distB="0" distL="0" distR="0" wp14:anchorId="3ABEEEC4" wp14:editId="49DAB8DC">
            <wp:extent cx="6157595" cy="4627245"/>
            <wp:effectExtent l="0" t="0" r="0" b="1905"/>
            <wp:docPr id="12" name="Picture 12" descr="Chart 4: Most Common Findings,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7595" cy="4627245"/>
                    </a:xfrm>
                    <a:prstGeom prst="rect">
                      <a:avLst/>
                    </a:prstGeom>
                    <a:noFill/>
                  </pic:spPr>
                </pic:pic>
              </a:graphicData>
            </a:graphic>
          </wp:inline>
        </w:drawing>
      </w:r>
    </w:p>
    <w:p w14:paraId="5451F7C2" w14:textId="2FD76BA3" w:rsidR="00254ADD" w:rsidRDefault="00E64F6E" w:rsidP="00556571">
      <w:r>
        <w:t>T</w:t>
      </w:r>
      <w:r w:rsidR="00556571">
        <w:t>he most common finding across all four years is</w:t>
      </w:r>
      <w:r>
        <w:t xml:space="preserve"> Criteria</w:t>
      </w:r>
      <w:r w:rsidR="00556571">
        <w:t xml:space="preserve"> FBE 9: Supervising Practitioners and Program Supervisors receive training, support and development from the SO that impacts candidate effectiveness. While robust training for supervisors is of critical importance to meeting expectations outlined in the Candidate Assessment of Performance, for most SOs, this was a finding due to the lack of systems to train and support Supervising Practitioners</w:t>
      </w:r>
      <w:r w:rsidR="001D11F4">
        <w:t xml:space="preserve"> specifically</w:t>
      </w:r>
      <w:r w:rsidR="00556571">
        <w:t xml:space="preserve">. DESE </w:t>
      </w:r>
      <w:r w:rsidR="001D11F4">
        <w:t xml:space="preserve">has addressed </w:t>
      </w:r>
      <w:r w:rsidR="00556571">
        <w:t xml:space="preserve">the need for support in this area by providing SOs with tools and resources for training, including </w:t>
      </w:r>
      <w:hyperlink r:id="rId21" w:history="1">
        <w:r w:rsidR="00556571" w:rsidRPr="00A233DC">
          <w:rPr>
            <w:rStyle w:val="Hyperlink"/>
          </w:rPr>
          <w:t>CAP Training Modules</w:t>
        </w:r>
      </w:hyperlink>
      <w:r w:rsidR="00556571">
        <w:t xml:space="preserve">, the </w:t>
      </w:r>
      <w:hyperlink r:id="rId22" w:history="1">
        <w:r w:rsidR="00556571" w:rsidRPr="00A233DC">
          <w:rPr>
            <w:rStyle w:val="Hyperlink"/>
          </w:rPr>
          <w:t>Online Calibration Tool</w:t>
        </w:r>
      </w:hyperlink>
      <w:r w:rsidR="00556571">
        <w:t xml:space="preserve">, and the </w:t>
      </w:r>
      <w:hyperlink r:id="rId23" w:history="1">
        <w:r w:rsidR="00556571" w:rsidRPr="00A233DC">
          <w:rPr>
            <w:rStyle w:val="Hyperlink"/>
          </w:rPr>
          <w:t>Teacher Educator Effectiveness Practices Framework</w:t>
        </w:r>
      </w:hyperlink>
      <w:r w:rsidR="00556571">
        <w:t>.</w:t>
      </w:r>
    </w:p>
    <w:p w14:paraId="679AB0AE" w14:textId="77777777" w:rsidR="00E742E9" w:rsidRDefault="00E742E9" w:rsidP="00E742E9">
      <w:r>
        <w:lastRenderedPageBreak/>
        <w:t xml:space="preserve">Though the domain with the most SOs needing improvement is </w:t>
      </w:r>
      <w:r w:rsidR="000C46CC">
        <w:t>FBE</w:t>
      </w:r>
      <w:r>
        <w:t xml:space="preserve">, the four criteria with the fewest findings across reviews are all from that domain. This indicates that, while many SOs lack systems to ensure Supervising Practitioners are trained and supported or ensure partners are involved in the design of field-based experiences, most SOs have other programmatic structures for field-based experiences in place. </w:t>
      </w:r>
    </w:p>
    <w:p w14:paraId="3478EFEF" w14:textId="77777777" w:rsidR="00EF2152" w:rsidRDefault="00EF2152" w:rsidP="002B2F1D">
      <w:pPr>
        <w:pStyle w:val="Caption"/>
        <w:keepNext/>
      </w:pPr>
      <w:r>
        <w:t xml:space="preserve">Chart </w:t>
      </w:r>
      <w:r w:rsidR="00B6785B">
        <w:rPr>
          <w:noProof/>
        </w:rPr>
        <w:fldChar w:fldCharType="begin"/>
      </w:r>
      <w:r w:rsidR="00B6785B">
        <w:rPr>
          <w:noProof/>
        </w:rPr>
        <w:instrText xml:space="preserve"> SEQ Chart \* ARABIC </w:instrText>
      </w:r>
      <w:r w:rsidR="00B6785B">
        <w:rPr>
          <w:noProof/>
        </w:rPr>
        <w:fldChar w:fldCharType="separate"/>
      </w:r>
      <w:r w:rsidR="009A2669">
        <w:rPr>
          <w:noProof/>
        </w:rPr>
        <w:t>5</w:t>
      </w:r>
      <w:r w:rsidR="00B6785B">
        <w:rPr>
          <w:noProof/>
        </w:rPr>
        <w:fldChar w:fldCharType="end"/>
      </w:r>
      <w:r>
        <w:t>: C</w:t>
      </w:r>
      <w:r w:rsidRPr="00D510EA">
        <w:t xml:space="preserve">riteria with </w:t>
      </w:r>
      <w:r w:rsidR="000C46CC">
        <w:t>F</w:t>
      </w:r>
      <w:r w:rsidRPr="00D510EA">
        <w:t xml:space="preserve">ewest </w:t>
      </w:r>
      <w:r w:rsidR="000C46CC">
        <w:t>F</w:t>
      </w:r>
      <w:r w:rsidRPr="00D510EA">
        <w:t>indings, 2014-2018</w:t>
      </w:r>
    </w:p>
    <w:p w14:paraId="1E996CCF" w14:textId="77777777" w:rsidR="00EF2152" w:rsidRPr="00EF2152" w:rsidRDefault="00EF2152" w:rsidP="002B2F1D">
      <w:r>
        <w:rPr>
          <w:noProof/>
          <w:lang w:eastAsia="zh-CN"/>
        </w:rPr>
        <w:drawing>
          <wp:inline distT="0" distB="0" distL="0" distR="0" wp14:anchorId="66F299B9" wp14:editId="04004B31">
            <wp:extent cx="5508625" cy="3248025"/>
            <wp:effectExtent l="0" t="0" r="15875" b="9525"/>
            <wp:docPr id="13" name="Chart 13" descr="Chart 5: Criteria with Fewest Findings, 2014-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EEFF186" w14:textId="77777777" w:rsidR="00E742E9" w:rsidRDefault="00E742E9" w:rsidP="00E742E9"/>
    <w:p w14:paraId="5611A7F3" w14:textId="77777777" w:rsidR="00254ADD" w:rsidRDefault="00180AEB" w:rsidP="00180AEB">
      <w:pPr>
        <w:pStyle w:val="Heading2"/>
      </w:pPr>
      <w:bookmarkStart w:id="9" w:name="_Toc533073503"/>
      <w:r>
        <w:t>D</w:t>
      </w:r>
      <w:r w:rsidR="00254ADD">
        <w:t>iversity</w:t>
      </w:r>
      <w:r>
        <w:t xml:space="preserve"> Criteria</w:t>
      </w:r>
      <w:bookmarkEnd w:id="9"/>
    </w:p>
    <w:p w14:paraId="7E65024B" w14:textId="77777777" w:rsidR="006E5450" w:rsidRDefault="0054254F" w:rsidP="0054254F">
      <w:r>
        <w:t xml:space="preserve">The Massachusetts Advocates for Diversity in Education (MADE) Taskforce advised </w:t>
      </w:r>
      <w:r w:rsidR="000C46CC">
        <w:t>D</w:t>
      </w:r>
      <w:r>
        <w:t xml:space="preserve">ESE to “increase the transparency and accountability of preparation program efforts to diversify their enrollment and program completion.” In accordance with this recommendation, </w:t>
      </w:r>
      <w:r w:rsidR="000C46CC">
        <w:t>D</w:t>
      </w:r>
      <w:r>
        <w:t xml:space="preserve">ESE publishes results of reviews pertaining to diversity criteria. For the criteria of “Systems to recruit and admit candidates result in the increased racial and ethnic diversity of completers in the workforce” (CAN 1), </w:t>
      </w:r>
      <w:r w:rsidR="000C46CC">
        <w:t>D</w:t>
      </w:r>
      <w:r>
        <w:t xml:space="preserve">ESE gave five </w:t>
      </w:r>
      <w:r w:rsidR="00773A41">
        <w:t>“</w:t>
      </w:r>
      <w:r>
        <w:t>commendations,</w:t>
      </w:r>
      <w:r w:rsidR="00773A41">
        <w:t>”</w:t>
      </w:r>
      <w:r>
        <w:t xml:space="preserve"> thirteen </w:t>
      </w:r>
      <w:r w:rsidR="00773A41">
        <w:t>“</w:t>
      </w:r>
      <w:r>
        <w:t>met</w:t>
      </w:r>
      <w:r w:rsidR="00773A41">
        <w:t>”</w:t>
      </w:r>
      <w:r>
        <w:t xml:space="preserve"> ratings, and twelve </w:t>
      </w:r>
      <w:r w:rsidR="00773A41">
        <w:t>“</w:t>
      </w:r>
      <w:r>
        <w:t>findings.</w:t>
      </w:r>
      <w:r w:rsidR="00B6785B">
        <w:t>”</w:t>
      </w:r>
      <w:r>
        <w:rPr>
          <w:rStyle w:val="FootnoteReference"/>
        </w:rPr>
        <w:footnoteReference w:id="11"/>
      </w:r>
      <w:r w:rsidR="008B3586">
        <w:t xml:space="preserve"> </w:t>
      </w:r>
      <w:r w:rsidR="006E5450">
        <w:t>The proportion of findings for this criterion is reflected in the stagnant growth in completers of color statewide during this period. In 2014-</w:t>
      </w:r>
      <w:r w:rsidR="000C46CC">
        <w:t>20</w:t>
      </w:r>
      <w:r w:rsidR="006E5450">
        <w:t>15, 89 percent of program completers identified as white, compared to 88 percent in 2015-</w:t>
      </w:r>
      <w:r w:rsidR="000C46CC">
        <w:t>20</w:t>
      </w:r>
      <w:r w:rsidR="006E5450">
        <w:t>16, 89 percent in 2016-</w:t>
      </w:r>
      <w:r w:rsidR="000C46CC">
        <w:t>20</w:t>
      </w:r>
      <w:r w:rsidR="006E5450">
        <w:t>17, and 88 percent in 2017-</w:t>
      </w:r>
      <w:r w:rsidR="000C46CC">
        <w:t>20</w:t>
      </w:r>
      <w:r w:rsidR="006E5450">
        <w:t>18.</w:t>
      </w:r>
    </w:p>
    <w:p w14:paraId="04160278" w14:textId="77777777" w:rsidR="00180AEB" w:rsidRDefault="00180AEB" w:rsidP="00180AEB">
      <w:pPr>
        <w:pStyle w:val="Heading2"/>
      </w:pPr>
      <w:bookmarkStart w:id="10" w:name="_Toc533073504"/>
      <w:r>
        <w:lastRenderedPageBreak/>
        <w:t>Commendations</w:t>
      </w:r>
      <w:bookmarkEnd w:id="10"/>
    </w:p>
    <w:p w14:paraId="5B695596" w14:textId="77777777" w:rsidR="00D67CCF" w:rsidRDefault="005F13D2" w:rsidP="00D1154F">
      <w:r>
        <w:t>Commendations are reserved for truly exception</w:t>
      </w:r>
      <w:r w:rsidR="00D05D3B">
        <w:t>al</w:t>
      </w:r>
      <w:r>
        <w:t xml:space="preserve">, innovative, or outstanding practices that would serve as a model for other SOs. A commendation requires compelling evidence, particularly evidence of impact. DESE awarded 46 commendations </w:t>
      </w:r>
      <w:r w:rsidR="00CE3724">
        <w:t>across</w:t>
      </w:r>
      <w:r>
        <w:t xml:space="preserve"> nine SOs between 2014-2018. </w:t>
      </w:r>
      <w:r w:rsidR="002B2F1D">
        <w:t xml:space="preserve">One SO received 15 commendations. The other eight SOs received between </w:t>
      </w:r>
      <w:r w:rsidR="00D05D3B">
        <w:t>1</w:t>
      </w:r>
      <w:r w:rsidR="002B2F1D">
        <w:t xml:space="preserve"> and </w:t>
      </w:r>
      <w:r w:rsidR="00D05D3B">
        <w:t>11</w:t>
      </w:r>
      <w:r w:rsidR="002B2F1D">
        <w:t xml:space="preserve"> commendations.</w:t>
      </w:r>
      <w:r w:rsidR="00D67CCF">
        <w:t xml:space="preserve"> </w:t>
      </w:r>
    </w:p>
    <w:p w14:paraId="73054AD5" w14:textId="77777777" w:rsidR="005F13D2" w:rsidRDefault="005F13D2" w:rsidP="00D1154F">
      <w:r>
        <w:t xml:space="preserve">Though </w:t>
      </w:r>
      <w:r w:rsidRPr="005F13D2">
        <w:rPr>
          <w:b/>
        </w:rPr>
        <w:t>CAN 1:</w:t>
      </w:r>
      <w:r>
        <w:t xml:space="preserve"> </w:t>
      </w:r>
      <w:r w:rsidRPr="005F13D2">
        <w:rPr>
          <w:i/>
        </w:rPr>
        <w:t>Systems to recruit and admit candidates result in the increased racial and ethnic diversity of completers in the workforce</w:t>
      </w:r>
      <w:r>
        <w:t xml:space="preserve"> was among the criteria with the most findings</w:t>
      </w:r>
      <w:r w:rsidR="00773A41">
        <w:t>,</w:t>
      </w:r>
      <w:r>
        <w:t xml:space="preserve"> it was also one of two criteria with five commendations granted across the four years. The SOs that received commendations in this area </w:t>
      </w:r>
      <w:r w:rsidR="00773A41">
        <w:t xml:space="preserve">demonstrated </w:t>
      </w:r>
      <w:r>
        <w:t xml:space="preserve">intentional systems to recruit, admit, and support diverse candidates. </w:t>
      </w:r>
      <w:r w:rsidR="00387979">
        <w:t xml:space="preserve">Several </w:t>
      </w:r>
      <w:r w:rsidR="00773A41">
        <w:t xml:space="preserve">of these </w:t>
      </w:r>
      <w:r w:rsidR="00387979">
        <w:t xml:space="preserve">SOs </w:t>
      </w:r>
      <w:r w:rsidR="00D67CCF">
        <w:t>recruit</w:t>
      </w:r>
      <w:r w:rsidR="00387979">
        <w:t xml:space="preserve"> from partner districts/schools</w:t>
      </w:r>
      <w:r w:rsidR="00D67CCF">
        <w:t xml:space="preserve"> and </w:t>
      </w:r>
      <w:r w:rsidR="00387979">
        <w:t>through events with undergraduate and/or high school</w:t>
      </w:r>
      <w:r w:rsidR="00773A41">
        <w:t xml:space="preserve"> students</w:t>
      </w:r>
      <w:r w:rsidR="00387979">
        <w:t xml:space="preserve"> of color</w:t>
      </w:r>
      <w:r w:rsidR="00D67CCF">
        <w:t xml:space="preserve">. </w:t>
      </w:r>
      <w:r w:rsidR="00773A41">
        <w:t xml:space="preserve">Several </w:t>
      </w:r>
      <w:r w:rsidR="00D67CCF">
        <w:t xml:space="preserve">SOs offered additional advising and academic support, scholarships, and/or conditional admittance offers to students from historically underserved </w:t>
      </w:r>
      <w:r w:rsidR="00CD0577">
        <w:t>communities</w:t>
      </w:r>
      <w:r w:rsidR="00773A41">
        <w:t>, and s</w:t>
      </w:r>
      <w:r w:rsidR="00D67CCF">
        <w:t>ome SOs increased efforts to diversify their faculty to better reflect the communities they serve.</w:t>
      </w:r>
      <w:r w:rsidR="00387979">
        <w:t xml:space="preserve"> </w:t>
      </w:r>
      <w:r>
        <w:t>While each SO used unique strategies, they all demonstrated the impact of their work through higher</w:t>
      </w:r>
      <w:r w:rsidR="00773A41">
        <w:t>-</w:t>
      </w:r>
      <w:r>
        <w:t>than</w:t>
      </w:r>
      <w:r w:rsidR="00773A41">
        <w:t>-</w:t>
      </w:r>
      <w:r>
        <w:t xml:space="preserve">average </w:t>
      </w:r>
      <w:r w:rsidR="00D67CCF">
        <w:t xml:space="preserve">and often </w:t>
      </w:r>
      <w:r w:rsidR="00D67CCF" w:rsidRPr="00B6785B">
        <w:rPr>
          <w:i/>
        </w:rPr>
        <w:t>increasing</w:t>
      </w:r>
      <w:r w:rsidR="00D67CCF">
        <w:t xml:space="preserve"> </w:t>
      </w:r>
      <w:r>
        <w:t>percentages of diverse candidates and completers.</w:t>
      </w:r>
    </w:p>
    <w:p w14:paraId="2D14CA70" w14:textId="77777777" w:rsidR="005F13D2" w:rsidRPr="00176080" w:rsidRDefault="005F13D2" w:rsidP="00D1154F">
      <w:r>
        <w:t xml:space="preserve">The other criterion with five commendations was </w:t>
      </w:r>
      <w:r w:rsidRPr="005F13D2">
        <w:rPr>
          <w:b/>
        </w:rPr>
        <w:t>CAN 2:</w:t>
      </w:r>
      <w:r>
        <w:t xml:space="preserve"> </w:t>
      </w:r>
      <w:r w:rsidRPr="005F13D2">
        <w:rPr>
          <w:i/>
        </w:rPr>
        <w:t>Admission criteria and processes are rigorous such that those admitted demonstrate success in the</w:t>
      </w:r>
      <w:r w:rsidRPr="005F13D2">
        <w:t xml:space="preserve"> </w:t>
      </w:r>
      <w:r w:rsidRPr="005F13D2">
        <w:rPr>
          <w:i/>
        </w:rPr>
        <w:t>program and during employment in the licensure role.</w:t>
      </w:r>
      <w:r>
        <w:rPr>
          <w:i/>
        </w:rPr>
        <w:t xml:space="preserve"> </w:t>
      </w:r>
      <w:r w:rsidR="00176080">
        <w:t xml:space="preserve">The SOs that received commendations in this criterion </w:t>
      </w:r>
      <w:r w:rsidR="00773A41">
        <w:t>demonstrated</w:t>
      </w:r>
      <w:r w:rsidR="00176080">
        <w:t xml:space="preserve"> established systems for ensuring that only those candidates with the dispositions and commitment to working as an educator </w:t>
      </w:r>
      <w:r w:rsidR="00773A41">
        <w:t xml:space="preserve">gained admittance </w:t>
      </w:r>
      <w:r w:rsidR="00176080">
        <w:t xml:space="preserve">to their programs. </w:t>
      </w:r>
      <w:r w:rsidR="00773A41">
        <w:t xml:space="preserve">Common </w:t>
      </w:r>
      <w:r w:rsidR="00176080">
        <w:t xml:space="preserve">structures included interviews, mini lessons, and group or individual activities </w:t>
      </w:r>
      <w:r w:rsidR="00773A41">
        <w:t xml:space="preserve">in which prospective candidates </w:t>
      </w:r>
      <w:r w:rsidR="00176080">
        <w:t>demonstrate</w:t>
      </w:r>
      <w:r w:rsidR="00773A41">
        <w:t>d specific</w:t>
      </w:r>
      <w:r w:rsidR="00176080">
        <w:t xml:space="preserve"> skills and dispositions. Several of these SOs had evidence of impact that their completers were employed in M</w:t>
      </w:r>
      <w:r w:rsidR="000C46CC">
        <w:t>assachusetts</w:t>
      </w:r>
      <w:r w:rsidR="00176080">
        <w:t xml:space="preserve"> public schools and were more effective than their peers.</w:t>
      </w:r>
    </w:p>
    <w:p w14:paraId="11A6E44F" w14:textId="77777777" w:rsidR="00254ADD" w:rsidRDefault="00254ADD" w:rsidP="00180AEB">
      <w:pPr>
        <w:pStyle w:val="Heading1"/>
      </w:pPr>
      <w:bookmarkStart w:id="11" w:name="_Toc533073505"/>
      <w:r>
        <w:t>Evaluation of the</w:t>
      </w:r>
      <w:r w:rsidR="00180AEB">
        <w:t xml:space="preserve"> Consistency, Efficacy, and Efficiency of the Formal Review</w:t>
      </w:r>
      <w:r>
        <w:t xml:space="preserve"> Process</w:t>
      </w:r>
      <w:bookmarkEnd w:id="11"/>
    </w:p>
    <w:p w14:paraId="4A917853" w14:textId="77777777" w:rsidR="001E0EA5" w:rsidRDefault="001E0EA5" w:rsidP="001E0EA5">
      <w:r>
        <w:t>DESE articulates three expectations around which the review process is built. The formal review process is designed to be:</w:t>
      </w:r>
    </w:p>
    <w:p w14:paraId="49C1E8E2" w14:textId="77777777" w:rsidR="001E0EA5" w:rsidRDefault="001E0EA5" w:rsidP="001E0EA5">
      <w:pPr>
        <w:pStyle w:val="ListParagraph"/>
        <w:numPr>
          <w:ilvl w:val="0"/>
          <w:numId w:val="3"/>
        </w:numPr>
      </w:pPr>
      <w:r w:rsidRPr="001E0EA5">
        <w:rPr>
          <w:b/>
        </w:rPr>
        <w:t>Consistent:</w:t>
      </w:r>
      <w:r>
        <w:t xml:space="preserve"> within and across organizations in terms of execution and calibration of results.</w:t>
      </w:r>
    </w:p>
    <w:p w14:paraId="2F10130C" w14:textId="77777777" w:rsidR="001E0EA5" w:rsidRDefault="001E0EA5" w:rsidP="001E0EA5">
      <w:pPr>
        <w:pStyle w:val="ListParagraph"/>
        <w:numPr>
          <w:ilvl w:val="0"/>
          <w:numId w:val="3"/>
        </w:numPr>
      </w:pPr>
      <w:r w:rsidRPr="001E0EA5">
        <w:rPr>
          <w:b/>
        </w:rPr>
        <w:t>Effective:</w:t>
      </w:r>
      <w:r>
        <w:t xml:space="preserve"> built on a solid evidentiary base for decision-making and appropriately differentiates within and among organizations.</w:t>
      </w:r>
    </w:p>
    <w:p w14:paraId="16B7913F" w14:textId="77777777" w:rsidR="001E0EA5" w:rsidRDefault="001E0EA5" w:rsidP="001E0EA5">
      <w:pPr>
        <w:pStyle w:val="ListParagraph"/>
        <w:numPr>
          <w:ilvl w:val="0"/>
          <w:numId w:val="3"/>
        </w:numPr>
      </w:pPr>
      <w:r w:rsidRPr="001E0EA5">
        <w:rPr>
          <w:b/>
        </w:rPr>
        <w:t>Efficient:</w:t>
      </w:r>
      <w:r>
        <w:t xml:space="preserve"> streamlined, targeted, and systematic; any investment of efforts leads to improved outcomes.</w:t>
      </w:r>
    </w:p>
    <w:p w14:paraId="1B4BE838" w14:textId="77777777" w:rsidR="001E0EA5" w:rsidRDefault="001E0EA5" w:rsidP="001E0EA5">
      <w:r>
        <w:t xml:space="preserve">DESE surveys both SOs who underwent review and the reviewers that volunteered to evaluate the quality of preparation against the program approval criteria. </w:t>
      </w:r>
      <w:r w:rsidR="000C46CC">
        <w:t>DESE</w:t>
      </w:r>
      <w:r>
        <w:t xml:space="preserve"> use</w:t>
      </w:r>
      <w:r w:rsidR="000C46CC">
        <w:t>s</w:t>
      </w:r>
      <w:r>
        <w:t xml:space="preserve"> this data to inform efforts to continuously strengthen the formal review process</w:t>
      </w:r>
      <w:r w:rsidR="00773A41">
        <w:t xml:space="preserve">, and </w:t>
      </w:r>
      <w:r>
        <w:t>share</w:t>
      </w:r>
      <w:r w:rsidR="000C46CC">
        <w:t>s</w:t>
      </w:r>
      <w:r>
        <w:t xml:space="preserve"> the high-level results as a way to </w:t>
      </w:r>
      <w:r w:rsidR="00FC06EF">
        <w:t>indicat</w:t>
      </w:r>
      <w:r>
        <w:t>e our analysis and associated next steps.</w:t>
      </w:r>
    </w:p>
    <w:p w14:paraId="4A186703" w14:textId="77777777" w:rsidR="00CD0577" w:rsidRDefault="00CD0577" w:rsidP="00CD0577"/>
    <w:p w14:paraId="2534C08C" w14:textId="77777777" w:rsidR="0030346C" w:rsidRDefault="0030346C" w:rsidP="00CD0577"/>
    <w:tbl>
      <w:tblPr>
        <w:tblW w:w="0" w:type="auto"/>
        <w:tblLook w:val="04A0" w:firstRow="1" w:lastRow="0" w:firstColumn="1" w:lastColumn="0" w:noHBand="0" w:noVBand="1"/>
      </w:tblPr>
      <w:tblGrid>
        <w:gridCol w:w="1095"/>
        <w:gridCol w:w="8265"/>
      </w:tblGrid>
      <w:tr w:rsidR="00CD0577" w14:paraId="7C58CA90" w14:textId="77777777" w:rsidTr="0064768B">
        <w:trPr>
          <w:trHeight w:val="810"/>
        </w:trPr>
        <w:tc>
          <w:tcPr>
            <w:tcW w:w="1095" w:type="dxa"/>
            <w:vAlign w:val="center"/>
          </w:tcPr>
          <w:p w14:paraId="73CB8842" w14:textId="77777777" w:rsidR="00CD0577" w:rsidRDefault="00CD0577" w:rsidP="0064768B">
            <w:pPr>
              <w:spacing w:after="0"/>
            </w:pPr>
            <w:r>
              <w:rPr>
                <w:noProof/>
                <w:color w:val="538135"/>
                <w:lang w:eastAsia="zh-CN"/>
              </w:rPr>
              <w:lastRenderedPageBreak/>
              <w:drawing>
                <wp:inline distT="0" distB="0" distL="0" distR="0" wp14:anchorId="1A514961" wp14:editId="3B78D904">
                  <wp:extent cx="501650" cy="444500"/>
                  <wp:effectExtent l="0" t="0" r="0" b="0"/>
                  <wp:docPr id="15" name="Picture 288" descr="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ata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650" cy="444500"/>
                          </a:xfrm>
                          <a:prstGeom prst="rect">
                            <a:avLst/>
                          </a:prstGeom>
                          <a:noFill/>
                          <a:ln>
                            <a:noFill/>
                          </a:ln>
                        </pic:spPr>
                      </pic:pic>
                    </a:graphicData>
                  </a:graphic>
                </wp:inline>
              </w:drawing>
            </w:r>
          </w:p>
        </w:tc>
        <w:tc>
          <w:tcPr>
            <w:tcW w:w="8265" w:type="dxa"/>
            <w:shd w:val="clear" w:color="auto" w:fill="5B9BD5"/>
            <w:vAlign w:val="center"/>
          </w:tcPr>
          <w:p w14:paraId="62373E2A" w14:textId="77777777" w:rsidR="00CD0577" w:rsidRPr="003D16FA" w:rsidRDefault="00CD0577" w:rsidP="0064768B">
            <w:pPr>
              <w:spacing w:after="0"/>
              <w:rPr>
                <w:b/>
                <w:color w:val="FFFFFF"/>
              </w:rPr>
            </w:pPr>
            <w:r w:rsidRPr="00CD0577">
              <w:rPr>
                <w:b/>
                <w:color w:val="FFFFFF"/>
              </w:rPr>
              <w:t>Across the four years of data, the results from the Formal Review Feedback survey indicate an increasing level of confidence in the consistency and efficacy of the process for external reviewers versus a decreasing level of confidence from SOs who underwent review.</w:t>
            </w:r>
          </w:p>
        </w:tc>
      </w:tr>
    </w:tbl>
    <w:p w14:paraId="755FF96F" w14:textId="77777777" w:rsidR="00CD0577" w:rsidRDefault="00CD0577" w:rsidP="001E0EA5"/>
    <w:p w14:paraId="7DF112BA" w14:textId="77777777" w:rsidR="001E0EA5" w:rsidRPr="001E0EA5" w:rsidRDefault="001E0EA5" w:rsidP="001E0EA5"/>
    <w:p w14:paraId="24687012" w14:textId="77777777" w:rsidR="00254ADD" w:rsidRDefault="00254ADD" w:rsidP="00180AEB">
      <w:pPr>
        <w:pStyle w:val="Heading2"/>
      </w:pPr>
      <w:bookmarkStart w:id="12" w:name="_Toc533073506"/>
      <w:r>
        <w:t xml:space="preserve">Formal Review </w:t>
      </w:r>
      <w:r w:rsidR="00180AEB">
        <w:t>C</w:t>
      </w:r>
      <w:r>
        <w:t>onsistency</w:t>
      </w:r>
      <w:bookmarkEnd w:id="12"/>
    </w:p>
    <w:p w14:paraId="55A017D0" w14:textId="77777777" w:rsidR="005E7DD5" w:rsidRDefault="005E7DD5" w:rsidP="005E7DD5">
      <w:pPr>
        <w:pStyle w:val="Caption"/>
        <w:keepNext/>
      </w:pPr>
      <w:r>
        <w:t xml:space="preserve">Chart </w:t>
      </w:r>
      <w:r w:rsidR="00B6785B">
        <w:rPr>
          <w:noProof/>
        </w:rPr>
        <w:fldChar w:fldCharType="begin"/>
      </w:r>
      <w:r w:rsidR="00B6785B">
        <w:rPr>
          <w:noProof/>
        </w:rPr>
        <w:instrText xml:space="preserve"> SEQ Chart \* ARABIC </w:instrText>
      </w:r>
      <w:r w:rsidR="00B6785B">
        <w:rPr>
          <w:noProof/>
        </w:rPr>
        <w:fldChar w:fldCharType="separate"/>
      </w:r>
      <w:r w:rsidR="009A2669">
        <w:rPr>
          <w:noProof/>
        </w:rPr>
        <w:t>6</w:t>
      </w:r>
      <w:r w:rsidR="00B6785B">
        <w:rPr>
          <w:noProof/>
        </w:rPr>
        <w:fldChar w:fldCharType="end"/>
      </w:r>
      <w:r>
        <w:t>: Perceptions of Review Consistency, 2014-2018</w:t>
      </w:r>
    </w:p>
    <w:p w14:paraId="79BE6605" w14:textId="77777777" w:rsidR="00A4693E" w:rsidRDefault="00A4693E" w:rsidP="005E7DD5">
      <w:r>
        <w:rPr>
          <w:noProof/>
          <w:lang w:eastAsia="zh-CN"/>
        </w:rPr>
        <w:drawing>
          <wp:inline distT="0" distB="0" distL="0" distR="0" wp14:anchorId="262A52EF" wp14:editId="40BC648E">
            <wp:extent cx="6108700" cy="2743200"/>
            <wp:effectExtent l="0" t="0" r="6350" b="0"/>
            <wp:docPr id="10" name="Chart 10" descr="Chart 6: Perceptions of Review Consistentcy, 2014-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85CB765" w14:textId="77777777" w:rsidR="005E7DD5" w:rsidRDefault="00CD0577" w:rsidP="005E7DD5">
      <w:r>
        <w:t>SOs under review expressed comparatively less confidence in the consistency of the review process as compared to reviewers.</w:t>
      </w:r>
      <w:r w:rsidR="00A0771B">
        <w:t xml:space="preserve"> The level of confidence of SOs has also decreased from 78 percent reporting a high confidence level in 2014-</w:t>
      </w:r>
      <w:r w:rsidR="00FC06EF">
        <w:t>20</w:t>
      </w:r>
      <w:r w:rsidR="00A0771B">
        <w:t>15 to 50 percent in 2017-2018. During this same period, reviewers’ level of confidence in the consistency of the review process had the opposite trend: it increased from 73 percent reporting a high confidence level in 2014-2015 to 97 percent in 2017-2018.</w:t>
      </w:r>
    </w:p>
    <w:p w14:paraId="37F44E9F" w14:textId="77777777" w:rsidR="00A0771B" w:rsidRDefault="00A0771B" w:rsidP="00A0771B">
      <w:r>
        <w:t>Consistency is one of the hallmarks of the review process. The state holds all SOs to the same rigorous expectations and they</w:t>
      </w:r>
      <w:r w:rsidR="00FC06EF">
        <w:t>,</w:t>
      </w:r>
      <w:r>
        <w:t xml:space="preserve"> therefore</w:t>
      </w:r>
      <w:r w:rsidR="00FC06EF">
        <w:t>,</w:t>
      </w:r>
      <w:r>
        <w:t xml:space="preserve"> undergo the same review process. To establish consistency across reviews, DESE uses the same materials with all SOs</w:t>
      </w:r>
      <w:r w:rsidR="0003035B">
        <w:t>,</w:t>
      </w:r>
      <w:r>
        <w:t xml:space="preserve"> including: toolkits and worksheets, guidance documents, evaluation tools, program approval criteria, and interview and focus group protocols. Reviewers all undergo the same training and are required to complete calibration exercises. DESE maintains the level of integrity across all reviews with internal vetting structures in place to ensure consistency in judgments across reviews.</w:t>
      </w:r>
    </w:p>
    <w:p w14:paraId="3278F4B1" w14:textId="77777777" w:rsidR="00A0771B" w:rsidRPr="00A4693E" w:rsidRDefault="00A0771B" w:rsidP="00A0771B">
      <w:r>
        <w:t xml:space="preserve">The increasing level of confidence in the consistency of the review process from reviewers is a strong indication that the stakeholders involved in the behind-the-scenes collection and analysis of evidence and determination of ratings can see how these efforts lead to consistency across reviews. DESE will continue to improve communications with SOs to ensure the steps </w:t>
      </w:r>
      <w:r w:rsidR="00FC06EF">
        <w:t>taken</w:t>
      </w:r>
      <w:r>
        <w:t xml:space="preserve"> to ensure consistency across reviews are </w:t>
      </w:r>
      <w:r w:rsidR="0003035B">
        <w:t xml:space="preserve">similarly </w:t>
      </w:r>
      <w:r>
        <w:t>clear</w:t>
      </w:r>
      <w:r w:rsidR="00BE0D1F">
        <w:t>.</w:t>
      </w:r>
      <w:r>
        <w:t xml:space="preserve"> </w:t>
      </w:r>
      <w:r w:rsidR="00BE0D1F">
        <w:br/>
      </w:r>
    </w:p>
    <w:p w14:paraId="654FF65A" w14:textId="77777777" w:rsidR="00254ADD" w:rsidRDefault="00180AEB" w:rsidP="00180AEB">
      <w:pPr>
        <w:pStyle w:val="Heading2"/>
      </w:pPr>
      <w:bookmarkStart w:id="13" w:name="_Toc533073507"/>
      <w:r>
        <w:lastRenderedPageBreak/>
        <w:t xml:space="preserve">Formal Review </w:t>
      </w:r>
      <w:r w:rsidR="00254ADD">
        <w:t>Efficacy</w:t>
      </w:r>
      <w:bookmarkEnd w:id="13"/>
    </w:p>
    <w:p w14:paraId="47AAC28C" w14:textId="77777777" w:rsidR="00FC06EF" w:rsidRDefault="00FC06EF" w:rsidP="00FC06EF">
      <w:pPr>
        <w:pStyle w:val="Caption"/>
        <w:keepNext/>
      </w:pPr>
      <w:r>
        <w:t xml:space="preserve">Chart </w:t>
      </w:r>
      <w:r w:rsidR="00033C40">
        <w:rPr>
          <w:noProof/>
        </w:rPr>
        <w:fldChar w:fldCharType="begin"/>
      </w:r>
      <w:r w:rsidR="00033C40">
        <w:rPr>
          <w:noProof/>
        </w:rPr>
        <w:instrText xml:space="preserve"> SEQ Chart \* ARABIC </w:instrText>
      </w:r>
      <w:r w:rsidR="00033C40">
        <w:rPr>
          <w:noProof/>
        </w:rPr>
        <w:fldChar w:fldCharType="separate"/>
      </w:r>
      <w:r w:rsidR="009A2669">
        <w:rPr>
          <w:noProof/>
        </w:rPr>
        <w:t>7</w:t>
      </w:r>
      <w:r w:rsidR="00033C40">
        <w:rPr>
          <w:noProof/>
        </w:rPr>
        <w:fldChar w:fldCharType="end"/>
      </w:r>
      <w:r>
        <w:t>: Perceptions of Review Efficacy, 2014-2018</w:t>
      </w:r>
    </w:p>
    <w:p w14:paraId="7CF64541" w14:textId="77777777" w:rsidR="005E7DD5" w:rsidRPr="005E7DD5" w:rsidRDefault="005E7DD5" w:rsidP="005E7DD5">
      <w:r>
        <w:rPr>
          <w:noProof/>
          <w:lang w:eastAsia="zh-CN"/>
        </w:rPr>
        <w:drawing>
          <wp:inline distT="0" distB="0" distL="0" distR="0" wp14:anchorId="166A6B3D" wp14:editId="0BA0B9DD">
            <wp:extent cx="5943600" cy="2054225"/>
            <wp:effectExtent l="0" t="0" r="0" b="3175"/>
            <wp:docPr id="11" name="Chart 11" descr="Chart 7: Formal Review Efficacy"/>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CBCAFF" w14:textId="77777777" w:rsidR="00BE0D1F" w:rsidRDefault="00A5384A" w:rsidP="00BE0D1F">
      <w:r>
        <w:t>Each year, SOs under review have reported lower agreement</w:t>
      </w:r>
      <w:r w:rsidR="00BE0D1F">
        <w:t xml:space="preserve"> </w:t>
      </w:r>
      <w:r w:rsidR="0003035B">
        <w:t xml:space="preserve">than the reviewers </w:t>
      </w:r>
      <w:r w:rsidR="00BE0D1F">
        <w:t xml:space="preserve">that the judgments made in the formal review report were based </w:t>
      </w:r>
      <w:r w:rsidR="00FC06EF">
        <w:t>o</w:t>
      </w:r>
      <w:r w:rsidR="00BE0D1F">
        <w:t>n evidence. While reviewer’s level of agreement has trended up, from 89 percent agreeing or somewhat agreeing in 2014-</w:t>
      </w:r>
      <w:r w:rsidR="00FC06EF">
        <w:t>20</w:t>
      </w:r>
      <w:r w:rsidR="00BE0D1F">
        <w:t>15 to 100 percent in 2017-</w:t>
      </w:r>
      <w:r w:rsidR="00FC06EF">
        <w:t>20</w:t>
      </w:r>
      <w:r w:rsidR="00BE0D1F">
        <w:t>18, there are no clear trends in the SO data, which ranges from a low of 43 percent agreeing or somewhat agreeing in 2016-</w:t>
      </w:r>
      <w:r w:rsidR="00FC06EF">
        <w:t>20</w:t>
      </w:r>
      <w:r w:rsidR="00BE0D1F">
        <w:t>17 to a high of 87 percent in 2015-</w:t>
      </w:r>
      <w:r w:rsidR="00FC06EF">
        <w:t>20</w:t>
      </w:r>
      <w:r w:rsidR="00BE0D1F">
        <w:t xml:space="preserve">16. </w:t>
      </w:r>
      <w:r>
        <w:t xml:space="preserve">Across all years, and particularly </w:t>
      </w:r>
      <w:r w:rsidR="00CD3AB0">
        <w:t xml:space="preserve">from </w:t>
      </w:r>
      <w:r>
        <w:t>201</w:t>
      </w:r>
      <w:r w:rsidR="00CD3AB0">
        <w:t>6</w:t>
      </w:r>
      <w:r>
        <w:t xml:space="preserve">-2018, </w:t>
      </w:r>
      <w:r w:rsidR="00BE0D1F">
        <w:t xml:space="preserve">SOs noted that their low agreement rates related to three </w:t>
      </w:r>
      <w:r>
        <w:t>concerns</w:t>
      </w:r>
      <w:r w:rsidR="00BE0D1F">
        <w:t xml:space="preserve"> in particular:</w:t>
      </w:r>
    </w:p>
    <w:p w14:paraId="3B376032" w14:textId="77777777" w:rsidR="00606BED" w:rsidRDefault="00A5384A" w:rsidP="00606BED">
      <w:pPr>
        <w:pStyle w:val="ListParagraph"/>
        <w:numPr>
          <w:ilvl w:val="0"/>
          <w:numId w:val="4"/>
        </w:numPr>
      </w:pPr>
      <w:r w:rsidRPr="00257B47">
        <w:rPr>
          <w:b/>
        </w:rPr>
        <w:t>The rating scale:</w:t>
      </w:r>
      <w:r w:rsidR="00606BED" w:rsidRPr="00606BED">
        <w:t xml:space="preserve"> </w:t>
      </w:r>
      <w:r w:rsidR="00257B47">
        <w:t>The rating scale for evidence collected by DESE throughout the review process is the same: agree, somewhat agree, neither agree nor disagree, somewhat disagree, and disagree. SOs raised concerns that DESE reports on the percentage of stakeholders that ‘agree’ with each prompt and does not aggregate those responses with the percentage who selected ‘somewhat agree.’ When making criterion-level rating decisions, reviewers consider the full scale of responses and any variation that occurred to inform their judgments. The quantitative data is also compared with qualitative data collected during open-ended portions of focus groups or surveys to help inform decision-making. DESE maintains high expectations for SOs across the state, and typically reports on the percentage of stakeholders who indicate ‘agree’ because the definition shared with stakeholders of ‘agree’ indicates that a practice is happening both consistently and at a high level.</w:t>
      </w:r>
      <w:r w:rsidR="00CD3AB0">
        <w:rPr>
          <w:rStyle w:val="FootnoteReference"/>
        </w:rPr>
        <w:footnoteReference w:id="12"/>
      </w:r>
    </w:p>
    <w:p w14:paraId="5672238C" w14:textId="77777777" w:rsidR="00606BED" w:rsidRDefault="00606BED" w:rsidP="00606BED">
      <w:pPr>
        <w:pStyle w:val="ListParagraph"/>
        <w:numPr>
          <w:ilvl w:val="0"/>
          <w:numId w:val="4"/>
        </w:numPr>
      </w:pPr>
      <w:r w:rsidRPr="00257B47">
        <w:rPr>
          <w:b/>
        </w:rPr>
        <w:t>Triangulation of data:</w:t>
      </w:r>
      <w:r>
        <w:t xml:space="preserve"> </w:t>
      </w:r>
      <w:r w:rsidR="00FC06EF">
        <w:t>The formal review process weigh</w:t>
      </w:r>
      <w:r>
        <w:t xml:space="preserve">s evidence of impact more heavily than evidence of plans or inputs. During the onsite portion of the visit, DESE collects evidence of impact from stakeholder groups in focus groups and interviews. This evidence, and any </w:t>
      </w:r>
      <w:r w:rsidR="0003035B">
        <w:t xml:space="preserve">additional </w:t>
      </w:r>
      <w:r>
        <w:t xml:space="preserve">evidence of </w:t>
      </w:r>
      <w:r w:rsidR="0003035B">
        <w:t xml:space="preserve">impact or </w:t>
      </w:r>
      <w:r>
        <w:t xml:space="preserve">outcomes shared by the SO during the offsite portion of the review, serves as the most significant body of evidence supporting decision-making. As such, </w:t>
      </w:r>
      <w:r w:rsidR="00FC06EF">
        <w:t>focus group data is often weigh</w:t>
      </w:r>
      <w:r>
        <w:t xml:space="preserve">ed more heavily than evidence of plans or inputs shared by the SO as part of the offsite submission and is cited more frequently in the formal review report shared with SOs. To improve SO’s understanding of evidence of impact and how to best share it with reviewers, DESE held an Evidence Workshop in 2018 for SOs </w:t>
      </w:r>
      <w:r w:rsidR="00FC06EF">
        <w:t>scheduled for review after 2018-2019</w:t>
      </w:r>
      <w:r w:rsidR="00C31093">
        <w:t xml:space="preserve"> and published a </w:t>
      </w:r>
      <w:hyperlink r:id="rId27" w:history="1">
        <w:r w:rsidR="00C31093" w:rsidRPr="00C31093">
          <w:rPr>
            <w:rStyle w:val="Hyperlink"/>
          </w:rPr>
          <w:t>High-Quality Evidence of Impact Advisory</w:t>
        </w:r>
      </w:hyperlink>
      <w:r>
        <w:t xml:space="preserve">. The response to that </w:t>
      </w:r>
      <w:r>
        <w:lastRenderedPageBreak/>
        <w:t>workshop was very positive and SOs reported feeling more confident about analyzing evidence of impact and incorporating it in their offsite submissions.</w:t>
      </w:r>
    </w:p>
    <w:p w14:paraId="73CA9357" w14:textId="77777777" w:rsidR="00A5384A" w:rsidRDefault="00606BED" w:rsidP="00257B47">
      <w:pPr>
        <w:pStyle w:val="ListParagraph"/>
        <w:numPr>
          <w:ilvl w:val="0"/>
          <w:numId w:val="4"/>
        </w:numPr>
      </w:pPr>
      <w:r w:rsidRPr="00606BED">
        <w:rPr>
          <w:b/>
        </w:rPr>
        <w:t>Low sample sizes:</w:t>
      </w:r>
      <w:r>
        <w:t xml:space="preserve"> DESE relies on SOs under review to recruit stakeholders to attend interviews and focus groups during the onsite visit. As noted above, the evidence collected during the onsite visit is impact data that</w:t>
      </w:r>
      <w:r w:rsidR="00FC06EF">
        <w:t>,</w:t>
      </w:r>
      <w:r>
        <w:t xml:space="preserve"> often</w:t>
      </w:r>
      <w:r w:rsidR="00FC06EF">
        <w:t>, is</w:t>
      </w:r>
      <w:r>
        <w:t xml:space="preserve"> relied on heavily during the decision-making process. To help SOs ensure participation in the focus groups, DESE has responded to feedback from SOs that scheduling some stakeholder groups during the day is challenging</w:t>
      </w:r>
      <w:r w:rsidR="00FC06EF">
        <w:t>. DESE has added</w:t>
      </w:r>
      <w:r>
        <w:t xml:space="preserve"> additional evening focus group time slots that better accommodate educators’ schedules. Additionally, DESE has better aligned the stakeholder survey with questions asked during focus groups and is incorporating these surveys into the formal review to further strengthen the </w:t>
      </w:r>
      <w:r w:rsidR="00C31093">
        <w:t xml:space="preserve">amount of </w:t>
      </w:r>
      <w:r>
        <w:t xml:space="preserve">evidence analyzed. </w:t>
      </w:r>
    </w:p>
    <w:p w14:paraId="3D835682" w14:textId="77777777" w:rsidR="00A5384A" w:rsidRDefault="00A5384A" w:rsidP="00A5384A">
      <w:r>
        <w:t xml:space="preserve">While some reviewers noted similar concerns about sample size and the rating scale, the concerns did not appear to outweigh their overall agreement that the judgments made in the formal review process were based on evidence. </w:t>
      </w:r>
    </w:p>
    <w:p w14:paraId="729A9443" w14:textId="77777777" w:rsidR="008E2392" w:rsidRDefault="008E2392" w:rsidP="008E2392">
      <w:pPr>
        <w:pStyle w:val="Heading2"/>
      </w:pPr>
      <w:bookmarkStart w:id="14" w:name="_Toc533073508"/>
      <w:r>
        <w:t>Time &amp; Cost Estimates</w:t>
      </w:r>
      <w:bookmarkEnd w:id="14"/>
    </w:p>
    <w:p w14:paraId="2F36C2C8" w14:textId="77777777" w:rsidR="008E2392" w:rsidRDefault="008E2392" w:rsidP="00180AEB">
      <w:r>
        <w:t>SOs under review have had a difficult time pinpointing the amount of time or money it took to prepare for the formal review. Responses ranged from 400 hours to 10,000 hours and from $1,000 to over $20,000. While some variation is attributable to the different sizes and complexities of each SO, there were no clear trends to better explain the wide range of responses.</w:t>
      </w:r>
    </w:p>
    <w:p w14:paraId="62DB309F" w14:textId="77777777" w:rsidR="00180AEB" w:rsidRDefault="00180AEB" w:rsidP="00180AEB">
      <w:pPr>
        <w:pStyle w:val="Heading2"/>
      </w:pPr>
      <w:bookmarkStart w:id="15" w:name="_Toc533073509"/>
      <w:r>
        <w:t>Formal Review Informing Continuous Improvement Efforts</w:t>
      </w:r>
      <w:bookmarkEnd w:id="15"/>
    </w:p>
    <w:p w14:paraId="0DE525EC" w14:textId="77777777" w:rsidR="00FC06EF" w:rsidRDefault="00FC06EF" w:rsidP="00FC06EF">
      <w:pPr>
        <w:pStyle w:val="Caption"/>
        <w:keepNext/>
      </w:pPr>
      <w:r>
        <w:t xml:space="preserve">Chart </w:t>
      </w:r>
      <w:r w:rsidR="00033C40">
        <w:rPr>
          <w:noProof/>
        </w:rPr>
        <w:fldChar w:fldCharType="begin"/>
      </w:r>
      <w:r w:rsidR="00033C40">
        <w:rPr>
          <w:noProof/>
        </w:rPr>
        <w:instrText xml:space="preserve"> SEQ Chart \* ARABIC </w:instrText>
      </w:r>
      <w:r w:rsidR="00033C40">
        <w:rPr>
          <w:noProof/>
        </w:rPr>
        <w:fldChar w:fldCharType="separate"/>
      </w:r>
      <w:r w:rsidR="009A2669">
        <w:rPr>
          <w:noProof/>
        </w:rPr>
        <w:t>8</w:t>
      </w:r>
      <w:r w:rsidR="00033C40">
        <w:rPr>
          <w:noProof/>
        </w:rPr>
        <w:fldChar w:fldCharType="end"/>
      </w:r>
      <w:r>
        <w:t>: Perceptions of Formal Review Informing Continuous Improvement Efforts, 2014-2018</w:t>
      </w:r>
    </w:p>
    <w:p w14:paraId="2AEC8043" w14:textId="77777777" w:rsidR="00257B47" w:rsidRDefault="00C247D3">
      <w:r>
        <w:rPr>
          <w:noProof/>
          <w:lang w:eastAsia="zh-CN"/>
        </w:rPr>
        <w:drawing>
          <wp:inline distT="0" distB="0" distL="0" distR="0" wp14:anchorId="3006F754" wp14:editId="164B1328">
            <wp:extent cx="6032500" cy="3003550"/>
            <wp:effectExtent l="0" t="0" r="6350" b="6350"/>
            <wp:docPr id="14" name="Chart 14" descr="Chrat 8: Formal Review Informing Continuous Improvement Eff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5E7DD5">
        <w:t xml:space="preserve"> </w:t>
      </w:r>
    </w:p>
    <w:p w14:paraId="4E0166A7" w14:textId="77777777" w:rsidR="00797C08" w:rsidRDefault="00257B47">
      <w:r>
        <w:t xml:space="preserve">While it is not the primary intent of the review process, one measure of the efficacy and efficiency of the formal review process is whether the information gathered and decisions made inform continuous improvement efforts to ensure educators are well-prepared by SOs. Across all years, the majority of SOs indicated that they will better prepare educators as a result of engaging in the review process and that </w:t>
      </w:r>
      <w:r>
        <w:lastRenderedPageBreak/>
        <w:t xml:space="preserve">the information in the formal review report will inform continuous improvement efforts at their organization. </w:t>
      </w:r>
      <w:r w:rsidR="00797C08">
        <w:br w:type="page"/>
      </w:r>
    </w:p>
    <w:p w14:paraId="26CBE61E" w14:textId="77777777" w:rsidR="00EB20C9" w:rsidRDefault="00EB20C9" w:rsidP="00F555BB">
      <w:pPr>
        <w:pStyle w:val="Heading1"/>
      </w:pPr>
      <w:bookmarkStart w:id="16" w:name="_Appendix_A:_Full"/>
      <w:bookmarkEnd w:id="16"/>
    </w:p>
    <w:tbl>
      <w:tblPr>
        <w:tblStyle w:val="TableGrid"/>
        <w:tblW w:w="0" w:type="auto"/>
        <w:tblLayout w:type="fixed"/>
        <w:tblLook w:val="04A0" w:firstRow="1" w:lastRow="0" w:firstColumn="1" w:lastColumn="0" w:noHBand="0" w:noVBand="1"/>
        <w:tblDescription w:val="Review Year Sponsoring Organization Average # Completers each year (2013-2016) Average Employment Rate in MA Public Schools (2013-2016) Approval Determination Current Approval Status&#10;2014-2015 American International College 540 89.1% Approved with Conditions Probationary Approval&#10; Berklee College of Music 15 40.2% Approved with Conditions Approved&#10; Boston University 245 49.7% Approved Approved&#10; City on a Hill 4 - Approved with Conditions Approved&#10; Collaborative for Educational Services 46 86.8% Approved Approved&#10; MATCH 34 81.5% Approved Approved&#10; Northeastern University 108 65.7% Approved Approved&#10; PRSIM Educational Consultants Expired approval – no longer endorses candidates for licensure in MA&#10; Springfield Public Schools Expired approval – no longer endorses candidates for licensure in MA&#10; UMASS Amherst (NCATE)  189 62.7% Approved Approved&#10; Wheelock College (NCATE)    Approved Merged with Boston University&#10;2015-2016 Boston Teacher Residency 34 87.8% Approved Approved&#10; Cambridge Public Schools Expired approval – no longer endorses candidates for licensure in MA&#10; Catherine Leahy Brine 109 93.5% Approved Approved&#10; College of the Holy Cross 8 48.0% Approved Approved&#10; Eastern Nazarene College 33 63.5% Approved with Conditions Approved with Conditions&#10; Harvard Graduate School of Education 93 31.6% Approved Approved&#10; MA School of Professional Psychology Expired approval – no longer endorses candidates for licensure in MA&#10; Newton Teacher Residency 4 - Approved Approved&#10; Nichols College Expired approval – no longer endorses candidates for licensure in MA&#10; Smith College 29 39.0% Approved Approved&#10; Worcester Polytechnic Institute 3 - Approved with Conditions Approved&#10; UMASS Boston (TEAC)  255 72.1% Approved with Conditions Approved with Conditions&#10;2016-2017 Becker College Expired approval – no longer endorses candidates for licensure in MA&#10; Boston Conservatory Expired approval – no longer endorses candidates for licensure in MA&#10; Boston College 195 51.2% Approved Approved&#10; Clark University 31 65.5% Approved with Distinction Approved with Distinction&#10; Massachusetts College of Art 19 44.6% Approved with Conditions Approved&#10; Tufts University 62 62.8% Approved with Conditions Approved with Conditions&#10; UMASS Dartmouth 59 80.3% Probationary Approval Probationary Approval&#10; UMASS Lowell 62 82.8% Approved Approved&#10; Westfield State University 216 73.0% Approved Approved&#10;2017-2018 American International College 540 89.1% Probationary Approval Probationary Approval&#10; Anna Maria College 14 66.9% Approved Approved&#10; Brandeis University 41 49.8% Approved Approved&#10; DeLet Teacher Preparation Program Expired approval – no longer endorses candidates for licensure in MA&#10; French River Education Center Expired approval – no longer endorses candidates for licensure in MA&#10; MGH Institute of Health Professions 52 39.9% Approved Approved&#10; Montserrat College of Art 5 68.7% Approved Approved&#10; Northeast Consortium for Staff Development Expired approval – no longer endorses candidates for licensure in MA&#10; South Coast Educational Collaborative Expired approval – no longer endorses candidates for licensure in MA&#10; Springfield College 153 57.3% Approved Approved&#10; Stonehill College 41 61.8% Approved Approved&#10; Wellesley College 12 36.6% Approved Approved&#10; Wheaton College 13 36.7% Approved Approved&#10; Total: 2723 Average: 68.2%  &#10;"/>
      </w:tblPr>
      <w:tblGrid>
        <w:gridCol w:w="895"/>
        <w:gridCol w:w="2070"/>
        <w:gridCol w:w="1350"/>
        <w:gridCol w:w="1710"/>
        <w:gridCol w:w="1620"/>
        <w:gridCol w:w="1620"/>
      </w:tblGrid>
      <w:tr w:rsidR="00C05D80" w14:paraId="19387731" w14:textId="77777777" w:rsidTr="00C05D80">
        <w:trPr>
          <w:tblHeader/>
        </w:trPr>
        <w:tc>
          <w:tcPr>
            <w:tcW w:w="9265" w:type="dxa"/>
            <w:gridSpan w:val="6"/>
            <w:tcBorders>
              <w:top w:val="nil"/>
              <w:left w:val="nil"/>
              <w:bottom w:val="nil"/>
              <w:right w:val="nil"/>
            </w:tcBorders>
            <w:vAlign w:val="center"/>
          </w:tcPr>
          <w:p w14:paraId="7747D161" w14:textId="77777777" w:rsidR="00C05D80" w:rsidRPr="00C05D80" w:rsidRDefault="00C05D80" w:rsidP="00EB20C9">
            <w:pPr>
              <w:jc w:val="center"/>
              <w:rPr>
                <w:b/>
                <w:sz w:val="2"/>
                <w:szCs w:val="2"/>
              </w:rPr>
            </w:pPr>
          </w:p>
        </w:tc>
      </w:tr>
      <w:tr w:rsidR="00C05D80" w14:paraId="34ACFB60" w14:textId="77777777" w:rsidTr="00C05D80">
        <w:tc>
          <w:tcPr>
            <w:tcW w:w="9265" w:type="dxa"/>
            <w:gridSpan w:val="6"/>
            <w:tcBorders>
              <w:top w:val="nil"/>
              <w:left w:val="nil"/>
              <w:right w:val="nil"/>
            </w:tcBorders>
            <w:vAlign w:val="center"/>
          </w:tcPr>
          <w:p w14:paraId="26415D82" w14:textId="77777777" w:rsidR="00C05D80" w:rsidRPr="004757CD" w:rsidRDefault="00C05D80" w:rsidP="00C05D80">
            <w:pPr>
              <w:pStyle w:val="Heading1"/>
              <w:spacing w:before="0"/>
              <w:ind w:left="-120" w:right="-115"/>
              <w:outlineLvl w:val="0"/>
              <w:rPr>
                <w:b/>
              </w:rPr>
            </w:pPr>
            <w:bookmarkStart w:id="17" w:name="_Toc533073510"/>
            <w:r>
              <w:t>Appendix A: Full List of Sponsoring Organizations Reviewed, 2014-2018</w:t>
            </w:r>
            <w:bookmarkEnd w:id="17"/>
          </w:p>
        </w:tc>
      </w:tr>
      <w:tr w:rsidR="00EB20C9" w14:paraId="25D2D325" w14:textId="77777777" w:rsidTr="00F555BB">
        <w:tc>
          <w:tcPr>
            <w:tcW w:w="895" w:type="dxa"/>
            <w:vAlign w:val="center"/>
          </w:tcPr>
          <w:p w14:paraId="6B345FB9" w14:textId="77777777" w:rsidR="00EB20C9" w:rsidRPr="004757CD" w:rsidRDefault="00EB20C9" w:rsidP="00EB20C9">
            <w:pPr>
              <w:jc w:val="center"/>
              <w:rPr>
                <w:b/>
              </w:rPr>
            </w:pPr>
            <w:r w:rsidRPr="004757CD">
              <w:rPr>
                <w:b/>
              </w:rPr>
              <w:t>Review Year</w:t>
            </w:r>
          </w:p>
        </w:tc>
        <w:tc>
          <w:tcPr>
            <w:tcW w:w="2070" w:type="dxa"/>
            <w:vAlign w:val="center"/>
          </w:tcPr>
          <w:p w14:paraId="534931D8" w14:textId="77777777" w:rsidR="00EB20C9" w:rsidRPr="004757CD" w:rsidRDefault="00EB20C9" w:rsidP="00EB20C9">
            <w:pPr>
              <w:jc w:val="center"/>
              <w:rPr>
                <w:b/>
              </w:rPr>
            </w:pPr>
            <w:r w:rsidRPr="004757CD">
              <w:rPr>
                <w:b/>
              </w:rPr>
              <w:t>Sponsoring Organization</w:t>
            </w:r>
          </w:p>
        </w:tc>
        <w:tc>
          <w:tcPr>
            <w:tcW w:w="1350" w:type="dxa"/>
            <w:vAlign w:val="center"/>
          </w:tcPr>
          <w:p w14:paraId="3A0A0C34" w14:textId="77777777" w:rsidR="00EB20C9" w:rsidRPr="004757CD" w:rsidRDefault="00EB20C9" w:rsidP="00EB20C9">
            <w:pPr>
              <w:jc w:val="center"/>
              <w:rPr>
                <w:b/>
              </w:rPr>
            </w:pPr>
            <w:r w:rsidRPr="004757CD">
              <w:rPr>
                <w:b/>
              </w:rPr>
              <w:t>Average # Completers each year (2013-2016)</w:t>
            </w:r>
          </w:p>
        </w:tc>
        <w:tc>
          <w:tcPr>
            <w:tcW w:w="1710" w:type="dxa"/>
            <w:vAlign w:val="center"/>
          </w:tcPr>
          <w:p w14:paraId="2E82ED79" w14:textId="77777777" w:rsidR="00EB20C9" w:rsidRPr="004757CD" w:rsidRDefault="00EB20C9" w:rsidP="00EB20C9">
            <w:pPr>
              <w:jc w:val="center"/>
              <w:rPr>
                <w:b/>
              </w:rPr>
            </w:pPr>
            <w:r w:rsidRPr="004757CD">
              <w:rPr>
                <w:b/>
              </w:rPr>
              <w:t>Average Employment Rate in MA Public Schools (2013-2016)</w:t>
            </w:r>
          </w:p>
        </w:tc>
        <w:tc>
          <w:tcPr>
            <w:tcW w:w="1620" w:type="dxa"/>
            <w:vAlign w:val="center"/>
          </w:tcPr>
          <w:p w14:paraId="6FDD18D7" w14:textId="77777777" w:rsidR="00EB20C9" w:rsidRPr="004757CD" w:rsidRDefault="00EB20C9" w:rsidP="00EB20C9">
            <w:pPr>
              <w:jc w:val="center"/>
              <w:rPr>
                <w:b/>
              </w:rPr>
            </w:pPr>
            <w:r w:rsidRPr="004757CD">
              <w:rPr>
                <w:b/>
              </w:rPr>
              <w:t>Approval Determination</w:t>
            </w:r>
          </w:p>
        </w:tc>
        <w:tc>
          <w:tcPr>
            <w:tcW w:w="1620" w:type="dxa"/>
            <w:vAlign w:val="center"/>
          </w:tcPr>
          <w:p w14:paraId="100EE0CD" w14:textId="77777777" w:rsidR="00EB20C9" w:rsidRPr="004757CD" w:rsidRDefault="00EB20C9" w:rsidP="00EB20C9">
            <w:pPr>
              <w:jc w:val="center"/>
              <w:rPr>
                <w:b/>
              </w:rPr>
            </w:pPr>
            <w:r w:rsidRPr="004757CD">
              <w:rPr>
                <w:b/>
              </w:rPr>
              <w:t>Current Approval Status</w:t>
            </w:r>
          </w:p>
        </w:tc>
      </w:tr>
      <w:tr w:rsidR="00141B86" w14:paraId="79D227D8" w14:textId="77777777" w:rsidTr="004C0710">
        <w:trPr>
          <w:tblHeader/>
        </w:trPr>
        <w:tc>
          <w:tcPr>
            <w:tcW w:w="895" w:type="dxa"/>
            <w:vMerge w:val="restart"/>
            <w:vAlign w:val="center"/>
          </w:tcPr>
          <w:p w14:paraId="23FAEE89" w14:textId="77777777" w:rsidR="00141B86" w:rsidRPr="004757CD" w:rsidRDefault="00141B86" w:rsidP="00141B86">
            <w:pPr>
              <w:rPr>
                <w:b/>
              </w:rPr>
            </w:pPr>
            <w:r w:rsidRPr="004757CD">
              <w:rPr>
                <w:b/>
              </w:rPr>
              <w:t>2014-</w:t>
            </w:r>
            <w:r w:rsidR="00BB0DF0" w:rsidRPr="004757CD">
              <w:rPr>
                <w:b/>
              </w:rPr>
              <w:t>20</w:t>
            </w:r>
            <w:r w:rsidRPr="004757CD">
              <w:rPr>
                <w:b/>
              </w:rPr>
              <w:t>15</w:t>
            </w:r>
          </w:p>
        </w:tc>
        <w:tc>
          <w:tcPr>
            <w:tcW w:w="2070" w:type="dxa"/>
          </w:tcPr>
          <w:p w14:paraId="6C9DCB2B" w14:textId="77777777" w:rsidR="00141B86" w:rsidRDefault="00141B86" w:rsidP="00141B86">
            <w:pPr>
              <w:rPr>
                <w:color w:val="000000"/>
              </w:rPr>
            </w:pPr>
            <w:r>
              <w:rPr>
                <w:color w:val="000000"/>
              </w:rPr>
              <w:t>American International College</w:t>
            </w:r>
          </w:p>
        </w:tc>
        <w:tc>
          <w:tcPr>
            <w:tcW w:w="1350" w:type="dxa"/>
          </w:tcPr>
          <w:p w14:paraId="7C8822CF" w14:textId="77777777" w:rsidR="00141B86" w:rsidRDefault="00141B86" w:rsidP="00A52F8A">
            <w:pPr>
              <w:jc w:val="center"/>
              <w:rPr>
                <w:color w:val="000000"/>
              </w:rPr>
            </w:pPr>
            <w:r>
              <w:rPr>
                <w:color w:val="000000"/>
              </w:rPr>
              <w:t>540</w:t>
            </w:r>
          </w:p>
        </w:tc>
        <w:tc>
          <w:tcPr>
            <w:tcW w:w="1710" w:type="dxa"/>
          </w:tcPr>
          <w:p w14:paraId="0DAC5883" w14:textId="77777777" w:rsidR="00141B86" w:rsidRDefault="00141B86" w:rsidP="00A52F8A">
            <w:pPr>
              <w:jc w:val="center"/>
              <w:rPr>
                <w:color w:val="000000"/>
              </w:rPr>
            </w:pPr>
            <w:r>
              <w:rPr>
                <w:color w:val="000000"/>
              </w:rPr>
              <w:t>89.1%</w:t>
            </w:r>
          </w:p>
        </w:tc>
        <w:tc>
          <w:tcPr>
            <w:tcW w:w="1620" w:type="dxa"/>
          </w:tcPr>
          <w:p w14:paraId="27CC5011" w14:textId="77777777" w:rsidR="00141B86" w:rsidRDefault="00141B86" w:rsidP="00A52F8A">
            <w:pPr>
              <w:jc w:val="center"/>
              <w:rPr>
                <w:color w:val="000000"/>
              </w:rPr>
            </w:pPr>
            <w:r>
              <w:rPr>
                <w:color w:val="000000"/>
              </w:rPr>
              <w:t>Approved with Conditions</w:t>
            </w:r>
          </w:p>
        </w:tc>
        <w:tc>
          <w:tcPr>
            <w:tcW w:w="1620" w:type="dxa"/>
          </w:tcPr>
          <w:p w14:paraId="642851AC" w14:textId="77777777" w:rsidR="00141B86" w:rsidRDefault="00141B86" w:rsidP="00A52F8A">
            <w:pPr>
              <w:jc w:val="center"/>
              <w:rPr>
                <w:color w:val="000000"/>
              </w:rPr>
            </w:pPr>
            <w:r>
              <w:rPr>
                <w:color w:val="000000"/>
              </w:rPr>
              <w:t>Probationary Approval</w:t>
            </w:r>
          </w:p>
        </w:tc>
      </w:tr>
      <w:tr w:rsidR="00141B86" w14:paraId="6A7500FE" w14:textId="77777777" w:rsidTr="004C0710">
        <w:trPr>
          <w:tblHeader/>
        </w:trPr>
        <w:tc>
          <w:tcPr>
            <w:tcW w:w="895" w:type="dxa"/>
            <w:vMerge/>
          </w:tcPr>
          <w:p w14:paraId="0E4F8D0C" w14:textId="77777777" w:rsidR="00141B86" w:rsidRPr="004757CD" w:rsidRDefault="00141B86" w:rsidP="00141B86">
            <w:pPr>
              <w:rPr>
                <w:b/>
              </w:rPr>
            </w:pPr>
          </w:p>
        </w:tc>
        <w:tc>
          <w:tcPr>
            <w:tcW w:w="2070" w:type="dxa"/>
          </w:tcPr>
          <w:p w14:paraId="1CE2B757" w14:textId="77777777" w:rsidR="00141B86" w:rsidRDefault="00141B86" w:rsidP="00141B86">
            <w:pPr>
              <w:rPr>
                <w:color w:val="000000"/>
              </w:rPr>
            </w:pPr>
            <w:r>
              <w:rPr>
                <w:color w:val="000000"/>
              </w:rPr>
              <w:t>Berklee College of Music</w:t>
            </w:r>
          </w:p>
        </w:tc>
        <w:tc>
          <w:tcPr>
            <w:tcW w:w="1350" w:type="dxa"/>
          </w:tcPr>
          <w:p w14:paraId="40A03E00" w14:textId="77777777" w:rsidR="00141B86" w:rsidRDefault="00141B86" w:rsidP="00A52F8A">
            <w:pPr>
              <w:jc w:val="center"/>
              <w:rPr>
                <w:color w:val="000000"/>
              </w:rPr>
            </w:pPr>
            <w:r>
              <w:rPr>
                <w:color w:val="000000"/>
              </w:rPr>
              <w:t>15</w:t>
            </w:r>
          </w:p>
        </w:tc>
        <w:tc>
          <w:tcPr>
            <w:tcW w:w="1710" w:type="dxa"/>
          </w:tcPr>
          <w:p w14:paraId="5E776515" w14:textId="77777777" w:rsidR="00141B86" w:rsidRDefault="00141B86" w:rsidP="00A52F8A">
            <w:pPr>
              <w:jc w:val="center"/>
              <w:rPr>
                <w:color w:val="000000"/>
              </w:rPr>
            </w:pPr>
            <w:r>
              <w:rPr>
                <w:color w:val="000000"/>
              </w:rPr>
              <w:t>40.2%</w:t>
            </w:r>
          </w:p>
        </w:tc>
        <w:tc>
          <w:tcPr>
            <w:tcW w:w="1620" w:type="dxa"/>
          </w:tcPr>
          <w:p w14:paraId="256DC3BA" w14:textId="77777777" w:rsidR="00141B86" w:rsidRDefault="00141B86" w:rsidP="00A52F8A">
            <w:pPr>
              <w:jc w:val="center"/>
              <w:rPr>
                <w:color w:val="000000"/>
              </w:rPr>
            </w:pPr>
            <w:r>
              <w:rPr>
                <w:color w:val="000000"/>
              </w:rPr>
              <w:t>Approved with Conditions</w:t>
            </w:r>
          </w:p>
        </w:tc>
        <w:tc>
          <w:tcPr>
            <w:tcW w:w="1620" w:type="dxa"/>
          </w:tcPr>
          <w:p w14:paraId="7EFA7C06" w14:textId="77777777" w:rsidR="00141B86" w:rsidRDefault="00141B86" w:rsidP="00A52F8A">
            <w:pPr>
              <w:jc w:val="center"/>
              <w:rPr>
                <w:color w:val="000000"/>
              </w:rPr>
            </w:pPr>
            <w:r>
              <w:rPr>
                <w:color w:val="000000"/>
              </w:rPr>
              <w:t>Approved</w:t>
            </w:r>
          </w:p>
        </w:tc>
      </w:tr>
      <w:tr w:rsidR="00141B86" w14:paraId="326E85C3" w14:textId="77777777" w:rsidTr="004C0710">
        <w:trPr>
          <w:tblHeader/>
        </w:trPr>
        <w:tc>
          <w:tcPr>
            <w:tcW w:w="895" w:type="dxa"/>
            <w:vMerge/>
          </w:tcPr>
          <w:p w14:paraId="25B3F235" w14:textId="77777777" w:rsidR="00141B86" w:rsidRPr="004757CD" w:rsidRDefault="00141B86" w:rsidP="00141B86">
            <w:pPr>
              <w:rPr>
                <w:b/>
              </w:rPr>
            </w:pPr>
          </w:p>
        </w:tc>
        <w:tc>
          <w:tcPr>
            <w:tcW w:w="2070" w:type="dxa"/>
          </w:tcPr>
          <w:p w14:paraId="035F9E3E" w14:textId="77777777" w:rsidR="00141B86" w:rsidRDefault="00141B86" w:rsidP="00141B86">
            <w:pPr>
              <w:rPr>
                <w:color w:val="000000"/>
              </w:rPr>
            </w:pPr>
            <w:r>
              <w:rPr>
                <w:color w:val="000000"/>
              </w:rPr>
              <w:t>Boston University</w:t>
            </w:r>
          </w:p>
        </w:tc>
        <w:tc>
          <w:tcPr>
            <w:tcW w:w="1350" w:type="dxa"/>
          </w:tcPr>
          <w:p w14:paraId="064672D7" w14:textId="77777777" w:rsidR="00141B86" w:rsidRDefault="00141B86" w:rsidP="00A52F8A">
            <w:pPr>
              <w:jc w:val="center"/>
              <w:rPr>
                <w:color w:val="000000"/>
              </w:rPr>
            </w:pPr>
            <w:r>
              <w:rPr>
                <w:color w:val="000000"/>
              </w:rPr>
              <w:t>245</w:t>
            </w:r>
          </w:p>
        </w:tc>
        <w:tc>
          <w:tcPr>
            <w:tcW w:w="1710" w:type="dxa"/>
          </w:tcPr>
          <w:p w14:paraId="57B04C10" w14:textId="77777777" w:rsidR="00141B86" w:rsidRDefault="00141B86" w:rsidP="00A52F8A">
            <w:pPr>
              <w:jc w:val="center"/>
              <w:rPr>
                <w:color w:val="000000"/>
              </w:rPr>
            </w:pPr>
            <w:r>
              <w:rPr>
                <w:color w:val="000000"/>
              </w:rPr>
              <w:t>49.7%</w:t>
            </w:r>
          </w:p>
        </w:tc>
        <w:tc>
          <w:tcPr>
            <w:tcW w:w="1620" w:type="dxa"/>
          </w:tcPr>
          <w:p w14:paraId="2162F73A" w14:textId="77777777" w:rsidR="00141B86" w:rsidRDefault="00141B86" w:rsidP="00A52F8A">
            <w:pPr>
              <w:jc w:val="center"/>
              <w:rPr>
                <w:color w:val="000000"/>
              </w:rPr>
            </w:pPr>
            <w:r>
              <w:rPr>
                <w:color w:val="000000"/>
              </w:rPr>
              <w:t>Approved</w:t>
            </w:r>
          </w:p>
        </w:tc>
        <w:tc>
          <w:tcPr>
            <w:tcW w:w="1620" w:type="dxa"/>
          </w:tcPr>
          <w:p w14:paraId="6CB337BF" w14:textId="77777777" w:rsidR="00141B86" w:rsidRDefault="00141B86" w:rsidP="00A52F8A">
            <w:pPr>
              <w:jc w:val="center"/>
              <w:rPr>
                <w:color w:val="000000"/>
              </w:rPr>
            </w:pPr>
            <w:r>
              <w:rPr>
                <w:color w:val="000000"/>
              </w:rPr>
              <w:t>Approved</w:t>
            </w:r>
          </w:p>
        </w:tc>
      </w:tr>
      <w:tr w:rsidR="00141B86" w14:paraId="11466C54" w14:textId="77777777" w:rsidTr="004C0710">
        <w:trPr>
          <w:tblHeader/>
        </w:trPr>
        <w:tc>
          <w:tcPr>
            <w:tcW w:w="895" w:type="dxa"/>
            <w:vMerge/>
          </w:tcPr>
          <w:p w14:paraId="550E488E" w14:textId="77777777" w:rsidR="00141B86" w:rsidRPr="004757CD" w:rsidRDefault="00141B86" w:rsidP="00141B86">
            <w:pPr>
              <w:rPr>
                <w:b/>
              </w:rPr>
            </w:pPr>
          </w:p>
        </w:tc>
        <w:tc>
          <w:tcPr>
            <w:tcW w:w="2070" w:type="dxa"/>
          </w:tcPr>
          <w:p w14:paraId="20024AB3" w14:textId="77777777" w:rsidR="00141B86" w:rsidRDefault="00141B86" w:rsidP="00141B86">
            <w:pPr>
              <w:rPr>
                <w:color w:val="000000"/>
              </w:rPr>
            </w:pPr>
            <w:r>
              <w:rPr>
                <w:color w:val="000000"/>
              </w:rPr>
              <w:t>City on a Hill</w:t>
            </w:r>
          </w:p>
        </w:tc>
        <w:tc>
          <w:tcPr>
            <w:tcW w:w="1350" w:type="dxa"/>
          </w:tcPr>
          <w:p w14:paraId="12F88A13" w14:textId="77777777" w:rsidR="00141B86" w:rsidRDefault="00141B86" w:rsidP="00A52F8A">
            <w:pPr>
              <w:jc w:val="center"/>
              <w:rPr>
                <w:color w:val="000000"/>
              </w:rPr>
            </w:pPr>
            <w:r>
              <w:rPr>
                <w:color w:val="000000"/>
              </w:rPr>
              <w:t>4</w:t>
            </w:r>
          </w:p>
        </w:tc>
        <w:tc>
          <w:tcPr>
            <w:tcW w:w="1710" w:type="dxa"/>
          </w:tcPr>
          <w:p w14:paraId="63D5B498" w14:textId="77777777" w:rsidR="00141B86" w:rsidRDefault="00141B86" w:rsidP="00A52F8A">
            <w:pPr>
              <w:jc w:val="center"/>
              <w:rPr>
                <w:color w:val="000000"/>
              </w:rPr>
            </w:pPr>
            <w:r>
              <w:rPr>
                <w:color w:val="000000"/>
              </w:rPr>
              <w:t>-</w:t>
            </w:r>
          </w:p>
        </w:tc>
        <w:tc>
          <w:tcPr>
            <w:tcW w:w="1620" w:type="dxa"/>
          </w:tcPr>
          <w:p w14:paraId="187E262E" w14:textId="77777777" w:rsidR="00141B86" w:rsidRDefault="00141B86" w:rsidP="00A52F8A">
            <w:pPr>
              <w:jc w:val="center"/>
              <w:rPr>
                <w:color w:val="000000"/>
              </w:rPr>
            </w:pPr>
            <w:r>
              <w:rPr>
                <w:color w:val="000000"/>
              </w:rPr>
              <w:t>Approved with Conditions</w:t>
            </w:r>
          </w:p>
        </w:tc>
        <w:tc>
          <w:tcPr>
            <w:tcW w:w="1620" w:type="dxa"/>
          </w:tcPr>
          <w:p w14:paraId="3A8B68F6" w14:textId="77777777" w:rsidR="00141B86" w:rsidRDefault="00141B86" w:rsidP="00A52F8A">
            <w:pPr>
              <w:jc w:val="center"/>
              <w:rPr>
                <w:color w:val="000000"/>
              </w:rPr>
            </w:pPr>
            <w:r>
              <w:rPr>
                <w:color w:val="000000"/>
              </w:rPr>
              <w:t>Approved</w:t>
            </w:r>
          </w:p>
        </w:tc>
      </w:tr>
      <w:tr w:rsidR="00141B86" w14:paraId="3A0BBF22" w14:textId="77777777" w:rsidTr="004C0710">
        <w:trPr>
          <w:tblHeader/>
        </w:trPr>
        <w:tc>
          <w:tcPr>
            <w:tcW w:w="895" w:type="dxa"/>
            <w:vMerge/>
          </w:tcPr>
          <w:p w14:paraId="55B68684" w14:textId="77777777" w:rsidR="00141B86" w:rsidRPr="004757CD" w:rsidRDefault="00141B86" w:rsidP="00141B86">
            <w:pPr>
              <w:rPr>
                <w:b/>
              </w:rPr>
            </w:pPr>
          </w:p>
        </w:tc>
        <w:tc>
          <w:tcPr>
            <w:tcW w:w="2070" w:type="dxa"/>
          </w:tcPr>
          <w:p w14:paraId="5653520A" w14:textId="77777777" w:rsidR="00141B86" w:rsidRDefault="00141B86" w:rsidP="00141B86">
            <w:pPr>
              <w:rPr>
                <w:color w:val="000000"/>
              </w:rPr>
            </w:pPr>
            <w:r>
              <w:rPr>
                <w:color w:val="000000"/>
              </w:rPr>
              <w:t>Collaborative for Educational Services</w:t>
            </w:r>
          </w:p>
        </w:tc>
        <w:tc>
          <w:tcPr>
            <w:tcW w:w="1350" w:type="dxa"/>
          </w:tcPr>
          <w:p w14:paraId="557F2C8A" w14:textId="77777777" w:rsidR="00141B86" w:rsidRDefault="00141B86" w:rsidP="00A52F8A">
            <w:pPr>
              <w:jc w:val="center"/>
              <w:rPr>
                <w:color w:val="000000"/>
              </w:rPr>
            </w:pPr>
            <w:r>
              <w:rPr>
                <w:color w:val="000000"/>
              </w:rPr>
              <w:t>46</w:t>
            </w:r>
          </w:p>
        </w:tc>
        <w:tc>
          <w:tcPr>
            <w:tcW w:w="1710" w:type="dxa"/>
          </w:tcPr>
          <w:p w14:paraId="0ADC7AFC" w14:textId="77777777" w:rsidR="00141B86" w:rsidRDefault="00141B86" w:rsidP="00A52F8A">
            <w:pPr>
              <w:jc w:val="center"/>
              <w:rPr>
                <w:color w:val="000000"/>
              </w:rPr>
            </w:pPr>
            <w:r>
              <w:rPr>
                <w:color w:val="000000"/>
              </w:rPr>
              <w:t>86.8%</w:t>
            </w:r>
          </w:p>
        </w:tc>
        <w:tc>
          <w:tcPr>
            <w:tcW w:w="1620" w:type="dxa"/>
          </w:tcPr>
          <w:p w14:paraId="4766C8A6" w14:textId="77777777" w:rsidR="00141B86" w:rsidRDefault="00141B86" w:rsidP="00A52F8A">
            <w:pPr>
              <w:jc w:val="center"/>
              <w:rPr>
                <w:color w:val="000000"/>
              </w:rPr>
            </w:pPr>
            <w:r>
              <w:rPr>
                <w:color w:val="000000"/>
              </w:rPr>
              <w:t>Approved</w:t>
            </w:r>
          </w:p>
        </w:tc>
        <w:tc>
          <w:tcPr>
            <w:tcW w:w="1620" w:type="dxa"/>
          </w:tcPr>
          <w:p w14:paraId="4D2C5D7F" w14:textId="77777777" w:rsidR="00141B86" w:rsidRDefault="00141B86" w:rsidP="00A52F8A">
            <w:pPr>
              <w:jc w:val="center"/>
              <w:rPr>
                <w:color w:val="000000"/>
              </w:rPr>
            </w:pPr>
            <w:r>
              <w:rPr>
                <w:color w:val="000000"/>
              </w:rPr>
              <w:t>Approved</w:t>
            </w:r>
          </w:p>
        </w:tc>
      </w:tr>
      <w:tr w:rsidR="00141B86" w14:paraId="2A659CD7" w14:textId="77777777" w:rsidTr="004C0710">
        <w:trPr>
          <w:tblHeader/>
        </w:trPr>
        <w:tc>
          <w:tcPr>
            <w:tcW w:w="895" w:type="dxa"/>
            <w:vMerge/>
          </w:tcPr>
          <w:p w14:paraId="6FB047B3" w14:textId="77777777" w:rsidR="00141B86" w:rsidRPr="004757CD" w:rsidRDefault="00141B86" w:rsidP="00141B86">
            <w:pPr>
              <w:rPr>
                <w:b/>
              </w:rPr>
            </w:pPr>
          </w:p>
        </w:tc>
        <w:tc>
          <w:tcPr>
            <w:tcW w:w="2070" w:type="dxa"/>
          </w:tcPr>
          <w:p w14:paraId="58BBA1C0" w14:textId="77777777" w:rsidR="00141B86" w:rsidRDefault="00141B86" w:rsidP="00141B86">
            <w:pPr>
              <w:rPr>
                <w:color w:val="000000"/>
              </w:rPr>
            </w:pPr>
            <w:r>
              <w:rPr>
                <w:color w:val="000000"/>
              </w:rPr>
              <w:t>MATCH</w:t>
            </w:r>
          </w:p>
        </w:tc>
        <w:tc>
          <w:tcPr>
            <w:tcW w:w="1350" w:type="dxa"/>
          </w:tcPr>
          <w:p w14:paraId="3139292E" w14:textId="77777777" w:rsidR="00141B86" w:rsidRDefault="00141B86" w:rsidP="00A52F8A">
            <w:pPr>
              <w:jc w:val="center"/>
              <w:rPr>
                <w:color w:val="000000"/>
              </w:rPr>
            </w:pPr>
            <w:r>
              <w:rPr>
                <w:color w:val="000000"/>
              </w:rPr>
              <w:t>34</w:t>
            </w:r>
          </w:p>
        </w:tc>
        <w:tc>
          <w:tcPr>
            <w:tcW w:w="1710" w:type="dxa"/>
          </w:tcPr>
          <w:p w14:paraId="78ED88CC" w14:textId="77777777" w:rsidR="00141B86" w:rsidRDefault="00141B86" w:rsidP="00A52F8A">
            <w:pPr>
              <w:jc w:val="center"/>
              <w:rPr>
                <w:color w:val="000000"/>
              </w:rPr>
            </w:pPr>
            <w:r>
              <w:rPr>
                <w:color w:val="000000"/>
              </w:rPr>
              <w:t>81.5%</w:t>
            </w:r>
          </w:p>
        </w:tc>
        <w:tc>
          <w:tcPr>
            <w:tcW w:w="1620" w:type="dxa"/>
          </w:tcPr>
          <w:p w14:paraId="4BA5F810" w14:textId="77777777" w:rsidR="00141B86" w:rsidRDefault="00141B86" w:rsidP="00A52F8A">
            <w:pPr>
              <w:jc w:val="center"/>
              <w:rPr>
                <w:color w:val="000000"/>
              </w:rPr>
            </w:pPr>
            <w:r>
              <w:rPr>
                <w:color w:val="000000"/>
              </w:rPr>
              <w:t>Approved</w:t>
            </w:r>
          </w:p>
        </w:tc>
        <w:tc>
          <w:tcPr>
            <w:tcW w:w="1620" w:type="dxa"/>
          </w:tcPr>
          <w:p w14:paraId="392A64B1" w14:textId="77777777" w:rsidR="00141B86" w:rsidRDefault="00141B86" w:rsidP="00A52F8A">
            <w:pPr>
              <w:jc w:val="center"/>
              <w:rPr>
                <w:color w:val="000000"/>
              </w:rPr>
            </w:pPr>
            <w:r>
              <w:rPr>
                <w:color w:val="000000"/>
              </w:rPr>
              <w:t>Approved</w:t>
            </w:r>
          </w:p>
        </w:tc>
      </w:tr>
      <w:tr w:rsidR="00141B86" w14:paraId="5CD3FD6C" w14:textId="77777777" w:rsidTr="004C0710">
        <w:trPr>
          <w:tblHeader/>
        </w:trPr>
        <w:tc>
          <w:tcPr>
            <w:tcW w:w="895" w:type="dxa"/>
            <w:vMerge/>
          </w:tcPr>
          <w:p w14:paraId="173EA2F9" w14:textId="77777777" w:rsidR="00141B86" w:rsidRPr="004757CD" w:rsidRDefault="00141B86" w:rsidP="00141B86">
            <w:pPr>
              <w:rPr>
                <w:b/>
              </w:rPr>
            </w:pPr>
          </w:p>
        </w:tc>
        <w:tc>
          <w:tcPr>
            <w:tcW w:w="2070" w:type="dxa"/>
          </w:tcPr>
          <w:p w14:paraId="58FEED24" w14:textId="77777777" w:rsidR="00141B86" w:rsidRDefault="00141B86" w:rsidP="00141B86">
            <w:pPr>
              <w:rPr>
                <w:color w:val="000000"/>
              </w:rPr>
            </w:pPr>
            <w:r>
              <w:rPr>
                <w:color w:val="000000"/>
              </w:rPr>
              <w:t>Northeastern University</w:t>
            </w:r>
          </w:p>
        </w:tc>
        <w:tc>
          <w:tcPr>
            <w:tcW w:w="1350" w:type="dxa"/>
          </w:tcPr>
          <w:p w14:paraId="46DC713E" w14:textId="77777777" w:rsidR="00141B86" w:rsidRDefault="00141B86" w:rsidP="00A52F8A">
            <w:pPr>
              <w:jc w:val="center"/>
              <w:rPr>
                <w:color w:val="000000"/>
              </w:rPr>
            </w:pPr>
            <w:r>
              <w:rPr>
                <w:color w:val="000000"/>
              </w:rPr>
              <w:t>108</w:t>
            </w:r>
          </w:p>
        </w:tc>
        <w:tc>
          <w:tcPr>
            <w:tcW w:w="1710" w:type="dxa"/>
          </w:tcPr>
          <w:p w14:paraId="11F13855" w14:textId="77777777" w:rsidR="00141B86" w:rsidRDefault="00141B86" w:rsidP="00A52F8A">
            <w:pPr>
              <w:jc w:val="center"/>
              <w:rPr>
                <w:color w:val="000000"/>
              </w:rPr>
            </w:pPr>
            <w:r>
              <w:rPr>
                <w:color w:val="000000"/>
              </w:rPr>
              <w:t>65.7%</w:t>
            </w:r>
          </w:p>
        </w:tc>
        <w:tc>
          <w:tcPr>
            <w:tcW w:w="1620" w:type="dxa"/>
          </w:tcPr>
          <w:p w14:paraId="6E0AE26D" w14:textId="77777777" w:rsidR="00141B86" w:rsidRDefault="00141B86" w:rsidP="00A52F8A">
            <w:pPr>
              <w:jc w:val="center"/>
              <w:rPr>
                <w:color w:val="000000"/>
              </w:rPr>
            </w:pPr>
            <w:r>
              <w:rPr>
                <w:color w:val="000000"/>
              </w:rPr>
              <w:t>Approved</w:t>
            </w:r>
          </w:p>
        </w:tc>
        <w:tc>
          <w:tcPr>
            <w:tcW w:w="1620" w:type="dxa"/>
          </w:tcPr>
          <w:p w14:paraId="329D6FBA" w14:textId="77777777" w:rsidR="00141B86" w:rsidRDefault="00141B86" w:rsidP="00A52F8A">
            <w:pPr>
              <w:jc w:val="center"/>
              <w:rPr>
                <w:color w:val="000000"/>
              </w:rPr>
            </w:pPr>
            <w:r>
              <w:rPr>
                <w:color w:val="000000"/>
              </w:rPr>
              <w:t>Approved</w:t>
            </w:r>
          </w:p>
        </w:tc>
      </w:tr>
      <w:tr w:rsidR="00BB0DF0" w14:paraId="26686DA0" w14:textId="77777777" w:rsidTr="004C0710">
        <w:trPr>
          <w:tblHeader/>
        </w:trPr>
        <w:tc>
          <w:tcPr>
            <w:tcW w:w="895" w:type="dxa"/>
            <w:vMerge/>
          </w:tcPr>
          <w:p w14:paraId="4BAE03AE" w14:textId="77777777" w:rsidR="00BB0DF0" w:rsidRPr="004757CD" w:rsidRDefault="00BB0DF0" w:rsidP="00EB20C9">
            <w:pPr>
              <w:rPr>
                <w:b/>
              </w:rPr>
            </w:pPr>
          </w:p>
        </w:tc>
        <w:tc>
          <w:tcPr>
            <w:tcW w:w="2070" w:type="dxa"/>
          </w:tcPr>
          <w:p w14:paraId="6DD0162E" w14:textId="77777777" w:rsidR="00BB0DF0" w:rsidRDefault="00BB0DF0" w:rsidP="00EB20C9">
            <w:pPr>
              <w:rPr>
                <w:color w:val="000000"/>
              </w:rPr>
            </w:pPr>
            <w:r>
              <w:rPr>
                <w:color w:val="000000"/>
              </w:rPr>
              <w:t>PRSIM Educational Consultants</w:t>
            </w:r>
          </w:p>
        </w:tc>
        <w:tc>
          <w:tcPr>
            <w:tcW w:w="6300" w:type="dxa"/>
            <w:gridSpan w:val="4"/>
          </w:tcPr>
          <w:p w14:paraId="62EFD919" w14:textId="77777777" w:rsidR="00BB0DF0" w:rsidRPr="00A52F8A" w:rsidRDefault="00A52F8A" w:rsidP="00A52F8A">
            <w:pPr>
              <w:jc w:val="center"/>
              <w:rPr>
                <w:i/>
              </w:rPr>
            </w:pPr>
            <w:r w:rsidRPr="00A52F8A">
              <w:rPr>
                <w:i/>
              </w:rPr>
              <w:t>Expired approval – no longer endorses candidates for licensure in MA</w:t>
            </w:r>
          </w:p>
        </w:tc>
      </w:tr>
      <w:tr w:rsidR="00BB0DF0" w14:paraId="38CCA2E5" w14:textId="77777777" w:rsidTr="004C0710">
        <w:trPr>
          <w:tblHeader/>
        </w:trPr>
        <w:tc>
          <w:tcPr>
            <w:tcW w:w="895" w:type="dxa"/>
            <w:vMerge/>
          </w:tcPr>
          <w:p w14:paraId="0F4248ED" w14:textId="77777777" w:rsidR="00BB0DF0" w:rsidRPr="004757CD" w:rsidRDefault="00BB0DF0" w:rsidP="00EB20C9">
            <w:pPr>
              <w:rPr>
                <w:b/>
              </w:rPr>
            </w:pPr>
          </w:p>
        </w:tc>
        <w:tc>
          <w:tcPr>
            <w:tcW w:w="2070" w:type="dxa"/>
          </w:tcPr>
          <w:p w14:paraId="7CF46F9B" w14:textId="77777777" w:rsidR="00BB0DF0" w:rsidRDefault="00BB0DF0" w:rsidP="00EB20C9">
            <w:pPr>
              <w:rPr>
                <w:color w:val="000000"/>
              </w:rPr>
            </w:pPr>
            <w:r>
              <w:rPr>
                <w:color w:val="000000"/>
              </w:rPr>
              <w:t>Springfield Public Schools</w:t>
            </w:r>
          </w:p>
        </w:tc>
        <w:tc>
          <w:tcPr>
            <w:tcW w:w="6300" w:type="dxa"/>
            <w:gridSpan w:val="4"/>
          </w:tcPr>
          <w:p w14:paraId="486A8066" w14:textId="77777777" w:rsidR="00BB0DF0" w:rsidRDefault="00A52F8A" w:rsidP="00A52F8A">
            <w:pPr>
              <w:jc w:val="center"/>
            </w:pPr>
            <w:r w:rsidRPr="00A52F8A">
              <w:rPr>
                <w:i/>
              </w:rPr>
              <w:t>Expired approval – no longer endorses candidates for licensure in MA</w:t>
            </w:r>
          </w:p>
        </w:tc>
      </w:tr>
      <w:tr w:rsidR="00141B86" w14:paraId="487E3531" w14:textId="77777777" w:rsidTr="004C0710">
        <w:trPr>
          <w:tblHeader/>
        </w:trPr>
        <w:tc>
          <w:tcPr>
            <w:tcW w:w="895" w:type="dxa"/>
            <w:vMerge/>
          </w:tcPr>
          <w:p w14:paraId="1D91FCDE" w14:textId="77777777" w:rsidR="00141B86" w:rsidRPr="004757CD" w:rsidRDefault="00141B86" w:rsidP="00141B86">
            <w:pPr>
              <w:rPr>
                <w:b/>
              </w:rPr>
            </w:pPr>
          </w:p>
        </w:tc>
        <w:tc>
          <w:tcPr>
            <w:tcW w:w="2070" w:type="dxa"/>
          </w:tcPr>
          <w:p w14:paraId="049E83AE" w14:textId="77777777" w:rsidR="00141B86" w:rsidRDefault="00141B86" w:rsidP="00141B86">
            <w:pPr>
              <w:rPr>
                <w:color w:val="000000"/>
              </w:rPr>
            </w:pPr>
            <w:r>
              <w:rPr>
                <w:color w:val="000000"/>
              </w:rPr>
              <w:t>UMASS Amherst (NCATE)</w:t>
            </w:r>
            <w:r w:rsidR="00E25620">
              <w:rPr>
                <w:rStyle w:val="FootnoteReference"/>
                <w:color w:val="000000"/>
              </w:rPr>
              <w:footnoteReference w:id="13"/>
            </w:r>
          </w:p>
        </w:tc>
        <w:tc>
          <w:tcPr>
            <w:tcW w:w="1350" w:type="dxa"/>
          </w:tcPr>
          <w:p w14:paraId="502E5212" w14:textId="77777777" w:rsidR="00141B86" w:rsidRDefault="00141B86" w:rsidP="00A52F8A">
            <w:pPr>
              <w:jc w:val="center"/>
              <w:rPr>
                <w:color w:val="000000"/>
              </w:rPr>
            </w:pPr>
            <w:r>
              <w:rPr>
                <w:color w:val="000000"/>
              </w:rPr>
              <w:t>189</w:t>
            </w:r>
          </w:p>
        </w:tc>
        <w:tc>
          <w:tcPr>
            <w:tcW w:w="1710" w:type="dxa"/>
          </w:tcPr>
          <w:p w14:paraId="1C0F6EA8" w14:textId="77777777" w:rsidR="00141B86" w:rsidRDefault="00141B86" w:rsidP="00A52F8A">
            <w:pPr>
              <w:jc w:val="center"/>
              <w:rPr>
                <w:color w:val="000000"/>
              </w:rPr>
            </w:pPr>
            <w:r>
              <w:rPr>
                <w:color w:val="000000"/>
              </w:rPr>
              <w:t>62.7%</w:t>
            </w:r>
          </w:p>
        </w:tc>
        <w:tc>
          <w:tcPr>
            <w:tcW w:w="1620" w:type="dxa"/>
          </w:tcPr>
          <w:p w14:paraId="1714EF03" w14:textId="77777777" w:rsidR="00141B86" w:rsidRDefault="00141B86" w:rsidP="00A52F8A">
            <w:pPr>
              <w:jc w:val="center"/>
              <w:rPr>
                <w:color w:val="000000"/>
              </w:rPr>
            </w:pPr>
            <w:r>
              <w:rPr>
                <w:color w:val="000000"/>
              </w:rPr>
              <w:t>Approved</w:t>
            </w:r>
          </w:p>
        </w:tc>
        <w:tc>
          <w:tcPr>
            <w:tcW w:w="1620" w:type="dxa"/>
          </w:tcPr>
          <w:p w14:paraId="1922009D" w14:textId="77777777" w:rsidR="00141B86" w:rsidRDefault="00141B86" w:rsidP="00A52F8A">
            <w:pPr>
              <w:jc w:val="center"/>
              <w:rPr>
                <w:color w:val="000000"/>
              </w:rPr>
            </w:pPr>
            <w:r>
              <w:rPr>
                <w:color w:val="000000"/>
              </w:rPr>
              <w:t>Approved</w:t>
            </w:r>
          </w:p>
        </w:tc>
      </w:tr>
      <w:tr w:rsidR="00141B86" w14:paraId="2B80719D" w14:textId="77777777" w:rsidTr="004C0710">
        <w:trPr>
          <w:tblHeader/>
        </w:trPr>
        <w:tc>
          <w:tcPr>
            <w:tcW w:w="895" w:type="dxa"/>
            <w:vMerge/>
          </w:tcPr>
          <w:p w14:paraId="2CCB6E72" w14:textId="77777777" w:rsidR="00141B86" w:rsidRPr="004757CD" w:rsidRDefault="00141B86" w:rsidP="00EB20C9">
            <w:pPr>
              <w:rPr>
                <w:b/>
              </w:rPr>
            </w:pPr>
          </w:p>
        </w:tc>
        <w:tc>
          <w:tcPr>
            <w:tcW w:w="2070" w:type="dxa"/>
          </w:tcPr>
          <w:p w14:paraId="1358D67F" w14:textId="77777777" w:rsidR="00141B86" w:rsidRDefault="00141B86" w:rsidP="00EB20C9">
            <w:pPr>
              <w:rPr>
                <w:color w:val="000000"/>
              </w:rPr>
            </w:pPr>
            <w:r>
              <w:rPr>
                <w:color w:val="000000"/>
              </w:rPr>
              <w:t>Wheelock College (NCATE)</w:t>
            </w:r>
            <w:r w:rsidR="00E25620">
              <w:rPr>
                <w:rStyle w:val="FootnoteReference"/>
                <w:color w:val="000000"/>
              </w:rPr>
              <w:footnoteReference w:id="14"/>
            </w:r>
          </w:p>
        </w:tc>
        <w:tc>
          <w:tcPr>
            <w:tcW w:w="1350" w:type="dxa"/>
          </w:tcPr>
          <w:p w14:paraId="522979C3" w14:textId="77777777" w:rsidR="00141B86" w:rsidRDefault="00141B86" w:rsidP="00A52F8A">
            <w:pPr>
              <w:jc w:val="center"/>
            </w:pPr>
          </w:p>
        </w:tc>
        <w:tc>
          <w:tcPr>
            <w:tcW w:w="1710" w:type="dxa"/>
          </w:tcPr>
          <w:p w14:paraId="1C310D73" w14:textId="77777777" w:rsidR="00141B86" w:rsidRDefault="00141B86" w:rsidP="00A52F8A">
            <w:pPr>
              <w:jc w:val="center"/>
            </w:pPr>
          </w:p>
        </w:tc>
        <w:tc>
          <w:tcPr>
            <w:tcW w:w="1620" w:type="dxa"/>
          </w:tcPr>
          <w:p w14:paraId="20DDC5ED" w14:textId="77777777" w:rsidR="00141B86" w:rsidRPr="00141B86" w:rsidRDefault="00141B86" w:rsidP="00A52F8A">
            <w:pPr>
              <w:jc w:val="center"/>
              <w:rPr>
                <w:color w:val="000000"/>
              </w:rPr>
            </w:pPr>
            <w:r>
              <w:rPr>
                <w:color w:val="000000"/>
              </w:rPr>
              <w:t>Approved</w:t>
            </w:r>
          </w:p>
        </w:tc>
        <w:tc>
          <w:tcPr>
            <w:tcW w:w="1620" w:type="dxa"/>
          </w:tcPr>
          <w:p w14:paraId="76FEE412" w14:textId="77777777" w:rsidR="00141B86" w:rsidRDefault="00BD1523" w:rsidP="00A52F8A">
            <w:pPr>
              <w:jc w:val="center"/>
            </w:pPr>
            <w:r>
              <w:t>Merged with Boston University</w:t>
            </w:r>
          </w:p>
        </w:tc>
      </w:tr>
      <w:tr w:rsidR="000C0C0A" w14:paraId="2DE020D5" w14:textId="77777777" w:rsidTr="004C0710">
        <w:trPr>
          <w:tblHeader/>
        </w:trPr>
        <w:tc>
          <w:tcPr>
            <w:tcW w:w="895" w:type="dxa"/>
            <w:vMerge w:val="restart"/>
            <w:vAlign w:val="center"/>
          </w:tcPr>
          <w:p w14:paraId="79935D3D" w14:textId="77777777" w:rsidR="000C0C0A" w:rsidRPr="004757CD" w:rsidRDefault="000C0C0A" w:rsidP="000C0C0A">
            <w:pPr>
              <w:rPr>
                <w:b/>
              </w:rPr>
            </w:pPr>
            <w:r w:rsidRPr="004757CD">
              <w:rPr>
                <w:b/>
              </w:rPr>
              <w:t>2015-2016</w:t>
            </w:r>
          </w:p>
        </w:tc>
        <w:tc>
          <w:tcPr>
            <w:tcW w:w="2070" w:type="dxa"/>
          </w:tcPr>
          <w:p w14:paraId="256CD8C2" w14:textId="77777777" w:rsidR="000C0C0A" w:rsidRDefault="000C0C0A" w:rsidP="000C0C0A">
            <w:r>
              <w:rPr>
                <w:rFonts w:ascii="Calibri" w:hAnsi="Calibri" w:cs="Calibri"/>
                <w:color w:val="000000"/>
              </w:rPr>
              <w:t>Boston Teacher Residency</w:t>
            </w:r>
          </w:p>
        </w:tc>
        <w:tc>
          <w:tcPr>
            <w:tcW w:w="1350" w:type="dxa"/>
          </w:tcPr>
          <w:p w14:paraId="5BC45E05" w14:textId="77777777" w:rsidR="000C0C0A" w:rsidRDefault="000C0C0A" w:rsidP="00A52F8A">
            <w:pPr>
              <w:jc w:val="center"/>
            </w:pPr>
            <w:r>
              <w:rPr>
                <w:color w:val="000000"/>
              </w:rPr>
              <w:t>34</w:t>
            </w:r>
          </w:p>
        </w:tc>
        <w:tc>
          <w:tcPr>
            <w:tcW w:w="1710" w:type="dxa"/>
          </w:tcPr>
          <w:p w14:paraId="1757D3F7" w14:textId="77777777" w:rsidR="000C0C0A" w:rsidRDefault="000C0C0A" w:rsidP="00A52F8A">
            <w:pPr>
              <w:jc w:val="center"/>
            </w:pPr>
            <w:r>
              <w:rPr>
                <w:rFonts w:ascii="Calibri" w:hAnsi="Calibri" w:cs="Calibri"/>
                <w:color w:val="000000"/>
              </w:rPr>
              <w:t>87.8%</w:t>
            </w:r>
          </w:p>
        </w:tc>
        <w:tc>
          <w:tcPr>
            <w:tcW w:w="1620" w:type="dxa"/>
          </w:tcPr>
          <w:p w14:paraId="1F6B5EA8" w14:textId="77777777" w:rsidR="000C0C0A" w:rsidRDefault="000C0C0A" w:rsidP="00A52F8A">
            <w:pPr>
              <w:jc w:val="center"/>
            </w:pPr>
            <w:r>
              <w:rPr>
                <w:rFonts w:ascii="Calibri" w:hAnsi="Calibri" w:cs="Calibri"/>
                <w:color w:val="000000"/>
              </w:rPr>
              <w:t>Approved</w:t>
            </w:r>
          </w:p>
        </w:tc>
        <w:tc>
          <w:tcPr>
            <w:tcW w:w="1620" w:type="dxa"/>
          </w:tcPr>
          <w:p w14:paraId="751B2826" w14:textId="77777777" w:rsidR="000C0C0A" w:rsidRDefault="000C0C0A" w:rsidP="00A52F8A">
            <w:pPr>
              <w:jc w:val="center"/>
            </w:pPr>
            <w:r>
              <w:rPr>
                <w:rFonts w:ascii="Calibri" w:hAnsi="Calibri" w:cs="Calibri"/>
                <w:color w:val="000000"/>
              </w:rPr>
              <w:t>Approved</w:t>
            </w:r>
          </w:p>
        </w:tc>
      </w:tr>
      <w:tr w:rsidR="000C0C0A" w14:paraId="0D2C1CA1" w14:textId="77777777" w:rsidTr="004C0710">
        <w:trPr>
          <w:tblHeader/>
        </w:trPr>
        <w:tc>
          <w:tcPr>
            <w:tcW w:w="895" w:type="dxa"/>
            <w:vMerge/>
          </w:tcPr>
          <w:p w14:paraId="0A585BEE" w14:textId="77777777" w:rsidR="000C0C0A" w:rsidRPr="004757CD" w:rsidRDefault="000C0C0A" w:rsidP="000C0C0A">
            <w:pPr>
              <w:rPr>
                <w:b/>
              </w:rPr>
            </w:pPr>
          </w:p>
        </w:tc>
        <w:tc>
          <w:tcPr>
            <w:tcW w:w="2070" w:type="dxa"/>
          </w:tcPr>
          <w:p w14:paraId="7ACB770C" w14:textId="77777777" w:rsidR="000C0C0A" w:rsidRDefault="000C0C0A" w:rsidP="000C0C0A">
            <w:pPr>
              <w:rPr>
                <w:rFonts w:ascii="Calibri" w:hAnsi="Calibri" w:cs="Calibri"/>
                <w:color w:val="000000"/>
              </w:rPr>
            </w:pPr>
            <w:r>
              <w:rPr>
                <w:rFonts w:ascii="Calibri" w:hAnsi="Calibri" w:cs="Calibri"/>
                <w:color w:val="000000"/>
              </w:rPr>
              <w:t>Cambridge Public Schools</w:t>
            </w:r>
          </w:p>
        </w:tc>
        <w:tc>
          <w:tcPr>
            <w:tcW w:w="6300" w:type="dxa"/>
            <w:gridSpan w:val="4"/>
          </w:tcPr>
          <w:p w14:paraId="6AA31366" w14:textId="77777777" w:rsidR="000C0C0A" w:rsidRDefault="00A52F8A" w:rsidP="00A52F8A">
            <w:pPr>
              <w:jc w:val="center"/>
              <w:rPr>
                <w:rFonts w:ascii="Calibri" w:hAnsi="Calibri" w:cs="Calibri"/>
                <w:color w:val="000000"/>
              </w:rPr>
            </w:pPr>
            <w:r w:rsidRPr="00A52F8A">
              <w:rPr>
                <w:i/>
              </w:rPr>
              <w:t>Expired approval – no longer endorses candidates for licensure in MA</w:t>
            </w:r>
          </w:p>
        </w:tc>
      </w:tr>
      <w:tr w:rsidR="000C0C0A" w14:paraId="790A5E55" w14:textId="77777777" w:rsidTr="004C0710">
        <w:trPr>
          <w:tblHeader/>
        </w:trPr>
        <w:tc>
          <w:tcPr>
            <w:tcW w:w="895" w:type="dxa"/>
            <w:vMerge/>
          </w:tcPr>
          <w:p w14:paraId="70530787" w14:textId="77777777" w:rsidR="000C0C0A" w:rsidRPr="004757CD" w:rsidRDefault="000C0C0A" w:rsidP="000C0C0A">
            <w:pPr>
              <w:rPr>
                <w:b/>
              </w:rPr>
            </w:pPr>
          </w:p>
        </w:tc>
        <w:tc>
          <w:tcPr>
            <w:tcW w:w="2070" w:type="dxa"/>
          </w:tcPr>
          <w:p w14:paraId="3C54CB57" w14:textId="77777777" w:rsidR="000C0C0A" w:rsidRDefault="000C0C0A" w:rsidP="000C0C0A">
            <w:r>
              <w:rPr>
                <w:rFonts w:ascii="Calibri" w:hAnsi="Calibri" w:cs="Calibri"/>
                <w:color w:val="000000"/>
              </w:rPr>
              <w:t>Catherine Leahy Brine</w:t>
            </w:r>
          </w:p>
        </w:tc>
        <w:tc>
          <w:tcPr>
            <w:tcW w:w="1350" w:type="dxa"/>
          </w:tcPr>
          <w:p w14:paraId="1C09A7D8" w14:textId="77777777" w:rsidR="000C0C0A" w:rsidRDefault="000C0C0A" w:rsidP="00A52F8A">
            <w:pPr>
              <w:jc w:val="center"/>
            </w:pPr>
            <w:r>
              <w:rPr>
                <w:color w:val="000000"/>
              </w:rPr>
              <w:t>109</w:t>
            </w:r>
          </w:p>
        </w:tc>
        <w:tc>
          <w:tcPr>
            <w:tcW w:w="1710" w:type="dxa"/>
          </w:tcPr>
          <w:p w14:paraId="3978B7C6" w14:textId="77777777" w:rsidR="000C0C0A" w:rsidRDefault="000C0C0A" w:rsidP="00A52F8A">
            <w:pPr>
              <w:jc w:val="center"/>
            </w:pPr>
            <w:r>
              <w:rPr>
                <w:rFonts w:ascii="Calibri" w:hAnsi="Calibri" w:cs="Calibri"/>
                <w:color w:val="000000"/>
              </w:rPr>
              <w:t>93.5%</w:t>
            </w:r>
          </w:p>
        </w:tc>
        <w:tc>
          <w:tcPr>
            <w:tcW w:w="1620" w:type="dxa"/>
          </w:tcPr>
          <w:p w14:paraId="672F0A82" w14:textId="77777777" w:rsidR="000C0C0A" w:rsidRDefault="000C0C0A" w:rsidP="00A52F8A">
            <w:pPr>
              <w:jc w:val="center"/>
            </w:pPr>
            <w:r>
              <w:rPr>
                <w:rFonts w:ascii="Calibri" w:hAnsi="Calibri" w:cs="Calibri"/>
                <w:color w:val="000000"/>
              </w:rPr>
              <w:t>Approved</w:t>
            </w:r>
          </w:p>
        </w:tc>
        <w:tc>
          <w:tcPr>
            <w:tcW w:w="1620" w:type="dxa"/>
          </w:tcPr>
          <w:p w14:paraId="12B3066E" w14:textId="77777777" w:rsidR="000C0C0A" w:rsidRDefault="000C0C0A" w:rsidP="00A52F8A">
            <w:pPr>
              <w:jc w:val="center"/>
            </w:pPr>
            <w:r>
              <w:rPr>
                <w:rFonts w:ascii="Calibri" w:hAnsi="Calibri" w:cs="Calibri"/>
                <w:color w:val="000000"/>
              </w:rPr>
              <w:t>Approved</w:t>
            </w:r>
          </w:p>
        </w:tc>
      </w:tr>
      <w:tr w:rsidR="000C0C0A" w14:paraId="3828087C" w14:textId="77777777" w:rsidTr="004C0710">
        <w:trPr>
          <w:tblHeader/>
        </w:trPr>
        <w:tc>
          <w:tcPr>
            <w:tcW w:w="895" w:type="dxa"/>
            <w:vMerge/>
          </w:tcPr>
          <w:p w14:paraId="1DD1E1CF" w14:textId="77777777" w:rsidR="000C0C0A" w:rsidRPr="004757CD" w:rsidRDefault="000C0C0A" w:rsidP="000C0C0A">
            <w:pPr>
              <w:rPr>
                <w:b/>
              </w:rPr>
            </w:pPr>
          </w:p>
        </w:tc>
        <w:tc>
          <w:tcPr>
            <w:tcW w:w="2070" w:type="dxa"/>
          </w:tcPr>
          <w:p w14:paraId="17D090A7" w14:textId="77777777" w:rsidR="000C0C0A" w:rsidRDefault="000C0C0A" w:rsidP="000C0C0A">
            <w:r>
              <w:rPr>
                <w:rFonts w:ascii="Calibri" w:hAnsi="Calibri" w:cs="Calibri"/>
                <w:color w:val="000000"/>
              </w:rPr>
              <w:t>College of the Holy Cross</w:t>
            </w:r>
          </w:p>
        </w:tc>
        <w:tc>
          <w:tcPr>
            <w:tcW w:w="1350" w:type="dxa"/>
          </w:tcPr>
          <w:p w14:paraId="374A10F7" w14:textId="77777777" w:rsidR="000C0C0A" w:rsidRDefault="000C0C0A" w:rsidP="00A52F8A">
            <w:pPr>
              <w:jc w:val="center"/>
            </w:pPr>
            <w:r>
              <w:rPr>
                <w:color w:val="000000"/>
              </w:rPr>
              <w:t>8</w:t>
            </w:r>
          </w:p>
        </w:tc>
        <w:tc>
          <w:tcPr>
            <w:tcW w:w="1710" w:type="dxa"/>
          </w:tcPr>
          <w:p w14:paraId="2F799359" w14:textId="77777777" w:rsidR="000C0C0A" w:rsidRDefault="000C0C0A" w:rsidP="00A52F8A">
            <w:pPr>
              <w:jc w:val="center"/>
            </w:pPr>
            <w:r>
              <w:rPr>
                <w:rFonts w:ascii="Calibri" w:hAnsi="Calibri" w:cs="Calibri"/>
                <w:color w:val="000000"/>
              </w:rPr>
              <w:t>48.0%</w:t>
            </w:r>
          </w:p>
        </w:tc>
        <w:tc>
          <w:tcPr>
            <w:tcW w:w="1620" w:type="dxa"/>
          </w:tcPr>
          <w:p w14:paraId="661678F9" w14:textId="77777777" w:rsidR="000C0C0A" w:rsidRDefault="000C0C0A" w:rsidP="00A52F8A">
            <w:pPr>
              <w:jc w:val="center"/>
            </w:pPr>
            <w:r>
              <w:rPr>
                <w:rFonts w:ascii="Calibri" w:hAnsi="Calibri" w:cs="Calibri"/>
                <w:color w:val="000000"/>
              </w:rPr>
              <w:t>Approved</w:t>
            </w:r>
          </w:p>
        </w:tc>
        <w:tc>
          <w:tcPr>
            <w:tcW w:w="1620" w:type="dxa"/>
          </w:tcPr>
          <w:p w14:paraId="072BD8C7" w14:textId="77777777" w:rsidR="000C0C0A" w:rsidRDefault="000C0C0A" w:rsidP="00A52F8A">
            <w:pPr>
              <w:jc w:val="center"/>
            </w:pPr>
            <w:r>
              <w:rPr>
                <w:rFonts w:ascii="Calibri" w:hAnsi="Calibri" w:cs="Calibri"/>
                <w:color w:val="000000"/>
              </w:rPr>
              <w:t>Approved</w:t>
            </w:r>
          </w:p>
        </w:tc>
      </w:tr>
      <w:tr w:rsidR="000C0C0A" w14:paraId="29C96192" w14:textId="77777777" w:rsidTr="004C0710">
        <w:trPr>
          <w:tblHeader/>
        </w:trPr>
        <w:tc>
          <w:tcPr>
            <w:tcW w:w="895" w:type="dxa"/>
            <w:vMerge/>
          </w:tcPr>
          <w:p w14:paraId="72DA4DBE" w14:textId="77777777" w:rsidR="000C0C0A" w:rsidRPr="004757CD" w:rsidRDefault="000C0C0A" w:rsidP="000C0C0A">
            <w:pPr>
              <w:rPr>
                <w:b/>
              </w:rPr>
            </w:pPr>
          </w:p>
        </w:tc>
        <w:tc>
          <w:tcPr>
            <w:tcW w:w="2070" w:type="dxa"/>
          </w:tcPr>
          <w:p w14:paraId="3BE563EA" w14:textId="77777777" w:rsidR="000C0C0A" w:rsidRDefault="000C0C0A" w:rsidP="000C0C0A">
            <w:r>
              <w:rPr>
                <w:rFonts w:ascii="Calibri" w:hAnsi="Calibri" w:cs="Calibri"/>
                <w:color w:val="000000"/>
              </w:rPr>
              <w:t>Eastern Nazarene College</w:t>
            </w:r>
          </w:p>
        </w:tc>
        <w:tc>
          <w:tcPr>
            <w:tcW w:w="1350" w:type="dxa"/>
          </w:tcPr>
          <w:p w14:paraId="6A36E571" w14:textId="77777777" w:rsidR="000C0C0A" w:rsidRDefault="000C0C0A" w:rsidP="00A52F8A">
            <w:pPr>
              <w:jc w:val="center"/>
            </w:pPr>
            <w:r>
              <w:rPr>
                <w:color w:val="000000"/>
              </w:rPr>
              <w:t>33</w:t>
            </w:r>
          </w:p>
        </w:tc>
        <w:tc>
          <w:tcPr>
            <w:tcW w:w="1710" w:type="dxa"/>
          </w:tcPr>
          <w:p w14:paraId="570D0D4C" w14:textId="77777777" w:rsidR="000C0C0A" w:rsidRDefault="000C0C0A" w:rsidP="00A52F8A">
            <w:pPr>
              <w:jc w:val="center"/>
            </w:pPr>
            <w:r>
              <w:rPr>
                <w:rFonts w:ascii="Calibri" w:hAnsi="Calibri" w:cs="Calibri"/>
                <w:color w:val="000000"/>
              </w:rPr>
              <w:t>63.5%</w:t>
            </w:r>
          </w:p>
        </w:tc>
        <w:tc>
          <w:tcPr>
            <w:tcW w:w="1620" w:type="dxa"/>
          </w:tcPr>
          <w:p w14:paraId="2AC3F002" w14:textId="77777777" w:rsidR="000C0C0A" w:rsidRDefault="000C0C0A" w:rsidP="00A52F8A">
            <w:pPr>
              <w:jc w:val="center"/>
            </w:pPr>
            <w:r>
              <w:rPr>
                <w:rFonts w:ascii="Calibri" w:hAnsi="Calibri" w:cs="Calibri"/>
                <w:color w:val="000000"/>
              </w:rPr>
              <w:t>Approved with Conditions</w:t>
            </w:r>
          </w:p>
        </w:tc>
        <w:tc>
          <w:tcPr>
            <w:tcW w:w="1620" w:type="dxa"/>
          </w:tcPr>
          <w:p w14:paraId="39DB3692" w14:textId="77777777" w:rsidR="000C0C0A" w:rsidRDefault="000C0C0A" w:rsidP="00A52F8A">
            <w:pPr>
              <w:jc w:val="center"/>
            </w:pPr>
            <w:r>
              <w:rPr>
                <w:rFonts w:ascii="Calibri" w:hAnsi="Calibri" w:cs="Calibri"/>
                <w:color w:val="000000"/>
              </w:rPr>
              <w:t>Approved with Conditions</w:t>
            </w:r>
          </w:p>
        </w:tc>
      </w:tr>
      <w:tr w:rsidR="000C0C0A" w14:paraId="667C41F1" w14:textId="77777777" w:rsidTr="004C0710">
        <w:trPr>
          <w:tblHeader/>
        </w:trPr>
        <w:tc>
          <w:tcPr>
            <w:tcW w:w="895" w:type="dxa"/>
            <w:vMerge/>
          </w:tcPr>
          <w:p w14:paraId="2DB0F269" w14:textId="77777777" w:rsidR="000C0C0A" w:rsidRPr="004757CD" w:rsidRDefault="000C0C0A" w:rsidP="000C0C0A">
            <w:pPr>
              <w:rPr>
                <w:b/>
              </w:rPr>
            </w:pPr>
          </w:p>
        </w:tc>
        <w:tc>
          <w:tcPr>
            <w:tcW w:w="2070" w:type="dxa"/>
          </w:tcPr>
          <w:p w14:paraId="78506DD9" w14:textId="77777777" w:rsidR="000C0C0A" w:rsidRDefault="000C0C0A" w:rsidP="000C0C0A">
            <w:r>
              <w:rPr>
                <w:rFonts w:ascii="Calibri" w:hAnsi="Calibri" w:cs="Calibri"/>
                <w:color w:val="000000"/>
              </w:rPr>
              <w:t>Harvard Graduate School of Education</w:t>
            </w:r>
          </w:p>
        </w:tc>
        <w:tc>
          <w:tcPr>
            <w:tcW w:w="1350" w:type="dxa"/>
          </w:tcPr>
          <w:p w14:paraId="40931784" w14:textId="77777777" w:rsidR="000C0C0A" w:rsidRDefault="000C0C0A" w:rsidP="00A52F8A">
            <w:pPr>
              <w:jc w:val="center"/>
            </w:pPr>
            <w:r>
              <w:rPr>
                <w:color w:val="000000"/>
              </w:rPr>
              <w:t>93</w:t>
            </w:r>
          </w:p>
        </w:tc>
        <w:tc>
          <w:tcPr>
            <w:tcW w:w="1710" w:type="dxa"/>
          </w:tcPr>
          <w:p w14:paraId="65F9FC31" w14:textId="77777777" w:rsidR="000C0C0A" w:rsidRDefault="000C0C0A" w:rsidP="00A52F8A">
            <w:pPr>
              <w:jc w:val="center"/>
            </w:pPr>
            <w:r>
              <w:rPr>
                <w:rFonts w:ascii="Calibri" w:hAnsi="Calibri" w:cs="Calibri"/>
                <w:color w:val="000000"/>
              </w:rPr>
              <w:t>31.6%</w:t>
            </w:r>
          </w:p>
        </w:tc>
        <w:tc>
          <w:tcPr>
            <w:tcW w:w="1620" w:type="dxa"/>
          </w:tcPr>
          <w:p w14:paraId="424CCA74" w14:textId="77777777" w:rsidR="000C0C0A" w:rsidRDefault="000C0C0A" w:rsidP="00A52F8A">
            <w:pPr>
              <w:jc w:val="center"/>
            </w:pPr>
            <w:r>
              <w:rPr>
                <w:rFonts w:ascii="Calibri" w:hAnsi="Calibri" w:cs="Calibri"/>
                <w:color w:val="000000"/>
              </w:rPr>
              <w:t>Approved</w:t>
            </w:r>
          </w:p>
        </w:tc>
        <w:tc>
          <w:tcPr>
            <w:tcW w:w="1620" w:type="dxa"/>
          </w:tcPr>
          <w:p w14:paraId="16FF9823" w14:textId="77777777" w:rsidR="000C0C0A" w:rsidRDefault="000C0C0A" w:rsidP="00A52F8A">
            <w:pPr>
              <w:jc w:val="center"/>
            </w:pPr>
            <w:r>
              <w:rPr>
                <w:rFonts w:ascii="Calibri" w:hAnsi="Calibri" w:cs="Calibri"/>
                <w:color w:val="000000"/>
              </w:rPr>
              <w:t>Approved</w:t>
            </w:r>
          </w:p>
        </w:tc>
      </w:tr>
      <w:tr w:rsidR="000C0C0A" w14:paraId="6C7727BF" w14:textId="77777777" w:rsidTr="004C0710">
        <w:trPr>
          <w:tblHeader/>
        </w:trPr>
        <w:tc>
          <w:tcPr>
            <w:tcW w:w="895" w:type="dxa"/>
            <w:vMerge/>
          </w:tcPr>
          <w:p w14:paraId="47FAA27A" w14:textId="77777777" w:rsidR="000C0C0A" w:rsidRPr="004757CD" w:rsidRDefault="000C0C0A" w:rsidP="000C0C0A">
            <w:pPr>
              <w:rPr>
                <w:b/>
              </w:rPr>
            </w:pPr>
          </w:p>
        </w:tc>
        <w:tc>
          <w:tcPr>
            <w:tcW w:w="2070" w:type="dxa"/>
          </w:tcPr>
          <w:p w14:paraId="7537F9AF" w14:textId="77777777" w:rsidR="000C0C0A" w:rsidRDefault="000C0C0A" w:rsidP="000C0C0A">
            <w:pPr>
              <w:rPr>
                <w:rFonts w:ascii="Calibri" w:hAnsi="Calibri" w:cs="Calibri"/>
                <w:color w:val="000000"/>
              </w:rPr>
            </w:pPr>
            <w:r>
              <w:rPr>
                <w:rFonts w:ascii="Calibri" w:hAnsi="Calibri" w:cs="Calibri"/>
                <w:color w:val="000000"/>
              </w:rPr>
              <w:t>MA School of Professional Psychology</w:t>
            </w:r>
          </w:p>
        </w:tc>
        <w:tc>
          <w:tcPr>
            <w:tcW w:w="6300" w:type="dxa"/>
            <w:gridSpan w:val="4"/>
          </w:tcPr>
          <w:p w14:paraId="7F72A6D5" w14:textId="77777777" w:rsidR="000C0C0A" w:rsidRDefault="00A52F8A" w:rsidP="00A52F8A">
            <w:pPr>
              <w:jc w:val="center"/>
              <w:rPr>
                <w:rFonts w:ascii="Calibri" w:hAnsi="Calibri" w:cs="Calibri"/>
                <w:color w:val="000000"/>
              </w:rPr>
            </w:pPr>
            <w:r w:rsidRPr="00A52F8A">
              <w:rPr>
                <w:i/>
              </w:rPr>
              <w:t>Expired approval – no longer endorses candidates for licensure in MA</w:t>
            </w:r>
          </w:p>
        </w:tc>
      </w:tr>
      <w:tr w:rsidR="000C0C0A" w14:paraId="2CE520FE" w14:textId="77777777" w:rsidTr="004C0710">
        <w:trPr>
          <w:tblHeader/>
        </w:trPr>
        <w:tc>
          <w:tcPr>
            <w:tcW w:w="895" w:type="dxa"/>
            <w:vMerge/>
          </w:tcPr>
          <w:p w14:paraId="323CB9A8" w14:textId="77777777" w:rsidR="000C0C0A" w:rsidRPr="004757CD" w:rsidRDefault="000C0C0A" w:rsidP="000C0C0A">
            <w:pPr>
              <w:rPr>
                <w:b/>
              </w:rPr>
            </w:pPr>
          </w:p>
        </w:tc>
        <w:tc>
          <w:tcPr>
            <w:tcW w:w="2070" w:type="dxa"/>
          </w:tcPr>
          <w:p w14:paraId="5EAB31D4" w14:textId="77777777" w:rsidR="000C0C0A" w:rsidRDefault="000C0C0A" w:rsidP="000C0C0A">
            <w:r>
              <w:rPr>
                <w:rFonts w:ascii="Calibri" w:hAnsi="Calibri" w:cs="Calibri"/>
                <w:color w:val="000000"/>
              </w:rPr>
              <w:t>Newton Teacher Residency</w:t>
            </w:r>
          </w:p>
        </w:tc>
        <w:tc>
          <w:tcPr>
            <w:tcW w:w="1350" w:type="dxa"/>
          </w:tcPr>
          <w:p w14:paraId="68A37D03" w14:textId="77777777" w:rsidR="000C0C0A" w:rsidRDefault="000C0C0A" w:rsidP="00A52F8A">
            <w:pPr>
              <w:jc w:val="center"/>
            </w:pPr>
            <w:r>
              <w:rPr>
                <w:color w:val="000000"/>
              </w:rPr>
              <w:t>4</w:t>
            </w:r>
          </w:p>
        </w:tc>
        <w:tc>
          <w:tcPr>
            <w:tcW w:w="1710" w:type="dxa"/>
          </w:tcPr>
          <w:p w14:paraId="62FFC49D" w14:textId="77777777" w:rsidR="000C0C0A" w:rsidRDefault="000C0C0A" w:rsidP="00A52F8A">
            <w:pPr>
              <w:jc w:val="center"/>
            </w:pPr>
            <w:r>
              <w:rPr>
                <w:rFonts w:ascii="Calibri" w:hAnsi="Calibri" w:cs="Calibri"/>
                <w:color w:val="000000"/>
              </w:rPr>
              <w:t>-</w:t>
            </w:r>
          </w:p>
        </w:tc>
        <w:tc>
          <w:tcPr>
            <w:tcW w:w="1620" w:type="dxa"/>
          </w:tcPr>
          <w:p w14:paraId="0926A3CA" w14:textId="77777777" w:rsidR="000C0C0A" w:rsidRDefault="000C0C0A" w:rsidP="00A52F8A">
            <w:pPr>
              <w:jc w:val="center"/>
            </w:pPr>
            <w:r>
              <w:rPr>
                <w:rFonts w:ascii="Calibri" w:hAnsi="Calibri" w:cs="Calibri"/>
                <w:color w:val="000000"/>
              </w:rPr>
              <w:t>Approved</w:t>
            </w:r>
          </w:p>
        </w:tc>
        <w:tc>
          <w:tcPr>
            <w:tcW w:w="1620" w:type="dxa"/>
          </w:tcPr>
          <w:p w14:paraId="2A662D50" w14:textId="77777777" w:rsidR="000C0C0A" w:rsidRDefault="000C0C0A" w:rsidP="00A52F8A">
            <w:pPr>
              <w:jc w:val="center"/>
            </w:pPr>
            <w:r>
              <w:rPr>
                <w:rFonts w:ascii="Calibri" w:hAnsi="Calibri" w:cs="Calibri"/>
                <w:color w:val="000000"/>
              </w:rPr>
              <w:t>Approved</w:t>
            </w:r>
          </w:p>
        </w:tc>
      </w:tr>
      <w:tr w:rsidR="000C0C0A" w14:paraId="6F14B099" w14:textId="77777777" w:rsidTr="004C0710">
        <w:trPr>
          <w:tblHeader/>
        </w:trPr>
        <w:tc>
          <w:tcPr>
            <w:tcW w:w="895" w:type="dxa"/>
            <w:vMerge/>
          </w:tcPr>
          <w:p w14:paraId="6D2F7C53" w14:textId="77777777" w:rsidR="000C0C0A" w:rsidRPr="004757CD" w:rsidRDefault="000C0C0A" w:rsidP="000C0C0A">
            <w:pPr>
              <w:rPr>
                <w:b/>
              </w:rPr>
            </w:pPr>
          </w:p>
        </w:tc>
        <w:tc>
          <w:tcPr>
            <w:tcW w:w="2070" w:type="dxa"/>
          </w:tcPr>
          <w:p w14:paraId="51C16401" w14:textId="77777777" w:rsidR="000C0C0A" w:rsidRDefault="000C0C0A" w:rsidP="000C0C0A">
            <w:r>
              <w:rPr>
                <w:rFonts w:ascii="Calibri" w:hAnsi="Calibri" w:cs="Calibri"/>
                <w:color w:val="000000"/>
              </w:rPr>
              <w:t>Nichols College</w:t>
            </w:r>
          </w:p>
        </w:tc>
        <w:tc>
          <w:tcPr>
            <w:tcW w:w="6300" w:type="dxa"/>
            <w:gridSpan w:val="4"/>
          </w:tcPr>
          <w:p w14:paraId="03264AEA" w14:textId="77777777" w:rsidR="000C0C0A" w:rsidRDefault="00A52F8A" w:rsidP="00A52F8A">
            <w:pPr>
              <w:jc w:val="center"/>
            </w:pPr>
            <w:r w:rsidRPr="00A52F8A">
              <w:rPr>
                <w:i/>
              </w:rPr>
              <w:t>Expired approval – no longer endorses candidates for licensure in MA</w:t>
            </w:r>
          </w:p>
        </w:tc>
      </w:tr>
      <w:tr w:rsidR="000C0C0A" w14:paraId="462EF05D" w14:textId="77777777" w:rsidTr="004C0710">
        <w:trPr>
          <w:tblHeader/>
        </w:trPr>
        <w:tc>
          <w:tcPr>
            <w:tcW w:w="895" w:type="dxa"/>
            <w:vMerge/>
          </w:tcPr>
          <w:p w14:paraId="07C7C344" w14:textId="77777777" w:rsidR="000C0C0A" w:rsidRPr="004757CD" w:rsidRDefault="000C0C0A" w:rsidP="000C0C0A">
            <w:pPr>
              <w:rPr>
                <w:b/>
              </w:rPr>
            </w:pPr>
          </w:p>
        </w:tc>
        <w:tc>
          <w:tcPr>
            <w:tcW w:w="2070" w:type="dxa"/>
          </w:tcPr>
          <w:p w14:paraId="159ABE7B" w14:textId="77777777" w:rsidR="000C0C0A" w:rsidRDefault="000C0C0A" w:rsidP="000C0C0A">
            <w:r>
              <w:rPr>
                <w:rFonts w:ascii="Calibri" w:hAnsi="Calibri" w:cs="Calibri"/>
                <w:color w:val="000000"/>
              </w:rPr>
              <w:t>Smith College</w:t>
            </w:r>
          </w:p>
        </w:tc>
        <w:tc>
          <w:tcPr>
            <w:tcW w:w="1350" w:type="dxa"/>
          </w:tcPr>
          <w:p w14:paraId="6C8A1FB1" w14:textId="77777777" w:rsidR="000C0C0A" w:rsidRDefault="000C0C0A" w:rsidP="00A52F8A">
            <w:pPr>
              <w:jc w:val="center"/>
            </w:pPr>
            <w:r>
              <w:rPr>
                <w:color w:val="000000"/>
              </w:rPr>
              <w:t>29</w:t>
            </w:r>
          </w:p>
        </w:tc>
        <w:tc>
          <w:tcPr>
            <w:tcW w:w="1710" w:type="dxa"/>
          </w:tcPr>
          <w:p w14:paraId="09EEAD2F" w14:textId="77777777" w:rsidR="000C0C0A" w:rsidRDefault="000C0C0A" w:rsidP="00A52F8A">
            <w:pPr>
              <w:jc w:val="center"/>
            </w:pPr>
            <w:r>
              <w:rPr>
                <w:rFonts w:ascii="Calibri" w:hAnsi="Calibri" w:cs="Calibri"/>
                <w:color w:val="000000"/>
              </w:rPr>
              <w:t>39.0%</w:t>
            </w:r>
          </w:p>
        </w:tc>
        <w:tc>
          <w:tcPr>
            <w:tcW w:w="1620" w:type="dxa"/>
          </w:tcPr>
          <w:p w14:paraId="24769C7F" w14:textId="77777777" w:rsidR="000C0C0A" w:rsidRDefault="000C0C0A" w:rsidP="00A52F8A">
            <w:pPr>
              <w:jc w:val="center"/>
            </w:pPr>
            <w:r>
              <w:rPr>
                <w:rFonts w:ascii="Calibri" w:hAnsi="Calibri" w:cs="Calibri"/>
                <w:color w:val="000000"/>
              </w:rPr>
              <w:t>Approved</w:t>
            </w:r>
          </w:p>
        </w:tc>
        <w:tc>
          <w:tcPr>
            <w:tcW w:w="1620" w:type="dxa"/>
          </w:tcPr>
          <w:p w14:paraId="755E855B" w14:textId="77777777" w:rsidR="000C0C0A" w:rsidRDefault="000C0C0A" w:rsidP="00A52F8A">
            <w:pPr>
              <w:jc w:val="center"/>
            </w:pPr>
            <w:r>
              <w:rPr>
                <w:rFonts w:ascii="Calibri" w:hAnsi="Calibri" w:cs="Calibri"/>
                <w:color w:val="000000"/>
              </w:rPr>
              <w:t>Approved</w:t>
            </w:r>
          </w:p>
        </w:tc>
      </w:tr>
      <w:tr w:rsidR="000C0C0A" w14:paraId="319363ED" w14:textId="77777777" w:rsidTr="004C0710">
        <w:trPr>
          <w:tblHeader/>
        </w:trPr>
        <w:tc>
          <w:tcPr>
            <w:tcW w:w="895" w:type="dxa"/>
            <w:vMerge/>
          </w:tcPr>
          <w:p w14:paraId="11C806D1" w14:textId="77777777" w:rsidR="000C0C0A" w:rsidRPr="004757CD" w:rsidRDefault="000C0C0A" w:rsidP="000C0C0A">
            <w:pPr>
              <w:rPr>
                <w:b/>
              </w:rPr>
            </w:pPr>
          </w:p>
        </w:tc>
        <w:tc>
          <w:tcPr>
            <w:tcW w:w="2070" w:type="dxa"/>
          </w:tcPr>
          <w:p w14:paraId="41BA2A09" w14:textId="77777777" w:rsidR="000C0C0A" w:rsidRDefault="000C0C0A" w:rsidP="000C0C0A">
            <w:r>
              <w:rPr>
                <w:rFonts w:ascii="Calibri" w:hAnsi="Calibri" w:cs="Calibri"/>
                <w:color w:val="000000"/>
              </w:rPr>
              <w:t>Worcester Polytechnic Institute</w:t>
            </w:r>
          </w:p>
        </w:tc>
        <w:tc>
          <w:tcPr>
            <w:tcW w:w="1350" w:type="dxa"/>
          </w:tcPr>
          <w:p w14:paraId="1DEB7842" w14:textId="77777777" w:rsidR="000C0C0A" w:rsidRDefault="000C0C0A" w:rsidP="00A52F8A">
            <w:pPr>
              <w:jc w:val="center"/>
            </w:pPr>
            <w:r>
              <w:rPr>
                <w:color w:val="000000"/>
              </w:rPr>
              <w:t>3</w:t>
            </w:r>
          </w:p>
        </w:tc>
        <w:tc>
          <w:tcPr>
            <w:tcW w:w="1710" w:type="dxa"/>
          </w:tcPr>
          <w:p w14:paraId="6D713F69" w14:textId="77777777" w:rsidR="000C0C0A" w:rsidRDefault="000C0C0A" w:rsidP="00A52F8A">
            <w:pPr>
              <w:jc w:val="center"/>
            </w:pPr>
            <w:r>
              <w:rPr>
                <w:rFonts w:ascii="Calibri" w:hAnsi="Calibri" w:cs="Calibri"/>
                <w:color w:val="000000"/>
              </w:rPr>
              <w:t>-</w:t>
            </w:r>
          </w:p>
        </w:tc>
        <w:tc>
          <w:tcPr>
            <w:tcW w:w="1620" w:type="dxa"/>
          </w:tcPr>
          <w:p w14:paraId="2C9A8B44" w14:textId="77777777" w:rsidR="000C0C0A" w:rsidRDefault="000C0C0A" w:rsidP="00A52F8A">
            <w:pPr>
              <w:jc w:val="center"/>
            </w:pPr>
            <w:r>
              <w:rPr>
                <w:rFonts w:ascii="Calibri" w:hAnsi="Calibri" w:cs="Calibri"/>
                <w:color w:val="000000"/>
              </w:rPr>
              <w:t>Approved with Conditions</w:t>
            </w:r>
          </w:p>
        </w:tc>
        <w:tc>
          <w:tcPr>
            <w:tcW w:w="1620" w:type="dxa"/>
          </w:tcPr>
          <w:p w14:paraId="3FDD8DBD" w14:textId="77777777" w:rsidR="000C0C0A" w:rsidRDefault="000C0C0A" w:rsidP="00A52F8A">
            <w:pPr>
              <w:jc w:val="center"/>
            </w:pPr>
            <w:r>
              <w:rPr>
                <w:rFonts w:ascii="Calibri" w:hAnsi="Calibri" w:cs="Calibri"/>
                <w:color w:val="000000"/>
              </w:rPr>
              <w:t>Approved</w:t>
            </w:r>
          </w:p>
        </w:tc>
      </w:tr>
      <w:tr w:rsidR="000C0C0A" w14:paraId="7F10D184" w14:textId="77777777" w:rsidTr="004C0710">
        <w:trPr>
          <w:tblHeader/>
        </w:trPr>
        <w:tc>
          <w:tcPr>
            <w:tcW w:w="895" w:type="dxa"/>
            <w:vMerge/>
          </w:tcPr>
          <w:p w14:paraId="7E6D53E2" w14:textId="77777777" w:rsidR="000C0C0A" w:rsidRPr="004757CD" w:rsidRDefault="000C0C0A" w:rsidP="000C0C0A">
            <w:pPr>
              <w:rPr>
                <w:b/>
              </w:rPr>
            </w:pPr>
          </w:p>
        </w:tc>
        <w:tc>
          <w:tcPr>
            <w:tcW w:w="2070" w:type="dxa"/>
          </w:tcPr>
          <w:p w14:paraId="43380EAC" w14:textId="77777777" w:rsidR="000C0C0A" w:rsidRDefault="000C0C0A" w:rsidP="000C0C0A">
            <w:r>
              <w:rPr>
                <w:rFonts w:ascii="Calibri" w:hAnsi="Calibri" w:cs="Calibri"/>
                <w:color w:val="000000"/>
              </w:rPr>
              <w:t>UMASS Boston (TEAC)</w:t>
            </w:r>
            <w:r w:rsidR="00E25620">
              <w:rPr>
                <w:rStyle w:val="FootnoteReference"/>
                <w:rFonts w:ascii="Calibri" w:hAnsi="Calibri" w:cs="Calibri"/>
                <w:color w:val="000000"/>
              </w:rPr>
              <w:footnoteReference w:id="15"/>
            </w:r>
          </w:p>
        </w:tc>
        <w:tc>
          <w:tcPr>
            <w:tcW w:w="1350" w:type="dxa"/>
          </w:tcPr>
          <w:p w14:paraId="5897A2D7" w14:textId="77777777" w:rsidR="000C0C0A" w:rsidRDefault="000C0C0A" w:rsidP="00A52F8A">
            <w:pPr>
              <w:jc w:val="center"/>
            </w:pPr>
            <w:r>
              <w:rPr>
                <w:color w:val="000000"/>
              </w:rPr>
              <w:t>255</w:t>
            </w:r>
          </w:p>
        </w:tc>
        <w:tc>
          <w:tcPr>
            <w:tcW w:w="1710" w:type="dxa"/>
          </w:tcPr>
          <w:p w14:paraId="4C4F0173" w14:textId="77777777" w:rsidR="000C0C0A" w:rsidRDefault="000C0C0A" w:rsidP="00A52F8A">
            <w:pPr>
              <w:jc w:val="center"/>
            </w:pPr>
            <w:r>
              <w:rPr>
                <w:rFonts w:ascii="Calibri" w:hAnsi="Calibri" w:cs="Calibri"/>
                <w:color w:val="000000"/>
              </w:rPr>
              <w:t>72.1%</w:t>
            </w:r>
          </w:p>
        </w:tc>
        <w:tc>
          <w:tcPr>
            <w:tcW w:w="1620" w:type="dxa"/>
          </w:tcPr>
          <w:p w14:paraId="0DF76F79" w14:textId="77777777" w:rsidR="000C0C0A" w:rsidRDefault="000C0C0A" w:rsidP="00A52F8A">
            <w:pPr>
              <w:jc w:val="center"/>
            </w:pPr>
            <w:r>
              <w:rPr>
                <w:rFonts w:ascii="Calibri" w:hAnsi="Calibri" w:cs="Calibri"/>
                <w:color w:val="000000"/>
              </w:rPr>
              <w:t>Approved with Conditions</w:t>
            </w:r>
          </w:p>
        </w:tc>
        <w:tc>
          <w:tcPr>
            <w:tcW w:w="1620" w:type="dxa"/>
          </w:tcPr>
          <w:p w14:paraId="687C2E80" w14:textId="77777777" w:rsidR="000C0C0A" w:rsidRDefault="000C0C0A" w:rsidP="00A52F8A">
            <w:pPr>
              <w:jc w:val="center"/>
            </w:pPr>
            <w:r>
              <w:rPr>
                <w:rFonts w:ascii="Calibri" w:hAnsi="Calibri" w:cs="Calibri"/>
                <w:color w:val="000000"/>
              </w:rPr>
              <w:t>Approved with Conditions</w:t>
            </w:r>
          </w:p>
        </w:tc>
      </w:tr>
      <w:tr w:rsidR="000C0C0A" w14:paraId="3558E71F" w14:textId="77777777" w:rsidTr="004C0710">
        <w:trPr>
          <w:tblHeader/>
        </w:trPr>
        <w:tc>
          <w:tcPr>
            <w:tcW w:w="895" w:type="dxa"/>
            <w:vMerge w:val="restart"/>
            <w:vAlign w:val="center"/>
          </w:tcPr>
          <w:p w14:paraId="4342C02C" w14:textId="77777777" w:rsidR="000C0C0A" w:rsidRPr="004757CD" w:rsidRDefault="000C0C0A" w:rsidP="000C0C0A">
            <w:pPr>
              <w:rPr>
                <w:b/>
              </w:rPr>
            </w:pPr>
            <w:r w:rsidRPr="004757CD">
              <w:rPr>
                <w:b/>
              </w:rPr>
              <w:t>2016-2017</w:t>
            </w:r>
          </w:p>
        </w:tc>
        <w:tc>
          <w:tcPr>
            <w:tcW w:w="2070" w:type="dxa"/>
          </w:tcPr>
          <w:p w14:paraId="72D31E57" w14:textId="77777777" w:rsidR="000C0C0A" w:rsidRDefault="000C0C0A" w:rsidP="000C0C0A">
            <w:pPr>
              <w:rPr>
                <w:rFonts w:ascii="Calibri" w:hAnsi="Calibri" w:cs="Calibri"/>
                <w:color w:val="000000"/>
              </w:rPr>
            </w:pPr>
            <w:r>
              <w:rPr>
                <w:rFonts w:ascii="Calibri" w:hAnsi="Calibri" w:cs="Calibri"/>
                <w:color w:val="000000"/>
              </w:rPr>
              <w:t>Becker College</w:t>
            </w:r>
          </w:p>
        </w:tc>
        <w:tc>
          <w:tcPr>
            <w:tcW w:w="6300" w:type="dxa"/>
            <w:gridSpan w:val="4"/>
          </w:tcPr>
          <w:p w14:paraId="283FDEF3" w14:textId="77777777" w:rsidR="000C0C0A" w:rsidRDefault="00A52F8A" w:rsidP="00A52F8A">
            <w:pPr>
              <w:jc w:val="center"/>
              <w:rPr>
                <w:rFonts w:ascii="Calibri" w:hAnsi="Calibri" w:cs="Calibri"/>
                <w:color w:val="000000"/>
              </w:rPr>
            </w:pPr>
            <w:r w:rsidRPr="00A52F8A">
              <w:rPr>
                <w:i/>
              </w:rPr>
              <w:t>Expired approval – no longer endorses candidates for licensure in MA</w:t>
            </w:r>
          </w:p>
        </w:tc>
      </w:tr>
      <w:tr w:rsidR="000C0C0A" w14:paraId="0DBBDC6F" w14:textId="77777777" w:rsidTr="004C0710">
        <w:trPr>
          <w:tblHeader/>
        </w:trPr>
        <w:tc>
          <w:tcPr>
            <w:tcW w:w="895" w:type="dxa"/>
            <w:vMerge/>
          </w:tcPr>
          <w:p w14:paraId="2EA757BF" w14:textId="77777777" w:rsidR="000C0C0A" w:rsidRPr="004757CD" w:rsidRDefault="000C0C0A" w:rsidP="000C0C0A">
            <w:pPr>
              <w:rPr>
                <w:b/>
              </w:rPr>
            </w:pPr>
          </w:p>
        </w:tc>
        <w:tc>
          <w:tcPr>
            <w:tcW w:w="2070" w:type="dxa"/>
          </w:tcPr>
          <w:p w14:paraId="64DDF8CD" w14:textId="77777777" w:rsidR="000C0C0A" w:rsidRDefault="000C0C0A" w:rsidP="000C0C0A">
            <w:pPr>
              <w:rPr>
                <w:rFonts w:ascii="Calibri" w:hAnsi="Calibri" w:cs="Calibri"/>
                <w:color w:val="000000"/>
              </w:rPr>
            </w:pPr>
            <w:r>
              <w:rPr>
                <w:rFonts w:ascii="Calibri" w:hAnsi="Calibri" w:cs="Calibri"/>
                <w:color w:val="000000"/>
              </w:rPr>
              <w:t>Boston Conservatory</w:t>
            </w:r>
          </w:p>
        </w:tc>
        <w:tc>
          <w:tcPr>
            <w:tcW w:w="6300" w:type="dxa"/>
            <w:gridSpan w:val="4"/>
          </w:tcPr>
          <w:p w14:paraId="329EB614" w14:textId="77777777" w:rsidR="000C0C0A" w:rsidRDefault="00A52F8A" w:rsidP="00A52F8A">
            <w:pPr>
              <w:jc w:val="center"/>
              <w:rPr>
                <w:rFonts w:ascii="Calibri" w:hAnsi="Calibri" w:cs="Calibri"/>
                <w:color w:val="000000"/>
              </w:rPr>
            </w:pPr>
            <w:r w:rsidRPr="00A52F8A">
              <w:rPr>
                <w:i/>
              </w:rPr>
              <w:t>Expired approval – no longer endorses candidates for licensure in MA</w:t>
            </w:r>
          </w:p>
        </w:tc>
      </w:tr>
      <w:tr w:rsidR="000C0C0A" w14:paraId="043D7692" w14:textId="77777777" w:rsidTr="004C0710">
        <w:trPr>
          <w:tblHeader/>
        </w:trPr>
        <w:tc>
          <w:tcPr>
            <w:tcW w:w="895" w:type="dxa"/>
            <w:vMerge/>
          </w:tcPr>
          <w:p w14:paraId="7B044684" w14:textId="77777777" w:rsidR="000C0C0A" w:rsidRPr="004757CD" w:rsidRDefault="000C0C0A" w:rsidP="000C0C0A">
            <w:pPr>
              <w:rPr>
                <w:b/>
              </w:rPr>
            </w:pPr>
          </w:p>
        </w:tc>
        <w:tc>
          <w:tcPr>
            <w:tcW w:w="2070" w:type="dxa"/>
          </w:tcPr>
          <w:p w14:paraId="6E123EFF" w14:textId="77777777" w:rsidR="000C0C0A" w:rsidRDefault="000C0C0A" w:rsidP="000C0C0A">
            <w:r>
              <w:rPr>
                <w:rFonts w:ascii="Calibri" w:hAnsi="Calibri" w:cs="Calibri"/>
                <w:color w:val="000000"/>
              </w:rPr>
              <w:t>Boston College</w:t>
            </w:r>
          </w:p>
        </w:tc>
        <w:tc>
          <w:tcPr>
            <w:tcW w:w="1350" w:type="dxa"/>
          </w:tcPr>
          <w:p w14:paraId="4D079F04" w14:textId="77777777" w:rsidR="000C0C0A" w:rsidRDefault="000C0C0A" w:rsidP="00A52F8A">
            <w:pPr>
              <w:jc w:val="center"/>
            </w:pPr>
            <w:r>
              <w:rPr>
                <w:rFonts w:ascii="Calibri" w:hAnsi="Calibri" w:cs="Calibri"/>
                <w:color w:val="000000"/>
              </w:rPr>
              <w:t>195</w:t>
            </w:r>
          </w:p>
        </w:tc>
        <w:tc>
          <w:tcPr>
            <w:tcW w:w="1710" w:type="dxa"/>
          </w:tcPr>
          <w:p w14:paraId="386C4953" w14:textId="77777777" w:rsidR="000C0C0A" w:rsidRDefault="000C0C0A" w:rsidP="00A52F8A">
            <w:pPr>
              <w:jc w:val="center"/>
            </w:pPr>
            <w:r>
              <w:rPr>
                <w:rFonts w:ascii="Calibri" w:hAnsi="Calibri" w:cs="Calibri"/>
                <w:color w:val="000000"/>
              </w:rPr>
              <w:t>51.2%</w:t>
            </w:r>
          </w:p>
        </w:tc>
        <w:tc>
          <w:tcPr>
            <w:tcW w:w="1620" w:type="dxa"/>
          </w:tcPr>
          <w:p w14:paraId="2D45CC12" w14:textId="77777777" w:rsidR="000C0C0A" w:rsidRDefault="000C0C0A" w:rsidP="00A52F8A">
            <w:pPr>
              <w:jc w:val="center"/>
            </w:pPr>
            <w:r>
              <w:rPr>
                <w:rFonts w:ascii="Calibri" w:hAnsi="Calibri" w:cs="Calibri"/>
                <w:color w:val="000000"/>
              </w:rPr>
              <w:t>Approved</w:t>
            </w:r>
          </w:p>
        </w:tc>
        <w:tc>
          <w:tcPr>
            <w:tcW w:w="1620" w:type="dxa"/>
          </w:tcPr>
          <w:p w14:paraId="69B29CFD" w14:textId="77777777" w:rsidR="000C0C0A" w:rsidRDefault="000C0C0A" w:rsidP="00A52F8A">
            <w:pPr>
              <w:jc w:val="center"/>
            </w:pPr>
            <w:r>
              <w:rPr>
                <w:rFonts w:ascii="Calibri" w:hAnsi="Calibri" w:cs="Calibri"/>
                <w:color w:val="000000"/>
              </w:rPr>
              <w:t>Approved</w:t>
            </w:r>
          </w:p>
        </w:tc>
      </w:tr>
      <w:tr w:rsidR="000C0C0A" w14:paraId="77091B9F" w14:textId="77777777" w:rsidTr="004C0710">
        <w:trPr>
          <w:tblHeader/>
        </w:trPr>
        <w:tc>
          <w:tcPr>
            <w:tcW w:w="895" w:type="dxa"/>
            <w:vMerge/>
          </w:tcPr>
          <w:p w14:paraId="44FA7EA7" w14:textId="77777777" w:rsidR="000C0C0A" w:rsidRPr="004757CD" w:rsidRDefault="000C0C0A" w:rsidP="000C0C0A">
            <w:pPr>
              <w:rPr>
                <w:b/>
              </w:rPr>
            </w:pPr>
          </w:p>
        </w:tc>
        <w:tc>
          <w:tcPr>
            <w:tcW w:w="2070" w:type="dxa"/>
          </w:tcPr>
          <w:p w14:paraId="58D9AEAC" w14:textId="77777777" w:rsidR="000C0C0A" w:rsidRDefault="000C0C0A" w:rsidP="000C0C0A">
            <w:r>
              <w:rPr>
                <w:rFonts w:ascii="Calibri" w:hAnsi="Calibri" w:cs="Calibri"/>
                <w:color w:val="000000"/>
              </w:rPr>
              <w:t>Clark University</w:t>
            </w:r>
          </w:p>
        </w:tc>
        <w:tc>
          <w:tcPr>
            <w:tcW w:w="1350" w:type="dxa"/>
          </w:tcPr>
          <w:p w14:paraId="320EECCE" w14:textId="77777777" w:rsidR="000C0C0A" w:rsidRDefault="000C0C0A" w:rsidP="00A52F8A">
            <w:pPr>
              <w:jc w:val="center"/>
            </w:pPr>
            <w:r>
              <w:rPr>
                <w:rFonts w:ascii="Calibri" w:hAnsi="Calibri" w:cs="Calibri"/>
                <w:color w:val="000000"/>
              </w:rPr>
              <w:t>31</w:t>
            </w:r>
          </w:p>
        </w:tc>
        <w:tc>
          <w:tcPr>
            <w:tcW w:w="1710" w:type="dxa"/>
          </w:tcPr>
          <w:p w14:paraId="019F5908" w14:textId="77777777" w:rsidR="000C0C0A" w:rsidRDefault="000C0C0A" w:rsidP="00A52F8A">
            <w:pPr>
              <w:jc w:val="center"/>
            </w:pPr>
            <w:r>
              <w:rPr>
                <w:rFonts w:ascii="Calibri" w:hAnsi="Calibri" w:cs="Calibri"/>
                <w:color w:val="000000"/>
              </w:rPr>
              <w:t>65.5%</w:t>
            </w:r>
          </w:p>
        </w:tc>
        <w:tc>
          <w:tcPr>
            <w:tcW w:w="1620" w:type="dxa"/>
          </w:tcPr>
          <w:p w14:paraId="5927323D" w14:textId="77777777" w:rsidR="000C0C0A" w:rsidRDefault="000C0C0A" w:rsidP="00A52F8A">
            <w:pPr>
              <w:jc w:val="center"/>
            </w:pPr>
            <w:r>
              <w:rPr>
                <w:rFonts w:ascii="Calibri" w:hAnsi="Calibri" w:cs="Calibri"/>
                <w:color w:val="000000"/>
              </w:rPr>
              <w:t>Approved with Distinction</w:t>
            </w:r>
          </w:p>
        </w:tc>
        <w:tc>
          <w:tcPr>
            <w:tcW w:w="1620" w:type="dxa"/>
          </w:tcPr>
          <w:p w14:paraId="4FBF400D" w14:textId="77777777" w:rsidR="000C0C0A" w:rsidRDefault="000C0C0A" w:rsidP="00A52F8A">
            <w:pPr>
              <w:jc w:val="center"/>
            </w:pPr>
            <w:r>
              <w:rPr>
                <w:rFonts w:ascii="Calibri" w:hAnsi="Calibri" w:cs="Calibri"/>
                <w:color w:val="000000"/>
              </w:rPr>
              <w:t>Approved with Distinction</w:t>
            </w:r>
          </w:p>
        </w:tc>
      </w:tr>
      <w:tr w:rsidR="000C0C0A" w14:paraId="668CF76E" w14:textId="77777777" w:rsidTr="004C0710">
        <w:trPr>
          <w:tblHeader/>
        </w:trPr>
        <w:tc>
          <w:tcPr>
            <w:tcW w:w="895" w:type="dxa"/>
            <w:vMerge/>
          </w:tcPr>
          <w:p w14:paraId="337587FE" w14:textId="77777777" w:rsidR="000C0C0A" w:rsidRPr="004757CD" w:rsidRDefault="000C0C0A" w:rsidP="000C0C0A">
            <w:pPr>
              <w:rPr>
                <w:b/>
              </w:rPr>
            </w:pPr>
          </w:p>
        </w:tc>
        <w:tc>
          <w:tcPr>
            <w:tcW w:w="2070" w:type="dxa"/>
          </w:tcPr>
          <w:p w14:paraId="3EEEDE09" w14:textId="77777777" w:rsidR="000C0C0A" w:rsidRDefault="000C0C0A" w:rsidP="000C0C0A">
            <w:r>
              <w:rPr>
                <w:rFonts w:ascii="Calibri" w:hAnsi="Calibri" w:cs="Calibri"/>
                <w:color w:val="000000"/>
              </w:rPr>
              <w:t>Massachusetts College of Art</w:t>
            </w:r>
          </w:p>
        </w:tc>
        <w:tc>
          <w:tcPr>
            <w:tcW w:w="1350" w:type="dxa"/>
          </w:tcPr>
          <w:p w14:paraId="6CC8D309" w14:textId="77777777" w:rsidR="000C0C0A" w:rsidRDefault="000C0C0A" w:rsidP="00A52F8A">
            <w:pPr>
              <w:jc w:val="center"/>
            </w:pPr>
            <w:r>
              <w:rPr>
                <w:rFonts w:ascii="Calibri" w:hAnsi="Calibri" w:cs="Calibri"/>
                <w:color w:val="000000"/>
              </w:rPr>
              <w:t>19</w:t>
            </w:r>
          </w:p>
        </w:tc>
        <w:tc>
          <w:tcPr>
            <w:tcW w:w="1710" w:type="dxa"/>
          </w:tcPr>
          <w:p w14:paraId="6F550351" w14:textId="77777777" w:rsidR="000C0C0A" w:rsidRDefault="000C0C0A" w:rsidP="00A52F8A">
            <w:pPr>
              <w:jc w:val="center"/>
            </w:pPr>
            <w:r>
              <w:rPr>
                <w:rFonts w:ascii="Calibri" w:hAnsi="Calibri" w:cs="Calibri"/>
                <w:color w:val="000000"/>
              </w:rPr>
              <w:t>44.6%</w:t>
            </w:r>
          </w:p>
        </w:tc>
        <w:tc>
          <w:tcPr>
            <w:tcW w:w="1620" w:type="dxa"/>
          </w:tcPr>
          <w:p w14:paraId="2B6D2ECA" w14:textId="77777777" w:rsidR="000C0C0A" w:rsidRDefault="000C0C0A" w:rsidP="00A52F8A">
            <w:pPr>
              <w:jc w:val="center"/>
            </w:pPr>
            <w:r>
              <w:rPr>
                <w:rFonts w:ascii="Calibri" w:hAnsi="Calibri" w:cs="Calibri"/>
                <w:color w:val="000000"/>
              </w:rPr>
              <w:t>Approved with Conditions</w:t>
            </w:r>
          </w:p>
        </w:tc>
        <w:tc>
          <w:tcPr>
            <w:tcW w:w="1620" w:type="dxa"/>
          </w:tcPr>
          <w:p w14:paraId="16A8D8AC" w14:textId="77777777" w:rsidR="000C0C0A" w:rsidRDefault="000C0C0A" w:rsidP="00A52F8A">
            <w:pPr>
              <w:jc w:val="center"/>
            </w:pPr>
            <w:r>
              <w:rPr>
                <w:rFonts w:ascii="Calibri" w:hAnsi="Calibri" w:cs="Calibri"/>
                <w:color w:val="000000"/>
              </w:rPr>
              <w:t>Approved</w:t>
            </w:r>
          </w:p>
        </w:tc>
      </w:tr>
      <w:tr w:rsidR="000C0C0A" w14:paraId="0AA33FFA" w14:textId="77777777" w:rsidTr="004C0710">
        <w:trPr>
          <w:tblHeader/>
        </w:trPr>
        <w:tc>
          <w:tcPr>
            <w:tcW w:w="895" w:type="dxa"/>
            <w:vMerge/>
          </w:tcPr>
          <w:p w14:paraId="48FD1299" w14:textId="77777777" w:rsidR="000C0C0A" w:rsidRPr="004757CD" w:rsidRDefault="000C0C0A" w:rsidP="000C0C0A">
            <w:pPr>
              <w:rPr>
                <w:b/>
              </w:rPr>
            </w:pPr>
          </w:p>
        </w:tc>
        <w:tc>
          <w:tcPr>
            <w:tcW w:w="2070" w:type="dxa"/>
          </w:tcPr>
          <w:p w14:paraId="2FBF570B" w14:textId="77777777" w:rsidR="000C0C0A" w:rsidRDefault="000C0C0A" w:rsidP="000C0C0A">
            <w:r>
              <w:rPr>
                <w:rFonts w:ascii="Calibri" w:hAnsi="Calibri" w:cs="Calibri"/>
                <w:color w:val="000000"/>
              </w:rPr>
              <w:t>Tufts University</w:t>
            </w:r>
          </w:p>
        </w:tc>
        <w:tc>
          <w:tcPr>
            <w:tcW w:w="1350" w:type="dxa"/>
          </w:tcPr>
          <w:p w14:paraId="5A7B0435" w14:textId="77777777" w:rsidR="000C0C0A" w:rsidRDefault="000C0C0A" w:rsidP="00A52F8A">
            <w:pPr>
              <w:jc w:val="center"/>
            </w:pPr>
            <w:r>
              <w:rPr>
                <w:rFonts w:ascii="Calibri" w:hAnsi="Calibri" w:cs="Calibri"/>
                <w:color w:val="000000"/>
              </w:rPr>
              <w:t>62</w:t>
            </w:r>
          </w:p>
        </w:tc>
        <w:tc>
          <w:tcPr>
            <w:tcW w:w="1710" w:type="dxa"/>
          </w:tcPr>
          <w:p w14:paraId="3C5D3C79" w14:textId="77777777" w:rsidR="000C0C0A" w:rsidRDefault="000C0C0A" w:rsidP="00A52F8A">
            <w:pPr>
              <w:jc w:val="center"/>
            </w:pPr>
            <w:r>
              <w:rPr>
                <w:rFonts w:ascii="Calibri" w:hAnsi="Calibri" w:cs="Calibri"/>
                <w:color w:val="000000"/>
              </w:rPr>
              <w:t>62.8%</w:t>
            </w:r>
          </w:p>
        </w:tc>
        <w:tc>
          <w:tcPr>
            <w:tcW w:w="1620" w:type="dxa"/>
          </w:tcPr>
          <w:p w14:paraId="5FE5B1EA" w14:textId="77777777" w:rsidR="000C0C0A" w:rsidRDefault="000C0C0A" w:rsidP="00A52F8A">
            <w:pPr>
              <w:jc w:val="center"/>
            </w:pPr>
            <w:r>
              <w:rPr>
                <w:rFonts w:ascii="Calibri" w:hAnsi="Calibri" w:cs="Calibri"/>
                <w:color w:val="000000"/>
              </w:rPr>
              <w:t>Approved with Conditions</w:t>
            </w:r>
          </w:p>
        </w:tc>
        <w:tc>
          <w:tcPr>
            <w:tcW w:w="1620" w:type="dxa"/>
          </w:tcPr>
          <w:p w14:paraId="09E7548C" w14:textId="77777777" w:rsidR="000C0C0A" w:rsidRDefault="000C0C0A" w:rsidP="00A52F8A">
            <w:pPr>
              <w:jc w:val="center"/>
            </w:pPr>
            <w:r>
              <w:rPr>
                <w:rFonts w:ascii="Calibri" w:hAnsi="Calibri" w:cs="Calibri"/>
                <w:color w:val="000000"/>
              </w:rPr>
              <w:t>Approved with Conditions</w:t>
            </w:r>
          </w:p>
        </w:tc>
      </w:tr>
      <w:tr w:rsidR="000C0C0A" w14:paraId="6400C877" w14:textId="77777777" w:rsidTr="004C0710">
        <w:trPr>
          <w:tblHeader/>
        </w:trPr>
        <w:tc>
          <w:tcPr>
            <w:tcW w:w="895" w:type="dxa"/>
            <w:vMerge/>
          </w:tcPr>
          <w:p w14:paraId="33DA0761" w14:textId="77777777" w:rsidR="000C0C0A" w:rsidRPr="004757CD" w:rsidRDefault="000C0C0A" w:rsidP="000C0C0A">
            <w:pPr>
              <w:rPr>
                <w:b/>
              </w:rPr>
            </w:pPr>
          </w:p>
        </w:tc>
        <w:tc>
          <w:tcPr>
            <w:tcW w:w="2070" w:type="dxa"/>
          </w:tcPr>
          <w:p w14:paraId="4E59D87F" w14:textId="77777777" w:rsidR="000C0C0A" w:rsidRDefault="000C0C0A" w:rsidP="000C0C0A">
            <w:r>
              <w:rPr>
                <w:rFonts w:ascii="Calibri" w:hAnsi="Calibri" w:cs="Calibri"/>
                <w:color w:val="000000"/>
              </w:rPr>
              <w:t>UMASS Dartmouth</w:t>
            </w:r>
          </w:p>
        </w:tc>
        <w:tc>
          <w:tcPr>
            <w:tcW w:w="1350" w:type="dxa"/>
          </w:tcPr>
          <w:p w14:paraId="67D36C2E" w14:textId="77777777" w:rsidR="000C0C0A" w:rsidRDefault="000C0C0A" w:rsidP="00A52F8A">
            <w:pPr>
              <w:jc w:val="center"/>
            </w:pPr>
            <w:r>
              <w:rPr>
                <w:rFonts w:ascii="Calibri" w:hAnsi="Calibri" w:cs="Calibri"/>
                <w:color w:val="000000"/>
              </w:rPr>
              <w:t>59</w:t>
            </w:r>
          </w:p>
        </w:tc>
        <w:tc>
          <w:tcPr>
            <w:tcW w:w="1710" w:type="dxa"/>
          </w:tcPr>
          <w:p w14:paraId="34EA1E11" w14:textId="77777777" w:rsidR="000C0C0A" w:rsidRDefault="000C0C0A" w:rsidP="00A52F8A">
            <w:pPr>
              <w:jc w:val="center"/>
            </w:pPr>
            <w:r>
              <w:rPr>
                <w:rFonts w:ascii="Calibri" w:hAnsi="Calibri" w:cs="Calibri"/>
                <w:color w:val="000000"/>
              </w:rPr>
              <w:t>80.3%</w:t>
            </w:r>
          </w:p>
        </w:tc>
        <w:tc>
          <w:tcPr>
            <w:tcW w:w="1620" w:type="dxa"/>
          </w:tcPr>
          <w:p w14:paraId="14904799" w14:textId="77777777" w:rsidR="000C0C0A" w:rsidRDefault="000C0C0A" w:rsidP="00A52F8A">
            <w:pPr>
              <w:jc w:val="center"/>
            </w:pPr>
            <w:r>
              <w:rPr>
                <w:rFonts w:ascii="Calibri" w:hAnsi="Calibri" w:cs="Calibri"/>
                <w:color w:val="000000"/>
              </w:rPr>
              <w:t>Probationary Approval</w:t>
            </w:r>
          </w:p>
        </w:tc>
        <w:tc>
          <w:tcPr>
            <w:tcW w:w="1620" w:type="dxa"/>
          </w:tcPr>
          <w:p w14:paraId="7E176EC0" w14:textId="77777777" w:rsidR="000C0C0A" w:rsidRDefault="000C0C0A" w:rsidP="00A52F8A">
            <w:pPr>
              <w:jc w:val="center"/>
            </w:pPr>
            <w:r>
              <w:rPr>
                <w:rFonts w:ascii="Calibri" w:hAnsi="Calibri" w:cs="Calibri"/>
                <w:color w:val="000000"/>
              </w:rPr>
              <w:t>Probationary Approval</w:t>
            </w:r>
          </w:p>
        </w:tc>
      </w:tr>
      <w:tr w:rsidR="000C0C0A" w14:paraId="4363330A" w14:textId="77777777" w:rsidTr="004C0710">
        <w:trPr>
          <w:tblHeader/>
        </w:trPr>
        <w:tc>
          <w:tcPr>
            <w:tcW w:w="895" w:type="dxa"/>
            <w:vMerge/>
          </w:tcPr>
          <w:p w14:paraId="0D175BDE" w14:textId="77777777" w:rsidR="000C0C0A" w:rsidRPr="004757CD" w:rsidRDefault="000C0C0A" w:rsidP="000C0C0A">
            <w:pPr>
              <w:rPr>
                <w:b/>
              </w:rPr>
            </w:pPr>
          </w:p>
        </w:tc>
        <w:tc>
          <w:tcPr>
            <w:tcW w:w="2070" w:type="dxa"/>
          </w:tcPr>
          <w:p w14:paraId="542C16EF" w14:textId="77777777" w:rsidR="000C0C0A" w:rsidRDefault="000C0C0A" w:rsidP="000C0C0A">
            <w:r>
              <w:rPr>
                <w:rFonts w:ascii="Calibri" w:hAnsi="Calibri" w:cs="Calibri"/>
                <w:color w:val="000000"/>
              </w:rPr>
              <w:t>UMASS Lowell</w:t>
            </w:r>
          </w:p>
        </w:tc>
        <w:tc>
          <w:tcPr>
            <w:tcW w:w="1350" w:type="dxa"/>
          </w:tcPr>
          <w:p w14:paraId="3A78AD02" w14:textId="77777777" w:rsidR="000C0C0A" w:rsidRDefault="000C0C0A" w:rsidP="00A52F8A">
            <w:pPr>
              <w:jc w:val="center"/>
            </w:pPr>
            <w:r>
              <w:rPr>
                <w:rFonts w:ascii="Calibri" w:hAnsi="Calibri" w:cs="Calibri"/>
                <w:color w:val="000000"/>
              </w:rPr>
              <w:t>62</w:t>
            </w:r>
          </w:p>
        </w:tc>
        <w:tc>
          <w:tcPr>
            <w:tcW w:w="1710" w:type="dxa"/>
          </w:tcPr>
          <w:p w14:paraId="42920BEE" w14:textId="77777777" w:rsidR="000C0C0A" w:rsidRDefault="000C0C0A" w:rsidP="00A52F8A">
            <w:pPr>
              <w:jc w:val="center"/>
            </w:pPr>
            <w:r>
              <w:rPr>
                <w:rFonts w:ascii="Calibri" w:hAnsi="Calibri" w:cs="Calibri"/>
                <w:color w:val="000000"/>
              </w:rPr>
              <w:t>82.8%</w:t>
            </w:r>
          </w:p>
        </w:tc>
        <w:tc>
          <w:tcPr>
            <w:tcW w:w="1620" w:type="dxa"/>
          </w:tcPr>
          <w:p w14:paraId="77E07A01" w14:textId="77777777" w:rsidR="000C0C0A" w:rsidRDefault="000C0C0A" w:rsidP="00A52F8A">
            <w:pPr>
              <w:jc w:val="center"/>
            </w:pPr>
            <w:r>
              <w:rPr>
                <w:rFonts w:ascii="Calibri" w:hAnsi="Calibri" w:cs="Calibri"/>
                <w:color w:val="000000"/>
              </w:rPr>
              <w:t>Approved</w:t>
            </w:r>
          </w:p>
        </w:tc>
        <w:tc>
          <w:tcPr>
            <w:tcW w:w="1620" w:type="dxa"/>
          </w:tcPr>
          <w:p w14:paraId="79B582AD" w14:textId="77777777" w:rsidR="000C0C0A" w:rsidRDefault="000C0C0A" w:rsidP="00A52F8A">
            <w:pPr>
              <w:jc w:val="center"/>
            </w:pPr>
            <w:r>
              <w:rPr>
                <w:rFonts w:ascii="Calibri" w:hAnsi="Calibri" w:cs="Calibri"/>
                <w:color w:val="000000"/>
              </w:rPr>
              <w:t>Approved</w:t>
            </w:r>
          </w:p>
        </w:tc>
      </w:tr>
      <w:tr w:rsidR="000C0C0A" w14:paraId="7A803852" w14:textId="77777777" w:rsidTr="004C0710">
        <w:trPr>
          <w:tblHeader/>
        </w:trPr>
        <w:tc>
          <w:tcPr>
            <w:tcW w:w="895" w:type="dxa"/>
            <w:vMerge/>
            <w:tcBorders>
              <w:bottom w:val="single" w:sz="4" w:space="0" w:color="auto"/>
            </w:tcBorders>
          </w:tcPr>
          <w:p w14:paraId="4FA9DAC7" w14:textId="77777777" w:rsidR="000C0C0A" w:rsidRPr="004757CD" w:rsidRDefault="000C0C0A" w:rsidP="000C0C0A">
            <w:pPr>
              <w:rPr>
                <w:b/>
              </w:rPr>
            </w:pPr>
          </w:p>
        </w:tc>
        <w:tc>
          <w:tcPr>
            <w:tcW w:w="2070" w:type="dxa"/>
            <w:tcBorders>
              <w:bottom w:val="single" w:sz="4" w:space="0" w:color="auto"/>
            </w:tcBorders>
          </w:tcPr>
          <w:p w14:paraId="423ADD75" w14:textId="77777777" w:rsidR="000C0C0A" w:rsidRDefault="000C0C0A" w:rsidP="000C0C0A">
            <w:r>
              <w:rPr>
                <w:rFonts w:ascii="Calibri" w:hAnsi="Calibri" w:cs="Calibri"/>
                <w:color w:val="000000"/>
              </w:rPr>
              <w:t>Westfield State University</w:t>
            </w:r>
          </w:p>
        </w:tc>
        <w:tc>
          <w:tcPr>
            <w:tcW w:w="1350" w:type="dxa"/>
            <w:tcBorders>
              <w:bottom w:val="single" w:sz="4" w:space="0" w:color="auto"/>
            </w:tcBorders>
          </w:tcPr>
          <w:p w14:paraId="674EB12F" w14:textId="77777777" w:rsidR="000C0C0A" w:rsidRDefault="000C0C0A" w:rsidP="00A52F8A">
            <w:pPr>
              <w:jc w:val="center"/>
            </w:pPr>
            <w:r>
              <w:rPr>
                <w:rFonts w:ascii="Calibri" w:hAnsi="Calibri" w:cs="Calibri"/>
                <w:color w:val="000000"/>
              </w:rPr>
              <w:t>216</w:t>
            </w:r>
          </w:p>
        </w:tc>
        <w:tc>
          <w:tcPr>
            <w:tcW w:w="1710" w:type="dxa"/>
            <w:tcBorders>
              <w:bottom w:val="single" w:sz="4" w:space="0" w:color="auto"/>
            </w:tcBorders>
          </w:tcPr>
          <w:p w14:paraId="50F0568D" w14:textId="77777777" w:rsidR="000C0C0A" w:rsidRDefault="000C0C0A" w:rsidP="00A52F8A">
            <w:pPr>
              <w:jc w:val="center"/>
            </w:pPr>
            <w:r>
              <w:rPr>
                <w:rFonts w:ascii="Calibri" w:hAnsi="Calibri" w:cs="Calibri"/>
                <w:color w:val="000000"/>
              </w:rPr>
              <w:t>73.0%</w:t>
            </w:r>
          </w:p>
        </w:tc>
        <w:tc>
          <w:tcPr>
            <w:tcW w:w="1620" w:type="dxa"/>
            <w:tcBorders>
              <w:bottom w:val="single" w:sz="4" w:space="0" w:color="auto"/>
            </w:tcBorders>
          </w:tcPr>
          <w:p w14:paraId="2F355071" w14:textId="77777777" w:rsidR="000C0C0A" w:rsidRDefault="000C0C0A" w:rsidP="00A52F8A">
            <w:pPr>
              <w:jc w:val="center"/>
            </w:pPr>
            <w:r>
              <w:rPr>
                <w:rFonts w:ascii="Calibri" w:hAnsi="Calibri" w:cs="Calibri"/>
                <w:color w:val="000000"/>
              </w:rPr>
              <w:t>Approved</w:t>
            </w:r>
          </w:p>
        </w:tc>
        <w:tc>
          <w:tcPr>
            <w:tcW w:w="1620" w:type="dxa"/>
            <w:tcBorders>
              <w:bottom w:val="single" w:sz="4" w:space="0" w:color="auto"/>
            </w:tcBorders>
          </w:tcPr>
          <w:p w14:paraId="2B5BC423" w14:textId="77777777" w:rsidR="000C0C0A" w:rsidRDefault="000C0C0A" w:rsidP="00A52F8A">
            <w:pPr>
              <w:jc w:val="center"/>
            </w:pPr>
            <w:r>
              <w:rPr>
                <w:rFonts w:ascii="Calibri" w:hAnsi="Calibri" w:cs="Calibri"/>
                <w:color w:val="000000"/>
              </w:rPr>
              <w:t>Approved</w:t>
            </w:r>
          </w:p>
        </w:tc>
      </w:tr>
      <w:tr w:rsidR="00A52F8A" w14:paraId="588DE5D1" w14:textId="77777777" w:rsidTr="004C0710">
        <w:trPr>
          <w:tblHeader/>
        </w:trPr>
        <w:tc>
          <w:tcPr>
            <w:tcW w:w="895" w:type="dxa"/>
            <w:vMerge w:val="restart"/>
            <w:vAlign w:val="center"/>
          </w:tcPr>
          <w:p w14:paraId="23FD982E" w14:textId="77777777" w:rsidR="00A52F8A" w:rsidRPr="004757CD" w:rsidRDefault="00A52F8A" w:rsidP="00A52F8A">
            <w:pPr>
              <w:rPr>
                <w:b/>
              </w:rPr>
            </w:pPr>
            <w:r w:rsidRPr="004757CD">
              <w:rPr>
                <w:b/>
              </w:rPr>
              <w:t>2017-2018</w:t>
            </w:r>
          </w:p>
        </w:tc>
        <w:tc>
          <w:tcPr>
            <w:tcW w:w="2070" w:type="dxa"/>
          </w:tcPr>
          <w:p w14:paraId="52C3CFE3" w14:textId="77777777" w:rsidR="00A52F8A" w:rsidRDefault="00A52F8A" w:rsidP="00A52F8A">
            <w:pPr>
              <w:rPr>
                <w:rFonts w:ascii="Calibri" w:hAnsi="Calibri" w:cs="Calibri"/>
                <w:color w:val="000000"/>
              </w:rPr>
            </w:pPr>
            <w:r>
              <w:rPr>
                <w:rFonts w:ascii="Calibri" w:hAnsi="Calibri" w:cs="Calibri"/>
                <w:color w:val="000000"/>
              </w:rPr>
              <w:t>American International College</w:t>
            </w:r>
          </w:p>
        </w:tc>
        <w:tc>
          <w:tcPr>
            <w:tcW w:w="1350" w:type="dxa"/>
          </w:tcPr>
          <w:p w14:paraId="3D0B13A1" w14:textId="77777777" w:rsidR="00A52F8A" w:rsidRDefault="00A52F8A" w:rsidP="00A52F8A">
            <w:pPr>
              <w:jc w:val="center"/>
              <w:rPr>
                <w:rFonts w:ascii="Calibri" w:hAnsi="Calibri" w:cs="Calibri"/>
                <w:color w:val="000000"/>
              </w:rPr>
            </w:pPr>
            <w:r>
              <w:rPr>
                <w:color w:val="000000"/>
              </w:rPr>
              <w:t>540</w:t>
            </w:r>
          </w:p>
        </w:tc>
        <w:tc>
          <w:tcPr>
            <w:tcW w:w="1710" w:type="dxa"/>
          </w:tcPr>
          <w:p w14:paraId="6CFCCAFF" w14:textId="77777777" w:rsidR="00A52F8A" w:rsidRDefault="00A52F8A" w:rsidP="00A52F8A">
            <w:pPr>
              <w:jc w:val="center"/>
              <w:rPr>
                <w:rFonts w:ascii="Calibri" w:hAnsi="Calibri" w:cs="Calibri"/>
                <w:color w:val="000000"/>
              </w:rPr>
            </w:pPr>
            <w:r>
              <w:rPr>
                <w:color w:val="000000"/>
              </w:rPr>
              <w:t>89.1%</w:t>
            </w:r>
          </w:p>
        </w:tc>
        <w:tc>
          <w:tcPr>
            <w:tcW w:w="1620" w:type="dxa"/>
          </w:tcPr>
          <w:p w14:paraId="39048BBA" w14:textId="77777777" w:rsidR="00A52F8A" w:rsidRDefault="00A52F8A" w:rsidP="00A52F8A">
            <w:pPr>
              <w:jc w:val="center"/>
              <w:rPr>
                <w:rFonts w:ascii="Calibri" w:hAnsi="Calibri" w:cs="Calibri"/>
                <w:color w:val="000000"/>
              </w:rPr>
            </w:pPr>
            <w:r>
              <w:rPr>
                <w:color w:val="000000"/>
              </w:rPr>
              <w:t>Probationary Approval</w:t>
            </w:r>
          </w:p>
        </w:tc>
        <w:tc>
          <w:tcPr>
            <w:tcW w:w="1620" w:type="dxa"/>
          </w:tcPr>
          <w:p w14:paraId="7E713868" w14:textId="77777777" w:rsidR="00A52F8A" w:rsidRDefault="00A52F8A" w:rsidP="00A52F8A">
            <w:pPr>
              <w:jc w:val="center"/>
              <w:rPr>
                <w:rFonts w:ascii="Calibri" w:hAnsi="Calibri" w:cs="Calibri"/>
                <w:color w:val="000000"/>
              </w:rPr>
            </w:pPr>
            <w:r>
              <w:rPr>
                <w:color w:val="000000"/>
              </w:rPr>
              <w:t>Probationary Approval</w:t>
            </w:r>
          </w:p>
        </w:tc>
      </w:tr>
      <w:tr w:rsidR="00A52F8A" w14:paraId="448256C5" w14:textId="77777777" w:rsidTr="004C0710">
        <w:trPr>
          <w:tblHeader/>
        </w:trPr>
        <w:tc>
          <w:tcPr>
            <w:tcW w:w="895" w:type="dxa"/>
            <w:vMerge/>
          </w:tcPr>
          <w:p w14:paraId="56B65C77" w14:textId="77777777" w:rsidR="00A52F8A" w:rsidRDefault="00A52F8A" w:rsidP="00A52F8A"/>
        </w:tc>
        <w:tc>
          <w:tcPr>
            <w:tcW w:w="2070" w:type="dxa"/>
          </w:tcPr>
          <w:p w14:paraId="2D061D65" w14:textId="77777777" w:rsidR="00A52F8A" w:rsidRDefault="00A52F8A" w:rsidP="00A52F8A">
            <w:pPr>
              <w:rPr>
                <w:rFonts w:ascii="Calibri" w:hAnsi="Calibri" w:cs="Calibri"/>
                <w:color w:val="000000"/>
              </w:rPr>
            </w:pPr>
            <w:r>
              <w:rPr>
                <w:rFonts w:ascii="Calibri" w:hAnsi="Calibri" w:cs="Calibri"/>
                <w:color w:val="000000"/>
              </w:rPr>
              <w:t>Anna Maria College</w:t>
            </w:r>
          </w:p>
        </w:tc>
        <w:tc>
          <w:tcPr>
            <w:tcW w:w="1350" w:type="dxa"/>
          </w:tcPr>
          <w:p w14:paraId="5EA26F33" w14:textId="77777777" w:rsidR="00A52F8A" w:rsidRDefault="00A52F8A" w:rsidP="00A52F8A">
            <w:pPr>
              <w:jc w:val="center"/>
              <w:rPr>
                <w:rFonts w:ascii="Calibri" w:hAnsi="Calibri" w:cs="Calibri"/>
                <w:color w:val="000000"/>
              </w:rPr>
            </w:pPr>
            <w:r>
              <w:rPr>
                <w:rFonts w:ascii="Calibri" w:hAnsi="Calibri" w:cs="Calibri"/>
                <w:color w:val="000000"/>
              </w:rPr>
              <w:t>14</w:t>
            </w:r>
          </w:p>
        </w:tc>
        <w:tc>
          <w:tcPr>
            <w:tcW w:w="1710" w:type="dxa"/>
          </w:tcPr>
          <w:p w14:paraId="1890EA9F" w14:textId="77777777" w:rsidR="00A52F8A" w:rsidRDefault="00A52F8A" w:rsidP="00A52F8A">
            <w:pPr>
              <w:jc w:val="center"/>
              <w:rPr>
                <w:rFonts w:ascii="Calibri" w:hAnsi="Calibri" w:cs="Calibri"/>
                <w:color w:val="000000"/>
              </w:rPr>
            </w:pPr>
            <w:r>
              <w:rPr>
                <w:rFonts w:ascii="Calibri" w:hAnsi="Calibri" w:cs="Calibri"/>
                <w:color w:val="000000"/>
              </w:rPr>
              <w:t>66.9%</w:t>
            </w:r>
          </w:p>
        </w:tc>
        <w:tc>
          <w:tcPr>
            <w:tcW w:w="1620" w:type="dxa"/>
          </w:tcPr>
          <w:p w14:paraId="0A85893E" w14:textId="77777777" w:rsidR="00A52F8A" w:rsidRDefault="00A52F8A" w:rsidP="00A52F8A">
            <w:pPr>
              <w:jc w:val="center"/>
              <w:rPr>
                <w:rFonts w:ascii="Calibri" w:hAnsi="Calibri" w:cs="Calibri"/>
                <w:color w:val="000000"/>
              </w:rPr>
            </w:pPr>
            <w:r>
              <w:rPr>
                <w:rFonts w:ascii="Calibri" w:hAnsi="Calibri" w:cs="Calibri"/>
                <w:color w:val="000000"/>
              </w:rPr>
              <w:t>Approved</w:t>
            </w:r>
          </w:p>
        </w:tc>
        <w:tc>
          <w:tcPr>
            <w:tcW w:w="1620" w:type="dxa"/>
          </w:tcPr>
          <w:p w14:paraId="3FEEBAD5" w14:textId="77777777" w:rsidR="00A52F8A" w:rsidRDefault="00A52F8A" w:rsidP="00A52F8A">
            <w:pPr>
              <w:jc w:val="center"/>
              <w:rPr>
                <w:rFonts w:ascii="Calibri" w:hAnsi="Calibri" w:cs="Calibri"/>
                <w:color w:val="000000"/>
              </w:rPr>
            </w:pPr>
            <w:r>
              <w:rPr>
                <w:rFonts w:ascii="Calibri" w:hAnsi="Calibri" w:cs="Calibri"/>
                <w:color w:val="000000"/>
              </w:rPr>
              <w:t>Approved</w:t>
            </w:r>
          </w:p>
        </w:tc>
      </w:tr>
      <w:tr w:rsidR="00A52F8A" w14:paraId="780C99C1" w14:textId="77777777" w:rsidTr="004C0710">
        <w:trPr>
          <w:tblHeader/>
        </w:trPr>
        <w:tc>
          <w:tcPr>
            <w:tcW w:w="895" w:type="dxa"/>
            <w:vMerge/>
          </w:tcPr>
          <w:p w14:paraId="574791CA" w14:textId="77777777" w:rsidR="00A52F8A" w:rsidRDefault="00A52F8A" w:rsidP="00A52F8A"/>
        </w:tc>
        <w:tc>
          <w:tcPr>
            <w:tcW w:w="2070" w:type="dxa"/>
          </w:tcPr>
          <w:p w14:paraId="6FB0E47F" w14:textId="77777777" w:rsidR="00A52F8A" w:rsidRDefault="00A52F8A" w:rsidP="00A52F8A">
            <w:pPr>
              <w:rPr>
                <w:rFonts w:ascii="Calibri" w:hAnsi="Calibri" w:cs="Calibri"/>
                <w:color w:val="000000"/>
              </w:rPr>
            </w:pPr>
            <w:r>
              <w:rPr>
                <w:rFonts w:ascii="Calibri" w:hAnsi="Calibri" w:cs="Calibri"/>
                <w:color w:val="000000"/>
              </w:rPr>
              <w:t>Brandeis University</w:t>
            </w:r>
          </w:p>
        </w:tc>
        <w:tc>
          <w:tcPr>
            <w:tcW w:w="1350" w:type="dxa"/>
          </w:tcPr>
          <w:p w14:paraId="703ACE7A" w14:textId="77777777" w:rsidR="00A52F8A" w:rsidRDefault="00A52F8A" w:rsidP="00A52F8A">
            <w:pPr>
              <w:jc w:val="center"/>
              <w:rPr>
                <w:rFonts w:ascii="Calibri" w:hAnsi="Calibri" w:cs="Calibri"/>
                <w:color w:val="000000"/>
              </w:rPr>
            </w:pPr>
            <w:r>
              <w:rPr>
                <w:rFonts w:ascii="Calibri" w:hAnsi="Calibri" w:cs="Calibri"/>
                <w:color w:val="000000"/>
              </w:rPr>
              <w:t>41</w:t>
            </w:r>
          </w:p>
        </w:tc>
        <w:tc>
          <w:tcPr>
            <w:tcW w:w="1710" w:type="dxa"/>
          </w:tcPr>
          <w:p w14:paraId="1B0FFF5B" w14:textId="77777777" w:rsidR="00A52F8A" w:rsidRDefault="00A52F8A" w:rsidP="00A52F8A">
            <w:pPr>
              <w:jc w:val="center"/>
              <w:rPr>
                <w:rFonts w:ascii="Calibri" w:hAnsi="Calibri" w:cs="Calibri"/>
                <w:color w:val="000000"/>
              </w:rPr>
            </w:pPr>
            <w:r>
              <w:rPr>
                <w:rFonts w:ascii="Calibri" w:hAnsi="Calibri" w:cs="Calibri"/>
                <w:color w:val="000000"/>
              </w:rPr>
              <w:t>49.8%</w:t>
            </w:r>
          </w:p>
        </w:tc>
        <w:tc>
          <w:tcPr>
            <w:tcW w:w="1620" w:type="dxa"/>
          </w:tcPr>
          <w:p w14:paraId="4FC4023A" w14:textId="77777777" w:rsidR="00A52F8A" w:rsidRDefault="00A52F8A" w:rsidP="00A52F8A">
            <w:pPr>
              <w:jc w:val="center"/>
              <w:rPr>
                <w:rFonts w:ascii="Calibri" w:hAnsi="Calibri" w:cs="Calibri"/>
                <w:color w:val="000000"/>
              </w:rPr>
            </w:pPr>
            <w:r>
              <w:rPr>
                <w:rFonts w:ascii="Calibri" w:hAnsi="Calibri" w:cs="Calibri"/>
                <w:color w:val="000000"/>
              </w:rPr>
              <w:t>Approved</w:t>
            </w:r>
          </w:p>
        </w:tc>
        <w:tc>
          <w:tcPr>
            <w:tcW w:w="1620" w:type="dxa"/>
          </w:tcPr>
          <w:p w14:paraId="2D963F71" w14:textId="77777777" w:rsidR="00A52F8A" w:rsidRDefault="00A52F8A" w:rsidP="00A52F8A">
            <w:pPr>
              <w:jc w:val="center"/>
              <w:rPr>
                <w:rFonts w:ascii="Calibri" w:hAnsi="Calibri" w:cs="Calibri"/>
                <w:color w:val="000000"/>
              </w:rPr>
            </w:pPr>
            <w:r>
              <w:rPr>
                <w:rFonts w:ascii="Calibri" w:hAnsi="Calibri" w:cs="Calibri"/>
                <w:color w:val="000000"/>
              </w:rPr>
              <w:t>Approved</w:t>
            </w:r>
          </w:p>
        </w:tc>
      </w:tr>
      <w:tr w:rsidR="00A52F8A" w14:paraId="4649C88B" w14:textId="77777777" w:rsidTr="004C0710">
        <w:trPr>
          <w:tblHeader/>
        </w:trPr>
        <w:tc>
          <w:tcPr>
            <w:tcW w:w="895" w:type="dxa"/>
            <w:vMerge/>
          </w:tcPr>
          <w:p w14:paraId="16737ACD" w14:textId="77777777" w:rsidR="00A52F8A" w:rsidRDefault="00A52F8A" w:rsidP="00A52F8A"/>
        </w:tc>
        <w:tc>
          <w:tcPr>
            <w:tcW w:w="2070" w:type="dxa"/>
          </w:tcPr>
          <w:p w14:paraId="673ABD59" w14:textId="77777777" w:rsidR="00A52F8A" w:rsidRDefault="00A52F8A" w:rsidP="00A52F8A">
            <w:pPr>
              <w:rPr>
                <w:rFonts w:ascii="Calibri" w:hAnsi="Calibri" w:cs="Calibri"/>
                <w:color w:val="000000"/>
              </w:rPr>
            </w:pPr>
            <w:proofErr w:type="spellStart"/>
            <w:r>
              <w:rPr>
                <w:rFonts w:ascii="Calibri" w:hAnsi="Calibri" w:cs="Calibri"/>
                <w:color w:val="000000"/>
              </w:rPr>
              <w:t>DeLet</w:t>
            </w:r>
            <w:proofErr w:type="spellEnd"/>
            <w:r>
              <w:rPr>
                <w:rFonts w:ascii="Calibri" w:hAnsi="Calibri" w:cs="Calibri"/>
                <w:color w:val="000000"/>
              </w:rPr>
              <w:t xml:space="preserve"> Teacher Preparation Program</w:t>
            </w:r>
          </w:p>
        </w:tc>
        <w:tc>
          <w:tcPr>
            <w:tcW w:w="6300" w:type="dxa"/>
            <w:gridSpan w:val="4"/>
          </w:tcPr>
          <w:p w14:paraId="537EE5FC" w14:textId="77777777" w:rsidR="00A52F8A" w:rsidRDefault="00A52F8A" w:rsidP="00A52F8A">
            <w:pPr>
              <w:jc w:val="center"/>
              <w:rPr>
                <w:rFonts w:ascii="Calibri" w:hAnsi="Calibri" w:cs="Calibri"/>
                <w:color w:val="000000"/>
              </w:rPr>
            </w:pPr>
            <w:r w:rsidRPr="00A52F8A">
              <w:rPr>
                <w:i/>
              </w:rPr>
              <w:t>Expired approval – no longer endorses candidates for licensure in MA</w:t>
            </w:r>
          </w:p>
        </w:tc>
      </w:tr>
      <w:tr w:rsidR="00A52F8A" w14:paraId="757E03BD" w14:textId="77777777" w:rsidTr="004C0710">
        <w:trPr>
          <w:tblHeader/>
        </w:trPr>
        <w:tc>
          <w:tcPr>
            <w:tcW w:w="895" w:type="dxa"/>
            <w:vMerge/>
          </w:tcPr>
          <w:p w14:paraId="179F47BA" w14:textId="77777777" w:rsidR="00A52F8A" w:rsidRDefault="00A52F8A" w:rsidP="00A52F8A"/>
        </w:tc>
        <w:tc>
          <w:tcPr>
            <w:tcW w:w="2070" w:type="dxa"/>
          </w:tcPr>
          <w:p w14:paraId="548F6C22" w14:textId="77777777" w:rsidR="00A52F8A" w:rsidRDefault="00A52F8A" w:rsidP="00A52F8A">
            <w:pPr>
              <w:rPr>
                <w:rFonts w:ascii="Calibri" w:hAnsi="Calibri" w:cs="Calibri"/>
                <w:color w:val="000000"/>
              </w:rPr>
            </w:pPr>
            <w:r>
              <w:rPr>
                <w:rFonts w:ascii="Calibri" w:hAnsi="Calibri" w:cs="Calibri"/>
                <w:color w:val="000000"/>
              </w:rPr>
              <w:t>French River Education Center</w:t>
            </w:r>
          </w:p>
        </w:tc>
        <w:tc>
          <w:tcPr>
            <w:tcW w:w="6300" w:type="dxa"/>
            <w:gridSpan w:val="4"/>
          </w:tcPr>
          <w:p w14:paraId="1D342BB8" w14:textId="77777777" w:rsidR="00A52F8A" w:rsidRDefault="00A52F8A" w:rsidP="00A52F8A">
            <w:pPr>
              <w:jc w:val="center"/>
              <w:rPr>
                <w:rFonts w:ascii="Calibri" w:hAnsi="Calibri" w:cs="Calibri"/>
                <w:color w:val="000000"/>
              </w:rPr>
            </w:pPr>
            <w:r w:rsidRPr="00A52F8A">
              <w:rPr>
                <w:i/>
              </w:rPr>
              <w:t>Expired approval – no longer endorses candidates for licensure in MA</w:t>
            </w:r>
          </w:p>
        </w:tc>
      </w:tr>
      <w:tr w:rsidR="00A52F8A" w14:paraId="33856148" w14:textId="77777777" w:rsidTr="004C0710">
        <w:trPr>
          <w:tblHeader/>
        </w:trPr>
        <w:tc>
          <w:tcPr>
            <w:tcW w:w="895" w:type="dxa"/>
            <w:vMerge/>
          </w:tcPr>
          <w:p w14:paraId="7E6257F3" w14:textId="77777777" w:rsidR="00A52F8A" w:rsidRDefault="00A52F8A" w:rsidP="00A52F8A"/>
        </w:tc>
        <w:tc>
          <w:tcPr>
            <w:tcW w:w="2070" w:type="dxa"/>
          </w:tcPr>
          <w:p w14:paraId="1DD513DE" w14:textId="77777777" w:rsidR="00A52F8A" w:rsidRDefault="00A52F8A" w:rsidP="00A52F8A">
            <w:pPr>
              <w:rPr>
                <w:rFonts w:ascii="Calibri" w:hAnsi="Calibri" w:cs="Calibri"/>
                <w:color w:val="000000"/>
              </w:rPr>
            </w:pPr>
            <w:r>
              <w:rPr>
                <w:rFonts w:ascii="Calibri" w:hAnsi="Calibri" w:cs="Calibri"/>
                <w:color w:val="000000"/>
              </w:rPr>
              <w:t>MGH Institute of Health Professions</w:t>
            </w:r>
          </w:p>
        </w:tc>
        <w:tc>
          <w:tcPr>
            <w:tcW w:w="1350" w:type="dxa"/>
          </w:tcPr>
          <w:p w14:paraId="1267F89A" w14:textId="77777777" w:rsidR="00A52F8A" w:rsidRDefault="00A52F8A" w:rsidP="00A52F8A">
            <w:pPr>
              <w:jc w:val="center"/>
              <w:rPr>
                <w:rFonts w:ascii="Calibri" w:hAnsi="Calibri" w:cs="Calibri"/>
                <w:color w:val="000000"/>
              </w:rPr>
            </w:pPr>
            <w:r>
              <w:rPr>
                <w:rFonts w:ascii="Calibri" w:hAnsi="Calibri" w:cs="Calibri"/>
                <w:color w:val="000000"/>
              </w:rPr>
              <w:t>52</w:t>
            </w:r>
          </w:p>
        </w:tc>
        <w:tc>
          <w:tcPr>
            <w:tcW w:w="1710" w:type="dxa"/>
          </w:tcPr>
          <w:p w14:paraId="39B8F454" w14:textId="77777777" w:rsidR="00A52F8A" w:rsidRDefault="00A52F8A" w:rsidP="00A52F8A">
            <w:pPr>
              <w:jc w:val="center"/>
              <w:rPr>
                <w:rFonts w:ascii="Calibri" w:hAnsi="Calibri" w:cs="Calibri"/>
                <w:color w:val="000000"/>
              </w:rPr>
            </w:pPr>
            <w:r>
              <w:rPr>
                <w:rFonts w:ascii="Calibri" w:hAnsi="Calibri" w:cs="Calibri"/>
                <w:color w:val="000000"/>
              </w:rPr>
              <w:t>39.9%</w:t>
            </w:r>
          </w:p>
        </w:tc>
        <w:tc>
          <w:tcPr>
            <w:tcW w:w="1620" w:type="dxa"/>
          </w:tcPr>
          <w:p w14:paraId="0781FFD4" w14:textId="77777777" w:rsidR="00A52F8A" w:rsidRDefault="00A52F8A" w:rsidP="00A52F8A">
            <w:pPr>
              <w:jc w:val="center"/>
              <w:rPr>
                <w:rFonts w:ascii="Calibri" w:hAnsi="Calibri" w:cs="Calibri"/>
                <w:color w:val="000000"/>
              </w:rPr>
            </w:pPr>
            <w:r>
              <w:rPr>
                <w:rFonts w:ascii="Calibri" w:hAnsi="Calibri" w:cs="Calibri"/>
                <w:color w:val="000000"/>
              </w:rPr>
              <w:t>Approved</w:t>
            </w:r>
          </w:p>
        </w:tc>
        <w:tc>
          <w:tcPr>
            <w:tcW w:w="1620" w:type="dxa"/>
          </w:tcPr>
          <w:p w14:paraId="21401C2B" w14:textId="77777777" w:rsidR="00A52F8A" w:rsidRDefault="00A52F8A" w:rsidP="00A52F8A">
            <w:pPr>
              <w:jc w:val="center"/>
              <w:rPr>
                <w:rFonts w:ascii="Calibri" w:hAnsi="Calibri" w:cs="Calibri"/>
                <w:color w:val="000000"/>
              </w:rPr>
            </w:pPr>
            <w:r>
              <w:rPr>
                <w:rFonts w:ascii="Calibri" w:hAnsi="Calibri" w:cs="Calibri"/>
                <w:color w:val="000000"/>
              </w:rPr>
              <w:t>Approved</w:t>
            </w:r>
          </w:p>
        </w:tc>
      </w:tr>
      <w:tr w:rsidR="00A52F8A" w14:paraId="1AA63297" w14:textId="77777777" w:rsidTr="004C0710">
        <w:trPr>
          <w:tblHeader/>
        </w:trPr>
        <w:tc>
          <w:tcPr>
            <w:tcW w:w="895" w:type="dxa"/>
            <w:vMerge/>
          </w:tcPr>
          <w:p w14:paraId="1EF1E1D2" w14:textId="77777777" w:rsidR="00A52F8A" w:rsidRDefault="00A52F8A" w:rsidP="00A52F8A"/>
        </w:tc>
        <w:tc>
          <w:tcPr>
            <w:tcW w:w="2070" w:type="dxa"/>
          </w:tcPr>
          <w:p w14:paraId="407106E3" w14:textId="77777777" w:rsidR="00A52F8A" w:rsidRDefault="00A52F8A" w:rsidP="00A52F8A">
            <w:pPr>
              <w:rPr>
                <w:rFonts w:ascii="Calibri" w:hAnsi="Calibri" w:cs="Calibri"/>
                <w:color w:val="000000"/>
              </w:rPr>
            </w:pPr>
            <w:r>
              <w:rPr>
                <w:rFonts w:ascii="Calibri" w:hAnsi="Calibri" w:cs="Calibri"/>
                <w:color w:val="000000"/>
              </w:rPr>
              <w:t>Montserrat College of Art</w:t>
            </w:r>
          </w:p>
        </w:tc>
        <w:tc>
          <w:tcPr>
            <w:tcW w:w="1350" w:type="dxa"/>
          </w:tcPr>
          <w:p w14:paraId="4B2204E3" w14:textId="77777777" w:rsidR="00A52F8A" w:rsidRDefault="00A52F8A" w:rsidP="00A52F8A">
            <w:pPr>
              <w:jc w:val="center"/>
              <w:rPr>
                <w:rFonts w:ascii="Calibri" w:hAnsi="Calibri" w:cs="Calibri"/>
                <w:color w:val="000000"/>
              </w:rPr>
            </w:pPr>
            <w:r>
              <w:rPr>
                <w:rFonts w:ascii="Calibri" w:hAnsi="Calibri" w:cs="Calibri"/>
                <w:color w:val="000000"/>
              </w:rPr>
              <w:t>5</w:t>
            </w:r>
          </w:p>
        </w:tc>
        <w:tc>
          <w:tcPr>
            <w:tcW w:w="1710" w:type="dxa"/>
          </w:tcPr>
          <w:p w14:paraId="73224ACF" w14:textId="77777777" w:rsidR="00A52F8A" w:rsidRDefault="00A52F8A" w:rsidP="00A52F8A">
            <w:pPr>
              <w:jc w:val="center"/>
              <w:rPr>
                <w:rFonts w:ascii="Calibri" w:hAnsi="Calibri" w:cs="Calibri"/>
                <w:color w:val="000000"/>
              </w:rPr>
            </w:pPr>
            <w:r>
              <w:rPr>
                <w:rFonts w:ascii="Calibri" w:hAnsi="Calibri" w:cs="Calibri"/>
                <w:color w:val="000000"/>
              </w:rPr>
              <w:t>68.7%</w:t>
            </w:r>
          </w:p>
        </w:tc>
        <w:tc>
          <w:tcPr>
            <w:tcW w:w="1620" w:type="dxa"/>
          </w:tcPr>
          <w:p w14:paraId="059CD8F2" w14:textId="77777777" w:rsidR="00A52F8A" w:rsidRDefault="00A52F8A" w:rsidP="00A52F8A">
            <w:pPr>
              <w:jc w:val="center"/>
              <w:rPr>
                <w:rFonts w:ascii="Calibri" w:hAnsi="Calibri" w:cs="Calibri"/>
                <w:color w:val="000000"/>
              </w:rPr>
            </w:pPr>
            <w:r>
              <w:rPr>
                <w:rFonts w:ascii="Calibri" w:hAnsi="Calibri" w:cs="Calibri"/>
                <w:color w:val="000000"/>
              </w:rPr>
              <w:t>Approved</w:t>
            </w:r>
          </w:p>
        </w:tc>
        <w:tc>
          <w:tcPr>
            <w:tcW w:w="1620" w:type="dxa"/>
          </w:tcPr>
          <w:p w14:paraId="6D3B6532" w14:textId="77777777" w:rsidR="00A52F8A" w:rsidRDefault="00A52F8A" w:rsidP="00A52F8A">
            <w:pPr>
              <w:jc w:val="center"/>
              <w:rPr>
                <w:rFonts w:ascii="Calibri" w:hAnsi="Calibri" w:cs="Calibri"/>
                <w:color w:val="000000"/>
              </w:rPr>
            </w:pPr>
            <w:r>
              <w:rPr>
                <w:rFonts w:ascii="Calibri" w:hAnsi="Calibri" w:cs="Calibri"/>
                <w:color w:val="000000"/>
              </w:rPr>
              <w:t>Approved</w:t>
            </w:r>
          </w:p>
        </w:tc>
      </w:tr>
      <w:tr w:rsidR="00A52F8A" w14:paraId="4D725974" w14:textId="77777777" w:rsidTr="004C0710">
        <w:trPr>
          <w:tblHeader/>
        </w:trPr>
        <w:tc>
          <w:tcPr>
            <w:tcW w:w="895" w:type="dxa"/>
            <w:vMerge/>
          </w:tcPr>
          <w:p w14:paraId="74EF9568" w14:textId="77777777" w:rsidR="00A52F8A" w:rsidRDefault="00A52F8A" w:rsidP="00A52F8A"/>
        </w:tc>
        <w:tc>
          <w:tcPr>
            <w:tcW w:w="2070" w:type="dxa"/>
          </w:tcPr>
          <w:p w14:paraId="2643ACB8" w14:textId="77777777" w:rsidR="00A52F8A" w:rsidRDefault="00A52F8A" w:rsidP="00A52F8A">
            <w:pPr>
              <w:rPr>
                <w:rFonts w:ascii="Calibri" w:hAnsi="Calibri" w:cs="Calibri"/>
                <w:color w:val="000000"/>
              </w:rPr>
            </w:pPr>
            <w:r>
              <w:rPr>
                <w:rFonts w:ascii="Calibri" w:hAnsi="Calibri" w:cs="Calibri"/>
                <w:color w:val="000000"/>
              </w:rPr>
              <w:t>Northeast Consortium for Staff Development</w:t>
            </w:r>
          </w:p>
        </w:tc>
        <w:tc>
          <w:tcPr>
            <w:tcW w:w="6300" w:type="dxa"/>
            <w:gridSpan w:val="4"/>
          </w:tcPr>
          <w:p w14:paraId="0D45E517" w14:textId="77777777" w:rsidR="00A52F8A" w:rsidRDefault="00A52F8A" w:rsidP="00A52F8A">
            <w:pPr>
              <w:jc w:val="center"/>
              <w:rPr>
                <w:rFonts w:ascii="Calibri" w:hAnsi="Calibri" w:cs="Calibri"/>
                <w:color w:val="000000"/>
              </w:rPr>
            </w:pPr>
            <w:r w:rsidRPr="00A52F8A">
              <w:rPr>
                <w:i/>
              </w:rPr>
              <w:t>Expired approval – no longer endorses candidates for licensure in MA</w:t>
            </w:r>
          </w:p>
        </w:tc>
      </w:tr>
      <w:tr w:rsidR="00A52F8A" w14:paraId="00BA5783" w14:textId="77777777" w:rsidTr="004C0710">
        <w:trPr>
          <w:tblHeader/>
        </w:trPr>
        <w:tc>
          <w:tcPr>
            <w:tcW w:w="895" w:type="dxa"/>
            <w:vMerge/>
          </w:tcPr>
          <w:p w14:paraId="36DE9686" w14:textId="77777777" w:rsidR="00A52F8A" w:rsidRDefault="00A52F8A" w:rsidP="00A52F8A"/>
        </w:tc>
        <w:tc>
          <w:tcPr>
            <w:tcW w:w="2070" w:type="dxa"/>
          </w:tcPr>
          <w:p w14:paraId="1441754A" w14:textId="77777777" w:rsidR="00A52F8A" w:rsidRDefault="00A52F8A" w:rsidP="00A52F8A">
            <w:pPr>
              <w:rPr>
                <w:rFonts w:ascii="Calibri" w:hAnsi="Calibri" w:cs="Calibri"/>
                <w:color w:val="000000"/>
              </w:rPr>
            </w:pPr>
            <w:r>
              <w:rPr>
                <w:rFonts w:ascii="Calibri" w:hAnsi="Calibri" w:cs="Calibri"/>
                <w:color w:val="000000"/>
              </w:rPr>
              <w:t>South Coast Educational Collaborative</w:t>
            </w:r>
          </w:p>
        </w:tc>
        <w:tc>
          <w:tcPr>
            <w:tcW w:w="6300" w:type="dxa"/>
            <w:gridSpan w:val="4"/>
          </w:tcPr>
          <w:p w14:paraId="2E3D4CDC" w14:textId="77777777" w:rsidR="00A52F8A" w:rsidRDefault="00A52F8A" w:rsidP="00A52F8A">
            <w:pPr>
              <w:jc w:val="center"/>
              <w:rPr>
                <w:rFonts w:ascii="Calibri" w:hAnsi="Calibri" w:cs="Calibri"/>
                <w:color w:val="000000"/>
              </w:rPr>
            </w:pPr>
            <w:r w:rsidRPr="00A52F8A">
              <w:rPr>
                <w:i/>
              </w:rPr>
              <w:t>Expired approval – no longer endorses candidates for licensure in MA</w:t>
            </w:r>
          </w:p>
        </w:tc>
      </w:tr>
      <w:tr w:rsidR="00A52F8A" w14:paraId="3384E85B" w14:textId="77777777" w:rsidTr="004C0710">
        <w:trPr>
          <w:tblHeader/>
        </w:trPr>
        <w:tc>
          <w:tcPr>
            <w:tcW w:w="895" w:type="dxa"/>
            <w:vMerge/>
          </w:tcPr>
          <w:p w14:paraId="07BBE9ED" w14:textId="77777777" w:rsidR="00A52F8A" w:rsidRDefault="00A52F8A" w:rsidP="00A52F8A"/>
        </w:tc>
        <w:tc>
          <w:tcPr>
            <w:tcW w:w="2070" w:type="dxa"/>
          </w:tcPr>
          <w:p w14:paraId="4F09D874" w14:textId="77777777" w:rsidR="00A52F8A" w:rsidRDefault="00A52F8A" w:rsidP="00A52F8A">
            <w:pPr>
              <w:rPr>
                <w:rFonts w:ascii="Calibri" w:hAnsi="Calibri" w:cs="Calibri"/>
                <w:color w:val="000000"/>
              </w:rPr>
            </w:pPr>
            <w:r>
              <w:rPr>
                <w:rFonts w:ascii="Calibri" w:hAnsi="Calibri" w:cs="Calibri"/>
                <w:color w:val="000000"/>
              </w:rPr>
              <w:t>Springfield College</w:t>
            </w:r>
          </w:p>
        </w:tc>
        <w:tc>
          <w:tcPr>
            <w:tcW w:w="1350" w:type="dxa"/>
          </w:tcPr>
          <w:p w14:paraId="47C1B7B0" w14:textId="77777777" w:rsidR="00A52F8A" w:rsidRDefault="00A52F8A" w:rsidP="00A52F8A">
            <w:pPr>
              <w:jc w:val="center"/>
              <w:rPr>
                <w:rFonts w:ascii="Calibri" w:hAnsi="Calibri" w:cs="Calibri"/>
                <w:color w:val="000000"/>
              </w:rPr>
            </w:pPr>
            <w:r>
              <w:rPr>
                <w:rFonts w:ascii="Calibri" w:hAnsi="Calibri" w:cs="Calibri"/>
                <w:color w:val="000000"/>
              </w:rPr>
              <w:t>153</w:t>
            </w:r>
          </w:p>
        </w:tc>
        <w:tc>
          <w:tcPr>
            <w:tcW w:w="1710" w:type="dxa"/>
          </w:tcPr>
          <w:p w14:paraId="6DB0BF7D" w14:textId="77777777" w:rsidR="00A52F8A" w:rsidRDefault="00A52F8A" w:rsidP="00A52F8A">
            <w:pPr>
              <w:jc w:val="center"/>
              <w:rPr>
                <w:rFonts w:ascii="Calibri" w:hAnsi="Calibri" w:cs="Calibri"/>
                <w:color w:val="000000"/>
              </w:rPr>
            </w:pPr>
            <w:r>
              <w:rPr>
                <w:rFonts w:ascii="Calibri" w:hAnsi="Calibri" w:cs="Calibri"/>
                <w:color w:val="000000"/>
              </w:rPr>
              <w:t>57.3%</w:t>
            </w:r>
          </w:p>
        </w:tc>
        <w:tc>
          <w:tcPr>
            <w:tcW w:w="1620" w:type="dxa"/>
          </w:tcPr>
          <w:p w14:paraId="30AF1579" w14:textId="77777777" w:rsidR="00A52F8A" w:rsidRDefault="00A52F8A" w:rsidP="00A52F8A">
            <w:pPr>
              <w:jc w:val="center"/>
              <w:rPr>
                <w:rFonts w:ascii="Calibri" w:hAnsi="Calibri" w:cs="Calibri"/>
                <w:color w:val="000000"/>
              </w:rPr>
            </w:pPr>
            <w:r>
              <w:rPr>
                <w:rFonts w:ascii="Calibri" w:hAnsi="Calibri" w:cs="Calibri"/>
                <w:color w:val="000000"/>
              </w:rPr>
              <w:t>Approved</w:t>
            </w:r>
          </w:p>
        </w:tc>
        <w:tc>
          <w:tcPr>
            <w:tcW w:w="1620" w:type="dxa"/>
          </w:tcPr>
          <w:p w14:paraId="47D78E8F" w14:textId="77777777" w:rsidR="00A52F8A" w:rsidRDefault="00A52F8A" w:rsidP="00A52F8A">
            <w:pPr>
              <w:jc w:val="center"/>
              <w:rPr>
                <w:rFonts w:ascii="Calibri" w:hAnsi="Calibri" w:cs="Calibri"/>
                <w:color w:val="000000"/>
              </w:rPr>
            </w:pPr>
            <w:r>
              <w:rPr>
                <w:rFonts w:ascii="Calibri" w:hAnsi="Calibri" w:cs="Calibri"/>
                <w:color w:val="000000"/>
              </w:rPr>
              <w:t>Approved</w:t>
            </w:r>
          </w:p>
        </w:tc>
      </w:tr>
      <w:tr w:rsidR="00A52F8A" w14:paraId="2AE9F323" w14:textId="77777777" w:rsidTr="004C0710">
        <w:trPr>
          <w:tblHeader/>
        </w:trPr>
        <w:tc>
          <w:tcPr>
            <w:tcW w:w="895" w:type="dxa"/>
            <w:vMerge/>
          </w:tcPr>
          <w:p w14:paraId="0CD2ADD3" w14:textId="77777777" w:rsidR="00A52F8A" w:rsidRDefault="00A52F8A" w:rsidP="00A52F8A"/>
        </w:tc>
        <w:tc>
          <w:tcPr>
            <w:tcW w:w="2070" w:type="dxa"/>
          </w:tcPr>
          <w:p w14:paraId="09632510" w14:textId="77777777" w:rsidR="00A52F8A" w:rsidRDefault="00A52F8A" w:rsidP="00A52F8A">
            <w:r>
              <w:rPr>
                <w:rFonts w:ascii="Calibri" w:hAnsi="Calibri" w:cs="Calibri"/>
                <w:color w:val="000000"/>
              </w:rPr>
              <w:t>Stonehill College</w:t>
            </w:r>
          </w:p>
        </w:tc>
        <w:tc>
          <w:tcPr>
            <w:tcW w:w="1350" w:type="dxa"/>
          </w:tcPr>
          <w:p w14:paraId="3B918D23" w14:textId="77777777" w:rsidR="00A52F8A" w:rsidRDefault="00A52F8A" w:rsidP="00A52F8A">
            <w:pPr>
              <w:jc w:val="center"/>
            </w:pPr>
            <w:r>
              <w:rPr>
                <w:rFonts w:ascii="Calibri" w:hAnsi="Calibri" w:cs="Calibri"/>
                <w:color w:val="000000"/>
              </w:rPr>
              <w:t>41</w:t>
            </w:r>
          </w:p>
        </w:tc>
        <w:tc>
          <w:tcPr>
            <w:tcW w:w="1710" w:type="dxa"/>
          </w:tcPr>
          <w:p w14:paraId="59E045A4" w14:textId="77777777" w:rsidR="00A52F8A" w:rsidRDefault="00A52F8A" w:rsidP="00A52F8A">
            <w:pPr>
              <w:jc w:val="center"/>
            </w:pPr>
            <w:r>
              <w:rPr>
                <w:rFonts w:ascii="Calibri" w:hAnsi="Calibri" w:cs="Calibri"/>
                <w:color w:val="000000"/>
              </w:rPr>
              <w:t>61.8%</w:t>
            </w:r>
          </w:p>
        </w:tc>
        <w:tc>
          <w:tcPr>
            <w:tcW w:w="1620" w:type="dxa"/>
          </w:tcPr>
          <w:p w14:paraId="0BDC7AD3" w14:textId="77777777" w:rsidR="00A52F8A" w:rsidRDefault="00A52F8A" w:rsidP="00A52F8A">
            <w:pPr>
              <w:jc w:val="center"/>
            </w:pPr>
            <w:r>
              <w:rPr>
                <w:rFonts w:ascii="Calibri" w:hAnsi="Calibri" w:cs="Calibri"/>
                <w:color w:val="000000"/>
              </w:rPr>
              <w:t>Approved</w:t>
            </w:r>
          </w:p>
        </w:tc>
        <w:tc>
          <w:tcPr>
            <w:tcW w:w="1620" w:type="dxa"/>
          </w:tcPr>
          <w:p w14:paraId="2460A6C1" w14:textId="77777777" w:rsidR="00A52F8A" w:rsidRDefault="00A52F8A" w:rsidP="00A52F8A">
            <w:pPr>
              <w:jc w:val="center"/>
            </w:pPr>
            <w:r>
              <w:rPr>
                <w:rFonts w:ascii="Calibri" w:hAnsi="Calibri" w:cs="Calibri"/>
                <w:color w:val="000000"/>
              </w:rPr>
              <w:t>Approved</w:t>
            </w:r>
          </w:p>
        </w:tc>
      </w:tr>
      <w:tr w:rsidR="00A52F8A" w14:paraId="431B1779" w14:textId="77777777" w:rsidTr="004C0710">
        <w:trPr>
          <w:tblHeader/>
        </w:trPr>
        <w:tc>
          <w:tcPr>
            <w:tcW w:w="895" w:type="dxa"/>
            <w:vMerge/>
          </w:tcPr>
          <w:p w14:paraId="6C2141F4" w14:textId="77777777" w:rsidR="00A52F8A" w:rsidRDefault="00A52F8A" w:rsidP="00A52F8A"/>
        </w:tc>
        <w:tc>
          <w:tcPr>
            <w:tcW w:w="2070" w:type="dxa"/>
          </w:tcPr>
          <w:p w14:paraId="52EC2F57" w14:textId="77777777" w:rsidR="00A52F8A" w:rsidRDefault="00A52F8A" w:rsidP="00A52F8A">
            <w:r>
              <w:rPr>
                <w:rFonts w:ascii="Calibri" w:hAnsi="Calibri" w:cs="Calibri"/>
                <w:color w:val="000000"/>
              </w:rPr>
              <w:t>Wellesley College</w:t>
            </w:r>
          </w:p>
        </w:tc>
        <w:tc>
          <w:tcPr>
            <w:tcW w:w="1350" w:type="dxa"/>
          </w:tcPr>
          <w:p w14:paraId="49E106A1" w14:textId="77777777" w:rsidR="00A52F8A" w:rsidRDefault="00A52F8A" w:rsidP="00A52F8A">
            <w:pPr>
              <w:jc w:val="center"/>
            </w:pPr>
            <w:r>
              <w:rPr>
                <w:rFonts w:ascii="Calibri" w:hAnsi="Calibri" w:cs="Calibri"/>
                <w:color w:val="000000"/>
              </w:rPr>
              <w:t>12</w:t>
            </w:r>
          </w:p>
        </w:tc>
        <w:tc>
          <w:tcPr>
            <w:tcW w:w="1710" w:type="dxa"/>
          </w:tcPr>
          <w:p w14:paraId="58C82926" w14:textId="77777777" w:rsidR="00A52F8A" w:rsidRDefault="00A52F8A" w:rsidP="00A52F8A">
            <w:pPr>
              <w:jc w:val="center"/>
            </w:pPr>
            <w:r>
              <w:rPr>
                <w:rFonts w:ascii="Calibri" w:hAnsi="Calibri" w:cs="Calibri"/>
                <w:color w:val="000000"/>
              </w:rPr>
              <w:t>36.6%</w:t>
            </w:r>
          </w:p>
        </w:tc>
        <w:tc>
          <w:tcPr>
            <w:tcW w:w="1620" w:type="dxa"/>
          </w:tcPr>
          <w:p w14:paraId="11DF8EC5" w14:textId="77777777" w:rsidR="00A52F8A" w:rsidRDefault="00A52F8A" w:rsidP="00A52F8A">
            <w:pPr>
              <w:jc w:val="center"/>
            </w:pPr>
            <w:r>
              <w:rPr>
                <w:rFonts w:ascii="Calibri" w:hAnsi="Calibri" w:cs="Calibri"/>
                <w:color w:val="000000"/>
              </w:rPr>
              <w:t>Approved</w:t>
            </w:r>
          </w:p>
        </w:tc>
        <w:tc>
          <w:tcPr>
            <w:tcW w:w="1620" w:type="dxa"/>
          </w:tcPr>
          <w:p w14:paraId="4874C7A0" w14:textId="77777777" w:rsidR="00A52F8A" w:rsidRDefault="00A52F8A" w:rsidP="00A52F8A">
            <w:pPr>
              <w:jc w:val="center"/>
            </w:pPr>
            <w:r>
              <w:rPr>
                <w:rFonts w:ascii="Calibri" w:hAnsi="Calibri" w:cs="Calibri"/>
                <w:color w:val="000000"/>
              </w:rPr>
              <w:t>Approved</w:t>
            </w:r>
          </w:p>
        </w:tc>
      </w:tr>
      <w:tr w:rsidR="00A52F8A" w14:paraId="6AB45361" w14:textId="77777777" w:rsidTr="004C0710">
        <w:trPr>
          <w:tblHeader/>
        </w:trPr>
        <w:tc>
          <w:tcPr>
            <w:tcW w:w="895" w:type="dxa"/>
            <w:vMerge/>
            <w:tcBorders>
              <w:bottom w:val="single" w:sz="4" w:space="0" w:color="auto"/>
            </w:tcBorders>
          </w:tcPr>
          <w:p w14:paraId="01604857" w14:textId="77777777" w:rsidR="00A52F8A" w:rsidRDefault="00A52F8A" w:rsidP="00A52F8A"/>
        </w:tc>
        <w:tc>
          <w:tcPr>
            <w:tcW w:w="2070" w:type="dxa"/>
            <w:tcBorders>
              <w:bottom w:val="single" w:sz="4" w:space="0" w:color="auto"/>
            </w:tcBorders>
          </w:tcPr>
          <w:p w14:paraId="65C3DABD" w14:textId="77777777" w:rsidR="00A52F8A" w:rsidRDefault="00A52F8A" w:rsidP="00A52F8A">
            <w:r>
              <w:rPr>
                <w:rFonts w:ascii="Calibri" w:hAnsi="Calibri" w:cs="Calibri"/>
                <w:color w:val="000000"/>
              </w:rPr>
              <w:t>Wheaton College</w:t>
            </w:r>
          </w:p>
        </w:tc>
        <w:tc>
          <w:tcPr>
            <w:tcW w:w="1350" w:type="dxa"/>
            <w:tcBorders>
              <w:bottom w:val="single" w:sz="4" w:space="0" w:color="auto"/>
            </w:tcBorders>
          </w:tcPr>
          <w:p w14:paraId="25AB7A27" w14:textId="77777777" w:rsidR="00A52F8A" w:rsidRDefault="00A52F8A" w:rsidP="00A52F8A">
            <w:pPr>
              <w:jc w:val="center"/>
            </w:pPr>
            <w:r>
              <w:rPr>
                <w:rFonts w:ascii="Calibri" w:hAnsi="Calibri" w:cs="Calibri"/>
                <w:color w:val="000000"/>
              </w:rPr>
              <w:t>13</w:t>
            </w:r>
          </w:p>
        </w:tc>
        <w:tc>
          <w:tcPr>
            <w:tcW w:w="1710" w:type="dxa"/>
            <w:tcBorders>
              <w:bottom w:val="single" w:sz="4" w:space="0" w:color="auto"/>
            </w:tcBorders>
          </w:tcPr>
          <w:p w14:paraId="3E79E1EA" w14:textId="77777777" w:rsidR="00A52F8A" w:rsidRDefault="00A52F8A" w:rsidP="00A52F8A">
            <w:pPr>
              <w:jc w:val="center"/>
            </w:pPr>
            <w:r>
              <w:rPr>
                <w:rFonts w:ascii="Calibri" w:hAnsi="Calibri" w:cs="Calibri"/>
                <w:color w:val="000000"/>
              </w:rPr>
              <w:t>36.7%</w:t>
            </w:r>
          </w:p>
        </w:tc>
        <w:tc>
          <w:tcPr>
            <w:tcW w:w="1620" w:type="dxa"/>
            <w:tcBorders>
              <w:bottom w:val="single" w:sz="4" w:space="0" w:color="auto"/>
            </w:tcBorders>
          </w:tcPr>
          <w:p w14:paraId="64DCAD3D" w14:textId="77777777" w:rsidR="00A52F8A" w:rsidRDefault="00A52F8A" w:rsidP="00A52F8A">
            <w:pPr>
              <w:jc w:val="center"/>
            </w:pPr>
            <w:r>
              <w:rPr>
                <w:rFonts w:ascii="Calibri" w:hAnsi="Calibri" w:cs="Calibri"/>
                <w:color w:val="000000"/>
              </w:rPr>
              <w:t>Approved</w:t>
            </w:r>
          </w:p>
        </w:tc>
        <w:tc>
          <w:tcPr>
            <w:tcW w:w="1620" w:type="dxa"/>
            <w:tcBorders>
              <w:bottom w:val="single" w:sz="4" w:space="0" w:color="auto"/>
            </w:tcBorders>
          </w:tcPr>
          <w:p w14:paraId="00EEF832" w14:textId="77777777" w:rsidR="00A52F8A" w:rsidRDefault="00A52F8A" w:rsidP="00A52F8A">
            <w:pPr>
              <w:jc w:val="center"/>
            </w:pPr>
            <w:r>
              <w:rPr>
                <w:rFonts w:ascii="Calibri" w:hAnsi="Calibri" w:cs="Calibri"/>
                <w:color w:val="000000"/>
              </w:rPr>
              <w:t>Approved</w:t>
            </w:r>
          </w:p>
        </w:tc>
      </w:tr>
      <w:tr w:rsidR="00A52F8A" w14:paraId="368A807F" w14:textId="77777777" w:rsidTr="004C0710">
        <w:trPr>
          <w:tblHeader/>
        </w:trPr>
        <w:tc>
          <w:tcPr>
            <w:tcW w:w="895" w:type="dxa"/>
            <w:tcBorders>
              <w:top w:val="single" w:sz="4" w:space="0" w:color="auto"/>
              <w:left w:val="nil"/>
              <w:bottom w:val="nil"/>
              <w:right w:val="single" w:sz="4" w:space="0" w:color="auto"/>
            </w:tcBorders>
          </w:tcPr>
          <w:p w14:paraId="22EF9971" w14:textId="77777777" w:rsidR="00A52F8A" w:rsidRDefault="00A52F8A" w:rsidP="00A52F8A"/>
        </w:tc>
        <w:tc>
          <w:tcPr>
            <w:tcW w:w="2070" w:type="dxa"/>
            <w:tcBorders>
              <w:top w:val="single" w:sz="4" w:space="0" w:color="auto"/>
              <w:left w:val="single" w:sz="4" w:space="0" w:color="auto"/>
            </w:tcBorders>
            <w:shd w:val="clear" w:color="auto" w:fill="D9D9D9" w:themeFill="background1" w:themeFillShade="D9"/>
          </w:tcPr>
          <w:p w14:paraId="5CDE43E3" w14:textId="77777777" w:rsidR="00A52F8A" w:rsidRPr="00A52F8A" w:rsidRDefault="00A52F8A" w:rsidP="00A52F8A">
            <w:pPr>
              <w:rPr>
                <w:b/>
              </w:rPr>
            </w:pPr>
            <w:r w:rsidRPr="00A52F8A">
              <w:rPr>
                <w:b/>
              </w:rPr>
              <w:t>Total:</w:t>
            </w:r>
          </w:p>
        </w:tc>
        <w:tc>
          <w:tcPr>
            <w:tcW w:w="1350" w:type="dxa"/>
            <w:tcBorders>
              <w:top w:val="single" w:sz="4" w:space="0" w:color="auto"/>
            </w:tcBorders>
            <w:shd w:val="clear" w:color="auto" w:fill="D9D9D9" w:themeFill="background1" w:themeFillShade="D9"/>
          </w:tcPr>
          <w:p w14:paraId="55DF5260" w14:textId="77777777" w:rsidR="00A52F8A" w:rsidRPr="00A52F8A" w:rsidRDefault="00A52F8A" w:rsidP="00EC137D">
            <w:pPr>
              <w:jc w:val="center"/>
              <w:rPr>
                <w:b/>
              </w:rPr>
            </w:pPr>
            <w:r w:rsidRPr="00A52F8A">
              <w:rPr>
                <w:b/>
              </w:rPr>
              <w:t>27</w:t>
            </w:r>
            <w:r w:rsidR="00EC137D">
              <w:rPr>
                <w:b/>
              </w:rPr>
              <w:t>2</w:t>
            </w:r>
            <w:r w:rsidRPr="00A52F8A">
              <w:rPr>
                <w:b/>
              </w:rPr>
              <w:t>3</w:t>
            </w:r>
          </w:p>
        </w:tc>
        <w:tc>
          <w:tcPr>
            <w:tcW w:w="1710" w:type="dxa"/>
            <w:tcBorders>
              <w:top w:val="single" w:sz="4" w:space="0" w:color="auto"/>
              <w:right w:val="single" w:sz="4" w:space="0" w:color="auto"/>
            </w:tcBorders>
            <w:shd w:val="clear" w:color="auto" w:fill="D9D9D9" w:themeFill="background1" w:themeFillShade="D9"/>
          </w:tcPr>
          <w:p w14:paraId="736810D4" w14:textId="77777777" w:rsidR="00A52F8A" w:rsidRPr="00A52F8A" w:rsidRDefault="00A52F8A" w:rsidP="00A52F8A">
            <w:pPr>
              <w:jc w:val="center"/>
              <w:rPr>
                <w:b/>
              </w:rPr>
            </w:pPr>
            <w:r w:rsidRPr="00A52F8A">
              <w:rPr>
                <w:b/>
              </w:rPr>
              <w:t>Average: 68.2%</w:t>
            </w:r>
          </w:p>
        </w:tc>
        <w:tc>
          <w:tcPr>
            <w:tcW w:w="1620" w:type="dxa"/>
            <w:tcBorders>
              <w:top w:val="single" w:sz="4" w:space="0" w:color="auto"/>
              <w:left w:val="single" w:sz="4" w:space="0" w:color="auto"/>
              <w:bottom w:val="nil"/>
              <w:right w:val="nil"/>
            </w:tcBorders>
          </w:tcPr>
          <w:p w14:paraId="7A5A7AB1" w14:textId="77777777" w:rsidR="00A52F8A" w:rsidRDefault="00A52F8A" w:rsidP="00A52F8A">
            <w:pPr>
              <w:jc w:val="center"/>
            </w:pPr>
          </w:p>
        </w:tc>
        <w:tc>
          <w:tcPr>
            <w:tcW w:w="1620" w:type="dxa"/>
            <w:tcBorders>
              <w:top w:val="single" w:sz="4" w:space="0" w:color="auto"/>
              <w:left w:val="nil"/>
              <w:bottom w:val="nil"/>
              <w:right w:val="nil"/>
            </w:tcBorders>
          </w:tcPr>
          <w:p w14:paraId="7C21C4DE" w14:textId="77777777" w:rsidR="00A52F8A" w:rsidRDefault="00A52F8A" w:rsidP="00A52F8A">
            <w:pPr>
              <w:jc w:val="center"/>
            </w:pPr>
          </w:p>
        </w:tc>
      </w:tr>
    </w:tbl>
    <w:p w14:paraId="7A7047BF" w14:textId="77777777" w:rsidR="00EB20C9" w:rsidRPr="00EB20C9" w:rsidRDefault="00EB20C9" w:rsidP="00EB20C9"/>
    <w:sectPr w:rsidR="00EB20C9" w:rsidRPr="00EB20C9" w:rsidSect="00CC15B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D8178" w14:textId="77777777" w:rsidR="0022280B" w:rsidRDefault="0022280B" w:rsidP="00E94E71">
      <w:pPr>
        <w:spacing w:after="0" w:line="240" w:lineRule="auto"/>
      </w:pPr>
      <w:r>
        <w:separator/>
      </w:r>
    </w:p>
  </w:endnote>
  <w:endnote w:type="continuationSeparator" w:id="0">
    <w:p w14:paraId="6C34A2DB" w14:textId="77777777" w:rsidR="0022280B" w:rsidRDefault="0022280B" w:rsidP="00E9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413821"/>
      <w:docPartObj>
        <w:docPartGallery w:val="Page Numbers (Bottom of Page)"/>
        <w:docPartUnique/>
      </w:docPartObj>
    </w:sdtPr>
    <w:sdtEndPr>
      <w:rPr>
        <w:noProof/>
      </w:rPr>
    </w:sdtEndPr>
    <w:sdtContent>
      <w:p w14:paraId="74F35E7B" w14:textId="77777777" w:rsidR="00CC15B8" w:rsidRDefault="00CC15B8" w:rsidP="00CC15B8">
        <w:pPr>
          <w:pStyle w:val="Footer"/>
          <w:jc w:val="center"/>
        </w:pPr>
        <w:r>
          <w:fldChar w:fldCharType="begin"/>
        </w:r>
        <w:r>
          <w:instrText xml:space="preserve"> PAGE   \* MERGEFORMAT </w:instrText>
        </w:r>
        <w:r>
          <w:fldChar w:fldCharType="separate"/>
        </w:r>
        <w:r w:rsidR="009A2669">
          <w:rPr>
            <w:noProof/>
          </w:rPr>
          <w:t>19</w:t>
        </w:r>
        <w:r>
          <w:rPr>
            <w:noProof/>
          </w:rPr>
          <w:fldChar w:fldCharType="end"/>
        </w:r>
      </w:p>
    </w:sdtContent>
  </w:sdt>
  <w:p w14:paraId="377C8753" w14:textId="77777777" w:rsidR="00CC15B8" w:rsidRDefault="00CC1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145476"/>
      <w:docPartObj>
        <w:docPartGallery w:val="Page Numbers (Bottom of Page)"/>
        <w:docPartUnique/>
      </w:docPartObj>
    </w:sdtPr>
    <w:sdtEndPr>
      <w:rPr>
        <w:noProof/>
      </w:rPr>
    </w:sdtEndPr>
    <w:sdtContent>
      <w:p w14:paraId="39B18BB7" w14:textId="77777777" w:rsidR="00CC15B8" w:rsidRDefault="00CC15B8" w:rsidP="00CC15B8">
        <w:pPr>
          <w:pStyle w:val="Footer"/>
          <w:jc w:val="center"/>
        </w:pPr>
        <w:r>
          <w:fldChar w:fldCharType="begin"/>
        </w:r>
        <w:r>
          <w:instrText xml:space="preserve"> PAGE   \* MERGEFORMAT </w:instrText>
        </w:r>
        <w:r>
          <w:fldChar w:fldCharType="separate"/>
        </w:r>
        <w:r w:rsidR="009A2669">
          <w:rPr>
            <w:noProof/>
          </w:rPr>
          <w:t>1</w:t>
        </w:r>
        <w:r>
          <w:rPr>
            <w:noProof/>
          </w:rPr>
          <w:fldChar w:fldCharType="end"/>
        </w:r>
      </w:p>
    </w:sdtContent>
  </w:sdt>
  <w:p w14:paraId="6B49BFB3" w14:textId="77777777" w:rsidR="00CC15B8" w:rsidRDefault="00CC1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A9D80" w14:textId="77777777" w:rsidR="0022280B" w:rsidRDefault="0022280B" w:rsidP="00E94E71">
      <w:pPr>
        <w:spacing w:after="0" w:line="240" w:lineRule="auto"/>
      </w:pPr>
      <w:r>
        <w:separator/>
      </w:r>
    </w:p>
  </w:footnote>
  <w:footnote w:type="continuationSeparator" w:id="0">
    <w:p w14:paraId="563BFAE2" w14:textId="77777777" w:rsidR="0022280B" w:rsidRDefault="0022280B" w:rsidP="00E94E71">
      <w:pPr>
        <w:spacing w:after="0" w:line="240" w:lineRule="auto"/>
      </w:pPr>
      <w:r>
        <w:continuationSeparator/>
      </w:r>
    </w:p>
  </w:footnote>
  <w:footnote w:id="1">
    <w:p w14:paraId="1AA29024" w14:textId="77777777" w:rsidR="00CC15B8" w:rsidRDefault="00CC15B8">
      <w:pPr>
        <w:pStyle w:val="FootnoteText"/>
      </w:pPr>
      <w:r w:rsidRPr="0098602C">
        <w:rPr>
          <w:rStyle w:val="FootnoteReference"/>
          <w:sz w:val="18"/>
        </w:rPr>
        <w:footnoteRef/>
      </w:r>
      <w:r w:rsidRPr="0098602C">
        <w:rPr>
          <w:sz w:val="18"/>
        </w:rPr>
        <w:t xml:space="preserve"> For more information about Needs Assessments, please see the </w:t>
      </w:r>
      <w:hyperlink r:id="rId1" w:history="1">
        <w:r w:rsidRPr="0098602C">
          <w:rPr>
            <w:rStyle w:val="Hyperlink"/>
            <w:sz w:val="18"/>
          </w:rPr>
          <w:t>2016 Needs Assessment Policy Advisory</w:t>
        </w:r>
      </w:hyperlink>
      <w:r w:rsidRPr="0098602C">
        <w:rPr>
          <w:sz w:val="18"/>
        </w:rPr>
        <w:t>.</w:t>
      </w:r>
    </w:p>
  </w:footnote>
  <w:footnote w:id="2">
    <w:p w14:paraId="69807909" w14:textId="77777777" w:rsidR="00CC15B8" w:rsidRDefault="00CC15B8">
      <w:pPr>
        <w:pStyle w:val="FootnoteText"/>
      </w:pPr>
      <w:r w:rsidRPr="0098602C">
        <w:rPr>
          <w:rStyle w:val="FootnoteReference"/>
          <w:sz w:val="18"/>
        </w:rPr>
        <w:footnoteRef/>
      </w:r>
      <w:r w:rsidRPr="0098602C">
        <w:rPr>
          <w:sz w:val="18"/>
        </w:rPr>
        <w:t xml:space="preserve"> For more information about approval determinations, and how other judgments impact the overall determination rating, please see the </w:t>
      </w:r>
      <w:hyperlink r:id="rId2" w:history="1">
        <w:r w:rsidRPr="0098602C">
          <w:rPr>
            <w:rStyle w:val="Hyperlink"/>
            <w:sz w:val="18"/>
          </w:rPr>
          <w:t>Program Approval Guidelines</w:t>
        </w:r>
      </w:hyperlink>
      <w:r w:rsidRPr="0098602C">
        <w:rPr>
          <w:sz w:val="18"/>
        </w:rPr>
        <w:t>.</w:t>
      </w:r>
    </w:p>
  </w:footnote>
  <w:footnote w:id="3">
    <w:p w14:paraId="00B044CF" w14:textId="77777777" w:rsidR="00CC15B8" w:rsidRDefault="00CC15B8">
      <w:pPr>
        <w:pStyle w:val="FootnoteText"/>
      </w:pPr>
      <w:r w:rsidRPr="00C71118">
        <w:rPr>
          <w:rStyle w:val="FootnoteReference"/>
          <w:sz w:val="18"/>
        </w:rPr>
        <w:footnoteRef/>
      </w:r>
      <w:r w:rsidRPr="00C71118">
        <w:rPr>
          <w:sz w:val="18"/>
        </w:rPr>
        <w:t xml:space="preserve"> For 2014-2015 and 2015-2016, no data appears for Approved with Distinction or Probationary Approval because these approval ratings did not exist at that time.</w:t>
      </w:r>
    </w:p>
  </w:footnote>
  <w:footnote w:id="4">
    <w:p w14:paraId="054C7A51" w14:textId="77777777" w:rsidR="00CC15B8" w:rsidRDefault="00CC15B8">
      <w:pPr>
        <w:pStyle w:val="FootnoteText"/>
      </w:pPr>
      <w:r w:rsidRPr="0098602C">
        <w:rPr>
          <w:rStyle w:val="FootnoteReference"/>
          <w:sz w:val="18"/>
        </w:rPr>
        <w:footnoteRef/>
      </w:r>
      <w:r w:rsidRPr="0098602C">
        <w:rPr>
          <w:sz w:val="18"/>
        </w:rPr>
        <w:t xml:space="preserve"> One S</w:t>
      </w:r>
      <w:r w:rsidR="000C46CC">
        <w:rPr>
          <w:sz w:val="18"/>
        </w:rPr>
        <w:t>O</w:t>
      </w:r>
      <w:r w:rsidRPr="0098602C">
        <w:rPr>
          <w:sz w:val="18"/>
        </w:rPr>
        <w:t xml:space="preserve"> underwent review in both 2014-</w:t>
      </w:r>
      <w:r w:rsidR="000C46CC">
        <w:rPr>
          <w:sz w:val="18"/>
        </w:rPr>
        <w:t>20</w:t>
      </w:r>
      <w:r w:rsidRPr="0098602C">
        <w:rPr>
          <w:sz w:val="18"/>
        </w:rPr>
        <w:t>15 and 2017-2018 as a result of Approval with Conditions in 2014-</w:t>
      </w:r>
      <w:r w:rsidR="000C46CC">
        <w:rPr>
          <w:sz w:val="18"/>
        </w:rPr>
        <w:t>20</w:t>
      </w:r>
      <w:r w:rsidRPr="0098602C">
        <w:rPr>
          <w:sz w:val="18"/>
        </w:rPr>
        <w:t>15. The approval determinations from both formal reviews are included.</w:t>
      </w:r>
    </w:p>
  </w:footnote>
  <w:footnote w:id="5">
    <w:p w14:paraId="61FD22FB" w14:textId="77777777" w:rsidR="00CC15B8" w:rsidRDefault="00CC15B8">
      <w:pPr>
        <w:pStyle w:val="FootnoteText"/>
      </w:pPr>
      <w:r w:rsidRPr="0098602C">
        <w:rPr>
          <w:rStyle w:val="FootnoteReference"/>
          <w:sz w:val="18"/>
        </w:rPr>
        <w:footnoteRef/>
      </w:r>
      <w:r w:rsidRPr="0098602C">
        <w:rPr>
          <w:sz w:val="18"/>
        </w:rPr>
        <w:t xml:space="preserve"> For more information about the domain ratings, please see the </w:t>
      </w:r>
      <w:hyperlink r:id="rId3" w:history="1">
        <w:r w:rsidRPr="0098602C">
          <w:rPr>
            <w:rStyle w:val="Hyperlink"/>
            <w:sz w:val="18"/>
          </w:rPr>
          <w:t>Program Approval Guidelines</w:t>
        </w:r>
      </w:hyperlink>
      <w:r w:rsidRPr="0098602C">
        <w:rPr>
          <w:sz w:val="18"/>
        </w:rPr>
        <w:t>.</w:t>
      </w:r>
    </w:p>
  </w:footnote>
  <w:footnote w:id="6">
    <w:p w14:paraId="4733ED4E" w14:textId="77777777" w:rsidR="00CC15B8" w:rsidRDefault="00CC15B8">
      <w:pPr>
        <w:pStyle w:val="FootnoteText"/>
      </w:pPr>
      <w:r w:rsidRPr="0098602C">
        <w:rPr>
          <w:rStyle w:val="FootnoteReference"/>
          <w:sz w:val="18"/>
        </w:rPr>
        <w:footnoteRef/>
      </w:r>
      <w:r w:rsidRPr="0098602C">
        <w:rPr>
          <w:sz w:val="18"/>
        </w:rPr>
        <w:t xml:space="preserve"> This chart includes data from 32 formal reviews. Of the 33 </w:t>
      </w:r>
      <w:r w:rsidR="000C46CC">
        <w:rPr>
          <w:sz w:val="18"/>
        </w:rPr>
        <w:t>SOs</w:t>
      </w:r>
      <w:r w:rsidRPr="0098602C">
        <w:rPr>
          <w:sz w:val="18"/>
        </w:rPr>
        <w:t xml:space="preserve"> that have undergone review, two underwent </w:t>
      </w:r>
      <w:r w:rsidR="000C46CC">
        <w:rPr>
          <w:sz w:val="18"/>
        </w:rPr>
        <w:t>National Council for Accreditation of Teacher Education (</w:t>
      </w:r>
      <w:r w:rsidRPr="0098602C">
        <w:rPr>
          <w:sz w:val="18"/>
        </w:rPr>
        <w:t>NCATE</w:t>
      </w:r>
      <w:r w:rsidR="000C46CC">
        <w:rPr>
          <w:sz w:val="18"/>
        </w:rPr>
        <w:t>)</w:t>
      </w:r>
      <w:r w:rsidRPr="0098602C">
        <w:rPr>
          <w:sz w:val="18"/>
        </w:rPr>
        <w:t xml:space="preserve"> approval and did not receive domain ratings. One </w:t>
      </w:r>
      <w:r w:rsidR="000C46CC">
        <w:rPr>
          <w:sz w:val="18"/>
        </w:rPr>
        <w:t>SO</w:t>
      </w:r>
      <w:r w:rsidRPr="0098602C">
        <w:rPr>
          <w:sz w:val="18"/>
        </w:rPr>
        <w:t xml:space="preserve"> was reviewed in both 2014-</w:t>
      </w:r>
      <w:r w:rsidR="000C46CC">
        <w:rPr>
          <w:sz w:val="18"/>
        </w:rPr>
        <w:t>20</w:t>
      </w:r>
      <w:r w:rsidRPr="0098602C">
        <w:rPr>
          <w:sz w:val="18"/>
        </w:rPr>
        <w:t>15 and 2017-</w:t>
      </w:r>
      <w:r w:rsidR="000C46CC">
        <w:rPr>
          <w:sz w:val="18"/>
        </w:rPr>
        <w:t>20</w:t>
      </w:r>
      <w:r w:rsidRPr="0098602C">
        <w:rPr>
          <w:sz w:val="18"/>
        </w:rPr>
        <w:t>18 and the ratings from both reviews are included.</w:t>
      </w:r>
    </w:p>
  </w:footnote>
  <w:footnote w:id="7">
    <w:p w14:paraId="2E239610" w14:textId="77777777" w:rsidR="00CC15B8" w:rsidRPr="0098602C" w:rsidRDefault="00CC15B8">
      <w:pPr>
        <w:pStyle w:val="FootnoteText"/>
        <w:rPr>
          <w:sz w:val="18"/>
        </w:rPr>
      </w:pPr>
      <w:r w:rsidRPr="0098602C">
        <w:rPr>
          <w:rStyle w:val="FootnoteReference"/>
          <w:sz w:val="18"/>
        </w:rPr>
        <w:footnoteRef/>
      </w:r>
      <w:r w:rsidRPr="0098602C">
        <w:rPr>
          <w:sz w:val="18"/>
        </w:rPr>
        <w:t xml:space="preserve"> For more information, see the </w:t>
      </w:r>
      <w:hyperlink r:id="rId4" w:history="1">
        <w:r w:rsidRPr="0098602C">
          <w:rPr>
            <w:rStyle w:val="Hyperlink"/>
            <w:sz w:val="18"/>
          </w:rPr>
          <w:t>Partnership Advisory</w:t>
        </w:r>
      </w:hyperlink>
      <w:r w:rsidRPr="0098602C">
        <w:rPr>
          <w:sz w:val="18"/>
        </w:rPr>
        <w:t>.</w:t>
      </w:r>
    </w:p>
  </w:footnote>
  <w:footnote w:id="8">
    <w:p w14:paraId="2640BDA7" w14:textId="77777777" w:rsidR="00CC15B8" w:rsidRDefault="00CC15B8" w:rsidP="0070589C">
      <w:pPr>
        <w:pStyle w:val="FootnoteText"/>
      </w:pPr>
      <w:r w:rsidRPr="0098602C">
        <w:rPr>
          <w:rStyle w:val="FootnoteReference"/>
          <w:sz w:val="18"/>
        </w:rPr>
        <w:footnoteRef/>
      </w:r>
      <w:r w:rsidRPr="0098602C">
        <w:rPr>
          <w:sz w:val="18"/>
        </w:rPr>
        <w:t xml:space="preserve"> For more information about program approval criteria, please see the </w:t>
      </w:r>
      <w:hyperlink r:id="rId5" w:history="1">
        <w:r w:rsidRPr="0098602C">
          <w:rPr>
            <w:rStyle w:val="Hyperlink"/>
            <w:sz w:val="18"/>
          </w:rPr>
          <w:t>Program Approval Guidelines</w:t>
        </w:r>
      </w:hyperlink>
      <w:r w:rsidRPr="0098602C">
        <w:rPr>
          <w:sz w:val="18"/>
        </w:rPr>
        <w:t>.</w:t>
      </w:r>
    </w:p>
  </w:footnote>
  <w:footnote w:id="9">
    <w:p w14:paraId="1CB88158" w14:textId="77777777" w:rsidR="00CC15B8" w:rsidRPr="0098602C" w:rsidRDefault="00CC15B8">
      <w:pPr>
        <w:pStyle w:val="FootnoteText"/>
        <w:rPr>
          <w:sz w:val="18"/>
        </w:rPr>
      </w:pPr>
      <w:r w:rsidRPr="0098602C">
        <w:rPr>
          <w:rStyle w:val="FootnoteReference"/>
          <w:sz w:val="18"/>
        </w:rPr>
        <w:footnoteRef/>
      </w:r>
      <w:r w:rsidRPr="0098602C">
        <w:rPr>
          <w:sz w:val="18"/>
        </w:rPr>
        <w:t xml:space="preserve"> Both charts in this section include data from 32 formal reviews. Of the 33 </w:t>
      </w:r>
      <w:r w:rsidR="000C46CC">
        <w:rPr>
          <w:sz w:val="18"/>
        </w:rPr>
        <w:t>SOs</w:t>
      </w:r>
      <w:r w:rsidRPr="0098602C">
        <w:rPr>
          <w:sz w:val="18"/>
        </w:rPr>
        <w:t xml:space="preserve"> that have undergone review, two underwent NCATE approval and did not receive domain ratings. One S</w:t>
      </w:r>
      <w:r w:rsidR="000C46CC">
        <w:rPr>
          <w:sz w:val="18"/>
        </w:rPr>
        <w:t>O</w:t>
      </w:r>
      <w:r w:rsidRPr="0098602C">
        <w:rPr>
          <w:sz w:val="18"/>
        </w:rPr>
        <w:t xml:space="preserve"> was reviewed in both 2014-</w:t>
      </w:r>
      <w:r w:rsidR="000C46CC">
        <w:rPr>
          <w:sz w:val="18"/>
        </w:rPr>
        <w:t>20</w:t>
      </w:r>
      <w:r w:rsidRPr="0098602C">
        <w:rPr>
          <w:sz w:val="18"/>
        </w:rPr>
        <w:t>15 and 2017-</w:t>
      </w:r>
      <w:r w:rsidR="000C46CC">
        <w:rPr>
          <w:sz w:val="18"/>
        </w:rPr>
        <w:t>20</w:t>
      </w:r>
      <w:r w:rsidRPr="0098602C">
        <w:rPr>
          <w:sz w:val="18"/>
        </w:rPr>
        <w:t>18 and the ratings from both reviews are included.</w:t>
      </w:r>
    </w:p>
  </w:footnote>
  <w:footnote w:id="10">
    <w:p w14:paraId="6D46BFFE" w14:textId="77777777" w:rsidR="00CC15B8" w:rsidRDefault="00CC15B8">
      <w:pPr>
        <w:pStyle w:val="FootnoteText"/>
      </w:pPr>
      <w:r w:rsidRPr="0098602C">
        <w:rPr>
          <w:rStyle w:val="FootnoteReference"/>
          <w:sz w:val="18"/>
        </w:rPr>
        <w:footnoteRef/>
      </w:r>
      <w:r w:rsidRPr="0098602C">
        <w:rPr>
          <w:sz w:val="18"/>
        </w:rPr>
        <w:t xml:space="preserve"> The Program Approval Criteria were modified for clarity and to reduce redundancy after the 2015-2016 review cycle. The criteria on this list remained the same for all four years, with the following exceptions: CAN 1 was formerly two criteria, one addressing recruitment and the other addressing admission. Only one SO received different criterion ratings for these criteria. This SO received a finding for their recruitment efforts, but the admission processes criteria was met. They are reflected in this data as a finding. PAR 4 was previously combined with the criterion “Partnerships positively impact the preparation of candidates.” Any SO that received a finding in either the combined criterion in 2014-2016 or PAR 4 in 2016-2018 is reflected as a finding in this chart.</w:t>
      </w:r>
    </w:p>
  </w:footnote>
  <w:footnote w:id="11">
    <w:p w14:paraId="4E4067DC" w14:textId="77777777" w:rsidR="00CC15B8" w:rsidRDefault="00CC15B8">
      <w:pPr>
        <w:pStyle w:val="FootnoteText"/>
      </w:pPr>
      <w:r w:rsidRPr="0098602C">
        <w:rPr>
          <w:rStyle w:val="FootnoteReference"/>
          <w:sz w:val="18"/>
        </w:rPr>
        <w:footnoteRef/>
      </w:r>
      <w:r w:rsidRPr="0098602C">
        <w:rPr>
          <w:sz w:val="18"/>
        </w:rPr>
        <w:t xml:space="preserve"> Prior to 2016-</w:t>
      </w:r>
      <w:r w:rsidR="000C46CC">
        <w:rPr>
          <w:sz w:val="18"/>
        </w:rPr>
        <w:t>20</w:t>
      </w:r>
      <w:r w:rsidRPr="0098602C">
        <w:rPr>
          <w:sz w:val="18"/>
        </w:rPr>
        <w:t>17, this criterion was addressed with two separate criteria, one regarding recruitment efforts and the other admission processes supporting the selection of a diverse candidate pool. Only one SO received different criterion ratings for these criteria. This SO received a finding for their recruitment efforts, but the admission processes criteria was met. They are reflected in this data as a finding.</w:t>
      </w:r>
    </w:p>
  </w:footnote>
  <w:footnote w:id="12">
    <w:p w14:paraId="17DD550A" w14:textId="77777777" w:rsidR="00CC15B8" w:rsidRDefault="00CC15B8">
      <w:pPr>
        <w:pStyle w:val="FootnoteText"/>
      </w:pPr>
      <w:r w:rsidRPr="00CD3AB0">
        <w:rPr>
          <w:rStyle w:val="FootnoteReference"/>
          <w:sz w:val="18"/>
        </w:rPr>
        <w:footnoteRef/>
      </w:r>
      <w:r w:rsidRPr="00CD3AB0">
        <w:rPr>
          <w:sz w:val="18"/>
        </w:rPr>
        <w:t xml:space="preserve"> For a full description of the rating scale used in both formal review and Stakeholder Surveys, see the </w:t>
      </w:r>
      <w:hyperlink r:id="rId6" w:history="1">
        <w:r w:rsidRPr="00CD3AB0">
          <w:rPr>
            <w:rStyle w:val="Hyperlink"/>
            <w:sz w:val="18"/>
          </w:rPr>
          <w:t>Teacher Completer Survey</w:t>
        </w:r>
      </w:hyperlink>
      <w:r w:rsidRPr="00CD3AB0">
        <w:rPr>
          <w:sz w:val="18"/>
        </w:rPr>
        <w:t>.</w:t>
      </w:r>
    </w:p>
  </w:footnote>
  <w:footnote w:id="13">
    <w:p w14:paraId="21142C9D" w14:textId="77777777" w:rsidR="00CC15B8" w:rsidRPr="0098602C" w:rsidRDefault="00CC15B8">
      <w:pPr>
        <w:pStyle w:val="FootnoteText"/>
        <w:rPr>
          <w:sz w:val="18"/>
        </w:rPr>
      </w:pPr>
      <w:r w:rsidRPr="0098602C">
        <w:rPr>
          <w:rStyle w:val="FootnoteReference"/>
          <w:sz w:val="18"/>
        </w:rPr>
        <w:footnoteRef/>
      </w:r>
      <w:r w:rsidRPr="0098602C">
        <w:rPr>
          <w:sz w:val="18"/>
        </w:rPr>
        <w:t xml:space="preserve"> This SO underwent review according to a partnership agreement with NCATE. As such, they were not given domain or criteria ratings. This report primarily provides data on the SOs who underwent the DESE formal review process in 2014-2018.</w:t>
      </w:r>
    </w:p>
  </w:footnote>
  <w:footnote w:id="14">
    <w:p w14:paraId="1E003D8E" w14:textId="77777777" w:rsidR="00CC15B8" w:rsidRDefault="00CC15B8">
      <w:pPr>
        <w:pStyle w:val="FootnoteText"/>
      </w:pPr>
      <w:r w:rsidRPr="0098602C">
        <w:rPr>
          <w:rStyle w:val="FootnoteReference"/>
          <w:sz w:val="18"/>
        </w:rPr>
        <w:footnoteRef/>
      </w:r>
      <w:r w:rsidRPr="0098602C">
        <w:rPr>
          <w:sz w:val="18"/>
        </w:rPr>
        <w:t xml:space="preserve"> See above.</w:t>
      </w:r>
    </w:p>
  </w:footnote>
  <w:footnote w:id="15">
    <w:p w14:paraId="0A46451C" w14:textId="77777777" w:rsidR="00CC15B8" w:rsidRDefault="00CC15B8">
      <w:pPr>
        <w:pStyle w:val="FootnoteText"/>
      </w:pPr>
      <w:r w:rsidRPr="0098602C">
        <w:rPr>
          <w:rStyle w:val="FootnoteReference"/>
          <w:sz w:val="18"/>
        </w:rPr>
        <w:footnoteRef/>
      </w:r>
      <w:r w:rsidRPr="0098602C">
        <w:rPr>
          <w:sz w:val="18"/>
        </w:rPr>
        <w:t xml:space="preserve"> This SO underwent review according to a partnership agreement with </w:t>
      </w:r>
      <w:r w:rsidR="00FC06EF">
        <w:rPr>
          <w:sz w:val="18"/>
        </w:rPr>
        <w:t>the Teacher Education Accreditation Council (</w:t>
      </w:r>
      <w:r w:rsidRPr="0098602C">
        <w:rPr>
          <w:sz w:val="18"/>
        </w:rPr>
        <w:t>TEAC</w:t>
      </w:r>
      <w:r w:rsidR="00FC06EF">
        <w:rPr>
          <w:sz w:val="18"/>
        </w:rPr>
        <w:t>)</w:t>
      </w:r>
      <w:r w:rsidRPr="0098602C">
        <w:rPr>
          <w:sz w:val="18"/>
        </w:rPr>
        <w:t>. Through this process, domain and criteria ratings were identified and are reflected in the above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EBA2" w14:textId="77777777" w:rsidR="00CC15B8" w:rsidRPr="00CC15B8" w:rsidRDefault="00FC06EF" w:rsidP="00CC15B8">
    <w:pPr>
      <w:pStyle w:val="Heading1"/>
      <w:rPr>
        <w:b/>
      </w:rPr>
    </w:pPr>
    <w:bookmarkStart w:id="18" w:name="_Toc531698818"/>
    <w:r>
      <w:rPr>
        <w:noProof/>
        <w:lang w:eastAsia="zh-CN"/>
      </w:rPr>
      <w:drawing>
        <wp:anchor distT="0" distB="0" distL="114300" distR="114300" simplePos="0" relativeHeight="251659264" behindDoc="1" locked="0" layoutInCell="1" allowOverlap="1" wp14:anchorId="140386DE" wp14:editId="6659B5DB">
          <wp:simplePos x="0" y="0"/>
          <wp:positionH relativeFrom="column">
            <wp:posOffset>4690663</wp:posOffset>
          </wp:positionH>
          <wp:positionV relativeFrom="paragraph">
            <wp:posOffset>-171201</wp:posOffset>
          </wp:positionV>
          <wp:extent cx="1898650" cy="923290"/>
          <wp:effectExtent l="0" t="0" r="6350" b="0"/>
          <wp:wrapThrough wrapText="bothSides">
            <wp:wrapPolygon edited="0">
              <wp:start x="1734" y="446"/>
              <wp:lineTo x="0" y="3565"/>
              <wp:lineTo x="0" y="4457"/>
              <wp:lineTo x="217" y="8468"/>
              <wp:lineTo x="1300" y="15598"/>
              <wp:lineTo x="1517" y="18718"/>
              <wp:lineTo x="3251" y="18718"/>
              <wp:lineTo x="21456" y="16490"/>
              <wp:lineTo x="21456" y="7576"/>
              <wp:lineTo x="16904" y="6239"/>
              <wp:lineTo x="3034" y="446"/>
              <wp:lineTo x="1734" y="446"/>
            </wp:wrapPolygon>
          </wp:wrapThrough>
          <wp:docPr id="40" name="Picture 17" descr="ESE star 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e.mass.edu/nmg/logo/ESELogo/Full%20Logo/695x338/Master-Logo_695x338_color.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65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5B8" w:rsidRPr="00CD3AB0">
      <w:rPr>
        <w:b/>
      </w:rPr>
      <w:t>2017-2018 Educator Preparation Formal Review Culminating Report</w:t>
    </w: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002A"/>
    <w:multiLevelType w:val="hybridMultilevel"/>
    <w:tmpl w:val="0BA065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6CA1246"/>
    <w:multiLevelType w:val="hybridMultilevel"/>
    <w:tmpl w:val="5A14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A3D47"/>
    <w:multiLevelType w:val="hybridMultilevel"/>
    <w:tmpl w:val="23B4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11DF7"/>
    <w:multiLevelType w:val="hybridMultilevel"/>
    <w:tmpl w:val="628C0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A910C3"/>
    <w:multiLevelType w:val="hybridMultilevel"/>
    <w:tmpl w:val="9DB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A1B0D"/>
    <w:multiLevelType w:val="hybridMultilevel"/>
    <w:tmpl w:val="D664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63F77"/>
    <w:multiLevelType w:val="hybridMultilevel"/>
    <w:tmpl w:val="E7E83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DD"/>
    <w:rsid w:val="0003035B"/>
    <w:rsid w:val="000330BC"/>
    <w:rsid w:val="00033C40"/>
    <w:rsid w:val="000342B7"/>
    <w:rsid w:val="000C0C0A"/>
    <w:rsid w:val="000C46CC"/>
    <w:rsid w:val="000E1575"/>
    <w:rsid w:val="000E575D"/>
    <w:rsid w:val="001313B3"/>
    <w:rsid w:val="00141B86"/>
    <w:rsid w:val="00163F59"/>
    <w:rsid w:val="00170093"/>
    <w:rsid w:val="00176080"/>
    <w:rsid w:val="00180AEB"/>
    <w:rsid w:val="00186FD9"/>
    <w:rsid w:val="00192A64"/>
    <w:rsid w:val="001A005A"/>
    <w:rsid w:val="001A08DA"/>
    <w:rsid w:val="001C0888"/>
    <w:rsid w:val="001D11F4"/>
    <w:rsid w:val="001E0EA5"/>
    <w:rsid w:val="001F6684"/>
    <w:rsid w:val="00206224"/>
    <w:rsid w:val="0022280B"/>
    <w:rsid w:val="00235A0A"/>
    <w:rsid w:val="00254ADD"/>
    <w:rsid w:val="00257B47"/>
    <w:rsid w:val="002649FA"/>
    <w:rsid w:val="00271704"/>
    <w:rsid w:val="002928F7"/>
    <w:rsid w:val="002B2F1D"/>
    <w:rsid w:val="002B717C"/>
    <w:rsid w:val="002F0927"/>
    <w:rsid w:val="0030346C"/>
    <w:rsid w:val="00307B2B"/>
    <w:rsid w:val="00315E10"/>
    <w:rsid w:val="003757BA"/>
    <w:rsid w:val="003829DE"/>
    <w:rsid w:val="00387979"/>
    <w:rsid w:val="003E775F"/>
    <w:rsid w:val="003F6654"/>
    <w:rsid w:val="00407C49"/>
    <w:rsid w:val="00436E1F"/>
    <w:rsid w:val="004527E3"/>
    <w:rsid w:val="00454ABE"/>
    <w:rsid w:val="004731D0"/>
    <w:rsid w:val="004757CD"/>
    <w:rsid w:val="00480B40"/>
    <w:rsid w:val="004B2688"/>
    <w:rsid w:val="004C0710"/>
    <w:rsid w:val="004D19CD"/>
    <w:rsid w:val="004D3EA3"/>
    <w:rsid w:val="004F1E73"/>
    <w:rsid w:val="004F6570"/>
    <w:rsid w:val="0052360C"/>
    <w:rsid w:val="005258C3"/>
    <w:rsid w:val="00530B2A"/>
    <w:rsid w:val="00534905"/>
    <w:rsid w:val="00535681"/>
    <w:rsid w:val="0054254F"/>
    <w:rsid w:val="00556571"/>
    <w:rsid w:val="005960EE"/>
    <w:rsid w:val="005A52AC"/>
    <w:rsid w:val="005D1DF1"/>
    <w:rsid w:val="005E3AB9"/>
    <w:rsid w:val="005E7DD5"/>
    <w:rsid w:val="005F13D2"/>
    <w:rsid w:val="00604A10"/>
    <w:rsid w:val="00606BED"/>
    <w:rsid w:val="0061510E"/>
    <w:rsid w:val="00644FF7"/>
    <w:rsid w:val="0064768B"/>
    <w:rsid w:val="00695318"/>
    <w:rsid w:val="006B230A"/>
    <w:rsid w:val="006B4C2B"/>
    <w:rsid w:val="006B63E5"/>
    <w:rsid w:val="006B79AE"/>
    <w:rsid w:val="006E5450"/>
    <w:rsid w:val="006E585A"/>
    <w:rsid w:val="006E6CE7"/>
    <w:rsid w:val="0070589C"/>
    <w:rsid w:val="007510A2"/>
    <w:rsid w:val="00770737"/>
    <w:rsid w:val="00773A41"/>
    <w:rsid w:val="00781AB0"/>
    <w:rsid w:val="00791ECC"/>
    <w:rsid w:val="00794961"/>
    <w:rsid w:val="00797C08"/>
    <w:rsid w:val="007B750C"/>
    <w:rsid w:val="008222F5"/>
    <w:rsid w:val="00846508"/>
    <w:rsid w:val="0084756B"/>
    <w:rsid w:val="00860F32"/>
    <w:rsid w:val="008A041B"/>
    <w:rsid w:val="008A7FB2"/>
    <w:rsid w:val="008B3586"/>
    <w:rsid w:val="008B396E"/>
    <w:rsid w:val="008D34BC"/>
    <w:rsid w:val="008E2392"/>
    <w:rsid w:val="008E6845"/>
    <w:rsid w:val="00931AFF"/>
    <w:rsid w:val="00956EE1"/>
    <w:rsid w:val="0098602C"/>
    <w:rsid w:val="009A2669"/>
    <w:rsid w:val="009C2B23"/>
    <w:rsid w:val="009C5494"/>
    <w:rsid w:val="009E4776"/>
    <w:rsid w:val="00A00C18"/>
    <w:rsid w:val="00A0771B"/>
    <w:rsid w:val="00A233DC"/>
    <w:rsid w:val="00A24620"/>
    <w:rsid w:val="00A248BB"/>
    <w:rsid w:val="00A46786"/>
    <w:rsid w:val="00A4693E"/>
    <w:rsid w:val="00A52F8A"/>
    <w:rsid w:val="00A5384A"/>
    <w:rsid w:val="00A66E87"/>
    <w:rsid w:val="00AF1806"/>
    <w:rsid w:val="00B20E76"/>
    <w:rsid w:val="00B25EC9"/>
    <w:rsid w:val="00B6785B"/>
    <w:rsid w:val="00BA4C11"/>
    <w:rsid w:val="00BB0DF0"/>
    <w:rsid w:val="00BD1523"/>
    <w:rsid w:val="00BD7B85"/>
    <w:rsid w:val="00BE09C5"/>
    <w:rsid w:val="00BE0D1F"/>
    <w:rsid w:val="00BF4DE9"/>
    <w:rsid w:val="00C05D80"/>
    <w:rsid w:val="00C247D3"/>
    <w:rsid w:val="00C31093"/>
    <w:rsid w:val="00C4331F"/>
    <w:rsid w:val="00C56B57"/>
    <w:rsid w:val="00C71118"/>
    <w:rsid w:val="00C92B0D"/>
    <w:rsid w:val="00CC15B8"/>
    <w:rsid w:val="00CC48F9"/>
    <w:rsid w:val="00CD0577"/>
    <w:rsid w:val="00CD3AB0"/>
    <w:rsid w:val="00CE3724"/>
    <w:rsid w:val="00D05D3B"/>
    <w:rsid w:val="00D10DC4"/>
    <w:rsid w:val="00D1154F"/>
    <w:rsid w:val="00D218FA"/>
    <w:rsid w:val="00D3013F"/>
    <w:rsid w:val="00D67CCF"/>
    <w:rsid w:val="00D72EE8"/>
    <w:rsid w:val="00D73FA1"/>
    <w:rsid w:val="00D74F40"/>
    <w:rsid w:val="00DA6DB5"/>
    <w:rsid w:val="00E04ED5"/>
    <w:rsid w:val="00E25620"/>
    <w:rsid w:val="00E46EDA"/>
    <w:rsid w:val="00E52B44"/>
    <w:rsid w:val="00E64F6E"/>
    <w:rsid w:val="00E742E9"/>
    <w:rsid w:val="00E90B25"/>
    <w:rsid w:val="00E94E71"/>
    <w:rsid w:val="00EB20C9"/>
    <w:rsid w:val="00EC137D"/>
    <w:rsid w:val="00EC20AB"/>
    <w:rsid w:val="00EF2152"/>
    <w:rsid w:val="00F00A87"/>
    <w:rsid w:val="00F17E34"/>
    <w:rsid w:val="00F35244"/>
    <w:rsid w:val="00F555BB"/>
    <w:rsid w:val="00F750A6"/>
    <w:rsid w:val="00F96E76"/>
    <w:rsid w:val="00FA4849"/>
    <w:rsid w:val="00FC06EF"/>
    <w:rsid w:val="00FE3755"/>
    <w:rsid w:val="00FF0A72"/>
    <w:rsid w:val="00FF55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A5B4"/>
  <w15:chartTrackingRefBased/>
  <w15:docId w15:val="{26794426-6885-4289-9F51-A3C9FEAF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A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0A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4E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ADD"/>
    <w:pPr>
      <w:ind w:left="720"/>
      <w:contextualSpacing/>
    </w:pPr>
  </w:style>
  <w:style w:type="paragraph" w:styleId="Caption">
    <w:name w:val="caption"/>
    <w:basedOn w:val="Normal"/>
    <w:next w:val="Normal"/>
    <w:uiPriority w:val="35"/>
    <w:unhideWhenUsed/>
    <w:qFormat/>
    <w:rsid w:val="00180AEB"/>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180A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0AE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180AEB"/>
    <w:pPr>
      <w:outlineLvl w:val="9"/>
    </w:pPr>
  </w:style>
  <w:style w:type="paragraph" w:styleId="TOC1">
    <w:name w:val="toc 1"/>
    <w:basedOn w:val="Normal"/>
    <w:next w:val="Normal"/>
    <w:autoRedefine/>
    <w:uiPriority w:val="39"/>
    <w:unhideWhenUsed/>
    <w:rsid w:val="00180AEB"/>
    <w:pPr>
      <w:spacing w:after="100"/>
    </w:pPr>
  </w:style>
  <w:style w:type="paragraph" w:styleId="TOC2">
    <w:name w:val="toc 2"/>
    <w:basedOn w:val="Normal"/>
    <w:next w:val="Normal"/>
    <w:autoRedefine/>
    <w:uiPriority w:val="39"/>
    <w:unhideWhenUsed/>
    <w:rsid w:val="00180AEB"/>
    <w:pPr>
      <w:spacing w:after="100"/>
      <w:ind w:left="220"/>
    </w:pPr>
  </w:style>
  <w:style w:type="character" w:styleId="Hyperlink">
    <w:name w:val="Hyperlink"/>
    <w:basedOn w:val="DefaultParagraphFont"/>
    <w:uiPriority w:val="99"/>
    <w:unhideWhenUsed/>
    <w:rsid w:val="00180AEB"/>
    <w:rPr>
      <w:color w:val="0563C1" w:themeColor="hyperlink"/>
      <w:u w:val="single"/>
    </w:rPr>
  </w:style>
  <w:style w:type="paragraph" w:styleId="FootnoteText">
    <w:name w:val="footnote text"/>
    <w:basedOn w:val="Normal"/>
    <w:link w:val="FootnoteTextChar"/>
    <w:uiPriority w:val="99"/>
    <w:semiHidden/>
    <w:unhideWhenUsed/>
    <w:rsid w:val="00E94E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E71"/>
    <w:rPr>
      <w:sz w:val="20"/>
      <w:szCs w:val="20"/>
    </w:rPr>
  </w:style>
  <w:style w:type="character" w:styleId="FootnoteReference">
    <w:name w:val="footnote reference"/>
    <w:basedOn w:val="DefaultParagraphFont"/>
    <w:uiPriority w:val="99"/>
    <w:semiHidden/>
    <w:unhideWhenUsed/>
    <w:rsid w:val="00E94E71"/>
    <w:rPr>
      <w:vertAlign w:val="superscript"/>
    </w:rPr>
  </w:style>
  <w:style w:type="character" w:customStyle="1" w:styleId="Heading3Char">
    <w:name w:val="Heading 3 Char"/>
    <w:basedOn w:val="DefaultParagraphFont"/>
    <w:link w:val="Heading3"/>
    <w:uiPriority w:val="9"/>
    <w:semiHidden/>
    <w:rsid w:val="00E94E71"/>
    <w:rPr>
      <w:rFonts w:asciiTheme="majorHAnsi" w:eastAsiaTheme="majorEastAsia" w:hAnsiTheme="majorHAnsi" w:cstheme="majorBidi"/>
      <w:color w:val="1F4D78" w:themeColor="accent1" w:themeShade="7F"/>
      <w:sz w:val="24"/>
      <w:szCs w:val="24"/>
    </w:rPr>
  </w:style>
  <w:style w:type="paragraph" w:styleId="NoSpacing">
    <w:name w:val="No Spacing"/>
    <w:basedOn w:val="Caption"/>
    <w:uiPriority w:val="1"/>
    <w:qFormat/>
    <w:rsid w:val="00E94E71"/>
    <w:pPr>
      <w:keepNext/>
      <w:spacing w:after="0"/>
    </w:pPr>
    <w:rPr>
      <w:rFonts w:ascii="Calibri" w:eastAsia="Calibri" w:hAnsi="Calibri" w:cs="Times New Roman"/>
      <w:b/>
      <w:bCs/>
      <w:i w:val="0"/>
      <w:iCs w:val="0"/>
      <w:color w:val="auto"/>
      <w:sz w:val="20"/>
      <w:szCs w:val="20"/>
    </w:rPr>
  </w:style>
  <w:style w:type="table" w:styleId="TableGrid">
    <w:name w:val="Table Grid"/>
    <w:basedOn w:val="TableNormal"/>
    <w:uiPriority w:val="39"/>
    <w:rsid w:val="00EB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0EA5"/>
    <w:rPr>
      <w:sz w:val="16"/>
      <w:szCs w:val="16"/>
    </w:rPr>
  </w:style>
  <w:style w:type="paragraph" w:styleId="CommentText">
    <w:name w:val="annotation text"/>
    <w:basedOn w:val="Normal"/>
    <w:link w:val="CommentTextChar"/>
    <w:uiPriority w:val="99"/>
    <w:semiHidden/>
    <w:unhideWhenUsed/>
    <w:rsid w:val="001E0EA5"/>
    <w:pPr>
      <w:spacing w:line="240" w:lineRule="auto"/>
    </w:pPr>
    <w:rPr>
      <w:sz w:val="20"/>
      <w:szCs w:val="20"/>
    </w:rPr>
  </w:style>
  <w:style w:type="character" w:customStyle="1" w:styleId="CommentTextChar">
    <w:name w:val="Comment Text Char"/>
    <w:basedOn w:val="DefaultParagraphFont"/>
    <w:link w:val="CommentText"/>
    <w:uiPriority w:val="99"/>
    <w:semiHidden/>
    <w:rsid w:val="001E0EA5"/>
    <w:rPr>
      <w:sz w:val="20"/>
      <w:szCs w:val="20"/>
    </w:rPr>
  </w:style>
  <w:style w:type="paragraph" w:styleId="CommentSubject">
    <w:name w:val="annotation subject"/>
    <w:basedOn w:val="CommentText"/>
    <w:next w:val="CommentText"/>
    <w:link w:val="CommentSubjectChar"/>
    <w:uiPriority w:val="99"/>
    <w:semiHidden/>
    <w:unhideWhenUsed/>
    <w:rsid w:val="001E0EA5"/>
    <w:rPr>
      <w:b/>
      <w:bCs/>
    </w:rPr>
  </w:style>
  <w:style w:type="character" w:customStyle="1" w:styleId="CommentSubjectChar">
    <w:name w:val="Comment Subject Char"/>
    <w:basedOn w:val="CommentTextChar"/>
    <w:link w:val="CommentSubject"/>
    <w:uiPriority w:val="99"/>
    <w:semiHidden/>
    <w:rsid w:val="001E0EA5"/>
    <w:rPr>
      <w:b/>
      <w:bCs/>
      <w:sz w:val="20"/>
      <w:szCs w:val="20"/>
    </w:rPr>
  </w:style>
  <w:style w:type="paragraph" w:styleId="BalloonText">
    <w:name w:val="Balloon Text"/>
    <w:basedOn w:val="Normal"/>
    <w:link w:val="BalloonTextChar"/>
    <w:uiPriority w:val="99"/>
    <w:semiHidden/>
    <w:unhideWhenUsed/>
    <w:rsid w:val="001E0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EA5"/>
    <w:rPr>
      <w:rFonts w:ascii="Segoe UI" w:hAnsi="Segoe UI" w:cs="Segoe UI"/>
      <w:sz w:val="18"/>
      <w:szCs w:val="18"/>
    </w:rPr>
  </w:style>
  <w:style w:type="character" w:styleId="FollowedHyperlink">
    <w:name w:val="FollowedHyperlink"/>
    <w:basedOn w:val="DefaultParagraphFont"/>
    <w:uiPriority w:val="99"/>
    <w:semiHidden/>
    <w:unhideWhenUsed/>
    <w:rsid w:val="00B25EC9"/>
    <w:rPr>
      <w:color w:val="954F72" w:themeColor="followedHyperlink"/>
      <w:u w:val="single"/>
    </w:rPr>
  </w:style>
  <w:style w:type="paragraph" w:styleId="Header">
    <w:name w:val="header"/>
    <w:basedOn w:val="Normal"/>
    <w:link w:val="HeaderChar"/>
    <w:uiPriority w:val="99"/>
    <w:unhideWhenUsed/>
    <w:rsid w:val="00CC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5B8"/>
  </w:style>
  <w:style w:type="paragraph" w:styleId="Footer">
    <w:name w:val="footer"/>
    <w:basedOn w:val="Normal"/>
    <w:link w:val="FooterChar"/>
    <w:uiPriority w:val="99"/>
    <w:unhideWhenUsed/>
    <w:rsid w:val="00CC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46035">
      <w:bodyDiv w:val="1"/>
      <w:marLeft w:val="0"/>
      <w:marRight w:val="0"/>
      <w:marTop w:val="0"/>
      <w:marBottom w:val="0"/>
      <w:divBdr>
        <w:top w:val="none" w:sz="0" w:space="0" w:color="auto"/>
        <w:left w:val="none" w:sz="0" w:space="0" w:color="auto"/>
        <w:bottom w:val="none" w:sz="0" w:space="0" w:color="auto"/>
        <w:right w:val="none" w:sz="0" w:space="0" w:color="auto"/>
      </w:divBdr>
    </w:div>
    <w:div w:id="592976689">
      <w:bodyDiv w:val="1"/>
      <w:marLeft w:val="0"/>
      <w:marRight w:val="0"/>
      <w:marTop w:val="0"/>
      <w:marBottom w:val="0"/>
      <w:divBdr>
        <w:top w:val="none" w:sz="0" w:space="0" w:color="auto"/>
        <w:left w:val="none" w:sz="0" w:space="0" w:color="auto"/>
        <w:bottom w:val="none" w:sz="0" w:space="0" w:color="auto"/>
        <w:right w:val="none" w:sz="0" w:space="0" w:color="auto"/>
      </w:divBdr>
    </w:div>
    <w:div w:id="1312835043">
      <w:bodyDiv w:val="1"/>
      <w:marLeft w:val="0"/>
      <w:marRight w:val="0"/>
      <w:marTop w:val="0"/>
      <w:marBottom w:val="0"/>
      <w:divBdr>
        <w:top w:val="none" w:sz="0" w:space="0" w:color="auto"/>
        <w:left w:val="none" w:sz="0" w:space="0" w:color="auto"/>
        <w:bottom w:val="none" w:sz="0" w:space="0" w:color="auto"/>
        <w:right w:val="none" w:sz="0" w:space="0" w:color="auto"/>
      </w:divBdr>
    </w:div>
    <w:div w:id="17159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ProgramApproval.pdf" TargetMode="External"/><Relationship Id="rId18" Type="http://schemas.openxmlformats.org/officeDocument/2006/relationships/image" Target="media/image4.png"/><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yperlink" Target="https://www.doe.mass.edu/rlo/edprep/cap-supervisor/story.html" TargetMode="External"/><Relationship Id="rId7" Type="http://schemas.openxmlformats.org/officeDocument/2006/relationships/styles" Target="styles.xml"/><Relationship Id="rId12" Type="http://schemas.openxmlformats.org/officeDocument/2006/relationships/hyperlink" Target="http://www.doe.mass.edu/edprep/toolkit/1819/criterialist.pdf" TargetMode="External"/><Relationship Id="rId17" Type="http://schemas.openxmlformats.org/officeDocument/2006/relationships/image" Target="media/image3.png"/><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doe.mass.edu/edprep/resources/teacher-educator.html" TargetMode="External"/><Relationship Id="rId28" Type="http://schemas.openxmlformats.org/officeDocument/2006/relationships/chart" Target="charts/chart4.xml"/><Relationship Id="rId10" Type="http://schemas.openxmlformats.org/officeDocument/2006/relationships/footnotes" Target="footnotes.xml"/><Relationship Id="rId19" Type="http://schemas.openxmlformats.org/officeDocument/2006/relationships/hyperlink" Target="http://www.doe.mass.edu/lawsregs/603cmr7.html?section=03"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prep/toolkit/1819/impact-advisory-evidence.pdf" TargetMode="External"/><Relationship Id="rId22" Type="http://schemas.openxmlformats.org/officeDocument/2006/relationships/hyperlink" Target="http://www.doe.mass.edu/edprep/cap/resources.html" TargetMode="External"/><Relationship Id="rId27" Type="http://schemas.openxmlformats.org/officeDocument/2006/relationships/hyperlink" Target="http://www.doe.mass.edu/edprep/toolkit/1819/impact-advisory-evidence.pdf"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edprep/ProgramApproval.pdf" TargetMode="External"/><Relationship Id="rId2" Type="http://schemas.openxmlformats.org/officeDocument/2006/relationships/hyperlink" Target="http://www.doe.mass.edu/edprep/ProgramApproval.pdf" TargetMode="External"/><Relationship Id="rId1" Type="http://schemas.openxmlformats.org/officeDocument/2006/relationships/hyperlink" Target="http://www.doe.mass.edu/edprep/toolkit/1718/Advisory-NeedsAssessment.pdf" TargetMode="External"/><Relationship Id="rId6" Type="http://schemas.openxmlformats.org/officeDocument/2006/relationships/hyperlink" Target="http://www.doe.mass.edu/edprep/surveys/TeacherCompleter.pdf" TargetMode="External"/><Relationship Id="rId5" Type="http://schemas.openxmlformats.org/officeDocument/2006/relationships/hyperlink" Target="http://www.doe.mass.edu/edprep/ProgramApproval.pdf" TargetMode="External"/><Relationship Id="rId4" Type="http://schemas.openxmlformats.org/officeDocument/2006/relationships/hyperlink" Target="http://www.doe.mass.edu/edprep/advisories/partnership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ESE-FPS-MAL-002.doe.mass.edu\HOME\lzorich\Ed%20Prep%20Projects\Culminating%20report\CR%202018--Criteria--Upd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E-FPS-MAL-002.doe.mass.edu\HOME\lzorich\Ed%20Prep%20Projects\Culminating%20report\Formal%20Review%20Report--Holbrook--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E-FPS-MAL-002.doe.mass.edu\HOME\lzorich\Ed%20Prep%20Projects\Culminating%20report\Formal%20Review%20Report--Holbrook--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SE-FPS-MAL-002.doe.mass.edu\HOME\lzorich\Ed%20Prep%20Projects\Culminating%20report\Formal%20Review%20Report--Holbrook--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Sheet2!$B$1</c:f>
              <c:strCache>
                <c:ptCount val="1"/>
                <c:pt idx="0">
                  <c:v>Finding</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FBE 3: Field-based experiences are fully embedded in program coursework such that connections between theory and practice are explicit. </c:v>
                </c:pt>
                <c:pt idx="1">
                  <c:v>FBE 6: Candidates participate in field-based experiences that cover the full academic year.</c:v>
                </c:pt>
                <c:pt idx="2">
                  <c:v>FBE 8: Supervising Practitioner qualifications meet regulatory requirements set forth in 603 CMR 7.02 and in Guidelines for Program Approval. </c:v>
                </c:pt>
                <c:pt idx="3">
                  <c:v>FBE 1: Practicum hours meet regulatory requirements as per 603 CMR 7.04 (4)</c:v>
                </c:pt>
              </c:strCache>
            </c:strRef>
          </c:cat>
          <c:val>
            <c:numRef>
              <c:f>Sheet2!$B$2:$B$5</c:f>
              <c:numCache>
                <c:formatCode>General</c:formatCode>
                <c:ptCount val="4"/>
                <c:pt idx="0">
                  <c:v>4</c:v>
                </c:pt>
                <c:pt idx="1">
                  <c:v>4</c:v>
                </c:pt>
                <c:pt idx="2">
                  <c:v>2</c:v>
                </c:pt>
                <c:pt idx="3">
                  <c:v>1</c:v>
                </c:pt>
              </c:numCache>
            </c:numRef>
          </c:val>
          <c:extLst>
            <c:ext xmlns:c16="http://schemas.microsoft.com/office/drawing/2014/chart" uri="{C3380CC4-5D6E-409C-BE32-E72D297353CC}">
              <c16:uniqueId val="{00000000-1D61-4834-AB98-318529894FBD}"/>
            </c:ext>
          </c:extLst>
        </c:ser>
        <c:ser>
          <c:idx val="1"/>
          <c:order val="1"/>
          <c:tx>
            <c:strRef>
              <c:f>Sheet2!$C$1</c:f>
              <c:strCache>
                <c:ptCount val="1"/>
                <c:pt idx="0">
                  <c:v>Met</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FBE 3: Field-based experiences are fully embedded in program coursework such that connections between theory and practice are explicit. </c:v>
                </c:pt>
                <c:pt idx="1">
                  <c:v>FBE 6: Candidates participate in field-based experiences that cover the full academic year.</c:v>
                </c:pt>
                <c:pt idx="2">
                  <c:v>FBE 8: Supervising Practitioner qualifications meet regulatory requirements set forth in 603 CMR 7.02 and in Guidelines for Program Approval. </c:v>
                </c:pt>
                <c:pt idx="3">
                  <c:v>FBE 1: Practicum hours meet regulatory requirements as per 603 CMR 7.04 (4)</c:v>
                </c:pt>
              </c:strCache>
            </c:strRef>
          </c:cat>
          <c:val>
            <c:numRef>
              <c:f>Sheet2!$C$2:$C$5</c:f>
              <c:numCache>
                <c:formatCode>General</c:formatCode>
                <c:ptCount val="4"/>
                <c:pt idx="0">
                  <c:v>25</c:v>
                </c:pt>
                <c:pt idx="1">
                  <c:v>22</c:v>
                </c:pt>
                <c:pt idx="2">
                  <c:v>27</c:v>
                </c:pt>
                <c:pt idx="3">
                  <c:v>29</c:v>
                </c:pt>
              </c:numCache>
            </c:numRef>
          </c:val>
          <c:extLst>
            <c:ext xmlns:c16="http://schemas.microsoft.com/office/drawing/2014/chart" uri="{C3380CC4-5D6E-409C-BE32-E72D297353CC}">
              <c16:uniqueId val="{00000001-1D61-4834-AB98-318529894FBD}"/>
            </c:ext>
          </c:extLst>
        </c:ser>
        <c:ser>
          <c:idx val="2"/>
          <c:order val="2"/>
          <c:tx>
            <c:strRef>
              <c:f>Sheet2!$D$1</c:f>
              <c:strCache>
                <c:ptCount val="1"/>
                <c:pt idx="0">
                  <c:v>Commendation</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FBE 3: Field-based experiences are fully embedded in program coursework such that connections between theory and practice are explicit. </c:v>
                </c:pt>
                <c:pt idx="1">
                  <c:v>FBE 6: Candidates participate in field-based experiences that cover the full academic year.</c:v>
                </c:pt>
                <c:pt idx="2">
                  <c:v>FBE 8: Supervising Practitioner qualifications meet regulatory requirements set forth in 603 CMR 7.02 and in Guidelines for Program Approval. </c:v>
                </c:pt>
                <c:pt idx="3">
                  <c:v>FBE 1: Practicum hours meet regulatory requirements as per 603 CMR 7.04 (4)</c:v>
                </c:pt>
              </c:strCache>
            </c:strRef>
          </c:cat>
          <c:val>
            <c:numRef>
              <c:f>Sheet2!$D$2:$D$5</c:f>
              <c:numCache>
                <c:formatCode>General</c:formatCode>
                <c:ptCount val="4"/>
                <c:pt idx="0">
                  <c:v>1</c:v>
                </c:pt>
                <c:pt idx="1">
                  <c:v>4</c:v>
                </c:pt>
                <c:pt idx="2">
                  <c:v>1</c:v>
                </c:pt>
              </c:numCache>
            </c:numRef>
          </c:val>
          <c:extLst>
            <c:ext xmlns:c16="http://schemas.microsoft.com/office/drawing/2014/chart" uri="{C3380CC4-5D6E-409C-BE32-E72D297353CC}">
              <c16:uniqueId val="{00000002-1D61-4834-AB98-318529894FBD}"/>
            </c:ext>
          </c:extLst>
        </c:ser>
        <c:dLbls>
          <c:showLegendKey val="0"/>
          <c:showVal val="1"/>
          <c:showCatName val="0"/>
          <c:showSerName val="0"/>
          <c:showPercent val="0"/>
          <c:showBubbleSize val="0"/>
        </c:dLbls>
        <c:gapWidth val="75"/>
        <c:overlap val="100"/>
        <c:axId val="385867376"/>
        <c:axId val="385860304"/>
      </c:barChart>
      <c:catAx>
        <c:axId val="385867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860304"/>
        <c:crosses val="autoZero"/>
        <c:auto val="1"/>
        <c:lblAlgn val="ctr"/>
        <c:lblOffset val="100"/>
        <c:noMultiLvlLbl val="0"/>
      </c:catAx>
      <c:valAx>
        <c:axId val="385860304"/>
        <c:scaling>
          <c:orientation val="minMax"/>
        </c:scaling>
        <c:delete val="1"/>
        <c:axPos val="b"/>
        <c:numFmt formatCode="General" sourceLinked="1"/>
        <c:majorTickMark val="none"/>
        <c:minorTickMark val="none"/>
        <c:tickLblPos val="nextTo"/>
        <c:crossAx val="38586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How confident</a:t>
            </a:r>
            <a:r>
              <a:rPr lang="en-US" sz="1100" baseline="0"/>
              <a:t> a</a:t>
            </a:r>
            <a:r>
              <a:rPr lang="en-US" sz="1100"/>
              <a:t>re you that the judgments made were consistent and calibrated</a:t>
            </a:r>
            <a:r>
              <a:rPr lang="en-US" sz="1100" baseline="0"/>
              <a:t> with those in other organizations in the state?</a:t>
            </a:r>
            <a:endParaRPr lang="en-US" sz="1100"/>
          </a:p>
        </c:rich>
      </c:tx>
      <c:layout>
        <c:manualLayout>
          <c:xMode val="edge"/>
          <c:yMode val="edge"/>
          <c:x val="0.11713888888888892"/>
          <c:y val="9.25925925925925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2"/>
          <c:order val="0"/>
          <c:tx>
            <c:strRef>
              <c:f>Consistent!$A$8</c:f>
              <c:strCache>
                <c:ptCount val="1"/>
                <c:pt idx="0">
                  <c:v>High Confidence Level</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Consistent!$B$5:$C$5</c:f>
              <c:strCache>
                <c:ptCount val="2"/>
                <c:pt idx="0">
                  <c:v>Reviewers (n=148)</c:v>
                </c:pt>
                <c:pt idx="1">
                  <c:v>Sponsoring Organizations (n=32)</c:v>
                </c:pt>
              </c:strCache>
            </c:strRef>
          </c:cat>
          <c:val>
            <c:numRef>
              <c:f>Consistent!$B$8:$C$8</c:f>
              <c:numCache>
                <c:formatCode>0%</c:formatCode>
                <c:ptCount val="2"/>
                <c:pt idx="0">
                  <c:v>0.87160000000000004</c:v>
                </c:pt>
                <c:pt idx="1">
                  <c:v>0.65629999999999999</c:v>
                </c:pt>
              </c:numCache>
            </c:numRef>
          </c:val>
          <c:extLst>
            <c:ext xmlns:c16="http://schemas.microsoft.com/office/drawing/2014/chart" uri="{C3380CC4-5D6E-409C-BE32-E72D297353CC}">
              <c16:uniqueId val="{00000000-A137-4643-A9D5-410360985DC8}"/>
            </c:ext>
          </c:extLst>
        </c:ser>
        <c:ser>
          <c:idx val="1"/>
          <c:order val="1"/>
          <c:tx>
            <c:strRef>
              <c:f>Consistent!$A$7</c:f>
              <c:strCache>
                <c:ptCount val="1"/>
                <c:pt idx="0">
                  <c:v>Medium Confidence Level</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Consistent!$B$5:$C$5</c:f>
              <c:strCache>
                <c:ptCount val="2"/>
                <c:pt idx="0">
                  <c:v>Reviewers (n=148)</c:v>
                </c:pt>
                <c:pt idx="1">
                  <c:v>Sponsoring Organizations (n=32)</c:v>
                </c:pt>
              </c:strCache>
            </c:strRef>
          </c:cat>
          <c:val>
            <c:numRef>
              <c:f>Consistent!$B$7:$C$7</c:f>
              <c:numCache>
                <c:formatCode>0%</c:formatCode>
                <c:ptCount val="2"/>
                <c:pt idx="0">
                  <c:v>0.12839999999999999</c:v>
                </c:pt>
                <c:pt idx="1">
                  <c:v>0.1875</c:v>
                </c:pt>
              </c:numCache>
            </c:numRef>
          </c:val>
          <c:extLst>
            <c:ext xmlns:c16="http://schemas.microsoft.com/office/drawing/2014/chart" uri="{C3380CC4-5D6E-409C-BE32-E72D297353CC}">
              <c16:uniqueId val="{00000001-A137-4643-A9D5-410360985DC8}"/>
            </c:ext>
          </c:extLst>
        </c:ser>
        <c:ser>
          <c:idx val="0"/>
          <c:order val="2"/>
          <c:tx>
            <c:strRef>
              <c:f>Consistent!$A$6</c:f>
              <c:strCache>
                <c:ptCount val="1"/>
                <c:pt idx="0">
                  <c:v>Low Confidence Level</c:v>
                </c:pt>
              </c:strCache>
            </c:strRef>
          </c:tx>
          <c:spPr>
            <a:solidFill>
              <a:schemeClr val="accent2">
                <a:lumMod val="40000"/>
                <a:lumOff val="6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A137-4643-A9D5-410360985DC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Consistent!$B$5:$C$5</c:f>
              <c:strCache>
                <c:ptCount val="2"/>
                <c:pt idx="0">
                  <c:v>Reviewers (n=148)</c:v>
                </c:pt>
                <c:pt idx="1">
                  <c:v>Sponsoring Organizations (n=32)</c:v>
                </c:pt>
              </c:strCache>
            </c:strRef>
          </c:cat>
          <c:val>
            <c:numRef>
              <c:f>Consistent!$B$6:$C$6</c:f>
              <c:numCache>
                <c:formatCode>0%</c:formatCode>
                <c:ptCount val="2"/>
                <c:pt idx="0">
                  <c:v>0</c:v>
                </c:pt>
                <c:pt idx="1">
                  <c:v>0.15629999999999999</c:v>
                </c:pt>
              </c:numCache>
            </c:numRef>
          </c:val>
          <c:extLst>
            <c:ext xmlns:c16="http://schemas.microsoft.com/office/drawing/2014/chart" uri="{C3380CC4-5D6E-409C-BE32-E72D297353CC}">
              <c16:uniqueId val="{00000003-A137-4643-A9D5-410360985DC8}"/>
            </c:ext>
          </c:extLst>
        </c:ser>
        <c:dLbls>
          <c:showLegendKey val="0"/>
          <c:showVal val="1"/>
          <c:showCatName val="0"/>
          <c:showSerName val="0"/>
          <c:showPercent val="0"/>
          <c:showBubbleSize val="0"/>
        </c:dLbls>
        <c:gapWidth val="75"/>
        <c:overlap val="100"/>
        <c:axId val="1462378720"/>
        <c:axId val="1462387456"/>
      </c:barChart>
      <c:catAx>
        <c:axId val="1462378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2387456"/>
        <c:crosses val="autoZero"/>
        <c:auto val="1"/>
        <c:lblAlgn val="ctr"/>
        <c:lblOffset val="100"/>
        <c:noMultiLvlLbl val="0"/>
      </c:catAx>
      <c:valAx>
        <c:axId val="1462387456"/>
        <c:scaling>
          <c:orientation val="minMax"/>
        </c:scaling>
        <c:delete val="1"/>
        <c:axPos val="b"/>
        <c:numFmt formatCode="0%" sourceLinked="1"/>
        <c:majorTickMark val="none"/>
        <c:minorTickMark val="none"/>
        <c:tickLblPos val="nextTo"/>
        <c:crossAx val="146237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 judgments made in the report were based on evidence.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4"/>
          <c:order val="0"/>
          <c:tx>
            <c:strRef>
              <c:f>Sheet3!$A$9</c:f>
              <c:strCache>
                <c:ptCount val="1"/>
                <c:pt idx="0">
                  <c:v>Agree </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Sheet3!$B$4:$C$4</c:f>
              <c:strCache>
                <c:ptCount val="2"/>
                <c:pt idx="0">
                  <c:v>Reviewers (n=148)</c:v>
                </c:pt>
                <c:pt idx="1">
                  <c:v>Sponsoring Organizations (n=32)</c:v>
                </c:pt>
              </c:strCache>
            </c:strRef>
          </c:cat>
          <c:val>
            <c:numRef>
              <c:f>Sheet3!$B$9:$C$9</c:f>
              <c:numCache>
                <c:formatCode>0%</c:formatCode>
                <c:ptCount val="2"/>
                <c:pt idx="0">
                  <c:v>0.84563758389261745</c:v>
                </c:pt>
                <c:pt idx="1">
                  <c:v>0.375</c:v>
                </c:pt>
              </c:numCache>
            </c:numRef>
          </c:val>
          <c:extLst>
            <c:ext xmlns:c16="http://schemas.microsoft.com/office/drawing/2014/chart" uri="{C3380CC4-5D6E-409C-BE32-E72D297353CC}">
              <c16:uniqueId val="{00000000-EBF5-4483-8C34-0A68D1D97F28}"/>
            </c:ext>
          </c:extLst>
        </c:ser>
        <c:ser>
          <c:idx val="3"/>
          <c:order val="1"/>
          <c:tx>
            <c:strRef>
              <c:f>Sheet3!$A$8</c:f>
              <c:strCache>
                <c:ptCount val="1"/>
                <c:pt idx="0">
                  <c:v>Somewhat Agree </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Sheet3!$B$4:$C$4</c:f>
              <c:strCache>
                <c:ptCount val="2"/>
                <c:pt idx="0">
                  <c:v>Reviewers (n=148)</c:v>
                </c:pt>
                <c:pt idx="1">
                  <c:v>Sponsoring Organizations (n=32)</c:v>
                </c:pt>
              </c:strCache>
            </c:strRef>
          </c:cat>
          <c:val>
            <c:numRef>
              <c:f>Sheet3!$B$8:$C$8</c:f>
              <c:numCache>
                <c:formatCode>0%</c:formatCode>
                <c:ptCount val="2"/>
                <c:pt idx="0">
                  <c:v>0.11409395973154363</c:v>
                </c:pt>
                <c:pt idx="1">
                  <c:v>0.28125</c:v>
                </c:pt>
              </c:numCache>
            </c:numRef>
          </c:val>
          <c:extLst>
            <c:ext xmlns:c16="http://schemas.microsoft.com/office/drawing/2014/chart" uri="{C3380CC4-5D6E-409C-BE32-E72D297353CC}">
              <c16:uniqueId val="{00000001-EBF5-4483-8C34-0A68D1D97F28}"/>
            </c:ext>
          </c:extLst>
        </c:ser>
        <c:ser>
          <c:idx val="2"/>
          <c:order val="2"/>
          <c:tx>
            <c:strRef>
              <c:f>Sheet3!$A$7</c:f>
              <c:strCache>
                <c:ptCount val="1"/>
                <c:pt idx="0">
                  <c:v>Neutral </c:v>
                </c:pt>
              </c:strCache>
            </c:strRef>
          </c:tx>
          <c:spPr>
            <a:solidFill>
              <a:schemeClr val="bg1">
                <a:lumMod val="75000"/>
              </a:schemeClr>
            </a:solidFill>
            <a:ln>
              <a:noFill/>
            </a:ln>
            <a:effectLst/>
          </c:spPr>
          <c:invertIfNegative val="0"/>
          <c:dLbls>
            <c:dLbl>
              <c:idx val="0"/>
              <c:layout>
                <c:manualLayout>
                  <c:x val="-2.9357291876976915E-2"/>
                  <c:y val="-0.1373359782886490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F5-4483-8C34-0A68D1D97F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Sheet3!$B$4:$C$4</c:f>
              <c:strCache>
                <c:ptCount val="2"/>
                <c:pt idx="0">
                  <c:v>Reviewers (n=148)</c:v>
                </c:pt>
                <c:pt idx="1">
                  <c:v>Sponsoring Organizations (n=32)</c:v>
                </c:pt>
              </c:strCache>
            </c:strRef>
          </c:cat>
          <c:val>
            <c:numRef>
              <c:f>Sheet3!$B$7:$C$7</c:f>
              <c:numCache>
                <c:formatCode>General</c:formatCode>
                <c:ptCount val="2"/>
                <c:pt idx="0" formatCode="0%">
                  <c:v>1.3422818791946308E-2</c:v>
                </c:pt>
              </c:numCache>
            </c:numRef>
          </c:val>
          <c:extLst>
            <c:ext xmlns:c16="http://schemas.microsoft.com/office/drawing/2014/chart" uri="{C3380CC4-5D6E-409C-BE32-E72D297353CC}">
              <c16:uniqueId val="{00000003-EBF5-4483-8C34-0A68D1D97F28}"/>
            </c:ext>
          </c:extLst>
        </c:ser>
        <c:ser>
          <c:idx val="1"/>
          <c:order val="3"/>
          <c:tx>
            <c:strRef>
              <c:f>Sheet3!$A$6</c:f>
              <c:strCache>
                <c:ptCount val="1"/>
                <c:pt idx="0">
                  <c:v>Somewhat Disagree </c:v>
                </c:pt>
              </c:strCache>
            </c:strRef>
          </c:tx>
          <c:spPr>
            <a:solidFill>
              <a:schemeClr val="accent2">
                <a:lumMod val="40000"/>
                <a:lumOff val="60000"/>
              </a:schemeClr>
            </a:solidFill>
            <a:ln>
              <a:noFill/>
            </a:ln>
            <a:effectLst/>
          </c:spPr>
          <c:invertIfNegative val="0"/>
          <c:dLbls>
            <c:dLbl>
              <c:idx val="0"/>
              <c:layout>
                <c:manualLayout>
                  <c:x val="-3.2000000000000002E-3"/>
                  <c:y val="-0.143518518518518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F5-4483-8C34-0A68D1D97F2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Sheet3!$B$4:$C$4</c:f>
              <c:strCache>
                <c:ptCount val="2"/>
                <c:pt idx="0">
                  <c:v>Reviewers (n=148)</c:v>
                </c:pt>
                <c:pt idx="1">
                  <c:v>Sponsoring Organizations (n=32)</c:v>
                </c:pt>
              </c:strCache>
            </c:strRef>
          </c:cat>
          <c:val>
            <c:numRef>
              <c:f>Sheet3!$B$6:$C$6</c:f>
              <c:numCache>
                <c:formatCode>0%</c:formatCode>
                <c:ptCount val="2"/>
                <c:pt idx="0">
                  <c:v>2.0134228187919462E-2</c:v>
                </c:pt>
                <c:pt idx="1">
                  <c:v>0.25</c:v>
                </c:pt>
              </c:numCache>
            </c:numRef>
          </c:val>
          <c:extLst>
            <c:ext xmlns:c16="http://schemas.microsoft.com/office/drawing/2014/chart" uri="{C3380CC4-5D6E-409C-BE32-E72D297353CC}">
              <c16:uniqueId val="{00000005-EBF5-4483-8C34-0A68D1D97F28}"/>
            </c:ext>
          </c:extLst>
        </c:ser>
        <c:ser>
          <c:idx val="0"/>
          <c:order val="4"/>
          <c:tx>
            <c:strRef>
              <c:f>Sheet3!$A$5</c:f>
              <c:strCache>
                <c:ptCount val="1"/>
                <c:pt idx="0">
                  <c:v>Disagree </c:v>
                </c:pt>
              </c:strCache>
            </c:strRef>
          </c:tx>
          <c:spPr>
            <a:solidFill>
              <a:schemeClr val="accent6">
                <a:lumMod val="40000"/>
                <a:lumOff val="60000"/>
              </a:schemeClr>
            </a:solidFill>
            <a:ln>
              <a:noFill/>
            </a:ln>
            <a:effectLst/>
          </c:spPr>
          <c:invertIfNegative val="0"/>
          <c:dLbls>
            <c:dLbl>
              <c:idx val="0"/>
              <c:layout>
                <c:manualLayout>
                  <c:x val="2.4020458981088903E-2"/>
                  <c:y val="-0.138888875366622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F5-4483-8C34-0A68D1D97F2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Sheet3!$B$4:$C$4</c:f>
              <c:strCache>
                <c:ptCount val="2"/>
                <c:pt idx="0">
                  <c:v>Reviewers (n=148)</c:v>
                </c:pt>
                <c:pt idx="1">
                  <c:v>Sponsoring Organizations (n=32)</c:v>
                </c:pt>
              </c:strCache>
            </c:strRef>
          </c:cat>
          <c:val>
            <c:numRef>
              <c:f>Sheet3!$B$5:$C$5</c:f>
              <c:numCache>
                <c:formatCode>0%</c:formatCode>
                <c:ptCount val="2"/>
                <c:pt idx="0">
                  <c:v>6.7114093959731542E-3</c:v>
                </c:pt>
                <c:pt idx="1">
                  <c:v>9.375E-2</c:v>
                </c:pt>
              </c:numCache>
            </c:numRef>
          </c:val>
          <c:extLst>
            <c:ext xmlns:c16="http://schemas.microsoft.com/office/drawing/2014/chart" uri="{C3380CC4-5D6E-409C-BE32-E72D297353CC}">
              <c16:uniqueId val="{00000007-EBF5-4483-8C34-0A68D1D97F28}"/>
            </c:ext>
          </c:extLst>
        </c:ser>
        <c:dLbls>
          <c:showLegendKey val="0"/>
          <c:showVal val="1"/>
          <c:showCatName val="0"/>
          <c:showSerName val="0"/>
          <c:showPercent val="0"/>
          <c:showBubbleSize val="0"/>
        </c:dLbls>
        <c:gapWidth val="75"/>
        <c:overlap val="100"/>
        <c:axId val="1462392032"/>
        <c:axId val="1462392864"/>
      </c:barChart>
      <c:catAx>
        <c:axId val="1462392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2392864"/>
        <c:crosses val="autoZero"/>
        <c:auto val="1"/>
        <c:lblAlgn val="ctr"/>
        <c:lblOffset val="100"/>
        <c:noMultiLvlLbl val="0"/>
      </c:catAx>
      <c:valAx>
        <c:axId val="1462392864"/>
        <c:scaling>
          <c:orientation val="minMax"/>
        </c:scaling>
        <c:delete val="1"/>
        <c:axPos val="b"/>
        <c:numFmt formatCode="0%" sourceLinked="1"/>
        <c:majorTickMark val="none"/>
        <c:minorTickMark val="none"/>
        <c:tickLblPos val="nextTo"/>
        <c:crossAx val="146239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Formal</a:t>
            </a:r>
            <a:r>
              <a:rPr lang="en-US" baseline="0"/>
              <a:t> Review Process Informing Continuous Improvements</a:t>
            </a:r>
            <a:br>
              <a:rPr lang="en-US" baseline="0"/>
            </a:br>
            <a:r>
              <a:rPr lang="en-US" sz="1100" i="1" baseline="0"/>
              <a:t>Sponsoring Organizations (n=32)</a:t>
            </a:r>
            <a:endParaRPr lang="en-US" sz="1100" i="1"/>
          </a:p>
        </c:rich>
      </c:tx>
      <c:layout>
        <c:manualLayout>
          <c:xMode val="edge"/>
          <c:yMode val="edge"/>
          <c:x val="0.13206204993606571"/>
          <c:y val="2.886883854105974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6590277824078086"/>
          <c:y val="0.13831622176591377"/>
          <c:w val="0.50690419836385825"/>
          <c:h val="0.73554172258241846"/>
        </c:manualLayout>
      </c:layout>
      <c:barChart>
        <c:barDir val="bar"/>
        <c:grouping val="stacked"/>
        <c:varyColors val="0"/>
        <c:ser>
          <c:idx val="4"/>
          <c:order val="0"/>
          <c:tx>
            <c:strRef>
              <c:f>Sheet4!$A$7</c:f>
              <c:strCache>
                <c:ptCount val="1"/>
                <c:pt idx="0">
                  <c:v>Agree </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Sheet4!$B$2:$C$2</c:f>
              <c:strCache>
                <c:ptCount val="2"/>
                <c:pt idx="0">
                  <c:v>Our organization will better prepare educators as a result of engaging in the Formal Review process. </c:v>
                </c:pt>
                <c:pt idx="1">
                  <c:v>The information within the report will inform continuous improvement efforts at my organization. </c:v>
                </c:pt>
              </c:strCache>
            </c:strRef>
          </c:cat>
          <c:val>
            <c:numRef>
              <c:f>Sheet4!$B$7:$C$7</c:f>
              <c:numCache>
                <c:formatCode>0%</c:formatCode>
                <c:ptCount val="2"/>
                <c:pt idx="0">
                  <c:v>0.53125</c:v>
                </c:pt>
                <c:pt idx="1">
                  <c:v>0.6875</c:v>
                </c:pt>
              </c:numCache>
            </c:numRef>
          </c:val>
          <c:extLst>
            <c:ext xmlns:c16="http://schemas.microsoft.com/office/drawing/2014/chart" uri="{C3380CC4-5D6E-409C-BE32-E72D297353CC}">
              <c16:uniqueId val="{00000000-DF19-4B61-9F33-AB1900BC7F7E}"/>
            </c:ext>
          </c:extLst>
        </c:ser>
        <c:ser>
          <c:idx val="3"/>
          <c:order val="1"/>
          <c:tx>
            <c:strRef>
              <c:f>Sheet4!$A$6</c:f>
              <c:strCache>
                <c:ptCount val="1"/>
                <c:pt idx="0">
                  <c:v>Somewhat Agree </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Sheet4!$B$2:$C$2</c:f>
              <c:strCache>
                <c:ptCount val="2"/>
                <c:pt idx="0">
                  <c:v>Our organization will better prepare educators as a result of engaging in the Formal Review process. </c:v>
                </c:pt>
                <c:pt idx="1">
                  <c:v>The information within the report will inform continuous improvement efforts at my organization. </c:v>
                </c:pt>
              </c:strCache>
            </c:strRef>
          </c:cat>
          <c:val>
            <c:numRef>
              <c:f>Sheet4!$B$6:$C$6</c:f>
              <c:numCache>
                <c:formatCode>0%</c:formatCode>
                <c:ptCount val="2"/>
                <c:pt idx="0">
                  <c:v>0.375</c:v>
                </c:pt>
                <c:pt idx="1">
                  <c:v>0.21875</c:v>
                </c:pt>
              </c:numCache>
            </c:numRef>
          </c:val>
          <c:extLst>
            <c:ext xmlns:c16="http://schemas.microsoft.com/office/drawing/2014/chart" uri="{C3380CC4-5D6E-409C-BE32-E72D297353CC}">
              <c16:uniqueId val="{00000002-DF19-4B61-9F33-AB1900BC7F7E}"/>
            </c:ext>
          </c:extLst>
        </c:ser>
        <c:ser>
          <c:idx val="2"/>
          <c:order val="2"/>
          <c:tx>
            <c:strRef>
              <c:f>Sheet4!$A$5</c:f>
              <c:strCache>
                <c:ptCount val="1"/>
                <c:pt idx="0">
                  <c:v>Neutral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Sheet4!$B$2:$C$2</c:f>
              <c:strCache>
                <c:ptCount val="2"/>
                <c:pt idx="0">
                  <c:v>Our organization will better prepare educators as a result of engaging in the Formal Review process. </c:v>
                </c:pt>
                <c:pt idx="1">
                  <c:v>The information within the report will inform continuous improvement efforts at my organization. </c:v>
                </c:pt>
              </c:strCache>
            </c:strRef>
          </c:cat>
          <c:val>
            <c:numRef>
              <c:f>Sheet4!$B$5:$C$5</c:f>
              <c:numCache>
                <c:formatCode>General</c:formatCode>
                <c:ptCount val="2"/>
              </c:numCache>
            </c:numRef>
          </c:val>
          <c:extLst>
            <c:ext xmlns:c16="http://schemas.microsoft.com/office/drawing/2014/chart" uri="{C3380CC4-5D6E-409C-BE32-E72D297353CC}">
              <c16:uniqueId val="{00000003-DF19-4B61-9F33-AB1900BC7F7E}"/>
            </c:ext>
          </c:extLst>
        </c:ser>
        <c:ser>
          <c:idx val="1"/>
          <c:order val="3"/>
          <c:tx>
            <c:strRef>
              <c:f>Sheet4!$A$4</c:f>
              <c:strCache>
                <c:ptCount val="1"/>
                <c:pt idx="0">
                  <c:v>Somewhat Disagree </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Sheet4!$B$2:$C$2</c:f>
              <c:strCache>
                <c:ptCount val="2"/>
                <c:pt idx="0">
                  <c:v>Our organization will better prepare educators as a result of engaging in the Formal Review process. </c:v>
                </c:pt>
                <c:pt idx="1">
                  <c:v>The information within the report will inform continuous improvement efforts at my organization. </c:v>
                </c:pt>
              </c:strCache>
            </c:strRef>
          </c:cat>
          <c:val>
            <c:numRef>
              <c:f>Sheet4!$B$4:$C$4</c:f>
              <c:numCache>
                <c:formatCode>0%</c:formatCode>
                <c:ptCount val="2"/>
                <c:pt idx="0">
                  <c:v>9.375E-2</c:v>
                </c:pt>
                <c:pt idx="1">
                  <c:v>6.25E-2</c:v>
                </c:pt>
              </c:numCache>
            </c:numRef>
          </c:val>
          <c:extLst>
            <c:ext xmlns:c16="http://schemas.microsoft.com/office/drawing/2014/chart" uri="{C3380CC4-5D6E-409C-BE32-E72D297353CC}">
              <c16:uniqueId val="{00000004-DF19-4B61-9F33-AB1900BC7F7E}"/>
            </c:ext>
          </c:extLst>
        </c:ser>
        <c:ser>
          <c:idx val="0"/>
          <c:order val="4"/>
          <c:tx>
            <c:strRef>
              <c:f>Sheet4!$A$3</c:f>
              <c:strCache>
                <c:ptCount val="1"/>
                <c:pt idx="0">
                  <c:v>Disagree </c:v>
                </c:pt>
              </c:strCache>
            </c:strRef>
          </c:tx>
          <c:spPr>
            <a:solidFill>
              <a:schemeClr val="accent6">
                <a:lumMod val="40000"/>
                <a:lumOff val="60000"/>
              </a:schemeClr>
            </a:solidFill>
            <a:ln>
              <a:noFill/>
            </a:ln>
            <a:effectLst/>
          </c:spPr>
          <c:invertIfNegative val="0"/>
          <c:dLbls>
            <c:dLbl>
              <c:idx val="1"/>
              <c:layout>
                <c:manualLayout>
                  <c:x val="8.5470926711084198E-3"/>
                  <c:y val="1.6646967754823458E-7"/>
                </c:manualLayout>
              </c:layout>
              <c:showLegendKey val="0"/>
              <c:showVal val="1"/>
              <c:showCatName val="0"/>
              <c:showSerName val="0"/>
              <c:showPercent val="0"/>
              <c:showBubbleSize val="0"/>
              <c:extLst>
                <c:ext xmlns:c15="http://schemas.microsoft.com/office/drawing/2012/chart" uri="{CE6537A1-D6FC-4f65-9D91-7224C49458BB}">
                  <c15:layout>
                    <c:manualLayout>
                      <c:w val="3.6581196581196573E-2"/>
                      <c:h val="5.9133358858683878E-2"/>
                    </c:manualLayout>
                  </c15:layout>
                </c:ext>
                <c:ext xmlns:c16="http://schemas.microsoft.com/office/drawing/2014/chart" uri="{C3380CC4-5D6E-409C-BE32-E72D297353CC}">
                  <c16:uniqueId val="{00000006-DF19-4B61-9F33-AB1900BC7F7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Sheet4!$B$2:$C$2</c:f>
              <c:strCache>
                <c:ptCount val="2"/>
                <c:pt idx="0">
                  <c:v>Our organization will better prepare educators as a result of engaging in the Formal Review process. </c:v>
                </c:pt>
                <c:pt idx="1">
                  <c:v>The information within the report will inform continuous improvement efforts at my organization. </c:v>
                </c:pt>
              </c:strCache>
            </c:strRef>
          </c:cat>
          <c:val>
            <c:numRef>
              <c:f>Sheet4!$B$3:$C$3</c:f>
              <c:numCache>
                <c:formatCode>0%</c:formatCode>
                <c:ptCount val="2"/>
                <c:pt idx="1">
                  <c:v>3.125E-2</c:v>
                </c:pt>
              </c:numCache>
            </c:numRef>
          </c:val>
          <c:extLst>
            <c:ext xmlns:c16="http://schemas.microsoft.com/office/drawing/2014/chart" uri="{C3380CC4-5D6E-409C-BE32-E72D297353CC}">
              <c16:uniqueId val="{00000005-DF19-4B61-9F33-AB1900BC7F7E}"/>
            </c:ext>
          </c:extLst>
        </c:ser>
        <c:dLbls>
          <c:showLegendKey val="0"/>
          <c:showVal val="1"/>
          <c:showCatName val="0"/>
          <c:showSerName val="0"/>
          <c:showPercent val="0"/>
          <c:showBubbleSize val="0"/>
        </c:dLbls>
        <c:gapWidth val="75"/>
        <c:overlap val="100"/>
        <c:axId val="1471190480"/>
        <c:axId val="1471191312"/>
      </c:barChart>
      <c:catAx>
        <c:axId val="147119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191312"/>
        <c:crosses val="autoZero"/>
        <c:auto val="1"/>
        <c:lblAlgn val="ctr"/>
        <c:lblOffset val="100"/>
        <c:noMultiLvlLbl val="0"/>
      </c:catAx>
      <c:valAx>
        <c:axId val="1471191312"/>
        <c:scaling>
          <c:orientation val="minMax"/>
        </c:scaling>
        <c:delete val="1"/>
        <c:axPos val="b"/>
        <c:numFmt formatCode="0%" sourceLinked="1"/>
        <c:majorTickMark val="none"/>
        <c:minorTickMark val="none"/>
        <c:tickLblPos val="nextTo"/>
        <c:crossAx val="147119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DESE-231-47374</_dlc_DocId>
    <_dlc_DocIdUrl xmlns="733efe1c-5bbe-4968-87dc-d400e65c879f">
      <Url>https://sharepoint.doemass.org/ese/webteam/cps/_layouts/DocIdRedir.aspx?ID=DESE-231-47374</Url>
      <Description>DESE-231-47374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01CB71-59C6-4EA3-8A91-6BD784A7F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C0DC2-94C0-46B0-BBCF-B0DDFA358AB3}">
  <ds:schemaRefs>
    <ds:schemaRef ds:uri="http://schemas.openxmlformats.org/officeDocument/2006/bibliography"/>
  </ds:schemaRefs>
</ds:datastoreItem>
</file>

<file path=customXml/itemProps3.xml><?xml version="1.0" encoding="utf-8"?>
<ds:datastoreItem xmlns:ds="http://schemas.openxmlformats.org/officeDocument/2006/customXml" ds:itemID="{7BA08911-70FF-4392-9FAF-203965C300C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2CE9E3A-0334-4C41-9467-778CAFC00B03}">
  <ds:schemaRefs>
    <ds:schemaRef ds:uri="http://schemas.microsoft.com/sharepoint/v3/contenttype/forms"/>
  </ds:schemaRefs>
</ds:datastoreItem>
</file>

<file path=customXml/itemProps5.xml><?xml version="1.0" encoding="utf-8"?>
<ds:datastoreItem xmlns:ds="http://schemas.openxmlformats.org/officeDocument/2006/customXml" ds:itemID="{7C165154-05E0-40BB-B1FD-2950EB4C82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5222</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2017-2018 Educator Preparation Formal Review Culminating Report</vt:lpstr>
    </vt:vector>
  </TitlesOfParts>
  <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Educator Preparation Formal Review Culminating Report</dc:title>
  <dc:subject/>
  <dc:creator>DESE</dc:creator>
  <cp:keywords/>
  <dc:description/>
  <cp:lastModifiedBy>Zou, Dong (EOE)</cp:lastModifiedBy>
  <cp:revision>9</cp:revision>
  <cp:lastPrinted>2018-12-20T21:06:00Z</cp:lastPrinted>
  <dcterms:created xsi:type="dcterms:W3CDTF">2018-12-20T20:28:00Z</dcterms:created>
  <dcterms:modified xsi:type="dcterms:W3CDTF">2022-12-09T17:07:00Z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20 2018 12:00AM</vt:lpwstr>
  </property>
</Properties>
</file>