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90"/>
        <w:tblW w:w="10172" w:type="dxa"/>
        <w:tblBorders>
          <w:bottom w:val="single" w:sz="12" w:space="0" w:color="154786"/>
        </w:tblBorders>
        <w:tblLayout w:type="fixed"/>
        <w:tblLook w:val="04A0" w:firstRow="1" w:lastRow="0" w:firstColumn="1" w:lastColumn="0" w:noHBand="0" w:noVBand="1"/>
        <w:tblDescription w:val="Educator Preparation &#10;Stakeholder Surveys&#10;2015-2016 Statewide Summary of Results, Analysis and Trends&#10;ESE Star Logo"/>
      </w:tblPr>
      <w:tblGrid>
        <w:gridCol w:w="7578"/>
        <w:gridCol w:w="2594"/>
      </w:tblGrid>
      <w:tr w:rsidR="008A213F" w:rsidRPr="006D7AD0" w:rsidTr="008A213F">
        <w:trPr>
          <w:trHeight w:val="1377"/>
        </w:trPr>
        <w:tc>
          <w:tcPr>
            <w:tcW w:w="7578" w:type="dxa"/>
            <w:shd w:val="clear" w:color="auto" w:fill="FFFFFF"/>
            <w:vAlign w:val="center"/>
          </w:tcPr>
          <w:p w:rsidR="000A35E5" w:rsidRPr="006D7AD0" w:rsidRDefault="000A35E5" w:rsidP="008A213F">
            <w:pPr>
              <w:tabs>
                <w:tab w:val="center" w:pos="4680"/>
                <w:tab w:val="right" w:pos="9360"/>
              </w:tabs>
              <w:spacing w:after="0" w:line="240" w:lineRule="auto"/>
              <w:rPr>
                <w:rFonts w:ascii="Calibri" w:hAnsi="Calibri" w:cs="DaunPenh"/>
                <w:color w:val="1F497D"/>
                <w:sz w:val="48"/>
              </w:rPr>
            </w:pPr>
            <w:r w:rsidRPr="006D7AD0">
              <w:rPr>
                <w:rFonts w:ascii="Calibri" w:hAnsi="Calibri" w:cs="DaunPenh"/>
                <w:color w:val="1F497D"/>
                <w:sz w:val="48"/>
              </w:rPr>
              <w:t xml:space="preserve">Educator Preparation </w:t>
            </w:r>
          </w:p>
          <w:p w:rsidR="000A35E5" w:rsidRPr="006D7AD0" w:rsidRDefault="000A35E5" w:rsidP="008A213F">
            <w:pPr>
              <w:tabs>
                <w:tab w:val="center" w:pos="4680"/>
                <w:tab w:val="right" w:pos="9360"/>
              </w:tabs>
              <w:spacing w:after="0" w:line="240" w:lineRule="auto"/>
              <w:rPr>
                <w:rFonts w:ascii="Calibri" w:hAnsi="Calibri" w:cs="DaunPenh"/>
                <w:b/>
                <w:color w:val="E36C0A"/>
                <w:sz w:val="28"/>
              </w:rPr>
            </w:pPr>
            <w:r>
              <w:rPr>
                <w:rFonts w:ascii="Calibri" w:hAnsi="Calibri" w:cs="DaunPenh"/>
                <w:b/>
                <w:color w:val="E36C0A"/>
                <w:sz w:val="28"/>
              </w:rPr>
              <w:t>Stakeholder Surveys</w:t>
            </w:r>
          </w:p>
          <w:p w:rsidR="000A35E5" w:rsidRPr="006D7AD0" w:rsidRDefault="000A35E5" w:rsidP="008A213F">
            <w:pPr>
              <w:tabs>
                <w:tab w:val="center" w:pos="4680"/>
                <w:tab w:val="right" w:pos="9360"/>
              </w:tabs>
              <w:spacing w:after="0" w:line="240" w:lineRule="auto"/>
              <w:rPr>
                <w:rFonts w:ascii="Calibri" w:hAnsi="Calibri" w:cs="DaunPenh"/>
                <w:b/>
                <w:color w:val="E36C0A"/>
                <w:sz w:val="28"/>
              </w:rPr>
            </w:pPr>
            <w:r>
              <w:rPr>
                <w:rFonts w:ascii="Calibri" w:hAnsi="Calibri" w:cs="DaunPenh"/>
                <w:b/>
                <w:color w:val="808080"/>
                <w:sz w:val="28"/>
              </w:rPr>
              <w:t xml:space="preserve">2015-2016 </w:t>
            </w:r>
            <w:r w:rsidR="00EF5325">
              <w:rPr>
                <w:rFonts w:ascii="Calibri" w:hAnsi="Calibri" w:cs="DaunPenh"/>
                <w:b/>
                <w:color w:val="808080"/>
                <w:sz w:val="28"/>
              </w:rPr>
              <w:t xml:space="preserve">Statewide Summary of </w:t>
            </w:r>
            <w:r>
              <w:rPr>
                <w:rFonts w:ascii="Calibri" w:hAnsi="Calibri" w:cs="DaunPenh"/>
                <w:b/>
                <w:color w:val="808080"/>
                <w:sz w:val="28"/>
              </w:rPr>
              <w:t>Results, Analysis and Trends</w:t>
            </w:r>
          </w:p>
        </w:tc>
        <w:tc>
          <w:tcPr>
            <w:tcW w:w="2594" w:type="dxa"/>
          </w:tcPr>
          <w:p w:rsidR="000A35E5" w:rsidRPr="006D7AD0" w:rsidRDefault="007A02AB" w:rsidP="008A213F">
            <w:pPr>
              <w:tabs>
                <w:tab w:val="center" w:pos="4680"/>
                <w:tab w:val="right" w:pos="9360"/>
              </w:tabs>
              <w:spacing w:after="0" w:line="240" w:lineRule="auto"/>
              <w:rPr>
                <w:rFonts w:ascii="Calibri" w:hAnsi="Calibri" w:cs="DaunPenh"/>
              </w:rPr>
            </w:pPr>
            <w:r>
              <w:rPr>
                <w:rFonts w:ascii="Calibri" w:hAnsi="Calibri" w:cs="DaunPenh"/>
                <w:noProof/>
                <w:lang w:eastAsia="zh-CN"/>
              </w:rPr>
              <w:drawing>
                <wp:inline distT="0" distB="0" distL="0" distR="0">
                  <wp:extent cx="1570008" cy="765859"/>
                  <wp:effectExtent l="0" t="0" r="0" b="0"/>
                  <wp:docPr id="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205x100_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0008" cy="765859"/>
                          </a:xfrm>
                          <a:prstGeom prst="rect">
                            <a:avLst/>
                          </a:prstGeom>
                        </pic:spPr>
                      </pic:pic>
                    </a:graphicData>
                  </a:graphic>
                </wp:inline>
              </w:drawing>
            </w:r>
          </w:p>
        </w:tc>
      </w:tr>
    </w:tbl>
    <w:p w:rsidR="000A35E5" w:rsidRDefault="000A35E5" w:rsidP="009D23AA">
      <w:pPr>
        <w:spacing w:after="0" w:line="240" w:lineRule="auto"/>
        <w:contextualSpacing/>
        <w:rPr>
          <w:b/>
        </w:rPr>
      </w:pPr>
    </w:p>
    <w:p w:rsidR="00A74463" w:rsidRDefault="00A74463" w:rsidP="009D23AA">
      <w:pPr>
        <w:spacing w:after="0" w:line="240" w:lineRule="auto"/>
        <w:rPr>
          <w:b/>
          <w:color w:val="0E4588" w:themeColor="text2"/>
          <w:sz w:val="32"/>
          <w:szCs w:val="32"/>
        </w:rPr>
      </w:pPr>
      <w:r w:rsidRPr="00A74463">
        <w:rPr>
          <w:b/>
          <w:color w:val="0E4588" w:themeColor="text2"/>
          <w:sz w:val="32"/>
          <w:szCs w:val="32"/>
        </w:rPr>
        <w:t>Overview</w:t>
      </w:r>
    </w:p>
    <w:p w:rsidR="00960E61" w:rsidRDefault="00960E61" w:rsidP="00663A59">
      <w:pPr>
        <w:spacing w:after="0" w:line="240" w:lineRule="auto"/>
        <w:contextualSpacing/>
        <w:rPr>
          <w:b/>
          <w:color w:val="0E4588" w:themeColor="text2"/>
        </w:rPr>
      </w:pPr>
    </w:p>
    <w:p w:rsidR="00F55163" w:rsidRDefault="00663A59" w:rsidP="00663A59">
      <w:pPr>
        <w:spacing w:after="0" w:line="240" w:lineRule="auto"/>
        <w:rPr>
          <w:color w:val="000000" w:themeColor="text1"/>
          <w:szCs w:val="20"/>
        </w:rPr>
      </w:pPr>
      <w:r>
        <w:rPr>
          <w:szCs w:val="20"/>
        </w:rPr>
        <w:t>After a pilot and development process</w:t>
      </w:r>
      <w:r w:rsidRPr="00A8495B">
        <w:rPr>
          <w:rStyle w:val="FootnoteReference"/>
        </w:rPr>
        <w:footnoteReference w:id="1"/>
      </w:r>
      <w:r>
        <w:rPr>
          <w:szCs w:val="20"/>
        </w:rPr>
        <w:t xml:space="preserve">, </w:t>
      </w:r>
      <w:r w:rsidRPr="00A8495B">
        <w:rPr>
          <w:szCs w:val="20"/>
        </w:rPr>
        <w:t>ESE administered four educator preparation stakeholder surveys</w:t>
      </w:r>
      <w:r w:rsidR="00C87E72">
        <w:rPr>
          <w:szCs w:val="20"/>
        </w:rPr>
        <w:t xml:space="preserve"> in the spring of 2016</w:t>
      </w:r>
      <w:r w:rsidRPr="00A8495B">
        <w:rPr>
          <w:szCs w:val="20"/>
        </w:rPr>
        <w:t xml:space="preserve"> to evaluate the perceptions of </w:t>
      </w:r>
      <w:r>
        <w:rPr>
          <w:szCs w:val="20"/>
        </w:rPr>
        <w:t>teacher</w:t>
      </w:r>
      <w:r w:rsidRPr="00A8495B">
        <w:rPr>
          <w:szCs w:val="20"/>
        </w:rPr>
        <w:t xml:space="preserve"> readiness in the Commonwealth</w:t>
      </w:r>
      <w:r>
        <w:rPr>
          <w:szCs w:val="20"/>
        </w:rPr>
        <w:t>.</w:t>
      </w:r>
      <w:r>
        <w:rPr>
          <w:rStyle w:val="FootnoteReference"/>
        </w:rPr>
        <w:footnoteReference w:id="2"/>
      </w:r>
      <w:r>
        <w:t xml:space="preserve"> </w:t>
      </w:r>
      <w:r w:rsidR="00960E61">
        <w:rPr>
          <w:color w:val="000000" w:themeColor="text1"/>
          <w:szCs w:val="20"/>
        </w:rPr>
        <w:t>Considering and comparing the perceptions of key stakeholders is critical to a Sponsoring Organization’s (SO) continuous improvement. This document outlines some of the major trends identified by the Department of Elementary</w:t>
      </w:r>
      <w:r w:rsidR="00F00456">
        <w:rPr>
          <w:color w:val="000000" w:themeColor="text1"/>
          <w:szCs w:val="20"/>
        </w:rPr>
        <w:t xml:space="preserve"> and Secondary Education (ESE) from surveys of the following stakeholder groups:</w:t>
      </w:r>
    </w:p>
    <w:p w:rsidR="00342EA9" w:rsidRDefault="00342EA9" w:rsidP="00663A59">
      <w:pPr>
        <w:spacing w:after="0" w:line="240" w:lineRule="auto"/>
        <w:rPr>
          <w:color w:val="000000" w:themeColor="text1"/>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andidate: Surveyed at the point of preparation program completion&#10;&#10;Completer: Individuals employed in a MA public school who are surveyed one year after program completion&#10;&#10;Supervising Practitioner: Individuals who served as a supervisor to a candidate during the practicum experience&#10;&#10;Hiring Principal: Individuals who hired a teacher completer before the start of the 2015-2016 school year"/>
      </w:tblPr>
      <w:tblGrid>
        <w:gridCol w:w="2278"/>
        <w:gridCol w:w="6875"/>
      </w:tblGrid>
      <w:tr w:rsidR="00F00456" w:rsidRPr="00FA09A0" w:rsidTr="009A796B">
        <w:trPr>
          <w:tblHeader/>
          <w:jc w:val="center"/>
        </w:trPr>
        <w:tc>
          <w:tcPr>
            <w:tcW w:w="2278" w:type="dxa"/>
          </w:tcPr>
          <w:p w:rsidR="00F00456" w:rsidRPr="00342EA9" w:rsidRDefault="00F00456" w:rsidP="00342EA9">
            <w:pPr>
              <w:contextualSpacing/>
            </w:pPr>
            <w:r w:rsidRPr="00342EA9">
              <w:t>Candidate</w:t>
            </w:r>
          </w:p>
        </w:tc>
        <w:tc>
          <w:tcPr>
            <w:tcW w:w="6875" w:type="dxa"/>
          </w:tcPr>
          <w:p w:rsidR="00F00456" w:rsidRDefault="00F00456" w:rsidP="00342EA9">
            <w:pPr>
              <w:contextualSpacing/>
            </w:pPr>
            <w:r w:rsidRPr="00342EA9">
              <w:t>Surveyed at the point of preparation program completion</w:t>
            </w:r>
          </w:p>
          <w:p w:rsidR="00342EA9" w:rsidRPr="00342EA9" w:rsidRDefault="00342EA9" w:rsidP="00342EA9">
            <w:pPr>
              <w:contextualSpacing/>
            </w:pPr>
          </w:p>
        </w:tc>
      </w:tr>
      <w:tr w:rsidR="00F00456" w:rsidRPr="00FA09A0" w:rsidTr="009A796B">
        <w:trPr>
          <w:tblHeader/>
          <w:jc w:val="center"/>
        </w:trPr>
        <w:tc>
          <w:tcPr>
            <w:tcW w:w="2278" w:type="dxa"/>
          </w:tcPr>
          <w:p w:rsidR="00F00456" w:rsidRPr="00342EA9" w:rsidRDefault="00F00456" w:rsidP="00342EA9">
            <w:pPr>
              <w:contextualSpacing/>
            </w:pPr>
            <w:r w:rsidRPr="00342EA9">
              <w:t>Completer</w:t>
            </w:r>
          </w:p>
        </w:tc>
        <w:tc>
          <w:tcPr>
            <w:tcW w:w="6875" w:type="dxa"/>
          </w:tcPr>
          <w:p w:rsidR="00F00456" w:rsidRDefault="00F00456" w:rsidP="00342EA9">
            <w:pPr>
              <w:contextualSpacing/>
            </w:pPr>
            <w:r w:rsidRPr="00342EA9">
              <w:t>Individuals employed in a MA public school who are surveyed one year after program completion</w:t>
            </w:r>
          </w:p>
          <w:p w:rsidR="00342EA9" w:rsidRPr="00342EA9" w:rsidRDefault="00342EA9" w:rsidP="00342EA9">
            <w:pPr>
              <w:contextualSpacing/>
            </w:pPr>
          </w:p>
        </w:tc>
      </w:tr>
      <w:tr w:rsidR="00F00456" w:rsidRPr="00FA09A0" w:rsidTr="009A796B">
        <w:trPr>
          <w:tblHeader/>
          <w:jc w:val="center"/>
        </w:trPr>
        <w:tc>
          <w:tcPr>
            <w:tcW w:w="2278" w:type="dxa"/>
          </w:tcPr>
          <w:p w:rsidR="00F00456" w:rsidRPr="00342EA9" w:rsidRDefault="00F00456" w:rsidP="00342EA9">
            <w:pPr>
              <w:contextualSpacing/>
            </w:pPr>
            <w:r w:rsidRPr="00342EA9">
              <w:t>Supervising Practitioner</w:t>
            </w:r>
          </w:p>
        </w:tc>
        <w:tc>
          <w:tcPr>
            <w:tcW w:w="6875" w:type="dxa"/>
          </w:tcPr>
          <w:p w:rsidR="00F00456" w:rsidRDefault="00F00456" w:rsidP="00342EA9">
            <w:pPr>
              <w:contextualSpacing/>
            </w:pPr>
            <w:r w:rsidRPr="00342EA9">
              <w:t>Individuals who served as a supervisor to a candidate during the practicum experience</w:t>
            </w:r>
          </w:p>
          <w:p w:rsidR="00342EA9" w:rsidRPr="00342EA9" w:rsidRDefault="00342EA9" w:rsidP="00342EA9">
            <w:pPr>
              <w:contextualSpacing/>
            </w:pPr>
          </w:p>
        </w:tc>
      </w:tr>
      <w:tr w:rsidR="00F00456" w:rsidRPr="00FA09A0" w:rsidTr="009A796B">
        <w:trPr>
          <w:tblHeader/>
          <w:jc w:val="center"/>
        </w:trPr>
        <w:tc>
          <w:tcPr>
            <w:tcW w:w="2278" w:type="dxa"/>
          </w:tcPr>
          <w:p w:rsidR="00F00456" w:rsidRPr="00342EA9" w:rsidRDefault="00F00456" w:rsidP="00342EA9">
            <w:pPr>
              <w:contextualSpacing/>
            </w:pPr>
            <w:r w:rsidRPr="00342EA9">
              <w:t>Hiring Principal</w:t>
            </w:r>
          </w:p>
        </w:tc>
        <w:tc>
          <w:tcPr>
            <w:tcW w:w="6875" w:type="dxa"/>
          </w:tcPr>
          <w:p w:rsidR="00F00456" w:rsidRDefault="00F00456" w:rsidP="00342EA9">
            <w:pPr>
              <w:contextualSpacing/>
            </w:pPr>
            <w:r w:rsidRPr="00342EA9">
              <w:t>Individuals who hired a teacher completer before the start of the 2015-2016 school year</w:t>
            </w:r>
          </w:p>
          <w:p w:rsidR="00342EA9" w:rsidRPr="00342EA9" w:rsidRDefault="00342EA9" w:rsidP="00342EA9">
            <w:pPr>
              <w:contextualSpacing/>
            </w:pPr>
          </w:p>
        </w:tc>
      </w:tr>
    </w:tbl>
    <w:p w:rsidR="00F00456" w:rsidRDefault="00F00456" w:rsidP="00663A59">
      <w:pPr>
        <w:spacing w:after="0" w:line="240" w:lineRule="auto"/>
        <w:rPr>
          <w:color w:val="000000" w:themeColor="text1"/>
          <w:szCs w:val="20"/>
        </w:rPr>
      </w:pPr>
    </w:p>
    <w:p w:rsidR="00F55163" w:rsidRDefault="00F55163" w:rsidP="00663A59">
      <w:pPr>
        <w:spacing w:after="0" w:line="240" w:lineRule="auto"/>
        <w:rPr>
          <w:color w:val="000000" w:themeColor="text1"/>
          <w:szCs w:val="20"/>
        </w:rPr>
      </w:pPr>
      <w:r>
        <w:rPr>
          <w:color w:val="000000" w:themeColor="text1"/>
          <w:szCs w:val="20"/>
        </w:rPr>
        <w:t xml:space="preserve">This summary has two </w:t>
      </w:r>
      <w:r w:rsidR="00657E88">
        <w:rPr>
          <w:color w:val="000000" w:themeColor="text1"/>
          <w:szCs w:val="20"/>
        </w:rPr>
        <w:t xml:space="preserve">main </w:t>
      </w:r>
      <w:r>
        <w:rPr>
          <w:color w:val="000000" w:themeColor="text1"/>
          <w:szCs w:val="20"/>
        </w:rPr>
        <w:t>purposes:</w:t>
      </w:r>
    </w:p>
    <w:p w:rsidR="00657E88" w:rsidRDefault="00657E88" w:rsidP="00663A59">
      <w:pPr>
        <w:spacing w:after="0" w:line="240" w:lineRule="auto"/>
        <w:rPr>
          <w:color w:val="000000" w:themeColor="text1"/>
          <w:szCs w:val="20"/>
        </w:rPr>
      </w:pPr>
    </w:p>
    <w:p w:rsidR="00F55163" w:rsidRDefault="00F55163" w:rsidP="00F55163">
      <w:pPr>
        <w:pStyle w:val="ListParagraph"/>
        <w:numPr>
          <w:ilvl w:val="0"/>
          <w:numId w:val="13"/>
        </w:numPr>
        <w:spacing w:after="0" w:line="240" w:lineRule="auto"/>
        <w:rPr>
          <w:color w:val="000000" w:themeColor="text1"/>
          <w:szCs w:val="20"/>
        </w:rPr>
      </w:pPr>
      <w:r>
        <w:rPr>
          <w:color w:val="000000" w:themeColor="text1"/>
          <w:szCs w:val="20"/>
        </w:rPr>
        <w:t>To identify</w:t>
      </w:r>
      <w:r w:rsidR="00960E61" w:rsidRPr="00F55163">
        <w:rPr>
          <w:color w:val="000000" w:themeColor="text1"/>
          <w:szCs w:val="20"/>
        </w:rPr>
        <w:t xml:space="preserve"> trends in surv</w:t>
      </w:r>
      <w:r w:rsidR="005B587E">
        <w:rPr>
          <w:color w:val="000000" w:themeColor="text1"/>
          <w:szCs w:val="20"/>
        </w:rPr>
        <w:t>ey results at the state level. I</w:t>
      </w:r>
      <w:r w:rsidR="00960E61" w:rsidRPr="00F55163">
        <w:rPr>
          <w:color w:val="000000" w:themeColor="text1"/>
          <w:szCs w:val="20"/>
        </w:rPr>
        <w:t xml:space="preserve">ndividual SOs can use this data as a comparison point when they analyze their own survey data. </w:t>
      </w:r>
    </w:p>
    <w:p w:rsidR="00F55163" w:rsidRDefault="005B587E" w:rsidP="00F55163">
      <w:pPr>
        <w:pStyle w:val="ListParagraph"/>
        <w:numPr>
          <w:ilvl w:val="0"/>
          <w:numId w:val="13"/>
        </w:numPr>
        <w:spacing w:after="0" w:line="240" w:lineRule="auto"/>
        <w:rPr>
          <w:color w:val="000000" w:themeColor="text1"/>
          <w:szCs w:val="20"/>
        </w:rPr>
      </w:pPr>
      <w:r>
        <w:rPr>
          <w:color w:val="000000" w:themeColor="text1"/>
          <w:szCs w:val="20"/>
        </w:rPr>
        <w:t xml:space="preserve">To </w:t>
      </w:r>
      <w:r w:rsidR="008D5DD3">
        <w:rPr>
          <w:color w:val="000000" w:themeColor="text1"/>
          <w:szCs w:val="20"/>
        </w:rPr>
        <w:t>give</w:t>
      </w:r>
      <w:r>
        <w:rPr>
          <w:color w:val="000000" w:themeColor="text1"/>
          <w:szCs w:val="20"/>
        </w:rPr>
        <w:t xml:space="preserve"> the general public</w:t>
      </w:r>
      <w:r w:rsidR="00960E61" w:rsidRPr="00F55163">
        <w:rPr>
          <w:color w:val="000000" w:themeColor="text1"/>
          <w:szCs w:val="20"/>
        </w:rPr>
        <w:t xml:space="preserve"> access</w:t>
      </w:r>
      <w:r>
        <w:rPr>
          <w:color w:val="000000" w:themeColor="text1"/>
          <w:szCs w:val="20"/>
        </w:rPr>
        <w:t xml:space="preserve"> to</w:t>
      </w:r>
      <w:r w:rsidR="00960E61" w:rsidRPr="00F55163">
        <w:rPr>
          <w:color w:val="000000" w:themeColor="text1"/>
          <w:szCs w:val="20"/>
        </w:rPr>
        <w:t xml:space="preserve"> important information about perceptions of teacher readiness across Massachusetts.</w:t>
      </w:r>
    </w:p>
    <w:p w:rsidR="00F55163" w:rsidRPr="00F55163" w:rsidRDefault="00F55163" w:rsidP="00F55163">
      <w:pPr>
        <w:spacing w:after="0" w:line="240" w:lineRule="auto"/>
        <w:ind w:left="360"/>
        <w:rPr>
          <w:color w:val="000000" w:themeColor="text1"/>
          <w:szCs w:val="20"/>
        </w:rPr>
      </w:pPr>
    </w:p>
    <w:p w:rsidR="00663A59" w:rsidRPr="00F55163" w:rsidRDefault="00960E61" w:rsidP="00F55163">
      <w:pPr>
        <w:spacing w:after="0" w:line="240" w:lineRule="auto"/>
        <w:rPr>
          <w:color w:val="000000" w:themeColor="text1"/>
          <w:szCs w:val="20"/>
        </w:rPr>
      </w:pPr>
      <w:r>
        <w:t>I</w:t>
      </w:r>
      <w:r w:rsidR="00663A59">
        <w:t xml:space="preserve">t is important to note that these surveys represent perceptions of readiness as reported by a subset of key stakeholders in the state who elected to take the survey and should not be considered representative of </w:t>
      </w:r>
      <w:r w:rsidR="00C87E72">
        <w:t xml:space="preserve">all </w:t>
      </w:r>
      <w:r w:rsidR="00663A59">
        <w:t>stakeholders</w:t>
      </w:r>
      <w:r w:rsidR="00C87E72">
        <w:t xml:space="preserve"> engaged in educator preparation</w:t>
      </w:r>
      <w:r w:rsidR="00663A59">
        <w:t xml:space="preserve">. For more information on </w:t>
      </w:r>
      <w:r w:rsidR="000B6ACF">
        <w:t xml:space="preserve">the different key stakeholder groups </w:t>
      </w:r>
      <w:r w:rsidR="00663A59">
        <w:t xml:space="preserve">who took the survey, </w:t>
      </w:r>
      <w:r w:rsidR="00663A59" w:rsidRPr="0005780A">
        <w:t>see Appendix</w:t>
      </w:r>
      <w:r w:rsidR="0005780A" w:rsidRPr="0005780A">
        <w:t xml:space="preserve"> A</w:t>
      </w:r>
      <w:r w:rsidR="0005780A">
        <w:t>.</w:t>
      </w:r>
    </w:p>
    <w:p w:rsidR="00960E61" w:rsidRDefault="00960E61" w:rsidP="009D23AA">
      <w:pPr>
        <w:spacing w:after="0" w:line="240" w:lineRule="auto"/>
        <w:rPr>
          <w:b/>
          <w:color w:val="E36C0A" w:themeColor="accent2"/>
        </w:rPr>
      </w:pPr>
    </w:p>
    <w:p w:rsidR="00663A59" w:rsidRPr="0080397B" w:rsidRDefault="00D40499" w:rsidP="009D23AA">
      <w:pPr>
        <w:spacing w:after="0" w:line="240" w:lineRule="auto"/>
        <w:rPr>
          <w:color w:val="000000" w:themeColor="text1"/>
          <w:szCs w:val="20"/>
        </w:rPr>
      </w:pPr>
      <w:r>
        <w:rPr>
          <w:color w:val="000000" w:themeColor="text1"/>
          <w:szCs w:val="20"/>
        </w:rPr>
        <w:t xml:space="preserve">The data points that are </w:t>
      </w:r>
      <w:r w:rsidR="002C6EDE">
        <w:rPr>
          <w:color w:val="000000" w:themeColor="text1"/>
          <w:szCs w:val="20"/>
        </w:rPr>
        <w:t>included</w:t>
      </w:r>
      <w:r>
        <w:rPr>
          <w:color w:val="000000" w:themeColor="text1"/>
          <w:szCs w:val="20"/>
        </w:rPr>
        <w:t xml:space="preserve"> below were selected </w:t>
      </w:r>
      <w:r w:rsidR="0005780A">
        <w:rPr>
          <w:color w:val="000000" w:themeColor="text1"/>
          <w:szCs w:val="20"/>
        </w:rPr>
        <w:t xml:space="preserve">to </w:t>
      </w:r>
      <w:r>
        <w:rPr>
          <w:color w:val="000000" w:themeColor="text1"/>
          <w:szCs w:val="20"/>
        </w:rPr>
        <w:t>provide a high level overview of perceptions of key stakeholders of educator preparation in Massachusetts.</w:t>
      </w:r>
      <w:r w:rsidR="0005780A">
        <w:rPr>
          <w:rStyle w:val="FootnoteReference"/>
          <w:color w:val="000000" w:themeColor="text1"/>
          <w:szCs w:val="20"/>
        </w:rPr>
        <w:footnoteReference w:id="3"/>
      </w:r>
      <w:r w:rsidR="005E4354">
        <w:rPr>
          <w:color w:val="000000" w:themeColor="text1"/>
          <w:szCs w:val="20"/>
        </w:rPr>
        <w:t xml:space="preserve"> T</w:t>
      </w:r>
      <w:r>
        <w:rPr>
          <w:color w:val="000000" w:themeColor="text1"/>
          <w:szCs w:val="20"/>
        </w:rPr>
        <w:t>h</w:t>
      </w:r>
      <w:r w:rsidR="00EF5325">
        <w:rPr>
          <w:color w:val="000000" w:themeColor="text1"/>
          <w:szCs w:val="20"/>
        </w:rPr>
        <w:t>i</w:t>
      </w:r>
      <w:r>
        <w:rPr>
          <w:color w:val="000000" w:themeColor="text1"/>
          <w:szCs w:val="20"/>
        </w:rPr>
        <w:t>s data do</w:t>
      </w:r>
      <w:r w:rsidR="00EF5325">
        <w:rPr>
          <w:color w:val="000000" w:themeColor="text1"/>
          <w:szCs w:val="20"/>
        </w:rPr>
        <w:t>es</w:t>
      </w:r>
      <w:r>
        <w:rPr>
          <w:color w:val="000000" w:themeColor="text1"/>
          <w:szCs w:val="20"/>
        </w:rPr>
        <w:t xml:space="preserve"> not cover all aspects of educator preparation. Rather they provide results of the key findings of the survey </w:t>
      </w:r>
      <w:r w:rsidR="00663A59">
        <w:rPr>
          <w:color w:val="000000" w:themeColor="text1"/>
          <w:szCs w:val="20"/>
        </w:rPr>
        <w:t xml:space="preserve">in the following areas: </w:t>
      </w:r>
      <w:r w:rsidR="0089481C">
        <w:rPr>
          <w:color w:val="000000" w:themeColor="text1"/>
          <w:szCs w:val="20"/>
        </w:rPr>
        <w:t>1) Overall readiness, 2) Coursework, 3</w:t>
      </w:r>
      <w:r w:rsidR="00663A59">
        <w:rPr>
          <w:color w:val="000000" w:themeColor="text1"/>
          <w:szCs w:val="20"/>
        </w:rPr>
        <w:t xml:space="preserve">) Field-based Experience, </w:t>
      </w:r>
      <w:r w:rsidR="0089481C">
        <w:rPr>
          <w:color w:val="000000" w:themeColor="text1"/>
          <w:szCs w:val="20"/>
        </w:rPr>
        <w:t>4) Supervision 5) Candidate experience, and</w:t>
      </w:r>
      <w:r w:rsidR="0060193E">
        <w:rPr>
          <w:color w:val="000000" w:themeColor="text1"/>
          <w:szCs w:val="20"/>
        </w:rPr>
        <w:t xml:space="preserve"> </w:t>
      </w:r>
      <w:r w:rsidR="0089481C">
        <w:rPr>
          <w:color w:val="000000" w:themeColor="text1"/>
          <w:szCs w:val="20"/>
        </w:rPr>
        <w:t>6</w:t>
      </w:r>
      <w:r w:rsidR="00663A59">
        <w:rPr>
          <w:color w:val="000000" w:themeColor="text1"/>
          <w:szCs w:val="20"/>
        </w:rPr>
        <w:t>) Preparation for Standards for E</w:t>
      </w:r>
      <w:r w:rsidR="0089481C">
        <w:rPr>
          <w:color w:val="000000" w:themeColor="text1"/>
          <w:szCs w:val="20"/>
        </w:rPr>
        <w:t>ffective Teaching Practice</w:t>
      </w:r>
      <w:r w:rsidR="00663A59">
        <w:rPr>
          <w:color w:val="000000" w:themeColor="text1"/>
          <w:szCs w:val="20"/>
        </w:rPr>
        <w:t>.</w:t>
      </w:r>
    </w:p>
    <w:p w:rsidR="00A74463" w:rsidRDefault="00A74463" w:rsidP="009D23AA">
      <w:pPr>
        <w:pStyle w:val="ListParagraph"/>
        <w:spacing w:line="240" w:lineRule="auto"/>
        <w:ind w:left="0"/>
        <w:rPr>
          <w:b/>
          <w:color w:val="0E4588" w:themeColor="text2"/>
          <w:sz w:val="32"/>
          <w:szCs w:val="32"/>
        </w:rPr>
      </w:pPr>
      <w:r w:rsidRPr="00A74463">
        <w:rPr>
          <w:b/>
          <w:color w:val="0E4588" w:themeColor="text2"/>
          <w:sz w:val="32"/>
          <w:szCs w:val="32"/>
        </w:rPr>
        <w:lastRenderedPageBreak/>
        <w:t>State Level Findings</w:t>
      </w:r>
    </w:p>
    <w:p w:rsidR="008A213F" w:rsidRPr="000A35E5" w:rsidRDefault="008A213F" w:rsidP="008A213F">
      <w:pPr>
        <w:spacing w:after="0" w:line="240" w:lineRule="auto"/>
        <w:contextualSpacing/>
        <w:rPr>
          <w:b/>
          <w:color w:val="E36C0A" w:themeColor="accent2"/>
          <w:sz w:val="28"/>
          <w:szCs w:val="28"/>
        </w:rPr>
      </w:pPr>
      <w:r w:rsidRPr="000A35E5">
        <w:rPr>
          <w:b/>
          <w:color w:val="E36C0A" w:themeColor="accent2"/>
          <w:sz w:val="28"/>
          <w:szCs w:val="28"/>
        </w:rPr>
        <w:t>Overall Readiness</w:t>
      </w:r>
    </w:p>
    <w:p w:rsidR="008A213F" w:rsidRPr="00CE3EEE" w:rsidRDefault="008A213F" w:rsidP="008A213F">
      <w:pPr>
        <w:pStyle w:val="ListParagraph"/>
        <w:numPr>
          <w:ilvl w:val="0"/>
          <w:numId w:val="3"/>
        </w:numPr>
        <w:spacing w:after="0" w:line="240" w:lineRule="auto"/>
      </w:pPr>
      <w:r>
        <w:t xml:space="preserve">Overall, candidates and completers </w:t>
      </w:r>
      <w:r w:rsidR="00960E61">
        <w:t>agree they were prepared to be an effective educator</w:t>
      </w:r>
      <w:r>
        <w:t xml:space="preserve">. Supervising Practitioners also </w:t>
      </w:r>
      <w:r w:rsidR="00960E61">
        <w:t>had a high rate of agreement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10;Percentage of stakeholders who selected “strongly agree” or “agree”&#10;&#10;Preparedness to be an effective educator:&#10;Candidate (n=408): 90%&#10;Completer (n=202): 88%&#10;Supervising Practitioner (n=649): 88%&#10;"/>
      </w:tblPr>
      <w:tblGrid>
        <w:gridCol w:w="4068"/>
        <w:gridCol w:w="1698"/>
        <w:gridCol w:w="1698"/>
        <w:gridCol w:w="1698"/>
      </w:tblGrid>
      <w:tr w:rsidR="008A213F" w:rsidRPr="00AB4F5E" w:rsidTr="00960E61">
        <w:trPr>
          <w:tblHeader/>
        </w:trPr>
        <w:tc>
          <w:tcPr>
            <w:tcW w:w="4068" w:type="dxa"/>
            <w:shd w:val="clear" w:color="auto" w:fill="B4C6E7" w:themeFill="accent5" w:themeFillTint="66"/>
            <w:vAlign w:val="bottom"/>
          </w:tcPr>
          <w:p w:rsidR="008A213F" w:rsidRPr="00AB4F5E" w:rsidRDefault="008A213F" w:rsidP="00433D66">
            <w:pPr>
              <w:contextualSpacing/>
              <w:rPr>
                <w:sz w:val="18"/>
                <w:szCs w:val="18"/>
              </w:rPr>
            </w:pPr>
            <w:r>
              <w:rPr>
                <w:i/>
                <w:color w:val="E36C0A" w:themeColor="accent2"/>
                <w:sz w:val="18"/>
                <w:szCs w:val="18"/>
              </w:rPr>
              <w:t xml:space="preserve">Percentage of stakeholders who selected </w:t>
            </w:r>
            <w:r w:rsidR="00433D66">
              <w:rPr>
                <w:i/>
                <w:color w:val="E36C0A" w:themeColor="accent2"/>
                <w:sz w:val="18"/>
                <w:szCs w:val="18"/>
              </w:rPr>
              <w:t>“</w:t>
            </w:r>
            <w:r w:rsidRPr="00AB4F5E">
              <w:rPr>
                <w:i/>
                <w:color w:val="E36C0A" w:themeColor="accent2"/>
                <w:sz w:val="18"/>
                <w:szCs w:val="18"/>
              </w:rPr>
              <w:t>strongly agree</w:t>
            </w:r>
            <w:r w:rsidR="00433D66">
              <w:rPr>
                <w:i/>
                <w:color w:val="E36C0A" w:themeColor="accent2"/>
                <w:sz w:val="18"/>
                <w:szCs w:val="18"/>
              </w:rPr>
              <w:t>”</w:t>
            </w:r>
            <w:r w:rsidRPr="00AB4F5E">
              <w:rPr>
                <w:i/>
                <w:color w:val="E36C0A" w:themeColor="accent2"/>
                <w:sz w:val="18"/>
                <w:szCs w:val="18"/>
              </w:rPr>
              <w:t xml:space="preserve"> </w:t>
            </w:r>
            <w:r w:rsidR="00433D66">
              <w:rPr>
                <w:i/>
                <w:color w:val="E36C0A" w:themeColor="accent2"/>
                <w:sz w:val="18"/>
                <w:szCs w:val="18"/>
              </w:rPr>
              <w:t>or</w:t>
            </w:r>
            <w:r w:rsidRPr="00AB4F5E">
              <w:rPr>
                <w:i/>
                <w:color w:val="E36C0A" w:themeColor="accent2"/>
                <w:sz w:val="18"/>
                <w:szCs w:val="18"/>
              </w:rPr>
              <w:t xml:space="preserve"> </w:t>
            </w:r>
            <w:r w:rsidR="00433D66">
              <w:rPr>
                <w:i/>
                <w:color w:val="E36C0A" w:themeColor="accent2"/>
                <w:sz w:val="18"/>
                <w:szCs w:val="18"/>
              </w:rPr>
              <w:t>“</w:t>
            </w:r>
            <w:r w:rsidRPr="00AB4F5E">
              <w:rPr>
                <w:i/>
                <w:color w:val="E36C0A" w:themeColor="accent2"/>
                <w:sz w:val="18"/>
                <w:szCs w:val="18"/>
              </w:rPr>
              <w:t>agree</w:t>
            </w:r>
            <w:r w:rsidR="00433D66">
              <w:rPr>
                <w:i/>
                <w:color w:val="E36C0A" w:themeColor="accent2"/>
                <w:sz w:val="18"/>
                <w:szCs w:val="18"/>
              </w:rPr>
              <w:t>”</w:t>
            </w:r>
          </w:p>
        </w:tc>
        <w:tc>
          <w:tcPr>
            <w:tcW w:w="1698" w:type="dxa"/>
            <w:shd w:val="clear" w:color="auto" w:fill="B4C6E7" w:themeFill="accent5" w:themeFillTint="66"/>
          </w:tcPr>
          <w:p w:rsidR="008A213F" w:rsidRPr="00AB4F5E" w:rsidRDefault="008A213F" w:rsidP="00960E61">
            <w:pPr>
              <w:contextualSpacing/>
              <w:jc w:val="center"/>
              <w:rPr>
                <w:sz w:val="20"/>
                <w:szCs w:val="20"/>
              </w:rPr>
            </w:pPr>
            <w:r w:rsidRPr="00AB4F5E">
              <w:rPr>
                <w:sz w:val="20"/>
                <w:szCs w:val="20"/>
              </w:rPr>
              <w:t>Candidate (n=408)</w:t>
            </w:r>
          </w:p>
        </w:tc>
        <w:tc>
          <w:tcPr>
            <w:tcW w:w="1698" w:type="dxa"/>
            <w:shd w:val="clear" w:color="auto" w:fill="B4C6E7" w:themeFill="accent5" w:themeFillTint="66"/>
          </w:tcPr>
          <w:p w:rsidR="008A213F" w:rsidRPr="00AB4F5E" w:rsidRDefault="008A213F" w:rsidP="00960E61">
            <w:pPr>
              <w:contextualSpacing/>
              <w:jc w:val="center"/>
              <w:rPr>
                <w:sz w:val="20"/>
                <w:szCs w:val="20"/>
              </w:rPr>
            </w:pPr>
            <w:r w:rsidRPr="00AB4F5E">
              <w:rPr>
                <w:sz w:val="20"/>
                <w:szCs w:val="20"/>
              </w:rPr>
              <w:t>Completer (n=202)</w:t>
            </w:r>
          </w:p>
        </w:tc>
        <w:tc>
          <w:tcPr>
            <w:tcW w:w="1698" w:type="dxa"/>
            <w:shd w:val="clear" w:color="auto" w:fill="B4C6E7" w:themeFill="accent5" w:themeFillTint="66"/>
          </w:tcPr>
          <w:p w:rsidR="008A213F" w:rsidRPr="00AB4F5E" w:rsidRDefault="008A213F" w:rsidP="00960E61">
            <w:pPr>
              <w:contextualSpacing/>
              <w:jc w:val="center"/>
              <w:rPr>
                <w:sz w:val="20"/>
                <w:szCs w:val="20"/>
              </w:rPr>
            </w:pPr>
            <w:r w:rsidRPr="00AB4F5E">
              <w:rPr>
                <w:sz w:val="20"/>
                <w:szCs w:val="20"/>
              </w:rPr>
              <w:t>Supervising Practitioner (n=649)</w:t>
            </w:r>
          </w:p>
        </w:tc>
      </w:tr>
      <w:tr w:rsidR="008A213F" w:rsidRPr="00AB4F5E" w:rsidTr="00960E61">
        <w:trPr>
          <w:tblHeader/>
        </w:trPr>
        <w:tc>
          <w:tcPr>
            <w:tcW w:w="4068" w:type="dxa"/>
            <w:tcBorders>
              <w:bottom w:val="single" w:sz="18" w:space="0" w:color="B4C6E7" w:themeColor="accent5" w:themeTint="66"/>
            </w:tcBorders>
            <w:vAlign w:val="center"/>
          </w:tcPr>
          <w:p w:rsidR="008A213F" w:rsidRPr="00AB4F5E" w:rsidRDefault="008A213F" w:rsidP="00960E61">
            <w:pPr>
              <w:contextualSpacing/>
              <w:rPr>
                <w:b/>
                <w:color w:val="0E4588" w:themeColor="text2"/>
                <w:sz w:val="20"/>
                <w:szCs w:val="20"/>
              </w:rPr>
            </w:pPr>
            <w:r w:rsidRPr="00AB4F5E">
              <w:rPr>
                <w:b/>
                <w:color w:val="0E4588" w:themeColor="text2"/>
                <w:sz w:val="20"/>
                <w:szCs w:val="20"/>
              </w:rPr>
              <w:t>Preparedness to be an effective educator</w:t>
            </w:r>
          </w:p>
        </w:tc>
        <w:tc>
          <w:tcPr>
            <w:tcW w:w="1698" w:type="dxa"/>
            <w:tcBorders>
              <w:bottom w:val="single" w:sz="18" w:space="0" w:color="B4C6E7" w:themeColor="accent5" w:themeTint="66"/>
            </w:tcBorders>
            <w:vAlign w:val="center"/>
          </w:tcPr>
          <w:p w:rsidR="008A213F" w:rsidRPr="00AB4F5E" w:rsidRDefault="008A213F" w:rsidP="00960E61">
            <w:pPr>
              <w:contextualSpacing/>
              <w:jc w:val="center"/>
              <w:rPr>
                <w:sz w:val="20"/>
                <w:szCs w:val="20"/>
              </w:rPr>
            </w:pPr>
            <w:r w:rsidRPr="00AB4F5E">
              <w:rPr>
                <w:sz w:val="20"/>
                <w:szCs w:val="20"/>
              </w:rPr>
              <w:t>90%</w:t>
            </w:r>
          </w:p>
        </w:tc>
        <w:tc>
          <w:tcPr>
            <w:tcW w:w="1698" w:type="dxa"/>
            <w:tcBorders>
              <w:bottom w:val="single" w:sz="18" w:space="0" w:color="B4C6E7" w:themeColor="accent5" w:themeTint="66"/>
            </w:tcBorders>
            <w:vAlign w:val="center"/>
          </w:tcPr>
          <w:p w:rsidR="008A213F" w:rsidRPr="00AB4F5E" w:rsidRDefault="008A213F" w:rsidP="00960E61">
            <w:pPr>
              <w:contextualSpacing/>
              <w:jc w:val="center"/>
              <w:rPr>
                <w:sz w:val="20"/>
                <w:szCs w:val="20"/>
              </w:rPr>
            </w:pPr>
            <w:r w:rsidRPr="00AB4F5E">
              <w:rPr>
                <w:sz w:val="20"/>
                <w:szCs w:val="20"/>
              </w:rPr>
              <w:t>88%</w:t>
            </w:r>
          </w:p>
        </w:tc>
        <w:tc>
          <w:tcPr>
            <w:tcW w:w="1698" w:type="dxa"/>
            <w:tcBorders>
              <w:bottom w:val="single" w:sz="18" w:space="0" w:color="B4C6E7" w:themeColor="accent5" w:themeTint="66"/>
            </w:tcBorders>
            <w:vAlign w:val="center"/>
          </w:tcPr>
          <w:p w:rsidR="008A213F" w:rsidRPr="00AB4F5E" w:rsidRDefault="008A213F" w:rsidP="00960E61">
            <w:pPr>
              <w:contextualSpacing/>
              <w:jc w:val="center"/>
              <w:rPr>
                <w:sz w:val="20"/>
                <w:szCs w:val="20"/>
              </w:rPr>
            </w:pPr>
            <w:r w:rsidRPr="00AB4F5E">
              <w:rPr>
                <w:sz w:val="20"/>
                <w:szCs w:val="20"/>
              </w:rPr>
              <w:t>88%</w:t>
            </w:r>
          </w:p>
        </w:tc>
      </w:tr>
    </w:tbl>
    <w:p w:rsidR="00F00456" w:rsidRPr="00F00456" w:rsidRDefault="00F00456" w:rsidP="00F00456">
      <w:pPr>
        <w:pStyle w:val="ListParagraph"/>
        <w:spacing w:after="0" w:line="240" w:lineRule="auto"/>
        <w:rPr>
          <w:i/>
          <w:sz w:val="20"/>
          <w:szCs w:val="20"/>
        </w:rPr>
      </w:pPr>
    </w:p>
    <w:p w:rsidR="008A213F" w:rsidRPr="00960E61" w:rsidRDefault="00960E61" w:rsidP="008A213F">
      <w:pPr>
        <w:pStyle w:val="ListParagraph"/>
        <w:numPr>
          <w:ilvl w:val="0"/>
          <w:numId w:val="6"/>
        </w:numPr>
        <w:spacing w:after="0" w:line="240" w:lineRule="auto"/>
        <w:rPr>
          <w:i/>
          <w:sz w:val="20"/>
          <w:szCs w:val="20"/>
        </w:rPr>
      </w:pPr>
      <w:r>
        <w:t xml:space="preserve">Principals, </w:t>
      </w:r>
      <w:r w:rsidR="008A213F">
        <w:t>who hired candidates aft</w:t>
      </w:r>
      <w:r>
        <w:t xml:space="preserve">er they completed their program, </w:t>
      </w:r>
      <w:r w:rsidR="008A213F">
        <w:t xml:space="preserve">were </w:t>
      </w:r>
      <w:r w:rsidR="0057382A">
        <w:t xml:space="preserve">less favorable </w:t>
      </w:r>
      <w:r w:rsidR="008A213F">
        <w:t xml:space="preserve">about new teachers’ readiness to meet the needs of the students in the school. On a five point scale from </w:t>
      </w:r>
      <w:r>
        <w:t>fully</w:t>
      </w:r>
      <w:r w:rsidR="008A213F">
        <w:t xml:space="preserve"> ready to not ready, only 27% of principals said candidates were fully ready and immediately impactful with students. The majority of principals (41%) said candidates are mostly ready.</w:t>
      </w:r>
      <w:r>
        <w:rPr>
          <w:rStyle w:val="FootnoteReference"/>
        </w:rPr>
        <w:footnoteReference w:id="4"/>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10;Percentage of stakeholders who selected “fully ready”&#10;&#10;Readiness to meet the needs of students in your school: Hiring Principals (n=620): 27%"/>
      </w:tblPr>
      <w:tblGrid>
        <w:gridCol w:w="4050"/>
        <w:gridCol w:w="1710"/>
      </w:tblGrid>
      <w:tr w:rsidR="008A213F" w:rsidTr="009A796B">
        <w:trPr>
          <w:tblHeader/>
        </w:trPr>
        <w:tc>
          <w:tcPr>
            <w:tcW w:w="4050" w:type="dxa"/>
            <w:shd w:val="clear" w:color="auto" w:fill="B4C6E7" w:themeFill="accent5" w:themeFillTint="66"/>
          </w:tcPr>
          <w:p w:rsidR="008A213F" w:rsidRPr="00721533" w:rsidRDefault="008A213F" w:rsidP="00960E61">
            <w:pPr>
              <w:pStyle w:val="ListParagraph"/>
              <w:ind w:left="0"/>
              <w:rPr>
                <w:sz w:val="20"/>
                <w:szCs w:val="20"/>
              </w:rPr>
            </w:pPr>
            <w:r>
              <w:rPr>
                <w:i/>
                <w:color w:val="E36C0A" w:themeColor="accent2"/>
                <w:sz w:val="18"/>
                <w:szCs w:val="18"/>
              </w:rPr>
              <w:t xml:space="preserve">Percentage of stakeholders who selected </w:t>
            </w:r>
            <w:r w:rsidR="00433D66">
              <w:rPr>
                <w:i/>
                <w:color w:val="E36C0A" w:themeColor="accent2"/>
                <w:sz w:val="18"/>
                <w:szCs w:val="18"/>
              </w:rPr>
              <w:t>“</w:t>
            </w:r>
            <w:r>
              <w:rPr>
                <w:i/>
                <w:color w:val="E36C0A" w:themeColor="accent2"/>
                <w:sz w:val="18"/>
                <w:szCs w:val="18"/>
              </w:rPr>
              <w:t>fully ready</w:t>
            </w:r>
            <w:r w:rsidR="00433D66">
              <w:rPr>
                <w:i/>
                <w:color w:val="E36C0A" w:themeColor="accent2"/>
                <w:sz w:val="18"/>
                <w:szCs w:val="18"/>
              </w:rPr>
              <w:t>”</w:t>
            </w:r>
          </w:p>
        </w:tc>
        <w:tc>
          <w:tcPr>
            <w:tcW w:w="1710" w:type="dxa"/>
            <w:shd w:val="clear" w:color="auto" w:fill="B4C6E7" w:themeFill="accent5" w:themeFillTint="66"/>
          </w:tcPr>
          <w:p w:rsidR="008A213F" w:rsidRPr="00721533" w:rsidRDefault="008A213F" w:rsidP="00960E61">
            <w:pPr>
              <w:pStyle w:val="ListParagraph"/>
              <w:ind w:left="0"/>
              <w:jc w:val="center"/>
              <w:rPr>
                <w:sz w:val="20"/>
                <w:szCs w:val="20"/>
              </w:rPr>
            </w:pPr>
            <w:r w:rsidRPr="00721533">
              <w:rPr>
                <w:sz w:val="20"/>
                <w:szCs w:val="20"/>
              </w:rPr>
              <w:t>Hiring Principals (n=620)</w:t>
            </w:r>
          </w:p>
        </w:tc>
      </w:tr>
      <w:tr w:rsidR="008A213F" w:rsidTr="00960E61">
        <w:tc>
          <w:tcPr>
            <w:tcW w:w="4050" w:type="dxa"/>
            <w:tcBorders>
              <w:bottom w:val="single" w:sz="18" w:space="0" w:color="B4C6E7" w:themeColor="accent5" w:themeTint="66"/>
            </w:tcBorders>
            <w:vAlign w:val="center"/>
          </w:tcPr>
          <w:p w:rsidR="008A213F" w:rsidRPr="00721533" w:rsidRDefault="008A213F" w:rsidP="00960E61">
            <w:pPr>
              <w:pStyle w:val="ListParagraph"/>
              <w:ind w:left="0"/>
              <w:rPr>
                <w:b/>
                <w:sz w:val="20"/>
                <w:szCs w:val="20"/>
              </w:rPr>
            </w:pPr>
            <w:r w:rsidRPr="00721533">
              <w:rPr>
                <w:b/>
                <w:color w:val="0E4588" w:themeColor="text2"/>
                <w:sz w:val="20"/>
                <w:szCs w:val="20"/>
              </w:rPr>
              <w:t>Readiness to meet the needs of students in your school</w:t>
            </w:r>
          </w:p>
        </w:tc>
        <w:tc>
          <w:tcPr>
            <w:tcW w:w="1710" w:type="dxa"/>
            <w:tcBorders>
              <w:bottom w:val="single" w:sz="18" w:space="0" w:color="B4C6E7" w:themeColor="accent5" w:themeTint="66"/>
            </w:tcBorders>
            <w:vAlign w:val="center"/>
          </w:tcPr>
          <w:p w:rsidR="008A213F" w:rsidRPr="00721533" w:rsidRDefault="008A213F" w:rsidP="00960E61">
            <w:pPr>
              <w:pStyle w:val="ListParagraph"/>
              <w:ind w:left="0"/>
              <w:jc w:val="center"/>
              <w:rPr>
                <w:sz w:val="20"/>
                <w:szCs w:val="20"/>
              </w:rPr>
            </w:pPr>
            <w:r w:rsidRPr="00721533">
              <w:rPr>
                <w:sz w:val="20"/>
                <w:szCs w:val="20"/>
              </w:rPr>
              <w:t>27%</w:t>
            </w:r>
          </w:p>
        </w:tc>
      </w:tr>
    </w:tbl>
    <w:p w:rsidR="008A213F" w:rsidRPr="000D4A71" w:rsidRDefault="008A213F" w:rsidP="009D23AA">
      <w:pPr>
        <w:pStyle w:val="ListParagraph"/>
        <w:spacing w:line="240" w:lineRule="auto"/>
        <w:ind w:left="0"/>
        <w:rPr>
          <w:b/>
          <w:color w:val="0E4588" w:themeColor="text2"/>
        </w:rPr>
      </w:pPr>
    </w:p>
    <w:p w:rsidR="0069319C" w:rsidRDefault="0069319C" w:rsidP="009D23AA">
      <w:pPr>
        <w:pStyle w:val="ListParagraph"/>
        <w:spacing w:line="240" w:lineRule="auto"/>
        <w:ind w:left="0"/>
        <w:rPr>
          <w:b/>
          <w:color w:val="E36C0A" w:themeColor="accent2"/>
          <w:sz w:val="28"/>
          <w:szCs w:val="28"/>
        </w:rPr>
      </w:pPr>
      <w:r w:rsidRPr="00C139EE">
        <w:rPr>
          <w:b/>
          <w:color w:val="E36C0A" w:themeColor="accent2"/>
          <w:sz w:val="28"/>
          <w:szCs w:val="28"/>
        </w:rPr>
        <w:t>Coursework</w:t>
      </w:r>
    </w:p>
    <w:p w:rsidR="00F758C4" w:rsidRPr="00F00456" w:rsidRDefault="004E20F3" w:rsidP="00F00456">
      <w:pPr>
        <w:pStyle w:val="ListParagraph"/>
        <w:numPr>
          <w:ilvl w:val="0"/>
          <w:numId w:val="2"/>
        </w:numPr>
        <w:spacing w:line="240" w:lineRule="auto"/>
        <w:rPr>
          <w:b/>
        </w:rPr>
      </w:pPr>
      <w:r w:rsidRPr="003E13AE">
        <w:rPr>
          <w:color w:val="000000" w:themeColor="text1"/>
        </w:rPr>
        <w:t xml:space="preserve">Candidates and completers </w:t>
      </w:r>
      <w:r w:rsidR="0060193E">
        <w:rPr>
          <w:color w:val="000000" w:themeColor="text1"/>
        </w:rPr>
        <w:t>agree</w:t>
      </w:r>
      <w:r w:rsidRPr="003E13AE">
        <w:rPr>
          <w:color w:val="000000" w:themeColor="text1"/>
        </w:rPr>
        <w:t xml:space="preserve"> coursework prepared them to make a po</w:t>
      </w:r>
      <w:r w:rsidR="003E13AE" w:rsidRPr="003E13AE">
        <w:rPr>
          <w:color w:val="000000" w:themeColor="text1"/>
        </w:rPr>
        <w:t xml:space="preserve">sitive impact on PK-12 </w:t>
      </w:r>
      <w:r w:rsidR="00433D66">
        <w:rPr>
          <w:color w:val="000000" w:themeColor="text1"/>
        </w:rPr>
        <w:t xml:space="preserve">students’ </w:t>
      </w:r>
      <w:r w:rsidR="003E13AE" w:rsidRPr="003E13AE">
        <w:rPr>
          <w:color w:val="000000" w:themeColor="text1"/>
        </w:rPr>
        <w:t>learning</w:t>
      </w:r>
      <w:r w:rsidR="00F758C4">
        <w:rPr>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Percentage of stakeholders who selected “strongly agree” or “agree”&#10;&#10;The coursework provided the teacher with the pedagogical content knowledge necessary to be an effective educator&#10;Candidate (n=408): 89%&#10;Completer (n=202): 87%&#10;Supervising Practitioner (n=649): n/a&#10;The coursework provided the teacher with the content knowledge necessary to be an effective educator&#10;Candidate (n=408): 88%&#10;Completer (n=202): 85%&#10;Supervising Practitioner (n=649): n/a&#10;Field-based experiences were explicitly connected to coursework&#10;Candidate (n=408): 84%&#10;Completer (n=202): 82%&#10;Supervising Practitioner (n=649): 87%&#10;Faculty/instructors were effective at preparing educators&#10;Candidate (n=408): 91%&#10;Completer (n=202): 90%&#10;Supervising Practitioner (n=649): n/a&#10;Coursework prepared the teacher to make a positive impact on PK-12 student learning&#10;Candidate (n=408): 93%&#10;Completer (n=202): 91%&#10;Supervising Practitioner (n=649): n/a"/>
      </w:tblPr>
      <w:tblGrid>
        <w:gridCol w:w="5508"/>
        <w:gridCol w:w="1170"/>
        <w:gridCol w:w="1621"/>
        <w:gridCol w:w="1277"/>
      </w:tblGrid>
      <w:tr w:rsidR="00C17C8D" w:rsidTr="00826F34">
        <w:trPr>
          <w:trHeight w:val="732"/>
          <w:tblHeader/>
        </w:trPr>
        <w:tc>
          <w:tcPr>
            <w:tcW w:w="5508" w:type="dxa"/>
            <w:shd w:val="clear" w:color="auto" w:fill="B4C6E7" w:themeFill="accent5" w:themeFillTint="66"/>
            <w:vAlign w:val="bottom"/>
          </w:tcPr>
          <w:p w:rsidR="00C17C8D" w:rsidRPr="00A74463" w:rsidRDefault="009D23AA" w:rsidP="00433D66">
            <w:pPr>
              <w:pStyle w:val="ListParagraph"/>
              <w:ind w:left="0"/>
              <w:rPr>
                <w:b/>
                <w:sz w:val="20"/>
                <w:szCs w:val="20"/>
              </w:rPr>
            </w:pPr>
            <w:r>
              <w:rPr>
                <w:i/>
                <w:color w:val="E36C0A" w:themeColor="accent2"/>
                <w:sz w:val="18"/>
                <w:szCs w:val="18"/>
              </w:rPr>
              <w:t xml:space="preserve">Percentage of stakeholders who selected </w:t>
            </w:r>
            <w:r w:rsidR="00433D66">
              <w:rPr>
                <w:i/>
                <w:color w:val="E36C0A" w:themeColor="accent2"/>
                <w:sz w:val="18"/>
                <w:szCs w:val="18"/>
              </w:rPr>
              <w:t>“</w:t>
            </w:r>
            <w:r w:rsidRPr="00AB4F5E">
              <w:rPr>
                <w:i/>
                <w:color w:val="E36C0A" w:themeColor="accent2"/>
                <w:sz w:val="18"/>
                <w:szCs w:val="18"/>
              </w:rPr>
              <w:t>strongly agree</w:t>
            </w:r>
            <w:r w:rsidR="00433D66">
              <w:rPr>
                <w:i/>
                <w:color w:val="E36C0A" w:themeColor="accent2"/>
                <w:sz w:val="18"/>
                <w:szCs w:val="18"/>
              </w:rPr>
              <w:t>”</w:t>
            </w:r>
            <w:r w:rsidRPr="00AB4F5E">
              <w:rPr>
                <w:i/>
                <w:color w:val="E36C0A" w:themeColor="accent2"/>
                <w:sz w:val="18"/>
                <w:szCs w:val="18"/>
              </w:rPr>
              <w:t xml:space="preserve"> </w:t>
            </w:r>
            <w:r w:rsidR="00433D66">
              <w:rPr>
                <w:i/>
                <w:color w:val="E36C0A" w:themeColor="accent2"/>
                <w:sz w:val="18"/>
                <w:szCs w:val="18"/>
              </w:rPr>
              <w:t>or</w:t>
            </w:r>
            <w:r w:rsidRPr="00AB4F5E">
              <w:rPr>
                <w:i/>
                <w:color w:val="E36C0A" w:themeColor="accent2"/>
                <w:sz w:val="18"/>
                <w:szCs w:val="18"/>
              </w:rPr>
              <w:t xml:space="preserve"> </w:t>
            </w:r>
            <w:r w:rsidR="00433D66">
              <w:rPr>
                <w:i/>
                <w:color w:val="E36C0A" w:themeColor="accent2"/>
                <w:sz w:val="18"/>
                <w:szCs w:val="18"/>
              </w:rPr>
              <w:t>“</w:t>
            </w:r>
            <w:r w:rsidRPr="00AB4F5E">
              <w:rPr>
                <w:i/>
                <w:color w:val="E36C0A" w:themeColor="accent2"/>
                <w:sz w:val="18"/>
                <w:szCs w:val="18"/>
              </w:rPr>
              <w:t>agree</w:t>
            </w:r>
            <w:r w:rsidR="00433D66">
              <w:rPr>
                <w:i/>
                <w:color w:val="E36C0A" w:themeColor="accent2"/>
                <w:sz w:val="18"/>
                <w:szCs w:val="18"/>
              </w:rPr>
              <w:t>”</w:t>
            </w:r>
          </w:p>
        </w:tc>
        <w:tc>
          <w:tcPr>
            <w:tcW w:w="1170" w:type="dxa"/>
            <w:shd w:val="clear" w:color="auto" w:fill="B4C6E7" w:themeFill="accent5" w:themeFillTint="66"/>
          </w:tcPr>
          <w:p w:rsidR="00C17C8D" w:rsidRPr="00A74463" w:rsidRDefault="00C17C8D" w:rsidP="009D23AA">
            <w:pPr>
              <w:pStyle w:val="ListParagraph"/>
              <w:ind w:left="0"/>
              <w:jc w:val="center"/>
              <w:rPr>
                <w:sz w:val="20"/>
                <w:szCs w:val="20"/>
              </w:rPr>
            </w:pPr>
            <w:r w:rsidRPr="00A74463">
              <w:rPr>
                <w:sz w:val="20"/>
                <w:szCs w:val="20"/>
              </w:rPr>
              <w:t>Candidate (n=408)</w:t>
            </w:r>
          </w:p>
        </w:tc>
        <w:tc>
          <w:tcPr>
            <w:tcW w:w="1621" w:type="dxa"/>
            <w:shd w:val="clear" w:color="auto" w:fill="B4C6E7" w:themeFill="accent5" w:themeFillTint="66"/>
          </w:tcPr>
          <w:p w:rsidR="00C17C8D" w:rsidRPr="00A74463" w:rsidRDefault="00C17C8D" w:rsidP="009D23AA">
            <w:pPr>
              <w:pStyle w:val="ListParagraph"/>
              <w:ind w:left="0"/>
              <w:jc w:val="center"/>
              <w:rPr>
                <w:sz w:val="20"/>
                <w:szCs w:val="20"/>
              </w:rPr>
            </w:pPr>
            <w:r w:rsidRPr="00A74463">
              <w:rPr>
                <w:sz w:val="20"/>
                <w:szCs w:val="20"/>
              </w:rPr>
              <w:t>Completer (n=202)</w:t>
            </w:r>
          </w:p>
        </w:tc>
        <w:tc>
          <w:tcPr>
            <w:tcW w:w="1277" w:type="dxa"/>
            <w:shd w:val="clear" w:color="auto" w:fill="B4C6E7" w:themeFill="accent5" w:themeFillTint="66"/>
          </w:tcPr>
          <w:p w:rsidR="00C17C8D" w:rsidRPr="00A74463" w:rsidRDefault="00C17C8D" w:rsidP="009D23AA">
            <w:pPr>
              <w:pStyle w:val="ListParagraph"/>
              <w:ind w:left="0"/>
              <w:jc w:val="center"/>
              <w:rPr>
                <w:sz w:val="20"/>
                <w:szCs w:val="20"/>
              </w:rPr>
            </w:pPr>
            <w:r w:rsidRPr="00A74463">
              <w:rPr>
                <w:sz w:val="20"/>
                <w:szCs w:val="20"/>
              </w:rPr>
              <w:t>Supervising Practitioner (n=649)</w:t>
            </w:r>
          </w:p>
        </w:tc>
      </w:tr>
      <w:tr w:rsidR="00C17C8D" w:rsidTr="00826F34">
        <w:trPr>
          <w:trHeight w:val="732"/>
        </w:trPr>
        <w:tc>
          <w:tcPr>
            <w:tcW w:w="5508" w:type="dxa"/>
            <w:tcBorders>
              <w:bottom w:val="single" w:sz="18" w:space="0" w:color="B4C6E7" w:themeColor="accent5" w:themeTint="66"/>
            </w:tcBorders>
            <w:vAlign w:val="center"/>
          </w:tcPr>
          <w:p w:rsidR="00C17C8D" w:rsidRPr="00A74463" w:rsidRDefault="00C17C8D" w:rsidP="0005780A">
            <w:pPr>
              <w:pStyle w:val="ListParagraph"/>
              <w:ind w:left="0"/>
              <w:rPr>
                <w:b/>
                <w:color w:val="0E4588" w:themeColor="text2"/>
                <w:sz w:val="20"/>
                <w:szCs w:val="20"/>
              </w:rPr>
            </w:pPr>
            <w:r w:rsidRPr="00A74463">
              <w:rPr>
                <w:b/>
                <w:color w:val="0E4588" w:themeColor="text2"/>
                <w:sz w:val="20"/>
                <w:szCs w:val="20"/>
              </w:rPr>
              <w:t xml:space="preserve">The coursework provided </w:t>
            </w:r>
            <w:r w:rsidR="0005780A">
              <w:rPr>
                <w:b/>
                <w:color w:val="0E4588" w:themeColor="text2"/>
                <w:sz w:val="20"/>
                <w:szCs w:val="20"/>
              </w:rPr>
              <w:t>the teacher</w:t>
            </w:r>
            <w:r w:rsidRPr="00A74463">
              <w:rPr>
                <w:b/>
                <w:color w:val="0E4588" w:themeColor="text2"/>
                <w:sz w:val="20"/>
                <w:szCs w:val="20"/>
              </w:rPr>
              <w:t xml:space="preserve"> with the pedagogical content knowledge necessary to be an effective educator</w:t>
            </w:r>
          </w:p>
        </w:tc>
        <w:tc>
          <w:tcPr>
            <w:tcW w:w="1170" w:type="dxa"/>
            <w:vAlign w:val="center"/>
          </w:tcPr>
          <w:p w:rsidR="00C17C8D" w:rsidRPr="00A74463" w:rsidRDefault="00C17C8D" w:rsidP="009D23AA">
            <w:pPr>
              <w:pStyle w:val="ListParagraph"/>
              <w:ind w:left="0"/>
              <w:jc w:val="center"/>
              <w:rPr>
                <w:sz w:val="20"/>
                <w:szCs w:val="20"/>
              </w:rPr>
            </w:pPr>
            <w:r w:rsidRPr="00A74463">
              <w:rPr>
                <w:sz w:val="20"/>
                <w:szCs w:val="20"/>
              </w:rPr>
              <w:t>89%</w:t>
            </w:r>
          </w:p>
        </w:tc>
        <w:tc>
          <w:tcPr>
            <w:tcW w:w="1621" w:type="dxa"/>
            <w:vAlign w:val="center"/>
          </w:tcPr>
          <w:p w:rsidR="00C17C8D" w:rsidRPr="00A74463" w:rsidRDefault="00C17C8D" w:rsidP="009D23AA">
            <w:pPr>
              <w:pStyle w:val="ListParagraph"/>
              <w:ind w:left="0"/>
              <w:jc w:val="center"/>
              <w:rPr>
                <w:sz w:val="20"/>
                <w:szCs w:val="20"/>
              </w:rPr>
            </w:pPr>
            <w:r w:rsidRPr="00A74463">
              <w:rPr>
                <w:sz w:val="20"/>
                <w:szCs w:val="20"/>
              </w:rPr>
              <w:t>87%</w:t>
            </w:r>
          </w:p>
        </w:tc>
        <w:tc>
          <w:tcPr>
            <w:tcW w:w="1277" w:type="dxa"/>
            <w:vAlign w:val="center"/>
          </w:tcPr>
          <w:p w:rsidR="00C17C8D" w:rsidRPr="00A74463" w:rsidRDefault="00C17C8D" w:rsidP="009D23AA">
            <w:pPr>
              <w:pStyle w:val="ListParagraph"/>
              <w:ind w:left="0"/>
              <w:jc w:val="center"/>
              <w:rPr>
                <w:sz w:val="20"/>
                <w:szCs w:val="20"/>
              </w:rPr>
            </w:pPr>
            <w:r w:rsidRPr="00A74463">
              <w:rPr>
                <w:sz w:val="20"/>
                <w:szCs w:val="20"/>
              </w:rPr>
              <w:t>n/a</w:t>
            </w:r>
          </w:p>
        </w:tc>
      </w:tr>
      <w:tr w:rsidR="00C17C8D" w:rsidTr="00826F34">
        <w:trPr>
          <w:trHeight w:val="732"/>
        </w:trPr>
        <w:tc>
          <w:tcPr>
            <w:tcW w:w="5508" w:type="dxa"/>
            <w:tcBorders>
              <w:top w:val="single" w:sz="18" w:space="0" w:color="B4C6E7" w:themeColor="accent5" w:themeTint="66"/>
              <w:bottom w:val="single" w:sz="18" w:space="0" w:color="B4C6E7" w:themeColor="accent5" w:themeTint="66"/>
            </w:tcBorders>
            <w:vAlign w:val="center"/>
          </w:tcPr>
          <w:p w:rsidR="00C17C8D" w:rsidRPr="00A74463" w:rsidRDefault="00C17C8D" w:rsidP="0005780A">
            <w:pPr>
              <w:pStyle w:val="ListParagraph"/>
              <w:ind w:left="0"/>
              <w:rPr>
                <w:b/>
                <w:color w:val="0E4588" w:themeColor="text2"/>
                <w:sz w:val="20"/>
                <w:szCs w:val="20"/>
              </w:rPr>
            </w:pPr>
            <w:r w:rsidRPr="00A74463">
              <w:rPr>
                <w:b/>
                <w:color w:val="0E4588" w:themeColor="text2"/>
                <w:sz w:val="20"/>
                <w:szCs w:val="20"/>
              </w:rPr>
              <w:t xml:space="preserve">The coursework provided </w:t>
            </w:r>
            <w:r w:rsidR="0005780A">
              <w:rPr>
                <w:b/>
                <w:color w:val="0E4588" w:themeColor="text2"/>
                <w:sz w:val="20"/>
                <w:szCs w:val="20"/>
              </w:rPr>
              <w:t>the teacher</w:t>
            </w:r>
            <w:r w:rsidRPr="00A74463">
              <w:rPr>
                <w:b/>
                <w:color w:val="0E4588" w:themeColor="text2"/>
                <w:sz w:val="20"/>
                <w:szCs w:val="20"/>
              </w:rPr>
              <w:t xml:space="preserve"> with the content knowledge necessary to be an effective educator</w:t>
            </w:r>
          </w:p>
        </w:tc>
        <w:tc>
          <w:tcPr>
            <w:tcW w:w="1170" w:type="dxa"/>
            <w:tcBorders>
              <w:top w:val="single" w:sz="18" w:space="0" w:color="B4C6E7" w:themeColor="accent5" w:themeTint="66"/>
            </w:tcBorders>
            <w:vAlign w:val="center"/>
          </w:tcPr>
          <w:p w:rsidR="00C17C8D" w:rsidRPr="00A74463" w:rsidRDefault="00C17C8D" w:rsidP="009D23AA">
            <w:pPr>
              <w:pStyle w:val="ListParagraph"/>
              <w:ind w:left="0"/>
              <w:jc w:val="center"/>
              <w:rPr>
                <w:sz w:val="20"/>
                <w:szCs w:val="20"/>
              </w:rPr>
            </w:pPr>
            <w:r w:rsidRPr="00A74463">
              <w:rPr>
                <w:sz w:val="20"/>
                <w:szCs w:val="20"/>
              </w:rPr>
              <w:t>88%</w:t>
            </w:r>
          </w:p>
        </w:tc>
        <w:tc>
          <w:tcPr>
            <w:tcW w:w="1621" w:type="dxa"/>
            <w:tcBorders>
              <w:top w:val="single" w:sz="18" w:space="0" w:color="B4C6E7" w:themeColor="accent5" w:themeTint="66"/>
            </w:tcBorders>
            <w:vAlign w:val="center"/>
          </w:tcPr>
          <w:p w:rsidR="00C17C8D" w:rsidRPr="00A74463" w:rsidRDefault="00C17C8D" w:rsidP="009D23AA">
            <w:pPr>
              <w:pStyle w:val="ListParagraph"/>
              <w:ind w:left="0"/>
              <w:jc w:val="center"/>
              <w:rPr>
                <w:sz w:val="20"/>
                <w:szCs w:val="20"/>
              </w:rPr>
            </w:pPr>
            <w:r w:rsidRPr="00A74463">
              <w:rPr>
                <w:sz w:val="20"/>
                <w:szCs w:val="20"/>
              </w:rPr>
              <w:t>85%</w:t>
            </w:r>
          </w:p>
        </w:tc>
        <w:tc>
          <w:tcPr>
            <w:tcW w:w="1277" w:type="dxa"/>
            <w:tcBorders>
              <w:top w:val="single" w:sz="18" w:space="0" w:color="B4C6E7" w:themeColor="accent5" w:themeTint="66"/>
            </w:tcBorders>
            <w:vAlign w:val="center"/>
          </w:tcPr>
          <w:p w:rsidR="00C17C8D" w:rsidRPr="00A74463" w:rsidRDefault="00C17C8D" w:rsidP="009D23AA">
            <w:pPr>
              <w:pStyle w:val="ListParagraph"/>
              <w:ind w:left="0"/>
              <w:jc w:val="center"/>
              <w:rPr>
                <w:sz w:val="20"/>
                <w:szCs w:val="20"/>
              </w:rPr>
            </w:pPr>
            <w:r w:rsidRPr="00A74463">
              <w:rPr>
                <w:sz w:val="20"/>
                <w:szCs w:val="20"/>
              </w:rPr>
              <w:t>n/a</w:t>
            </w:r>
          </w:p>
        </w:tc>
      </w:tr>
      <w:tr w:rsidR="00C17C8D" w:rsidTr="00826F34">
        <w:trPr>
          <w:trHeight w:val="732"/>
        </w:trPr>
        <w:tc>
          <w:tcPr>
            <w:tcW w:w="5508" w:type="dxa"/>
            <w:tcBorders>
              <w:top w:val="single" w:sz="18" w:space="0" w:color="B4C6E7" w:themeColor="accent5" w:themeTint="66"/>
              <w:bottom w:val="single" w:sz="18" w:space="0" w:color="B4C6E7" w:themeColor="accent5" w:themeTint="66"/>
            </w:tcBorders>
            <w:vAlign w:val="center"/>
          </w:tcPr>
          <w:p w:rsidR="00C17C8D" w:rsidRPr="00A74463" w:rsidRDefault="0005780A" w:rsidP="0005780A">
            <w:pPr>
              <w:pStyle w:val="ListParagraph"/>
              <w:ind w:left="0"/>
              <w:rPr>
                <w:b/>
                <w:color w:val="0E4588" w:themeColor="text2"/>
                <w:sz w:val="20"/>
                <w:szCs w:val="20"/>
              </w:rPr>
            </w:pPr>
            <w:r>
              <w:rPr>
                <w:b/>
                <w:color w:val="0E4588" w:themeColor="text2"/>
                <w:sz w:val="20"/>
                <w:szCs w:val="20"/>
              </w:rPr>
              <w:t>F</w:t>
            </w:r>
            <w:r w:rsidR="00C17C8D" w:rsidRPr="00A74463">
              <w:rPr>
                <w:b/>
                <w:color w:val="0E4588" w:themeColor="text2"/>
                <w:sz w:val="20"/>
                <w:szCs w:val="20"/>
              </w:rPr>
              <w:t>ield-based experiences were explicitly connected to coursework</w:t>
            </w:r>
          </w:p>
        </w:tc>
        <w:tc>
          <w:tcPr>
            <w:tcW w:w="1170" w:type="dxa"/>
            <w:tcBorders>
              <w:top w:val="single" w:sz="18" w:space="0" w:color="B4C6E7" w:themeColor="accent5" w:themeTint="66"/>
            </w:tcBorders>
            <w:vAlign w:val="center"/>
          </w:tcPr>
          <w:p w:rsidR="00C17C8D" w:rsidRPr="00A74463" w:rsidRDefault="00C17C8D" w:rsidP="009D23AA">
            <w:pPr>
              <w:pStyle w:val="ListParagraph"/>
              <w:ind w:left="0"/>
              <w:jc w:val="center"/>
              <w:rPr>
                <w:sz w:val="20"/>
                <w:szCs w:val="20"/>
              </w:rPr>
            </w:pPr>
            <w:r w:rsidRPr="00A74463">
              <w:rPr>
                <w:sz w:val="20"/>
                <w:szCs w:val="20"/>
              </w:rPr>
              <w:t>84%</w:t>
            </w:r>
          </w:p>
        </w:tc>
        <w:tc>
          <w:tcPr>
            <w:tcW w:w="1621" w:type="dxa"/>
            <w:tcBorders>
              <w:top w:val="single" w:sz="18" w:space="0" w:color="B4C6E7" w:themeColor="accent5" w:themeTint="66"/>
            </w:tcBorders>
            <w:vAlign w:val="center"/>
          </w:tcPr>
          <w:p w:rsidR="00C17C8D" w:rsidRPr="00A74463" w:rsidRDefault="00C17C8D" w:rsidP="009D23AA">
            <w:pPr>
              <w:pStyle w:val="ListParagraph"/>
              <w:ind w:left="0"/>
              <w:jc w:val="center"/>
              <w:rPr>
                <w:sz w:val="20"/>
                <w:szCs w:val="20"/>
              </w:rPr>
            </w:pPr>
            <w:r w:rsidRPr="00A74463">
              <w:rPr>
                <w:sz w:val="20"/>
                <w:szCs w:val="20"/>
              </w:rPr>
              <w:t>82%</w:t>
            </w:r>
          </w:p>
        </w:tc>
        <w:tc>
          <w:tcPr>
            <w:tcW w:w="1277" w:type="dxa"/>
            <w:tcBorders>
              <w:top w:val="single" w:sz="18" w:space="0" w:color="B4C6E7" w:themeColor="accent5" w:themeTint="66"/>
            </w:tcBorders>
            <w:vAlign w:val="center"/>
          </w:tcPr>
          <w:p w:rsidR="00C17C8D" w:rsidRPr="00A74463" w:rsidRDefault="00C17C8D" w:rsidP="009D23AA">
            <w:pPr>
              <w:pStyle w:val="ListParagraph"/>
              <w:ind w:left="0"/>
              <w:jc w:val="center"/>
              <w:rPr>
                <w:sz w:val="20"/>
                <w:szCs w:val="20"/>
              </w:rPr>
            </w:pPr>
            <w:r w:rsidRPr="00A74463">
              <w:rPr>
                <w:sz w:val="20"/>
                <w:szCs w:val="20"/>
              </w:rPr>
              <w:t>87%</w:t>
            </w:r>
          </w:p>
        </w:tc>
      </w:tr>
      <w:tr w:rsidR="00A74463" w:rsidTr="00826F34">
        <w:trPr>
          <w:trHeight w:val="732"/>
        </w:trPr>
        <w:tc>
          <w:tcPr>
            <w:tcW w:w="5508" w:type="dxa"/>
            <w:tcBorders>
              <w:top w:val="single" w:sz="18" w:space="0" w:color="B4C6E7" w:themeColor="accent5" w:themeTint="66"/>
              <w:bottom w:val="single" w:sz="18" w:space="0" w:color="B4C6E7" w:themeColor="accent5" w:themeTint="66"/>
            </w:tcBorders>
            <w:vAlign w:val="center"/>
          </w:tcPr>
          <w:p w:rsidR="00A74463" w:rsidRPr="00A74463" w:rsidRDefault="0005780A" w:rsidP="009D23AA">
            <w:pPr>
              <w:pStyle w:val="ListParagraph"/>
              <w:ind w:left="0"/>
              <w:rPr>
                <w:b/>
                <w:color w:val="0E4588" w:themeColor="text2"/>
                <w:sz w:val="20"/>
                <w:szCs w:val="20"/>
              </w:rPr>
            </w:pPr>
            <w:r>
              <w:rPr>
                <w:b/>
                <w:color w:val="0E4588" w:themeColor="text2"/>
                <w:sz w:val="20"/>
                <w:szCs w:val="20"/>
              </w:rPr>
              <w:t>F</w:t>
            </w:r>
            <w:r w:rsidR="00A74463">
              <w:rPr>
                <w:b/>
                <w:color w:val="0E4588" w:themeColor="text2"/>
                <w:sz w:val="20"/>
                <w:szCs w:val="20"/>
              </w:rPr>
              <w:t>aculty/instructors were effective at preparing educators</w:t>
            </w:r>
          </w:p>
        </w:tc>
        <w:tc>
          <w:tcPr>
            <w:tcW w:w="1170" w:type="dxa"/>
            <w:tcBorders>
              <w:top w:val="single" w:sz="18" w:space="0" w:color="B4C6E7" w:themeColor="accent5" w:themeTint="66"/>
            </w:tcBorders>
            <w:vAlign w:val="center"/>
          </w:tcPr>
          <w:p w:rsidR="00A74463" w:rsidRPr="00A74463" w:rsidRDefault="004A0AB5" w:rsidP="009D23AA">
            <w:pPr>
              <w:pStyle w:val="ListParagraph"/>
              <w:ind w:left="0"/>
              <w:jc w:val="center"/>
              <w:rPr>
                <w:sz w:val="20"/>
                <w:szCs w:val="20"/>
              </w:rPr>
            </w:pPr>
            <w:r>
              <w:rPr>
                <w:sz w:val="20"/>
                <w:szCs w:val="20"/>
              </w:rPr>
              <w:t>91%</w:t>
            </w:r>
          </w:p>
        </w:tc>
        <w:tc>
          <w:tcPr>
            <w:tcW w:w="1621" w:type="dxa"/>
            <w:tcBorders>
              <w:top w:val="single" w:sz="18" w:space="0" w:color="B4C6E7" w:themeColor="accent5" w:themeTint="66"/>
            </w:tcBorders>
            <w:vAlign w:val="center"/>
          </w:tcPr>
          <w:p w:rsidR="00A74463" w:rsidRPr="00A74463" w:rsidRDefault="004A0AB5" w:rsidP="009D23AA">
            <w:pPr>
              <w:pStyle w:val="ListParagraph"/>
              <w:ind w:left="0"/>
              <w:jc w:val="center"/>
              <w:rPr>
                <w:sz w:val="20"/>
                <w:szCs w:val="20"/>
              </w:rPr>
            </w:pPr>
            <w:r>
              <w:rPr>
                <w:sz w:val="20"/>
                <w:szCs w:val="20"/>
              </w:rPr>
              <w:t>90%</w:t>
            </w:r>
          </w:p>
        </w:tc>
        <w:tc>
          <w:tcPr>
            <w:tcW w:w="1277" w:type="dxa"/>
            <w:tcBorders>
              <w:top w:val="single" w:sz="18" w:space="0" w:color="B4C6E7" w:themeColor="accent5" w:themeTint="66"/>
            </w:tcBorders>
            <w:vAlign w:val="center"/>
          </w:tcPr>
          <w:p w:rsidR="00A74463" w:rsidRPr="00A74463" w:rsidRDefault="00483B61" w:rsidP="009D23AA">
            <w:pPr>
              <w:pStyle w:val="ListParagraph"/>
              <w:ind w:left="0"/>
              <w:jc w:val="center"/>
              <w:rPr>
                <w:sz w:val="20"/>
                <w:szCs w:val="20"/>
              </w:rPr>
            </w:pPr>
            <w:r>
              <w:rPr>
                <w:sz w:val="20"/>
                <w:szCs w:val="20"/>
              </w:rPr>
              <w:t>n/a</w:t>
            </w:r>
          </w:p>
        </w:tc>
      </w:tr>
      <w:tr w:rsidR="00C17C8D" w:rsidTr="00826F34">
        <w:trPr>
          <w:trHeight w:val="732"/>
        </w:trPr>
        <w:tc>
          <w:tcPr>
            <w:tcW w:w="5508" w:type="dxa"/>
            <w:tcBorders>
              <w:top w:val="single" w:sz="18" w:space="0" w:color="B4C6E7" w:themeColor="accent5" w:themeTint="66"/>
              <w:bottom w:val="single" w:sz="18" w:space="0" w:color="B4C6E7" w:themeColor="accent5" w:themeTint="66"/>
            </w:tcBorders>
            <w:vAlign w:val="center"/>
          </w:tcPr>
          <w:p w:rsidR="00C17C8D" w:rsidRPr="00A74463" w:rsidRDefault="00C17C8D" w:rsidP="0005780A">
            <w:pPr>
              <w:pStyle w:val="ListParagraph"/>
              <w:ind w:left="0"/>
              <w:rPr>
                <w:b/>
                <w:color w:val="0E4588" w:themeColor="text2"/>
                <w:sz w:val="20"/>
                <w:szCs w:val="20"/>
              </w:rPr>
            </w:pPr>
            <w:r w:rsidRPr="00A74463">
              <w:rPr>
                <w:b/>
                <w:color w:val="0E4588" w:themeColor="text2"/>
                <w:sz w:val="20"/>
                <w:szCs w:val="20"/>
              </w:rPr>
              <w:t xml:space="preserve">Coursework prepared </w:t>
            </w:r>
            <w:r w:rsidR="0005780A">
              <w:rPr>
                <w:b/>
                <w:color w:val="0E4588" w:themeColor="text2"/>
                <w:sz w:val="20"/>
                <w:szCs w:val="20"/>
              </w:rPr>
              <w:t>the teacher</w:t>
            </w:r>
            <w:r w:rsidRPr="00A74463">
              <w:rPr>
                <w:b/>
                <w:color w:val="0E4588" w:themeColor="text2"/>
                <w:sz w:val="20"/>
                <w:szCs w:val="20"/>
              </w:rPr>
              <w:t xml:space="preserve"> to make a positive impact on PK-12 student learning</w:t>
            </w:r>
          </w:p>
        </w:tc>
        <w:tc>
          <w:tcPr>
            <w:tcW w:w="1170" w:type="dxa"/>
            <w:tcBorders>
              <w:top w:val="single" w:sz="18" w:space="0" w:color="B4C6E7" w:themeColor="accent5" w:themeTint="66"/>
              <w:bottom w:val="single" w:sz="18" w:space="0" w:color="B4C6E7" w:themeColor="accent5" w:themeTint="66"/>
            </w:tcBorders>
            <w:vAlign w:val="center"/>
          </w:tcPr>
          <w:p w:rsidR="00C17C8D" w:rsidRPr="00A74463" w:rsidRDefault="00C17C8D" w:rsidP="009D23AA">
            <w:pPr>
              <w:pStyle w:val="ListParagraph"/>
              <w:ind w:left="0"/>
              <w:jc w:val="center"/>
              <w:rPr>
                <w:sz w:val="20"/>
                <w:szCs w:val="20"/>
              </w:rPr>
            </w:pPr>
            <w:r w:rsidRPr="00A74463">
              <w:rPr>
                <w:sz w:val="20"/>
                <w:szCs w:val="20"/>
              </w:rPr>
              <w:t>93%</w:t>
            </w:r>
          </w:p>
        </w:tc>
        <w:tc>
          <w:tcPr>
            <w:tcW w:w="1621" w:type="dxa"/>
            <w:tcBorders>
              <w:top w:val="single" w:sz="18" w:space="0" w:color="B4C6E7" w:themeColor="accent5" w:themeTint="66"/>
              <w:bottom w:val="single" w:sz="18" w:space="0" w:color="B4C6E7" w:themeColor="accent5" w:themeTint="66"/>
            </w:tcBorders>
            <w:vAlign w:val="center"/>
          </w:tcPr>
          <w:p w:rsidR="00C17C8D" w:rsidRPr="00A74463" w:rsidRDefault="00C17C8D" w:rsidP="009D23AA">
            <w:pPr>
              <w:pStyle w:val="ListParagraph"/>
              <w:ind w:left="0"/>
              <w:jc w:val="center"/>
              <w:rPr>
                <w:sz w:val="20"/>
                <w:szCs w:val="20"/>
              </w:rPr>
            </w:pPr>
            <w:r w:rsidRPr="00A74463">
              <w:rPr>
                <w:sz w:val="20"/>
                <w:szCs w:val="20"/>
              </w:rPr>
              <w:t>91%</w:t>
            </w:r>
          </w:p>
        </w:tc>
        <w:tc>
          <w:tcPr>
            <w:tcW w:w="1277" w:type="dxa"/>
            <w:tcBorders>
              <w:top w:val="single" w:sz="18" w:space="0" w:color="B4C6E7" w:themeColor="accent5" w:themeTint="66"/>
              <w:bottom w:val="single" w:sz="18" w:space="0" w:color="B4C6E7" w:themeColor="accent5" w:themeTint="66"/>
            </w:tcBorders>
            <w:vAlign w:val="center"/>
          </w:tcPr>
          <w:p w:rsidR="00C17C8D" w:rsidRPr="00A74463" w:rsidRDefault="00C17C8D" w:rsidP="009D23AA">
            <w:pPr>
              <w:pStyle w:val="ListParagraph"/>
              <w:ind w:left="0"/>
              <w:jc w:val="center"/>
              <w:rPr>
                <w:sz w:val="20"/>
                <w:szCs w:val="20"/>
              </w:rPr>
            </w:pPr>
            <w:r w:rsidRPr="00A74463">
              <w:rPr>
                <w:sz w:val="20"/>
                <w:szCs w:val="20"/>
              </w:rPr>
              <w:t>n/a</w:t>
            </w:r>
          </w:p>
        </w:tc>
      </w:tr>
    </w:tbl>
    <w:p w:rsidR="00E77C1F" w:rsidRDefault="00E77C1F" w:rsidP="009D23AA">
      <w:pPr>
        <w:pStyle w:val="ListParagraph"/>
        <w:spacing w:line="240" w:lineRule="auto"/>
        <w:ind w:left="0"/>
        <w:rPr>
          <w:b/>
          <w:color w:val="E36C0A" w:themeColor="accent2"/>
          <w:sz w:val="28"/>
          <w:szCs w:val="28"/>
        </w:rPr>
      </w:pPr>
      <w:r w:rsidRPr="003E13AE">
        <w:rPr>
          <w:b/>
          <w:color w:val="E36C0A" w:themeColor="accent2"/>
          <w:sz w:val="28"/>
          <w:szCs w:val="28"/>
        </w:rPr>
        <w:lastRenderedPageBreak/>
        <w:t>Field-Based Experiences</w:t>
      </w:r>
    </w:p>
    <w:p w:rsidR="003E13AE" w:rsidRDefault="00290A61" w:rsidP="009D23AA">
      <w:pPr>
        <w:pStyle w:val="ListParagraph"/>
        <w:numPr>
          <w:ilvl w:val="0"/>
          <w:numId w:val="4"/>
        </w:numPr>
        <w:spacing w:line="240" w:lineRule="auto"/>
        <w:rPr>
          <w:color w:val="000000" w:themeColor="text1"/>
        </w:rPr>
      </w:pPr>
      <w:r>
        <w:rPr>
          <w:color w:val="000000" w:themeColor="text1"/>
        </w:rPr>
        <w:t xml:space="preserve">Candidates and completers </w:t>
      </w:r>
      <w:r w:rsidR="0060193E">
        <w:rPr>
          <w:color w:val="000000" w:themeColor="text1"/>
        </w:rPr>
        <w:t>agree</w:t>
      </w:r>
      <w:r>
        <w:rPr>
          <w:color w:val="000000" w:themeColor="text1"/>
        </w:rPr>
        <w:t xml:space="preserve"> their field-based experiences prepared them to be an effective educator.</w:t>
      </w:r>
    </w:p>
    <w:p w:rsidR="00290A61" w:rsidRDefault="00290A61" w:rsidP="009D23AA">
      <w:pPr>
        <w:pStyle w:val="ListParagraph"/>
        <w:numPr>
          <w:ilvl w:val="0"/>
          <w:numId w:val="4"/>
        </w:numPr>
        <w:spacing w:line="240" w:lineRule="auto"/>
        <w:rPr>
          <w:color w:val="000000" w:themeColor="text1"/>
        </w:rPr>
      </w:pPr>
      <w:r>
        <w:rPr>
          <w:color w:val="000000" w:themeColor="text1"/>
        </w:rPr>
        <w:t xml:space="preserve">Supervising Practitioners also </w:t>
      </w:r>
      <w:r w:rsidR="0060193E">
        <w:rPr>
          <w:color w:val="000000" w:themeColor="text1"/>
        </w:rPr>
        <w:t>agree</w:t>
      </w:r>
      <w:r>
        <w:rPr>
          <w:color w:val="000000" w:themeColor="text1"/>
        </w:rPr>
        <w:t xml:space="preserve"> that the field-based experiences well prepared future educators.</w:t>
      </w:r>
    </w:p>
    <w:p w:rsidR="00390A8A" w:rsidRDefault="00290A61" w:rsidP="00390A8A">
      <w:pPr>
        <w:pStyle w:val="ListParagraph"/>
        <w:numPr>
          <w:ilvl w:val="0"/>
          <w:numId w:val="4"/>
        </w:numPr>
        <w:spacing w:line="240" w:lineRule="auto"/>
        <w:rPr>
          <w:color w:val="000000" w:themeColor="text1"/>
        </w:rPr>
      </w:pPr>
      <w:r>
        <w:rPr>
          <w:color w:val="000000" w:themeColor="text1"/>
        </w:rPr>
        <w:t xml:space="preserve">Candidates, completers and Supervising Practitioners </w:t>
      </w:r>
      <w:r w:rsidR="0060193E">
        <w:rPr>
          <w:color w:val="000000" w:themeColor="text1"/>
        </w:rPr>
        <w:t>reported differing levels of</w:t>
      </w:r>
      <w:r>
        <w:rPr>
          <w:color w:val="000000" w:themeColor="text1"/>
        </w:rPr>
        <w:t xml:space="preserve"> agreement about the pre-practicum experience. Completers </w:t>
      </w:r>
      <w:r w:rsidR="00342EA9">
        <w:rPr>
          <w:color w:val="000000" w:themeColor="text1"/>
        </w:rPr>
        <w:t>agree</w:t>
      </w:r>
      <w:r w:rsidR="00F758C4">
        <w:rPr>
          <w:color w:val="000000" w:themeColor="text1"/>
        </w:rPr>
        <w:t xml:space="preserve"> most that the</w:t>
      </w:r>
      <w:r>
        <w:rPr>
          <w:color w:val="000000" w:themeColor="text1"/>
        </w:rPr>
        <w:t xml:space="preserve"> pre-practicum experience preparing them for their full student-teaching experience in the practicum. </w:t>
      </w:r>
      <w:r w:rsidR="00F758C4">
        <w:rPr>
          <w:color w:val="000000" w:themeColor="text1"/>
        </w:rPr>
        <w:t xml:space="preserve">Supervising Practitioners and candidates </w:t>
      </w:r>
      <w:r>
        <w:rPr>
          <w:color w:val="000000" w:themeColor="text1"/>
        </w:rPr>
        <w:t xml:space="preserve">had lower rates of agreement. </w:t>
      </w:r>
    </w:p>
    <w:p w:rsidR="0057382A" w:rsidRPr="00F00456" w:rsidRDefault="00F758C4" w:rsidP="0057382A">
      <w:pPr>
        <w:pStyle w:val="ListParagraph"/>
        <w:numPr>
          <w:ilvl w:val="0"/>
          <w:numId w:val="4"/>
        </w:numPr>
        <w:spacing w:line="240" w:lineRule="auto"/>
        <w:rPr>
          <w:color w:val="000000" w:themeColor="text1"/>
        </w:rPr>
      </w:pPr>
      <w:r>
        <w:rPr>
          <w:color w:val="000000" w:themeColor="text1"/>
        </w:rPr>
        <w:t>Completers, who did not experience the Candidate Assessment for Performance (CAP), were less favorable about their assessment in field-based experience than candidates, who experienced both CAP and the Pre-Service Performance Assessment (PPA).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ercentage of stakeholders who selected “strongly agree” or “agree”&#10;&#10;Pre-practicum experience prepared teacher for full student-teaching experience in the practicum&#10;Candidates (n=408): 75%&#10;Completers (n=202): 85%&#10;Supervising Practitioners (n=649): 81%&#10;During field-based experiences, the teacher worked with students from diverse ethnic, racial, socioeconomic and exceptional groups&#10;Candidates (n=408): 90%&#10;Completers (n=202): 91%&#10;Supervising Practitioners (n=649): 90%&#10;Teaching practice improved as a result of undergoing an assessment in field-based experience&#10;Candidates (n=408): 77%&#10;Completers (n=202): 69%&#10;Supervising Practitioners (n=649): n/a&#10;Field-based experience prepared teacher to be an effective educator&#10;Candidates (n=408): 96%&#10;Completers (n=202): 94%&#10;Supervising Practitioners (n=649): 93%&#10;&#10;"/>
      </w:tblPr>
      <w:tblGrid>
        <w:gridCol w:w="5508"/>
        <w:gridCol w:w="1350"/>
        <w:gridCol w:w="1350"/>
        <w:gridCol w:w="1368"/>
      </w:tblGrid>
      <w:tr w:rsidR="00C17C8D" w:rsidTr="0060193E">
        <w:trPr>
          <w:trHeight w:val="732"/>
          <w:tblHeader/>
        </w:trPr>
        <w:tc>
          <w:tcPr>
            <w:tcW w:w="5508" w:type="dxa"/>
            <w:shd w:val="clear" w:color="auto" w:fill="B4C6E7" w:themeFill="accent5" w:themeFillTint="66"/>
            <w:vAlign w:val="bottom"/>
          </w:tcPr>
          <w:p w:rsidR="00C17C8D" w:rsidRDefault="009D23AA" w:rsidP="00B0784C">
            <w:pPr>
              <w:pStyle w:val="ListParagraph"/>
              <w:ind w:left="0"/>
              <w:rPr>
                <w:b/>
              </w:rPr>
            </w:pPr>
            <w:r>
              <w:rPr>
                <w:i/>
                <w:color w:val="E36C0A" w:themeColor="accent2"/>
                <w:sz w:val="18"/>
                <w:szCs w:val="18"/>
              </w:rPr>
              <w:t xml:space="preserve">Percentage of stakeholders who selected </w:t>
            </w:r>
            <w:r w:rsidR="00B0784C">
              <w:rPr>
                <w:i/>
                <w:color w:val="E36C0A" w:themeColor="accent2"/>
                <w:sz w:val="18"/>
                <w:szCs w:val="18"/>
              </w:rPr>
              <w:t>“</w:t>
            </w:r>
            <w:r w:rsidRPr="00AB4F5E">
              <w:rPr>
                <w:i/>
                <w:color w:val="E36C0A" w:themeColor="accent2"/>
                <w:sz w:val="18"/>
                <w:szCs w:val="18"/>
              </w:rPr>
              <w:t>strongly agree</w:t>
            </w:r>
            <w:r w:rsidR="00B0784C">
              <w:rPr>
                <w:i/>
                <w:color w:val="E36C0A" w:themeColor="accent2"/>
                <w:sz w:val="18"/>
                <w:szCs w:val="18"/>
              </w:rPr>
              <w:t>” or</w:t>
            </w:r>
            <w:r w:rsidRPr="00AB4F5E">
              <w:rPr>
                <w:i/>
                <w:color w:val="E36C0A" w:themeColor="accent2"/>
                <w:sz w:val="18"/>
                <w:szCs w:val="18"/>
              </w:rPr>
              <w:t xml:space="preserve"> </w:t>
            </w:r>
            <w:r w:rsidR="00B0784C">
              <w:rPr>
                <w:i/>
                <w:color w:val="E36C0A" w:themeColor="accent2"/>
                <w:sz w:val="18"/>
                <w:szCs w:val="18"/>
              </w:rPr>
              <w:t>“</w:t>
            </w:r>
            <w:r w:rsidRPr="00AB4F5E">
              <w:rPr>
                <w:i/>
                <w:color w:val="E36C0A" w:themeColor="accent2"/>
                <w:sz w:val="18"/>
                <w:szCs w:val="18"/>
              </w:rPr>
              <w:t>agree</w:t>
            </w:r>
            <w:r w:rsidR="00B0784C">
              <w:rPr>
                <w:i/>
                <w:color w:val="E36C0A" w:themeColor="accent2"/>
                <w:sz w:val="18"/>
                <w:szCs w:val="18"/>
              </w:rPr>
              <w:t>”</w:t>
            </w:r>
          </w:p>
        </w:tc>
        <w:tc>
          <w:tcPr>
            <w:tcW w:w="1350" w:type="dxa"/>
            <w:shd w:val="clear" w:color="auto" w:fill="B4C6E7" w:themeFill="accent5" w:themeFillTint="66"/>
          </w:tcPr>
          <w:p w:rsidR="00C17C8D" w:rsidRPr="00390A8A" w:rsidRDefault="00132F60" w:rsidP="009D23AA">
            <w:pPr>
              <w:pStyle w:val="ListParagraph"/>
              <w:ind w:left="0"/>
              <w:jc w:val="center"/>
              <w:rPr>
                <w:sz w:val="20"/>
                <w:szCs w:val="20"/>
              </w:rPr>
            </w:pPr>
            <w:r w:rsidRPr="00390A8A">
              <w:rPr>
                <w:sz w:val="20"/>
                <w:szCs w:val="20"/>
              </w:rPr>
              <w:t>Candidates (n=408)</w:t>
            </w:r>
          </w:p>
        </w:tc>
        <w:tc>
          <w:tcPr>
            <w:tcW w:w="1350" w:type="dxa"/>
            <w:shd w:val="clear" w:color="auto" w:fill="B4C6E7" w:themeFill="accent5" w:themeFillTint="66"/>
          </w:tcPr>
          <w:p w:rsidR="00C17C8D" w:rsidRPr="00390A8A" w:rsidRDefault="00132F60" w:rsidP="009D23AA">
            <w:pPr>
              <w:pStyle w:val="ListParagraph"/>
              <w:ind w:left="0"/>
              <w:jc w:val="center"/>
              <w:rPr>
                <w:sz w:val="20"/>
                <w:szCs w:val="20"/>
              </w:rPr>
            </w:pPr>
            <w:r w:rsidRPr="00390A8A">
              <w:rPr>
                <w:sz w:val="20"/>
                <w:szCs w:val="20"/>
              </w:rPr>
              <w:t>Completers (n=202)</w:t>
            </w:r>
          </w:p>
        </w:tc>
        <w:tc>
          <w:tcPr>
            <w:tcW w:w="1368" w:type="dxa"/>
            <w:shd w:val="clear" w:color="auto" w:fill="B4C6E7" w:themeFill="accent5" w:themeFillTint="66"/>
          </w:tcPr>
          <w:p w:rsidR="00C17C8D" w:rsidRPr="00390A8A" w:rsidRDefault="00132F60" w:rsidP="009D23AA">
            <w:pPr>
              <w:pStyle w:val="ListParagraph"/>
              <w:ind w:left="0"/>
              <w:jc w:val="center"/>
              <w:rPr>
                <w:sz w:val="20"/>
                <w:szCs w:val="20"/>
              </w:rPr>
            </w:pPr>
            <w:r w:rsidRPr="00390A8A">
              <w:rPr>
                <w:sz w:val="20"/>
                <w:szCs w:val="20"/>
              </w:rPr>
              <w:t>Supervising Practitioners  (n=649)</w:t>
            </w:r>
          </w:p>
        </w:tc>
      </w:tr>
      <w:tr w:rsidR="00C17C8D" w:rsidTr="00390A8A">
        <w:trPr>
          <w:trHeight w:val="732"/>
        </w:trPr>
        <w:tc>
          <w:tcPr>
            <w:tcW w:w="5508" w:type="dxa"/>
            <w:tcBorders>
              <w:bottom w:val="single" w:sz="18" w:space="0" w:color="B4C6E7" w:themeColor="accent5" w:themeTint="66"/>
            </w:tcBorders>
            <w:vAlign w:val="center"/>
          </w:tcPr>
          <w:p w:rsidR="00C17C8D" w:rsidRPr="00390A8A" w:rsidRDefault="00362638" w:rsidP="00362638">
            <w:pPr>
              <w:pStyle w:val="ListParagraph"/>
              <w:ind w:left="0"/>
              <w:rPr>
                <w:b/>
                <w:color w:val="0E4588" w:themeColor="text2"/>
                <w:sz w:val="20"/>
                <w:szCs w:val="20"/>
              </w:rPr>
            </w:pPr>
            <w:r>
              <w:rPr>
                <w:b/>
                <w:color w:val="0E4588" w:themeColor="text2"/>
                <w:sz w:val="20"/>
                <w:szCs w:val="20"/>
              </w:rPr>
              <w:t>P</w:t>
            </w:r>
            <w:r w:rsidR="00C17C8D" w:rsidRPr="00390A8A">
              <w:rPr>
                <w:b/>
                <w:color w:val="0E4588" w:themeColor="text2"/>
                <w:sz w:val="20"/>
                <w:szCs w:val="20"/>
              </w:rPr>
              <w:t xml:space="preserve">re-practicum experience prepared </w:t>
            </w:r>
            <w:r>
              <w:rPr>
                <w:b/>
                <w:color w:val="0E4588" w:themeColor="text2"/>
                <w:sz w:val="20"/>
                <w:szCs w:val="20"/>
              </w:rPr>
              <w:t xml:space="preserve">teacher </w:t>
            </w:r>
            <w:r w:rsidR="00C17C8D" w:rsidRPr="00390A8A">
              <w:rPr>
                <w:b/>
                <w:color w:val="0E4588" w:themeColor="text2"/>
                <w:sz w:val="20"/>
                <w:szCs w:val="20"/>
              </w:rPr>
              <w:t>for full student-teaching experience in the practicum</w:t>
            </w:r>
          </w:p>
        </w:tc>
        <w:tc>
          <w:tcPr>
            <w:tcW w:w="1350" w:type="dxa"/>
            <w:vAlign w:val="center"/>
          </w:tcPr>
          <w:p w:rsidR="00C17C8D" w:rsidRPr="00390A8A" w:rsidRDefault="00132F60" w:rsidP="009D23AA">
            <w:pPr>
              <w:pStyle w:val="ListParagraph"/>
              <w:ind w:left="0"/>
              <w:jc w:val="center"/>
              <w:rPr>
                <w:sz w:val="20"/>
                <w:szCs w:val="20"/>
              </w:rPr>
            </w:pPr>
            <w:r w:rsidRPr="00390A8A">
              <w:rPr>
                <w:sz w:val="20"/>
                <w:szCs w:val="20"/>
              </w:rPr>
              <w:t>75%</w:t>
            </w:r>
          </w:p>
        </w:tc>
        <w:tc>
          <w:tcPr>
            <w:tcW w:w="1350" w:type="dxa"/>
            <w:vAlign w:val="center"/>
          </w:tcPr>
          <w:p w:rsidR="00C17C8D" w:rsidRPr="00390A8A" w:rsidRDefault="00132F60" w:rsidP="009D23AA">
            <w:pPr>
              <w:pStyle w:val="ListParagraph"/>
              <w:ind w:left="0"/>
              <w:jc w:val="center"/>
              <w:rPr>
                <w:sz w:val="20"/>
                <w:szCs w:val="20"/>
              </w:rPr>
            </w:pPr>
            <w:r w:rsidRPr="00390A8A">
              <w:rPr>
                <w:sz w:val="20"/>
                <w:szCs w:val="20"/>
              </w:rPr>
              <w:t>85%</w:t>
            </w:r>
          </w:p>
        </w:tc>
        <w:tc>
          <w:tcPr>
            <w:tcW w:w="1368" w:type="dxa"/>
            <w:vAlign w:val="center"/>
          </w:tcPr>
          <w:p w:rsidR="00C17C8D" w:rsidRPr="00390A8A" w:rsidRDefault="00132F60" w:rsidP="009D23AA">
            <w:pPr>
              <w:pStyle w:val="ListParagraph"/>
              <w:ind w:left="0"/>
              <w:jc w:val="center"/>
              <w:rPr>
                <w:sz w:val="20"/>
                <w:szCs w:val="20"/>
              </w:rPr>
            </w:pPr>
            <w:r w:rsidRPr="00390A8A">
              <w:rPr>
                <w:sz w:val="20"/>
                <w:szCs w:val="20"/>
              </w:rPr>
              <w:t>81%</w:t>
            </w:r>
          </w:p>
        </w:tc>
      </w:tr>
      <w:tr w:rsidR="00C17C8D" w:rsidTr="00390A8A">
        <w:trPr>
          <w:trHeight w:val="732"/>
        </w:trPr>
        <w:tc>
          <w:tcPr>
            <w:tcW w:w="5508" w:type="dxa"/>
            <w:tcBorders>
              <w:top w:val="single" w:sz="18" w:space="0" w:color="B4C6E7" w:themeColor="accent5" w:themeTint="66"/>
              <w:bottom w:val="single" w:sz="18" w:space="0" w:color="B4C6E7" w:themeColor="accent5" w:themeTint="66"/>
            </w:tcBorders>
            <w:vAlign w:val="center"/>
          </w:tcPr>
          <w:p w:rsidR="00C17C8D" w:rsidRPr="00390A8A" w:rsidRDefault="00C17C8D" w:rsidP="0005780A">
            <w:pPr>
              <w:pStyle w:val="ListParagraph"/>
              <w:ind w:left="0"/>
              <w:rPr>
                <w:b/>
                <w:color w:val="0E4588" w:themeColor="text2"/>
                <w:sz w:val="20"/>
                <w:szCs w:val="20"/>
              </w:rPr>
            </w:pPr>
            <w:r w:rsidRPr="00390A8A">
              <w:rPr>
                <w:b/>
                <w:color w:val="0E4588" w:themeColor="text2"/>
                <w:sz w:val="20"/>
                <w:szCs w:val="20"/>
              </w:rPr>
              <w:t xml:space="preserve">During </w:t>
            </w:r>
            <w:r w:rsidR="00362638">
              <w:rPr>
                <w:b/>
                <w:color w:val="0E4588" w:themeColor="text2"/>
                <w:sz w:val="20"/>
                <w:szCs w:val="20"/>
              </w:rPr>
              <w:t xml:space="preserve">field-based experiences, </w:t>
            </w:r>
            <w:r w:rsidR="0005780A">
              <w:rPr>
                <w:b/>
                <w:color w:val="0E4588" w:themeColor="text2"/>
                <w:sz w:val="20"/>
                <w:szCs w:val="20"/>
              </w:rPr>
              <w:t>the teacher</w:t>
            </w:r>
            <w:r w:rsidR="00362638">
              <w:rPr>
                <w:b/>
                <w:color w:val="0E4588" w:themeColor="text2"/>
                <w:sz w:val="20"/>
                <w:szCs w:val="20"/>
              </w:rPr>
              <w:t xml:space="preserve"> </w:t>
            </w:r>
            <w:r w:rsidRPr="00390A8A">
              <w:rPr>
                <w:b/>
                <w:color w:val="0E4588" w:themeColor="text2"/>
                <w:sz w:val="20"/>
                <w:szCs w:val="20"/>
              </w:rPr>
              <w:t>worked with students from diverse ethnic, racial, socioeconomic and exceptional groups</w:t>
            </w:r>
          </w:p>
        </w:tc>
        <w:tc>
          <w:tcPr>
            <w:tcW w:w="1350" w:type="dxa"/>
            <w:tcBorders>
              <w:top w:val="single" w:sz="18" w:space="0" w:color="B4C6E7" w:themeColor="accent5" w:themeTint="66"/>
            </w:tcBorders>
            <w:vAlign w:val="center"/>
          </w:tcPr>
          <w:p w:rsidR="00C17C8D" w:rsidRPr="00390A8A" w:rsidRDefault="00132F60" w:rsidP="009D23AA">
            <w:pPr>
              <w:pStyle w:val="ListParagraph"/>
              <w:ind w:left="0"/>
              <w:jc w:val="center"/>
              <w:rPr>
                <w:sz w:val="20"/>
                <w:szCs w:val="20"/>
              </w:rPr>
            </w:pPr>
            <w:r w:rsidRPr="00390A8A">
              <w:rPr>
                <w:sz w:val="20"/>
                <w:szCs w:val="20"/>
              </w:rPr>
              <w:t>90%</w:t>
            </w:r>
          </w:p>
        </w:tc>
        <w:tc>
          <w:tcPr>
            <w:tcW w:w="1350" w:type="dxa"/>
            <w:tcBorders>
              <w:top w:val="single" w:sz="18" w:space="0" w:color="B4C6E7" w:themeColor="accent5" w:themeTint="66"/>
            </w:tcBorders>
            <w:vAlign w:val="center"/>
          </w:tcPr>
          <w:p w:rsidR="00C17C8D" w:rsidRPr="00390A8A" w:rsidRDefault="00132F60" w:rsidP="009D23AA">
            <w:pPr>
              <w:pStyle w:val="ListParagraph"/>
              <w:ind w:left="0"/>
              <w:jc w:val="center"/>
              <w:rPr>
                <w:sz w:val="20"/>
                <w:szCs w:val="20"/>
              </w:rPr>
            </w:pPr>
            <w:r w:rsidRPr="00390A8A">
              <w:rPr>
                <w:sz w:val="20"/>
                <w:szCs w:val="20"/>
              </w:rPr>
              <w:t>91%</w:t>
            </w:r>
          </w:p>
        </w:tc>
        <w:tc>
          <w:tcPr>
            <w:tcW w:w="1368" w:type="dxa"/>
            <w:tcBorders>
              <w:top w:val="single" w:sz="18" w:space="0" w:color="B4C6E7" w:themeColor="accent5" w:themeTint="66"/>
            </w:tcBorders>
            <w:vAlign w:val="center"/>
          </w:tcPr>
          <w:p w:rsidR="00C17C8D" w:rsidRPr="00390A8A" w:rsidRDefault="00132F60" w:rsidP="009D23AA">
            <w:pPr>
              <w:pStyle w:val="ListParagraph"/>
              <w:ind w:left="0"/>
              <w:jc w:val="center"/>
              <w:rPr>
                <w:sz w:val="20"/>
                <w:szCs w:val="20"/>
              </w:rPr>
            </w:pPr>
            <w:r w:rsidRPr="00390A8A">
              <w:rPr>
                <w:sz w:val="20"/>
                <w:szCs w:val="20"/>
              </w:rPr>
              <w:t>90%</w:t>
            </w:r>
          </w:p>
        </w:tc>
      </w:tr>
      <w:tr w:rsidR="00A74463" w:rsidTr="00390A8A">
        <w:trPr>
          <w:trHeight w:val="732"/>
        </w:trPr>
        <w:tc>
          <w:tcPr>
            <w:tcW w:w="5508" w:type="dxa"/>
            <w:tcBorders>
              <w:top w:val="single" w:sz="18" w:space="0" w:color="B4C6E7" w:themeColor="accent5" w:themeTint="66"/>
              <w:bottom w:val="single" w:sz="18" w:space="0" w:color="B4C6E7" w:themeColor="accent5" w:themeTint="66"/>
            </w:tcBorders>
            <w:vAlign w:val="center"/>
          </w:tcPr>
          <w:p w:rsidR="00A74463" w:rsidRPr="00390A8A" w:rsidRDefault="0005780A" w:rsidP="0005780A">
            <w:pPr>
              <w:pStyle w:val="ListParagraph"/>
              <w:ind w:left="0"/>
              <w:rPr>
                <w:b/>
                <w:color w:val="0E4588" w:themeColor="text2"/>
                <w:sz w:val="20"/>
                <w:szCs w:val="20"/>
              </w:rPr>
            </w:pPr>
            <w:r>
              <w:rPr>
                <w:b/>
                <w:color w:val="0E4588" w:themeColor="text2"/>
                <w:sz w:val="20"/>
                <w:szCs w:val="20"/>
              </w:rPr>
              <w:t>T</w:t>
            </w:r>
            <w:r w:rsidR="00A74463" w:rsidRPr="00390A8A">
              <w:rPr>
                <w:b/>
                <w:color w:val="0E4588" w:themeColor="text2"/>
                <w:sz w:val="20"/>
                <w:szCs w:val="20"/>
              </w:rPr>
              <w:t>eaching practice improved as a result of undergoing an assessme</w:t>
            </w:r>
            <w:r w:rsidR="00A24D4B">
              <w:rPr>
                <w:b/>
                <w:color w:val="0E4588" w:themeColor="text2"/>
                <w:sz w:val="20"/>
                <w:szCs w:val="20"/>
              </w:rPr>
              <w:t>nt in field-based experience</w:t>
            </w:r>
            <w:r w:rsidR="00A74463" w:rsidRPr="00390A8A">
              <w:rPr>
                <w:rStyle w:val="FootnoteReference"/>
                <w:b/>
                <w:color w:val="0E4588" w:themeColor="text2"/>
                <w:sz w:val="20"/>
                <w:szCs w:val="20"/>
              </w:rPr>
              <w:footnoteReference w:id="5"/>
            </w:r>
          </w:p>
        </w:tc>
        <w:tc>
          <w:tcPr>
            <w:tcW w:w="1350" w:type="dxa"/>
            <w:tcBorders>
              <w:top w:val="single" w:sz="18" w:space="0" w:color="B4C6E7" w:themeColor="accent5" w:themeTint="66"/>
            </w:tcBorders>
            <w:vAlign w:val="center"/>
          </w:tcPr>
          <w:p w:rsidR="00A74463" w:rsidRPr="00390A8A" w:rsidRDefault="004A0AB5" w:rsidP="009D23AA">
            <w:pPr>
              <w:pStyle w:val="ListParagraph"/>
              <w:ind w:left="0"/>
              <w:jc w:val="center"/>
              <w:rPr>
                <w:sz w:val="20"/>
                <w:szCs w:val="20"/>
              </w:rPr>
            </w:pPr>
            <w:r w:rsidRPr="00390A8A">
              <w:rPr>
                <w:sz w:val="20"/>
                <w:szCs w:val="20"/>
              </w:rPr>
              <w:t>77%</w:t>
            </w:r>
          </w:p>
        </w:tc>
        <w:tc>
          <w:tcPr>
            <w:tcW w:w="1350" w:type="dxa"/>
            <w:tcBorders>
              <w:top w:val="single" w:sz="18" w:space="0" w:color="B4C6E7" w:themeColor="accent5" w:themeTint="66"/>
            </w:tcBorders>
            <w:vAlign w:val="center"/>
          </w:tcPr>
          <w:p w:rsidR="00A74463" w:rsidRPr="00390A8A" w:rsidRDefault="009D23AA" w:rsidP="009D23AA">
            <w:pPr>
              <w:pStyle w:val="ListParagraph"/>
              <w:ind w:left="0"/>
              <w:jc w:val="center"/>
              <w:rPr>
                <w:sz w:val="20"/>
                <w:szCs w:val="20"/>
              </w:rPr>
            </w:pPr>
            <w:r w:rsidRPr="00390A8A">
              <w:rPr>
                <w:sz w:val="20"/>
                <w:szCs w:val="20"/>
              </w:rPr>
              <w:t>69%</w:t>
            </w:r>
          </w:p>
        </w:tc>
        <w:tc>
          <w:tcPr>
            <w:tcW w:w="1368" w:type="dxa"/>
            <w:tcBorders>
              <w:top w:val="single" w:sz="18" w:space="0" w:color="B4C6E7" w:themeColor="accent5" w:themeTint="66"/>
            </w:tcBorders>
            <w:vAlign w:val="center"/>
          </w:tcPr>
          <w:p w:rsidR="00A74463" w:rsidRPr="00390A8A" w:rsidRDefault="009D23AA" w:rsidP="009D23AA">
            <w:pPr>
              <w:pStyle w:val="ListParagraph"/>
              <w:ind w:left="0"/>
              <w:jc w:val="center"/>
              <w:rPr>
                <w:sz w:val="20"/>
                <w:szCs w:val="20"/>
              </w:rPr>
            </w:pPr>
            <w:r w:rsidRPr="00390A8A">
              <w:rPr>
                <w:sz w:val="20"/>
                <w:szCs w:val="20"/>
              </w:rPr>
              <w:t>n/a</w:t>
            </w:r>
          </w:p>
        </w:tc>
      </w:tr>
      <w:tr w:rsidR="00C17C8D" w:rsidTr="00390A8A">
        <w:trPr>
          <w:trHeight w:val="733"/>
        </w:trPr>
        <w:tc>
          <w:tcPr>
            <w:tcW w:w="5508" w:type="dxa"/>
            <w:tcBorders>
              <w:top w:val="single" w:sz="18" w:space="0" w:color="B4C6E7" w:themeColor="accent5" w:themeTint="66"/>
              <w:bottom w:val="single" w:sz="18" w:space="0" w:color="B4C6E7" w:themeColor="accent5" w:themeTint="66"/>
            </w:tcBorders>
            <w:vAlign w:val="center"/>
          </w:tcPr>
          <w:p w:rsidR="00C17C8D" w:rsidRPr="00390A8A" w:rsidRDefault="00362638" w:rsidP="00362638">
            <w:pPr>
              <w:pStyle w:val="ListParagraph"/>
              <w:ind w:left="0"/>
              <w:rPr>
                <w:b/>
                <w:color w:val="0E4588" w:themeColor="text2"/>
                <w:sz w:val="20"/>
                <w:szCs w:val="20"/>
              </w:rPr>
            </w:pPr>
            <w:r>
              <w:rPr>
                <w:b/>
                <w:color w:val="0E4588" w:themeColor="text2"/>
                <w:sz w:val="20"/>
                <w:szCs w:val="20"/>
              </w:rPr>
              <w:t>F</w:t>
            </w:r>
            <w:r w:rsidR="00C17C8D" w:rsidRPr="00390A8A">
              <w:rPr>
                <w:b/>
                <w:color w:val="0E4588" w:themeColor="text2"/>
                <w:sz w:val="20"/>
                <w:szCs w:val="20"/>
              </w:rPr>
              <w:t xml:space="preserve">ield-based experience prepared </w:t>
            </w:r>
            <w:r>
              <w:rPr>
                <w:b/>
                <w:color w:val="0E4588" w:themeColor="text2"/>
                <w:sz w:val="20"/>
                <w:szCs w:val="20"/>
              </w:rPr>
              <w:t>teacher</w:t>
            </w:r>
            <w:r w:rsidR="00C17C8D" w:rsidRPr="00390A8A">
              <w:rPr>
                <w:b/>
                <w:color w:val="0E4588" w:themeColor="text2"/>
                <w:sz w:val="20"/>
                <w:szCs w:val="20"/>
              </w:rPr>
              <w:t xml:space="preserve"> to be an effective educator</w:t>
            </w:r>
          </w:p>
        </w:tc>
        <w:tc>
          <w:tcPr>
            <w:tcW w:w="1350" w:type="dxa"/>
            <w:tcBorders>
              <w:top w:val="single" w:sz="18" w:space="0" w:color="B4C6E7" w:themeColor="accent5" w:themeTint="66"/>
              <w:bottom w:val="single" w:sz="18" w:space="0" w:color="B4C6E7" w:themeColor="accent5" w:themeTint="66"/>
            </w:tcBorders>
            <w:vAlign w:val="center"/>
          </w:tcPr>
          <w:p w:rsidR="00C17C8D" w:rsidRPr="00390A8A" w:rsidRDefault="00132F60" w:rsidP="009D23AA">
            <w:pPr>
              <w:pStyle w:val="ListParagraph"/>
              <w:ind w:left="0"/>
              <w:jc w:val="center"/>
              <w:rPr>
                <w:sz w:val="20"/>
                <w:szCs w:val="20"/>
              </w:rPr>
            </w:pPr>
            <w:r w:rsidRPr="00390A8A">
              <w:rPr>
                <w:sz w:val="20"/>
                <w:szCs w:val="20"/>
              </w:rPr>
              <w:t>96%</w:t>
            </w:r>
          </w:p>
        </w:tc>
        <w:tc>
          <w:tcPr>
            <w:tcW w:w="1350" w:type="dxa"/>
            <w:tcBorders>
              <w:top w:val="single" w:sz="18" w:space="0" w:color="B4C6E7" w:themeColor="accent5" w:themeTint="66"/>
              <w:bottom w:val="single" w:sz="18" w:space="0" w:color="B4C6E7" w:themeColor="accent5" w:themeTint="66"/>
            </w:tcBorders>
            <w:vAlign w:val="center"/>
          </w:tcPr>
          <w:p w:rsidR="00C17C8D" w:rsidRPr="00390A8A" w:rsidRDefault="00132F60" w:rsidP="009D23AA">
            <w:pPr>
              <w:pStyle w:val="ListParagraph"/>
              <w:ind w:left="0"/>
              <w:jc w:val="center"/>
              <w:rPr>
                <w:sz w:val="20"/>
                <w:szCs w:val="20"/>
              </w:rPr>
            </w:pPr>
            <w:r w:rsidRPr="00390A8A">
              <w:rPr>
                <w:sz w:val="20"/>
                <w:szCs w:val="20"/>
              </w:rPr>
              <w:t>94%</w:t>
            </w:r>
          </w:p>
        </w:tc>
        <w:tc>
          <w:tcPr>
            <w:tcW w:w="1368" w:type="dxa"/>
            <w:tcBorders>
              <w:top w:val="single" w:sz="18" w:space="0" w:color="B4C6E7" w:themeColor="accent5" w:themeTint="66"/>
              <w:bottom w:val="single" w:sz="18" w:space="0" w:color="B4C6E7" w:themeColor="accent5" w:themeTint="66"/>
            </w:tcBorders>
            <w:vAlign w:val="center"/>
          </w:tcPr>
          <w:p w:rsidR="00C17C8D" w:rsidRPr="00390A8A" w:rsidRDefault="00132F60" w:rsidP="009D23AA">
            <w:pPr>
              <w:pStyle w:val="ListParagraph"/>
              <w:ind w:left="0"/>
              <w:jc w:val="center"/>
              <w:rPr>
                <w:sz w:val="20"/>
                <w:szCs w:val="20"/>
              </w:rPr>
            </w:pPr>
            <w:r w:rsidRPr="00390A8A">
              <w:rPr>
                <w:sz w:val="20"/>
                <w:szCs w:val="20"/>
              </w:rPr>
              <w:t>93%</w:t>
            </w:r>
          </w:p>
        </w:tc>
      </w:tr>
    </w:tbl>
    <w:p w:rsidR="00290A61" w:rsidRDefault="00290A61" w:rsidP="009D23AA">
      <w:pPr>
        <w:pStyle w:val="ListParagraph"/>
        <w:spacing w:line="240" w:lineRule="auto"/>
        <w:ind w:left="0"/>
        <w:rPr>
          <w:b/>
        </w:rPr>
      </w:pPr>
    </w:p>
    <w:p w:rsidR="002C6EDE" w:rsidRDefault="002C6EDE" w:rsidP="0060193E">
      <w:pPr>
        <w:pStyle w:val="ListParagraph"/>
        <w:spacing w:line="240" w:lineRule="auto"/>
        <w:ind w:left="0"/>
        <w:rPr>
          <w:b/>
          <w:color w:val="E36C0A" w:themeColor="accent2"/>
          <w:sz w:val="28"/>
          <w:szCs w:val="28"/>
        </w:rPr>
      </w:pPr>
      <w:r>
        <w:rPr>
          <w:b/>
          <w:color w:val="E36C0A" w:themeColor="accent2"/>
          <w:sz w:val="28"/>
          <w:szCs w:val="28"/>
        </w:rPr>
        <w:t>Supervision</w:t>
      </w:r>
    </w:p>
    <w:p w:rsidR="00515669" w:rsidRDefault="00F758C4" w:rsidP="00515669">
      <w:pPr>
        <w:pStyle w:val="ListParagraph"/>
        <w:numPr>
          <w:ilvl w:val="0"/>
          <w:numId w:val="12"/>
        </w:numPr>
      </w:pPr>
      <w:r>
        <w:t>Candidates and completers agree</w:t>
      </w:r>
      <w:r w:rsidR="00515669">
        <w:t xml:space="preserve"> that their Supervising Practitioner was an effective educator and provided feedback tha</w:t>
      </w:r>
      <w:r w:rsidR="0005780A">
        <w:t>t improved practice, b</w:t>
      </w:r>
      <w:r>
        <w:t>ut agree</w:t>
      </w:r>
      <w:r w:rsidR="0005780A">
        <w:t xml:space="preserve"> less </w:t>
      </w:r>
      <w:r w:rsidR="00515669">
        <w:t>that Supervising Practitioners were knowledgeable about how to be a supervisor.</w:t>
      </w:r>
    </w:p>
    <w:p w:rsidR="00515669" w:rsidRDefault="00515669" w:rsidP="00515669">
      <w:pPr>
        <w:pStyle w:val="ListParagraph"/>
        <w:numPr>
          <w:ilvl w:val="0"/>
          <w:numId w:val="12"/>
        </w:numPr>
      </w:pPr>
      <w:r>
        <w:t>Supervising Practiti</w:t>
      </w:r>
      <w:r w:rsidR="00F758C4">
        <w:t>oners, on the other hand, agree</w:t>
      </w:r>
      <w:r>
        <w:t xml:space="preserve"> at a higher rate than candidates and completers that they provided feedback that improved practice and were knowledgeable about how to be a supervisor.</w:t>
      </w:r>
    </w:p>
    <w:p w:rsidR="00515669" w:rsidRDefault="00515669" w:rsidP="00515669">
      <w:pPr>
        <w:pStyle w:val="ListParagraph"/>
        <w:numPr>
          <w:ilvl w:val="0"/>
          <w:numId w:val="12"/>
        </w:numPr>
      </w:pPr>
      <w:r>
        <w:t>Supervising Practiti</w:t>
      </w:r>
      <w:r w:rsidR="00342EA9">
        <w:t xml:space="preserve">oners, </w:t>
      </w:r>
      <w:r w:rsidR="00F758C4">
        <w:t>who implemented CAP</w:t>
      </w:r>
      <w:r w:rsidR="00342EA9">
        <w:t>,</w:t>
      </w:r>
      <w:r w:rsidR="00F758C4">
        <w:t xml:space="preserve"> agree</w:t>
      </w:r>
      <w:r>
        <w:t xml:space="preserve"> at a low rate that they received training on CAP that contributed to a consistent and rigorous assessment of the candidate.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ercentage of stakeholders who selected “strongly agree” or “agree”&#10;&#10;The Supervising Practitioner was an effective educator&#10;Candidates (n=408): 90%&#10;Completers (n=202): 94%&#10;Supervising Practitioners (n=649): n/a&#10;Supervising Practitioner provided feedback that improved practice&#10;Candidates (n=408): 88%&#10;Completers (n=202): 88%&#10;Supervising Practitioners (n=649): 98%&#10;Program Supervisor provided feedback that improved practice&#10;Candidates (n=408): 87%&#10;Completers (n=202): 87%&#10;Supervising Practitioners (n=649): n/a&#10;Supervising Practitioner was knowledgeable about how to be a supervisor&#10;Candidates (n=408): 86%&#10;Completers (n=202): 88%&#10;Supervising Practitioners (n=649): 93%&#10;I received training on CAP that contributed to a consistent and rigorous assessment of the candidate&#10;Candidates (n=408): n/a&#10;Completers (n=202): n/a&#10;Supervising Practitioners (n=649): 47% "/>
      </w:tblPr>
      <w:tblGrid>
        <w:gridCol w:w="5508"/>
        <w:gridCol w:w="1350"/>
        <w:gridCol w:w="1350"/>
        <w:gridCol w:w="1368"/>
      </w:tblGrid>
      <w:tr w:rsidR="002C6EDE" w:rsidRPr="00390A8A" w:rsidTr="002C6EDE">
        <w:trPr>
          <w:trHeight w:val="732"/>
          <w:tblHeader/>
        </w:trPr>
        <w:tc>
          <w:tcPr>
            <w:tcW w:w="5508" w:type="dxa"/>
            <w:shd w:val="clear" w:color="auto" w:fill="B4C6E7" w:themeFill="accent5" w:themeFillTint="66"/>
            <w:vAlign w:val="bottom"/>
          </w:tcPr>
          <w:p w:rsidR="002C6EDE" w:rsidRDefault="002C6EDE" w:rsidP="00B0784C">
            <w:pPr>
              <w:pStyle w:val="ListParagraph"/>
              <w:ind w:left="0"/>
              <w:rPr>
                <w:b/>
              </w:rPr>
            </w:pPr>
            <w:r>
              <w:rPr>
                <w:i/>
                <w:color w:val="E36C0A" w:themeColor="accent2"/>
                <w:sz w:val="18"/>
                <w:szCs w:val="18"/>
              </w:rPr>
              <w:lastRenderedPageBreak/>
              <w:t xml:space="preserve">Percentage of stakeholders who selected </w:t>
            </w:r>
            <w:r w:rsidR="00B0784C">
              <w:rPr>
                <w:i/>
                <w:color w:val="E36C0A" w:themeColor="accent2"/>
                <w:sz w:val="18"/>
                <w:szCs w:val="18"/>
              </w:rPr>
              <w:t>“</w:t>
            </w:r>
            <w:r w:rsidRPr="00AB4F5E">
              <w:rPr>
                <w:i/>
                <w:color w:val="E36C0A" w:themeColor="accent2"/>
                <w:sz w:val="18"/>
                <w:szCs w:val="18"/>
              </w:rPr>
              <w:t>strongly agree</w:t>
            </w:r>
            <w:r w:rsidR="00B0784C">
              <w:rPr>
                <w:i/>
                <w:color w:val="E36C0A" w:themeColor="accent2"/>
                <w:sz w:val="18"/>
                <w:szCs w:val="18"/>
              </w:rPr>
              <w:t>” or</w:t>
            </w:r>
            <w:r w:rsidRPr="00AB4F5E">
              <w:rPr>
                <w:i/>
                <w:color w:val="E36C0A" w:themeColor="accent2"/>
                <w:sz w:val="18"/>
                <w:szCs w:val="18"/>
              </w:rPr>
              <w:t xml:space="preserve"> </w:t>
            </w:r>
            <w:r w:rsidR="00B0784C">
              <w:rPr>
                <w:i/>
                <w:color w:val="E36C0A" w:themeColor="accent2"/>
                <w:sz w:val="18"/>
                <w:szCs w:val="18"/>
              </w:rPr>
              <w:t>“</w:t>
            </w:r>
            <w:r w:rsidRPr="00AB4F5E">
              <w:rPr>
                <w:i/>
                <w:color w:val="E36C0A" w:themeColor="accent2"/>
                <w:sz w:val="18"/>
                <w:szCs w:val="18"/>
              </w:rPr>
              <w:t>agree</w:t>
            </w:r>
            <w:r w:rsidR="00B0784C">
              <w:rPr>
                <w:i/>
                <w:color w:val="E36C0A" w:themeColor="accent2"/>
                <w:sz w:val="18"/>
                <w:szCs w:val="18"/>
              </w:rPr>
              <w:t>”</w:t>
            </w:r>
          </w:p>
        </w:tc>
        <w:tc>
          <w:tcPr>
            <w:tcW w:w="1350" w:type="dxa"/>
            <w:shd w:val="clear" w:color="auto" w:fill="B4C6E7" w:themeFill="accent5" w:themeFillTint="66"/>
          </w:tcPr>
          <w:p w:rsidR="002C6EDE" w:rsidRPr="00390A8A" w:rsidRDefault="002C6EDE" w:rsidP="002C6EDE">
            <w:pPr>
              <w:pStyle w:val="ListParagraph"/>
              <w:ind w:left="0"/>
              <w:jc w:val="center"/>
              <w:rPr>
                <w:sz w:val="20"/>
                <w:szCs w:val="20"/>
              </w:rPr>
            </w:pPr>
            <w:r w:rsidRPr="00390A8A">
              <w:rPr>
                <w:sz w:val="20"/>
                <w:szCs w:val="20"/>
              </w:rPr>
              <w:t>Candidates (n=408)</w:t>
            </w:r>
          </w:p>
        </w:tc>
        <w:tc>
          <w:tcPr>
            <w:tcW w:w="1350" w:type="dxa"/>
            <w:shd w:val="clear" w:color="auto" w:fill="B4C6E7" w:themeFill="accent5" w:themeFillTint="66"/>
          </w:tcPr>
          <w:p w:rsidR="002C6EDE" w:rsidRPr="00390A8A" w:rsidRDefault="002C6EDE" w:rsidP="002C6EDE">
            <w:pPr>
              <w:pStyle w:val="ListParagraph"/>
              <w:ind w:left="0"/>
              <w:jc w:val="center"/>
              <w:rPr>
                <w:sz w:val="20"/>
                <w:szCs w:val="20"/>
              </w:rPr>
            </w:pPr>
            <w:r w:rsidRPr="00390A8A">
              <w:rPr>
                <w:sz w:val="20"/>
                <w:szCs w:val="20"/>
              </w:rPr>
              <w:t>Completers (n=202)</w:t>
            </w:r>
          </w:p>
        </w:tc>
        <w:tc>
          <w:tcPr>
            <w:tcW w:w="1368" w:type="dxa"/>
            <w:shd w:val="clear" w:color="auto" w:fill="B4C6E7" w:themeFill="accent5" w:themeFillTint="66"/>
          </w:tcPr>
          <w:p w:rsidR="002C6EDE" w:rsidRPr="00390A8A" w:rsidRDefault="002C6EDE" w:rsidP="002C6EDE">
            <w:pPr>
              <w:pStyle w:val="ListParagraph"/>
              <w:ind w:left="0"/>
              <w:jc w:val="center"/>
              <w:rPr>
                <w:sz w:val="20"/>
                <w:szCs w:val="20"/>
              </w:rPr>
            </w:pPr>
            <w:r w:rsidRPr="00390A8A">
              <w:rPr>
                <w:sz w:val="20"/>
                <w:szCs w:val="20"/>
              </w:rPr>
              <w:t>Supervising Practitioners  (n=649)</w:t>
            </w:r>
          </w:p>
        </w:tc>
      </w:tr>
      <w:tr w:rsidR="00B76BF4" w:rsidRPr="00390A8A" w:rsidTr="002C6EDE">
        <w:trPr>
          <w:trHeight w:val="732"/>
        </w:trPr>
        <w:tc>
          <w:tcPr>
            <w:tcW w:w="5508" w:type="dxa"/>
            <w:tcBorders>
              <w:bottom w:val="single" w:sz="18" w:space="0" w:color="B4C6E7" w:themeColor="accent5" w:themeTint="66"/>
            </w:tcBorders>
            <w:vAlign w:val="center"/>
          </w:tcPr>
          <w:p w:rsidR="00B76BF4" w:rsidRPr="00390A8A" w:rsidRDefault="00DB5829" w:rsidP="002C6EDE">
            <w:pPr>
              <w:pStyle w:val="ListParagraph"/>
              <w:ind w:left="0"/>
              <w:rPr>
                <w:b/>
                <w:color w:val="0E4588" w:themeColor="text2"/>
                <w:sz w:val="20"/>
                <w:szCs w:val="20"/>
              </w:rPr>
            </w:pPr>
            <w:r>
              <w:rPr>
                <w:b/>
                <w:color w:val="0E4588" w:themeColor="text2"/>
                <w:sz w:val="20"/>
                <w:szCs w:val="20"/>
              </w:rPr>
              <w:t xml:space="preserve">The </w:t>
            </w:r>
            <w:r w:rsidR="00B76BF4">
              <w:rPr>
                <w:b/>
                <w:color w:val="0E4588" w:themeColor="text2"/>
                <w:sz w:val="20"/>
                <w:szCs w:val="20"/>
              </w:rPr>
              <w:t>Supervising Practitioner was an effective educator</w:t>
            </w:r>
          </w:p>
        </w:tc>
        <w:tc>
          <w:tcPr>
            <w:tcW w:w="1350" w:type="dxa"/>
            <w:vAlign w:val="center"/>
          </w:tcPr>
          <w:p w:rsidR="00B76BF4" w:rsidRPr="00390A8A" w:rsidRDefault="00B76BF4" w:rsidP="002C6EDE">
            <w:pPr>
              <w:pStyle w:val="ListParagraph"/>
              <w:ind w:left="0"/>
              <w:jc w:val="center"/>
              <w:rPr>
                <w:sz w:val="20"/>
                <w:szCs w:val="20"/>
              </w:rPr>
            </w:pPr>
            <w:r>
              <w:rPr>
                <w:sz w:val="20"/>
                <w:szCs w:val="20"/>
              </w:rPr>
              <w:t>90%</w:t>
            </w:r>
          </w:p>
        </w:tc>
        <w:tc>
          <w:tcPr>
            <w:tcW w:w="1350" w:type="dxa"/>
            <w:vAlign w:val="center"/>
          </w:tcPr>
          <w:p w:rsidR="00B76BF4" w:rsidRPr="00390A8A" w:rsidRDefault="00B76BF4" w:rsidP="002C6EDE">
            <w:pPr>
              <w:pStyle w:val="ListParagraph"/>
              <w:ind w:left="0"/>
              <w:jc w:val="center"/>
              <w:rPr>
                <w:sz w:val="20"/>
                <w:szCs w:val="20"/>
              </w:rPr>
            </w:pPr>
            <w:r>
              <w:rPr>
                <w:sz w:val="20"/>
                <w:szCs w:val="20"/>
              </w:rPr>
              <w:t>94%</w:t>
            </w:r>
          </w:p>
        </w:tc>
        <w:tc>
          <w:tcPr>
            <w:tcW w:w="1368" w:type="dxa"/>
            <w:vAlign w:val="center"/>
          </w:tcPr>
          <w:p w:rsidR="00B76BF4" w:rsidRPr="00390A8A" w:rsidRDefault="00B76BF4" w:rsidP="002C6EDE">
            <w:pPr>
              <w:pStyle w:val="ListParagraph"/>
              <w:ind w:left="0"/>
              <w:jc w:val="center"/>
              <w:rPr>
                <w:sz w:val="20"/>
                <w:szCs w:val="20"/>
              </w:rPr>
            </w:pPr>
            <w:r>
              <w:rPr>
                <w:sz w:val="20"/>
                <w:szCs w:val="20"/>
              </w:rPr>
              <w:t>n/a</w:t>
            </w:r>
          </w:p>
        </w:tc>
      </w:tr>
      <w:tr w:rsidR="002C6EDE" w:rsidRPr="00390A8A" w:rsidTr="00F227F3">
        <w:trPr>
          <w:trHeight w:val="693"/>
        </w:trPr>
        <w:tc>
          <w:tcPr>
            <w:tcW w:w="5508" w:type="dxa"/>
            <w:tcBorders>
              <w:bottom w:val="single" w:sz="18" w:space="0" w:color="B4C6E7" w:themeColor="accent5" w:themeTint="66"/>
            </w:tcBorders>
            <w:vAlign w:val="center"/>
          </w:tcPr>
          <w:p w:rsidR="00362638" w:rsidRPr="00390A8A" w:rsidRDefault="00F227F3" w:rsidP="00F227F3">
            <w:pPr>
              <w:pStyle w:val="ListParagraph"/>
              <w:ind w:left="0"/>
              <w:rPr>
                <w:b/>
                <w:color w:val="0E4588" w:themeColor="text2"/>
                <w:sz w:val="20"/>
                <w:szCs w:val="20"/>
              </w:rPr>
            </w:pPr>
            <w:r>
              <w:rPr>
                <w:b/>
                <w:color w:val="0E4588" w:themeColor="text2"/>
                <w:sz w:val="20"/>
                <w:szCs w:val="20"/>
              </w:rPr>
              <w:t>Supervising Practitioner provided feedback that improved practice</w:t>
            </w:r>
          </w:p>
        </w:tc>
        <w:tc>
          <w:tcPr>
            <w:tcW w:w="1350" w:type="dxa"/>
            <w:tcBorders>
              <w:top w:val="single" w:sz="18" w:space="0" w:color="B4C6E7" w:themeColor="accent5" w:themeTint="66"/>
            </w:tcBorders>
            <w:vAlign w:val="center"/>
          </w:tcPr>
          <w:p w:rsidR="002C6EDE" w:rsidRPr="00390A8A" w:rsidRDefault="002C6EDE" w:rsidP="002C6EDE">
            <w:pPr>
              <w:pStyle w:val="ListParagraph"/>
              <w:ind w:left="0"/>
              <w:jc w:val="center"/>
              <w:rPr>
                <w:sz w:val="20"/>
                <w:szCs w:val="20"/>
              </w:rPr>
            </w:pPr>
            <w:r w:rsidRPr="00390A8A">
              <w:rPr>
                <w:sz w:val="20"/>
                <w:szCs w:val="20"/>
              </w:rPr>
              <w:t>88%</w:t>
            </w:r>
          </w:p>
        </w:tc>
        <w:tc>
          <w:tcPr>
            <w:tcW w:w="1350" w:type="dxa"/>
            <w:tcBorders>
              <w:top w:val="single" w:sz="18" w:space="0" w:color="B4C6E7" w:themeColor="accent5" w:themeTint="66"/>
            </w:tcBorders>
            <w:vAlign w:val="center"/>
          </w:tcPr>
          <w:p w:rsidR="002C6EDE" w:rsidRPr="00390A8A" w:rsidRDefault="002C6EDE" w:rsidP="002C6EDE">
            <w:pPr>
              <w:pStyle w:val="ListParagraph"/>
              <w:ind w:left="0"/>
              <w:jc w:val="center"/>
              <w:rPr>
                <w:sz w:val="20"/>
                <w:szCs w:val="20"/>
              </w:rPr>
            </w:pPr>
            <w:r w:rsidRPr="00390A8A">
              <w:rPr>
                <w:sz w:val="20"/>
                <w:szCs w:val="20"/>
              </w:rPr>
              <w:t>88%</w:t>
            </w:r>
          </w:p>
        </w:tc>
        <w:tc>
          <w:tcPr>
            <w:tcW w:w="1368" w:type="dxa"/>
            <w:tcBorders>
              <w:top w:val="single" w:sz="18" w:space="0" w:color="B4C6E7" w:themeColor="accent5" w:themeTint="66"/>
            </w:tcBorders>
            <w:vAlign w:val="center"/>
          </w:tcPr>
          <w:p w:rsidR="002C6EDE" w:rsidRPr="00390A8A" w:rsidRDefault="00B76BF4" w:rsidP="002C6EDE">
            <w:pPr>
              <w:pStyle w:val="ListParagraph"/>
              <w:ind w:left="0"/>
              <w:jc w:val="center"/>
              <w:rPr>
                <w:sz w:val="20"/>
                <w:szCs w:val="20"/>
              </w:rPr>
            </w:pPr>
            <w:r>
              <w:rPr>
                <w:sz w:val="20"/>
                <w:szCs w:val="20"/>
              </w:rPr>
              <w:t>98%</w:t>
            </w:r>
          </w:p>
        </w:tc>
      </w:tr>
      <w:tr w:rsidR="002C6EDE" w:rsidRPr="00390A8A" w:rsidTr="002C6EDE">
        <w:trPr>
          <w:trHeight w:val="732"/>
        </w:trPr>
        <w:tc>
          <w:tcPr>
            <w:tcW w:w="5508" w:type="dxa"/>
            <w:tcBorders>
              <w:top w:val="single" w:sz="18" w:space="0" w:color="B4C6E7" w:themeColor="accent5" w:themeTint="66"/>
              <w:bottom w:val="single" w:sz="18" w:space="0" w:color="B4C6E7" w:themeColor="accent5" w:themeTint="66"/>
            </w:tcBorders>
            <w:vAlign w:val="center"/>
          </w:tcPr>
          <w:p w:rsidR="002C6EDE" w:rsidRPr="00390A8A" w:rsidRDefault="002C6EDE" w:rsidP="00DB5829">
            <w:pPr>
              <w:pStyle w:val="ListParagraph"/>
              <w:ind w:left="0"/>
              <w:rPr>
                <w:b/>
                <w:color w:val="0E4588" w:themeColor="text2"/>
                <w:sz w:val="20"/>
                <w:szCs w:val="20"/>
              </w:rPr>
            </w:pPr>
            <w:r w:rsidRPr="00390A8A">
              <w:rPr>
                <w:b/>
                <w:color w:val="0E4588" w:themeColor="text2"/>
                <w:sz w:val="20"/>
                <w:szCs w:val="20"/>
              </w:rPr>
              <w:t>Program Supervisor provided feedback that improved practice</w:t>
            </w:r>
          </w:p>
        </w:tc>
        <w:tc>
          <w:tcPr>
            <w:tcW w:w="1350" w:type="dxa"/>
            <w:tcBorders>
              <w:top w:val="single" w:sz="18" w:space="0" w:color="B4C6E7" w:themeColor="accent5" w:themeTint="66"/>
            </w:tcBorders>
            <w:vAlign w:val="center"/>
          </w:tcPr>
          <w:p w:rsidR="002C6EDE" w:rsidRPr="00390A8A" w:rsidRDefault="002C6EDE" w:rsidP="002C6EDE">
            <w:pPr>
              <w:pStyle w:val="ListParagraph"/>
              <w:ind w:left="0"/>
              <w:jc w:val="center"/>
              <w:rPr>
                <w:sz w:val="20"/>
                <w:szCs w:val="20"/>
              </w:rPr>
            </w:pPr>
            <w:r w:rsidRPr="00390A8A">
              <w:rPr>
                <w:sz w:val="20"/>
                <w:szCs w:val="20"/>
              </w:rPr>
              <w:t>87%</w:t>
            </w:r>
          </w:p>
        </w:tc>
        <w:tc>
          <w:tcPr>
            <w:tcW w:w="1350" w:type="dxa"/>
            <w:tcBorders>
              <w:top w:val="single" w:sz="18" w:space="0" w:color="B4C6E7" w:themeColor="accent5" w:themeTint="66"/>
            </w:tcBorders>
            <w:vAlign w:val="center"/>
          </w:tcPr>
          <w:p w:rsidR="002C6EDE" w:rsidRPr="00390A8A" w:rsidRDefault="002C6EDE" w:rsidP="002C6EDE">
            <w:pPr>
              <w:pStyle w:val="ListParagraph"/>
              <w:ind w:left="0"/>
              <w:jc w:val="center"/>
              <w:rPr>
                <w:sz w:val="20"/>
                <w:szCs w:val="20"/>
              </w:rPr>
            </w:pPr>
            <w:r w:rsidRPr="00390A8A">
              <w:rPr>
                <w:sz w:val="20"/>
                <w:szCs w:val="20"/>
              </w:rPr>
              <w:t>87%</w:t>
            </w:r>
          </w:p>
        </w:tc>
        <w:tc>
          <w:tcPr>
            <w:tcW w:w="1368" w:type="dxa"/>
            <w:tcBorders>
              <w:top w:val="single" w:sz="18" w:space="0" w:color="B4C6E7" w:themeColor="accent5" w:themeTint="66"/>
            </w:tcBorders>
            <w:vAlign w:val="center"/>
          </w:tcPr>
          <w:p w:rsidR="002C6EDE" w:rsidRPr="00390A8A" w:rsidRDefault="002C6EDE" w:rsidP="002C6EDE">
            <w:pPr>
              <w:pStyle w:val="ListParagraph"/>
              <w:ind w:left="0"/>
              <w:jc w:val="center"/>
              <w:rPr>
                <w:sz w:val="20"/>
                <w:szCs w:val="20"/>
              </w:rPr>
            </w:pPr>
            <w:r w:rsidRPr="00390A8A">
              <w:rPr>
                <w:sz w:val="20"/>
                <w:szCs w:val="20"/>
              </w:rPr>
              <w:t>n/a</w:t>
            </w:r>
          </w:p>
        </w:tc>
      </w:tr>
      <w:tr w:rsidR="00B76BF4" w:rsidRPr="00390A8A" w:rsidTr="002C6EDE">
        <w:trPr>
          <w:trHeight w:val="732"/>
        </w:trPr>
        <w:tc>
          <w:tcPr>
            <w:tcW w:w="5508" w:type="dxa"/>
            <w:tcBorders>
              <w:top w:val="single" w:sz="18" w:space="0" w:color="B4C6E7" w:themeColor="accent5" w:themeTint="66"/>
              <w:bottom w:val="single" w:sz="18" w:space="0" w:color="B4C6E7" w:themeColor="accent5" w:themeTint="66"/>
            </w:tcBorders>
            <w:vAlign w:val="center"/>
          </w:tcPr>
          <w:p w:rsidR="00B76BF4" w:rsidRPr="00390A8A" w:rsidRDefault="00362638" w:rsidP="002C6EDE">
            <w:pPr>
              <w:pStyle w:val="ListParagraph"/>
              <w:ind w:left="0"/>
              <w:rPr>
                <w:b/>
                <w:color w:val="0E4588" w:themeColor="text2"/>
                <w:sz w:val="20"/>
                <w:szCs w:val="20"/>
              </w:rPr>
            </w:pPr>
            <w:r>
              <w:rPr>
                <w:b/>
                <w:color w:val="0E4588" w:themeColor="text2"/>
                <w:sz w:val="20"/>
                <w:szCs w:val="20"/>
              </w:rPr>
              <w:t>Supervising Practitioner</w:t>
            </w:r>
            <w:r w:rsidR="00B76BF4">
              <w:rPr>
                <w:b/>
                <w:color w:val="0E4588" w:themeColor="text2"/>
                <w:sz w:val="20"/>
                <w:szCs w:val="20"/>
              </w:rPr>
              <w:t xml:space="preserve"> was knowledgeable about how to be a supervisor</w:t>
            </w:r>
          </w:p>
        </w:tc>
        <w:tc>
          <w:tcPr>
            <w:tcW w:w="1350" w:type="dxa"/>
            <w:tcBorders>
              <w:top w:val="single" w:sz="18" w:space="0" w:color="B4C6E7" w:themeColor="accent5" w:themeTint="66"/>
              <w:bottom w:val="single" w:sz="18" w:space="0" w:color="B4C6E7" w:themeColor="accent5" w:themeTint="66"/>
            </w:tcBorders>
            <w:vAlign w:val="center"/>
          </w:tcPr>
          <w:p w:rsidR="00B76BF4" w:rsidRPr="00390A8A" w:rsidRDefault="00B76BF4" w:rsidP="002C6EDE">
            <w:pPr>
              <w:pStyle w:val="ListParagraph"/>
              <w:ind w:left="0"/>
              <w:jc w:val="center"/>
              <w:rPr>
                <w:sz w:val="20"/>
                <w:szCs w:val="20"/>
              </w:rPr>
            </w:pPr>
            <w:r>
              <w:rPr>
                <w:sz w:val="20"/>
                <w:szCs w:val="20"/>
              </w:rPr>
              <w:t>86%</w:t>
            </w:r>
          </w:p>
        </w:tc>
        <w:tc>
          <w:tcPr>
            <w:tcW w:w="1350" w:type="dxa"/>
            <w:tcBorders>
              <w:top w:val="single" w:sz="18" w:space="0" w:color="B4C6E7" w:themeColor="accent5" w:themeTint="66"/>
              <w:bottom w:val="single" w:sz="18" w:space="0" w:color="B4C6E7" w:themeColor="accent5" w:themeTint="66"/>
            </w:tcBorders>
            <w:vAlign w:val="center"/>
          </w:tcPr>
          <w:p w:rsidR="00B76BF4" w:rsidRPr="00390A8A" w:rsidRDefault="00B76BF4" w:rsidP="002C6EDE">
            <w:pPr>
              <w:pStyle w:val="ListParagraph"/>
              <w:ind w:left="0"/>
              <w:jc w:val="center"/>
              <w:rPr>
                <w:sz w:val="20"/>
                <w:szCs w:val="20"/>
              </w:rPr>
            </w:pPr>
            <w:r>
              <w:rPr>
                <w:sz w:val="20"/>
                <w:szCs w:val="20"/>
              </w:rPr>
              <w:t>88%</w:t>
            </w:r>
          </w:p>
        </w:tc>
        <w:tc>
          <w:tcPr>
            <w:tcW w:w="1368" w:type="dxa"/>
            <w:tcBorders>
              <w:top w:val="single" w:sz="18" w:space="0" w:color="B4C6E7" w:themeColor="accent5" w:themeTint="66"/>
              <w:bottom w:val="single" w:sz="18" w:space="0" w:color="B4C6E7" w:themeColor="accent5" w:themeTint="66"/>
            </w:tcBorders>
            <w:vAlign w:val="center"/>
          </w:tcPr>
          <w:p w:rsidR="00B76BF4" w:rsidRPr="00390A8A" w:rsidRDefault="00B76BF4" w:rsidP="002C6EDE">
            <w:pPr>
              <w:pStyle w:val="ListParagraph"/>
              <w:ind w:left="0"/>
              <w:jc w:val="center"/>
              <w:rPr>
                <w:sz w:val="20"/>
                <w:szCs w:val="20"/>
              </w:rPr>
            </w:pPr>
            <w:r>
              <w:rPr>
                <w:sz w:val="20"/>
                <w:szCs w:val="20"/>
              </w:rPr>
              <w:t>93%</w:t>
            </w:r>
          </w:p>
        </w:tc>
      </w:tr>
      <w:tr w:rsidR="00B76BF4" w:rsidRPr="00390A8A" w:rsidTr="002C6EDE">
        <w:trPr>
          <w:trHeight w:val="732"/>
        </w:trPr>
        <w:tc>
          <w:tcPr>
            <w:tcW w:w="5508" w:type="dxa"/>
            <w:tcBorders>
              <w:top w:val="single" w:sz="18" w:space="0" w:color="B4C6E7" w:themeColor="accent5" w:themeTint="66"/>
              <w:bottom w:val="single" w:sz="18" w:space="0" w:color="B4C6E7" w:themeColor="accent5" w:themeTint="66"/>
            </w:tcBorders>
            <w:vAlign w:val="center"/>
          </w:tcPr>
          <w:p w:rsidR="00B76BF4" w:rsidRDefault="00B76BF4" w:rsidP="002C6EDE">
            <w:pPr>
              <w:pStyle w:val="ListParagraph"/>
              <w:ind w:left="0"/>
              <w:rPr>
                <w:b/>
                <w:color w:val="0E4588" w:themeColor="text2"/>
                <w:sz w:val="20"/>
                <w:szCs w:val="20"/>
              </w:rPr>
            </w:pPr>
            <w:r>
              <w:rPr>
                <w:b/>
                <w:color w:val="0E4588" w:themeColor="text2"/>
                <w:sz w:val="20"/>
                <w:szCs w:val="20"/>
              </w:rPr>
              <w:t>I received training on CAP that contributed to a consistent and rigorous assessment of the candidate</w:t>
            </w:r>
          </w:p>
        </w:tc>
        <w:tc>
          <w:tcPr>
            <w:tcW w:w="1350" w:type="dxa"/>
            <w:tcBorders>
              <w:top w:val="single" w:sz="18" w:space="0" w:color="B4C6E7" w:themeColor="accent5" w:themeTint="66"/>
              <w:bottom w:val="single" w:sz="18" w:space="0" w:color="B4C6E7" w:themeColor="accent5" w:themeTint="66"/>
            </w:tcBorders>
            <w:vAlign w:val="center"/>
          </w:tcPr>
          <w:p w:rsidR="00B76BF4" w:rsidRDefault="00B76BF4" w:rsidP="002C6EDE">
            <w:pPr>
              <w:pStyle w:val="ListParagraph"/>
              <w:ind w:left="0"/>
              <w:jc w:val="center"/>
              <w:rPr>
                <w:sz w:val="20"/>
                <w:szCs w:val="20"/>
              </w:rPr>
            </w:pPr>
            <w:r>
              <w:rPr>
                <w:sz w:val="20"/>
                <w:szCs w:val="20"/>
              </w:rPr>
              <w:t>n/a</w:t>
            </w:r>
          </w:p>
        </w:tc>
        <w:tc>
          <w:tcPr>
            <w:tcW w:w="1350" w:type="dxa"/>
            <w:tcBorders>
              <w:top w:val="single" w:sz="18" w:space="0" w:color="B4C6E7" w:themeColor="accent5" w:themeTint="66"/>
              <w:bottom w:val="single" w:sz="18" w:space="0" w:color="B4C6E7" w:themeColor="accent5" w:themeTint="66"/>
            </w:tcBorders>
            <w:vAlign w:val="center"/>
          </w:tcPr>
          <w:p w:rsidR="00B76BF4" w:rsidRDefault="00B76BF4" w:rsidP="002C6EDE">
            <w:pPr>
              <w:pStyle w:val="ListParagraph"/>
              <w:ind w:left="0"/>
              <w:jc w:val="center"/>
              <w:rPr>
                <w:sz w:val="20"/>
                <w:szCs w:val="20"/>
              </w:rPr>
            </w:pPr>
            <w:r>
              <w:rPr>
                <w:sz w:val="20"/>
                <w:szCs w:val="20"/>
              </w:rPr>
              <w:t>n/a</w:t>
            </w:r>
          </w:p>
        </w:tc>
        <w:tc>
          <w:tcPr>
            <w:tcW w:w="1368" w:type="dxa"/>
            <w:tcBorders>
              <w:top w:val="single" w:sz="18" w:space="0" w:color="B4C6E7" w:themeColor="accent5" w:themeTint="66"/>
              <w:bottom w:val="single" w:sz="18" w:space="0" w:color="B4C6E7" w:themeColor="accent5" w:themeTint="66"/>
            </w:tcBorders>
            <w:vAlign w:val="center"/>
          </w:tcPr>
          <w:p w:rsidR="00B76BF4" w:rsidRDefault="00B76BF4" w:rsidP="002C6EDE">
            <w:pPr>
              <w:pStyle w:val="ListParagraph"/>
              <w:ind w:left="0"/>
              <w:jc w:val="center"/>
              <w:rPr>
                <w:sz w:val="20"/>
                <w:szCs w:val="20"/>
              </w:rPr>
            </w:pPr>
            <w:r>
              <w:rPr>
                <w:sz w:val="20"/>
                <w:szCs w:val="20"/>
              </w:rPr>
              <w:t>47%</w:t>
            </w:r>
            <w:r w:rsidRPr="00BC4CC5">
              <w:rPr>
                <w:rStyle w:val="FootnoteReference"/>
                <w:color w:val="000000" w:themeColor="text1"/>
                <w:sz w:val="20"/>
                <w:szCs w:val="20"/>
              </w:rPr>
              <w:footnoteReference w:id="6"/>
            </w:r>
          </w:p>
        </w:tc>
      </w:tr>
    </w:tbl>
    <w:p w:rsidR="002C6EDE" w:rsidRDefault="002C6EDE" w:rsidP="0060193E">
      <w:pPr>
        <w:pStyle w:val="ListParagraph"/>
        <w:spacing w:line="240" w:lineRule="auto"/>
        <w:ind w:left="0"/>
        <w:rPr>
          <w:b/>
          <w:color w:val="E36C0A" w:themeColor="accent2"/>
          <w:sz w:val="28"/>
          <w:szCs w:val="28"/>
        </w:rPr>
      </w:pPr>
    </w:p>
    <w:p w:rsidR="0060193E" w:rsidRDefault="0060193E" w:rsidP="0060193E">
      <w:pPr>
        <w:pStyle w:val="ListParagraph"/>
        <w:spacing w:line="240" w:lineRule="auto"/>
        <w:ind w:left="0"/>
        <w:rPr>
          <w:b/>
          <w:color w:val="E36C0A" w:themeColor="accent2"/>
          <w:sz w:val="28"/>
          <w:szCs w:val="28"/>
        </w:rPr>
      </w:pPr>
      <w:r>
        <w:rPr>
          <w:b/>
          <w:color w:val="E36C0A" w:themeColor="accent2"/>
          <w:sz w:val="28"/>
          <w:szCs w:val="28"/>
        </w:rPr>
        <w:t>Candidate Experience</w:t>
      </w:r>
    </w:p>
    <w:p w:rsidR="0060193E" w:rsidRDefault="0060193E" w:rsidP="0060193E">
      <w:pPr>
        <w:pStyle w:val="ListParagraph"/>
        <w:numPr>
          <w:ilvl w:val="0"/>
          <w:numId w:val="7"/>
        </w:numPr>
        <w:spacing w:line="240" w:lineRule="auto"/>
        <w:rPr>
          <w:color w:val="000000" w:themeColor="text1"/>
        </w:rPr>
      </w:pPr>
      <w:r>
        <w:rPr>
          <w:color w:val="000000" w:themeColor="text1"/>
        </w:rPr>
        <w:t xml:space="preserve">More candidates </w:t>
      </w:r>
      <w:r w:rsidR="008549CA">
        <w:rPr>
          <w:color w:val="000000" w:themeColor="text1"/>
        </w:rPr>
        <w:t xml:space="preserve">than completers </w:t>
      </w:r>
      <w:r>
        <w:rPr>
          <w:color w:val="000000" w:themeColor="text1"/>
        </w:rPr>
        <w:t>agree that there were checkpoints throughout the program to make sure they were meeting standards than about their admission process and advising.</w:t>
      </w:r>
    </w:p>
    <w:p w:rsidR="00DB5829" w:rsidRPr="00F55163" w:rsidRDefault="0060193E" w:rsidP="00F55163">
      <w:pPr>
        <w:pStyle w:val="ListParagraph"/>
        <w:numPr>
          <w:ilvl w:val="0"/>
          <w:numId w:val="7"/>
        </w:numPr>
        <w:spacing w:line="240" w:lineRule="auto"/>
        <w:rPr>
          <w:color w:val="000000" w:themeColor="text1"/>
        </w:rPr>
      </w:pPr>
      <w:r w:rsidRPr="00DB5829">
        <w:rPr>
          <w:color w:val="000000" w:themeColor="text1"/>
        </w:rPr>
        <w:t>Completers were more favorable about</w:t>
      </w:r>
      <w:r w:rsidR="00DB5829">
        <w:rPr>
          <w:color w:val="000000" w:themeColor="text1"/>
        </w:rPr>
        <w:t xml:space="preserve"> their advising than candidates.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Percentage of stakeholders who selected “strongly agree” or “agree”&#10;&#10;The admission processes rigorously screened candidates for skills and qualities that are important in the licensure role&#10;Candidates (n=408): 75%&#10;Completers (n=202): 74%&#10;I was effectively advised throughout my program&#10;Candidates (n=408): 73%&#10;Completers (n=202): 80%&#10;There were checkpoints throughout the program to make sure candidates were meeting standards&#10;Candidates (n=408): 80%&#10;Completers (n=202): 82%"/>
      </w:tblPr>
      <w:tblGrid>
        <w:gridCol w:w="6228"/>
        <w:gridCol w:w="1665"/>
        <w:gridCol w:w="1665"/>
      </w:tblGrid>
      <w:tr w:rsidR="0060193E" w:rsidRPr="00A74463" w:rsidTr="008549CA">
        <w:trPr>
          <w:trHeight w:val="592"/>
          <w:tblHeader/>
        </w:trPr>
        <w:tc>
          <w:tcPr>
            <w:tcW w:w="6228" w:type="dxa"/>
            <w:shd w:val="clear" w:color="auto" w:fill="B4C6E7" w:themeFill="accent5" w:themeFillTint="66"/>
            <w:vAlign w:val="bottom"/>
          </w:tcPr>
          <w:p w:rsidR="0060193E" w:rsidRPr="00A74463" w:rsidRDefault="0060193E" w:rsidP="00B0784C">
            <w:pPr>
              <w:pStyle w:val="ListParagraph"/>
              <w:ind w:left="0"/>
              <w:rPr>
                <w:b/>
                <w:sz w:val="20"/>
                <w:szCs w:val="20"/>
              </w:rPr>
            </w:pPr>
            <w:r>
              <w:rPr>
                <w:i/>
                <w:color w:val="E36C0A" w:themeColor="accent2"/>
                <w:sz w:val="18"/>
                <w:szCs w:val="18"/>
              </w:rPr>
              <w:t xml:space="preserve">Percentage of stakeholders who selected </w:t>
            </w:r>
            <w:r w:rsidR="00B0784C">
              <w:rPr>
                <w:i/>
                <w:color w:val="E36C0A" w:themeColor="accent2"/>
                <w:sz w:val="18"/>
                <w:szCs w:val="18"/>
              </w:rPr>
              <w:t>“</w:t>
            </w:r>
            <w:r w:rsidRPr="00AB4F5E">
              <w:rPr>
                <w:i/>
                <w:color w:val="E36C0A" w:themeColor="accent2"/>
                <w:sz w:val="18"/>
                <w:szCs w:val="18"/>
              </w:rPr>
              <w:t>strongly agree</w:t>
            </w:r>
            <w:r w:rsidR="00B0784C">
              <w:rPr>
                <w:i/>
                <w:color w:val="E36C0A" w:themeColor="accent2"/>
                <w:sz w:val="18"/>
                <w:szCs w:val="18"/>
              </w:rPr>
              <w:t>” or</w:t>
            </w:r>
            <w:r w:rsidRPr="00AB4F5E">
              <w:rPr>
                <w:i/>
                <w:color w:val="E36C0A" w:themeColor="accent2"/>
                <w:sz w:val="18"/>
                <w:szCs w:val="18"/>
              </w:rPr>
              <w:t xml:space="preserve"> </w:t>
            </w:r>
            <w:r w:rsidR="00B0784C">
              <w:rPr>
                <w:i/>
                <w:color w:val="E36C0A" w:themeColor="accent2"/>
                <w:sz w:val="18"/>
                <w:szCs w:val="18"/>
              </w:rPr>
              <w:t>“</w:t>
            </w:r>
            <w:r w:rsidRPr="00AB4F5E">
              <w:rPr>
                <w:i/>
                <w:color w:val="E36C0A" w:themeColor="accent2"/>
                <w:sz w:val="18"/>
                <w:szCs w:val="18"/>
              </w:rPr>
              <w:t>agree</w:t>
            </w:r>
            <w:r w:rsidR="00B0784C">
              <w:rPr>
                <w:i/>
                <w:color w:val="E36C0A" w:themeColor="accent2"/>
                <w:sz w:val="18"/>
                <w:szCs w:val="18"/>
              </w:rPr>
              <w:t>”</w:t>
            </w:r>
          </w:p>
        </w:tc>
        <w:tc>
          <w:tcPr>
            <w:tcW w:w="1665" w:type="dxa"/>
            <w:shd w:val="clear" w:color="auto" w:fill="B4C6E7" w:themeFill="accent5" w:themeFillTint="66"/>
          </w:tcPr>
          <w:p w:rsidR="0060193E" w:rsidRPr="00A74463" w:rsidRDefault="0060193E" w:rsidP="0060193E">
            <w:pPr>
              <w:pStyle w:val="ListParagraph"/>
              <w:ind w:left="0"/>
              <w:jc w:val="center"/>
              <w:rPr>
                <w:sz w:val="20"/>
                <w:szCs w:val="20"/>
              </w:rPr>
            </w:pPr>
            <w:r>
              <w:rPr>
                <w:sz w:val="20"/>
                <w:szCs w:val="20"/>
              </w:rPr>
              <w:t>Candidates (n=408)</w:t>
            </w:r>
          </w:p>
        </w:tc>
        <w:tc>
          <w:tcPr>
            <w:tcW w:w="1665" w:type="dxa"/>
            <w:shd w:val="clear" w:color="auto" w:fill="B4C6E7" w:themeFill="accent5" w:themeFillTint="66"/>
          </w:tcPr>
          <w:p w:rsidR="0060193E" w:rsidRPr="00A74463" w:rsidRDefault="0060193E" w:rsidP="0060193E">
            <w:pPr>
              <w:pStyle w:val="ListParagraph"/>
              <w:ind w:left="0"/>
              <w:jc w:val="center"/>
              <w:rPr>
                <w:sz w:val="20"/>
                <w:szCs w:val="20"/>
              </w:rPr>
            </w:pPr>
            <w:r>
              <w:rPr>
                <w:sz w:val="20"/>
                <w:szCs w:val="20"/>
              </w:rPr>
              <w:t>Completers (n=202)</w:t>
            </w:r>
          </w:p>
        </w:tc>
      </w:tr>
      <w:tr w:rsidR="0060193E" w:rsidRPr="00A74463" w:rsidTr="0060193E">
        <w:trPr>
          <w:trHeight w:val="592"/>
        </w:trPr>
        <w:tc>
          <w:tcPr>
            <w:tcW w:w="6228" w:type="dxa"/>
            <w:tcBorders>
              <w:bottom w:val="single" w:sz="18" w:space="0" w:color="B4C6E7" w:themeColor="accent5" w:themeTint="66"/>
            </w:tcBorders>
            <w:vAlign w:val="center"/>
          </w:tcPr>
          <w:p w:rsidR="0060193E" w:rsidRPr="00A74463" w:rsidRDefault="0060193E" w:rsidP="0060193E">
            <w:pPr>
              <w:pStyle w:val="ListParagraph"/>
              <w:ind w:left="0"/>
              <w:rPr>
                <w:b/>
                <w:color w:val="0E4588" w:themeColor="text2"/>
                <w:sz w:val="20"/>
                <w:szCs w:val="20"/>
              </w:rPr>
            </w:pPr>
            <w:r>
              <w:rPr>
                <w:b/>
                <w:color w:val="0E4588" w:themeColor="text2"/>
                <w:sz w:val="20"/>
                <w:szCs w:val="20"/>
              </w:rPr>
              <w:t>The admission processes rigorously screened candidates for skills and qualities that are important in the licensure role</w:t>
            </w:r>
          </w:p>
        </w:tc>
        <w:tc>
          <w:tcPr>
            <w:tcW w:w="1665" w:type="dxa"/>
            <w:vAlign w:val="center"/>
          </w:tcPr>
          <w:p w:rsidR="0060193E" w:rsidRPr="00A74463" w:rsidRDefault="0060193E" w:rsidP="0060193E">
            <w:pPr>
              <w:pStyle w:val="ListParagraph"/>
              <w:ind w:left="0"/>
              <w:jc w:val="center"/>
              <w:rPr>
                <w:sz w:val="20"/>
                <w:szCs w:val="20"/>
              </w:rPr>
            </w:pPr>
            <w:r>
              <w:rPr>
                <w:sz w:val="20"/>
                <w:szCs w:val="20"/>
              </w:rPr>
              <w:t>75%</w:t>
            </w:r>
          </w:p>
        </w:tc>
        <w:tc>
          <w:tcPr>
            <w:tcW w:w="1665" w:type="dxa"/>
            <w:vAlign w:val="center"/>
          </w:tcPr>
          <w:p w:rsidR="0060193E" w:rsidRPr="00A74463" w:rsidRDefault="0060193E" w:rsidP="0060193E">
            <w:pPr>
              <w:pStyle w:val="ListParagraph"/>
              <w:ind w:left="0"/>
              <w:jc w:val="center"/>
              <w:rPr>
                <w:sz w:val="20"/>
                <w:szCs w:val="20"/>
              </w:rPr>
            </w:pPr>
            <w:r>
              <w:rPr>
                <w:sz w:val="20"/>
                <w:szCs w:val="20"/>
              </w:rPr>
              <w:t>74%</w:t>
            </w:r>
          </w:p>
        </w:tc>
      </w:tr>
      <w:tr w:rsidR="0060193E" w:rsidRPr="00A74463" w:rsidTr="0060193E">
        <w:trPr>
          <w:trHeight w:val="592"/>
        </w:trPr>
        <w:tc>
          <w:tcPr>
            <w:tcW w:w="6228" w:type="dxa"/>
            <w:tcBorders>
              <w:top w:val="single" w:sz="18" w:space="0" w:color="B4C6E7" w:themeColor="accent5" w:themeTint="66"/>
              <w:bottom w:val="single" w:sz="18" w:space="0" w:color="B4C6E7" w:themeColor="accent5" w:themeTint="66"/>
            </w:tcBorders>
            <w:vAlign w:val="center"/>
          </w:tcPr>
          <w:p w:rsidR="0060193E" w:rsidRDefault="0060193E" w:rsidP="0060193E">
            <w:pPr>
              <w:pStyle w:val="ListParagraph"/>
              <w:ind w:left="0"/>
              <w:rPr>
                <w:b/>
                <w:color w:val="0E4588" w:themeColor="text2"/>
                <w:sz w:val="20"/>
                <w:szCs w:val="20"/>
              </w:rPr>
            </w:pPr>
            <w:r>
              <w:rPr>
                <w:b/>
                <w:color w:val="0E4588" w:themeColor="text2"/>
                <w:sz w:val="20"/>
                <w:szCs w:val="20"/>
              </w:rPr>
              <w:t>I was effectively advised throughout my program</w:t>
            </w:r>
          </w:p>
        </w:tc>
        <w:tc>
          <w:tcPr>
            <w:tcW w:w="1665" w:type="dxa"/>
            <w:tcBorders>
              <w:top w:val="single" w:sz="18" w:space="0" w:color="B4C6E7" w:themeColor="accent5" w:themeTint="66"/>
            </w:tcBorders>
            <w:vAlign w:val="center"/>
          </w:tcPr>
          <w:p w:rsidR="0060193E" w:rsidRPr="00A74463" w:rsidRDefault="0060193E" w:rsidP="0060193E">
            <w:pPr>
              <w:pStyle w:val="ListParagraph"/>
              <w:ind w:left="0"/>
              <w:jc w:val="center"/>
              <w:rPr>
                <w:sz w:val="20"/>
                <w:szCs w:val="20"/>
              </w:rPr>
            </w:pPr>
            <w:r>
              <w:rPr>
                <w:sz w:val="20"/>
                <w:szCs w:val="20"/>
              </w:rPr>
              <w:t>73%</w:t>
            </w:r>
          </w:p>
        </w:tc>
        <w:tc>
          <w:tcPr>
            <w:tcW w:w="1665" w:type="dxa"/>
            <w:tcBorders>
              <w:top w:val="single" w:sz="18" w:space="0" w:color="B4C6E7" w:themeColor="accent5" w:themeTint="66"/>
            </w:tcBorders>
            <w:vAlign w:val="center"/>
          </w:tcPr>
          <w:p w:rsidR="0060193E" w:rsidRPr="00A74463" w:rsidRDefault="0060193E" w:rsidP="0060193E">
            <w:pPr>
              <w:pStyle w:val="ListParagraph"/>
              <w:ind w:left="0"/>
              <w:jc w:val="center"/>
              <w:rPr>
                <w:sz w:val="20"/>
                <w:szCs w:val="20"/>
              </w:rPr>
            </w:pPr>
            <w:r>
              <w:rPr>
                <w:sz w:val="20"/>
                <w:szCs w:val="20"/>
              </w:rPr>
              <w:t>80%</w:t>
            </w:r>
          </w:p>
        </w:tc>
      </w:tr>
      <w:tr w:rsidR="0060193E" w:rsidRPr="00A74463" w:rsidTr="0060193E">
        <w:trPr>
          <w:trHeight w:val="592"/>
        </w:trPr>
        <w:tc>
          <w:tcPr>
            <w:tcW w:w="6228" w:type="dxa"/>
            <w:tcBorders>
              <w:top w:val="single" w:sz="18" w:space="0" w:color="B4C6E7" w:themeColor="accent5" w:themeTint="66"/>
              <w:bottom w:val="single" w:sz="18" w:space="0" w:color="B4C6E7" w:themeColor="accent5" w:themeTint="66"/>
            </w:tcBorders>
            <w:vAlign w:val="center"/>
          </w:tcPr>
          <w:p w:rsidR="0060193E" w:rsidRDefault="0060193E" w:rsidP="0060193E">
            <w:pPr>
              <w:pStyle w:val="ListParagraph"/>
              <w:ind w:left="0"/>
              <w:rPr>
                <w:b/>
                <w:color w:val="0E4588" w:themeColor="text2"/>
                <w:sz w:val="20"/>
                <w:szCs w:val="20"/>
              </w:rPr>
            </w:pPr>
            <w:r>
              <w:rPr>
                <w:b/>
                <w:color w:val="0E4588" w:themeColor="text2"/>
                <w:sz w:val="20"/>
                <w:szCs w:val="20"/>
              </w:rPr>
              <w:t>There were checkpoints throughout the program to make sure candidates were meeting standards</w:t>
            </w:r>
          </w:p>
        </w:tc>
        <w:tc>
          <w:tcPr>
            <w:tcW w:w="1665" w:type="dxa"/>
            <w:tcBorders>
              <w:top w:val="single" w:sz="18" w:space="0" w:color="B4C6E7" w:themeColor="accent5" w:themeTint="66"/>
              <w:bottom w:val="single" w:sz="18" w:space="0" w:color="B4C6E7" w:themeColor="accent5" w:themeTint="66"/>
            </w:tcBorders>
            <w:vAlign w:val="center"/>
          </w:tcPr>
          <w:p w:rsidR="0060193E" w:rsidRPr="00A74463" w:rsidRDefault="0060193E" w:rsidP="0060193E">
            <w:pPr>
              <w:pStyle w:val="ListParagraph"/>
              <w:ind w:left="0"/>
              <w:jc w:val="center"/>
              <w:rPr>
                <w:sz w:val="20"/>
                <w:szCs w:val="20"/>
              </w:rPr>
            </w:pPr>
            <w:r>
              <w:rPr>
                <w:sz w:val="20"/>
                <w:szCs w:val="20"/>
              </w:rPr>
              <w:t>80%</w:t>
            </w:r>
          </w:p>
        </w:tc>
        <w:tc>
          <w:tcPr>
            <w:tcW w:w="1665" w:type="dxa"/>
            <w:tcBorders>
              <w:top w:val="single" w:sz="18" w:space="0" w:color="B4C6E7" w:themeColor="accent5" w:themeTint="66"/>
              <w:bottom w:val="single" w:sz="18" w:space="0" w:color="B4C6E7" w:themeColor="accent5" w:themeTint="66"/>
            </w:tcBorders>
            <w:vAlign w:val="center"/>
          </w:tcPr>
          <w:p w:rsidR="0060193E" w:rsidRPr="00A74463" w:rsidRDefault="0060193E" w:rsidP="0060193E">
            <w:pPr>
              <w:pStyle w:val="ListParagraph"/>
              <w:ind w:left="0"/>
              <w:jc w:val="center"/>
              <w:rPr>
                <w:sz w:val="20"/>
                <w:szCs w:val="20"/>
              </w:rPr>
            </w:pPr>
            <w:r>
              <w:rPr>
                <w:sz w:val="20"/>
                <w:szCs w:val="20"/>
              </w:rPr>
              <w:t>82%</w:t>
            </w:r>
          </w:p>
        </w:tc>
      </w:tr>
    </w:tbl>
    <w:p w:rsidR="0060193E" w:rsidRDefault="0060193E" w:rsidP="009D23AA">
      <w:pPr>
        <w:pStyle w:val="ListParagraph"/>
        <w:spacing w:line="240" w:lineRule="auto"/>
        <w:ind w:left="0"/>
        <w:rPr>
          <w:b/>
          <w:color w:val="E36C0A" w:themeColor="accent2"/>
          <w:sz w:val="28"/>
          <w:szCs w:val="28"/>
        </w:rPr>
      </w:pPr>
    </w:p>
    <w:p w:rsidR="0038645F" w:rsidRPr="0046273C" w:rsidRDefault="00E77C1F" w:rsidP="009D23AA">
      <w:pPr>
        <w:pStyle w:val="ListParagraph"/>
        <w:spacing w:line="240" w:lineRule="auto"/>
        <w:ind w:left="0"/>
        <w:rPr>
          <w:b/>
          <w:color w:val="E36C0A" w:themeColor="accent2"/>
          <w:sz w:val="28"/>
          <w:szCs w:val="28"/>
        </w:rPr>
      </w:pPr>
      <w:r w:rsidRPr="00290A61">
        <w:rPr>
          <w:b/>
          <w:color w:val="E36C0A" w:themeColor="accent2"/>
          <w:sz w:val="28"/>
          <w:szCs w:val="28"/>
        </w:rPr>
        <w:t xml:space="preserve">Preparation </w:t>
      </w:r>
      <w:r w:rsidR="008549CA">
        <w:rPr>
          <w:b/>
          <w:color w:val="E36C0A" w:themeColor="accent2"/>
          <w:sz w:val="28"/>
          <w:szCs w:val="28"/>
        </w:rPr>
        <w:t>on</w:t>
      </w:r>
      <w:r w:rsidRPr="00290A61">
        <w:rPr>
          <w:b/>
          <w:color w:val="E36C0A" w:themeColor="accent2"/>
          <w:sz w:val="28"/>
          <w:szCs w:val="28"/>
        </w:rPr>
        <w:t xml:space="preserve"> </w:t>
      </w:r>
      <w:r w:rsidR="008549CA">
        <w:rPr>
          <w:b/>
          <w:color w:val="E36C0A" w:themeColor="accent2"/>
          <w:sz w:val="28"/>
          <w:szCs w:val="28"/>
        </w:rPr>
        <w:t>Professional Standards for Teachers (PSTs)</w:t>
      </w:r>
    </w:p>
    <w:p w:rsidR="00132F60" w:rsidRDefault="0046273C" w:rsidP="009D23AA">
      <w:pPr>
        <w:pStyle w:val="ListParagraph"/>
        <w:numPr>
          <w:ilvl w:val="0"/>
          <w:numId w:val="5"/>
        </w:numPr>
        <w:spacing w:line="240" w:lineRule="auto"/>
        <w:rPr>
          <w:color w:val="000000" w:themeColor="text1"/>
        </w:rPr>
      </w:pPr>
      <w:r>
        <w:rPr>
          <w:color w:val="000000" w:themeColor="text1"/>
        </w:rPr>
        <w:t xml:space="preserve">Candidates were </w:t>
      </w:r>
      <w:r w:rsidR="00DB5829">
        <w:rPr>
          <w:color w:val="000000" w:themeColor="text1"/>
        </w:rPr>
        <w:t xml:space="preserve">highly </w:t>
      </w:r>
      <w:r>
        <w:rPr>
          <w:color w:val="000000" w:themeColor="text1"/>
        </w:rPr>
        <w:t>confident in their ability to implement the standards, except for S</w:t>
      </w:r>
      <w:r w:rsidR="00F00456">
        <w:rPr>
          <w:color w:val="000000" w:themeColor="text1"/>
        </w:rPr>
        <w:t>tandard 3</w:t>
      </w:r>
      <w:r>
        <w:rPr>
          <w:color w:val="000000" w:themeColor="text1"/>
        </w:rPr>
        <w:t xml:space="preserve">, which received </w:t>
      </w:r>
      <w:r w:rsidR="008549CA">
        <w:rPr>
          <w:color w:val="000000" w:themeColor="text1"/>
        </w:rPr>
        <w:t>a lower rate of agreement than S</w:t>
      </w:r>
      <w:r w:rsidR="00F00456">
        <w:rPr>
          <w:color w:val="000000" w:themeColor="text1"/>
        </w:rPr>
        <w:t>tandards 1,2, and 4</w:t>
      </w:r>
      <w:r>
        <w:rPr>
          <w:color w:val="000000" w:themeColor="text1"/>
        </w:rPr>
        <w:t>.</w:t>
      </w:r>
    </w:p>
    <w:p w:rsidR="0046273C" w:rsidRDefault="0046273C" w:rsidP="009D23AA">
      <w:pPr>
        <w:pStyle w:val="ListParagraph"/>
        <w:numPr>
          <w:ilvl w:val="0"/>
          <w:numId w:val="5"/>
        </w:numPr>
        <w:spacing w:line="240" w:lineRule="auto"/>
        <w:rPr>
          <w:color w:val="000000" w:themeColor="text1"/>
        </w:rPr>
      </w:pPr>
      <w:r>
        <w:rPr>
          <w:color w:val="000000" w:themeColor="text1"/>
        </w:rPr>
        <w:t>Completers were not as favorable as candidates</w:t>
      </w:r>
      <w:r w:rsidR="0060193E">
        <w:rPr>
          <w:color w:val="000000" w:themeColor="text1"/>
        </w:rPr>
        <w:t>, however</w:t>
      </w:r>
      <w:r w:rsidR="00DB5829">
        <w:rPr>
          <w:color w:val="000000" w:themeColor="text1"/>
        </w:rPr>
        <w:t>,</w:t>
      </w:r>
      <w:r w:rsidR="0060193E">
        <w:rPr>
          <w:color w:val="000000" w:themeColor="text1"/>
        </w:rPr>
        <w:t xml:space="preserve"> they fe</w:t>
      </w:r>
      <w:r w:rsidR="00F00456">
        <w:rPr>
          <w:color w:val="000000" w:themeColor="text1"/>
        </w:rPr>
        <w:t>lt more prepared in Standard 3</w:t>
      </w:r>
      <w:r w:rsidR="0060193E">
        <w:rPr>
          <w:color w:val="000000" w:themeColor="text1"/>
        </w:rPr>
        <w:t>. Completers were most confident i</w:t>
      </w:r>
      <w:r w:rsidR="00F00456">
        <w:rPr>
          <w:color w:val="000000" w:themeColor="text1"/>
        </w:rPr>
        <w:t>n their abilities in Standard 4</w:t>
      </w:r>
      <w:r w:rsidR="0060193E">
        <w:rPr>
          <w:color w:val="000000" w:themeColor="text1"/>
        </w:rPr>
        <w:t>.</w:t>
      </w:r>
    </w:p>
    <w:p w:rsidR="0046273C" w:rsidRDefault="00C065A2" w:rsidP="009D23AA">
      <w:pPr>
        <w:pStyle w:val="ListParagraph"/>
        <w:numPr>
          <w:ilvl w:val="0"/>
          <w:numId w:val="5"/>
        </w:numPr>
        <w:spacing w:line="240" w:lineRule="auto"/>
        <w:rPr>
          <w:color w:val="000000" w:themeColor="text1"/>
        </w:rPr>
      </w:pPr>
      <w:r>
        <w:rPr>
          <w:color w:val="000000" w:themeColor="text1"/>
        </w:rPr>
        <w:t xml:space="preserve">Overall, </w:t>
      </w:r>
      <w:r w:rsidR="0046273C">
        <w:rPr>
          <w:color w:val="000000" w:themeColor="text1"/>
        </w:rPr>
        <w:t xml:space="preserve">Supervising Practitioners </w:t>
      </w:r>
      <w:r w:rsidR="00744486">
        <w:rPr>
          <w:color w:val="000000" w:themeColor="text1"/>
        </w:rPr>
        <w:t>were also</w:t>
      </w:r>
      <w:r w:rsidR="0057382A">
        <w:rPr>
          <w:color w:val="000000" w:themeColor="text1"/>
        </w:rPr>
        <w:t xml:space="preserve"> more critical than candidates.</w:t>
      </w:r>
    </w:p>
    <w:p w:rsidR="00F00456" w:rsidRPr="00F00456" w:rsidRDefault="00F00456" w:rsidP="00F00456">
      <w:pPr>
        <w:spacing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Percentage of stakeholders who selected “Exemplary” or “Proficient”&#10;Overall, how well prepared was the teacher to meet performance expectations outlined in ...&#10;&#10;Standard 1: Curriculum, Planning, and Assessment&#10;Candidates (n=408): 95%&#10;Completers (n=202): 90%&#10;Supervising Practitioners (n=649): 90%&#10;Standard 2: Teaching All Students&#10;Candidates (n=408): 95%&#10;Completers (n=202): 86%&#10;Supervising Practitioners (n=649): 88%&#10;Standard 3: Family and Community Engagement&#10;Candidates (n=408): 79%&#10;Completers (n=202): 86%&#10;Supervising Practitioners (n=649): 78%&#10;Standard 4: Professional Culture&#10;Candidates (n=408): 96%&#10;Completers (n=202): 93%&#10;Supervising Practitioners (n=649): 93%"/>
      </w:tblPr>
      <w:tblGrid>
        <w:gridCol w:w="5508"/>
        <w:gridCol w:w="1350"/>
        <w:gridCol w:w="1350"/>
        <w:gridCol w:w="1368"/>
      </w:tblGrid>
      <w:tr w:rsidR="00132F60" w:rsidTr="009A796B">
        <w:trPr>
          <w:tblHeader/>
        </w:trPr>
        <w:tc>
          <w:tcPr>
            <w:tcW w:w="5508" w:type="dxa"/>
            <w:shd w:val="clear" w:color="auto" w:fill="B4C6E7" w:themeFill="accent5" w:themeFillTint="66"/>
            <w:vAlign w:val="bottom"/>
          </w:tcPr>
          <w:p w:rsidR="00132F60" w:rsidRDefault="009D23AA" w:rsidP="00B0784C">
            <w:pPr>
              <w:pStyle w:val="ListParagraph"/>
              <w:ind w:left="0"/>
              <w:rPr>
                <w:b/>
              </w:rPr>
            </w:pPr>
            <w:r>
              <w:rPr>
                <w:i/>
                <w:color w:val="E36C0A" w:themeColor="accent2"/>
                <w:sz w:val="18"/>
                <w:szCs w:val="18"/>
              </w:rPr>
              <w:lastRenderedPageBreak/>
              <w:t xml:space="preserve">Percentage of stakeholders who selected </w:t>
            </w:r>
            <w:r w:rsidR="00B0784C">
              <w:rPr>
                <w:i/>
                <w:color w:val="E36C0A" w:themeColor="accent2"/>
                <w:sz w:val="18"/>
                <w:szCs w:val="18"/>
              </w:rPr>
              <w:t>“</w:t>
            </w:r>
            <w:r w:rsidR="003841D7" w:rsidRPr="003841D7">
              <w:rPr>
                <w:i/>
                <w:color w:val="E36C0A" w:themeColor="accent2"/>
                <w:sz w:val="18"/>
                <w:szCs w:val="18"/>
              </w:rPr>
              <w:t>Exemplary</w:t>
            </w:r>
            <w:r w:rsidR="00B0784C">
              <w:rPr>
                <w:i/>
                <w:color w:val="E36C0A" w:themeColor="accent2"/>
                <w:sz w:val="18"/>
                <w:szCs w:val="18"/>
              </w:rPr>
              <w:t>” or “</w:t>
            </w:r>
            <w:r w:rsidR="003841D7" w:rsidRPr="003841D7">
              <w:rPr>
                <w:i/>
                <w:color w:val="E36C0A" w:themeColor="accent2"/>
                <w:sz w:val="18"/>
                <w:szCs w:val="18"/>
              </w:rPr>
              <w:t>Proficient</w:t>
            </w:r>
            <w:r w:rsidR="00B0784C">
              <w:rPr>
                <w:i/>
                <w:color w:val="E36C0A" w:themeColor="accent2"/>
                <w:sz w:val="18"/>
                <w:szCs w:val="18"/>
              </w:rPr>
              <w:t>”</w:t>
            </w:r>
          </w:p>
        </w:tc>
        <w:tc>
          <w:tcPr>
            <w:tcW w:w="1350" w:type="dxa"/>
            <w:shd w:val="clear" w:color="auto" w:fill="B4C6E7" w:themeFill="accent5" w:themeFillTint="66"/>
          </w:tcPr>
          <w:p w:rsidR="00132F60" w:rsidRPr="00390A8A" w:rsidRDefault="0038645F" w:rsidP="009D23AA">
            <w:pPr>
              <w:pStyle w:val="ListParagraph"/>
              <w:ind w:left="0"/>
              <w:jc w:val="center"/>
              <w:rPr>
                <w:sz w:val="20"/>
                <w:szCs w:val="20"/>
              </w:rPr>
            </w:pPr>
            <w:r w:rsidRPr="00390A8A">
              <w:rPr>
                <w:sz w:val="20"/>
                <w:szCs w:val="20"/>
              </w:rPr>
              <w:t>Candidates</w:t>
            </w:r>
            <w:r w:rsidR="00533C8C" w:rsidRPr="00390A8A">
              <w:rPr>
                <w:sz w:val="20"/>
                <w:szCs w:val="20"/>
              </w:rPr>
              <w:t xml:space="preserve">  (n=408)</w:t>
            </w:r>
          </w:p>
        </w:tc>
        <w:tc>
          <w:tcPr>
            <w:tcW w:w="1350" w:type="dxa"/>
            <w:shd w:val="clear" w:color="auto" w:fill="B4C6E7" w:themeFill="accent5" w:themeFillTint="66"/>
          </w:tcPr>
          <w:p w:rsidR="00132F60" w:rsidRPr="00390A8A" w:rsidRDefault="0038645F" w:rsidP="009D23AA">
            <w:pPr>
              <w:pStyle w:val="ListParagraph"/>
              <w:ind w:left="0"/>
              <w:jc w:val="center"/>
              <w:rPr>
                <w:sz w:val="20"/>
                <w:szCs w:val="20"/>
              </w:rPr>
            </w:pPr>
            <w:r w:rsidRPr="00390A8A">
              <w:rPr>
                <w:sz w:val="20"/>
                <w:szCs w:val="20"/>
              </w:rPr>
              <w:t>Completers</w:t>
            </w:r>
            <w:r w:rsidR="0060193E">
              <w:rPr>
                <w:sz w:val="20"/>
                <w:szCs w:val="20"/>
              </w:rPr>
              <w:t xml:space="preserve"> (n=202)</w:t>
            </w:r>
          </w:p>
        </w:tc>
        <w:tc>
          <w:tcPr>
            <w:tcW w:w="1368" w:type="dxa"/>
            <w:shd w:val="clear" w:color="auto" w:fill="B4C6E7" w:themeFill="accent5" w:themeFillTint="66"/>
          </w:tcPr>
          <w:p w:rsidR="00132F60" w:rsidRPr="00390A8A" w:rsidRDefault="0038645F" w:rsidP="009D23AA">
            <w:pPr>
              <w:pStyle w:val="ListParagraph"/>
              <w:ind w:left="0"/>
              <w:jc w:val="center"/>
              <w:rPr>
                <w:sz w:val="20"/>
                <w:szCs w:val="20"/>
              </w:rPr>
            </w:pPr>
            <w:r w:rsidRPr="00390A8A">
              <w:rPr>
                <w:sz w:val="20"/>
                <w:szCs w:val="20"/>
              </w:rPr>
              <w:t>Supervising Practitioners (n=649)</w:t>
            </w:r>
          </w:p>
        </w:tc>
      </w:tr>
      <w:tr w:rsidR="00826F34" w:rsidTr="0005780A">
        <w:trPr>
          <w:trHeight w:val="537"/>
        </w:trPr>
        <w:tc>
          <w:tcPr>
            <w:tcW w:w="5508" w:type="dxa"/>
            <w:tcBorders>
              <w:bottom w:val="single" w:sz="18" w:space="0" w:color="B4C6E7" w:themeColor="accent5" w:themeTint="66"/>
            </w:tcBorders>
            <w:shd w:val="clear" w:color="auto" w:fill="E5E5E5" w:themeFill="accent3" w:themeFillTint="33"/>
            <w:vAlign w:val="center"/>
          </w:tcPr>
          <w:p w:rsidR="00826F34" w:rsidRPr="008549CA" w:rsidRDefault="00826F34" w:rsidP="009D23AA">
            <w:pPr>
              <w:pStyle w:val="ListParagraph"/>
              <w:ind w:left="0"/>
              <w:rPr>
                <w:b/>
                <w:i/>
                <w:color w:val="0E4588" w:themeColor="text2"/>
                <w:sz w:val="20"/>
                <w:szCs w:val="20"/>
              </w:rPr>
            </w:pPr>
            <w:r w:rsidRPr="008549CA">
              <w:rPr>
                <w:b/>
                <w:i/>
                <w:color w:val="0E4588" w:themeColor="text2"/>
                <w:sz w:val="20"/>
                <w:szCs w:val="20"/>
              </w:rPr>
              <w:t>Overall, how well prepared was the teacher to meet performance expectations outlined in…</w:t>
            </w:r>
          </w:p>
        </w:tc>
        <w:tc>
          <w:tcPr>
            <w:tcW w:w="4068" w:type="dxa"/>
            <w:gridSpan w:val="3"/>
            <w:shd w:val="clear" w:color="auto" w:fill="E5E5E5" w:themeFill="accent3" w:themeFillTint="33"/>
            <w:vAlign w:val="center"/>
          </w:tcPr>
          <w:p w:rsidR="00826F34" w:rsidRPr="00390A8A" w:rsidRDefault="00826F34" w:rsidP="009D23AA">
            <w:pPr>
              <w:pStyle w:val="ListParagraph"/>
              <w:ind w:left="0"/>
              <w:jc w:val="center"/>
              <w:rPr>
                <w:sz w:val="20"/>
                <w:szCs w:val="20"/>
              </w:rPr>
            </w:pPr>
          </w:p>
        </w:tc>
      </w:tr>
      <w:tr w:rsidR="00132F60" w:rsidTr="008549CA">
        <w:trPr>
          <w:trHeight w:val="537"/>
        </w:trPr>
        <w:tc>
          <w:tcPr>
            <w:tcW w:w="5508" w:type="dxa"/>
            <w:tcBorders>
              <w:bottom w:val="single" w:sz="18" w:space="0" w:color="B4C6E7" w:themeColor="accent5" w:themeTint="66"/>
            </w:tcBorders>
            <w:vAlign w:val="center"/>
          </w:tcPr>
          <w:p w:rsidR="00132F60" w:rsidRPr="00390A8A" w:rsidRDefault="0038645F" w:rsidP="009D23AA">
            <w:pPr>
              <w:pStyle w:val="ListParagraph"/>
              <w:ind w:left="0"/>
              <w:rPr>
                <w:b/>
                <w:color w:val="0E4588" w:themeColor="text2"/>
                <w:sz w:val="20"/>
                <w:szCs w:val="20"/>
              </w:rPr>
            </w:pPr>
            <w:r w:rsidRPr="00390A8A">
              <w:rPr>
                <w:b/>
                <w:color w:val="0E4588" w:themeColor="text2"/>
                <w:sz w:val="20"/>
                <w:szCs w:val="20"/>
              </w:rPr>
              <w:t xml:space="preserve">Standard 1: </w:t>
            </w:r>
            <w:r w:rsidR="0046273C" w:rsidRPr="00390A8A">
              <w:rPr>
                <w:b/>
                <w:color w:val="0E4588" w:themeColor="text2"/>
                <w:sz w:val="20"/>
                <w:szCs w:val="20"/>
              </w:rPr>
              <w:t>Curriculum, Planning, and Assessment</w:t>
            </w:r>
          </w:p>
        </w:tc>
        <w:tc>
          <w:tcPr>
            <w:tcW w:w="1350" w:type="dxa"/>
            <w:tcBorders>
              <w:top w:val="single" w:sz="18" w:space="0" w:color="B4C6E7" w:themeColor="accent5" w:themeTint="66"/>
            </w:tcBorders>
            <w:vAlign w:val="center"/>
          </w:tcPr>
          <w:p w:rsidR="00132F60" w:rsidRPr="00390A8A" w:rsidRDefault="00533C8C" w:rsidP="009D23AA">
            <w:pPr>
              <w:pStyle w:val="ListParagraph"/>
              <w:ind w:left="0"/>
              <w:jc w:val="center"/>
              <w:rPr>
                <w:sz w:val="20"/>
                <w:szCs w:val="20"/>
              </w:rPr>
            </w:pPr>
            <w:r w:rsidRPr="00390A8A">
              <w:rPr>
                <w:sz w:val="20"/>
                <w:szCs w:val="20"/>
              </w:rPr>
              <w:t>95%</w:t>
            </w:r>
          </w:p>
        </w:tc>
        <w:tc>
          <w:tcPr>
            <w:tcW w:w="1350" w:type="dxa"/>
            <w:tcBorders>
              <w:top w:val="single" w:sz="18" w:space="0" w:color="B4C6E7" w:themeColor="accent5" w:themeTint="66"/>
            </w:tcBorders>
            <w:vAlign w:val="center"/>
          </w:tcPr>
          <w:p w:rsidR="00132F60" w:rsidRPr="00390A8A" w:rsidRDefault="00533C8C" w:rsidP="009D23AA">
            <w:pPr>
              <w:pStyle w:val="ListParagraph"/>
              <w:ind w:left="0"/>
              <w:jc w:val="center"/>
              <w:rPr>
                <w:sz w:val="20"/>
                <w:szCs w:val="20"/>
              </w:rPr>
            </w:pPr>
            <w:r w:rsidRPr="00390A8A">
              <w:rPr>
                <w:sz w:val="20"/>
                <w:szCs w:val="20"/>
              </w:rPr>
              <w:t>90%</w:t>
            </w:r>
          </w:p>
        </w:tc>
        <w:tc>
          <w:tcPr>
            <w:tcW w:w="1368" w:type="dxa"/>
            <w:tcBorders>
              <w:top w:val="single" w:sz="18" w:space="0" w:color="B4C6E7" w:themeColor="accent5" w:themeTint="66"/>
            </w:tcBorders>
            <w:vAlign w:val="center"/>
          </w:tcPr>
          <w:p w:rsidR="00132F60" w:rsidRPr="00390A8A" w:rsidRDefault="0038645F" w:rsidP="009D23AA">
            <w:pPr>
              <w:pStyle w:val="ListParagraph"/>
              <w:ind w:left="0"/>
              <w:jc w:val="center"/>
              <w:rPr>
                <w:sz w:val="20"/>
                <w:szCs w:val="20"/>
              </w:rPr>
            </w:pPr>
            <w:r w:rsidRPr="00390A8A">
              <w:rPr>
                <w:sz w:val="20"/>
                <w:szCs w:val="20"/>
              </w:rPr>
              <w:t>90%</w:t>
            </w:r>
          </w:p>
        </w:tc>
      </w:tr>
      <w:tr w:rsidR="00132F60" w:rsidTr="003841D7">
        <w:trPr>
          <w:trHeight w:val="537"/>
        </w:trPr>
        <w:tc>
          <w:tcPr>
            <w:tcW w:w="5508" w:type="dxa"/>
            <w:tcBorders>
              <w:top w:val="single" w:sz="18" w:space="0" w:color="B4C6E7" w:themeColor="accent5" w:themeTint="66"/>
              <w:bottom w:val="single" w:sz="18" w:space="0" w:color="B4C6E7" w:themeColor="accent5" w:themeTint="66"/>
            </w:tcBorders>
            <w:vAlign w:val="center"/>
          </w:tcPr>
          <w:p w:rsidR="00132F60" w:rsidRPr="00390A8A" w:rsidRDefault="0038645F" w:rsidP="009D23AA">
            <w:pPr>
              <w:pStyle w:val="ListParagraph"/>
              <w:ind w:left="0"/>
              <w:rPr>
                <w:b/>
                <w:color w:val="0E4588" w:themeColor="text2"/>
                <w:sz w:val="20"/>
                <w:szCs w:val="20"/>
              </w:rPr>
            </w:pPr>
            <w:r w:rsidRPr="00390A8A">
              <w:rPr>
                <w:b/>
                <w:color w:val="0E4588" w:themeColor="text2"/>
                <w:sz w:val="20"/>
                <w:szCs w:val="20"/>
              </w:rPr>
              <w:t>Standard 2:</w:t>
            </w:r>
            <w:r w:rsidR="0046273C" w:rsidRPr="00390A8A">
              <w:rPr>
                <w:b/>
                <w:color w:val="0E4588" w:themeColor="text2"/>
                <w:sz w:val="20"/>
                <w:szCs w:val="20"/>
              </w:rPr>
              <w:t xml:space="preserve"> Teaching All Students</w:t>
            </w:r>
          </w:p>
        </w:tc>
        <w:tc>
          <w:tcPr>
            <w:tcW w:w="1350" w:type="dxa"/>
            <w:tcBorders>
              <w:top w:val="single" w:sz="18" w:space="0" w:color="B4C6E7" w:themeColor="accent5" w:themeTint="66"/>
            </w:tcBorders>
            <w:vAlign w:val="center"/>
          </w:tcPr>
          <w:p w:rsidR="00132F60" w:rsidRPr="00390A8A" w:rsidRDefault="00533C8C" w:rsidP="009D23AA">
            <w:pPr>
              <w:pStyle w:val="ListParagraph"/>
              <w:ind w:left="0"/>
              <w:jc w:val="center"/>
              <w:rPr>
                <w:sz w:val="20"/>
                <w:szCs w:val="20"/>
              </w:rPr>
            </w:pPr>
            <w:r w:rsidRPr="00390A8A">
              <w:rPr>
                <w:sz w:val="20"/>
                <w:szCs w:val="20"/>
              </w:rPr>
              <w:t>95%</w:t>
            </w:r>
          </w:p>
        </w:tc>
        <w:tc>
          <w:tcPr>
            <w:tcW w:w="1350" w:type="dxa"/>
            <w:tcBorders>
              <w:top w:val="single" w:sz="18" w:space="0" w:color="B4C6E7" w:themeColor="accent5" w:themeTint="66"/>
            </w:tcBorders>
            <w:vAlign w:val="center"/>
          </w:tcPr>
          <w:p w:rsidR="00132F60" w:rsidRPr="00390A8A" w:rsidRDefault="001A0CC6" w:rsidP="009D23AA">
            <w:pPr>
              <w:pStyle w:val="ListParagraph"/>
              <w:ind w:left="0"/>
              <w:jc w:val="center"/>
              <w:rPr>
                <w:sz w:val="20"/>
                <w:szCs w:val="20"/>
              </w:rPr>
            </w:pPr>
            <w:r w:rsidRPr="00390A8A">
              <w:rPr>
                <w:sz w:val="20"/>
                <w:szCs w:val="20"/>
              </w:rPr>
              <w:t>86%</w:t>
            </w:r>
          </w:p>
        </w:tc>
        <w:tc>
          <w:tcPr>
            <w:tcW w:w="1368" w:type="dxa"/>
            <w:tcBorders>
              <w:top w:val="single" w:sz="18" w:space="0" w:color="B4C6E7" w:themeColor="accent5" w:themeTint="66"/>
            </w:tcBorders>
            <w:vAlign w:val="center"/>
          </w:tcPr>
          <w:p w:rsidR="00132F60" w:rsidRPr="00390A8A" w:rsidRDefault="0038645F" w:rsidP="009D23AA">
            <w:pPr>
              <w:pStyle w:val="ListParagraph"/>
              <w:ind w:left="0"/>
              <w:jc w:val="center"/>
              <w:rPr>
                <w:sz w:val="20"/>
                <w:szCs w:val="20"/>
              </w:rPr>
            </w:pPr>
            <w:r w:rsidRPr="00390A8A">
              <w:rPr>
                <w:sz w:val="20"/>
                <w:szCs w:val="20"/>
              </w:rPr>
              <w:t>88%</w:t>
            </w:r>
          </w:p>
        </w:tc>
      </w:tr>
      <w:tr w:rsidR="00132F60" w:rsidTr="003841D7">
        <w:trPr>
          <w:trHeight w:val="537"/>
        </w:trPr>
        <w:tc>
          <w:tcPr>
            <w:tcW w:w="5508" w:type="dxa"/>
            <w:tcBorders>
              <w:top w:val="single" w:sz="18" w:space="0" w:color="B4C6E7" w:themeColor="accent5" w:themeTint="66"/>
              <w:bottom w:val="single" w:sz="18" w:space="0" w:color="B4C6E7" w:themeColor="accent5" w:themeTint="66"/>
            </w:tcBorders>
            <w:vAlign w:val="center"/>
          </w:tcPr>
          <w:p w:rsidR="00132F60" w:rsidRPr="00390A8A" w:rsidRDefault="0038645F" w:rsidP="009D23AA">
            <w:pPr>
              <w:pStyle w:val="ListParagraph"/>
              <w:ind w:left="0"/>
              <w:rPr>
                <w:b/>
                <w:color w:val="0E4588" w:themeColor="text2"/>
                <w:sz w:val="20"/>
                <w:szCs w:val="20"/>
              </w:rPr>
            </w:pPr>
            <w:r w:rsidRPr="00390A8A">
              <w:rPr>
                <w:b/>
                <w:color w:val="0E4588" w:themeColor="text2"/>
                <w:sz w:val="20"/>
                <w:szCs w:val="20"/>
              </w:rPr>
              <w:t>Standard 3:</w:t>
            </w:r>
            <w:r w:rsidR="0046273C" w:rsidRPr="00390A8A">
              <w:rPr>
                <w:b/>
                <w:color w:val="0E4588" w:themeColor="text2"/>
                <w:sz w:val="20"/>
                <w:szCs w:val="20"/>
              </w:rPr>
              <w:t xml:space="preserve"> Family and Community Engagement</w:t>
            </w:r>
          </w:p>
        </w:tc>
        <w:tc>
          <w:tcPr>
            <w:tcW w:w="1350" w:type="dxa"/>
            <w:tcBorders>
              <w:top w:val="single" w:sz="18" w:space="0" w:color="B4C6E7" w:themeColor="accent5" w:themeTint="66"/>
            </w:tcBorders>
            <w:vAlign w:val="center"/>
          </w:tcPr>
          <w:p w:rsidR="00132F60" w:rsidRPr="00390A8A" w:rsidRDefault="00533C8C" w:rsidP="009D23AA">
            <w:pPr>
              <w:pStyle w:val="ListParagraph"/>
              <w:ind w:left="0"/>
              <w:jc w:val="center"/>
              <w:rPr>
                <w:sz w:val="20"/>
                <w:szCs w:val="20"/>
              </w:rPr>
            </w:pPr>
            <w:r w:rsidRPr="00390A8A">
              <w:rPr>
                <w:sz w:val="20"/>
                <w:szCs w:val="20"/>
              </w:rPr>
              <w:t>79%</w:t>
            </w:r>
          </w:p>
        </w:tc>
        <w:tc>
          <w:tcPr>
            <w:tcW w:w="1350" w:type="dxa"/>
            <w:tcBorders>
              <w:top w:val="single" w:sz="18" w:space="0" w:color="B4C6E7" w:themeColor="accent5" w:themeTint="66"/>
            </w:tcBorders>
            <w:vAlign w:val="center"/>
          </w:tcPr>
          <w:p w:rsidR="00132F60" w:rsidRPr="00390A8A" w:rsidRDefault="001A0CC6" w:rsidP="009D23AA">
            <w:pPr>
              <w:pStyle w:val="ListParagraph"/>
              <w:ind w:left="0"/>
              <w:jc w:val="center"/>
              <w:rPr>
                <w:sz w:val="20"/>
                <w:szCs w:val="20"/>
              </w:rPr>
            </w:pPr>
            <w:r w:rsidRPr="00390A8A">
              <w:rPr>
                <w:sz w:val="20"/>
                <w:szCs w:val="20"/>
              </w:rPr>
              <w:t>86%</w:t>
            </w:r>
          </w:p>
        </w:tc>
        <w:tc>
          <w:tcPr>
            <w:tcW w:w="1368" w:type="dxa"/>
            <w:tcBorders>
              <w:top w:val="single" w:sz="18" w:space="0" w:color="B4C6E7" w:themeColor="accent5" w:themeTint="66"/>
            </w:tcBorders>
            <w:vAlign w:val="center"/>
          </w:tcPr>
          <w:p w:rsidR="00132F60" w:rsidRPr="00390A8A" w:rsidRDefault="0038645F" w:rsidP="009D23AA">
            <w:pPr>
              <w:pStyle w:val="ListParagraph"/>
              <w:ind w:left="0"/>
              <w:jc w:val="center"/>
              <w:rPr>
                <w:sz w:val="20"/>
                <w:szCs w:val="20"/>
              </w:rPr>
            </w:pPr>
            <w:r w:rsidRPr="00390A8A">
              <w:rPr>
                <w:sz w:val="20"/>
                <w:szCs w:val="20"/>
              </w:rPr>
              <w:t>78%</w:t>
            </w:r>
          </w:p>
        </w:tc>
      </w:tr>
      <w:tr w:rsidR="00132F60" w:rsidTr="003841D7">
        <w:trPr>
          <w:trHeight w:val="537"/>
        </w:trPr>
        <w:tc>
          <w:tcPr>
            <w:tcW w:w="5508" w:type="dxa"/>
            <w:tcBorders>
              <w:top w:val="single" w:sz="18" w:space="0" w:color="B4C6E7" w:themeColor="accent5" w:themeTint="66"/>
              <w:bottom w:val="single" w:sz="18" w:space="0" w:color="B4C6E7" w:themeColor="accent5" w:themeTint="66"/>
            </w:tcBorders>
            <w:vAlign w:val="center"/>
          </w:tcPr>
          <w:p w:rsidR="00132F60" w:rsidRPr="00390A8A" w:rsidRDefault="0038645F" w:rsidP="009D23AA">
            <w:pPr>
              <w:pStyle w:val="ListParagraph"/>
              <w:ind w:left="0"/>
              <w:rPr>
                <w:b/>
                <w:color w:val="0E4588" w:themeColor="text2"/>
                <w:sz w:val="20"/>
                <w:szCs w:val="20"/>
              </w:rPr>
            </w:pPr>
            <w:r w:rsidRPr="00390A8A">
              <w:rPr>
                <w:b/>
                <w:color w:val="0E4588" w:themeColor="text2"/>
                <w:sz w:val="20"/>
                <w:szCs w:val="20"/>
              </w:rPr>
              <w:t>Standard 4:</w:t>
            </w:r>
            <w:r w:rsidR="0046273C" w:rsidRPr="00390A8A">
              <w:rPr>
                <w:b/>
                <w:color w:val="0E4588" w:themeColor="text2"/>
                <w:sz w:val="20"/>
                <w:szCs w:val="20"/>
              </w:rPr>
              <w:t xml:space="preserve"> Professional Culture</w:t>
            </w:r>
          </w:p>
        </w:tc>
        <w:tc>
          <w:tcPr>
            <w:tcW w:w="1350" w:type="dxa"/>
            <w:tcBorders>
              <w:top w:val="single" w:sz="18" w:space="0" w:color="B4C6E7" w:themeColor="accent5" w:themeTint="66"/>
              <w:bottom w:val="single" w:sz="18" w:space="0" w:color="B4C6E7" w:themeColor="accent5" w:themeTint="66"/>
            </w:tcBorders>
            <w:vAlign w:val="center"/>
          </w:tcPr>
          <w:p w:rsidR="00132F60" w:rsidRPr="00390A8A" w:rsidRDefault="00533C8C" w:rsidP="009D23AA">
            <w:pPr>
              <w:pStyle w:val="ListParagraph"/>
              <w:ind w:left="0"/>
              <w:jc w:val="center"/>
              <w:rPr>
                <w:sz w:val="20"/>
                <w:szCs w:val="20"/>
              </w:rPr>
            </w:pPr>
            <w:r w:rsidRPr="00390A8A">
              <w:rPr>
                <w:sz w:val="20"/>
                <w:szCs w:val="20"/>
              </w:rPr>
              <w:t>96%</w:t>
            </w:r>
          </w:p>
        </w:tc>
        <w:tc>
          <w:tcPr>
            <w:tcW w:w="1350" w:type="dxa"/>
            <w:tcBorders>
              <w:top w:val="single" w:sz="18" w:space="0" w:color="B4C6E7" w:themeColor="accent5" w:themeTint="66"/>
              <w:bottom w:val="single" w:sz="18" w:space="0" w:color="B4C6E7" w:themeColor="accent5" w:themeTint="66"/>
            </w:tcBorders>
            <w:vAlign w:val="center"/>
          </w:tcPr>
          <w:p w:rsidR="00132F60" w:rsidRPr="00390A8A" w:rsidRDefault="001A0CC6" w:rsidP="009D23AA">
            <w:pPr>
              <w:pStyle w:val="ListParagraph"/>
              <w:ind w:left="0"/>
              <w:jc w:val="center"/>
              <w:rPr>
                <w:sz w:val="20"/>
                <w:szCs w:val="20"/>
              </w:rPr>
            </w:pPr>
            <w:r w:rsidRPr="00390A8A">
              <w:rPr>
                <w:sz w:val="20"/>
                <w:szCs w:val="20"/>
              </w:rPr>
              <w:t>93%</w:t>
            </w:r>
          </w:p>
        </w:tc>
        <w:tc>
          <w:tcPr>
            <w:tcW w:w="1368" w:type="dxa"/>
            <w:tcBorders>
              <w:top w:val="single" w:sz="18" w:space="0" w:color="B4C6E7" w:themeColor="accent5" w:themeTint="66"/>
              <w:bottom w:val="single" w:sz="18" w:space="0" w:color="B4C6E7" w:themeColor="accent5" w:themeTint="66"/>
            </w:tcBorders>
            <w:vAlign w:val="center"/>
          </w:tcPr>
          <w:p w:rsidR="00132F60" w:rsidRPr="00390A8A" w:rsidRDefault="0038645F" w:rsidP="009D23AA">
            <w:pPr>
              <w:pStyle w:val="ListParagraph"/>
              <w:ind w:left="0"/>
              <w:jc w:val="center"/>
              <w:rPr>
                <w:sz w:val="20"/>
                <w:szCs w:val="20"/>
              </w:rPr>
            </w:pPr>
            <w:r w:rsidRPr="00390A8A">
              <w:rPr>
                <w:sz w:val="20"/>
                <w:szCs w:val="20"/>
              </w:rPr>
              <w:t>93%</w:t>
            </w:r>
          </w:p>
        </w:tc>
      </w:tr>
    </w:tbl>
    <w:p w:rsidR="00DB5829" w:rsidRDefault="00DB5829" w:rsidP="009D23AA">
      <w:pPr>
        <w:spacing w:after="0" w:line="240" w:lineRule="auto"/>
        <w:contextualSpacing/>
        <w:rPr>
          <w:b/>
        </w:rPr>
      </w:pPr>
    </w:p>
    <w:p w:rsidR="00F758C4" w:rsidRPr="0046273C" w:rsidRDefault="00F758C4" w:rsidP="00F758C4">
      <w:pPr>
        <w:pStyle w:val="ListParagraph"/>
        <w:spacing w:line="240" w:lineRule="auto"/>
        <w:ind w:left="0"/>
        <w:rPr>
          <w:b/>
          <w:color w:val="E36C0A" w:themeColor="accent2"/>
          <w:sz w:val="28"/>
          <w:szCs w:val="28"/>
        </w:rPr>
      </w:pPr>
      <w:r>
        <w:rPr>
          <w:b/>
          <w:color w:val="E36C0A" w:themeColor="accent2"/>
          <w:sz w:val="28"/>
          <w:szCs w:val="28"/>
        </w:rPr>
        <w:t>Conclusion</w:t>
      </w:r>
    </w:p>
    <w:p w:rsidR="001C409F" w:rsidRDefault="005E4354" w:rsidP="00F758C4">
      <w:r>
        <w:t>These survey results offer valuable information for the continuous improvement of teacher preparation programs in Massachusetts as it highlights areas of current strengths and areas for improvement. Sponsoring Organizations are offered several comparison points with these surveys. They can compare the perceptions of key stakeholders</w:t>
      </w:r>
      <w:r w:rsidR="001C409F">
        <w:t xml:space="preserve"> across several points in time to identify trends within or across stakeholder groups.</w:t>
      </w:r>
      <w:r w:rsidR="00342EA9">
        <w:t xml:space="preserve"> ESE will administ</w:t>
      </w:r>
      <w:r w:rsidR="00B82D17">
        <w:t>er these surveys every year</w:t>
      </w:r>
      <w:r w:rsidR="00CA28B5">
        <w:t xml:space="preserve"> and </w:t>
      </w:r>
      <w:r w:rsidR="00342EA9">
        <w:t>will continue to monitor the validity and</w:t>
      </w:r>
      <w:r w:rsidR="00B82D17">
        <w:t xml:space="preserve"> reliability of the instruments</w:t>
      </w:r>
      <w:r w:rsidR="00CA28B5">
        <w:t>.</w:t>
      </w:r>
    </w:p>
    <w:p w:rsidR="001C409F" w:rsidRDefault="001C409F" w:rsidP="00F758C4">
      <w:r>
        <w:t xml:space="preserve">For more information, please see our survey page at </w:t>
      </w:r>
      <w:hyperlink r:id="rId13" w:history="1">
        <w:r w:rsidRPr="00332734">
          <w:rPr>
            <w:rStyle w:val="Hyperlink"/>
          </w:rPr>
          <w:t>http://www.doe.mass.edu/edprep/surveys/</w:t>
        </w:r>
      </w:hyperlink>
    </w:p>
    <w:p w:rsidR="00F758C4" w:rsidRPr="00F758C4" w:rsidRDefault="001C409F" w:rsidP="00F758C4">
      <w:r>
        <w:t>All questions should be directed to edprep@doe.mass.edu</w:t>
      </w:r>
    </w:p>
    <w:p w:rsidR="003C2AB3" w:rsidRDefault="003C2AB3">
      <w:pPr>
        <w:rPr>
          <w:b/>
          <w:color w:val="E36C0A" w:themeColor="accent2"/>
          <w:sz w:val="28"/>
          <w:szCs w:val="28"/>
        </w:rPr>
      </w:pPr>
      <w:r>
        <w:rPr>
          <w:b/>
          <w:color w:val="E36C0A" w:themeColor="accent2"/>
          <w:sz w:val="28"/>
          <w:szCs w:val="28"/>
        </w:rPr>
        <w:br w:type="page"/>
      </w:r>
    </w:p>
    <w:p w:rsidR="003C2AB3" w:rsidRDefault="003C2AB3" w:rsidP="009D23AA">
      <w:pPr>
        <w:pStyle w:val="ListParagraph"/>
        <w:spacing w:line="240" w:lineRule="auto"/>
        <w:ind w:left="0"/>
        <w:rPr>
          <w:b/>
          <w:color w:val="E36C0A" w:themeColor="accent2"/>
          <w:sz w:val="28"/>
          <w:szCs w:val="28"/>
        </w:rPr>
      </w:pPr>
      <w:r>
        <w:rPr>
          <w:b/>
          <w:color w:val="E36C0A" w:themeColor="accent2"/>
          <w:sz w:val="28"/>
          <w:szCs w:val="28"/>
        </w:rPr>
        <w:lastRenderedPageBreak/>
        <w:t xml:space="preserve">Appendix A: </w:t>
      </w:r>
      <w:r w:rsidR="00334DD5">
        <w:rPr>
          <w:b/>
          <w:color w:val="E36C0A" w:themeColor="accent2"/>
          <w:sz w:val="28"/>
          <w:szCs w:val="28"/>
        </w:rPr>
        <w:t>Response Rates and Stakeholder Group Definitions</w:t>
      </w:r>
    </w:p>
    <w:p w:rsidR="00334DD5" w:rsidRPr="00A064D0" w:rsidRDefault="00334DD5" w:rsidP="00334DD5">
      <w:pPr>
        <w:spacing w:line="240" w:lineRule="auto"/>
        <w:rPr>
          <w:szCs w:val="20"/>
        </w:rPr>
      </w:pPr>
      <w:r w:rsidRPr="00A8495B">
        <w:t xml:space="preserve">The response rates in the first full implementation </w:t>
      </w:r>
      <w:r w:rsidR="000B6ACF">
        <w:t xml:space="preserve">of the stakeholder surveys </w:t>
      </w:r>
      <w:r w:rsidRPr="00A8495B">
        <w:t xml:space="preserve">exceeded that of any of the </w:t>
      </w:r>
      <w:r w:rsidR="000B6ACF">
        <w:t xml:space="preserve">previous </w:t>
      </w:r>
      <w:r w:rsidRPr="00A8495B">
        <w:t>pilots conducted. ESE will continue to work</w:t>
      </w:r>
      <w:r>
        <w:t xml:space="preserve"> to ensure the highest possible</w:t>
      </w:r>
      <w:r w:rsidRPr="00A8495B">
        <w:t xml:space="preserve"> survey response rates</w:t>
      </w:r>
      <w:r w:rsidR="000B6ACF">
        <w:t>.</w:t>
      </w:r>
    </w:p>
    <w:tbl>
      <w:tblPr>
        <w:tblStyle w:val="TableGrid"/>
        <w:tblW w:w="0" w:type="auto"/>
        <w:tblLayout w:type="fixed"/>
        <w:tblLook w:val="04A0" w:firstRow="1" w:lastRow="0" w:firstColumn="1" w:lastColumn="0" w:noHBand="0" w:noVBand="1"/>
        <w:tblDescription w:val="Stakeholder Group, Stakeholder Group Defined, Possible survey takers, Completed Survey, Partial Complete, Response Rate&#10;Candidate, Surveyed at the point of preparation program completion, 2,311, 587, 228, 25%&#10;Completer, Individuals employed in a MA public school who are surveyed one year after program completion, 2,064, 388, 200, 19%&#10;Supervising Practitioner, Individuals who served as a supervisor to a candidate during the practicum experience, 2,555, 649, 163, 25%&#10;Hiring Principal, Individuals who hired a teacher completer before the start of the 2015-2016 school year, 2,038, 1,077, 24, 53%&#10;Total:, , 8,968, 2,701, 615, 30%"/>
      </w:tblPr>
      <w:tblGrid>
        <w:gridCol w:w="1458"/>
        <w:gridCol w:w="3150"/>
        <w:gridCol w:w="1242"/>
        <w:gridCol w:w="1242"/>
        <w:gridCol w:w="1242"/>
        <w:gridCol w:w="1242"/>
      </w:tblGrid>
      <w:tr w:rsidR="00334DD5" w:rsidTr="009A796B">
        <w:trPr>
          <w:tblHeader/>
        </w:trPr>
        <w:tc>
          <w:tcPr>
            <w:tcW w:w="1458" w:type="dxa"/>
            <w:shd w:val="clear" w:color="auto" w:fill="EEECE1" w:themeFill="background2"/>
          </w:tcPr>
          <w:p w:rsidR="00334DD5" w:rsidRPr="00FA09A0" w:rsidRDefault="00334DD5" w:rsidP="00334DD5">
            <w:pPr>
              <w:contextualSpacing/>
              <w:rPr>
                <w:b/>
                <w:sz w:val="20"/>
                <w:szCs w:val="20"/>
              </w:rPr>
            </w:pPr>
            <w:bookmarkStart w:id="0" w:name="_GoBack" w:colFirst="0" w:colLast="6"/>
            <w:r w:rsidRPr="00FA09A0">
              <w:rPr>
                <w:b/>
                <w:sz w:val="20"/>
                <w:szCs w:val="20"/>
              </w:rPr>
              <w:t>Stakeholder Group</w:t>
            </w:r>
          </w:p>
        </w:tc>
        <w:tc>
          <w:tcPr>
            <w:tcW w:w="3150" w:type="dxa"/>
            <w:shd w:val="clear" w:color="auto" w:fill="EEECE1" w:themeFill="background2"/>
          </w:tcPr>
          <w:p w:rsidR="00334DD5" w:rsidRPr="00FA09A0" w:rsidRDefault="00334DD5" w:rsidP="00334DD5">
            <w:pPr>
              <w:contextualSpacing/>
              <w:rPr>
                <w:b/>
                <w:sz w:val="20"/>
                <w:szCs w:val="20"/>
              </w:rPr>
            </w:pPr>
            <w:r w:rsidRPr="00FA09A0">
              <w:rPr>
                <w:b/>
                <w:sz w:val="20"/>
                <w:szCs w:val="20"/>
              </w:rPr>
              <w:t>Stakeholder Group Defined</w:t>
            </w:r>
          </w:p>
        </w:tc>
        <w:tc>
          <w:tcPr>
            <w:tcW w:w="1242" w:type="dxa"/>
            <w:shd w:val="clear" w:color="auto" w:fill="EEECE1" w:themeFill="background2"/>
          </w:tcPr>
          <w:p w:rsidR="00334DD5" w:rsidRPr="00FA09A0" w:rsidRDefault="00334DD5" w:rsidP="00334DD5">
            <w:pPr>
              <w:contextualSpacing/>
              <w:rPr>
                <w:b/>
                <w:sz w:val="20"/>
                <w:szCs w:val="20"/>
              </w:rPr>
            </w:pPr>
            <w:r w:rsidRPr="00FA09A0">
              <w:rPr>
                <w:b/>
                <w:sz w:val="20"/>
                <w:szCs w:val="20"/>
              </w:rPr>
              <w:t>Possible survey takers</w:t>
            </w:r>
          </w:p>
        </w:tc>
        <w:tc>
          <w:tcPr>
            <w:tcW w:w="1242" w:type="dxa"/>
            <w:shd w:val="clear" w:color="auto" w:fill="EEECE1" w:themeFill="background2"/>
          </w:tcPr>
          <w:p w:rsidR="00334DD5" w:rsidRPr="00FA09A0" w:rsidRDefault="00334DD5" w:rsidP="00334DD5">
            <w:pPr>
              <w:contextualSpacing/>
              <w:rPr>
                <w:b/>
                <w:sz w:val="20"/>
                <w:szCs w:val="20"/>
              </w:rPr>
            </w:pPr>
            <w:r w:rsidRPr="00FA09A0">
              <w:rPr>
                <w:b/>
                <w:sz w:val="20"/>
                <w:szCs w:val="20"/>
              </w:rPr>
              <w:t>Completed Survey</w:t>
            </w:r>
          </w:p>
        </w:tc>
        <w:tc>
          <w:tcPr>
            <w:tcW w:w="1242" w:type="dxa"/>
            <w:shd w:val="clear" w:color="auto" w:fill="EEECE1" w:themeFill="background2"/>
          </w:tcPr>
          <w:p w:rsidR="00334DD5" w:rsidRPr="00FA09A0" w:rsidRDefault="00334DD5" w:rsidP="00334DD5">
            <w:pPr>
              <w:contextualSpacing/>
              <w:rPr>
                <w:b/>
                <w:sz w:val="20"/>
                <w:szCs w:val="20"/>
              </w:rPr>
            </w:pPr>
            <w:r w:rsidRPr="00FA09A0">
              <w:rPr>
                <w:b/>
                <w:sz w:val="20"/>
                <w:szCs w:val="20"/>
              </w:rPr>
              <w:t>Partial Complete</w:t>
            </w:r>
          </w:p>
        </w:tc>
        <w:tc>
          <w:tcPr>
            <w:tcW w:w="1242" w:type="dxa"/>
            <w:shd w:val="clear" w:color="auto" w:fill="EEECE1" w:themeFill="background2"/>
          </w:tcPr>
          <w:p w:rsidR="00334DD5" w:rsidRPr="00FA09A0" w:rsidRDefault="00334DD5" w:rsidP="00334DD5">
            <w:pPr>
              <w:contextualSpacing/>
              <w:rPr>
                <w:b/>
                <w:sz w:val="20"/>
                <w:szCs w:val="20"/>
              </w:rPr>
            </w:pPr>
            <w:r w:rsidRPr="00FA09A0">
              <w:rPr>
                <w:b/>
                <w:sz w:val="20"/>
                <w:szCs w:val="20"/>
              </w:rPr>
              <w:t>Response Rate</w:t>
            </w:r>
            <w:r w:rsidRPr="00FA09A0">
              <w:rPr>
                <w:rStyle w:val="FootnoteReference"/>
                <w:b/>
                <w:sz w:val="20"/>
                <w:szCs w:val="20"/>
              </w:rPr>
              <w:footnoteReference w:id="7"/>
            </w:r>
          </w:p>
        </w:tc>
      </w:tr>
      <w:tr w:rsidR="00334DD5" w:rsidTr="00FA09A0">
        <w:tc>
          <w:tcPr>
            <w:tcW w:w="1458" w:type="dxa"/>
          </w:tcPr>
          <w:p w:rsidR="00334DD5" w:rsidRPr="00FA09A0" w:rsidRDefault="00334DD5" w:rsidP="00334DD5">
            <w:pPr>
              <w:contextualSpacing/>
              <w:rPr>
                <w:sz w:val="20"/>
                <w:szCs w:val="20"/>
              </w:rPr>
            </w:pPr>
            <w:r w:rsidRPr="00FA09A0">
              <w:rPr>
                <w:sz w:val="20"/>
                <w:szCs w:val="20"/>
              </w:rPr>
              <w:t>Candidate</w:t>
            </w:r>
          </w:p>
        </w:tc>
        <w:tc>
          <w:tcPr>
            <w:tcW w:w="3150" w:type="dxa"/>
          </w:tcPr>
          <w:p w:rsidR="00334DD5" w:rsidRPr="00FA09A0" w:rsidRDefault="00334DD5" w:rsidP="00334DD5">
            <w:pPr>
              <w:contextualSpacing/>
              <w:rPr>
                <w:sz w:val="20"/>
                <w:szCs w:val="20"/>
              </w:rPr>
            </w:pPr>
            <w:r w:rsidRPr="00FA09A0">
              <w:rPr>
                <w:sz w:val="20"/>
                <w:szCs w:val="20"/>
              </w:rPr>
              <w:t>Surveyed at the point of preparation program completion</w:t>
            </w:r>
          </w:p>
        </w:tc>
        <w:tc>
          <w:tcPr>
            <w:tcW w:w="1242" w:type="dxa"/>
          </w:tcPr>
          <w:p w:rsidR="00334DD5" w:rsidRPr="00FA09A0" w:rsidRDefault="00334DD5" w:rsidP="00334DD5">
            <w:pPr>
              <w:contextualSpacing/>
              <w:jc w:val="center"/>
              <w:rPr>
                <w:sz w:val="20"/>
                <w:szCs w:val="20"/>
              </w:rPr>
            </w:pPr>
            <w:r w:rsidRPr="00FA09A0">
              <w:rPr>
                <w:sz w:val="20"/>
                <w:szCs w:val="20"/>
              </w:rPr>
              <w:t>2,311</w:t>
            </w:r>
          </w:p>
        </w:tc>
        <w:tc>
          <w:tcPr>
            <w:tcW w:w="1242" w:type="dxa"/>
          </w:tcPr>
          <w:p w:rsidR="00334DD5" w:rsidRPr="00FA09A0" w:rsidRDefault="00334DD5" w:rsidP="00334DD5">
            <w:pPr>
              <w:contextualSpacing/>
              <w:jc w:val="center"/>
              <w:rPr>
                <w:sz w:val="20"/>
                <w:szCs w:val="20"/>
              </w:rPr>
            </w:pPr>
            <w:r w:rsidRPr="00FA09A0">
              <w:rPr>
                <w:sz w:val="20"/>
                <w:szCs w:val="20"/>
              </w:rPr>
              <w:t>587</w:t>
            </w:r>
          </w:p>
        </w:tc>
        <w:tc>
          <w:tcPr>
            <w:tcW w:w="1242" w:type="dxa"/>
          </w:tcPr>
          <w:p w:rsidR="00334DD5" w:rsidRPr="00FA09A0" w:rsidRDefault="00334DD5" w:rsidP="00334DD5">
            <w:pPr>
              <w:contextualSpacing/>
              <w:jc w:val="center"/>
              <w:rPr>
                <w:sz w:val="20"/>
                <w:szCs w:val="20"/>
              </w:rPr>
            </w:pPr>
            <w:r w:rsidRPr="00FA09A0">
              <w:rPr>
                <w:sz w:val="20"/>
                <w:szCs w:val="20"/>
              </w:rPr>
              <w:t>228</w:t>
            </w:r>
          </w:p>
        </w:tc>
        <w:tc>
          <w:tcPr>
            <w:tcW w:w="1242" w:type="dxa"/>
          </w:tcPr>
          <w:p w:rsidR="00334DD5" w:rsidRPr="00FA09A0" w:rsidRDefault="00334DD5" w:rsidP="00334DD5">
            <w:pPr>
              <w:contextualSpacing/>
              <w:jc w:val="center"/>
              <w:rPr>
                <w:sz w:val="20"/>
                <w:szCs w:val="20"/>
              </w:rPr>
            </w:pPr>
            <w:r w:rsidRPr="00FA09A0">
              <w:rPr>
                <w:sz w:val="20"/>
                <w:szCs w:val="20"/>
              </w:rPr>
              <w:t>25%</w:t>
            </w:r>
          </w:p>
        </w:tc>
      </w:tr>
      <w:tr w:rsidR="00334DD5" w:rsidTr="00FA09A0">
        <w:tc>
          <w:tcPr>
            <w:tcW w:w="1458" w:type="dxa"/>
          </w:tcPr>
          <w:p w:rsidR="00334DD5" w:rsidRPr="00FA09A0" w:rsidRDefault="00334DD5" w:rsidP="00334DD5">
            <w:pPr>
              <w:contextualSpacing/>
              <w:rPr>
                <w:sz w:val="20"/>
                <w:szCs w:val="20"/>
              </w:rPr>
            </w:pPr>
            <w:r w:rsidRPr="00FA09A0">
              <w:rPr>
                <w:sz w:val="20"/>
                <w:szCs w:val="20"/>
              </w:rPr>
              <w:t>Completer</w:t>
            </w:r>
          </w:p>
        </w:tc>
        <w:tc>
          <w:tcPr>
            <w:tcW w:w="3150" w:type="dxa"/>
          </w:tcPr>
          <w:p w:rsidR="00334DD5" w:rsidRPr="00FA09A0" w:rsidRDefault="00334DD5" w:rsidP="00334DD5">
            <w:pPr>
              <w:contextualSpacing/>
              <w:rPr>
                <w:sz w:val="20"/>
                <w:szCs w:val="20"/>
              </w:rPr>
            </w:pPr>
            <w:r w:rsidRPr="00FA09A0">
              <w:rPr>
                <w:sz w:val="20"/>
                <w:szCs w:val="20"/>
              </w:rPr>
              <w:t>Individuals employed in a MA public school who are surveyed one year after program completion</w:t>
            </w:r>
          </w:p>
        </w:tc>
        <w:tc>
          <w:tcPr>
            <w:tcW w:w="1242" w:type="dxa"/>
          </w:tcPr>
          <w:p w:rsidR="00334DD5" w:rsidRPr="00FA09A0" w:rsidRDefault="00334DD5" w:rsidP="00334DD5">
            <w:pPr>
              <w:contextualSpacing/>
              <w:jc w:val="center"/>
              <w:rPr>
                <w:sz w:val="20"/>
                <w:szCs w:val="20"/>
              </w:rPr>
            </w:pPr>
            <w:r w:rsidRPr="00FA09A0">
              <w:rPr>
                <w:sz w:val="20"/>
                <w:szCs w:val="20"/>
              </w:rPr>
              <w:t>2,064</w:t>
            </w:r>
          </w:p>
        </w:tc>
        <w:tc>
          <w:tcPr>
            <w:tcW w:w="1242" w:type="dxa"/>
          </w:tcPr>
          <w:p w:rsidR="00334DD5" w:rsidRPr="00FA09A0" w:rsidRDefault="00334DD5" w:rsidP="00334DD5">
            <w:pPr>
              <w:contextualSpacing/>
              <w:jc w:val="center"/>
              <w:rPr>
                <w:sz w:val="20"/>
                <w:szCs w:val="20"/>
              </w:rPr>
            </w:pPr>
            <w:r w:rsidRPr="00FA09A0">
              <w:rPr>
                <w:sz w:val="20"/>
                <w:szCs w:val="20"/>
              </w:rPr>
              <w:t>388</w:t>
            </w:r>
          </w:p>
        </w:tc>
        <w:tc>
          <w:tcPr>
            <w:tcW w:w="1242" w:type="dxa"/>
          </w:tcPr>
          <w:p w:rsidR="00334DD5" w:rsidRPr="00FA09A0" w:rsidRDefault="00334DD5" w:rsidP="00334DD5">
            <w:pPr>
              <w:contextualSpacing/>
              <w:jc w:val="center"/>
              <w:rPr>
                <w:sz w:val="20"/>
                <w:szCs w:val="20"/>
              </w:rPr>
            </w:pPr>
            <w:r w:rsidRPr="00FA09A0">
              <w:rPr>
                <w:sz w:val="20"/>
                <w:szCs w:val="20"/>
              </w:rPr>
              <w:t>200</w:t>
            </w:r>
          </w:p>
        </w:tc>
        <w:tc>
          <w:tcPr>
            <w:tcW w:w="1242" w:type="dxa"/>
          </w:tcPr>
          <w:p w:rsidR="00334DD5" w:rsidRPr="00FA09A0" w:rsidRDefault="00334DD5" w:rsidP="00334DD5">
            <w:pPr>
              <w:contextualSpacing/>
              <w:jc w:val="center"/>
              <w:rPr>
                <w:sz w:val="20"/>
                <w:szCs w:val="20"/>
              </w:rPr>
            </w:pPr>
            <w:r w:rsidRPr="00FA09A0">
              <w:rPr>
                <w:sz w:val="20"/>
                <w:szCs w:val="20"/>
              </w:rPr>
              <w:t>19%</w:t>
            </w:r>
          </w:p>
        </w:tc>
      </w:tr>
      <w:tr w:rsidR="00334DD5" w:rsidTr="00FA09A0">
        <w:tc>
          <w:tcPr>
            <w:tcW w:w="1458" w:type="dxa"/>
          </w:tcPr>
          <w:p w:rsidR="00334DD5" w:rsidRPr="00FA09A0" w:rsidRDefault="00334DD5" w:rsidP="00334DD5">
            <w:pPr>
              <w:contextualSpacing/>
              <w:rPr>
                <w:sz w:val="20"/>
                <w:szCs w:val="20"/>
              </w:rPr>
            </w:pPr>
            <w:r w:rsidRPr="00FA09A0">
              <w:rPr>
                <w:sz w:val="20"/>
                <w:szCs w:val="20"/>
              </w:rPr>
              <w:t>Supervising Practitioner</w:t>
            </w:r>
          </w:p>
        </w:tc>
        <w:tc>
          <w:tcPr>
            <w:tcW w:w="3150" w:type="dxa"/>
          </w:tcPr>
          <w:p w:rsidR="00334DD5" w:rsidRPr="00FA09A0" w:rsidRDefault="00334DD5" w:rsidP="00334DD5">
            <w:pPr>
              <w:contextualSpacing/>
              <w:rPr>
                <w:sz w:val="20"/>
                <w:szCs w:val="20"/>
              </w:rPr>
            </w:pPr>
            <w:r w:rsidRPr="00FA09A0">
              <w:rPr>
                <w:sz w:val="20"/>
                <w:szCs w:val="20"/>
              </w:rPr>
              <w:t>Individuals who served as a supervisor to a candidate during the practicum experience</w:t>
            </w:r>
          </w:p>
        </w:tc>
        <w:tc>
          <w:tcPr>
            <w:tcW w:w="1242" w:type="dxa"/>
          </w:tcPr>
          <w:p w:rsidR="00334DD5" w:rsidRPr="00FA09A0" w:rsidRDefault="00334DD5" w:rsidP="00334DD5">
            <w:pPr>
              <w:contextualSpacing/>
              <w:jc w:val="center"/>
              <w:rPr>
                <w:sz w:val="20"/>
                <w:szCs w:val="20"/>
              </w:rPr>
            </w:pPr>
            <w:r w:rsidRPr="00FA09A0">
              <w:rPr>
                <w:sz w:val="20"/>
                <w:szCs w:val="20"/>
              </w:rPr>
              <w:t>2,555</w:t>
            </w:r>
          </w:p>
        </w:tc>
        <w:tc>
          <w:tcPr>
            <w:tcW w:w="1242" w:type="dxa"/>
          </w:tcPr>
          <w:p w:rsidR="00334DD5" w:rsidRPr="00FA09A0" w:rsidRDefault="00334DD5" w:rsidP="00334DD5">
            <w:pPr>
              <w:contextualSpacing/>
              <w:jc w:val="center"/>
              <w:rPr>
                <w:sz w:val="20"/>
                <w:szCs w:val="20"/>
              </w:rPr>
            </w:pPr>
            <w:r w:rsidRPr="00FA09A0">
              <w:rPr>
                <w:sz w:val="20"/>
                <w:szCs w:val="20"/>
              </w:rPr>
              <w:t>649</w:t>
            </w:r>
          </w:p>
        </w:tc>
        <w:tc>
          <w:tcPr>
            <w:tcW w:w="1242" w:type="dxa"/>
          </w:tcPr>
          <w:p w:rsidR="00334DD5" w:rsidRPr="00FA09A0" w:rsidRDefault="00334DD5" w:rsidP="00334DD5">
            <w:pPr>
              <w:contextualSpacing/>
              <w:jc w:val="center"/>
              <w:rPr>
                <w:sz w:val="20"/>
                <w:szCs w:val="20"/>
              </w:rPr>
            </w:pPr>
            <w:r w:rsidRPr="00FA09A0">
              <w:rPr>
                <w:sz w:val="20"/>
                <w:szCs w:val="20"/>
              </w:rPr>
              <w:t>163</w:t>
            </w:r>
          </w:p>
        </w:tc>
        <w:tc>
          <w:tcPr>
            <w:tcW w:w="1242" w:type="dxa"/>
          </w:tcPr>
          <w:p w:rsidR="00334DD5" w:rsidRPr="00FA09A0" w:rsidRDefault="00334DD5" w:rsidP="00334DD5">
            <w:pPr>
              <w:contextualSpacing/>
              <w:jc w:val="center"/>
              <w:rPr>
                <w:sz w:val="20"/>
                <w:szCs w:val="20"/>
              </w:rPr>
            </w:pPr>
            <w:r w:rsidRPr="00FA09A0">
              <w:rPr>
                <w:sz w:val="20"/>
                <w:szCs w:val="20"/>
              </w:rPr>
              <w:t>25%</w:t>
            </w:r>
          </w:p>
        </w:tc>
      </w:tr>
      <w:tr w:rsidR="00334DD5" w:rsidTr="00FA09A0">
        <w:tc>
          <w:tcPr>
            <w:tcW w:w="1458" w:type="dxa"/>
          </w:tcPr>
          <w:p w:rsidR="00334DD5" w:rsidRPr="00FA09A0" w:rsidRDefault="00334DD5" w:rsidP="00334DD5">
            <w:pPr>
              <w:contextualSpacing/>
              <w:rPr>
                <w:sz w:val="20"/>
                <w:szCs w:val="20"/>
              </w:rPr>
            </w:pPr>
            <w:r w:rsidRPr="00FA09A0">
              <w:rPr>
                <w:sz w:val="20"/>
                <w:szCs w:val="20"/>
              </w:rPr>
              <w:t>Hiring Principal</w:t>
            </w:r>
          </w:p>
        </w:tc>
        <w:tc>
          <w:tcPr>
            <w:tcW w:w="3150" w:type="dxa"/>
          </w:tcPr>
          <w:p w:rsidR="00334DD5" w:rsidRPr="00FA09A0" w:rsidRDefault="00334DD5" w:rsidP="00334DD5">
            <w:pPr>
              <w:contextualSpacing/>
              <w:rPr>
                <w:sz w:val="20"/>
                <w:szCs w:val="20"/>
              </w:rPr>
            </w:pPr>
            <w:r w:rsidRPr="00FA09A0">
              <w:rPr>
                <w:sz w:val="20"/>
                <w:szCs w:val="20"/>
              </w:rPr>
              <w:t>Individuals who hired a teacher completer before the start of the 2015-2016 school year</w:t>
            </w:r>
          </w:p>
        </w:tc>
        <w:tc>
          <w:tcPr>
            <w:tcW w:w="1242" w:type="dxa"/>
          </w:tcPr>
          <w:p w:rsidR="00334DD5" w:rsidRPr="00FA09A0" w:rsidRDefault="00334DD5" w:rsidP="00334DD5">
            <w:pPr>
              <w:contextualSpacing/>
              <w:jc w:val="center"/>
              <w:rPr>
                <w:sz w:val="20"/>
                <w:szCs w:val="20"/>
              </w:rPr>
            </w:pPr>
            <w:r w:rsidRPr="00FA09A0">
              <w:rPr>
                <w:sz w:val="20"/>
                <w:szCs w:val="20"/>
              </w:rPr>
              <w:t>2,038</w:t>
            </w:r>
          </w:p>
        </w:tc>
        <w:tc>
          <w:tcPr>
            <w:tcW w:w="1242" w:type="dxa"/>
          </w:tcPr>
          <w:p w:rsidR="00334DD5" w:rsidRPr="00FA09A0" w:rsidRDefault="00334DD5" w:rsidP="00334DD5">
            <w:pPr>
              <w:contextualSpacing/>
              <w:jc w:val="center"/>
              <w:rPr>
                <w:sz w:val="20"/>
                <w:szCs w:val="20"/>
              </w:rPr>
            </w:pPr>
            <w:r w:rsidRPr="00FA09A0">
              <w:rPr>
                <w:sz w:val="20"/>
                <w:szCs w:val="20"/>
              </w:rPr>
              <w:t>1,077</w:t>
            </w:r>
          </w:p>
        </w:tc>
        <w:tc>
          <w:tcPr>
            <w:tcW w:w="1242" w:type="dxa"/>
          </w:tcPr>
          <w:p w:rsidR="00334DD5" w:rsidRPr="00FA09A0" w:rsidRDefault="00334DD5" w:rsidP="00334DD5">
            <w:pPr>
              <w:contextualSpacing/>
              <w:jc w:val="center"/>
              <w:rPr>
                <w:sz w:val="20"/>
                <w:szCs w:val="20"/>
              </w:rPr>
            </w:pPr>
            <w:r w:rsidRPr="00FA09A0">
              <w:rPr>
                <w:sz w:val="20"/>
                <w:szCs w:val="20"/>
              </w:rPr>
              <w:t>24</w:t>
            </w:r>
          </w:p>
        </w:tc>
        <w:tc>
          <w:tcPr>
            <w:tcW w:w="1242" w:type="dxa"/>
          </w:tcPr>
          <w:p w:rsidR="00334DD5" w:rsidRPr="00FA09A0" w:rsidRDefault="00334DD5" w:rsidP="00334DD5">
            <w:pPr>
              <w:contextualSpacing/>
              <w:jc w:val="center"/>
              <w:rPr>
                <w:sz w:val="20"/>
                <w:szCs w:val="20"/>
              </w:rPr>
            </w:pPr>
            <w:r w:rsidRPr="00FA09A0">
              <w:rPr>
                <w:sz w:val="20"/>
                <w:szCs w:val="20"/>
              </w:rPr>
              <w:t>53%</w:t>
            </w:r>
          </w:p>
        </w:tc>
      </w:tr>
      <w:tr w:rsidR="00334DD5" w:rsidTr="00FA09A0">
        <w:tc>
          <w:tcPr>
            <w:tcW w:w="1458" w:type="dxa"/>
            <w:shd w:val="clear" w:color="auto" w:fill="EEECE1" w:themeFill="background2"/>
          </w:tcPr>
          <w:p w:rsidR="00334DD5" w:rsidRPr="00FA09A0" w:rsidRDefault="00334DD5" w:rsidP="00334DD5">
            <w:pPr>
              <w:contextualSpacing/>
              <w:rPr>
                <w:b/>
                <w:sz w:val="20"/>
                <w:szCs w:val="20"/>
              </w:rPr>
            </w:pPr>
            <w:r w:rsidRPr="00FA09A0">
              <w:rPr>
                <w:b/>
                <w:sz w:val="20"/>
                <w:szCs w:val="20"/>
              </w:rPr>
              <w:t>Total:</w:t>
            </w:r>
          </w:p>
        </w:tc>
        <w:tc>
          <w:tcPr>
            <w:tcW w:w="3150" w:type="dxa"/>
            <w:shd w:val="clear" w:color="auto" w:fill="EEECE1" w:themeFill="background2"/>
          </w:tcPr>
          <w:p w:rsidR="00334DD5" w:rsidRPr="00FA09A0" w:rsidRDefault="00334DD5" w:rsidP="00334DD5">
            <w:pPr>
              <w:contextualSpacing/>
              <w:rPr>
                <w:b/>
                <w:sz w:val="20"/>
                <w:szCs w:val="20"/>
              </w:rPr>
            </w:pPr>
          </w:p>
        </w:tc>
        <w:tc>
          <w:tcPr>
            <w:tcW w:w="1242" w:type="dxa"/>
            <w:shd w:val="clear" w:color="auto" w:fill="EEECE1" w:themeFill="background2"/>
          </w:tcPr>
          <w:p w:rsidR="00334DD5" w:rsidRPr="00FA09A0" w:rsidRDefault="00334DD5" w:rsidP="00334DD5">
            <w:pPr>
              <w:contextualSpacing/>
              <w:jc w:val="center"/>
              <w:rPr>
                <w:b/>
                <w:sz w:val="20"/>
                <w:szCs w:val="20"/>
              </w:rPr>
            </w:pPr>
            <w:r w:rsidRPr="00FA09A0">
              <w:rPr>
                <w:b/>
                <w:sz w:val="20"/>
                <w:szCs w:val="20"/>
              </w:rPr>
              <w:t>8,968</w:t>
            </w:r>
          </w:p>
        </w:tc>
        <w:tc>
          <w:tcPr>
            <w:tcW w:w="1242" w:type="dxa"/>
            <w:shd w:val="clear" w:color="auto" w:fill="EEECE1" w:themeFill="background2"/>
          </w:tcPr>
          <w:p w:rsidR="00334DD5" w:rsidRPr="00FA09A0" w:rsidRDefault="00334DD5" w:rsidP="00334DD5">
            <w:pPr>
              <w:contextualSpacing/>
              <w:jc w:val="center"/>
              <w:rPr>
                <w:b/>
                <w:sz w:val="20"/>
                <w:szCs w:val="20"/>
              </w:rPr>
            </w:pPr>
            <w:r w:rsidRPr="00FA09A0">
              <w:rPr>
                <w:b/>
                <w:sz w:val="20"/>
                <w:szCs w:val="20"/>
              </w:rPr>
              <w:t>2,701</w:t>
            </w:r>
          </w:p>
        </w:tc>
        <w:tc>
          <w:tcPr>
            <w:tcW w:w="1242" w:type="dxa"/>
            <w:shd w:val="clear" w:color="auto" w:fill="EEECE1" w:themeFill="background2"/>
          </w:tcPr>
          <w:p w:rsidR="00334DD5" w:rsidRPr="00FA09A0" w:rsidRDefault="00334DD5" w:rsidP="00334DD5">
            <w:pPr>
              <w:contextualSpacing/>
              <w:jc w:val="center"/>
              <w:rPr>
                <w:b/>
                <w:sz w:val="20"/>
                <w:szCs w:val="20"/>
              </w:rPr>
            </w:pPr>
            <w:r w:rsidRPr="00FA09A0">
              <w:rPr>
                <w:b/>
                <w:sz w:val="20"/>
                <w:szCs w:val="20"/>
              </w:rPr>
              <w:t>615</w:t>
            </w:r>
          </w:p>
        </w:tc>
        <w:tc>
          <w:tcPr>
            <w:tcW w:w="1242" w:type="dxa"/>
            <w:shd w:val="clear" w:color="auto" w:fill="EEECE1" w:themeFill="background2"/>
          </w:tcPr>
          <w:p w:rsidR="00334DD5" w:rsidRPr="00FA09A0" w:rsidRDefault="00334DD5" w:rsidP="00334DD5">
            <w:pPr>
              <w:contextualSpacing/>
              <w:jc w:val="center"/>
              <w:rPr>
                <w:b/>
                <w:sz w:val="20"/>
                <w:szCs w:val="20"/>
              </w:rPr>
            </w:pPr>
            <w:r w:rsidRPr="00FA09A0">
              <w:rPr>
                <w:b/>
                <w:sz w:val="20"/>
                <w:szCs w:val="20"/>
              </w:rPr>
              <w:t>30%</w:t>
            </w:r>
          </w:p>
        </w:tc>
      </w:tr>
      <w:bookmarkEnd w:id="0"/>
    </w:tbl>
    <w:p w:rsidR="00FA09A0" w:rsidRDefault="00FA09A0" w:rsidP="00FA09A0">
      <w:pPr>
        <w:rPr>
          <w:b/>
          <w:color w:val="E36C0A" w:themeColor="accent2"/>
          <w:sz w:val="28"/>
          <w:szCs w:val="28"/>
        </w:rPr>
      </w:pPr>
    </w:p>
    <w:p w:rsidR="00334DD5" w:rsidRDefault="00FA09A0" w:rsidP="00FA09A0">
      <w:r>
        <w:t>For this survey administration year (2015-16), survey takers were:</w:t>
      </w:r>
    </w:p>
    <w:p w:rsidR="00334DD5" w:rsidRDefault="00334DD5" w:rsidP="00334DD5">
      <w:pPr>
        <w:pStyle w:val="ListParagraph"/>
        <w:numPr>
          <w:ilvl w:val="0"/>
          <w:numId w:val="6"/>
        </w:numPr>
        <w:spacing w:after="0" w:line="240" w:lineRule="auto"/>
      </w:pPr>
      <w:r w:rsidRPr="003C2AB3">
        <w:rPr>
          <w:b/>
        </w:rPr>
        <w:t>Teacher Preparation Candidates</w:t>
      </w:r>
      <w:r>
        <w:t>: Recent program completers who completed a program in 2015-16</w:t>
      </w:r>
      <w:r w:rsidR="001C409F">
        <w:t xml:space="preserve"> and were not employed as teacher of record</w:t>
      </w:r>
      <w:r w:rsidR="00CA28B5">
        <w:rPr>
          <w:rStyle w:val="FootnoteReference"/>
        </w:rPr>
        <w:footnoteReference w:id="8"/>
      </w:r>
      <w:r w:rsidR="001C409F">
        <w:t xml:space="preserve"> before or during their initial teacher preparation program.</w:t>
      </w:r>
    </w:p>
    <w:p w:rsidR="00334DD5" w:rsidRDefault="00334DD5" w:rsidP="00334DD5">
      <w:pPr>
        <w:pStyle w:val="ListParagraph"/>
        <w:numPr>
          <w:ilvl w:val="0"/>
          <w:numId w:val="6"/>
        </w:numPr>
        <w:spacing w:after="0" w:line="240" w:lineRule="auto"/>
      </w:pPr>
      <w:r w:rsidRPr="003C2AB3">
        <w:rPr>
          <w:b/>
        </w:rPr>
        <w:t>Teacher Preparation Completers</w:t>
      </w:r>
      <w:r>
        <w:t>: Teachers who completed a program in 2014-2015 and were employed in an MA public school in 2015-2016</w:t>
      </w:r>
      <w:r w:rsidR="001C409F">
        <w:t xml:space="preserve"> and were not employed as teacher of record before or during their initial teacher preparation program.</w:t>
      </w:r>
    </w:p>
    <w:p w:rsidR="00334DD5" w:rsidRDefault="00334DD5" w:rsidP="00334DD5">
      <w:pPr>
        <w:pStyle w:val="ListParagraph"/>
        <w:numPr>
          <w:ilvl w:val="0"/>
          <w:numId w:val="6"/>
        </w:numPr>
        <w:spacing w:after="0" w:line="240" w:lineRule="auto"/>
      </w:pPr>
      <w:r w:rsidRPr="003C2AB3">
        <w:rPr>
          <w:b/>
        </w:rPr>
        <w:t>Hiring Principals</w:t>
      </w:r>
      <w:r>
        <w:t>: Hired a program completer</w:t>
      </w:r>
      <w:r w:rsidR="001C409F">
        <w:t xml:space="preserve"> who was not already teacher or record before or during their initial teacher preparation program</w:t>
      </w:r>
      <w:r>
        <w:t xml:space="preserve"> in 2015-2016</w:t>
      </w:r>
    </w:p>
    <w:p w:rsidR="00334DD5" w:rsidRDefault="00334DD5" w:rsidP="00334DD5">
      <w:pPr>
        <w:pStyle w:val="ListParagraph"/>
        <w:numPr>
          <w:ilvl w:val="0"/>
          <w:numId w:val="6"/>
        </w:numPr>
        <w:spacing w:after="0" w:line="240" w:lineRule="auto"/>
      </w:pPr>
      <w:r w:rsidRPr="003C2AB3">
        <w:rPr>
          <w:b/>
        </w:rPr>
        <w:t>Supervising Practitioners</w:t>
      </w:r>
      <w:r>
        <w:t xml:space="preserve"> Supervised the candidates during the 2015-2016 year while they were in their practicum</w:t>
      </w:r>
      <w:r w:rsidR="001C409F">
        <w:t>.</w:t>
      </w:r>
    </w:p>
    <w:p w:rsidR="005B587E" w:rsidRPr="005B587E" w:rsidRDefault="005B587E" w:rsidP="005B587E">
      <w:pPr>
        <w:spacing w:after="0"/>
        <w:rPr>
          <w:b/>
          <w:color w:val="E36C0A" w:themeColor="accent2"/>
        </w:rPr>
      </w:pPr>
    </w:p>
    <w:p w:rsidR="00334DD5" w:rsidRDefault="0005780A" w:rsidP="0005780A">
      <w:r>
        <w:t>ESE has developed this suite of surveys in order to triangulate perceptions across different perspectives at varying points in time.</w:t>
      </w:r>
      <w:r w:rsidR="00334DD5">
        <w:br w:type="page"/>
      </w:r>
    </w:p>
    <w:p w:rsidR="003C2AB3" w:rsidRDefault="003C2AB3" w:rsidP="009D23AA">
      <w:pPr>
        <w:pStyle w:val="ListParagraph"/>
        <w:spacing w:line="240" w:lineRule="auto"/>
        <w:ind w:left="0"/>
        <w:rPr>
          <w:b/>
          <w:color w:val="E36C0A" w:themeColor="accent2"/>
          <w:sz w:val="28"/>
          <w:szCs w:val="28"/>
        </w:rPr>
      </w:pPr>
      <w:r>
        <w:rPr>
          <w:b/>
          <w:color w:val="E36C0A" w:themeColor="accent2"/>
          <w:sz w:val="28"/>
          <w:szCs w:val="28"/>
        </w:rPr>
        <w:lastRenderedPageBreak/>
        <w:t>Appendix B: Survey Scales</w:t>
      </w:r>
    </w:p>
    <w:p w:rsidR="003C2AB3" w:rsidRDefault="003C2AB3" w:rsidP="003C2AB3">
      <w:r>
        <w:t xml:space="preserve">Blank copies of the surveys are available </w:t>
      </w:r>
      <w:hyperlink r:id="rId14" w:history="1">
        <w:r w:rsidRPr="00334DD5">
          <w:rPr>
            <w:rStyle w:val="Hyperlink"/>
          </w:rPr>
          <w:t>here</w:t>
        </w:r>
      </w:hyperlink>
      <w:r>
        <w:t>.</w:t>
      </w:r>
    </w:p>
    <w:p w:rsidR="004F58DD" w:rsidRPr="00FA226F" w:rsidRDefault="004F58DD" w:rsidP="008F14F8">
      <w:pPr>
        <w:rPr>
          <w:b/>
          <w:color w:val="0E4588" w:themeColor="text2"/>
        </w:rPr>
      </w:pPr>
      <w:r w:rsidRPr="00FA226F">
        <w:rPr>
          <w:b/>
          <w:color w:val="0E4588" w:themeColor="text2"/>
        </w:rPr>
        <w:t>Sections: Coursework, Field-Based Experience, Candidate Experience,</w:t>
      </w:r>
      <w:r w:rsidR="00260C9F">
        <w:rPr>
          <w:b/>
          <w:color w:val="0E4588" w:themeColor="text2"/>
        </w:rPr>
        <w:t xml:space="preserve"> Supervision</w:t>
      </w:r>
      <w:r w:rsidRPr="00FA226F">
        <w:rPr>
          <w:b/>
          <w:color w:val="0E4588" w:themeColor="text2"/>
        </w:rPr>
        <w:t xml:space="preserve"> and Overall Readiness</w:t>
      </w:r>
    </w:p>
    <w:p w:rsidR="008F14F8" w:rsidRPr="00FA226F" w:rsidRDefault="008F14F8" w:rsidP="008F14F8">
      <w:r w:rsidRPr="00FA226F">
        <w:t>2015-2016 Program Evaluation Criteria Items</w:t>
      </w:r>
      <w:r w:rsidR="004F58DD" w:rsidRPr="00FA226F">
        <w:t>:</w:t>
      </w:r>
    </w:p>
    <w:p w:rsidR="008F14F8" w:rsidRDefault="008F14F8" w:rsidP="008F14F8">
      <w:pPr>
        <w:pStyle w:val="ListParagraph"/>
        <w:numPr>
          <w:ilvl w:val="0"/>
          <w:numId w:val="10"/>
        </w:numPr>
      </w:pPr>
      <w:r>
        <w:t>Strongly agree</w:t>
      </w:r>
    </w:p>
    <w:p w:rsidR="008F14F8" w:rsidRDefault="008F14F8" w:rsidP="008F14F8">
      <w:pPr>
        <w:pStyle w:val="ListParagraph"/>
        <w:numPr>
          <w:ilvl w:val="0"/>
          <w:numId w:val="10"/>
        </w:numPr>
      </w:pPr>
      <w:r>
        <w:t>Agree</w:t>
      </w:r>
    </w:p>
    <w:p w:rsidR="008F14F8" w:rsidRDefault="008F14F8" w:rsidP="008F14F8">
      <w:pPr>
        <w:pStyle w:val="ListParagraph"/>
        <w:numPr>
          <w:ilvl w:val="0"/>
          <w:numId w:val="10"/>
        </w:numPr>
      </w:pPr>
      <w:r>
        <w:t>Neither agree nor disagree</w:t>
      </w:r>
    </w:p>
    <w:p w:rsidR="008F14F8" w:rsidRDefault="008F14F8" w:rsidP="008F14F8">
      <w:pPr>
        <w:pStyle w:val="ListParagraph"/>
        <w:numPr>
          <w:ilvl w:val="0"/>
          <w:numId w:val="10"/>
        </w:numPr>
      </w:pPr>
      <w:r>
        <w:t>Disagree</w:t>
      </w:r>
    </w:p>
    <w:p w:rsidR="008F14F8" w:rsidRDefault="008F14F8" w:rsidP="008F14F8">
      <w:pPr>
        <w:pStyle w:val="ListParagraph"/>
        <w:numPr>
          <w:ilvl w:val="0"/>
          <w:numId w:val="10"/>
        </w:numPr>
      </w:pPr>
      <w:r>
        <w:t>Strongly disagree</w:t>
      </w:r>
    </w:p>
    <w:p w:rsidR="004F58DD" w:rsidRPr="00FA226F" w:rsidRDefault="005B587E" w:rsidP="008F14F8">
      <w:pPr>
        <w:rPr>
          <w:b/>
          <w:color w:val="0E4588" w:themeColor="text2"/>
        </w:rPr>
      </w:pPr>
      <w:r>
        <w:rPr>
          <w:b/>
          <w:color w:val="0E4588" w:themeColor="text2"/>
        </w:rPr>
        <w:t xml:space="preserve">Section: </w:t>
      </w:r>
      <w:r w:rsidR="004F58DD" w:rsidRPr="00FA226F">
        <w:rPr>
          <w:b/>
          <w:color w:val="0E4588" w:themeColor="text2"/>
        </w:rPr>
        <w:t>Preparation on Professional Standards for Teachers</w:t>
      </w:r>
    </w:p>
    <w:p w:rsidR="008F14F8" w:rsidRPr="00FA226F" w:rsidRDefault="004F58DD" w:rsidP="008F14F8">
      <w:r w:rsidRPr="00FA226F">
        <w:t>Professional Standards for Teachers</w:t>
      </w:r>
      <w:r w:rsidR="008F14F8" w:rsidRPr="00FA226F">
        <w:t xml:space="preserve"> Items:</w:t>
      </w:r>
    </w:p>
    <w:p w:rsidR="008F14F8" w:rsidRDefault="008F14F8" w:rsidP="008F14F8">
      <w:pPr>
        <w:pStyle w:val="ListParagraph"/>
        <w:numPr>
          <w:ilvl w:val="0"/>
          <w:numId w:val="11"/>
        </w:numPr>
      </w:pPr>
      <w:r>
        <w:t>Exemplary</w:t>
      </w:r>
    </w:p>
    <w:p w:rsidR="008F14F8" w:rsidRDefault="008F14F8" w:rsidP="008F14F8">
      <w:pPr>
        <w:pStyle w:val="ListParagraph"/>
        <w:numPr>
          <w:ilvl w:val="0"/>
          <w:numId w:val="11"/>
        </w:numPr>
      </w:pPr>
      <w:r>
        <w:t>Proficient</w:t>
      </w:r>
    </w:p>
    <w:p w:rsidR="008F14F8" w:rsidRDefault="008F14F8" w:rsidP="008F14F8">
      <w:pPr>
        <w:pStyle w:val="ListParagraph"/>
        <w:numPr>
          <w:ilvl w:val="0"/>
          <w:numId w:val="11"/>
        </w:numPr>
      </w:pPr>
      <w:r>
        <w:t>Needs Improvement</w:t>
      </w:r>
    </w:p>
    <w:p w:rsidR="008F14F8" w:rsidRPr="00334DD5" w:rsidRDefault="008F14F8" w:rsidP="008F14F8">
      <w:pPr>
        <w:pStyle w:val="ListParagraph"/>
        <w:numPr>
          <w:ilvl w:val="0"/>
          <w:numId w:val="11"/>
        </w:numPr>
      </w:pPr>
      <w:r>
        <w:t>Unsatisfactory</w:t>
      </w:r>
    </w:p>
    <w:p w:rsidR="008F14F8" w:rsidRPr="00FA226F" w:rsidRDefault="004F58DD" w:rsidP="003C2AB3">
      <w:pPr>
        <w:rPr>
          <w:b/>
          <w:color w:val="0E4588" w:themeColor="text2"/>
        </w:rPr>
      </w:pPr>
      <w:r w:rsidRPr="00FA226F">
        <w:rPr>
          <w:b/>
          <w:color w:val="0E4588" w:themeColor="text2"/>
        </w:rPr>
        <w:t>Section: Overall Readiness</w:t>
      </w:r>
    </w:p>
    <w:p w:rsidR="00334DD5" w:rsidRPr="00FA226F" w:rsidRDefault="00334DD5" w:rsidP="003C2AB3">
      <w:r w:rsidRPr="00FA226F">
        <w:t>Principal Survey Items:</w:t>
      </w:r>
    </w:p>
    <w:p w:rsidR="00334DD5" w:rsidRDefault="00334DD5" w:rsidP="00334DD5">
      <w:pPr>
        <w:pStyle w:val="ListParagraph"/>
        <w:numPr>
          <w:ilvl w:val="0"/>
          <w:numId w:val="9"/>
        </w:numPr>
      </w:pPr>
      <w:r>
        <w:t>Fully ready</w:t>
      </w:r>
    </w:p>
    <w:p w:rsidR="00334DD5" w:rsidRDefault="00334DD5" w:rsidP="00334DD5">
      <w:pPr>
        <w:pStyle w:val="ListParagraph"/>
        <w:numPr>
          <w:ilvl w:val="0"/>
          <w:numId w:val="9"/>
        </w:numPr>
      </w:pPr>
      <w:r>
        <w:t>Mostly ready</w:t>
      </w:r>
    </w:p>
    <w:p w:rsidR="00334DD5" w:rsidRDefault="00334DD5" w:rsidP="00334DD5">
      <w:pPr>
        <w:pStyle w:val="ListParagraph"/>
        <w:numPr>
          <w:ilvl w:val="0"/>
          <w:numId w:val="9"/>
        </w:numPr>
      </w:pPr>
      <w:r>
        <w:t>Moderately ready</w:t>
      </w:r>
    </w:p>
    <w:p w:rsidR="00334DD5" w:rsidRDefault="00334DD5" w:rsidP="00334DD5">
      <w:pPr>
        <w:pStyle w:val="ListParagraph"/>
        <w:numPr>
          <w:ilvl w:val="0"/>
          <w:numId w:val="9"/>
        </w:numPr>
      </w:pPr>
      <w:r>
        <w:t>Minimally ready</w:t>
      </w:r>
    </w:p>
    <w:p w:rsidR="00334DD5" w:rsidRDefault="00334DD5" w:rsidP="00334DD5">
      <w:pPr>
        <w:pStyle w:val="ListParagraph"/>
        <w:numPr>
          <w:ilvl w:val="0"/>
          <w:numId w:val="9"/>
        </w:numPr>
      </w:pPr>
      <w:r>
        <w:t>Not ready</w:t>
      </w:r>
    </w:p>
    <w:p w:rsidR="00334DD5" w:rsidRDefault="00334DD5" w:rsidP="003C2AB3"/>
    <w:p w:rsidR="00334DD5" w:rsidRDefault="00334DD5">
      <w:pPr>
        <w:rPr>
          <w:b/>
          <w:color w:val="E36C0A" w:themeColor="accent2"/>
          <w:sz w:val="28"/>
          <w:szCs w:val="28"/>
        </w:rPr>
      </w:pPr>
    </w:p>
    <w:sectPr w:rsidR="00334DD5" w:rsidSect="000A35E5">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F1E" w:rsidRDefault="009A2F1E" w:rsidP="000A35E5">
      <w:pPr>
        <w:spacing w:after="0" w:line="240" w:lineRule="auto"/>
      </w:pPr>
      <w:r>
        <w:separator/>
      </w:r>
    </w:p>
  </w:endnote>
  <w:endnote w:type="continuationSeparator" w:id="0">
    <w:p w:rsidR="009A2F1E" w:rsidRDefault="009A2F1E" w:rsidP="000A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0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047124"/>
      <w:docPartObj>
        <w:docPartGallery w:val="Page Numbers (Bottom of Page)"/>
        <w:docPartUnique/>
      </w:docPartObj>
    </w:sdtPr>
    <w:sdtEndPr>
      <w:rPr>
        <w:noProof/>
      </w:rPr>
    </w:sdtEndPr>
    <w:sdtContent>
      <w:p w:rsidR="00E75F05" w:rsidRDefault="00E75F05">
        <w:pPr>
          <w:pStyle w:val="Footer"/>
          <w:jc w:val="center"/>
        </w:pPr>
        <w:r>
          <w:fldChar w:fldCharType="begin"/>
        </w:r>
        <w:r>
          <w:instrText xml:space="preserve"> PAGE   \* MERGEFORMAT </w:instrText>
        </w:r>
        <w:r>
          <w:fldChar w:fldCharType="separate"/>
        </w:r>
        <w:r w:rsidR="00790610">
          <w:rPr>
            <w:noProof/>
          </w:rPr>
          <w:t>7</w:t>
        </w:r>
        <w:r>
          <w:rPr>
            <w:noProof/>
          </w:rPr>
          <w:fldChar w:fldCharType="end"/>
        </w:r>
      </w:p>
    </w:sdtContent>
  </w:sdt>
  <w:p w:rsidR="00E75F05" w:rsidRDefault="00E75F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F1E" w:rsidRDefault="009A2F1E" w:rsidP="000A35E5">
      <w:pPr>
        <w:spacing w:after="0" w:line="240" w:lineRule="auto"/>
      </w:pPr>
      <w:r>
        <w:separator/>
      </w:r>
    </w:p>
  </w:footnote>
  <w:footnote w:type="continuationSeparator" w:id="0">
    <w:p w:rsidR="009A2F1E" w:rsidRDefault="009A2F1E" w:rsidP="000A35E5">
      <w:pPr>
        <w:spacing w:after="0" w:line="240" w:lineRule="auto"/>
      </w:pPr>
      <w:r>
        <w:continuationSeparator/>
      </w:r>
    </w:p>
  </w:footnote>
  <w:footnote w:id="1">
    <w:p w:rsidR="00E75F05" w:rsidRDefault="00E75F05" w:rsidP="00481382">
      <w:pPr>
        <w:pStyle w:val="FootnoteText"/>
        <w:ind w:left="180" w:hanging="180"/>
      </w:pPr>
      <w:r>
        <w:rPr>
          <w:rStyle w:val="FootnoteReference"/>
        </w:rPr>
        <w:footnoteRef/>
      </w:r>
      <w:r>
        <w:t xml:space="preserve"> </w:t>
      </w:r>
      <w:r w:rsidRPr="00F758C4">
        <w:rPr>
          <w:sz w:val="16"/>
          <w:szCs w:val="16"/>
        </w:rPr>
        <w:t xml:space="preserve">To </w:t>
      </w:r>
      <w:r w:rsidRPr="00A45D6E">
        <w:rPr>
          <w:sz w:val="16"/>
          <w:szCs w:val="16"/>
        </w:rPr>
        <w:t xml:space="preserve">learn more about ESE’s survey development process, please </w:t>
      </w:r>
      <w:r>
        <w:rPr>
          <w:sz w:val="16"/>
          <w:szCs w:val="16"/>
        </w:rPr>
        <w:t>see</w:t>
      </w:r>
      <w:r w:rsidRPr="00A45D6E">
        <w:rPr>
          <w:sz w:val="16"/>
          <w:szCs w:val="16"/>
        </w:rPr>
        <w:t xml:space="preserve"> the</w:t>
      </w:r>
      <w:r>
        <w:t xml:space="preserve"> </w:t>
      </w:r>
      <w:r w:rsidRPr="00A45D6E">
        <w:rPr>
          <w:sz w:val="16"/>
          <w:szCs w:val="16"/>
        </w:rPr>
        <w:t>Educator Preparation Stakeholder Surveys Development &amp; Validation memo: http://www.doe.mass.edu/edprep/surveys/SurveyDevelopment.pdf</w:t>
      </w:r>
    </w:p>
  </w:footnote>
  <w:footnote w:id="2">
    <w:p w:rsidR="00E75F05" w:rsidRDefault="00E75F05" w:rsidP="00481382">
      <w:pPr>
        <w:pStyle w:val="FootnoteText"/>
        <w:ind w:left="180" w:hanging="180"/>
      </w:pPr>
      <w:r>
        <w:rPr>
          <w:rStyle w:val="FootnoteReference"/>
        </w:rPr>
        <w:footnoteRef/>
      </w:r>
      <w:r>
        <w:t xml:space="preserve"> </w:t>
      </w:r>
      <w:r w:rsidRPr="00F85BA1">
        <w:rPr>
          <w:sz w:val="16"/>
          <w:szCs w:val="16"/>
        </w:rPr>
        <w:t>ESE prioritized the development and administration of surveys associated with initial teacher licensure as this is the largest group of program completers in Massachusetts every year.</w:t>
      </w:r>
      <w:r>
        <w:t xml:space="preserve"> </w:t>
      </w:r>
    </w:p>
  </w:footnote>
  <w:footnote w:id="3">
    <w:p w:rsidR="00E75F05" w:rsidRDefault="00E75F05">
      <w:pPr>
        <w:pStyle w:val="FootnoteText"/>
      </w:pPr>
      <w:r>
        <w:rPr>
          <w:rStyle w:val="FootnoteReference"/>
        </w:rPr>
        <w:footnoteRef/>
      </w:r>
      <w:r>
        <w:t xml:space="preserve"> </w:t>
      </w:r>
      <w:r w:rsidRPr="0005780A">
        <w:rPr>
          <w:sz w:val="16"/>
          <w:szCs w:val="16"/>
        </w:rPr>
        <w:t>Full survey instruments with all items can be found here: http://www.doe.mass.edu/edprep/surveys/</w:t>
      </w:r>
    </w:p>
  </w:footnote>
  <w:footnote w:id="4">
    <w:p w:rsidR="00E75F05" w:rsidRDefault="00E75F05">
      <w:pPr>
        <w:pStyle w:val="FootnoteText"/>
      </w:pPr>
      <w:r>
        <w:rPr>
          <w:rStyle w:val="FootnoteReference"/>
        </w:rPr>
        <w:footnoteRef/>
      </w:r>
      <w:r>
        <w:t xml:space="preserve"> </w:t>
      </w:r>
      <w:r w:rsidRPr="00960E61">
        <w:rPr>
          <w:sz w:val="16"/>
          <w:szCs w:val="16"/>
        </w:rPr>
        <w:t>See Appendix B for full survey scales.</w:t>
      </w:r>
    </w:p>
  </w:footnote>
  <w:footnote w:id="5">
    <w:p w:rsidR="00E75F05" w:rsidRDefault="00E75F05" w:rsidP="00481382">
      <w:pPr>
        <w:pStyle w:val="FootnoteText"/>
        <w:ind w:left="180" w:hanging="180"/>
      </w:pPr>
      <w:r>
        <w:rPr>
          <w:rStyle w:val="FootnoteReference"/>
        </w:rPr>
        <w:footnoteRef/>
      </w:r>
      <w:r>
        <w:t xml:space="preserve"> </w:t>
      </w:r>
      <w:r w:rsidRPr="0060193E">
        <w:rPr>
          <w:sz w:val="16"/>
          <w:szCs w:val="16"/>
        </w:rPr>
        <w:t>This includes both</w:t>
      </w:r>
      <w:r>
        <w:rPr>
          <w:sz w:val="16"/>
          <w:szCs w:val="16"/>
        </w:rPr>
        <w:t xml:space="preserve"> candidates that experienced Pre-service Performance Assessment (PPA) and Candidate Assessment for Performance (CAP)</w:t>
      </w:r>
      <w:r w:rsidRPr="0060193E">
        <w:rPr>
          <w:sz w:val="16"/>
          <w:szCs w:val="16"/>
        </w:rPr>
        <w:t xml:space="preserve"> during the 2015-16 pilot period</w:t>
      </w:r>
    </w:p>
  </w:footnote>
  <w:footnote w:id="6">
    <w:p w:rsidR="00E75F05" w:rsidRDefault="00E75F05" w:rsidP="00BC4CC5">
      <w:pPr>
        <w:pStyle w:val="FootnoteText"/>
      </w:pPr>
      <w:r>
        <w:rPr>
          <w:rStyle w:val="FootnoteReference"/>
        </w:rPr>
        <w:footnoteRef/>
      </w:r>
      <w:r>
        <w:t xml:space="preserve"> </w:t>
      </w:r>
      <w:r w:rsidRPr="002C6EDE">
        <w:rPr>
          <w:sz w:val="16"/>
          <w:szCs w:val="16"/>
        </w:rPr>
        <w:t>This only includes 135 Supervising Practitioner that self-identified as supervisors that implemented CAP</w:t>
      </w:r>
    </w:p>
  </w:footnote>
  <w:footnote w:id="7">
    <w:p w:rsidR="00E75F05" w:rsidRDefault="00E75F05" w:rsidP="00481382">
      <w:pPr>
        <w:pStyle w:val="FootnoteText"/>
        <w:ind w:left="180" w:hanging="180"/>
      </w:pPr>
      <w:r>
        <w:rPr>
          <w:rStyle w:val="FootnoteReference"/>
        </w:rPr>
        <w:footnoteRef/>
      </w:r>
      <w:r>
        <w:t xml:space="preserve"> </w:t>
      </w:r>
      <w:r w:rsidRPr="00A45D6E">
        <w:rPr>
          <w:sz w:val="16"/>
          <w:szCs w:val="16"/>
        </w:rPr>
        <w:t xml:space="preserve">The response rate is calculated using the number of respondents who completed the survey divided by the total number of possible survey takers. Survey takers who only partially completed the survey are not included in the response rate calculation. </w:t>
      </w:r>
    </w:p>
  </w:footnote>
  <w:footnote w:id="8">
    <w:p w:rsidR="00E75F05" w:rsidRDefault="00E75F05">
      <w:pPr>
        <w:pStyle w:val="FootnoteText"/>
      </w:pPr>
      <w:r>
        <w:rPr>
          <w:rStyle w:val="FootnoteReference"/>
        </w:rPr>
        <w:footnoteRef/>
      </w:r>
      <w:r>
        <w:t xml:space="preserve"> </w:t>
      </w:r>
      <w:r w:rsidRPr="00CA28B5">
        <w:rPr>
          <w:sz w:val="16"/>
          <w:szCs w:val="16"/>
        </w:rPr>
        <w:t>A Teacher of Record is a teacher who is assigned primary responsibility for a student’s learning in a subject, grade or course.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F05" w:rsidRDefault="00E75F05">
    <w:pPr>
      <w:pStyle w:val="Header"/>
    </w:pPr>
  </w:p>
  <w:tbl>
    <w:tblPr>
      <w:tblpPr w:leftFromText="180" w:rightFromText="180" w:horzAnchor="margin" w:tblpY="-461"/>
      <w:tblW w:w="10172" w:type="dxa"/>
      <w:tblBorders>
        <w:bottom w:val="single" w:sz="12" w:space="0" w:color="154786"/>
      </w:tblBorders>
      <w:tblLayout w:type="fixed"/>
      <w:tblLook w:val="04A0" w:firstRow="1" w:lastRow="0" w:firstColumn="1" w:lastColumn="0" w:noHBand="0" w:noVBand="1"/>
    </w:tblPr>
    <w:tblGrid>
      <w:gridCol w:w="7578"/>
      <w:gridCol w:w="2594"/>
    </w:tblGrid>
    <w:tr w:rsidR="00E75F05" w:rsidRPr="006D7AD0" w:rsidTr="008A213F">
      <w:trPr>
        <w:trHeight w:val="1713"/>
      </w:trPr>
      <w:tc>
        <w:tcPr>
          <w:tcW w:w="7578" w:type="dxa"/>
          <w:shd w:val="clear" w:color="auto" w:fill="FFFFFF"/>
          <w:vAlign w:val="center"/>
        </w:tcPr>
        <w:p w:rsidR="00E75F05" w:rsidRPr="006D7AD0" w:rsidRDefault="00E75F05" w:rsidP="008A213F">
          <w:pPr>
            <w:tabs>
              <w:tab w:val="center" w:pos="4680"/>
              <w:tab w:val="right" w:pos="9360"/>
            </w:tabs>
            <w:spacing w:after="0" w:line="240" w:lineRule="auto"/>
            <w:rPr>
              <w:rFonts w:ascii="Calibri" w:hAnsi="Calibri" w:cs="DaunPenh"/>
              <w:color w:val="1F497D"/>
              <w:sz w:val="48"/>
            </w:rPr>
          </w:pPr>
          <w:r w:rsidRPr="006D7AD0">
            <w:rPr>
              <w:rFonts w:ascii="Calibri" w:hAnsi="Calibri" w:cs="DaunPenh"/>
              <w:color w:val="1F497D"/>
              <w:sz w:val="48"/>
            </w:rPr>
            <w:t xml:space="preserve">Educator Preparation </w:t>
          </w:r>
        </w:p>
        <w:p w:rsidR="00E75F05" w:rsidRPr="006D7AD0" w:rsidRDefault="00E75F05" w:rsidP="008A213F">
          <w:pPr>
            <w:tabs>
              <w:tab w:val="center" w:pos="4680"/>
              <w:tab w:val="right" w:pos="9360"/>
            </w:tabs>
            <w:spacing w:after="0" w:line="240" w:lineRule="auto"/>
            <w:rPr>
              <w:rFonts w:ascii="Calibri" w:hAnsi="Calibri" w:cs="DaunPenh"/>
              <w:b/>
              <w:color w:val="E36C0A"/>
              <w:sz w:val="28"/>
            </w:rPr>
          </w:pPr>
          <w:r>
            <w:rPr>
              <w:rFonts w:ascii="Calibri" w:hAnsi="Calibri" w:cs="DaunPenh"/>
              <w:b/>
              <w:color w:val="E36C0A"/>
              <w:sz w:val="28"/>
            </w:rPr>
            <w:t>Stakeholder Surveys</w:t>
          </w:r>
        </w:p>
        <w:p w:rsidR="00E75F05" w:rsidRPr="006D7AD0" w:rsidRDefault="00E75F05" w:rsidP="008A213F">
          <w:pPr>
            <w:tabs>
              <w:tab w:val="center" w:pos="4680"/>
              <w:tab w:val="right" w:pos="9360"/>
            </w:tabs>
            <w:spacing w:after="0" w:line="240" w:lineRule="auto"/>
            <w:rPr>
              <w:rFonts w:ascii="Calibri" w:hAnsi="Calibri" w:cs="DaunPenh"/>
              <w:b/>
              <w:color w:val="E36C0A"/>
              <w:sz w:val="28"/>
            </w:rPr>
          </w:pPr>
          <w:r>
            <w:rPr>
              <w:rFonts w:ascii="Calibri" w:hAnsi="Calibri" w:cs="DaunPenh"/>
              <w:b/>
              <w:color w:val="808080"/>
              <w:sz w:val="28"/>
            </w:rPr>
            <w:t>2015-2016 Statewide Summary of Results, Analysis and Trends</w:t>
          </w:r>
        </w:p>
      </w:tc>
      <w:tc>
        <w:tcPr>
          <w:tcW w:w="2594" w:type="dxa"/>
        </w:tcPr>
        <w:p w:rsidR="00E75F05" w:rsidRPr="006D7AD0" w:rsidRDefault="00E75F05" w:rsidP="008A213F">
          <w:pPr>
            <w:tabs>
              <w:tab w:val="center" w:pos="4680"/>
              <w:tab w:val="right" w:pos="9360"/>
            </w:tabs>
            <w:spacing w:after="0" w:line="240" w:lineRule="auto"/>
            <w:rPr>
              <w:rFonts w:ascii="Calibri" w:hAnsi="Calibri" w:cs="DaunPenh"/>
            </w:rPr>
          </w:pPr>
          <w:r>
            <w:rPr>
              <w:rFonts w:ascii="Calibri" w:hAnsi="Calibri" w:cs="DaunPenh"/>
              <w:noProof/>
              <w:lang w:eastAsia="zh-CN"/>
            </w:rPr>
            <w:drawing>
              <wp:anchor distT="0" distB="0" distL="114300" distR="114300" simplePos="0" relativeHeight="251660800" behindDoc="1" locked="0" layoutInCell="1" allowOverlap="1">
                <wp:simplePos x="0" y="0"/>
                <wp:positionH relativeFrom="column">
                  <wp:posOffset>-36195</wp:posOffset>
                </wp:positionH>
                <wp:positionV relativeFrom="paragraph">
                  <wp:posOffset>224155</wp:posOffset>
                </wp:positionV>
                <wp:extent cx="1549400" cy="755650"/>
                <wp:effectExtent l="0" t="0" r="0" b="6350"/>
                <wp:wrapTight wrapText="bothSides">
                  <wp:wrapPolygon edited="0">
                    <wp:start x="0" y="0"/>
                    <wp:lineTo x="0" y="21237"/>
                    <wp:lineTo x="21246" y="21237"/>
                    <wp:lineTo x="21246" y="0"/>
                    <wp:lineTo x="0" y="0"/>
                  </wp:wrapPolygon>
                </wp:wrapTight>
                <wp:docPr id="6" name="Picture 6"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Logo_205x100_color.jpg"/>
                        <pic:cNvPicPr/>
                      </pic:nvPicPr>
                      <pic:blipFill>
                        <a:blip r:embed="rId1">
                          <a:extLst>
                            <a:ext uri="{28A0092B-C50C-407E-A947-70E740481C1C}">
                              <a14:useLocalDpi xmlns:a14="http://schemas.microsoft.com/office/drawing/2010/main" val="0"/>
                            </a:ext>
                          </a:extLst>
                        </a:blip>
                        <a:stretch>
                          <a:fillRect/>
                        </a:stretch>
                      </pic:blipFill>
                      <pic:spPr>
                        <a:xfrm>
                          <a:off x="0" y="0"/>
                          <a:ext cx="1549400" cy="755650"/>
                        </a:xfrm>
                        <a:prstGeom prst="rect">
                          <a:avLst/>
                        </a:prstGeom>
                      </pic:spPr>
                    </pic:pic>
                  </a:graphicData>
                </a:graphic>
              </wp:anchor>
            </w:drawing>
          </w:r>
        </w:p>
      </w:tc>
    </w:tr>
  </w:tbl>
  <w:p w:rsidR="00E75F05" w:rsidRDefault="00E75F05">
    <w:pPr>
      <w:pStyle w:val="Header"/>
    </w:pPr>
  </w:p>
  <w:p w:rsidR="00E75F05" w:rsidRDefault="00E75F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5A5"/>
    <w:multiLevelType w:val="hybridMultilevel"/>
    <w:tmpl w:val="94D4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51429"/>
    <w:multiLevelType w:val="hybridMultilevel"/>
    <w:tmpl w:val="514A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F3F7C"/>
    <w:multiLevelType w:val="hybridMultilevel"/>
    <w:tmpl w:val="5F76C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55979"/>
    <w:multiLevelType w:val="hybridMultilevel"/>
    <w:tmpl w:val="6990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F5E20"/>
    <w:multiLevelType w:val="hybridMultilevel"/>
    <w:tmpl w:val="53BA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56A1"/>
    <w:multiLevelType w:val="hybridMultilevel"/>
    <w:tmpl w:val="B19A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10EF7"/>
    <w:multiLevelType w:val="hybridMultilevel"/>
    <w:tmpl w:val="9342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7271B5"/>
    <w:multiLevelType w:val="hybridMultilevel"/>
    <w:tmpl w:val="1186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76C3A"/>
    <w:multiLevelType w:val="hybridMultilevel"/>
    <w:tmpl w:val="9064B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7370C8"/>
    <w:multiLevelType w:val="hybridMultilevel"/>
    <w:tmpl w:val="0B72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5E67E5"/>
    <w:multiLevelType w:val="hybridMultilevel"/>
    <w:tmpl w:val="275E8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5F46FCD"/>
    <w:multiLevelType w:val="hybridMultilevel"/>
    <w:tmpl w:val="F04C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8522A2"/>
    <w:multiLevelType w:val="hybridMultilevel"/>
    <w:tmpl w:val="C5A6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12"/>
  </w:num>
  <w:num w:numId="5">
    <w:abstractNumId w:val="9"/>
  </w:num>
  <w:num w:numId="6">
    <w:abstractNumId w:val="11"/>
  </w:num>
  <w:num w:numId="7">
    <w:abstractNumId w:val="6"/>
  </w:num>
  <w:num w:numId="8">
    <w:abstractNumId w:val="10"/>
  </w:num>
  <w:num w:numId="9">
    <w:abstractNumId w:val="4"/>
  </w:num>
  <w:num w:numId="10">
    <w:abstractNumId w:val="3"/>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73F"/>
    <w:rsid w:val="00055AA5"/>
    <w:rsid w:val="0005780A"/>
    <w:rsid w:val="000A35E5"/>
    <w:rsid w:val="000B6ACF"/>
    <w:rsid w:val="000D4A71"/>
    <w:rsid w:val="00132F60"/>
    <w:rsid w:val="00141975"/>
    <w:rsid w:val="00161C99"/>
    <w:rsid w:val="001A0CC6"/>
    <w:rsid w:val="001C409F"/>
    <w:rsid w:val="00214FC7"/>
    <w:rsid w:val="002266E7"/>
    <w:rsid w:val="00231F11"/>
    <w:rsid w:val="00260C9F"/>
    <w:rsid w:val="00265491"/>
    <w:rsid w:val="00290A61"/>
    <w:rsid w:val="002A34B4"/>
    <w:rsid w:val="002C6EDE"/>
    <w:rsid w:val="00314EFD"/>
    <w:rsid w:val="00334DD5"/>
    <w:rsid w:val="00342EA9"/>
    <w:rsid w:val="00362638"/>
    <w:rsid w:val="003841D7"/>
    <w:rsid w:val="0038645F"/>
    <w:rsid w:val="00390A8A"/>
    <w:rsid w:val="003B4711"/>
    <w:rsid w:val="003C2AB3"/>
    <w:rsid w:val="003D657D"/>
    <w:rsid w:val="003E13AE"/>
    <w:rsid w:val="003E74F0"/>
    <w:rsid w:val="00433D66"/>
    <w:rsid w:val="0046273C"/>
    <w:rsid w:val="00481382"/>
    <w:rsid w:val="00483B61"/>
    <w:rsid w:val="004A0AB5"/>
    <w:rsid w:val="004E20F3"/>
    <w:rsid w:val="004F58DD"/>
    <w:rsid w:val="00515669"/>
    <w:rsid w:val="00533C8C"/>
    <w:rsid w:val="0057382A"/>
    <w:rsid w:val="005A6FB9"/>
    <w:rsid w:val="005B587E"/>
    <w:rsid w:val="005E4354"/>
    <w:rsid w:val="0060193E"/>
    <w:rsid w:val="00614C67"/>
    <w:rsid w:val="006450B2"/>
    <w:rsid w:val="00657E88"/>
    <w:rsid w:val="00663A59"/>
    <w:rsid w:val="0069319C"/>
    <w:rsid w:val="00721533"/>
    <w:rsid w:val="00744486"/>
    <w:rsid w:val="0074473F"/>
    <w:rsid w:val="00790610"/>
    <w:rsid w:val="007A02AB"/>
    <w:rsid w:val="0080688C"/>
    <w:rsid w:val="00826F34"/>
    <w:rsid w:val="008415BE"/>
    <w:rsid w:val="008549CA"/>
    <w:rsid w:val="00882DAF"/>
    <w:rsid w:val="0089481C"/>
    <w:rsid w:val="008A213F"/>
    <w:rsid w:val="008D5DD3"/>
    <w:rsid w:val="008F14F8"/>
    <w:rsid w:val="00922F13"/>
    <w:rsid w:val="009407B9"/>
    <w:rsid w:val="00960E61"/>
    <w:rsid w:val="009A2F1E"/>
    <w:rsid w:val="009A796B"/>
    <w:rsid w:val="009D1C48"/>
    <w:rsid w:val="009D23AA"/>
    <w:rsid w:val="009E3640"/>
    <w:rsid w:val="00A24D4B"/>
    <w:rsid w:val="00A74463"/>
    <w:rsid w:val="00AB4F5E"/>
    <w:rsid w:val="00AB7AD4"/>
    <w:rsid w:val="00B0784C"/>
    <w:rsid w:val="00B4290F"/>
    <w:rsid w:val="00B76BF4"/>
    <w:rsid w:val="00B82D17"/>
    <w:rsid w:val="00BC4CC5"/>
    <w:rsid w:val="00C065A2"/>
    <w:rsid w:val="00C139EE"/>
    <w:rsid w:val="00C17C8D"/>
    <w:rsid w:val="00C87E72"/>
    <w:rsid w:val="00C94F42"/>
    <w:rsid w:val="00CA28B5"/>
    <w:rsid w:val="00CE3EEE"/>
    <w:rsid w:val="00CE76F2"/>
    <w:rsid w:val="00D40499"/>
    <w:rsid w:val="00DB5829"/>
    <w:rsid w:val="00E00FDA"/>
    <w:rsid w:val="00E567AF"/>
    <w:rsid w:val="00E61EBA"/>
    <w:rsid w:val="00E75F05"/>
    <w:rsid w:val="00E77C1F"/>
    <w:rsid w:val="00EF5325"/>
    <w:rsid w:val="00F00456"/>
    <w:rsid w:val="00F227F3"/>
    <w:rsid w:val="00F32643"/>
    <w:rsid w:val="00F413DD"/>
    <w:rsid w:val="00F55163"/>
    <w:rsid w:val="00F73C02"/>
    <w:rsid w:val="00F758C4"/>
    <w:rsid w:val="00F86766"/>
    <w:rsid w:val="00FA09A0"/>
    <w:rsid w:val="00FA226F"/>
    <w:rsid w:val="00FA7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20AC834-68BA-4FA5-8159-BCD1AB80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73F"/>
    <w:pPr>
      <w:ind w:left="720"/>
      <w:contextualSpacing/>
    </w:pPr>
  </w:style>
  <w:style w:type="table" w:styleId="TableGrid">
    <w:name w:val="Table Grid"/>
    <w:basedOn w:val="TableNormal"/>
    <w:uiPriority w:val="59"/>
    <w:rsid w:val="00744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5E5"/>
  </w:style>
  <w:style w:type="paragraph" w:styleId="Footer">
    <w:name w:val="footer"/>
    <w:basedOn w:val="Normal"/>
    <w:link w:val="FooterChar"/>
    <w:uiPriority w:val="99"/>
    <w:unhideWhenUsed/>
    <w:rsid w:val="000A3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5E5"/>
  </w:style>
  <w:style w:type="paragraph" w:styleId="BalloonText">
    <w:name w:val="Balloon Text"/>
    <w:basedOn w:val="Normal"/>
    <w:link w:val="BalloonTextChar"/>
    <w:uiPriority w:val="99"/>
    <w:semiHidden/>
    <w:unhideWhenUsed/>
    <w:rsid w:val="000A3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5E5"/>
    <w:rPr>
      <w:rFonts w:ascii="Tahoma" w:hAnsi="Tahoma" w:cs="Tahoma"/>
      <w:sz w:val="16"/>
      <w:szCs w:val="16"/>
    </w:rPr>
  </w:style>
  <w:style w:type="paragraph" w:styleId="FootnoteText">
    <w:name w:val="footnote text"/>
    <w:basedOn w:val="Normal"/>
    <w:link w:val="FootnoteTextChar"/>
    <w:uiPriority w:val="99"/>
    <w:semiHidden/>
    <w:unhideWhenUsed/>
    <w:rsid w:val="000A35E5"/>
    <w:pPr>
      <w:spacing w:after="0" w:line="240" w:lineRule="auto"/>
      <w:jc w:val="both"/>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0A35E5"/>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0A35E5"/>
    <w:rPr>
      <w:vertAlign w:val="superscript"/>
    </w:rPr>
  </w:style>
  <w:style w:type="table" w:styleId="LightShading-Accent2">
    <w:name w:val="Light Shading Accent 2"/>
    <w:basedOn w:val="TableNormal"/>
    <w:uiPriority w:val="60"/>
    <w:rsid w:val="00AB4F5E"/>
    <w:pPr>
      <w:spacing w:after="0" w:line="240" w:lineRule="auto"/>
    </w:pPr>
    <w:rPr>
      <w:color w:val="A95007" w:themeColor="accent2" w:themeShade="BF"/>
    </w:rPr>
    <w:tblPr>
      <w:tblStyleRowBandSize w:val="1"/>
      <w:tblStyleColBandSize w:val="1"/>
      <w:tblBorders>
        <w:top w:val="single" w:sz="8" w:space="0" w:color="E36C0A" w:themeColor="accent2"/>
        <w:bottom w:val="single" w:sz="8" w:space="0" w:color="E36C0A" w:themeColor="accent2"/>
      </w:tblBorders>
    </w:tblPr>
    <w:tblStylePr w:type="firstRow">
      <w:pPr>
        <w:spacing w:before="0" w:after="0" w:line="240" w:lineRule="auto"/>
      </w:pPr>
      <w:rPr>
        <w:b/>
        <w:bCs/>
      </w:rPr>
      <w:tblPr/>
      <w:tcPr>
        <w:tcBorders>
          <w:top w:val="single" w:sz="8" w:space="0" w:color="E36C0A" w:themeColor="accent2"/>
          <w:left w:val="nil"/>
          <w:bottom w:val="single" w:sz="8" w:space="0" w:color="E36C0A" w:themeColor="accent2"/>
          <w:right w:val="nil"/>
          <w:insideH w:val="nil"/>
          <w:insideV w:val="nil"/>
        </w:tcBorders>
      </w:tcPr>
    </w:tblStylePr>
    <w:tblStylePr w:type="lastRow">
      <w:pPr>
        <w:spacing w:before="0" w:after="0" w:line="240" w:lineRule="auto"/>
      </w:pPr>
      <w:rPr>
        <w:b/>
        <w:bCs/>
      </w:rPr>
      <w:tblPr/>
      <w:tcPr>
        <w:tcBorders>
          <w:top w:val="single" w:sz="8" w:space="0" w:color="E36C0A" w:themeColor="accent2"/>
          <w:left w:val="nil"/>
          <w:bottom w:val="single" w:sz="8" w:space="0" w:color="E36C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BE" w:themeFill="accent2" w:themeFillTint="3F"/>
      </w:tcPr>
    </w:tblStylePr>
    <w:tblStylePr w:type="band1Horz">
      <w:tblPr/>
      <w:tcPr>
        <w:tcBorders>
          <w:left w:val="nil"/>
          <w:right w:val="nil"/>
          <w:insideH w:val="nil"/>
          <w:insideV w:val="nil"/>
        </w:tcBorders>
        <w:shd w:val="clear" w:color="auto" w:fill="FCDABE" w:themeFill="accent2" w:themeFillTint="3F"/>
      </w:tcPr>
    </w:tblStylePr>
  </w:style>
  <w:style w:type="character" w:styleId="Hyperlink">
    <w:name w:val="Hyperlink"/>
    <w:basedOn w:val="DefaultParagraphFont"/>
    <w:uiPriority w:val="99"/>
    <w:unhideWhenUsed/>
    <w:rsid w:val="00334DD5"/>
    <w:rPr>
      <w:color w:val="0000FF" w:themeColor="hyperlink"/>
      <w:u w:val="single"/>
    </w:rPr>
  </w:style>
  <w:style w:type="character" w:styleId="CommentReference">
    <w:name w:val="annotation reference"/>
    <w:basedOn w:val="DefaultParagraphFont"/>
    <w:uiPriority w:val="99"/>
    <w:semiHidden/>
    <w:unhideWhenUsed/>
    <w:rsid w:val="0005780A"/>
    <w:rPr>
      <w:sz w:val="16"/>
      <w:szCs w:val="16"/>
    </w:rPr>
  </w:style>
  <w:style w:type="paragraph" w:styleId="CommentText">
    <w:name w:val="annotation text"/>
    <w:basedOn w:val="Normal"/>
    <w:link w:val="CommentTextChar"/>
    <w:uiPriority w:val="99"/>
    <w:semiHidden/>
    <w:unhideWhenUsed/>
    <w:rsid w:val="0005780A"/>
    <w:pPr>
      <w:spacing w:line="240" w:lineRule="auto"/>
    </w:pPr>
    <w:rPr>
      <w:sz w:val="20"/>
      <w:szCs w:val="20"/>
    </w:rPr>
  </w:style>
  <w:style w:type="character" w:customStyle="1" w:styleId="CommentTextChar">
    <w:name w:val="Comment Text Char"/>
    <w:basedOn w:val="DefaultParagraphFont"/>
    <w:link w:val="CommentText"/>
    <w:uiPriority w:val="99"/>
    <w:semiHidden/>
    <w:rsid w:val="0005780A"/>
    <w:rPr>
      <w:sz w:val="20"/>
      <w:szCs w:val="20"/>
    </w:rPr>
  </w:style>
  <w:style w:type="paragraph" w:styleId="CommentSubject">
    <w:name w:val="annotation subject"/>
    <w:basedOn w:val="CommentText"/>
    <w:next w:val="CommentText"/>
    <w:link w:val="CommentSubjectChar"/>
    <w:uiPriority w:val="99"/>
    <w:semiHidden/>
    <w:unhideWhenUsed/>
    <w:rsid w:val="0005780A"/>
    <w:rPr>
      <w:b/>
      <w:bCs/>
    </w:rPr>
  </w:style>
  <w:style w:type="character" w:customStyle="1" w:styleId="CommentSubjectChar">
    <w:name w:val="Comment Subject Char"/>
    <w:basedOn w:val="CommentTextChar"/>
    <w:link w:val="CommentSubject"/>
    <w:uiPriority w:val="99"/>
    <w:semiHidden/>
    <w:rsid w:val="0005780A"/>
    <w:rPr>
      <w:b/>
      <w:bCs/>
      <w:sz w:val="20"/>
      <w:szCs w:val="20"/>
    </w:rPr>
  </w:style>
  <w:style w:type="character" w:styleId="FollowedHyperlink">
    <w:name w:val="FollowedHyperlink"/>
    <w:basedOn w:val="DefaultParagraphFont"/>
    <w:uiPriority w:val="99"/>
    <w:semiHidden/>
    <w:unhideWhenUsed/>
    <w:rsid w:val="00B0784C"/>
    <w:rPr>
      <w:color w:val="800080" w:themeColor="followedHyperlink"/>
      <w:u w:val="single"/>
    </w:rPr>
  </w:style>
  <w:style w:type="paragraph" w:styleId="Revision">
    <w:name w:val="Revision"/>
    <w:hidden/>
    <w:uiPriority w:val="99"/>
    <w:semiHidden/>
    <w:rsid w:val="009E36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224164">
      <w:bodyDiv w:val="1"/>
      <w:marLeft w:val="0"/>
      <w:marRight w:val="0"/>
      <w:marTop w:val="0"/>
      <w:marBottom w:val="0"/>
      <w:divBdr>
        <w:top w:val="none" w:sz="0" w:space="0" w:color="auto"/>
        <w:left w:val="none" w:sz="0" w:space="0" w:color="auto"/>
        <w:bottom w:val="none" w:sz="0" w:space="0" w:color="auto"/>
        <w:right w:val="none" w:sz="0" w:space="0" w:color="auto"/>
      </w:divBdr>
    </w:div>
    <w:div w:id="993603388">
      <w:bodyDiv w:val="1"/>
      <w:marLeft w:val="0"/>
      <w:marRight w:val="0"/>
      <w:marTop w:val="0"/>
      <w:marBottom w:val="0"/>
      <w:divBdr>
        <w:top w:val="none" w:sz="0" w:space="0" w:color="auto"/>
        <w:left w:val="none" w:sz="0" w:space="0" w:color="auto"/>
        <w:bottom w:val="none" w:sz="0" w:space="0" w:color="auto"/>
        <w:right w:val="none" w:sz="0" w:space="0" w:color="auto"/>
      </w:divBdr>
    </w:div>
    <w:div w:id="1347365202">
      <w:bodyDiv w:val="1"/>
      <w:marLeft w:val="0"/>
      <w:marRight w:val="0"/>
      <w:marTop w:val="0"/>
      <w:marBottom w:val="0"/>
      <w:divBdr>
        <w:top w:val="none" w:sz="0" w:space="0" w:color="auto"/>
        <w:left w:val="none" w:sz="0" w:space="0" w:color="auto"/>
        <w:bottom w:val="none" w:sz="0" w:space="0" w:color="auto"/>
        <w:right w:val="none" w:sz="0" w:space="0" w:color="auto"/>
      </w:divBdr>
      <w:divsChild>
        <w:div w:id="166824490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prep/survey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edprep/survey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SE Colors">
      <a:dk1>
        <a:srgbClr val="000000"/>
      </a:dk1>
      <a:lt1>
        <a:srgbClr val="FFFFFF"/>
      </a:lt1>
      <a:dk2>
        <a:srgbClr val="0E4588"/>
      </a:dk2>
      <a:lt2>
        <a:srgbClr val="EEECE1"/>
      </a:lt2>
      <a:accent1>
        <a:srgbClr val="5B9BD5"/>
      </a:accent1>
      <a:accent2>
        <a:srgbClr val="E36C0A"/>
      </a:accent2>
      <a:accent3>
        <a:srgbClr val="7F7F7F"/>
      </a:accent3>
      <a:accent4>
        <a:srgbClr val="FFC000"/>
      </a:accent4>
      <a:accent5>
        <a:srgbClr val="4472C4"/>
      </a:accent5>
      <a:accent6>
        <a:srgbClr val="70AD4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DESE-231-37920</_dlc_DocId>
    <_dlc_DocIdUrl xmlns="733efe1c-5bbe-4968-87dc-d400e65c879f">
      <Url>https://sharepoint.doemass.org/ese/webteam/cps/_layouts/DocIdRedir.aspx?ID=DESE-231-37920</Url>
      <Description>DESE-231-37920</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DD2DF-F234-4E2B-B5B3-55797278B126}">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2006/metadata/properties"/>
    <ds:schemaRef ds:uri="0a4e05da-b9bc-4326-ad73-01ef31b95567"/>
    <ds:schemaRef ds:uri="http://purl.org/dc/dcmitype/"/>
    <ds:schemaRef ds:uri="733efe1c-5bbe-4968-87dc-d400e65c879f"/>
  </ds:schemaRefs>
</ds:datastoreItem>
</file>

<file path=customXml/itemProps2.xml><?xml version="1.0" encoding="utf-8"?>
<ds:datastoreItem xmlns:ds="http://schemas.openxmlformats.org/officeDocument/2006/customXml" ds:itemID="{0BE3C814-F530-4308-85FC-C1B0F4510D96}">
  <ds:schemaRefs>
    <ds:schemaRef ds:uri="http://schemas.microsoft.com/sharepoint/v3/contenttype/forms"/>
  </ds:schemaRefs>
</ds:datastoreItem>
</file>

<file path=customXml/itemProps3.xml><?xml version="1.0" encoding="utf-8"?>
<ds:datastoreItem xmlns:ds="http://schemas.openxmlformats.org/officeDocument/2006/customXml" ds:itemID="{CB2D457C-F1D8-4C3B-A8C2-4DBA6A98ECA1}">
  <ds:schemaRefs>
    <ds:schemaRef ds:uri="http://schemas.microsoft.com/sharepoint/events"/>
  </ds:schemaRefs>
</ds:datastoreItem>
</file>

<file path=customXml/itemProps4.xml><?xml version="1.0" encoding="utf-8"?>
<ds:datastoreItem xmlns:ds="http://schemas.openxmlformats.org/officeDocument/2006/customXml" ds:itemID="{E9A8D923-E468-4328-A457-1DBDAF385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FA2C0F-5807-48C2-9296-8238CC82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2015-2016 Stakeholder Surveys: Summary of Results, Analysis and Trends</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Stakeholder Surveys: Summary of Results, Analysis and Trends</dc:title>
  <dc:creator>ESE</dc:creator>
  <cp:lastModifiedBy>Zou, Dong</cp:lastModifiedBy>
  <cp:revision>10</cp:revision>
  <cp:lastPrinted>2016-11-02T13:34:00Z</cp:lastPrinted>
  <dcterms:created xsi:type="dcterms:W3CDTF">2016-11-02T16:03:00Z</dcterms:created>
  <dcterms:modified xsi:type="dcterms:W3CDTF">2017-11-08T20:11:00Z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2017</vt:lpwstr>
  </property>
</Properties>
</file>