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B273" w14:textId="4ECC6C3C" w:rsidR="00370322" w:rsidRDefault="008B01D3" w:rsidP="00370322">
      <w:pPr>
        <w:spacing w:after="0"/>
        <w:rPr>
          <w:rFonts w:eastAsia="Times New Roman" w:cstheme="minorHAnsi"/>
          <w:color w:val="000000"/>
        </w:rPr>
      </w:pPr>
      <w:bookmarkStart w:id="0" w:name="_GoBack"/>
      <w:bookmarkEnd w:id="0"/>
      <w:r>
        <w:rPr>
          <w:rFonts w:cstheme="minorHAnsi"/>
          <w:color w:val="000000"/>
          <w:shd w:val="clear" w:color="auto" w:fill="FFFFFF"/>
        </w:rPr>
        <w:t>T</w:t>
      </w:r>
      <w:r w:rsidR="00370322">
        <w:rPr>
          <w:rFonts w:cstheme="minorHAnsi"/>
          <w:color w:val="000000"/>
          <w:shd w:val="clear" w:color="auto" w:fill="FFFFFF"/>
        </w:rPr>
        <w:t xml:space="preserve">o: </w:t>
      </w:r>
      <w:r w:rsidR="00370322">
        <w:rPr>
          <w:rFonts w:cstheme="minorHAnsi"/>
          <w:color w:val="000000"/>
          <w:shd w:val="clear" w:color="auto" w:fill="FFFFFF"/>
        </w:rPr>
        <w:tab/>
        <w:t xml:space="preserve">   </w:t>
      </w:r>
      <w:r w:rsidR="00370322" w:rsidRPr="00553597">
        <w:rPr>
          <w:rFonts w:eastAsia="Times New Roman" w:cstheme="minorHAnsi"/>
          <w:color w:val="000000"/>
        </w:rPr>
        <w:t xml:space="preserve">Sponsoring Organizations </w:t>
      </w:r>
      <w:r w:rsidR="001802DD">
        <w:rPr>
          <w:rFonts w:eastAsia="Times New Roman" w:cstheme="minorHAnsi"/>
          <w:color w:val="000000"/>
        </w:rPr>
        <w:t xml:space="preserve">(SOs) </w:t>
      </w:r>
      <w:r w:rsidR="00370322" w:rsidRPr="00553597">
        <w:rPr>
          <w:rFonts w:eastAsia="Times New Roman" w:cstheme="minorHAnsi"/>
          <w:color w:val="000000"/>
        </w:rPr>
        <w:t xml:space="preserve">with </w:t>
      </w:r>
      <w:r w:rsidR="00A31EDC">
        <w:rPr>
          <w:rFonts w:eastAsia="Times New Roman" w:cstheme="minorHAnsi"/>
          <w:color w:val="000000"/>
        </w:rPr>
        <w:t>Educator</w:t>
      </w:r>
      <w:r w:rsidR="00A31EDC" w:rsidRPr="00553597">
        <w:rPr>
          <w:rFonts w:eastAsia="Times New Roman" w:cstheme="minorHAnsi"/>
          <w:color w:val="000000"/>
        </w:rPr>
        <w:t xml:space="preserve"> </w:t>
      </w:r>
      <w:r w:rsidR="00370322" w:rsidRPr="00553597">
        <w:rPr>
          <w:rFonts w:eastAsia="Times New Roman" w:cstheme="minorHAnsi"/>
          <w:color w:val="000000"/>
        </w:rPr>
        <w:t>Preparation Programs</w:t>
      </w:r>
    </w:p>
    <w:p w14:paraId="550C5FE0" w14:textId="6B3888CA" w:rsidR="00370322" w:rsidRDefault="00370322" w:rsidP="00370322">
      <w:pPr>
        <w:spacing w:after="0"/>
        <w:rPr>
          <w:rFonts w:eastAsia="Times New Roman" w:cstheme="minorHAnsi"/>
          <w:color w:val="000000"/>
        </w:rPr>
      </w:pPr>
      <w:r>
        <w:rPr>
          <w:rFonts w:eastAsia="Times New Roman" w:cstheme="minorHAnsi"/>
          <w:color w:val="000000"/>
        </w:rPr>
        <w:t xml:space="preserve">From: </w:t>
      </w:r>
      <w:r>
        <w:rPr>
          <w:rFonts w:eastAsia="Times New Roman" w:cstheme="minorHAnsi"/>
          <w:color w:val="000000"/>
        </w:rPr>
        <w:tab/>
        <w:t xml:space="preserve">   </w:t>
      </w:r>
      <w:r w:rsidR="005640C0">
        <w:rPr>
          <w:rFonts w:eastAsia="Times New Roman" w:cstheme="minorHAnsi"/>
          <w:color w:val="000000"/>
        </w:rPr>
        <w:t>Sandra Hinderliter, Educator Preparation Lead</w:t>
      </w:r>
    </w:p>
    <w:p w14:paraId="7E620586" w14:textId="1D9C916A" w:rsidR="00370322" w:rsidRDefault="00370322" w:rsidP="00370322">
      <w:pPr>
        <w:spacing w:after="0"/>
        <w:rPr>
          <w:rFonts w:eastAsia="Times New Roman" w:cstheme="minorHAnsi"/>
          <w:color w:val="000000"/>
        </w:rPr>
      </w:pPr>
      <w:r>
        <w:rPr>
          <w:rFonts w:eastAsia="Times New Roman" w:cstheme="minorHAnsi"/>
          <w:color w:val="000000"/>
        </w:rPr>
        <w:t>Date:</w:t>
      </w:r>
      <w:r>
        <w:rPr>
          <w:rFonts w:eastAsia="Times New Roman" w:cstheme="minorHAnsi"/>
          <w:color w:val="000000"/>
        </w:rPr>
        <w:tab/>
        <w:t xml:space="preserve">   August 2018</w:t>
      </w:r>
    </w:p>
    <w:p w14:paraId="1A835CB0" w14:textId="1E68332F" w:rsidR="00370322" w:rsidRDefault="00370322" w:rsidP="00370322">
      <w:pPr>
        <w:pBdr>
          <w:bottom w:val="single" w:sz="6" w:space="1" w:color="auto"/>
        </w:pBdr>
        <w:spacing w:after="0"/>
        <w:rPr>
          <w:rFonts w:eastAsia="Times New Roman" w:cstheme="minorHAnsi"/>
          <w:color w:val="000000"/>
        </w:rPr>
      </w:pPr>
      <w:r>
        <w:rPr>
          <w:rFonts w:eastAsia="Times New Roman" w:cstheme="minorHAnsi"/>
          <w:color w:val="000000"/>
        </w:rPr>
        <w:t>Subject:</w:t>
      </w:r>
      <w:r w:rsidR="008B01D3">
        <w:rPr>
          <w:rFonts w:eastAsia="Times New Roman" w:cstheme="minorHAnsi"/>
          <w:color w:val="000000"/>
        </w:rPr>
        <w:t xml:space="preserve">   Subject Matter Knowledge </w:t>
      </w:r>
      <w:r w:rsidR="001802DD">
        <w:rPr>
          <w:rFonts w:eastAsia="Times New Roman" w:cstheme="minorHAnsi"/>
          <w:color w:val="000000"/>
        </w:rPr>
        <w:t xml:space="preserve">(SMK) </w:t>
      </w:r>
      <w:r w:rsidR="008B01D3">
        <w:rPr>
          <w:rFonts w:eastAsia="Times New Roman" w:cstheme="minorHAnsi"/>
          <w:color w:val="000000"/>
        </w:rPr>
        <w:t>Implementation Memo</w:t>
      </w:r>
    </w:p>
    <w:p w14:paraId="64B15991" w14:textId="77777777" w:rsidR="008B01D3" w:rsidRDefault="008B01D3" w:rsidP="00370322">
      <w:pPr>
        <w:spacing w:after="0"/>
        <w:rPr>
          <w:rFonts w:eastAsia="Times New Roman" w:cstheme="minorHAnsi"/>
          <w:color w:val="000000"/>
        </w:rPr>
      </w:pPr>
    </w:p>
    <w:p w14:paraId="6FE5C8DC" w14:textId="3071F215" w:rsidR="00553597" w:rsidRPr="00553597" w:rsidRDefault="00553597" w:rsidP="00553597">
      <w:pPr>
        <w:rPr>
          <w:rFonts w:cstheme="minorHAnsi"/>
          <w:color w:val="000000"/>
          <w:shd w:val="clear" w:color="auto" w:fill="FFFFFF"/>
        </w:rPr>
      </w:pPr>
      <w:r>
        <w:rPr>
          <w:rFonts w:cstheme="minorHAnsi"/>
          <w:color w:val="000000"/>
          <w:shd w:val="clear" w:color="auto" w:fill="FFFFFF"/>
        </w:rPr>
        <w:t xml:space="preserve">The finalized </w:t>
      </w:r>
      <w:hyperlink r:id="rId12" w:history="1">
        <w:r w:rsidRPr="006106AA">
          <w:rPr>
            <w:rStyle w:val="Hyperlink"/>
            <w:rFonts w:cstheme="minorHAnsi"/>
            <w:shd w:val="clear" w:color="auto" w:fill="FFFFFF"/>
          </w:rPr>
          <w:t>Subject Matter Knowledge (SMK) Guidelines</w:t>
        </w:r>
      </w:hyperlink>
      <w:r>
        <w:rPr>
          <w:rFonts w:cstheme="minorHAnsi"/>
          <w:color w:val="000000"/>
          <w:shd w:val="clear" w:color="auto" w:fill="FFFFFF"/>
        </w:rPr>
        <w:t xml:space="preserve"> released along with this memo </w:t>
      </w:r>
      <w:r w:rsidRPr="00553597">
        <w:rPr>
          <w:rFonts w:cstheme="minorHAnsi"/>
          <w:color w:val="000000"/>
          <w:shd w:val="clear" w:color="auto" w:fill="FFFFFF"/>
        </w:rPr>
        <w:t>reflect a significant shift in the Department of Elementary and Secondary Education’s (</w:t>
      </w:r>
      <w:r w:rsidR="00F042AD">
        <w:rPr>
          <w:rFonts w:cstheme="minorHAnsi"/>
          <w:color w:val="000000"/>
          <w:shd w:val="clear" w:color="auto" w:fill="FFFFFF"/>
        </w:rPr>
        <w:t>D</w:t>
      </w:r>
      <w:r w:rsidRPr="00553597">
        <w:rPr>
          <w:rFonts w:cstheme="minorHAnsi"/>
          <w:color w:val="000000"/>
          <w:shd w:val="clear" w:color="auto" w:fill="FFFFFF"/>
        </w:rPr>
        <w:t>ESE</w:t>
      </w:r>
      <w:r w:rsidR="001802DD">
        <w:rPr>
          <w:rFonts w:cstheme="minorHAnsi"/>
          <w:color w:val="000000"/>
          <w:shd w:val="clear" w:color="auto" w:fill="FFFFFF"/>
        </w:rPr>
        <w:t>’s</w:t>
      </w:r>
      <w:r w:rsidRPr="00553597">
        <w:rPr>
          <w:rFonts w:cstheme="minorHAnsi"/>
          <w:color w:val="000000"/>
          <w:shd w:val="clear" w:color="auto" w:fill="FFFFFF"/>
        </w:rPr>
        <w:t>) approach to outlining content expectations for teachers. Th</w:t>
      </w:r>
      <w:r w:rsidR="009A6678">
        <w:rPr>
          <w:rFonts w:cstheme="minorHAnsi"/>
          <w:color w:val="000000"/>
          <w:shd w:val="clear" w:color="auto" w:fill="FFFFFF"/>
        </w:rPr>
        <w:t>is</w:t>
      </w:r>
      <w:r w:rsidRPr="00553597">
        <w:rPr>
          <w:rFonts w:cstheme="minorHAnsi"/>
          <w:color w:val="000000"/>
          <w:shd w:val="clear" w:color="auto" w:fill="FFFFFF"/>
        </w:rPr>
        <w:t xml:space="preserve"> approach emphasizes the importance of aligning standards for students with expectations for educators</w:t>
      </w:r>
      <w:r w:rsidR="00424433">
        <w:rPr>
          <w:rFonts w:cstheme="minorHAnsi"/>
          <w:color w:val="000000"/>
          <w:shd w:val="clear" w:color="auto" w:fill="FFFFFF"/>
        </w:rPr>
        <w:t>.</w:t>
      </w:r>
      <w:r w:rsidR="0005665E">
        <w:rPr>
          <w:rFonts w:cstheme="minorHAnsi"/>
          <w:color w:val="000000"/>
          <w:shd w:val="clear" w:color="auto" w:fill="FFFFFF"/>
        </w:rPr>
        <w:t xml:space="preserve"> Please review the context section of the 2018 SMK Guidelines for details and rationales relative to these shifts. </w:t>
      </w:r>
    </w:p>
    <w:p w14:paraId="243D319D" w14:textId="6CEF85D4" w:rsidR="005640C0" w:rsidRDefault="00F042AD" w:rsidP="005640C0">
      <w:pPr>
        <w:spacing w:after="0"/>
        <w:rPr>
          <w:rFonts w:cstheme="minorHAnsi"/>
        </w:rPr>
      </w:pPr>
      <w:r>
        <w:rPr>
          <w:rFonts w:cstheme="minorHAnsi"/>
          <w:color w:val="000000"/>
          <w:shd w:val="clear" w:color="auto" w:fill="FFFFFF"/>
        </w:rPr>
        <w:t>D</w:t>
      </w:r>
      <w:r w:rsidR="009F65FA" w:rsidRPr="00553597">
        <w:rPr>
          <w:rFonts w:cstheme="minorHAnsi"/>
          <w:color w:val="000000"/>
          <w:shd w:val="clear" w:color="auto" w:fill="FFFFFF"/>
        </w:rPr>
        <w:t xml:space="preserve">ESE anticipates that for many providers, designing and implementing programs that robustly address the </w:t>
      </w:r>
      <w:r w:rsidR="00825104" w:rsidRPr="00553597">
        <w:rPr>
          <w:rFonts w:cstheme="minorHAnsi"/>
          <w:color w:val="000000"/>
          <w:shd w:val="clear" w:color="auto" w:fill="FFFFFF"/>
        </w:rPr>
        <w:t>updated SMK</w:t>
      </w:r>
      <w:r w:rsidR="002608E7">
        <w:rPr>
          <w:rFonts w:cstheme="minorHAnsi"/>
          <w:color w:val="000000"/>
          <w:shd w:val="clear" w:color="auto" w:fill="FFFFFF"/>
        </w:rPr>
        <w:t xml:space="preserve">s </w:t>
      </w:r>
      <w:r w:rsidR="00281656">
        <w:rPr>
          <w:rFonts w:cstheme="minorHAnsi"/>
          <w:color w:val="000000"/>
          <w:shd w:val="clear" w:color="auto" w:fill="FFFFFF"/>
        </w:rPr>
        <w:t>will</w:t>
      </w:r>
      <w:r w:rsidR="009F65FA" w:rsidRPr="00553597">
        <w:rPr>
          <w:rFonts w:cstheme="minorHAnsi"/>
          <w:color w:val="000000"/>
          <w:shd w:val="clear" w:color="auto" w:fill="FFFFFF"/>
        </w:rPr>
        <w:t xml:space="preserve"> require </w:t>
      </w:r>
      <w:r w:rsidR="001F545B">
        <w:rPr>
          <w:rFonts w:cstheme="minorHAnsi"/>
          <w:color w:val="000000"/>
          <w:shd w:val="clear" w:color="auto" w:fill="FFFFFF"/>
        </w:rPr>
        <w:t>meaningful</w:t>
      </w:r>
      <w:r w:rsidR="00C65BFA">
        <w:rPr>
          <w:rFonts w:cstheme="minorHAnsi"/>
          <w:color w:val="000000"/>
          <w:shd w:val="clear" w:color="auto" w:fill="FFFFFF"/>
        </w:rPr>
        <w:t>, and potentially significant,</w:t>
      </w:r>
      <w:r w:rsidR="001F545B">
        <w:rPr>
          <w:rFonts w:cstheme="minorHAnsi"/>
          <w:color w:val="000000"/>
          <w:shd w:val="clear" w:color="auto" w:fill="FFFFFF"/>
        </w:rPr>
        <w:t xml:space="preserve"> changes to programs of study</w:t>
      </w:r>
      <w:r w:rsidR="009F65FA" w:rsidRPr="00553597">
        <w:rPr>
          <w:rFonts w:cstheme="minorHAnsi"/>
          <w:color w:val="000000"/>
          <w:shd w:val="clear" w:color="auto" w:fill="FFFFFF"/>
        </w:rPr>
        <w:t>. We liken thi</w:t>
      </w:r>
      <w:r w:rsidR="00825104" w:rsidRPr="00553597">
        <w:rPr>
          <w:rFonts w:cstheme="minorHAnsi"/>
          <w:color w:val="000000"/>
          <w:shd w:val="clear" w:color="auto" w:fill="FFFFFF"/>
        </w:rPr>
        <w:t xml:space="preserve">s undertaking to the work that </w:t>
      </w:r>
      <w:r w:rsidR="0092194E">
        <w:rPr>
          <w:rFonts w:cstheme="minorHAnsi"/>
          <w:color w:val="000000"/>
          <w:shd w:val="clear" w:color="auto" w:fill="FFFFFF"/>
        </w:rPr>
        <w:t>occurred</w:t>
      </w:r>
      <w:r w:rsidR="009F65FA" w:rsidRPr="00553597">
        <w:rPr>
          <w:rFonts w:cstheme="minorHAnsi"/>
          <w:color w:val="000000"/>
          <w:shd w:val="clear" w:color="auto" w:fill="FFFFFF"/>
        </w:rPr>
        <w:t xml:space="preserve"> </w:t>
      </w:r>
      <w:r w:rsidR="00825104" w:rsidRPr="00553597">
        <w:rPr>
          <w:rFonts w:cstheme="minorHAnsi"/>
          <w:color w:val="000000"/>
          <w:shd w:val="clear" w:color="auto" w:fill="FFFFFF"/>
        </w:rPr>
        <w:t xml:space="preserve">with the updated </w:t>
      </w:r>
      <w:r w:rsidR="005640C0">
        <w:rPr>
          <w:rFonts w:cstheme="minorHAnsi"/>
          <w:color w:val="000000"/>
          <w:shd w:val="clear" w:color="auto" w:fill="FFFFFF"/>
        </w:rPr>
        <w:t xml:space="preserve">2014 </w:t>
      </w:r>
      <w:hyperlink r:id="rId13" w:history="1">
        <w:r w:rsidR="00825104" w:rsidRPr="00163689">
          <w:rPr>
            <w:rStyle w:val="Hyperlink"/>
            <w:rFonts w:cstheme="minorHAnsi"/>
            <w:shd w:val="clear" w:color="auto" w:fill="FFFFFF"/>
          </w:rPr>
          <w:t>P</w:t>
        </w:r>
        <w:r w:rsidR="00163689" w:rsidRPr="00163689">
          <w:rPr>
            <w:rStyle w:val="Hyperlink"/>
            <w:rFonts w:cstheme="minorHAnsi"/>
            <w:shd w:val="clear" w:color="auto" w:fill="FFFFFF"/>
          </w:rPr>
          <w:t xml:space="preserve">rofessional </w:t>
        </w:r>
        <w:r w:rsidR="00825104" w:rsidRPr="00163689">
          <w:rPr>
            <w:rStyle w:val="Hyperlink"/>
            <w:rFonts w:cstheme="minorHAnsi"/>
            <w:shd w:val="clear" w:color="auto" w:fill="FFFFFF"/>
          </w:rPr>
          <w:t>S</w:t>
        </w:r>
        <w:r w:rsidR="00163689" w:rsidRPr="00163689">
          <w:rPr>
            <w:rStyle w:val="Hyperlink"/>
            <w:rFonts w:cstheme="minorHAnsi"/>
            <w:shd w:val="clear" w:color="auto" w:fill="FFFFFF"/>
          </w:rPr>
          <w:t xml:space="preserve">tandards for </w:t>
        </w:r>
        <w:r w:rsidR="00825104" w:rsidRPr="00163689">
          <w:rPr>
            <w:rStyle w:val="Hyperlink"/>
            <w:rFonts w:cstheme="minorHAnsi"/>
            <w:shd w:val="clear" w:color="auto" w:fill="FFFFFF"/>
          </w:rPr>
          <w:t>T</w:t>
        </w:r>
        <w:r w:rsidR="00163689" w:rsidRPr="00163689">
          <w:rPr>
            <w:rStyle w:val="Hyperlink"/>
            <w:rFonts w:cstheme="minorHAnsi"/>
            <w:shd w:val="clear" w:color="auto" w:fill="FFFFFF"/>
          </w:rPr>
          <w:t>eacher</w:t>
        </w:r>
        <w:r w:rsidR="00825104" w:rsidRPr="00163689">
          <w:rPr>
            <w:rStyle w:val="Hyperlink"/>
            <w:rFonts w:cstheme="minorHAnsi"/>
            <w:shd w:val="clear" w:color="auto" w:fill="FFFFFF"/>
          </w:rPr>
          <w:t>s</w:t>
        </w:r>
      </w:hyperlink>
      <w:r w:rsidR="002301DE">
        <w:rPr>
          <w:rFonts w:cstheme="minorHAnsi"/>
          <w:color w:val="000000"/>
          <w:shd w:val="clear" w:color="auto" w:fill="FFFFFF"/>
        </w:rPr>
        <w:t xml:space="preserve">. </w:t>
      </w:r>
      <w:r w:rsidR="003F5B63">
        <w:rPr>
          <w:rFonts w:cstheme="minorHAnsi"/>
        </w:rPr>
        <w:t xml:space="preserve">For example, </w:t>
      </w:r>
      <w:r w:rsidR="005640C0">
        <w:rPr>
          <w:rFonts w:cstheme="minorHAnsi"/>
        </w:rPr>
        <w:t xml:space="preserve">we anticipate that providers will need to consider the following shifts carefully: </w:t>
      </w:r>
    </w:p>
    <w:p w14:paraId="0AD62032" w14:textId="77777777" w:rsidR="005640C0" w:rsidRDefault="005640C0" w:rsidP="005640C0">
      <w:pPr>
        <w:pStyle w:val="ListParagraph"/>
        <w:numPr>
          <w:ilvl w:val="0"/>
          <w:numId w:val="14"/>
        </w:numPr>
        <w:spacing w:after="0"/>
        <w:rPr>
          <w:rFonts w:cstheme="minorHAnsi"/>
        </w:rPr>
      </w:pPr>
      <w:r>
        <w:rPr>
          <w:rFonts w:cstheme="minorHAnsi"/>
        </w:rPr>
        <w:t>There are now</w:t>
      </w:r>
      <w:r w:rsidR="003F5B63" w:rsidRPr="005640C0">
        <w:rPr>
          <w:rFonts w:cstheme="minorHAnsi"/>
        </w:rPr>
        <w:t xml:space="preserve"> crosscutting SMKs </w:t>
      </w:r>
      <w:r>
        <w:rPr>
          <w:rFonts w:cstheme="minorHAnsi"/>
        </w:rPr>
        <w:t xml:space="preserve">which </w:t>
      </w:r>
      <w:r w:rsidR="003F5B63" w:rsidRPr="005640C0">
        <w:rPr>
          <w:rFonts w:cstheme="minorHAnsi"/>
        </w:rPr>
        <w:t>are required in all initial license programs</w:t>
      </w:r>
      <w:r>
        <w:rPr>
          <w:rFonts w:cstheme="minorHAnsi"/>
        </w:rPr>
        <w:t>. A</w:t>
      </w:r>
      <w:r w:rsidR="003F5B63" w:rsidRPr="005640C0">
        <w:rPr>
          <w:rFonts w:cstheme="minorHAnsi"/>
        </w:rPr>
        <w:t xml:space="preserve">s such, it is likely </w:t>
      </w:r>
      <w:r>
        <w:rPr>
          <w:rFonts w:cstheme="minorHAnsi"/>
        </w:rPr>
        <w:t xml:space="preserve">that </w:t>
      </w:r>
      <w:r w:rsidR="003F5B63" w:rsidRPr="005640C0">
        <w:rPr>
          <w:rFonts w:cstheme="minorHAnsi"/>
        </w:rPr>
        <w:t>programs of study will require new or modified content to cover these expectations</w:t>
      </w:r>
      <w:r w:rsidR="00C65BFA" w:rsidRPr="005640C0">
        <w:rPr>
          <w:rFonts w:cstheme="minorHAnsi"/>
        </w:rPr>
        <w:t xml:space="preserve"> sufficiently</w:t>
      </w:r>
      <w:r w:rsidR="003F5B63" w:rsidRPr="005640C0">
        <w:rPr>
          <w:rFonts w:cstheme="minorHAnsi"/>
        </w:rPr>
        <w:t xml:space="preserve">. </w:t>
      </w:r>
    </w:p>
    <w:p w14:paraId="6B77301B" w14:textId="13611177" w:rsidR="005640C0" w:rsidRDefault="005640C0" w:rsidP="005640C0">
      <w:pPr>
        <w:pStyle w:val="ListParagraph"/>
        <w:numPr>
          <w:ilvl w:val="0"/>
          <w:numId w:val="14"/>
        </w:numPr>
        <w:spacing w:after="0"/>
        <w:rPr>
          <w:rFonts w:cstheme="minorHAnsi"/>
        </w:rPr>
      </w:pPr>
      <w:r>
        <w:rPr>
          <w:rFonts w:cstheme="minorHAnsi"/>
        </w:rPr>
        <w:t xml:space="preserve">The continuum of content knowledge expectations now makes clear the varying levels of depth and fluency associated with different licensure levels. This means that providers </w:t>
      </w:r>
      <w:r w:rsidR="001802DD">
        <w:rPr>
          <w:rFonts w:cstheme="minorHAnsi"/>
        </w:rPr>
        <w:t xml:space="preserve">who </w:t>
      </w:r>
      <w:r>
        <w:rPr>
          <w:rFonts w:cstheme="minorHAnsi"/>
        </w:rPr>
        <w:t xml:space="preserve">previously screened only for content knowledge at admission will now have to think more deeply how they will continue to develop candidate fluency with that content knowledge as it relates to effective instructional practice. </w:t>
      </w:r>
    </w:p>
    <w:p w14:paraId="4829D68C" w14:textId="1977CEA3" w:rsidR="005E05EA" w:rsidRDefault="005E05EA" w:rsidP="005640C0">
      <w:pPr>
        <w:pStyle w:val="ListParagraph"/>
        <w:numPr>
          <w:ilvl w:val="0"/>
          <w:numId w:val="14"/>
        </w:numPr>
        <w:spacing w:after="0"/>
        <w:rPr>
          <w:rFonts w:cstheme="minorHAnsi"/>
        </w:rPr>
      </w:pPr>
      <w:r>
        <w:rPr>
          <w:rFonts w:cstheme="minorHAnsi"/>
        </w:rPr>
        <w:t xml:space="preserve">Most of the licensure area SMKs now point directly to </w:t>
      </w:r>
      <w:r>
        <w:rPr>
          <w:rFonts w:cstheme="minorHAnsi"/>
          <w:i/>
        </w:rPr>
        <w:t>Massachusetts Curriculum Frameworks</w:t>
      </w:r>
      <w:r>
        <w:rPr>
          <w:rFonts w:cstheme="minorHAnsi"/>
        </w:rPr>
        <w:t xml:space="preserve"> rather than providing a separate list of content expectations. Because of this, </w:t>
      </w:r>
      <w:r w:rsidR="001C65B2">
        <w:rPr>
          <w:rFonts w:cstheme="minorHAnsi"/>
        </w:rPr>
        <w:t xml:space="preserve">we anticipate that SO leaders and faculty will need to </w:t>
      </w:r>
      <w:r w:rsidR="001C65B2" w:rsidRPr="00370322">
        <w:rPr>
          <w:rFonts w:cstheme="minorHAnsi"/>
        </w:rPr>
        <w:t xml:space="preserve">engage in unpacking the </w:t>
      </w:r>
      <w:r w:rsidR="001C65B2" w:rsidRPr="0010642D">
        <w:rPr>
          <w:rFonts w:cstheme="minorHAnsi"/>
          <w:i/>
        </w:rPr>
        <w:t>Frameworks</w:t>
      </w:r>
      <w:r w:rsidR="001C65B2">
        <w:rPr>
          <w:rFonts w:cstheme="minorHAnsi"/>
        </w:rPr>
        <w:t xml:space="preserve"> themselves</w:t>
      </w:r>
      <w:r w:rsidR="001C65B2" w:rsidRPr="00370322">
        <w:rPr>
          <w:rFonts w:cstheme="minorHAnsi"/>
        </w:rPr>
        <w:t xml:space="preserve"> in order to ensure that programs of study sufficiently support candidates in developing the fluency or expertise of knowledge needed to build</w:t>
      </w:r>
      <w:r w:rsidR="001C65B2">
        <w:rPr>
          <w:rFonts w:cstheme="minorHAnsi"/>
        </w:rPr>
        <w:t xml:space="preserve"> P</w:t>
      </w:r>
      <w:r w:rsidR="001802DD">
        <w:rPr>
          <w:rFonts w:cstheme="minorHAnsi"/>
        </w:rPr>
        <w:t>re-</w:t>
      </w:r>
      <w:r w:rsidR="001C65B2">
        <w:rPr>
          <w:rFonts w:cstheme="minorHAnsi"/>
        </w:rPr>
        <w:t>K</w:t>
      </w:r>
      <w:r w:rsidR="001802DD">
        <w:rPr>
          <w:rFonts w:cstheme="minorHAnsi"/>
        </w:rPr>
        <w:t>—</w:t>
      </w:r>
      <w:r w:rsidR="001C65B2">
        <w:rPr>
          <w:rFonts w:cstheme="minorHAnsi"/>
        </w:rPr>
        <w:t>12</w:t>
      </w:r>
      <w:r w:rsidR="001C65B2" w:rsidRPr="00370322">
        <w:rPr>
          <w:rFonts w:cstheme="minorHAnsi"/>
        </w:rPr>
        <w:t xml:space="preserve"> students’ knowledge to master the </w:t>
      </w:r>
      <w:r w:rsidR="001A433B">
        <w:rPr>
          <w:rFonts w:cstheme="minorHAnsi"/>
        </w:rPr>
        <w:t xml:space="preserve">academic </w:t>
      </w:r>
      <w:r w:rsidR="001C65B2" w:rsidRPr="00370322">
        <w:rPr>
          <w:rFonts w:cstheme="minorHAnsi"/>
        </w:rPr>
        <w:t>standards</w:t>
      </w:r>
      <w:r w:rsidR="001A433B">
        <w:rPr>
          <w:rFonts w:cstheme="minorHAnsi"/>
        </w:rPr>
        <w:t xml:space="preserve">, which are outlined in the </w:t>
      </w:r>
      <w:r w:rsidR="001A433B">
        <w:rPr>
          <w:rFonts w:cstheme="minorHAnsi"/>
          <w:i/>
        </w:rPr>
        <w:t>Frameworks</w:t>
      </w:r>
      <w:r w:rsidR="001C65B2">
        <w:rPr>
          <w:rFonts w:cstheme="minorHAnsi"/>
        </w:rPr>
        <w:t>.</w:t>
      </w:r>
    </w:p>
    <w:p w14:paraId="53653A19" w14:textId="77777777" w:rsidR="005640C0" w:rsidRDefault="005640C0" w:rsidP="005640C0">
      <w:pPr>
        <w:spacing w:after="0"/>
        <w:rPr>
          <w:rFonts w:cstheme="minorHAnsi"/>
          <w:color w:val="000000"/>
          <w:shd w:val="clear" w:color="auto" w:fill="FFFFFF"/>
        </w:rPr>
      </w:pPr>
    </w:p>
    <w:p w14:paraId="1477C77F" w14:textId="35CADEA7" w:rsidR="003555DB" w:rsidRPr="005640C0" w:rsidRDefault="009F65FA" w:rsidP="005640C0">
      <w:pPr>
        <w:spacing w:after="0"/>
        <w:rPr>
          <w:rFonts w:cstheme="minorHAnsi"/>
        </w:rPr>
      </w:pPr>
      <w:r w:rsidRPr="005640C0">
        <w:rPr>
          <w:rFonts w:cstheme="minorHAnsi"/>
          <w:color w:val="000000"/>
          <w:shd w:val="clear" w:color="auto" w:fill="FFFFFF"/>
        </w:rPr>
        <w:t xml:space="preserve">To this end, full alignment to the </w:t>
      </w:r>
      <w:r w:rsidR="00825104" w:rsidRPr="005640C0">
        <w:rPr>
          <w:rFonts w:cstheme="minorHAnsi"/>
          <w:color w:val="000000"/>
          <w:shd w:val="clear" w:color="auto" w:fill="FFFFFF"/>
        </w:rPr>
        <w:t>updated SMK</w:t>
      </w:r>
      <w:r w:rsidR="00141675" w:rsidRPr="005640C0">
        <w:rPr>
          <w:rFonts w:cstheme="minorHAnsi"/>
          <w:color w:val="000000"/>
          <w:shd w:val="clear" w:color="auto" w:fill="FFFFFF"/>
        </w:rPr>
        <w:t>s</w:t>
      </w:r>
      <w:r w:rsidR="00825104" w:rsidRPr="005640C0">
        <w:rPr>
          <w:rFonts w:cstheme="minorHAnsi"/>
          <w:color w:val="000000"/>
          <w:shd w:val="clear" w:color="auto" w:fill="FFFFFF"/>
        </w:rPr>
        <w:t xml:space="preserve"> </w:t>
      </w:r>
      <w:r w:rsidRPr="005640C0">
        <w:rPr>
          <w:rFonts w:cstheme="minorHAnsi"/>
          <w:color w:val="000000"/>
          <w:shd w:val="clear" w:color="auto" w:fill="FFFFFF"/>
        </w:rPr>
        <w:t xml:space="preserve">will likely require more than adjusting or tweaking syllabi. </w:t>
      </w:r>
      <w:r w:rsidR="001F545B" w:rsidRPr="005640C0">
        <w:rPr>
          <w:rFonts w:cstheme="minorHAnsi"/>
          <w:color w:val="000000"/>
          <w:shd w:val="clear" w:color="auto" w:fill="FFFFFF"/>
        </w:rPr>
        <w:t>We see this as</w:t>
      </w:r>
      <w:r w:rsidRPr="005640C0">
        <w:rPr>
          <w:rFonts w:cstheme="minorHAnsi"/>
          <w:color w:val="000000"/>
          <w:shd w:val="clear" w:color="auto" w:fill="FFFFFF"/>
        </w:rPr>
        <w:t xml:space="preserve"> an opportunity for a thorough examination of the ways in which programs are </w:t>
      </w:r>
      <w:r w:rsidR="002301DE" w:rsidRPr="005640C0">
        <w:rPr>
          <w:rFonts w:cstheme="minorHAnsi"/>
          <w:color w:val="000000"/>
          <w:shd w:val="clear" w:color="auto" w:fill="FFFFFF"/>
        </w:rPr>
        <w:t xml:space="preserve">currently </w:t>
      </w:r>
      <w:r w:rsidR="00141675" w:rsidRPr="005640C0">
        <w:rPr>
          <w:rFonts w:cstheme="minorHAnsi"/>
          <w:color w:val="000000"/>
          <w:shd w:val="clear" w:color="auto" w:fill="FFFFFF"/>
        </w:rPr>
        <w:t>building</w:t>
      </w:r>
      <w:r w:rsidR="00825104" w:rsidRPr="005640C0">
        <w:rPr>
          <w:rFonts w:cstheme="minorHAnsi"/>
          <w:color w:val="000000"/>
          <w:shd w:val="clear" w:color="auto" w:fill="FFFFFF"/>
        </w:rPr>
        <w:t xml:space="preserve"> </w:t>
      </w:r>
      <w:r w:rsidRPr="005640C0">
        <w:rPr>
          <w:rFonts w:cstheme="minorHAnsi"/>
          <w:color w:val="000000"/>
          <w:shd w:val="clear" w:color="auto" w:fill="FFFFFF"/>
        </w:rPr>
        <w:t>candidates</w:t>
      </w:r>
      <w:r w:rsidR="00825104" w:rsidRPr="005640C0">
        <w:rPr>
          <w:rFonts w:cstheme="minorHAnsi"/>
          <w:color w:val="000000"/>
          <w:shd w:val="clear" w:color="auto" w:fill="FFFFFF"/>
        </w:rPr>
        <w:t xml:space="preserve">’ </w:t>
      </w:r>
      <w:r w:rsidR="00281656" w:rsidRPr="005640C0">
        <w:rPr>
          <w:rFonts w:cstheme="minorHAnsi"/>
          <w:color w:val="000000"/>
          <w:shd w:val="clear" w:color="auto" w:fill="FFFFFF"/>
        </w:rPr>
        <w:t xml:space="preserve">fluency with </w:t>
      </w:r>
      <w:r w:rsidR="00825104" w:rsidRPr="005640C0">
        <w:rPr>
          <w:rFonts w:cstheme="minorHAnsi"/>
          <w:color w:val="000000"/>
          <w:shd w:val="clear" w:color="auto" w:fill="FFFFFF"/>
        </w:rPr>
        <w:t>subject matter knowledge</w:t>
      </w:r>
      <w:r w:rsidRPr="005640C0">
        <w:rPr>
          <w:rFonts w:cstheme="minorHAnsi"/>
          <w:color w:val="000000"/>
          <w:shd w:val="clear" w:color="auto" w:fill="FFFFFF"/>
        </w:rPr>
        <w:t xml:space="preserve"> </w:t>
      </w:r>
      <w:r w:rsidR="0092194E" w:rsidRPr="005640C0">
        <w:rPr>
          <w:rFonts w:cstheme="minorHAnsi"/>
          <w:color w:val="000000"/>
          <w:shd w:val="clear" w:color="auto" w:fill="FFFFFF"/>
        </w:rPr>
        <w:t>grounded in</w:t>
      </w:r>
      <w:r w:rsidR="001802DD">
        <w:rPr>
          <w:rFonts w:cstheme="minorHAnsi"/>
          <w:color w:val="000000"/>
          <w:shd w:val="clear" w:color="auto" w:fill="FFFFFF"/>
        </w:rPr>
        <w:t xml:space="preserve"> the</w:t>
      </w:r>
      <w:r w:rsidR="0092194E" w:rsidRPr="005640C0">
        <w:rPr>
          <w:rFonts w:cstheme="minorHAnsi"/>
          <w:color w:val="000000"/>
          <w:shd w:val="clear" w:color="auto" w:fill="FFFFFF"/>
        </w:rPr>
        <w:t xml:space="preserve"> </w:t>
      </w:r>
      <w:hyperlink r:id="rId14" w:history="1">
        <w:r w:rsidR="0092194E" w:rsidRPr="001802DD">
          <w:rPr>
            <w:rStyle w:val="Hyperlink"/>
            <w:rFonts w:cstheme="minorHAnsi"/>
            <w:i/>
            <w:shd w:val="clear" w:color="auto" w:fill="FFFFFF"/>
          </w:rPr>
          <w:t>Massachusetts Curriculum Frameworks</w:t>
        </w:r>
      </w:hyperlink>
      <w:r w:rsidR="0092194E" w:rsidRPr="005640C0">
        <w:rPr>
          <w:rFonts w:cstheme="minorHAnsi"/>
          <w:color w:val="000000"/>
          <w:shd w:val="clear" w:color="auto" w:fill="FFFFFF"/>
        </w:rPr>
        <w:t xml:space="preserve"> </w:t>
      </w:r>
      <w:r w:rsidRPr="005640C0">
        <w:rPr>
          <w:rFonts w:cstheme="minorHAnsi"/>
          <w:color w:val="000000"/>
          <w:shd w:val="clear" w:color="auto" w:fill="FFFFFF"/>
        </w:rPr>
        <w:t>and the extent to which they could be strengthened.</w:t>
      </w:r>
      <w:r w:rsidR="00825104" w:rsidRPr="005640C0">
        <w:rPr>
          <w:rFonts w:cstheme="minorHAnsi"/>
          <w:color w:val="000000"/>
          <w:shd w:val="clear" w:color="auto" w:fill="FFFFFF"/>
        </w:rPr>
        <w:t xml:space="preserve"> </w:t>
      </w:r>
      <w:r w:rsidR="00237387" w:rsidRPr="005640C0">
        <w:rPr>
          <w:rFonts w:cstheme="minorHAnsi"/>
        </w:rPr>
        <w:t xml:space="preserve">While </w:t>
      </w:r>
      <w:r w:rsidR="003F5B63" w:rsidRPr="005640C0">
        <w:rPr>
          <w:rFonts w:cstheme="minorHAnsi"/>
        </w:rPr>
        <w:t>D</w:t>
      </w:r>
      <w:r w:rsidR="00237387" w:rsidRPr="005640C0">
        <w:rPr>
          <w:rFonts w:cstheme="minorHAnsi"/>
        </w:rPr>
        <w:t>ESE recognizes that all Sponsoring Organizations</w:t>
      </w:r>
      <w:r w:rsidR="00974682" w:rsidRPr="005640C0">
        <w:rPr>
          <w:rFonts w:cstheme="minorHAnsi"/>
        </w:rPr>
        <w:t>’ programs</w:t>
      </w:r>
      <w:r w:rsidR="00237387" w:rsidRPr="005640C0">
        <w:rPr>
          <w:rFonts w:cstheme="minorHAnsi"/>
        </w:rPr>
        <w:t xml:space="preserve"> may require a different </w:t>
      </w:r>
      <w:r w:rsidR="00974682" w:rsidRPr="005640C0">
        <w:rPr>
          <w:rFonts w:cstheme="minorHAnsi"/>
        </w:rPr>
        <w:t>degree</w:t>
      </w:r>
      <w:r w:rsidR="00237387" w:rsidRPr="005640C0">
        <w:rPr>
          <w:rFonts w:cstheme="minorHAnsi"/>
        </w:rPr>
        <w:t xml:space="preserve"> of redesign, all efforts should keep in mind that the updates to the </w:t>
      </w:r>
      <w:r w:rsidR="00281656" w:rsidRPr="005640C0">
        <w:rPr>
          <w:rFonts w:cstheme="minorHAnsi"/>
        </w:rPr>
        <w:t>SMKs</w:t>
      </w:r>
      <w:r w:rsidR="001C65B2">
        <w:rPr>
          <w:rFonts w:cstheme="minorHAnsi"/>
        </w:rPr>
        <w:t>,</w:t>
      </w:r>
      <w:r w:rsidR="00237387" w:rsidRPr="005640C0">
        <w:rPr>
          <w:rFonts w:cstheme="minorHAnsi"/>
        </w:rPr>
        <w:t xml:space="preserve"> </w:t>
      </w:r>
      <w:r w:rsidR="001C65B2">
        <w:rPr>
          <w:rFonts w:cstheme="minorHAnsi"/>
        </w:rPr>
        <w:t xml:space="preserve">as well as those outlined in the recent </w:t>
      </w:r>
      <w:hyperlink r:id="rId15" w:history="1">
        <w:r w:rsidR="001C65B2" w:rsidRPr="001C65B2">
          <w:rPr>
            <w:rStyle w:val="Hyperlink"/>
            <w:rFonts w:cstheme="minorHAnsi"/>
          </w:rPr>
          <w:t>Pre-Practicum Guidelines</w:t>
        </w:r>
      </w:hyperlink>
      <w:r w:rsidR="001C65B2">
        <w:rPr>
          <w:rFonts w:cstheme="minorHAnsi"/>
        </w:rPr>
        <w:t xml:space="preserve"> around </w:t>
      </w:r>
      <w:r w:rsidR="00B8103E" w:rsidRPr="005640C0">
        <w:rPr>
          <w:rFonts w:cstheme="minorHAnsi"/>
        </w:rPr>
        <w:t>content pedagogy-</w:t>
      </w:r>
      <w:r w:rsidR="00237387" w:rsidRPr="005640C0">
        <w:rPr>
          <w:rFonts w:cstheme="minorHAnsi"/>
        </w:rPr>
        <w:t>based gateway assessments</w:t>
      </w:r>
      <w:r w:rsidR="001C65B2">
        <w:rPr>
          <w:rFonts w:cstheme="minorHAnsi"/>
        </w:rPr>
        <w:t>,</w:t>
      </w:r>
      <w:r w:rsidR="00237387" w:rsidRPr="005640C0">
        <w:rPr>
          <w:rFonts w:cstheme="minorHAnsi"/>
        </w:rPr>
        <w:t xml:space="preserve"> are closely linked initiatives that together encourage a shift that is evidence-</w:t>
      </w:r>
      <w:r w:rsidR="001C65B2">
        <w:rPr>
          <w:rFonts w:cstheme="minorHAnsi"/>
        </w:rPr>
        <w:t>based</w:t>
      </w:r>
      <w:r w:rsidR="00237387" w:rsidRPr="005640C0">
        <w:rPr>
          <w:rFonts w:cstheme="minorHAnsi"/>
        </w:rPr>
        <w:t xml:space="preserve">, </w:t>
      </w:r>
      <w:r w:rsidR="00496B96" w:rsidRPr="005640C0">
        <w:rPr>
          <w:rFonts w:cstheme="minorHAnsi"/>
        </w:rPr>
        <w:t xml:space="preserve">content-focused, </w:t>
      </w:r>
      <w:r w:rsidR="00237387" w:rsidRPr="005640C0">
        <w:rPr>
          <w:rFonts w:cstheme="minorHAnsi"/>
        </w:rPr>
        <w:t xml:space="preserve">and increasingly </w:t>
      </w:r>
      <w:r w:rsidR="00C65BFA" w:rsidRPr="005640C0">
        <w:rPr>
          <w:rFonts w:cstheme="minorHAnsi"/>
        </w:rPr>
        <w:t>driven by</w:t>
      </w:r>
      <w:r w:rsidR="00237387" w:rsidRPr="005640C0">
        <w:rPr>
          <w:rFonts w:cstheme="minorHAnsi"/>
        </w:rPr>
        <w:t xml:space="preserve"> districts’ needs.</w:t>
      </w:r>
      <w:r w:rsidR="00B139D7" w:rsidRPr="005640C0">
        <w:rPr>
          <w:rFonts w:cstheme="minorHAnsi"/>
        </w:rPr>
        <w:t xml:space="preserve"> </w:t>
      </w:r>
    </w:p>
    <w:p w14:paraId="2E7F0805" w14:textId="77777777" w:rsidR="003F19A3" w:rsidRDefault="003F19A3">
      <w:pPr>
        <w:rPr>
          <w:rFonts w:ascii="Calibri" w:eastAsia="Times New Roman" w:hAnsi="Calibri" w:cs="Times New Roman"/>
          <w:bCs/>
          <w:i/>
          <w:iCs/>
          <w:color w:val="1F497D"/>
          <w:szCs w:val="24"/>
        </w:rPr>
      </w:pPr>
      <w:r>
        <w:br w:type="page"/>
      </w:r>
    </w:p>
    <w:p w14:paraId="73E97F42" w14:textId="31769D58" w:rsidR="00EC73DC" w:rsidRPr="00EC73DC" w:rsidRDefault="00CA73D6" w:rsidP="00EC73DC">
      <w:pPr>
        <w:pStyle w:val="IntenseQuote"/>
      </w:pPr>
      <w:r>
        <w:lastRenderedPageBreak/>
        <w:t xml:space="preserve">Implementation Implications </w:t>
      </w:r>
    </w:p>
    <w:p w14:paraId="0E9D6203" w14:textId="419D3FAB" w:rsidR="0005310B" w:rsidRDefault="0005310B" w:rsidP="00EC73DC">
      <w:pPr>
        <w:spacing w:after="0"/>
        <w:rPr>
          <w:rFonts w:cstheme="minorHAnsi"/>
          <w:color w:val="000000"/>
          <w:shd w:val="clear" w:color="auto" w:fill="FFFFFF"/>
        </w:rPr>
      </w:pPr>
      <w:r>
        <w:rPr>
          <w:rFonts w:cstheme="minorHAnsi"/>
          <w:color w:val="000000"/>
          <w:shd w:val="clear" w:color="auto" w:fill="FFFFFF"/>
        </w:rPr>
        <w:t xml:space="preserve">The timeline below </w:t>
      </w:r>
      <w:r w:rsidR="00CD0288">
        <w:rPr>
          <w:rFonts w:cstheme="minorHAnsi"/>
          <w:color w:val="000000"/>
          <w:shd w:val="clear" w:color="auto" w:fill="FFFFFF"/>
        </w:rPr>
        <w:t xml:space="preserve">outlines expectations for implementation of </w:t>
      </w:r>
      <w:r w:rsidR="00CA73D6">
        <w:rPr>
          <w:rFonts w:cstheme="minorHAnsi"/>
          <w:color w:val="000000"/>
          <w:shd w:val="clear" w:color="auto" w:fill="FFFFFF"/>
        </w:rPr>
        <w:t>the 2018</w:t>
      </w:r>
      <w:r w:rsidR="00CD0288">
        <w:rPr>
          <w:rFonts w:cstheme="minorHAnsi"/>
          <w:color w:val="000000"/>
          <w:shd w:val="clear" w:color="auto" w:fill="FFFFFF"/>
        </w:rPr>
        <w:t xml:space="preserve"> SMKs, as well</w:t>
      </w:r>
      <w:r w:rsidR="000A50F1">
        <w:rPr>
          <w:rFonts w:cstheme="minorHAnsi"/>
          <w:color w:val="000000"/>
          <w:shd w:val="clear" w:color="auto" w:fill="FFFFFF"/>
        </w:rPr>
        <w:t xml:space="preserve"> as</w:t>
      </w:r>
      <w:r w:rsidR="00CD0288">
        <w:rPr>
          <w:rFonts w:cstheme="minorHAnsi"/>
          <w:color w:val="000000"/>
          <w:shd w:val="clear" w:color="auto" w:fill="FFFFFF"/>
        </w:rPr>
        <w:t xml:space="preserve"> </w:t>
      </w:r>
      <w:r w:rsidR="000A50F1">
        <w:rPr>
          <w:rFonts w:cstheme="minorHAnsi"/>
          <w:color w:val="000000"/>
          <w:shd w:val="clear" w:color="auto" w:fill="FFFFFF"/>
        </w:rPr>
        <w:t>implications as</w:t>
      </w:r>
      <w:r w:rsidR="00CA73D6">
        <w:rPr>
          <w:rFonts w:cstheme="minorHAnsi"/>
          <w:color w:val="000000"/>
          <w:shd w:val="clear" w:color="auto" w:fill="FFFFFF"/>
        </w:rPr>
        <w:t xml:space="preserve"> it relates to </w:t>
      </w:r>
      <w:r w:rsidR="00CD0288">
        <w:rPr>
          <w:rFonts w:cstheme="minorHAnsi"/>
          <w:color w:val="000000"/>
          <w:shd w:val="clear" w:color="auto" w:fill="FFFFFF"/>
        </w:rPr>
        <w:t xml:space="preserve">other </w:t>
      </w:r>
      <w:r w:rsidR="006C137A">
        <w:rPr>
          <w:rFonts w:cstheme="minorHAnsi"/>
          <w:color w:val="000000"/>
          <w:shd w:val="clear" w:color="auto" w:fill="FFFFFF"/>
        </w:rPr>
        <w:t>connected</w:t>
      </w:r>
      <w:r w:rsidR="00CD0288">
        <w:rPr>
          <w:rFonts w:cstheme="minorHAnsi"/>
          <w:color w:val="000000"/>
          <w:shd w:val="clear" w:color="auto" w:fill="FFFFFF"/>
        </w:rPr>
        <w:t xml:space="preserve"> initiatives</w:t>
      </w:r>
      <w:r w:rsidR="003F19A3" w:rsidRPr="003F19A3">
        <w:rPr>
          <w:sz w:val="18"/>
        </w:rPr>
        <w:t>*</w:t>
      </w:r>
      <w:r w:rsidR="00CD0288">
        <w:rPr>
          <w:rFonts w:cstheme="minorHAnsi"/>
          <w:color w:val="000000"/>
          <w:shd w:val="clear" w:color="auto" w:fill="FFFFFF"/>
        </w:rPr>
        <w:t>.</w:t>
      </w:r>
    </w:p>
    <w:p w14:paraId="2E0E6E9B" w14:textId="62776BA0" w:rsidR="0005310B" w:rsidRDefault="0005310B" w:rsidP="00EC73DC">
      <w:pPr>
        <w:spacing w:after="0"/>
        <w:rPr>
          <w:rFonts w:cstheme="minorHAnsi"/>
          <w:color w:val="000000"/>
          <w:shd w:val="clear" w:color="auto" w:fill="FFFFFF"/>
        </w:rPr>
      </w:pPr>
    </w:p>
    <w:tbl>
      <w:tblPr>
        <w:tblStyle w:val="GridTable2-Accent1"/>
        <w:tblW w:w="0" w:type="auto"/>
        <w:tblLook w:val="04A0" w:firstRow="1" w:lastRow="0" w:firstColumn="1" w:lastColumn="0" w:noHBand="0" w:noVBand="1"/>
      </w:tblPr>
      <w:tblGrid>
        <w:gridCol w:w="1800"/>
        <w:gridCol w:w="1890"/>
        <w:gridCol w:w="1890"/>
        <w:gridCol w:w="1890"/>
        <w:gridCol w:w="1890"/>
      </w:tblGrid>
      <w:tr w:rsidR="00AB3607" w:rsidRPr="00AB3607" w14:paraId="344B83A6" w14:textId="77777777" w:rsidTr="006C13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FBE4D5" w:themeFill="accent2" w:themeFillTint="33"/>
          </w:tcPr>
          <w:p w14:paraId="6B9230C9" w14:textId="065D3A96" w:rsidR="00AB3607" w:rsidRPr="00AB3607" w:rsidRDefault="00AB3607" w:rsidP="003F19A3">
            <w:r w:rsidRPr="00AB3607">
              <w:t>Topic</w:t>
            </w:r>
          </w:p>
        </w:tc>
        <w:tc>
          <w:tcPr>
            <w:tcW w:w="1890" w:type="dxa"/>
            <w:shd w:val="clear" w:color="auto" w:fill="FBE4D5" w:themeFill="accent2" w:themeFillTint="33"/>
          </w:tcPr>
          <w:p w14:paraId="06669A35" w14:textId="6BB3A7A8" w:rsidR="00AB3607" w:rsidRPr="00AB3607" w:rsidRDefault="003F5B63" w:rsidP="003F5B63">
            <w:pPr>
              <w:jc w:val="center"/>
              <w:cnfStyle w:val="100000000000" w:firstRow="1" w:lastRow="0" w:firstColumn="0" w:lastColumn="0" w:oddVBand="0" w:evenVBand="0" w:oddHBand="0" w:evenHBand="0" w:firstRowFirstColumn="0" w:firstRowLastColumn="0" w:lastRowFirstColumn="0" w:lastRowLastColumn="0"/>
            </w:pPr>
            <w:r>
              <w:t>2018-2019</w:t>
            </w:r>
          </w:p>
        </w:tc>
        <w:tc>
          <w:tcPr>
            <w:tcW w:w="1890" w:type="dxa"/>
            <w:shd w:val="clear" w:color="auto" w:fill="FBE4D5" w:themeFill="accent2" w:themeFillTint="33"/>
          </w:tcPr>
          <w:p w14:paraId="29369C0D" w14:textId="714801D2" w:rsidR="00AB3607" w:rsidRPr="00AB3607" w:rsidRDefault="003F5B63" w:rsidP="003F5B63">
            <w:pPr>
              <w:jc w:val="center"/>
              <w:cnfStyle w:val="100000000000" w:firstRow="1" w:lastRow="0" w:firstColumn="0" w:lastColumn="0" w:oddVBand="0" w:evenVBand="0" w:oddHBand="0" w:evenHBand="0" w:firstRowFirstColumn="0" w:firstRowLastColumn="0" w:lastRowFirstColumn="0" w:lastRowLastColumn="0"/>
            </w:pPr>
            <w:r>
              <w:t>2019-2020</w:t>
            </w:r>
          </w:p>
        </w:tc>
        <w:tc>
          <w:tcPr>
            <w:tcW w:w="1890" w:type="dxa"/>
            <w:shd w:val="clear" w:color="auto" w:fill="FBE4D5" w:themeFill="accent2" w:themeFillTint="33"/>
          </w:tcPr>
          <w:p w14:paraId="2F0D6C6D" w14:textId="547E4855" w:rsidR="00AB3607" w:rsidRPr="00AB3607" w:rsidRDefault="00AB3607" w:rsidP="003F5B63">
            <w:pPr>
              <w:jc w:val="center"/>
              <w:cnfStyle w:val="100000000000" w:firstRow="1" w:lastRow="0" w:firstColumn="0" w:lastColumn="0" w:oddVBand="0" w:evenVBand="0" w:oddHBand="0" w:evenHBand="0" w:firstRowFirstColumn="0" w:firstRowLastColumn="0" w:lastRowFirstColumn="0" w:lastRowLastColumn="0"/>
            </w:pPr>
            <w:r w:rsidRPr="00AB3607">
              <w:t>2020</w:t>
            </w:r>
            <w:r w:rsidR="003F5B63">
              <w:t>-2021</w:t>
            </w:r>
          </w:p>
        </w:tc>
        <w:tc>
          <w:tcPr>
            <w:tcW w:w="1890" w:type="dxa"/>
            <w:shd w:val="clear" w:color="auto" w:fill="FBE4D5" w:themeFill="accent2" w:themeFillTint="33"/>
          </w:tcPr>
          <w:p w14:paraId="310552F0" w14:textId="094F5C0D" w:rsidR="00AB3607" w:rsidRPr="00AB3607" w:rsidRDefault="00AB3607" w:rsidP="003F5B63">
            <w:pPr>
              <w:jc w:val="center"/>
              <w:cnfStyle w:val="100000000000" w:firstRow="1" w:lastRow="0" w:firstColumn="0" w:lastColumn="0" w:oddVBand="0" w:evenVBand="0" w:oddHBand="0" w:evenHBand="0" w:firstRowFirstColumn="0" w:firstRowLastColumn="0" w:lastRowFirstColumn="0" w:lastRowLastColumn="0"/>
            </w:pPr>
            <w:r w:rsidRPr="00AB3607">
              <w:t>2021</w:t>
            </w:r>
            <w:r w:rsidR="003F5B63">
              <w:t>-2022</w:t>
            </w:r>
          </w:p>
        </w:tc>
      </w:tr>
      <w:tr w:rsidR="00AB3607" w:rsidRPr="00AB3607" w14:paraId="0438A01F" w14:textId="77777777" w:rsidTr="006C137A">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1412A990" w14:textId="7A26409A" w:rsidR="00AB3607" w:rsidRPr="00AB3607" w:rsidRDefault="00AB3607" w:rsidP="00551086">
            <w:r w:rsidRPr="00AB3607">
              <w:t>SMK Guidelines</w:t>
            </w:r>
          </w:p>
        </w:tc>
        <w:tc>
          <w:tcPr>
            <w:tcW w:w="1890" w:type="dxa"/>
            <w:vAlign w:val="center"/>
          </w:tcPr>
          <w:p w14:paraId="2CDE1227" w14:textId="2348CAC5" w:rsidR="00AB3607" w:rsidRPr="00AB3607" w:rsidRDefault="00AB3607" w:rsidP="008C7A36">
            <w:pPr>
              <w:cnfStyle w:val="000000100000" w:firstRow="0" w:lastRow="0" w:firstColumn="0" w:lastColumn="0" w:oddVBand="0" w:evenVBand="0" w:oddHBand="1" w:evenHBand="0" w:firstRowFirstColumn="0" w:firstRowLastColumn="0" w:lastRowFirstColumn="0" w:lastRowLastColumn="0"/>
            </w:pPr>
            <w:r w:rsidRPr="00AB3607">
              <w:t>SMK Guidelines Finalized</w:t>
            </w:r>
            <w:r w:rsidR="003F5B63">
              <w:t xml:space="preserve"> in August 2018</w:t>
            </w:r>
          </w:p>
        </w:tc>
        <w:tc>
          <w:tcPr>
            <w:tcW w:w="1890" w:type="dxa"/>
            <w:vAlign w:val="center"/>
          </w:tcPr>
          <w:p w14:paraId="5E6B3350" w14:textId="731D22ED" w:rsidR="00AB3607" w:rsidRPr="00AB3607" w:rsidRDefault="001C76A6" w:rsidP="008C7A36">
            <w:pPr>
              <w:cnfStyle w:val="000000100000" w:firstRow="0" w:lastRow="0" w:firstColumn="0" w:lastColumn="0" w:oddVBand="0" w:evenVBand="0" w:oddHBand="1" w:evenHBand="0" w:firstRowFirstColumn="0" w:firstRowLastColumn="0" w:lastRowFirstColumn="0" w:lastRowLastColumn="0"/>
            </w:pPr>
            <w:r>
              <w:t>Sta</w:t>
            </w:r>
            <w:r w:rsidR="003F5B63">
              <w:t>tements of Assurance submitted by May 2020</w:t>
            </w:r>
          </w:p>
        </w:tc>
        <w:tc>
          <w:tcPr>
            <w:tcW w:w="1890" w:type="dxa"/>
            <w:vAlign w:val="center"/>
          </w:tcPr>
          <w:p w14:paraId="519C7966" w14:textId="72889A9A" w:rsidR="00AB3607" w:rsidRPr="00AB3607" w:rsidRDefault="00974682" w:rsidP="008C7A36">
            <w:pPr>
              <w:cnfStyle w:val="000000100000" w:firstRow="0" w:lastRow="0" w:firstColumn="0" w:lastColumn="0" w:oddVBand="0" w:evenVBand="0" w:oddHBand="1" w:evenHBand="0" w:firstRowFirstColumn="0" w:firstRowLastColumn="0" w:lastRowFirstColumn="0" w:lastRowLastColumn="0"/>
            </w:pPr>
            <w:r>
              <w:t>2018</w:t>
            </w:r>
            <w:r w:rsidR="00792620">
              <w:t xml:space="preserve"> SMKs fully i</w:t>
            </w:r>
            <w:r w:rsidR="00AB3607" w:rsidRPr="00AB3607">
              <w:t>mplemented</w:t>
            </w:r>
            <w:r w:rsidR="003F5B63">
              <w:t xml:space="preserve"> </w:t>
            </w:r>
            <w:r>
              <w:t xml:space="preserve">in </w:t>
            </w:r>
            <w:r w:rsidR="00C65BFA">
              <w:t xml:space="preserve">all </w:t>
            </w:r>
            <w:r>
              <w:t xml:space="preserve">programs </w:t>
            </w:r>
            <w:r w:rsidR="003F5B63">
              <w:t xml:space="preserve">by </w:t>
            </w:r>
            <w:r w:rsidR="00C65BFA">
              <w:t xml:space="preserve">September 1 </w:t>
            </w:r>
          </w:p>
        </w:tc>
        <w:tc>
          <w:tcPr>
            <w:tcW w:w="1890" w:type="dxa"/>
            <w:vAlign w:val="center"/>
          </w:tcPr>
          <w:p w14:paraId="7AEA2920" w14:textId="368312C3" w:rsidR="00AB3607" w:rsidRPr="00AB3607" w:rsidRDefault="003F5B63" w:rsidP="008C7A36">
            <w:pPr>
              <w:cnfStyle w:val="000000100000" w:firstRow="0" w:lastRow="0" w:firstColumn="0" w:lastColumn="0" w:oddVBand="0" w:evenVBand="0" w:oddHBand="1" w:evenHBand="0" w:firstRowFirstColumn="0" w:firstRowLastColumn="0" w:lastRowFirstColumn="0" w:lastRowLastColumn="0"/>
            </w:pPr>
            <w:r>
              <w:t>Outcomes</w:t>
            </w:r>
            <w:r w:rsidR="00AB3607" w:rsidRPr="00AB3607">
              <w:t xml:space="preserve"> of </w:t>
            </w:r>
            <w:r w:rsidR="00974682">
              <w:t>2018</w:t>
            </w:r>
            <w:r w:rsidR="00AB3607" w:rsidRPr="00AB3607">
              <w:t xml:space="preserve"> SMKs </w:t>
            </w:r>
            <w:r w:rsidR="001C76A6">
              <w:t>reflected</w:t>
            </w:r>
            <w:r w:rsidR="00AB3607" w:rsidRPr="00AB3607">
              <w:t xml:space="preserve"> in data</w:t>
            </w:r>
          </w:p>
        </w:tc>
      </w:tr>
      <w:tr w:rsidR="00AB3607" w:rsidRPr="00AB3607" w14:paraId="56D74382" w14:textId="77777777" w:rsidTr="006C137A">
        <w:trPr>
          <w:trHeight w:val="769"/>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53342B90" w14:textId="0FF86B77" w:rsidR="00AB3607" w:rsidRPr="00AB3607" w:rsidRDefault="00AB3607" w:rsidP="00551086">
            <w:r w:rsidRPr="00AB3607">
              <w:t>MTELs</w:t>
            </w:r>
          </w:p>
        </w:tc>
        <w:tc>
          <w:tcPr>
            <w:tcW w:w="1890" w:type="dxa"/>
            <w:vAlign w:val="center"/>
          </w:tcPr>
          <w:p w14:paraId="0B8C4F84" w14:textId="3F9506D7" w:rsidR="00AB3607" w:rsidRPr="00AB3607" w:rsidRDefault="00AB3607" w:rsidP="008C7A36">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20D32284" w14:textId="5237391E" w:rsidR="00AB3607" w:rsidRPr="00AB3607" w:rsidRDefault="00AB3607" w:rsidP="008C7A36">
            <w:pPr>
              <w:cnfStyle w:val="000000000000" w:firstRow="0" w:lastRow="0" w:firstColumn="0" w:lastColumn="0" w:oddVBand="0" w:evenVBand="0" w:oddHBand="0" w:evenHBand="0" w:firstRowFirstColumn="0" w:firstRowLastColumn="0" w:lastRowFirstColumn="0" w:lastRowLastColumn="0"/>
            </w:pPr>
            <w:r w:rsidRPr="00AB3607">
              <w:t>Group A</w:t>
            </w:r>
            <w:r w:rsidR="00F7380A">
              <w:t xml:space="preserve"> MTELs in place (see Appendix B</w:t>
            </w:r>
            <w:r w:rsidRPr="00AB3607">
              <w:t>)</w:t>
            </w:r>
          </w:p>
        </w:tc>
        <w:tc>
          <w:tcPr>
            <w:tcW w:w="1890" w:type="dxa"/>
            <w:vAlign w:val="center"/>
          </w:tcPr>
          <w:p w14:paraId="5EDFF832" w14:textId="68CA0FD4" w:rsidR="00AB3607" w:rsidRPr="00AB3607" w:rsidRDefault="00F7380A" w:rsidP="008C7A36">
            <w:pPr>
              <w:cnfStyle w:val="000000000000" w:firstRow="0" w:lastRow="0" w:firstColumn="0" w:lastColumn="0" w:oddVBand="0" w:evenVBand="0" w:oddHBand="0" w:evenHBand="0" w:firstRowFirstColumn="0" w:firstRowLastColumn="0" w:lastRowFirstColumn="0" w:lastRowLastColumn="0"/>
            </w:pPr>
            <w:r>
              <w:t>Group B MTELs in place (see Appendix B</w:t>
            </w:r>
            <w:r w:rsidR="00AB3607" w:rsidRPr="00AB3607">
              <w:t>)</w:t>
            </w:r>
          </w:p>
        </w:tc>
        <w:tc>
          <w:tcPr>
            <w:tcW w:w="1890" w:type="dxa"/>
            <w:vAlign w:val="center"/>
          </w:tcPr>
          <w:p w14:paraId="514172A0" w14:textId="368695AE" w:rsidR="00AB3607" w:rsidRPr="00AB3607" w:rsidRDefault="00F7380A" w:rsidP="008C7A36">
            <w:pPr>
              <w:cnfStyle w:val="000000000000" w:firstRow="0" w:lastRow="0" w:firstColumn="0" w:lastColumn="0" w:oddVBand="0" w:evenVBand="0" w:oddHBand="0" w:evenHBand="0" w:firstRowFirstColumn="0" w:firstRowLastColumn="0" w:lastRowFirstColumn="0" w:lastRowLastColumn="0"/>
            </w:pPr>
            <w:r>
              <w:t>Group C MTELs in place (see Appendix B</w:t>
            </w:r>
            <w:r w:rsidR="00AB3607" w:rsidRPr="00AB3607">
              <w:t>)</w:t>
            </w:r>
          </w:p>
        </w:tc>
      </w:tr>
      <w:tr w:rsidR="00AB3607" w:rsidRPr="00AB3607" w14:paraId="0EBD0D33" w14:textId="77777777" w:rsidTr="006C1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01CDE9A0" w14:textId="502AE651" w:rsidR="00AB3607" w:rsidRPr="00AB3607" w:rsidRDefault="00AB3607" w:rsidP="00551086">
            <w:r w:rsidRPr="00AB3607">
              <w:t>Formal Review</w:t>
            </w:r>
          </w:p>
        </w:tc>
        <w:tc>
          <w:tcPr>
            <w:tcW w:w="1890" w:type="dxa"/>
            <w:vAlign w:val="center"/>
          </w:tcPr>
          <w:p w14:paraId="5B077F5F" w14:textId="2C536023" w:rsidR="00AB3607" w:rsidRPr="00AB3607" w:rsidRDefault="00C65BFA" w:rsidP="008C7A36">
            <w:pPr>
              <w:cnfStyle w:val="000000100000" w:firstRow="0" w:lastRow="0" w:firstColumn="0" w:lastColumn="0" w:oddVBand="0" w:evenVBand="0" w:oddHBand="1" w:evenHBand="0" w:firstRowFirstColumn="0" w:firstRowLastColumn="0" w:lastRowFirstColumn="0" w:lastRowLastColumn="0"/>
            </w:pPr>
            <w:r>
              <w:t>Programs assessed based on</w:t>
            </w:r>
            <w:r w:rsidR="00AB3607" w:rsidRPr="00AB3607">
              <w:t xml:space="preserve"> </w:t>
            </w:r>
            <w:r>
              <w:t>pre-</w:t>
            </w:r>
            <w:r w:rsidR="00084415">
              <w:t>2018</w:t>
            </w:r>
            <w:r w:rsidR="00AB3607" w:rsidRPr="00AB3607">
              <w:t xml:space="preserve"> SMKs</w:t>
            </w:r>
          </w:p>
        </w:tc>
        <w:tc>
          <w:tcPr>
            <w:tcW w:w="1890" w:type="dxa"/>
            <w:vAlign w:val="center"/>
          </w:tcPr>
          <w:p w14:paraId="49AE3A66" w14:textId="38C7EA40" w:rsidR="00AB3607" w:rsidRPr="00AB3607" w:rsidRDefault="00EB2971" w:rsidP="008C7A36">
            <w:pPr>
              <w:cnfStyle w:val="000000100000" w:firstRow="0" w:lastRow="0" w:firstColumn="0" w:lastColumn="0" w:oddVBand="0" w:evenVBand="0" w:oddHBand="1" w:evenHBand="0" w:firstRowFirstColumn="0" w:firstRowLastColumn="0" w:lastRowFirstColumn="0" w:lastRowLastColumn="0"/>
            </w:pPr>
            <w:r>
              <w:t>Program transitions to 2018 SMKs factored into review</w:t>
            </w:r>
          </w:p>
        </w:tc>
        <w:tc>
          <w:tcPr>
            <w:tcW w:w="1890" w:type="dxa"/>
            <w:vAlign w:val="center"/>
          </w:tcPr>
          <w:p w14:paraId="3C03418F" w14:textId="3E9D080F" w:rsidR="00AB3607" w:rsidRPr="00AB3607" w:rsidRDefault="00974682" w:rsidP="008C7A36">
            <w:pPr>
              <w:cnfStyle w:val="000000100000" w:firstRow="0" w:lastRow="0" w:firstColumn="0" w:lastColumn="0" w:oddVBand="0" w:evenVBand="0" w:oddHBand="1" w:evenHBand="0" w:firstRowFirstColumn="0" w:firstRowLastColumn="0" w:lastRowFirstColumn="0" w:lastRowLastColumn="0"/>
            </w:pPr>
            <w:r>
              <w:t>2018</w:t>
            </w:r>
            <w:r w:rsidR="00B146CA">
              <w:t xml:space="preserve"> SMKs </w:t>
            </w:r>
            <w:r w:rsidR="00C65BFA">
              <w:t>examined as part of</w:t>
            </w:r>
            <w:r w:rsidR="00B146CA">
              <w:t xml:space="preserve"> review</w:t>
            </w:r>
          </w:p>
        </w:tc>
        <w:tc>
          <w:tcPr>
            <w:tcW w:w="1890" w:type="dxa"/>
            <w:vAlign w:val="center"/>
          </w:tcPr>
          <w:p w14:paraId="63F6D101" w14:textId="1032DC9E" w:rsidR="00AB3607" w:rsidRPr="00AB3607" w:rsidRDefault="00974682" w:rsidP="008C7A36">
            <w:pPr>
              <w:cnfStyle w:val="000000100000" w:firstRow="0" w:lastRow="0" w:firstColumn="0" w:lastColumn="0" w:oddVBand="0" w:evenVBand="0" w:oddHBand="1" w:evenHBand="0" w:firstRowFirstColumn="0" w:firstRowLastColumn="0" w:lastRowFirstColumn="0" w:lastRowLastColumn="0"/>
            </w:pPr>
            <w:r>
              <w:t>2018</w:t>
            </w:r>
            <w:r w:rsidR="00084415">
              <w:t xml:space="preserve"> SMKs used in review, including outcome </w:t>
            </w:r>
            <w:r w:rsidR="00B146CA">
              <w:t>data</w:t>
            </w:r>
          </w:p>
        </w:tc>
      </w:tr>
      <w:tr w:rsidR="006C137A" w:rsidRPr="00AB3607" w14:paraId="534ED6A6" w14:textId="77777777" w:rsidTr="006C137A">
        <w:trPr>
          <w:trHeight w:val="814"/>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0BEDE078" w14:textId="67BFB30B" w:rsidR="006C137A" w:rsidRPr="00AB3607" w:rsidRDefault="006C137A" w:rsidP="006C137A">
            <w:r>
              <w:t>Informal Review</w:t>
            </w:r>
          </w:p>
        </w:tc>
        <w:tc>
          <w:tcPr>
            <w:tcW w:w="7560" w:type="dxa"/>
            <w:gridSpan w:val="4"/>
            <w:vAlign w:val="center"/>
          </w:tcPr>
          <w:p w14:paraId="7B284793" w14:textId="40448BEE" w:rsidR="006C137A" w:rsidRPr="00AB3607" w:rsidRDefault="006C137A" w:rsidP="006C137A">
            <w:pPr>
              <w:jc w:val="center"/>
              <w:cnfStyle w:val="000000000000" w:firstRow="0" w:lastRow="0" w:firstColumn="0" w:lastColumn="0" w:oddVBand="0" w:evenVBand="0" w:oddHBand="0" w:evenHBand="0" w:firstRowFirstColumn="0" w:firstRowLastColumn="0" w:lastRowFirstColumn="0" w:lastRowLastColumn="0"/>
            </w:pPr>
            <w:r>
              <w:rPr>
                <w:noProof/>
              </w:rPr>
              <w:t>2018</w:t>
            </w:r>
            <w:r>
              <w:t xml:space="preserve"> SMK Guidelines implemented</w:t>
            </w:r>
          </w:p>
        </w:tc>
      </w:tr>
      <w:tr w:rsidR="006C137A" w:rsidRPr="00AB3607" w14:paraId="75023676" w14:textId="77777777" w:rsidTr="006C137A">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52B477C9" w14:textId="42A43510" w:rsidR="006C137A" w:rsidRPr="00AB3607" w:rsidRDefault="006C137A" w:rsidP="006C137A">
            <w:r>
              <w:t>Competency Review and 12 Credit route to Professional License</w:t>
            </w:r>
          </w:p>
        </w:tc>
        <w:tc>
          <w:tcPr>
            <w:tcW w:w="7560" w:type="dxa"/>
            <w:gridSpan w:val="4"/>
            <w:vAlign w:val="center"/>
          </w:tcPr>
          <w:p w14:paraId="4122F448" w14:textId="30948D04" w:rsidR="006C137A" w:rsidRPr="00AB3607" w:rsidRDefault="006C137A" w:rsidP="006C137A">
            <w:pPr>
              <w:jc w:val="center"/>
              <w:cnfStyle w:val="000000100000" w:firstRow="0" w:lastRow="0" w:firstColumn="0" w:lastColumn="0" w:oddVBand="0" w:evenVBand="0" w:oddHBand="1" w:evenHBand="0" w:firstRowFirstColumn="0" w:firstRowLastColumn="0" w:lastRowFirstColumn="0" w:lastRowLastColumn="0"/>
            </w:pPr>
            <w:r>
              <w:rPr>
                <w:noProof/>
              </w:rPr>
              <w:t>2018</w:t>
            </w:r>
            <w:r>
              <w:t xml:space="preserve"> SMK Guidelines implemented</w:t>
            </w:r>
          </w:p>
        </w:tc>
      </w:tr>
      <w:tr w:rsidR="006C137A" w:rsidRPr="00AB3607" w14:paraId="3E1C8A65" w14:textId="77777777" w:rsidTr="006C137A">
        <w:tc>
          <w:tcPr>
            <w:cnfStyle w:val="001000000000" w:firstRow="0" w:lastRow="0" w:firstColumn="1" w:lastColumn="0" w:oddVBand="0" w:evenVBand="0" w:oddHBand="0" w:evenHBand="0" w:firstRowFirstColumn="0" w:firstRowLastColumn="0" w:lastRowFirstColumn="0" w:lastRowLastColumn="0"/>
            <w:tcW w:w="1800" w:type="dxa"/>
            <w:vAlign w:val="center"/>
          </w:tcPr>
          <w:p w14:paraId="240E7015" w14:textId="1631C621" w:rsidR="006C137A" w:rsidRPr="00AB3607" w:rsidRDefault="006C137A" w:rsidP="006C137A">
            <w:r>
              <w:t>Pre-Practicum Gateway Assessments</w:t>
            </w:r>
          </w:p>
        </w:tc>
        <w:tc>
          <w:tcPr>
            <w:tcW w:w="1890" w:type="dxa"/>
            <w:vAlign w:val="center"/>
          </w:tcPr>
          <w:p w14:paraId="58EEAE31" w14:textId="699D78D1" w:rsidR="006C137A" w:rsidRPr="00AB3607" w:rsidRDefault="006C137A" w:rsidP="006C137A">
            <w:pPr>
              <w:cnfStyle w:val="000000000000" w:firstRow="0" w:lastRow="0" w:firstColumn="0" w:lastColumn="0" w:oddVBand="0" w:evenVBand="0" w:oddHBand="0" w:evenHBand="0" w:firstRowFirstColumn="0" w:firstRowLastColumn="0" w:lastRowFirstColumn="0" w:lastRowLastColumn="0"/>
            </w:pPr>
            <w:r>
              <w:t>Model Gateway Assessments selected/ developed</w:t>
            </w:r>
          </w:p>
        </w:tc>
        <w:tc>
          <w:tcPr>
            <w:tcW w:w="1890" w:type="dxa"/>
            <w:vAlign w:val="center"/>
          </w:tcPr>
          <w:p w14:paraId="579D8277" w14:textId="77777777" w:rsidR="006C137A" w:rsidRPr="00AB3607" w:rsidRDefault="006C137A" w:rsidP="006C137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50A2E1F3" w14:textId="28EC5C17" w:rsidR="006C137A" w:rsidRPr="00AB3607" w:rsidRDefault="006C137A" w:rsidP="006C137A">
            <w:pPr>
              <w:cnfStyle w:val="000000000000" w:firstRow="0" w:lastRow="0" w:firstColumn="0" w:lastColumn="0" w:oddVBand="0" w:evenVBand="0" w:oddHBand="0" w:evenHBand="0" w:firstRowFirstColumn="0" w:firstRowLastColumn="0" w:lastRowFirstColumn="0" w:lastRowLastColumn="0"/>
            </w:pPr>
            <w:r>
              <w:t>Pre-</w:t>
            </w:r>
            <w:proofErr w:type="spellStart"/>
            <w:r>
              <w:t>prac</w:t>
            </w:r>
            <w:proofErr w:type="spellEnd"/>
            <w:r>
              <w:t xml:space="preserve"> Gateway Assessments fully implemented</w:t>
            </w:r>
          </w:p>
        </w:tc>
        <w:tc>
          <w:tcPr>
            <w:tcW w:w="1890" w:type="dxa"/>
            <w:vAlign w:val="center"/>
          </w:tcPr>
          <w:p w14:paraId="13C31580" w14:textId="77777777" w:rsidR="006C137A" w:rsidRPr="00AB3607" w:rsidRDefault="006C137A" w:rsidP="006C137A">
            <w:pPr>
              <w:cnfStyle w:val="000000000000" w:firstRow="0" w:lastRow="0" w:firstColumn="0" w:lastColumn="0" w:oddVBand="0" w:evenVBand="0" w:oddHBand="0" w:evenHBand="0" w:firstRowFirstColumn="0" w:firstRowLastColumn="0" w:lastRowFirstColumn="0" w:lastRowLastColumn="0"/>
            </w:pPr>
          </w:p>
        </w:tc>
      </w:tr>
      <w:tr w:rsidR="006C137A" w:rsidRPr="00AB3607" w14:paraId="1A93933A" w14:textId="77777777" w:rsidTr="006C137A">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6F9EFD35" w14:textId="35E77831" w:rsidR="006C137A" w:rsidRPr="00AB3607" w:rsidRDefault="006C137A" w:rsidP="006C137A">
            <w:r>
              <w:t>Candidate Assessment of Performance (CAP)</w:t>
            </w:r>
          </w:p>
        </w:tc>
        <w:tc>
          <w:tcPr>
            <w:tcW w:w="1890" w:type="dxa"/>
            <w:vAlign w:val="center"/>
          </w:tcPr>
          <w:p w14:paraId="4164C1CE" w14:textId="577EAAF0" w:rsidR="006C137A" w:rsidRPr="00AB3607" w:rsidRDefault="006C137A" w:rsidP="006C137A">
            <w:pPr>
              <w:cnfStyle w:val="000000100000" w:firstRow="0" w:lastRow="0" w:firstColumn="0" w:lastColumn="0" w:oddVBand="0" w:evenVBand="0" w:oddHBand="1" w:evenHBand="0" w:firstRowFirstColumn="0" w:firstRowLastColumn="0" w:lastRowFirstColumn="0" w:lastRowLastColumn="0"/>
            </w:pPr>
            <w:r>
              <w:t>CAP Rubric Refinements piloted</w:t>
            </w:r>
          </w:p>
        </w:tc>
        <w:tc>
          <w:tcPr>
            <w:tcW w:w="1890" w:type="dxa"/>
            <w:vAlign w:val="center"/>
          </w:tcPr>
          <w:p w14:paraId="516BD6E0" w14:textId="77777777" w:rsidR="006C137A" w:rsidRPr="00AB3607" w:rsidRDefault="006C137A" w:rsidP="006C137A">
            <w:pPr>
              <w:cnfStyle w:val="000000100000" w:firstRow="0" w:lastRow="0" w:firstColumn="0" w:lastColumn="0" w:oddVBand="0" w:evenVBand="0" w:oddHBand="1" w:evenHBand="0" w:firstRowFirstColumn="0" w:firstRowLastColumn="0" w:lastRowFirstColumn="0" w:lastRowLastColumn="0"/>
            </w:pPr>
            <w:r>
              <w:t>CAP Guidelines Updated</w:t>
            </w:r>
          </w:p>
        </w:tc>
        <w:tc>
          <w:tcPr>
            <w:tcW w:w="1890" w:type="dxa"/>
            <w:vAlign w:val="center"/>
          </w:tcPr>
          <w:p w14:paraId="311F1D74" w14:textId="036C3EB2" w:rsidR="006C137A" w:rsidRPr="00AB3607" w:rsidRDefault="006C137A" w:rsidP="006C137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11B9A8F6" w14:textId="77777777" w:rsidR="006C137A" w:rsidRPr="00AB3607" w:rsidRDefault="006C137A" w:rsidP="006C137A">
            <w:pPr>
              <w:cnfStyle w:val="000000100000" w:firstRow="0" w:lastRow="0" w:firstColumn="0" w:lastColumn="0" w:oddVBand="0" w:evenVBand="0" w:oddHBand="1" w:evenHBand="0" w:firstRowFirstColumn="0" w:firstRowLastColumn="0" w:lastRowFirstColumn="0" w:lastRowLastColumn="0"/>
            </w:pPr>
            <w:r>
              <w:t>Updated CAP Guidelines fully Implemented</w:t>
            </w:r>
          </w:p>
        </w:tc>
      </w:tr>
    </w:tbl>
    <w:p w14:paraId="57318FC1" w14:textId="50D0102F" w:rsidR="00CF103E" w:rsidRPr="000A50F1" w:rsidRDefault="000A50F1" w:rsidP="000A50F1">
      <w:pPr>
        <w:spacing w:after="0"/>
        <w:jc w:val="center"/>
        <w:rPr>
          <w:rFonts w:cstheme="minorHAnsi"/>
          <w:color w:val="000000"/>
          <w:sz w:val="18"/>
          <w:szCs w:val="18"/>
          <w:shd w:val="clear" w:color="auto" w:fill="FFFFFF"/>
        </w:rPr>
      </w:pPr>
      <w:r w:rsidRPr="000A50F1">
        <w:rPr>
          <w:rFonts w:cstheme="minorHAnsi"/>
          <w:color w:val="000000"/>
          <w:sz w:val="18"/>
          <w:szCs w:val="18"/>
          <w:shd w:val="clear" w:color="auto" w:fill="FFFFFF"/>
        </w:rPr>
        <w:t xml:space="preserve">*For </w:t>
      </w:r>
      <w:r w:rsidR="0005665E">
        <w:rPr>
          <w:rFonts w:cstheme="minorHAnsi"/>
          <w:color w:val="000000"/>
          <w:sz w:val="18"/>
          <w:szCs w:val="18"/>
          <w:shd w:val="clear" w:color="auto" w:fill="FFFFFF"/>
        </w:rPr>
        <w:t>additional</w:t>
      </w:r>
      <w:r w:rsidRPr="000A50F1">
        <w:rPr>
          <w:rFonts w:cstheme="minorHAnsi"/>
          <w:color w:val="000000"/>
          <w:sz w:val="18"/>
          <w:szCs w:val="18"/>
          <w:shd w:val="clear" w:color="auto" w:fill="FFFFFF"/>
        </w:rPr>
        <w:t xml:space="preserve"> information about how all these initiatives connect</w:t>
      </w:r>
      <w:r w:rsidR="001802DD">
        <w:rPr>
          <w:rFonts w:cstheme="minorHAnsi"/>
          <w:color w:val="000000"/>
          <w:sz w:val="18"/>
          <w:szCs w:val="18"/>
          <w:shd w:val="clear" w:color="auto" w:fill="FFFFFF"/>
        </w:rPr>
        <w:t>,</w:t>
      </w:r>
      <w:r w:rsidRPr="000A50F1">
        <w:rPr>
          <w:rFonts w:cstheme="minorHAnsi"/>
          <w:color w:val="000000"/>
          <w:sz w:val="18"/>
          <w:szCs w:val="18"/>
          <w:shd w:val="clear" w:color="auto" w:fill="FFFFFF"/>
        </w:rPr>
        <w:t xml:space="preserve"> see the section below on “</w:t>
      </w:r>
      <w:hyperlink w:anchor="Intersecting_Initiatives" w:history="1">
        <w:r w:rsidRPr="0005665E">
          <w:rPr>
            <w:rStyle w:val="Hyperlink"/>
            <w:rFonts w:cstheme="minorHAnsi"/>
            <w:sz w:val="18"/>
            <w:szCs w:val="18"/>
            <w:shd w:val="clear" w:color="auto" w:fill="FFFFFF"/>
          </w:rPr>
          <w:t>Intersecting Initiatives</w:t>
        </w:r>
      </w:hyperlink>
      <w:r w:rsidRPr="000A50F1">
        <w:rPr>
          <w:rFonts w:cstheme="minorHAnsi"/>
          <w:color w:val="000000"/>
          <w:sz w:val="18"/>
          <w:szCs w:val="18"/>
          <w:shd w:val="clear" w:color="auto" w:fill="FFFFFF"/>
        </w:rPr>
        <w:t>”</w:t>
      </w:r>
    </w:p>
    <w:p w14:paraId="13842637" w14:textId="77777777" w:rsidR="000A50F1" w:rsidRPr="00F7380A" w:rsidRDefault="000A50F1" w:rsidP="00EC73DC">
      <w:pPr>
        <w:spacing w:after="0"/>
        <w:rPr>
          <w:rFonts w:cstheme="minorHAnsi"/>
          <w:color w:val="000000"/>
          <w:sz w:val="14"/>
          <w:shd w:val="clear" w:color="auto" w:fill="FFFFFF"/>
        </w:rPr>
      </w:pPr>
    </w:p>
    <w:p w14:paraId="7DB3096B" w14:textId="346F053E" w:rsidR="00B03701" w:rsidRDefault="00FB4476" w:rsidP="00AD7819">
      <w:pPr>
        <w:spacing w:after="0"/>
        <w:rPr>
          <w:rFonts w:cstheme="minorHAnsi"/>
        </w:rPr>
      </w:pPr>
      <w:r>
        <w:rPr>
          <w:rFonts w:cstheme="minorHAnsi"/>
          <w:color w:val="000000"/>
          <w:shd w:val="clear" w:color="auto" w:fill="FFFFFF"/>
        </w:rPr>
        <w:t xml:space="preserve">As is indicated above, </w:t>
      </w:r>
      <w:r w:rsidR="001802DD" w:rsidRPr="00180DD9">
        <w:rPr>
          <w:rFonts w:cstheme="minorHAnsi"/>
          <w:b/>
          <w:color w:val="000000"/>
          <w:shd w:val="clear" w:color="auto" w:fill="FFFFFF"/>
        </w:rPr>
        <w:t>D</w:t>
      </w:r>
      <w:r w:rsidR="00EC73DC" w:rsidRPr="00B9211F">
        <w:rPr>
          <w:rFonts w:cstheme="minorHAnsi"/>
          <w:b/>
          <w:color w:val="000000"/>
          <w:shd w:val="clear" w:color="auto" w:fill="FFFFFF"/>
        </w:rPr>
        <w:t xml:space="preserve">ESE will </w:t>
      </w:r>
      <w:r w:rsidR="00EC73DC">
        <w:rPr>
          <w:rFonts w:cstheme="minorHAnsi"/>
          <w:b/>
          <w:color w:val="000000"/>
          <w:shd w:val="clear" w:color="auto" w:fill="FFFFFF"/>
        </w:rPr>
        <w:t>collect a statement of assurance</w:t>
      </w:r>
      <w:r w:rsidR="003F19A3">
        <w:rPr>
          <w:rFonts w:cstheme="minorHAnsi"/>
          <w:b/>
          <w:color w:val="000000"/>
          <w:shd w:val="clear" w:color="auto" w:fill="FFFFFF"/>
        </w:rPr>
        <w:t xml:space="preserve"> (see A</w:t>
      </w:r>
      <w:r w:rsidR="00792620">
        <w:rPr>
          <w:rFonts w:cstheme="minorHAnsi"/>
          <w:b/>
          <w:color w:val="000000"/>
          <w:shd w:val="clear" w:color="auto" w:fill="FFFFFF"/>
        </w:rPr>
        <w:t xml:space="preserve">ppendix </w:t>
      </w:r>
      <w:r w:rsidR="00AD7819">
        <w:rPr>
          <w:rFonts w:cstheme="minorHAnsi"/>
          <w:b/>
          <w:color w:val="000000"/>
          <w:shd w:val="clear" w:color="auto" w:fill="FFFFFF"/>
        </w:rPr>
        <w:t>C</w:t>
      </w:r>
      <w:r w:rsidR="00792620">
        <w:rPr>
          <w:rFonts w:cstheme="minorHAnsi"/>
          <w:b/>
          <w:color w:val="000000"/>
          <w:shd w:val="clear" w:color="auto" w:fill="FFFFFF"/>
        </w:rPr>
        <w:t>)</w:t>
      </w:r>
      <w:r w:rsidR="00EC73DC">
        <w:rPr>
          <w:rFonts w:cstheme="minorHAnsi"/>
          <w:b/>
          <w:color w:val="000000"/>
          <w:shd w:val="clear" w:color="auto" w:fill="FFFFFF"/>
        </w:rPr>
        <w:t xml:space="preserve"> from all </w:t>
      </w:r>
      <w:r w:rsidR="00792620">
        <w:rPr>
          <w:rFonts w:cstheme="minorHAnsi"/>
          <w:b/>
          <w:color w:val="000000"/>
          <w:shd w:val="clear" w:color="auto" w:fill="FFFFFF"/>
        </w:rPr>
        <w:t>Sponsoring Organizations</w:t>
      </w:r>
      <w:r w:rsidR="00EC73DC">
        <w:rPr>
          <w:rFonts w:cstheme="minorHAnsi"/>
          <w:b/>
          <w:color w:val="000000"/>
          <w:shd w:val="clear" w:color="auto" w:fill="FFFFFF"/>
        </w:rPr>
        <w:t xml:space="preserve"> by</w:t>
      </w:r>
      <w:r w:rsidR="00EC73DC" w:rsidRPr="00B9211F">
        <w:rPr>
          <w:rFonts w:cstheme="minorHAnsi"/>
          <w:b/>
          <w:color w:val="000000"/>
          <w:shd w:val="clear" w:color="auto" w:fill="FFFFFF"/>
        </w:rPr>
        <w:t xml:space="preserve"> </w:t>
      </w:r>
      <w:r w:rsidR="00EC73DC">
        <w:rPr>
          <w:rFonts w:cstheme="minorHAnsi"/>
          <w:b/>
          <w:color w:val="000000"/>
          <w:shd w:val="clear" w:color="auto" w:fill="FFFFFF"/>
        </w:rPr>
        <w:t>May 2020</w:t>
      </w:r>
      <w:r w:rsidR="00D15F4C">
        <w:rPr>
          <w:rFonts w:cstheme="minorHAnsi"/>
          <w:b/>
          <w:color w:val="000000"/>
          <w:shd w:val="clear" w:color="auto" w:fill="FFFFFF"/>
        </w:rPr>
        <w:t xml:space="preserve"> </w:t>
      </w:r>
      <w:r w:rsidR="00792620">
        <w:rPr>
          <w:rFonts w:cstheme="minorHAnsi"/>
          <w:color w:val="000000"/>
          <w:shd w:val="clear" w:color="auto" w:fill="FFFFFF"/>
        </w:rPr>
        <w:t xml:space="preserve">as confirmation </w:t>
      </w:r>
      <w:r w:rsidR="00D15F4C" w:rsidRPr="00553597">
        <w:rPr>
          <w:rFonts w:cstheme="minorHAnsi"/>
          <w:color w:val="000000"/>
          <w:shd w:val="clear" w:color="auto" w:fill="FFFFFF"/>
        </w:rPr>
        <w:t xml:space="preserve">that </w:t>
      </w:r>
      <w:r w:rsidR="00792620">
        <w:rPr>
          <w:rFonts w:cstheme="minorHAnsi"/>
          <w:color w:val="000000"/>
          <w:shd w:val="clear" w:color="auto" w:fill="FFFFFF"/>
        </w:rPr>
        <w:t xml:space="preserve">all </w:t>
      </w:r>
      <w:r w:rsidR="00D15F4C" w:rsidRPr="00553597">
        <w:rPr>
          <w:rFonts w:cstheme="minorHAnsi"/>
          <w:color w:val="000000"/>
          <w:shd w:val="clear" w:color="auto" w:fill="FFFFFF"/>
        </w:rPr>
        <w:t>educator preparation programs have made necessary changes</w:t>
      </w:r>
      <w:r w:rsidR="00EC73DC">
        <w:rPr>
          <w:rFonts w:cstheme="minorHAnsi"/>
          <w:color w:val="000000"/>
          <w:shd w:val="clear" w:color="auto" w:fill="FFFFFF"/>
        </w:rPr>
        <w:t xml:space="preserve"> to programs of study to ensure candidates develop fluency with the SMKs for their license</w:t>
      </w:r>
      <w:r w:rsidR="00EC73DC" w:rsidRPr="00553597">
        <w:rPr>
          <w:rFonts w:cstheme="minorHAnsi"/>
          <w:color w:val="000000"/>
          <w:shd w:val="clear" w:color="auto" w:fill="FFFFFF"/>
        </w:rPr>
        <w:t xml:space="preserve">. </w:t>
      </w:r>
      <w:r w:rsidR="00B03701">
        <w:rPr>
          <w:rFonts w:cstheme="minorHAnsi"/>
          <w:color w:val="000000"/>
          <w:shd w:val="clear" w:color="auto" w:fill="FFFFFF"/>
        </w:rPr>
        <w:t xml:space="preserve"> </w:t>
      </w:r>
      <w:r w:rsidR="00B03701">
        <w:rPr>
          <w:rFonts w:cstheme="minorHAnsi"/>
        </w:rPr>
        <w:t>D</w:t>
      </w:r>
      <w:r w:rsidR="00B03701" w:rsidRPr="00553597">
        <w:rPr>
          <w:rFonts w:cstheme="minorHAnsi"/>
        </w:rPr>
        <w:t xml:space="preserve">ESE maintains the authority to request additional documentation </w:t>
      </w:r>
      <w:r w:rsidR="001802DD">
        <w:rPr>
          <w:rFonts w:cstheme="minorHAnsi"/>
        </w:rPr>
        <w:t>from</w:t>
      </w:r>
      <w:r w:rsidR="00B03701" w:rsidRPr="00553597">
        <w:rPr>
          <w:rFonts w:cstheme="minorHAnsi"/>
        </w:rPr>
        <w:t xml:space="preserve"> any Sponsoring Organization at any point to assess the quality of preparation provided to candidates.</w:t>
      </w:r>
    </w:p>
    <w:p w14:paraId="71D33832" w14:textId="77777777" w:rsidR="00AD7819" w:rsidRDefault="00AD7819" w:rsidP="00AD7819">
      <w:pPr>
        <w:spacing w:after="0"/>
        <w:rPr>
          <w:rFonts w:cstheme="minorHAnsi"/>
        </w:rPr>
      </w:pPr>
    </w:p>
    <w:p w14:paraId="17AB5E9C" w14:textId="2889A722" w:rsidR="00F90D34" w:rsidRDefault="00F90D34" w:rsidP="00F90D34">
      <w:pPr>
        <w:pStyle w:val="IntenseQuote"/>
        <w:rPr>
          <w:shd w:val="clear" w:color="auto" w:fill="FFFFFF"/>
        </w:rPr>
      </w:pPr>
      <w:r>
        <w:rPr>
          <w:shd w:val="clear" w:color="auto" w:fill="FFFFFF"/>
        </w:rPr>
        <w:t>Implications on Licensure Processes</w:t>
      </w:r>
    </w:p>
    <w:p w14:paraId="49A3C8A6" w14:textId="56F2DEEE" w:rsidR="00F7380A" w:rsidRDefault="00F7380A" w:rsidP="00F7380A">
      <w:pPr>
        <w:rPr>
          <w:rFonts w:cstheme="minorHAnsi"/>
        </w:rPr>
      </w:pPr>
      <w:r>
        <w:rPr>
          <w:rFonts w:cstheme="minorHAnsi"/>
        </w:rPr>
        <w:t xml:space="preserve">There are two main areas of licensure that will be impacted by the SMK Guidelines (for detailed information on the impacts </w:t>
      </w:r>
      <w:r w:rsidR="001802DD">
        <w:rPr>
          <w:rFonts w:cstheme="minorHAnsi"/>
        </w:rPr>
        <w:t>to</w:t>
      </w:r>
      <w:r>
        <w:rPr>
          <w:rFonts w:cstheme="minorHAnsi"/>
        </w:rPr>
        <w:t xml:space="preserve"> specific licenses, please contact the </w:t>
      </w:r>
      <w:r w:rsidR="001802DD">
        <w:rPr>
          <w:rFonts w:cstheme="minorHAnsi"/>
        </w:rPr>
        <w:t xml:space="preserve">DESE </w:t>
      </w:r>
      <w:r>
        <w:rPr>
          <w:rFonts w:cstheme="minorHAnsi"/>
        </w:rPr>
        <w:t>Licensure Office at 781-338-6600):</w:t>
      </w:r>
    </w:p>
    <w:p w14:paraId="2B556751" w14:textId="77777777" w:rsidR="00F7380A" w:rsidRDefault="00F7380A" w:rsidP="00F7380A">
      <w:pPr>
        <w:pStyle w:val="ListParagraph"/>
        <w:numPr>
          <w:ilvl w:val="0"/>
          <w:numId w:val="15"/>
        </w:numPr>
      </w:pPr>
      <w:r>
        <w:rPr>
          <w:rFonts w:cstheme="minorHAnsi"/>
        </w:rPr>
        <w:lastRenderedPageBreak/>
        <w:t xml:space="preserve">Competency Review to obtain a provisional license or obtain an additional initial or professional license in a new field. </w:t>
      </w:r>
    </w:p>
    <w:p w14:paraId="06694E32" w14:textId="77777777" w:rsidR="00F7380A" w:rsidRDefault="00F7380A" w:rsidP="00F7380A">
      <w:pPr>
        <w:pStyle w:val="ListParagraph"/>
        <w:numPr>
          <w:ilvl w:val="0"/>
          <w:numId w:val="15"/>
        </w:numPr>
      </w:pPr>
      <w:r>
        <w:rPr>
          <w:rFonts w:cstheme="minorHAnsi"/>
        </w:rPr>
        <w:t xml:space="preserve">Obtaining a professional license via the option of possession of a master’s degree and at least 12-graduate credits in the content area of the license. </w:t>
      </w:r>
    </w:p>
    <w:p w14:paraId="10E97762" w14:textId="545C4085" w:rsidR="00F7380A" w:rsidRDefault="00F7380A" w:rsidP="00F7380A">
      <w:pPr>
        <w:spacing w:after="0"/>
        <w:rPr>
          <w:rFonts w:cstheme="minorHAnsi"/>
        </w:rPr>
      </w:pPr>
      <w:r>
        <w:t>Since the Competency Review is the process in which the D</w:t>
      </w:r>
      <w:r w:rsidR="001802DD">
        <w:t>ESE</w:t>
      </w:r>
      <w:r>
        <w:t xml:space="preserve"> ensures a candidate has obtained the necessary subject matter knowledge when a content test is not in place, the new SMKs will impact what candidates need to demonstrate. Similar impact will take place with candidates attempting to obtain their </w:t>
      </w:r>
      <w:r w:rsidR="001802DD">
        <w:t xml:space="preserve">professional </w:t>
      </w:r>
      <w:r>
        <w:t xml:space="preserve">license. Additionally, </w:t>
      </w:r>
      <w:r>
        <w:rPr>
          <w:rFonts w:cstheme="minorHAnsi"/>
        </w:rPr>
        <w:t>courses in the crosscutting knowledge section of the SMK Guidelines will not count towards advancing an initial license to a professional license.</w:t>
      </w:r>
    </w:p>
    <w:p w14:paraId="29E34BFD" w14:textId="77777777" w:rsidR="00F7380A" w:rsidRDefault="00F7380A" w:rsidP="00F7380A">
      <w:pPr>
        <w:pStyle w:val="IntenseQuote"/>
        <w:spacing w:before="0" w:after="0"/>
        <w:rPr>
          <w:rStyle w:val="IntenseEmphasis"/>
          <w:i/>
          <w:iCs/>
          <w:color w:val="1F497D"/>
        </w:rPr>
      </w:pPr>
    </w:p>
    <w:p w14:paraId="0FEFA40A" w14:textId="07268AD1" w:rsidR="00EA4CA0" w:rsidRPr="00A57122" w:rsidRDefault="00F7380A" w:rsidP="00F7380A">
      <w:pPr>
        <w:pStyle w:val="IntenseQuote"/>
        <w:spacing w:before="0" w:after="0"/>
        <w:rPr>
          <w:rStyle w:val="IntenseEmphasis"/>
          <w:i/>
          <w:iCs/>
          <w:color w:val="1F497D"/>
        </w:rPr>
      </w:pPr>
      <w:r>
        <w:rPr>
          <w:rStyle w:val="IntenseEmphasis"/>
          <w:i/>
          <w:iCs/>
          <w:color w:val="1F497D"/>
        </w:rPr>
        <w:t>Support for</w:t>
      </w:r>
      <w:r w:rsidR="00EA4CA0" w:rsidRPr="00A57122">
        <w:rPr>
          <w:rStyle w:val="IntenseEmphasis"/>
          <w:i/>
          <w:iCs/>
          <w:color w:val="1F497D"/>
        </w:rPr>
        <w:t xml:space="preserve"> Implementation </w:t>
      </w:r>
    </w:p>
    <w:p w14:paraId="7774DCAF" w14:textId="3EF2CB95" w:rsidR="00237387" w:rsidRPr="00740878" w:rsidRDefault="00EA4CA0">
      <w:pPr>
        <w:rPr>
          <w:rFonts w:cstheme="minorHAnsi"/>
        </w:rPr>
      </w:pPr>
      <w:r w:rsidRPr="00553597">
        <w:rPr>
          <w:rFonts w:cstheme="minorHAnsi"/>
        </w:rPr>
        <w:t xml:space="preserve">Sponsoring Organizations are responsible for implementing the </w:t>
      </w:r>
      <w:r w:rsidR="00FB794C" w:rsidRPr="00553597">
        <w:rPr>
          <w:rFonts w:cstheme="minorHAnsi"/>
        </w:rPr>
        <w:t>SMK requirements</w:t>
      </w:r>
      <w:r w:rsidRPr="00553597">
        <w:rPr>
          <w:rFonts w:cstheme="minorHAnsi"/>
        </w:rPr>
        <w:t xml:space="preserve">. </w:t>
      </w:r>
      <w:r w:rsidR="00237387">
        <w:rPr>
          <w:rFonts w:cstheme="minorHAnsi"/>
        </w:rPr>
        <w:t xml:space="preserve">While many </w:t>
      </w:r>
      <w:r w:rsidR="00BF3710">
        <w:rPr>
          <w:rFonts w:cstheme="minorHAnsi"/>
        </w:rPr>
        <w:t>o</w:t>
      </w:r>
      <w:r w:rsidR="00237387">
        <w:rPr>
          <w:rFonts w:cstheme="minorHAnsi"/>
        </w:rPr>
        <w:t xml:space="preserve">rganizations are familiar with the </w:t>
      </w:r>
      <w:r w:rsidR="00BF3710" w:rsidRPr="00BF3710">
        <w:rPr>
          <w:rFonts w:cstheme="minorHAnsi"/>
          <w:i/>
        </w:rPr>
        <w:t>F</w:t>
      </w:r>
      <w:r w:rsidR="00237387" w:rsidRPr="00BF3710">
        <w:rPr>
          <w:rFonts w:cstheme="minorHAnsi"/>
          <w:i/>
        </w:rPr>
        <w:t>rameworks</w:t>
      </w:r>
      <w:r w:rsidR="00237387">
        <w:rPr>
          <w:rFonts w:cstheme="minorHAnsi"/>
        </w:rPr>
        <w:t xml:space="preserve">, </w:t>
      </w:r>
      <w:r w:rsidR="001802DD">
        <w:rPr>
          <w:rFonts w:cstheme="minorHAnsi"/>
        </w:rPr>
        <w:t>D</w:t>
      </w:r>
      <w:r w:rsidR="00237387">
        <w:rPr>
          <w:rFonts w:cstheme="minorHAnsi"/>
        </w:rPr>
        <w:t xml:space="preserve">ESE recognizes educator preparation faculty may not </w:t>
      </w:r>
      <w:r w:rsidR="00297894">
        <w:rPr>
          <w:rFonts w:cstheme="minorHAnsi"/>
        </w:rPr>
        <w:t xml:space="preserve">yet </w:t>
      </w:r>
      <w:r w:rsidR="00237387">
        <w:rPr>
          <w:rFonts w:cstheme="minorHAnsi"/>
        </w:rPr>
        <w:t xml:space="preserve">have </w:t>
      </w:r>
      <w:r w:rsidR="00E411A1">
        <w:rPr>
          <w:rFonts w:cstheme="minorHAnsi"/>
        </w:rPr>
        <w:t xml:space="preserve">extensive </w:t>
      </w:r>
      <w:r w:rsidR="00AD7819">
        <w:rPr>
          <w:rFonts w:cstheme="minorHAnsi"/>
        </w:rPr>
        <w:t>exposure and experience</w:t>
      </w:r>
      <w:r w:rsidR="00E411A1">
        <w:rPr>
          <w:rFonts w:cstheme="minorHAnsi"/>
        </w:rPr>
        <w:t xml:space="preserve"> with the </w:t>
      </w:r>
      <w:r w:rsidR="00E411A1">
        <w:rPr>
          <w:rFonts w:cstheme="minorHAnsi"/>
          <w:i/>
        </w:rPr>
        <w:t>Frameworks</w:t>
      </w:r>
      <w:r w:rsidR="00AE792D">
        <w:rPr>
          <w:rFonts w:cstheme="minorHAnsi"/>
        </w:rPr>
        <w:t xml:space="preserve">. </w:t>
      </w:r>
      <w:r w:rsidR="00740878">
        <w:rPr>
          <w:rFonts w:cstheme="minorHAnsi"/>
        </w:rPr>
        <w:t xml:space="preserve">In support of developing this knowledge, DESE </w:t>
      </w:r>
      <w:r w:rsidR="00AD7819">
        <w:rPr>
          <w:rFonts w:cstheme="minorHAnsi"/>
        </w:rPr>
        <w:t xml:space="preserve">recommends that providers leverage the many </w:t>
      </w:r>
      <w:r w:rsidR="00740878">
        <w:rPr>
          <w:rFonts w:cstheme="minorHAnsi"/>
        </w:rPr>
        <w:t xml:space="preserve">resources </w:t>
      </w:r>
      <w:r w:rsidR="00AD7819">
        <w:rPr>
          <w:rFonts w:cstheme="minorHAnsi"/>
        </w:rPr>
        <w:t>already available</w:t>
      </w:r>
      <w:r w:rsidR="00740878">
        <w:rPr>
          <w:rFonts w:cstheme="minorHAnsi"/>
        </w:rPr>
        <w:t>.</w:t>
      </w:r>
      <w:r w:rsidR="00B21246">
        <w:rPr>
          <w:rFonts w:cstheme="minorHAnsi"/>
        </w:rPr>
        <w:t xml:space="preserve"> </w:t>
      </w:r>
      <w:r w:rsidR="001802DD">
        <w:rPr>
          <w:rFonts w:cstheme="minorHAnsi"/>
        </w:rPr>
        <w:t>D</w:t>
      </w:r>
      <w:r w:rsidR="00B21246">
        <w:rPr>
          <w:rFonts w:cstheme="minorHAnsi"/>
        </w:rPr>
        <w:t xml:space="preserve">ESE commits to ongoing communication and dissemination of additional resources or supports as they become available. </w:t>
      </w:r>
      <w:r w:rsidR="004C0AEF">
        <w:rPr>
          <w:rFonts w:cstheme="minorHAnsi"/>
        </w:rPr>
        <w:t>For instance, over the next year, the bi-monthly Ed Prep Newsletter will include a</w:t>
      </w:r>
      <w:r w:rsidR="001802DD">
        <w:rPr>
          <w:rFonts w:cstheme="minorHAnsi"/>
        </w:rPr>
        <w:t>n entire</w:t>
      </w:r>
      <w:r w:rsidR="004C0AEF">
        <w:rPr>
          <w:rFonts w:cstheme="minorHAnsi"/>
        </w:rPr>
        <w:t xml:space="preserve"> section </w:t>
      </w:r>
      <w:r w:rsidR="001802DD">
        <w:rPr>
          <w:rFonts w:cstheme="minorHAnsi"/>
        </w:rPr>
        <w:t xml:space="preserve">dedicated to SMK </w:t>
      </w:r>
      <w:r w:rsidR="004C0AEF">
        <w:rPr>
          <w:rFonts w:cstheme="minorHAnsi"/>
        </w:rPr>
        <w:t xml:space="preserve">support and implementation resources. </w:t>
      </w:r>
    </w:p>
    <w:p w14:paraId="05D0730E" w14:textId="53BBB394" w:rsidR="00054829" w:rsidRDefault="00740878" w:rsidP="00AE792D">
      <w:pPr>
        <w:rPr>
          <w:rFonts w:cstheme="minorHAnsi"/>
        </w:rPr>
      </w:pPr>
      <w:r>
        <w:rPr>
          <w:rFonts w:cstheme="minorHAnsi"/>
        </w:rPr>
        <w:t>D</w:t>
      </w:r>
      <w:r w:rsidR="00AE792D">
        <w:rPr>
          <w:rFonts w:cstheme="minorHAnsi"/>
        </w:rPr>
        <w:t xml:space="preserve">ESE’s Center for Instructional Support </w:t>
      </w:r>
      <w:r w:rsidR="001802DD">
        <w:rPr>
          <w:rFonts w:cstheme="minorHAnsi"/>
        </w:rPr>
        <w:t xml:space="preserve">(CIS) </w:t>
      </w:r>
      <w:r w:rsidR="00AE792D">
        <w:rPr>
          <w:rFonts w:cstheme="minorHAnsi"/>
        </w:rPr>
        <w:t>developed several resources to aid the P</w:t>
      </w:r>
      <w:r w:rsidR="001802DD">
        <w:rPr>
          <w:rFonts w:cstheme="minorHAnsi"/>
        </w:rPr>
        <w:t>re-</w:t>
      </w:r>
      <w:r w:rsidR="00AE792D">
        <w:rPr>
          <w:rFonts w:cstheme="minorHAnsi"/>
        </w:rPr>
        <w:t>K</w:t>
      </w:r>
      <w:r w:rsidR="001802DD">
        <w:rPr>
          <w:rFonts w:cstheme="minorHAnsi"/>
        </w:rPr>
        <w:t>—</w:t>
      </w:r>
      <w:r w:rsidR="00AE792D">
        <w:rPr>
          <w:rFonts w:cstheme="minorHAnsi"/>
        </w:rPr>
        <w:t xml:space="preserve">12 field in deepening their familiarity with the </w:t>
      </w:r>
      <w:r w:rsidR="00AE792D" w:rsidRPr="008A07F3">
        <w:rPr>
          <w:rFonts w:cstheme="minorHAnsi"/>
          <w:i/>
        </w:rPr>
        <w:t>Frameworks</w:t>
      </w:r>
      <w:r w:rsidR="00AE792D">
        <w:rPr>
          <w:rFonts w:cstheme="minorHAnsi"/>
        </w:rPr>
        <w:t xml:space="preserve">. </w:t>
      </w:r>
      <w:r w:rsidR="00054829">
        <w:rPr>
          <w:rFonts w:cstheme="minorHAnsi"/>
        </w:rPr>
        <w:t>These resources include the:</w:t>
      </w:r>
    </w:p>
    <w:p w14:paraId="2A0645AB" w14:textId="423C7DDB" w:rsidR="00054829" w:rsidRPr="00054829" w:rsidRDefault="00AE792D" w:rsidP="00F7380A">
      <w:pPr>
        <w:pStyle w:val="ListParagraph"/>
        <w:numPr>
          <w:ilvl w:val="0"/>
          <w:numId w:val="13"/>
        </w:numPr>
        <w:rPr>
          <w:rFonts w:cstheme="minorHAnsi"/>
        </w:rPr>
      </w:pPr>
      <w:r w:rsidRPr="00054829">
        <w:rPr>
          <w:rFonts w:cstheme="minorHAnsi"/>
        </w:rPr>
        <w:t xml:space="preserve"> </w:t>
      </w:r>
      <w:hyperlink r:id="rId16" w:history="1">
        <w:r w:rsidRPr="00054829">
          <w:rPr>
            <w:rStyle w:val="Hyperlink"/>
            <w:rFonts w:cstheme="minorHAnsi"/>
            <w:i/>
          </w:rPr>
          <w:t>Frameworks</w:t>
        </w:r>
      </w:hyperlink>
      <w:r w:rsidRPr="00054829">
        <w:rPr>
          <w:rFonts w:cstheme="minorHAnsi"/>
        </w:rPr>
        <w:t xml:space="preserve"> website</w:t>
      </w:r>
      <w:r w:rsidR="001802DD">
        <w:rPr>
          <w:rFonts w:cstheme="minorHAnsi"/>
        </w:rPr>
        <w:t>. I</w:t>
      </w:r>
      <w:r w:rsidRPr="00054829">
        <w:rPr>
          <w:rFonts w:cstheme="minorHAnsi"/>
        </w:rPr>
        <w:t xml:space="preserve">n addition to housing all the </w:t>
      </w:r>
      <w:r w:rsidR="008A07F3" w:rsidRPr="00054829">
        <w:rPr>
          <w:rFonts w:cstheme="minorHAnsi"/>
          <w:i/>
        </w:rPr>
        <w:t>F</w:t>
      </w:r>
      <w:r w:rsidRPr="00054829">
        <w:rPr>
          <w:rFonts w:cstheme="minorHAnsi"/>
          <w:i/>
        </w:rPr>
        <w:t>rameworks</w:t>
      </w:r>
      <w:r w:rsidRPr="00054829">
        <w:rPr>
          <w:rFonts w:cstheme="minorHAnsi"/>
        </w:rPr>
        <w:t>, individuals have access to</w:t>
      </w:r>
      <w:r w:rsidR="00054829" w:rsidRPr="00054829">
        <w:rPr>
          <w:rFonts w:cstheme="minorHAnsi"/>
        </w:rPr>
        <w:t>:</w:t>
      </w:r>
    </w:p>
    <w:p w14:paraId="701CA1BB" w14:textId="6ED4F048" w:rsidR="00054829" w:rsidRDefault="00AE792D" w:rsidP="00F7380A">
      <w:pPr>
        <w:pStyle w:val="ListParagraph"/>
        <w:numPr>
          <w:ilvl w:val="1"/>
          <w:numId w:val="13"/>
        </w:numPr>
        <w:rPr>
          <w:rFonts w:cstheme="minorHAnsi"/>
        </w:rPr>
      </w:pPr>
      <w:r w:rsidRPr="00054829">
        <w:rPr>
          <w:rFonts w:cstheme="minorHAnsi"/>
        </w:rPr>
        <w:t xml:space="preserve">“Highlights” </w:t>
      </w:r>
      <w:r w:rsidR="00054829">
        <w:rPr>
          <w:rFonts w:cstheme="minorHAnsi"/>
        </w:rPr>
        <w:t>of the framework revisions that impact planning and assessment (available for Math</w:t>
      </w:r>
      <w:r w:rsidR="001802DD">
        <w:rPr>
          <w:rFonts w:cstheme="minorHAnsi"/>
        </w:rPr>
        <w:t>ematics</w:t>
      </w:r>
      <w:r w:rsidR="00054829">
        <w:rPr>
          <w:rFonts w:cstheme="minorHAnsi"/>
        </w:rPr>
        <w:t xml:space="preserve"> and </w:t>
      </w:r>
      <w:r w:rsidR="001802DD">
        <w:rPr>
          <w:rFonts w:cstheme="minorHAnsi"/>
        </w:rPr>
        <w:t>English Language Arts (</w:t>
      </w:r>
      <w:r w:rsidR="00054829">
        <w:rPr>
          <w:rFonts w:cstheme="minorHAnsi"/>
        </w:rPr>
        <w:t>ELA</w:t>
      </w:r>
      <w:r w:rsidR="001802DD">
        <w:rPr>
          <w:rFonts w:cstheme="minorHAnsi"/>
        </w:rPr>
        <w:t>)</w:t>
      </w:r>
      <w:r w:rsidR="00054829">
        <w:rPr>
          <w:rFonts w:cstheme="minorHAnsi"/>
        </w:rPr>
        <w:t>/Literacy)</w:t>
      </w:r>
    </w:p>
    <w:p w14:paraId="53F0589B" w14:textId="3B57D8A1" w:rsidR="00054829" w:rsidRDefault="000A50F1" w:rsidP="00F7380A">
      <w:pPr>
        <w:pStyle w:val="ListParagraph"/>
        <w:numPr>
          <w:ilvl w:val="1"/>
          <w:numId w:val="13"/>
        </w:numPr>
        <w:rPr>
          <w:rFonts w:cstheme="minorHAnsi"/>
        </w:rPr>
      </w:pPr>
      <w:r>
        <w:rPr>
          <w:rFonts w:cstheme="minorHAnsi"/>
        </w:rPr>
        <w:t>G</w:t>
      </w:r>
      <w:r w:rsidR="00AE792D" w:rsidRPr="00054829">
        <w:rPr>
          <w:rFonts w:cstheme="minorHAnsi"/>
        </w:rPr>
        <w:t xml:space="preserve">rade-by-grade explanations, and </w:t>
      </w:r>
    </w:p>
    <w:p w14:paraId="21F3219D" w14:textId="1F9BCE43" w:rsidR="00054829" w:rsidRDefault="00AE792D" w:rsidP="00F7380A">
      <w:pPr>
        <w:pStyle w:val="ListParagraph"/>
        <w:numPr>
          <w:ilvl w:val="1"/>
          <w:numId w:val="13"/>
        </w:numPr>
        <w:rPr>
          <w:rFonts w:cstheme="minorHAnsi"/>
        </w:rPr>
      </w:pPr>
      <w:r w:rsidRPr="00054829">
        <w:rPr>
          <w:rFonts w:cstheme="minorHAnsi"/>
        </w:rPr>
        <w:t xml:space="preserve">Quick Reference Guides (QRGs). The QRGs are each two pages and each cover a specific topic of importance in the corresponding </w:t>
      </w:r>
      <w:r w:rsidR="001802DD" w:rsidRPr="00A31EDC">
        <w:rPr>
          <w:rFonts w:cstheme="minorHAnsi"/>
          <w:i/>
        </w:rPr>
        <w:t>F</w:t>
      </w:r>
      <w:r w:rsidRPr="00A31EDC">
        <w:rPr>
          <w:rFonts w:cstheme="minorHAnsi"/>
          <w:i/>
        </w:rPr>
        <w:t>rameworks</w:t>
      </w:r>
      <w:r w:rsidRPr="00054829">
        <w:rPr>
          <w:rFonts w:cstheme="minorHAnsi"/>
        </w:rPr>
        <w:t xml:space="preserve">. </w:t>
      </w:r>
    </w:p>
    <w:p w14:paraId="7077D7D0" w14:textId="02FD3A30" w:rsidR="00054829" w:rsidRDefault="002B1779" w:rsidP="00F7380A">
      <w:pPr>
        <w:pStyle w:val="ListParagraph"/>
        <w:numPr>
          <w:ilvl w:val="0"/>
          <w:numId w:val="13"/>
        </w:numPr>
        <w:rPr>
          <w:rFonts w:cstheme="minorHAnsi"/>
        </w:rPr>
      </w:pPr>
      <w:hyperlink r:id="rId17" w:history="1">
        <w:r w:rsidR="00682B5E" w:rsidRPr="00054829">
          <w:rPr>
            <w:rStyle w:val="Hyperlink"/>
            <w:rFonts w:cstheme="minorHAnsi"/>
          </w:rPr>
          <w:t>Standards-Based Learning videos</w:t>
        </w:r>
      </w:hyperlink>
      <w:r w:rsidR="00682B5E" w:rsidRPr="00054829">
        <w:rPr>
          <w:rFonts w:cstheme="minorHAnsi"/>
        </w:rPr>
        <w:t xml:space="preserve"> </w:t>
      </w:r>
      <w:r w:rsidR="00682B5E" w:rsidRPr="00054829">
        <w:rPr>
          <w:rFonts w:cstheme="minorHAnsi"/>
          <w:color w:val="000000"/>
          <w:shd w:val="clear" w:color="auto" w:fill="FFFFFF"/>
        </w:rPr>
        <w:t>provide an overview of how educators are approaching standards-based learning in different content areas and grades. </w:t>
      </w:r>
      <w:r w:rsidR="00682B5E" w:rsidRPr="00054829">
        <w:rPr>
          <w:rFonts w:cstheme="minorHAnsi"/>
        </w:rPr>
        <w:t xml:space="preserve"> </w:t>
      </w:r>
      <w:hyperlink r:id="rId18" w:history="1">
        <w:r w:rsidR="00AE792D" w:rsidRPr="00054829">
          <w:rPr>
            <w:rStyle w:val="Hyperlink"/>
            <w:rFonts w:cstheme="minorHAnsi"/>
          </w:rPr>
          <w:t>What to Look For Observation Guides</w:t>
        </w:r>
      </w:hyperlink>
      <w:r w:rsidR="007539CB" w:rsidRPr="00054829">
        <w:rPr>
          <w:rFonts w:cstheme="minorHAnsi"/>
        </w:rPr>
        <w:t xml:space="preserve"> (WTLFs). The WTLFs summarize </w:t>
      </w:r>
      <w:r w:rsidR="007539CB" w:rsidRPr="00B03701">
        <w:rPr>
          <w:rFonts w:cstheme="minorHAnsi"/>
        </w:rPr>
        <w:t xml:space="preserve">standards for the relevant grade level and content area and lists teacher and student behaviors aligned with the model evaluation rubric and the </w:t>
      </w:r>
      <w:r w:rsidR="008310C7" w:rsidRPr="00A31EDC">
        <w:rPr>
          <w:rFonts w:cstheme="minorHAnsi"/>
          <w:i/>
        </w:rPr>
        <w:t>F</w:t>
      </w:r>
      <w:r w:rsidR="007539CB" w:rsidRPr="00A31EDC">
        <w:rPr>
          <w:rFonts w:cstheme="minorHAnsi"/>
          <w:i/>
        </w:rPr>
        <w:t>rameworks</w:t>
      </w:r>
      <w:r w:rsidR="007539CB" w:rsidRPr="00B03701">
        <w:rPr>
          <w:rFonts w:cstheme="minorHAnsi"/>
        </w:rPr>
        <w:t xml:space="preserve">. </w:t>
      </w:r>
    </w:p>
    <w:p w14:paraId="009FAE86" w14:textId="602954C9" w:rsidR="00237387" w:rsidRPr="00B03701" w:rsidRDefault="002B1779" w:rsidP="00F7380A">
      <w:pPr>
        <w:pStyle w:val="ListParagraph"/>
        <w:numPr>
          <w:ilvl w:val="0"/>
          <w:numId w:val="13"/>
        </w:numPr>
        <w:rPr>
          <w:rFonts w:cstheme="minorHAnsi"/>
        </w:rPr>
      </w:pPr>
      <w:hyperlink r:id="rId19" w:history="1">
        <w:r w:rsidR="007539CB" w:rsidRPr="00054829">
          <w:rPr>
            <w:rStyle w:val="Hyperlink"/>
            <w:rFonts w:cstheme="minorHAnsi"/>
          </w:rPr>
          <w:t>Writing Standards in Action</w:t>
        </w:r>
      </w:hyperlink>
      <w:r w:rsidR="007539CB" w:rsidRPr="00054829">
        <w:rPr>
          <w:rFonts w:cstheme="minorHAnsi"/>
        </w:rPr>
        <w:t xml:space="preserve"> (WSA) Project</w:t>
      </w:r>
      <w:r w:rsidR="008310C7">
        <w:rPr>
          <w:rFonts w:cstheme="minorHAnsi"/>
        </w:rPr>
        <w:t>,</w:t>
      </w:r>
      <w:r w:rsidR="007539CB" w:rsidRPr="00054829">
        <w:rPr>
          <w:rFonts w:cstheme="minorHAnsi"/>
        </w:rPr>
        <w:t xml:space="preserve"> </w:t>
      </w:r>
      <w:r w:rsidR="00054829">
        <w:rPr>
          <w:rFonts w:cstheme="minorHAnsi"/>
        </w:rPr>
        <w:t xml:space="preserve">which </w:t>
      </w:r>
      <w:r w:rsidR="007539CB" w:rsidRPr="00054829">
        <w:rPr>
          <w:rFonts w:cstheme="minorHAnsi"/>
        </w:rPr>
        <w:t xml:space="preserve">annotates student work to show how it demonstrates mastery of the Massachusetts </w:t>
      </w:r>
      <w:r w:rsidR="007539CB" w:rsidRPr="00B03701">
        <w:rPr>
          <w:rFonts w:cstheme="minorHAnsi"/>
        </w:rPr>
        <w:t xml:space="preserve">standards. </w:t>
      </w:r>
      <w:r w:rsidR="00E411A1" w:rsidRPr="00B03701">
        <w:rPr>
          <w:rFonts w:cstheme="minorHAnsi"/>
        </w:rPr>
        <w:t xml:space="preserve">The </w:t>
      </w:r>
      <w:hyperlink r:id="rId20" w:history="1">
        <w:r w:rsidR="00E411A1" w:rsidRPr="00A31EDC">
          <w:rPr>
            <w:rStyle w:val="Hyperlink"/>
            <w:i/>
          </w:rPr>
          <w:t>2017 ELA/L</w:t>
        </w:r>
        <w:r w:rsidR="007539CB" w:rsidRPr="00A31EDC">
          <w:rPr>
            <w:rStyle w:val="Hyperlink"/>
            <w:i/>
          </w:rPr>
          <w:t xml:space="preserve">iteracy </w:t>
        </w:r>
        <w:r w:rsidR="008310C7" w:rsidRPr="00A31EDC">
          <w:rPr>
            <w:rStyle w:val="Hyperlink"/>
            <w:i/>
          </w:rPr>
          <w:t>F</w:t>
        </w:r>
        <w:r w:rsidR="007539CB" w:rsidRPr="00A31EDC">
          <w:rPr>
            <w:rStyle w:val="Hyperlink"/>
            <w:i/>
          </w:rPr>
          <w:t>ramework</w:t>
        </w:r>
      </w:hyperlink>
      <w:r w:rsidR="007539CB" w:rsidRPr="00B03701">
        <w:rPr>
          <w:rFonts w:cstheme="minorHAnsi"/>
        </w:rPr>
        <w:t xml:space="preserve"> also links directly from specific standards to relevant writing samples.</w:t>
      </w:r>
    </w:p>
    <w:p w14:paraId="08F6F94A" w14:textId="3C992705" w:rsidR="00EA4CA0" w:rsidRDefault="00AE792D" w:rsidP="0005665E">
      <w:pPr>
        <w:spacing w:after="0"/>
        <w:rPr>
          <w:rFonts w:cstheme="minorHAnsi"/>
        </w:rPr>
      </w:pPr>
      <w:r>
        <w:rPr>
          <w:rFonts w:cstheme="minorHAnsi"/>
        </w:rPr>
        <w:t xml:space="preserve">In the 2018-19 academic year, </w:t>
      </w:r>
      <w:r w:rsidR="006C2035">
        <w:rPr>
          <w:rFonts w:cstheme="minorHAnsi"/>
        </w:rPr>
        <w:t>D</w:t>
      </w:r>
      <w:r>
        <w:rPr>
          <w:rFonts w:cstheme="minorHAnsi"/>
        </w:rPr>
        <w:t xml:space="preserve">ESE will develop </w:t>
      </w:r>
      <w:r w:rsidR="005305B5">
        <w:rPr>
          <w:rFonts w:cstheme="minorHAnsi"/>
        </w:rPr>
        <w:t xml:space="preserve">additional </w:t>
      </w:r>
      <w:r>
        <w:rPr>
          <w:rFonts w:cstheme="minorHAnsi"/>
        </w:rPr>
        <w:t>resources to support educators a</w:t>
      </w:r>
      <w:r w:rsidR="005305B5">
        <w:rPr>
          <w:rFonts w:cstheme="minorHAnsi"/>
        </w:rPr>
        <w:t>nd leaders in providing content-</w:t>
      </w:r>
      <w:r>
        <w:rPr>
          <w:rFonts w:cstheme="minorHAnsi"/>
        </w:rPr>
        <w:t>specific feedback to classroom teachers in order to sup</w:t>
      </w:r>
      <w:r w:rsidR="006C2035">
        <w:rPr>
          <w:rFonts w:cstheme="minorHAnsi"/>
        </w:rPr>
        <w:t xml:space="preserve">port stronger student outcomes. </w:t>
      </w:r>
      <w:r>
        <w:rPr>
          <w:rFonts w:cstheme="minorHAnsi"/>
        </w:rPr>
        <w:t xml:space="preserve">As this work develops, </w:t>
      </w:r>
      <w:r w:rsidR="00E411A1">
        <w:rPr>
          <w:rFonts w:cstheme="minorHAnsi"/>
        </w:rPr>
        <w:t>D</w:t>
      </w:r>
      <w:r>
        <w:rPr>
          <w:rFonts w:cstheme="minorHAnsi"/>
        </w:rPr>
        <w:t xml:space="preserve">ESE </w:t>
      </w:r>
      <w:r w:rsidR="000A50F1">
        <w:rPr>
          <w:rFonts w:cstheme="minorHAnsi"/>
        </w:rPr>
        <w:t>encourages</w:t>
      </w:r>
      <w:r>
        <w:rPr>
          <w:rFonts w:cstheme="minorHAnsi"/>
        </w:rPr>
        <w:t xml:space="preserve"> individuals from </w:t>
      </w:r>
      <w:r w:rsidR="00E411A1">
        <w:rPr>
          <w:rFonts w:cstheme="minorHAnsi"/>
        </w:rPr>
        <w:t>Sponsoring Organizations</w:t>
      </w:r>
      <w:r>
        <w:rPr>
          <w:rFonts w:cstheme="minorHAnsi"/>
        </w:rPr>
        <w:t xml:space="preserve"> to </w:t>
      </w:r>
      <w:r w:rsidR="008310C7">
        <w:rPr>
          <w:rFonts w:cstheme="minorHAnsi"/>
        </w:rPr>
        <w:t xml:space="preserve">leverage </w:t>
      </w:r>
      <w:r>
        <w:rPr>
          <w:rFonts w:cstheme="minorHAnsi"/>
        </w:rPr>
        <w:t>the</w:t>
      </w:r>
      <w:r w:rsidR="000E600E">
        <w:rPr>
          <w:rFonts w:cstheme="minorHAnsi"/>
        </w:rPr>
        <w:t>se</w:t>
      </w:r>
      <w:r>
        <w:rPr>
          <w:rFonts w:cstheme="minorHAnsi"/>
        </w:rPr>
        <w:t xml:space="preserve"> supports</w:t>
      </w:r>
      <w:r w:rsidR="008310C7">
        <w:rPr>
          <w:rFonts w:cstheme="minorHAnsi"/>
        </w:rPr>
        <w:t xml:space="preserve"> when redesigning their educator preparation programs</w:t>
      </w:r>
      <w:r w:rsidR="005305B5">
        <w:rPr>
          <w:rFonts w:cstheme="minorHAnsi"/>
        </w:rPr>
        <w:t xml:space="preserve">. </w:t>
      </w:r>
      <w:r w:rsidR="00EA4CA0" w:rsidRPr="00553597">
        <w:rPr>
          <w:rFonts w:cstheme="minorHAnsi"/>
        </w:rPr>
        <w:t xml:space="preserve"> </w:t>
      </w:r>
    </w:p>
    <w:p w14:paraId="78F7394D" w14:textId="77777777" w:rsidR="0005665E" w:rsidRPr="00553597" w:rsidRDefault="0005665E" w:rsidP="0005665E">
      <w:pPr>
        <w:spacing w:after="0"/>
        <w:rPr>
          <w:rFonts w:cstheme="minorHAnsi"/>
        </w:rPr>
      </w:pPr>
    </w:p>
    <w:p w14:paraId="08923C63" w14:textId="77777777" w:rsidR="00F7380A" w:rsidRDefault="00F7380A">
      <w:pPr>
        <w:rPr>
          <w:rFonts w:eastAsia="Times New Roman" w:cstheme="minorHAnsi"/>
          <w:bCs/>
          <w:i/>
          <w:iCs/>
          <w:color w:val="1F497D"/>
        </w:rPr>
      </w:pPr>
      <w:bookmarkStart w:id="1" w:name="Intersecting_Initiatives"/>
      <w:r>
        <w:rPr>
          <w:rFonts w:cstheme="minorHAnsi"/>
        </w:rPr>
        <w:br w:type="page"/>
      </w:r>
    </w:p>
    <w:p w14:paraId="05C63E9D" w14:textId="6CA81DF5" w:rsidR="00FA3E50" w:rsidRPr="00553597" w:rsidRDefault="00FA3E50" w:rsidP="00FA3E50">
      <w:pPr>
        <w:pStyle w:val="IntenseQuote"/>
        <w:spacing w:before="0" w:after="0"/>
        <w:rPr>
          <w:rFonts w:asciiTheme="minorHAnsi" w:hAnsiTheme="minorHAnsi" w:cstheme="minorHAnsi"/>
          <w:szCs w:val="22"/>
        </w:rPr>
      </w:pPr>
      <w:r w:rsidRPr="00553597">
        <w:rPr>
          <w:rFonts w:asciiTheme="minorHAnsi" w:hAnsiTheme="minorHAnsi" w:cstheme="minorHAnsi"/>
          <w:szCs w:val="22"/>
        </w:rPr>
        <w:lastRenderedPageBreak/>
        <w:t>Intersecting Initiatives</w:t>
      </w:r>
    </w:p>
    <w:bookmarkEnd w:id="1"/>
    <w:p w14:paraId="215CCAE4" w14:textId="79E83417" w:rsidR="00FA3E50" w:rsidRPr="00553597" w:rsidRDefault="00FA3E50" w:rsidP="00FA3E50">
      <w:pPr>
        <w:rPr>
          <w:rFonts w:cstheme="minorHAnsi"/>
        </w:rPr>
      </w:pPr>
      <w:r w:rsidRPr="00553597">
        <w:rPr>
          <w:rFonts w:cstheme="minorHAnsi"/>
        </w:rPr>
        <w:t xml:space="preserve">The </w:t>
      </w:r>
      <w:r w:rsidR="005B73EF" w:rsidRPr="00553597">
        <w:rPr>
          <w:rFonts w:cstheme="minorHAnsi"/>
        </w:rPr>
        <w:t xml:space="preserve">SMK </w:t>
      </w:r>
      <w:r w:rsidR="00E411A1">
        <w:rPr>
          <w:rFonts w:cstheme="minorHAnsi"/>
        </w:rPr>
        <w:t>G</w:t>
      </w:r>
      <w:r w:rsidR="005B73EF" w:rsidRPr="00553597">
        <w:rPr>
          <w:rFonts w:cstheme="minorHAnsi"/>
        </w:rPr>
        <w:t>uidelines</w:t>
      </w:r>
      <w:r w:rsidRPr="00553597">
        <w:rPr>
          <w:rFonts w:cstheme="minorHAnsi"/>
        </w:rPr>
        <w:t xml:space="preserve"> represent one component of a broader set of </w:t>
      </w:r>
      <w:r w:rsidR="005B73EF" w:rsidRPr="00553597">
        <w:rPr>
          <w:rFonts w:cstheme="minorHAnsi"/>
        </w:rPr>
        <w:t>initiatives</w:t>
      </w:r>
      <w:r w:rsidRPr="00553597">
        <w:rPr>
          <w:rFonts w:cstheme="minorHAnsi"/>
        </w:rPr>
        <w:t xml:space="preserve"> that impact preparation in Massachusetts. It is critical that these initiatives </w:t>
      </w:r>
      <w:r w:rsidR="00E411A1">
        <w:rPr>
          <w:rFonts w:cstheme="minorHAnsi"/>
        </w:rPr>
        <w:t xml:space="preserve">be implemented in a cohesive manner. Below are descriptions of </w:t>
      </w:r>
      <w:r w:rsidR="0038133E">
        <w:rPr>
          <w:rFonts w:cstheme="minorHAnsi"/>
        </w:rPr>
        <w:t xml:space="preserve">other </w:t>
      </w:r>
      <w:r w:rsidRPr="00553597">
        <w:rPr>
          <w:rFonts w:cstheme="minorHAnsi"/>
        </w:rPr>
        <w:t xml:space="preserve">initiatives, which are directly </w:t>
      </w:r>
      <w:r w:rsidR="0005665E">
        <w:rPr>
          <w:rFonts w:cstheme="minorHAnsi"/>
        </w:rPr>
        <w:t>connected</w:t>
      </w:r>
      <w:r w:rsidRPr="00553597">
        <w:rPr>
          <w:rFonts w:cstheme="minorHAnsi"/>
        </w:rPr>
        <w:t xml:space="preserve"> to </w:t>
      </w:r>
      <w:r w:rsidR="005B73EF" w:rsidRPr="00553597">
        <w:rPr>
          <w:rFonts w:cstheme="minorHAnsi"/>
        </w:rPr>
        <w:t xml:space="preserve">SMK </w:t>
      </w:r>
      <w:r w:rsidR="00E411A1">
        <w:rPr>
          <w:rFonts w:cstheme="minorHAnsi"/>
        </w:rPr>
        <w:t>implementation</w:t>
      </w:r>
      <w:r w:rsidRPr="00553597">
        <w:rPr>
          <w:rFonts w:cstheme="minorHAnsi"/>
        </w:rPr>
        <w:t>.</w:t>
      </w:r>
    </w:p>
    <w:tbl>
      <w:tblPr>
        <w:tblW w:w="9720"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800"/>
        <w:gridCol w:w="4320"/>
        <w:gridCol w:w="3600"/>
      </w:tblGrid>
      <w:tr w:rsidR="00FA3E50" w:rsidRPr="00553597" w14:paraId="5E682330" w14:textId="77777777" w:rsidTr="00943753">
        <w:trPr>
          <w:tblHeader/>
        </w:trPr>
        <w:tc>
          <w:tcPr>
            <w:tcW w:w="1800" w:type="dxa"/>
            <w:shd w:val="clear" w:color="auto" w:fill="FABF8F"/>
            <w:vAlign w:val="center"/>
          </w:tcPr>
          <w:p w14:paraId="7FE05159" w14:textId="77777777" w:rsidR="00FA3E50" w:rsidRPr="00553597" w:rsidRDefault="00FA3E50" w:rsidP="00943753">
            <w:pPr>
              <w:spacing w:after="0"/>
              <w:rPr>
                <w:rFonts w:cstheme="minorHAnsi"/>
                <w:b/>
              </w:rPr>
            </w:pPr>
            <w:r w:rsidRPr="00553597">
              <w:rPr>
                <w:rFonts w:cstheme="minorHAnsi"/>
                <w:b/>
              </w:rPr>
              <w:t>Intersecting Initiative</w:t>
            </w:r>
          </w:p>
        </w:tc>
        <w:tc>
          <w:tcPr>
            <w:tcW w:w="4320" w:type="dxa"/>
            <w:shd w:val="clear" w:color="auto" w:fill="FABF8F"/>
            <w:vAlign w:val="center"/>
          </w:tcPr>
          <w:p w14:paraId="5B9DB496" w14:textId="77777777" w:rsidR="00FA3E50" w:rsidRPr="00553597" w:rsidRDefault="00FA3E50" w:rsidP="00943753">
            <w:pPr>
              <w:spacing w:after="0"/>
              <w:jc w:val="center"/>
              <w:rPr>
                <w:rFonts w:cstheme="minorHAnsi"/>
                <w:b/>
              </w:rPr>
            </w:pPr>
            <w:r w:rsidRPr="00553597">
              <w:rPr>
                <w:rFonts w:cstheme="minorHAnsi"/>
                <w:b/>
              </w:rPr>
              <w:t>Overview</w:t>
            </w:r>
          </w:p>
        </w:tc>
        <w:tc>
          <w:tcPr>
            <w:tcW w:w="3600" w:type="dxa"/>
            <w:shd w:val="clear" w:color="auto" w:fill="FABF8F"/>
            <w:vAlign w:val="center"/>
          </w:tcPr>
          <w:p w14:paraId="4C25BA47" w14:textId="77777777" w:rsidR="00FA3E50" w:rsidRPr="00553597" w:rsidRDefault="00FA3E50" w:rsidP="00943753">
            <w:pPr>
              <w:spacing w:after="0"/>
              <w:jc w:val="center"/>
              <w:rPr>
                <w:rFonts w:cstheme="minorHAnsi"/>
                <w:b/>
              </w:rPr>
            </w:pPr>
            <w:r w:rsidRPr="00553597">
              <w:rPr>
                <w:rFonts w:cstheme="minorHAnsi"/>
                <w:b/>
              </w:rPr>
              <w:t xml:space="preserve">Connection to </w:t>
            </w:r>
            <w:r w:rsidR="005B73EF" w:rsidRPr="00553597">
              <w:rPr>
                <w:rFonts w:cstheme="minorHAnsi"/>
                <w:b/>
              </w:rPr>
              <w:t>SMKs</w:t>
            </w:r>
          </w:p>
        </w:tc>
      </w:tr>
      <w:tr w:rsidR="00FA3E50" w:rsidRPr="00553597" w14:paraId="75400371" w14:textId="77777777" w:rsidTr="00943753">
        <w:trPr>
          <w:trHeight w:val="476"/>
        </w:trPr>
        <w:tc>
          <w:tcPr>
            <w:tcW w:w="1800" w:type="dxa"/>
          </w:tcPr>
          <w:p w14:paraId="24021762" w14:textId="64F59A71" w:rsidR="00FA3E50" w:rsidRPr="00553597" w:rsidRDefault="002B1779" w:rsidP="007934DE">
            <w:pPr>
              <w:spacing w:after="0"/>
              <w:rPr>
                <w:rFonts w:cstheme="minorHAnsi"/>
              </w:rPr>
            </w:pPr>
            <w:hyperlink r:id="rId21" w:history="1">
              <w:r w:rsidR="00FA3E50" w:rsidRPr="000E59F2">
                <w:rPr>
                  <w:rStyle w:val="Hyperlink"/>
                  <w:rFonts w:cstheme="minorHAnsi"/>
                </w:rPr>
                <w:t>Massachusetts Curriculum Frameworks</w:t>
              </w:r>
            </w:hyperlink>
          </w:p>
          <w:p w14:paraId="7F47C09F" w14:textId="77777777" w:rsidR="00CD20FE" w:rsidRPr="00553597" w:rsidRDefault="00CD20FE" w:rsidP="007934DE">
            <w:pPr>
              <w:spacing w:after="0"/>
              <w:rPr>
                <w:rFonts w:cstheme="minorHAnsi"/>
              </w:rPr>
            </w:pPr>
          </w:p>
          <w:p w14:paraId="7EB59289" w14:textId="3D32DC88" w:rsidR="00CD20FE" w:rsidRPr="00553597" w:rsidRDefault="00CD20FE" w:rsidP="007934DE">
            <w:pPr>
              <w:spacing w:after="0"/>
              <w:rPr>
                <w:rFonts w:cstheme="minorHAnsi"/>
              </w:rPr>
            </w:pPr>
          </w:p>
        </w:tc>
        <w:tc>
          <w:tcPr>
            <w:tcW w:w="4320" w:type="dxa"/>
          </w:tcPr>
          <w:p w14:paraId="16C39EDD" w14:textId="542C875F" w:rsidR="00FA3E50" w:rsidRPr="00553597" w:rsidRDefault="00FA3E50" w:rsidP="00317761">
            <w:pPr>
              <w:spacing w:after="0"/>
              <w:rPr>
                <w:rFonts w:cstheme="minorHAnsi"/>
              </w:rPr>
            </w:pPr>
            <w:r w:rsidRPr="00553597">
              <w:rPr>
                <w:rFonts w:cstheme="minorHAnsi"/>
              </w:rPr>
              <w:t xml:space="preserve">The state </w:t>
            </w:r>
            <w:r w:rsidR="005B73EF" w:rsidRPr="00553597">
              <w:rPr>
                <w:rFonts w:cstheme="minorHAnsi"/>
              </w:rPr>
              <w:t>updated</w:t>
            </w:r>
            <w:r w:rsidRPr="00553597">
              <w:rPr>
                <w:rFonts w:cstheme="minorHAnsi"/>
              </w:rPr>
              <w:t xml:space="preserve"> </w:t>
            </w:r>
            <w:r w:rsidR="00317761">
              <w:rPr>
                <w:rFonts w:cstheme="minorHAnsi"/>
              </w:rPr>
              <w:t xml:space="preserve">the </w:t>
            </w:r>
            <w:r w:rsidRPr="00553597">
              <w:rPr>
                <w:rFonts w:cstheme="minorHAnsi"/>
              </w:rPr>
              <w:t>ELA</w:t>
            </w:r>
            <w:r w:rsidR="00317761">
              <w:rPr>
                <w:rFonts w:cstheme="minorHAnsi"/>
              </w:rPr>
              <w:t>/Literacy</w:t>
            </w:r>
            <w:r w:rsidRPr="00553597">
              <w:rPr>
                <w:rFonts w:cstheme="minorHAnsi"/>
              </w:rPr>
              <w:t xml:space="preserve"> and Math</w:t>
            </w:r>
            <w:r w:rsidR="00317761">
              <w:rPr>
                <w:rFonts w:cstheme="minorHAnsi"/>
              </w:rPr>
              <w:t>ematics</w:t>
            </w:r>
            <w:r w:rsidRPr="00553597">
              <w:rPr>
                <w:rFonts w:cstheme="minorHAnsi"/>
              </w:rPr>
              <w:t xml:space="preserve"> Curriculum F</w:t>
            </w:r>
            <w:r w:rsidR="005B73EF" w:rsidRPr="00553597">
              <w:rPr>
                <w:rFonts w:cstheme="minorHAnsi"/>
              </w:rPr>
              <w:t>rameworks in 2017</w:t>
            </w:r>
            <w:r w:rsidRPr="00553597">
              <w:rPr>
                <w:rFonts w:cstheme="minorHAnsi"/>
              </w:rPr>
              <w:t>. Schools and districts fully implemented t</w:t>
            </w:r>
            <w:r w:rsidR="005B73EF" w:rsidRPr="00553597">
              <w:rPr>
                <w:rFonts w:cstheme="minorHAnsi"/>
              </w:rPr>
              <w:t>hese standards beginning in 2017</w:t>
            </w:r>
            <w:r w:rsidRPr="00553597">
              <w:rPr>
                <w:rFonts w:cstheme="minorHAnsi"/>
              </w:rPr>
              <w:t>-201</w:t>
            </w:r>
            <w:r w:rsidR="005B73EF" w:rsidRPr="00553597">
              <w:rPr>
                <w:rFonts w:cstheme="minorHAnsi"/>
              </w:rPr>
              <w:t>8</w:t>
            </w:r>
            <w:r w:rsidRPr="00553597">
              <w:rPr>
                <w:rFonts w:cstheme="minorHAnsi"/>
              </w:rPr>
              <w:t xml:space="preserve"> school year. </w:t>
            </w:r>
            <w:r w:rsidR="00317761">
              <w:rPr>
                <w:rFonts w:cstheme="minorHAnsi"/>
              </w:rPr>
              <w:t xml:space="preserve">The </w:t>
            </w:r>
            <w:r w:rsidR="005B73EF" w:rsidRPr="00553597">
              <w:rPr>
                <w:rFonts w:cstheme="minorHAnsi"/>
              </w:rPr>
              <w:t xml:space="preserve">History and Social Science Curriculum Framework </w:t>
            </w:r>
            <w:r w:rsidR="00317761">
              <w:rPr>
                <w:rFonts w:cstheme="minorHAnsi"/>
              </w:rPr>
              <w:t xml:space="preserve">was </w:t>
            </w:r>
            <w:r w:rsidR="005B73EF" w:rsidRPr="00553597">
              <w:rPr>
                <w:rFonts w:cstheme="minorHAnsi"/>
              </w:rPr>
              <w:t xml:space="preserve">updated 2018, and the Arts and Health Curriculum Frameworks are </w:t>
            </w:r>
            <w:r w:rsidR="00682B5E">
              <w:rPr>
                <w:rFonts w:cstheme="minorHAnsi"/>
              </w:rPr>
              <w:t xml:space="preserve">in the process of </w:t>
            </w:r>
            <w:r w:rsidR="005B73EF" w:rsidRPr="00553597">
              <w:rPr>
                <w:rFonts w:cstheme="minorHAnsi"/>
              </w:rPr>
              <w:t>being updated.</w:t>
            </w:r>
          </w:p>
        </w:tc>
        <w:tc>
          <w:tcPr>
            <w:tcW w:w="3600" w:type="dxa"/>
          </w:tcPr>
          <w:p w14:paraId="69B238F5" w14:textId="698EA2E0" w:rsidR="00FA3E50" w:rsidRPr="00553597" w:rsidRDefault="00FA3E50" w:rsidP="007934DE">
            <w:pPr>
              <w:spacing w:after="0"/>
              <w:rPr>
                <w:rFonts w:cstheme="minorHAnsi"/>
              </w:rPr>
            </w:pPr>
            <w:r w:rsidRPr="00553597">
              <w:rPr>
                <w:rFonts w:cstheme="minorHAnsi"/>
              </w:rPr>
              <w:t xml:space="preserve">The alignment of the </w:t>
            </w:r>
            <w:r w:rsidR="005B73EF" w:rsidRPr="00553597">
              <w:rPr>
                <w:rFonts w:cstheme="minorHAnsi"/>
              </w:rPr>
              <w:t xml:space="preserve">SMK requirements </w:t>
            </w:r>
            <w:r w:rsidRPr="00553597">
              <w:rPr>
                <w:rFonts w:cstheme="minorHAnsi"/>
              </w:rPr>
              <w:t xml:space="preserve">to the standards for in-service teachers ensures that newly prepared educators enter the classroom ready to support success of all students. </w:t>
            </w:r>
          </w:p>
        </w:tc>
      </w:tr>
      <w:tr w:rsidR="00CD0288" w:rsidRPr="00553597" w14:paraId="5BAD6609" w14:textId="77777777" w:rsidTr="00943753">
        <w:trPr>
          <w:trHeight w:val="476"/>
        </w:trPr>
        <w:tc>
          <w:tcPr>
            <w:tcW w:w="1800" w:type="dxa"/>
          </w:tcPr>
          <w:p w14:paraId="70BCA9F8" w14:textId="52477A1C" w:rsidR="00CD0288" w:rsidRDefault="002B1779" w:rsidP="007934DE">
            <w:pPr>
              <w:spacing w:after="0"/>
              <w:rPr>
                <w:rFonts w:eastAsia="Times New Roman" w:cstheme="minorHAnsi"/>
                <w:color w:val="000000"/>
                <w:szCs w:val="24"/>
              </w:rPr>
            </w:pPr>
            <w:hyperlink r:id="rId22" w:history="1">
              <w:r w:rsidR="00CD0288" w:rsidRPr="000E59F2">
                <w:rPr>
                  <w:rStyle w:val="Hyperlink"/>
                  <w:rFonts w:eastAsia="Times New Roman" w:cstheme="minorHAnsi"/>
                  <w:szCs w:val="24"/>
                </w:rPr>
                <w:t>Massachusetts Tests for Educator Licensure (MTELs)</w:t>
              </w:r>
            </w:hyperlink>
          </w:p>
          <w:p w14:paraId="51427610" w14:textId="77777777" w:rsidR="00F07296" w:rsidRDefault="00F07296" w:rsidP="007934DE">
            <w:pPr>
              <w:spacing w:after="0"/>
              <w:rPr>
                <w:rFonts w:eastAsia="Times New Roman" w:cstheme="minorHAnsi"/>
                <w:color w:val="000000"/>
                <w:szCs w:val="24"/>
              </w:rPr>
            </w:pPr>
          </w:p>
          <w:p w14:paraId="4DF805D4" w14:textId="1B2461C3" w:rsidR="00F07296" w:rsidRPr="00CD0288" w:rsidRDefault="00F07296" w:rsidP="007934DE">
            <w:pPr>
              <w:spacing w:after="0"/>
              <w:rPr>
                <w:rFonts w:cstheme="minorHAnsi"/>
              </w:rPr>
            </w:pPr>
          </w:p>
        </w:tc>
        <w:tc>
          <w:tcPr>
            <w:tcW w:w="4320" w:type="dxa"/>
          </w:tcPr>
          <w:p w14:paraId="3F048236" w14:textId="35185F06" w:rsidR="00CD0288" w:rsidRPr="00CD0288" w:rsidRDefault="00CD0288" w:rsidP="00F07296">
            <w:pPr>
              <w:spacing w:after="0"/>
              <w:rPr>
                <w:rFonts w:cstheme="minorHAnsi"/>
              </w:rPr>
            </w:pPr>
            <w:r>
              <w:rPr>
                <w:rFonts w:cstheme="minorHAnsi"/>
                <w:color w:val="000000"/>
                <w:shd w:val="clear" w:color="auto" w:fill="FFFFFF"/>
              </w:rPr>
              <w:t xml:space="preserve">The MTEL </w:t>
            </w:r>
            <w:r w:rsidRPr="00CD0288">
              <w:rPr>
                <w:rFonts w:cstheme="minorHAnsi"/>
                <w:color w:val="000000"/>
                <w:shd w:val="clear" w:color="auto" w:fill="FFFFFF"/>
              </w:rPr>
              <w:t xml:space="preserve">was initiated by </w:t>
            </w:r>
            <w:r>
              <w:rPr>
                <w:rFonts w:cstheme="minorHAnsi"/>
                <w:color w:val="000000"/>
                <w:shd w:val="clear" w:color="auto" w:fill="FFFFFF"/>
              </w:rPr>
              <w:t>DESE</w:t>
            </w:r>
            <w:r w:rsidRPr="00CD0288">
              <w:rPr>
                <w:rFonts w:cstheme="minorHAnsi"/>
                <w:color w:val="000000"/>
                <w:shd w:val="clear" w:color="auto" w:fill="FFFFFF"/>
              </w:rPr>
              <w:t xml:space="preserve"> in 1998 as part of </w:t>
            </w:r>
            <w:r>
              <w:rPr>
                <w:rFonts w:cstheme="minorHAnsi"/>
                <w:color w:val="000000"/>
                <w:shd w:val="clear" w:color="auto" w:fill="FFFFFF"/>
              </w:rPr>
              <w:t>a</w:t>
            </w:r>
            <w:r w:rsidRPr="00CD0288">
              <w:rPr>
                <w:rFonts w:cstheme="minorHAnsi"/>
                <w:color w:val="000000"/>
                <w:shd w:val="clear" w:color="auto" w:fill="FFFFFF"/>
              </w:rPr>
              <w:t xml:space="preserve"> statewide education reform initiative. </w:t>
            </w:r>
            <w:r>
              <w:rPr>
                <w:rFonts w:cstheme="minorHAnsi"/>
                <w:color w:val="000000"/>
                <w:shd w:val="clear" w:color="auto" w:fill="FFFFFF"/>
              </w:rPr>
              <w:t>It</w:t>
            </w:r>
            <w:r w:rsidRPr="00CD0288">
              <w:rPr>
                <w:rFonts w:cstheme="minorHAnsi"/>
                <w:color w:val="000000"/>
                <w:shd w:val="clear" w:color="auto" w:fill="FFFFFF"/>
              </w:rPr>
              <w:t xml:space="preserve"> includes te</w:t>
            </w:r>
            <w:r>
              <w:rPr>
                <w:rFonts w:cstheme="minorHAnsi"/>
                <w:color w:val="000000"/>
                <w:shd w:val="clear" w:color="auto" w:fill="FFFFFF"/>
              </w:rPr>
              <w:t xml:space="preserve">sts of subject matter knowledge, </w:t>
            </w:r>
            <w:r w:rsidR="00317761">
              <w:rPr>
                <w:rFonts w:cstheme="minorHAnsi"/>
                <w:color w:val="000000"/>
                <w:shd w:val="clear" w:color="auto" w:fill="FFFFFF"/>
              </w:rPr>
              <w:t xml:space="preserve">which are </w:t>
            </w:r>
            <w:r>
              <w:rPr>
                <w:rFonts w:cstheme="minorHAnsi"/>
                <w:color w:val="000000"/>
                <w:shd w:val="clear" w:color="auto" w:fill="FFFFFF"/>
              </w:rPr>
              <w:t>designed to ensure edu</w:t>
            </w:r>
            <w:r w:rsidRPr="00CD0288">
              <w:rPr>
                <w:rFonts w:cstheme="minorHAnsi"/>
                <w:color w:val="000000"/>
                <w:shd w:val="clear" w:color="auto" w:fill="FFFFFF"/>
              </w:rPr>
              <w:t xml:space="preserve">cators are knowledgeable in the subject matter of the license(s) sought. </w:t>
            </w:r>
          </w:p>
        </w:tc>
        <w:tc>
          <w:tcPr>
            <w:tcW w:w="3600" w:type="dxa"/>
          </w:tcPr>
          <w:p w14:paraId="2B04368C" w14:textId="50CB3425" w:rsidR="00CD0288" w:rsidRPr="00553597" w:rsidRDefault="00F07296" w:rsidP="00AA52C0">
            <w:pPr>
              <w:spacing w:after="0"/>
              <w:rPr>
                <w:rFonts w:cstheme="minorHAnsi"/>
              </w:rPr>
            </w:pPr>
            <w:r>
              <w:rPr>
                <w:rFonts w:cstheme="minorHAnsi"/>
                <w:color w:val="000000"/>
                <w:shd w:val="clear" w:color="auto" w:fill="FFFFFF"/>
              </w:rPr>
              <w:t>As a result of the updated SMK Guidelines, related MTELs are</w:t>
            </w:r>
            <w:r w:rsidRPr="00553597">
              <w:rPr>
                <w:rFonts w:cstheme="minorHAnsi"/>
                <w:color w:val="000000"/>
                <w:shd w:val="clear" w:color="auto" w:fill="FFFFFF"/>
              </w:rPr>
              <w:t xml:space="preserve"> </w:t>
            </w:r>
            <w:r>
              <w:rPr>
                <w:rFonts w:cstheme="minorHAnsi"/>
                <w:color w:val="000000"/>
                <w:shd w:val="clear" w:color="auto" w:fill="FFFFFF"/>
              </w:rPr>
              <w:t>undergoing revision</w:t>
            </w:r>
            <w:r w:rsidRPr="00553597">
              <w:rPr>
                <w:rFonts w:cstheme="minorHAnsi"/>
                <w:color w:val="000000"/>
                <w:shd w:val="clear" w:color="auto" w:fill="FFFFFF"/>
              </w:rPr>
              <w:t xml:space="preserve"> to align with the</w:t>
            </w:r>
            <w:r>
              <w:rPr>
                <w:rFonts w:cstheme="minorHAnsi"/>
                <w:color w:val="000000"/>
                <w:shd w:val="clear" w:color="auto" w:fill="FFFFFF"/>
              </w:rPr>
              <w:t xml:space="preserve">se requirements. The MTEL test development process </w:t>
            </w:r>
            <w:r w:rsidR="00AA52C0">
              <w:rPr>
                <w:rFonts w:cstheme="minorHAnsi"/>
                <w:color w:val="000000"/>
                <w:shd w:val="clear" w:color="auto" w:fill="FFFFFF"/>
              </w:rPr>
              <w:t xml:space="preserve">takes </w:t>
            </w:r>
            <w:r>
              <w:rPr>
                <w:rFonts w:cstheme="minorHAnsi"/>
                <w:color w:val="000000"/>
                <w:shd w:val="clear" w:color="auto" w:fill="FFFFFF"/>
              </w:rPr>
              <w:t>18</w:t>
            </w:r>
            <w:r w:rsidR="00AA52C0">
              <w:rPr>
                <w:rFonts w:cstheme="minorHAnsi"/>
                <w:color w:val="000000"/>
                <w:shd w:val="clear" w:color="auto" w:fill="FFFFFF"/>
              </w:rPr>
              <w:t xml:space="preserve">-24 </w:t>
            </w:r>
            <w:r>
              <w:rPr>
                <w:rFonts w:cstheme="minorHAnsi"/>
                <w:color w:val="000000"/>
                <w:shd w:val="clear" w:color="auto" w:fill="FFFFFF"/>
              </w:rPr>
              <w:t xml:space="preserve"> months; a timeline for anticipated MTEL revis</w:t>
            </w:r>
            <w:r w:rsidR="00943753">
              <w:rPr>
                <w:rFonts w:cstheme="minorHAnsi"/>
                <w:color w:val="000000"/>
                <w:shd w:val="clear" w:color="auto" w:fill="FFFFFF"/>
              </w:rPr>
              <w:t>ions can be found in Appendix B</w:t>
            </w:r>
            <w:r>
              <w:rPr>
                <w:rFonts w:cstheme="minorHAnsi"/>
                <w:color w:val="000000"/>
                <w:shd w:val="clear" w:color="auto" w:fill="FFFFFF"/>
              </w:rPr>
              <w:t>.</w:t>
            </w:r>
          </w:p>
        </w:tc>
      </w:tr>
      <w:tr w:rsidR="00C17C7D" w:rsidRPr="00553597" w14:paraId="72B59F80" w14:textId="77777777" w:rsidTr="00943753">
        <w:tc>
          <w:tcPr>
            <w:tcW w:w="1800" w:type="dxa"/>
          </w:tcPr>
          <w:p w14:paraId="2FAEC0D6" w14:textId="319D36F1" w:rsidR="00C17C7D" w:rsidRDefault="002B1779" w:rsidP="00F56A1D">
            <w:pPr>
              <w:rPr>
                <w:rFonts w:cstheme="minorHAnsi"/>
              </w:rPr>
            </w:pPr>
            <w:hyperlink r:id="rId23" w:history="1">
              <w:r w:rsidR="00C17C7D" w:rsidRPr="000E59F2">
                <w:rPr>
                  <w:rStyle w:val="Hyperlink"/>
                  <w:rFonts w:cstheme="minorHAnsi"/>
                </w:rPr>
                <w:t>Pre-Practicum Guidelines</w:t>
              </w:r>
            </w:hyperlink>
          </w:p>
          <w:p w14:paraId="5E28A07E" w14:textId="52BD2350" w:rsidR="00C17C7D" w:rsidRPr="00553597" w:rsidRDefault="00C17C7D" w:rsidP="00F56A1D">
            <w:pPr>
              <w:rPr>
                <w:rFonts w:cstheme="minorHAnsi"/>
              </w:rPr>
            </w:pPr>
          </w:p>
        </w:tc>
        <w:tc>
          <w:tcPr>
            <w:tcW w:w="4320" w:type="dxa"/>
          </w:tcPr>
          <w:p w14:paraId="57A1D7F1" w14:textId="11D03F67" w:rsidR="00C17C7D" w:rsidRPr="001C4017" w:rsidRDefault="00C17C7D" w:rsidP="00317761">
            <w:pPr>
              <w:rPr>
                <w:rFonts w:cstheme="minorHAnsi"/>
                <w:color w:val="000000"/>
                <w:shd w:val="clear" w:color="auto" w:fill="FFFFFF"/>
              </w:rPr>
            </w:pPr>
            <w:r>
              <w:t xml:space="preserve">The pre-practicum consists of field-based experiences with diverse student learners that take place during the early part of a candidate’s preparation, providing candidates with multiple opportunities to apply learning from coursework into authentic teaching experiences </w:t>
            </w:r>
            <w:r w:rsidR="00D73ACF">
              <w:t>with students in P</w:t>
            </w:r>
            <w:r w:rsidR="00317761">
              <w:t>re-</w:t>
            </w:r>
            <w:r w:rsidR="00D73ACF">
              <w:t>K</w:t>
            </w:r>
            <w:r w:rsidR="00317761">
              <w:t>—</w:t>
            </w:r>
            <w:r w:rsidR="00D73ACF">
              <w:t>12 settings and prepare to successfully demonstrate readiness during the capstone preparation ex</w:t>
            </w:r>
            <w:r w:rsidR="006C1245">
              <w:t xml:space="preserve">perience known as the practicum. </w:t>
            </w:r>
          </w:p>
        </w:tc>
        <w:tc>
          <w:tcPr>
            <w:tcW w:w="3600" w:type="dxa"/>
          </w:tcPr>
          <w:p w14:paraId="518D9523" w14:textId="77777777" w:rsidR="00C17C7D" w:rsidRDefault="00C17C7D" w:rsidP="00F56A1D">
            <w:r>
              <w:t xml:space="preserve">During the pre-practicum experience, Sponsoring Organizations must evaluate candidate readiness by employing a minimum of two gateway assessments, which are outcomes-oriented measures of candidate performance. Both </w:t>
            </w:r>
            <w:r w:rsidR="00D73ACF">
              <w:t xml:space="preserve">gateway assessments </w:t>
            </w:r>
            <w:r>
              <w:t>must assess content-specific pedagogica</w:t>
            </w:r>
            <w:r w:rsidR="00D73ACF">
              <w:t>l skill</w:t>
            </w:r>
            <w:r>
              <w:t>.</w:t>
            </w:r>
          </w:p>
          <w:p w14:paraId="76E60E0A" w14:textId="200817AB" w:rsidR="00CF16AB" w:rsidRPr="00553597" w:rsidRDefault="00CF16AB" w:rsidP="00317761">
            <w:pPr>
              <w:rPr>
                <w:rFonts w:cstheme="minorHAnsi"/>
              </w:rPr>
            </w:pPr>
            <w:r>
              <w:rPr>
                <w:rFonts w:cstheme="minorHAnsi"/>
              </w:rPr>
              <w:t xml:space="preserve">DESE has also issued a Request for Information </w:t>
            </w:r>
            <w:r w:rsidR="00317761">
              <w:rPr>
                <w:rFonts w:cstheme="minorHAnsi"/>
              </w:rPr>
              <w:t xml:space="preserve">(RFI) </w:t>
            </w:r>
            <w:r>
              <w:rPr>
                <w:rFonts w:cstheme="minorHAnsi"/>
              </w:rPr>
              <w:t>to develop a suite of model pre-practicum gateway assessments that will measure the application of content pedagogy</w:t>
            </w:r>
            <w:r w:rsidR="00317761">
              <w:rPr>
                <w:rFonts w:cstheme="minorHAnsi"/>
              </w:rPr>
              <w:t>.</w:t>
            </w:r>
            <w:r>
              <w:rPr>
                <w:rFonts w:cstheme="minorHAnsi"/>
              </w:rPr>
              <w:t xml:space="preserve"> </w:t>
            </w:r>
            <w:r w:rsidR="00317761">
              <w:rPr>
                <w:rFonts w:cstheme="minorHAnsi"/>
              </w:rPr>
              <w:t>T</w:t>
            </w:r>
            <w:r>
              <w:rPr>
                <w:rFonts w:cstheme="minorHAnsi"/>
              </w:rPr>
              <w:t>hese model assessments can be used as one part of a measure of fluency of SMKs.</w:t>
            </w:r>
          </w:p>
        </w:tc>
      </w:tr>
      <w:tr w:rsidR="00FA3E50" w:rsidRPr="00553597" w14:paraId="238AD87D" w14:textId="77777777" w:rsidTr="00CF16AB">
        <w:trPr>
          <w:trHeight w:val="746"/>
        </w:trPr>
        <w:tc>
          <w:tcPr>
            <w:tcW w:w="1800" w:type="dxa"/>
          </w:tcPr>
          <w:p w14:paraId="0906A881" w14:textId="7AFD6698" w:rsidR="00FA3E50" w:rsidRDefault="002B1779" w:rsidP="005B73EF">
            <w:pPr>
              <w:rPr>
                <w:rFonts w:cstheme="minorHAnsi"/>
              </w:rPr>
            </w:pPr>
            <w:hyperlink r:id="rId24" w:history="1">
              <w:r w:rsidR="005B73EF" w:rsidRPr="00580F65">
                <w:rPr>
                  <w:rStyle w:val="Hyperlink"/>
                  <w:rFonts w:cstheme="minorHAnsi"/>
                </w:rPr>
                <w:t>Candidate Assessment of</w:t>
              </w:r>
              <w:r w:rsidR="00FA3E50" w:rsidRPr="00580F65">
                <w:rPr>
                  <w:rStyle w:val="Hyperlink"/>
                  <w:rFonts w:cstheme="minorHAnsi"/>
                </w:rPr>
                <w:t xml:space="preserve"> </w:t>
              </w:r>
              <w:r w:rsidR="00FA3E50" w:rsidRPr="00580F65">
                <w:rPr>
                  <w:rStyle w:val="Hyperlink"/>
                  <w:rFonts w:cstheme="minorHAnsi"/>
                </w:rPr>
                <w:lastRenderedPageBreak/>
                <w:t xml:space="preserve">Performance </w:t>
              </w:r>
              <w:r w:rsidR="005B73EF" w:rsidRPr="00580F65">
                <w:rPr>
                  <w:rStyle w:val="Hyperlink"/>
                  <w:rFonts w:cstheme="minorHAnsi"/>
                </w:rPr>
                <w:t>(CAP)</w:t>
              </w:r>
            </w:hyperlink>
            <w:r w:rsidR="00FA3E50" w:rsidRPr="00553597">
              <w:rPr>
                <w:rFonts w:cstheme="minorHAnsi"/>
              </w:rPr>
              <w:t xml:space="preserve"> </w:t>
            </w:r>
          </w:p>
          <w:p w14:paraId="0DAD7C9C" w14:textId="77777777" w:rsidR="00362DE0" w:rsidRDefault="00362DE0" w:rsidP="005B73EF">
            <w:pPr>
              <w:rPr>
                <w:rFonts w:cstheme="minorHAnsi"/>
              </w:rPr>
            </w:pPr>
          </w:p>
          <w:p w14:paraId="58DF93B0" w14:textId="4FBB6CCE" w:rsidR="00362DE0" w:rsidRPr="00553597" w:rsidRDefault="00362DE0" w:rsidP="005B73EF">
            <w:pPr>
              <w:rPr>
                <w:rFonts w:cstheme="minorHAnsi"/>
              </w:rPr>
            </w:pPr>
          </w:p>
        </w:tc>
        <w:tc>
          <w:tcPr>
            <w:tcW w:w="4320" w:type="dxa"/>
          </w:tcPr>
          <w:p w14:paraId="2750203F" w14:textId="44FB751C" w:rsidR="00FA3E50" w:rsidRPr="00553597" w:rsidRDefault="00FA3E50" w:rsidP="000447C0">
            <w:pPr>
              <w:rPr>
                <w:rFonts w:cstheme="minorHAnsi"/>
              </w:rPr>
            </w:pPr>
            <w:r w:rsidRPr="00553597">
              <w:rPr>
                <w:rFonts w:cstheme="minorHAnsi"/>
              </w:rPr>
              <w:lastRenderedPageBreak/>
              <w:t xml:space="preserve">All preparation programs are required to assess candidates’ readiness for licensure using a department-defined performance </w:t>
            </w:r>
            <w:r w:rsidRPr="00553597">
              <w:rPr>
                <w:rFonts w:cstheme="minorHAnsi"/>
              </w:rPr>
              <w:lastRenderedPageBreak/>
              <w:t xml:space="preserve">assessment. </w:t>
            </w:r>
            <w:r w:rsidR="00755912" w:rsidRPr="00553597">
              <w:rPr>
                <w:rFonts w:cstheme="minorHAnsi"/>
              </w:rPr>
              <w:t xml:space="preserve">The Candidate Assessment of Performance </w:t>
            </w:r>
            <w:r w:rsidR="00317761">
              <w:rPr>
                <w:rFonts w:cstheme="minorHAnsi"/>
              </w:rPr>
              <w:t xml:space="preserve">(CAP) </w:t>
            </w:r>
            <w:r w:rsidR="00755912" w:rsidRPr="00553597">
              <w:rPr>
                <w:rFonts w:cstheme="minorHAnsi"/>
              </w:rPr>
              <w:t>is</w:t>
            </w:r>
            <w:r w:rsidRPr="00553597">
              <w:rPr>
                <w:rFonts w:cstheme="minorHAnsi"/>
              </w:rPr>
              <w:t xml:space="preserve"> modeled after the </w:t>
            </w:r>
            <w:hyperlink r:id="rId25" w:history="1">
              <w:r w:rsidRPr="00553597">
                <w:rPr>
                  <w:rStyle w:val="Hyperlink"/>
                  <w:rFonts w:cstheme="minorHAnsi"/>
                </w:rPr>
                <w:t>MA Model System for Educator Evaluation</w:t>
              </w:r>
            </w:hyperlink>
            <w:r w:rsidRPr="00553597">
              <w:rPr>
                <w:rFonts w:cstheme="minorHAnsi"/>
              </w:rPr>
              <w:t xml:space="preserve">. </w:t>
            </w:r>
            <w:r w:rsidR="000447C0" w:rsidRPr="00553597">
              <w:rPr>
                <w:rFonts w:cstheme="minorHAnsi"/>
              </w:rPr>
              <w:t>The CAP assesses candidates’ readiness to positively impact students’ learning from their first day in a Massachusetts classroom.</w:t>
            </w:r>
            <w:r w:rsidR="00CF16AB" w:rsidRPr="00553597">
              <w:rPr>
                <w:rFonts w:cstheme="minorHAnsi"/>
              </w:rPr>
              <w:t xml:space="preserve"> Successful completion on the CAP is required for program completion.</w:t>
            </w:r>
          </w:p>
        </w:tc>
        <w:tc>
          <w:tcPr>
            <w:tcW w:w="3600" w:type="dxa"/>
          </w:tcPr>
          <w:p w14:paraId="473D5A02" w14:textId="10A322A4" w:rsidR="00FA3E50" w:rsidRDefault="00CD20FE" w:rsidP="007457FB">
            <w:pPr>
              <w:rPr>
                <w:rFonts w:cstheme="minorHAnsi"/>
              </w:rPr>
            </w:pPr>
            <w:r w:rsidRPr="00553597">
              <w:rPr>
                <w:rFonts w:cstheme="minorHAnsi"/>
              </w:rPr>
              <w:lastRenderedPageBreak/>
              <w:t xml:space="preserve">Candidates must </w:t>
            </w:r>
            <w:r w:rsidR="00310F0E">
              <w:rPr>
                <w:rFonts w:cstheme="minorHAnsi"/>
              </w:rPr>
              <w:t>acquire fluency with</w:t>
            </w:r>
            <w:r w:rsidRPr="00553597">
              <w:rPr>
                <w:rFonts w:cstheme="minorHAnsi"/>
              </w:rPr>
              <w:t xml:space="preserve"> subject matter knowledge in order to design effective and rigorous </w:t>
            </w:r>
            <w:r w:rsidRPr="00553597">
              <w:rPr>
                <w:rFonts w:cstheme="minorHAnsi"/>
              </w:rPr>
              <w:lastRenderedPageBreak/>
              <w:t xml:space="preserve">standards-based units of instruction consisting of well-structured lessons with </w:t>
            </w:r>
            <w:proofErr w:type="spellStart"/>
            <w:r w:rsidRPr="00553597">
              <w:rPr>
                <w:rFonts w:cstheme="minorHAnsi"/>
              </w:rPr>
              <w:t>measureable</w:t>
            </w:r>
            <w:proofErr w:type="spellEnd"/>
            <w:r w:rsidRPr="00553597">
              <w:rPr>
                <w:rFonts w:cstheme="minorHAnsi"/>
              </w:rPr>
              <w:t xml:space="preserve"> outcomes (Standard 1 Indicator a). </w:t>
            </w:r>
          </w:p>
          <w:p w14:paraId="47F1D525" w14:textId="439090E7" w:rsidR="00CF16AB" w:rsidRPr="00CF16AB" w:rsidRDefault="00CF16AB" w:rsidP="00C23454">
            <w:pPr>
              <w:spacing w:after="0"/>
              <w:rPr>
                <w:rFonts w:cstheme="minorHAnsi"/>
                <w:color w:val="000000"/>
                <w:shd w:val="clear" w:color="auto" w:fill="FFFFFF"/>
              </w:rPr>
            </w:pPr>
            <w:r>
              <w:rPr>
                <w:rFonts w:cstheme="minorHAnsi"/>
                <w:color w:val="000000"/>
                <w:shd w:val="clear" w:color="auto" w:fill="FFFFFF"/>
              </w:rPr>
              <w:t>In addition, the M</w:t>
            </w:r>
            <w:r w:rsidR="00C23454">
              <w:rPr>
                <w:rFonts w:cstheme="minorHAnsi"/>
                <w:color w:val="000000"/>
                <w:shd w:val="clear" w:color="auto" w:fill="FFFFFF"/>
              </w:rPr>
              <w:t>assachusetts</w:t>
            </w:r>
            <w:r>
              <w:rPr>
                <w:rFonts w:cstheme="minorHAnsi"/>
                <w:color w:val="000000"/>
                <w:shd w:val="clear" w:color="auto" w:fill="FFFFFF"/>
              </w:rPr>
              <w:t xml:space="preserve"> Educator Evaluation rubric language is currently undergoing refinements. These refinements will be mirrored in the CAP rubric. Therefore, the CAP Guidelines will be updated and will be put out for public comment in Spring 2019. Through this process, there is potential to include an additional CAP element focused on subject matter knowledge: Standard I, Indicator A, Element 1 (Subject Matter Knowledge). This would provide an opportunity for the fluency of SMKs to be assessed through CAP in a more explicit manner. </w:t>
            </w:r>
          </w:p>
        </w:tc>
      </w:tr>
      <w:tr w:rsidR="00D73ACF" w:rsidRPr="00553597" w14:paraId="3A1AB230" w14:textId="77777777" w:rsidTr="00943753">
        <w:trPr>
          <w:trHeight w:val="1997"/>
        </w:trPr>
        <w:tc>
          <w:tcPr>
            <w:tcW w:w="1800" w:type="dxa"/>
          </w:tcPr>
          <w:p w14:paraId="0CCE1D74" w14:textId="5950A068" w:rsidR="00D73ACF" w:rsidRDefault="002B1779" w:rsidP="00F56A1D">
            <w:pPr>
              <w:rPr>
                <w:rFonts w:cstheme="minorHAnsi"/>
              </w:rPr>
            </w:pPr>
            <w:hyperlink r:id="rId26" w:history="1">
              <w:r w:rsidR="00D73ACF" w:rsidRPr="00580F65">
                <w:rPr>
                  <w:rStyle w:val="Hyperlink"/>
                  <w:rFonts w:cstheme="minorHAnsi"/>
                </w:rPr>
                <w:t>Professional Standards for Teachers (PSTs) and Indicators</w:t>
              </w:r>
            </w:hyperlink>
          </w:p>
          <w:p w14:paraId="5A4CB611" w14:textId="5ADB5AF0" w:rsidR="00D73ACF" w:rsidRPr="00553597" w:rsidRDefault="00D73ACF" w:rsidP="00F56A1D">
            <w:pPr>
              <w:rPr>
                <w:rFonts w:cstheme="minorHAnsi"/>
              </w:rPr>
            </w:pPr>
          </w:p>
        </w:tc>
        <w:tc>
          <w:tcPr>
            <w:tcW w:w="4320" w:type="dxa"/>
          </w:tcPr>
          <w:p w14:paraId="4BF19C97" w14:textId="4247EEB9" w:rsidR="00D73ACF" w:rsidRPr="00553597" w:rsidRDefault="00D73ACF" w:rsidP="00F56A1D">
            <w:pPr>
              <w:rPr>
                <w:rFonts w:cstheme="minorHAnsi"/>
              </w:rPr>
            </w:pPr>
            <w:r w:rsidRPr="00553597">
              <w:rPr>
                <w:rFonts w:cstheme="minorHAnsi"/>
              </w:rPr>
              <w:t xml:space="preserve">Professional Standards for Teachers </w:t>
            </w:r>
            <w:r w:rsidR="00C23454">
              <w:rPr>
                <w:rFonts w:cstheme="minorHAnsi"/>
              </w:rPr>
              <w:t xml:space="preserve">(PSTs) </w:t>
            </w:r>
            <w:r w:rsidRPr="00553597">
              <w:rPr>
                <w:rFonts w:cstheme="minorHAnsi"/>
              </w:rPr>
              <w:t xml:space="preserve">and Indicators speak to candidates’ pedagogical knowledge and skills. </w:t>
            </w:r>
          </w:p>
          <w:p w14:paraId="0F1134B6" w14:textId="77777777" w:rsidR="00D73ACF" w:rsidRPr="00553597" w:rsidRDefault="00D73ACF" w:rsidP="00F56A1D">
            <w:pPr>
              <w:rPr>
                <w:rFonts w:cstheme="minorHAnsi"/>
              </w:rPr>
            </w:pPr>
          </w:p>
        </w:tc>
        <w:tc>
          <w:tcPr>
            <w:tcW w:w="3600" w:type="dxa"/>
          </w:tcPr>
          <w:p w14:paraId="221FD427" w14:textId="77777777" w:rsidR="00D73ACF" w:rsidRPr="00553597" w:rsidRDefault="00D73ACF" w:rsidP="00F56A1D">
            <w:pPr>
              <w:rPr>
                <w:rFonts w:cstheme="minorHAnsi"/>
              </w:rPr>
            </w:pPr>
            <w:r w:rsidRPr="00553597">
              <w:rPr>
                <w:rFonts w:cstheme="minorHAnsi"/>
              </w:rPr>
              <w:t xml:space="preserve">Together, the SMK and PSTs and indicators are the foundation on which all preparation programs should be designed. As preparation providers revise programs according to the SMK requirements they should do so with the PSTs in mind as well.  </w:t>
            </w:r>
          </w:p>
        </w:tc>
      </w:tr>
      <w:tr w:rsidR="00FA3E50" w:rsidRPr="00553597" w14:paraId="2E672708" w14:textId="77777777" w:rsidTr="00943753">
        <w:trPr>
          <w:trHeight w:val="323"/>
        </w:trPr>
        <w:tc>
          <w:tcPr>
            <w:tcW w:w="1800" w:type="dxa"/>
          </w:tcPr>
          <w:p w14:paraId="55FA4388" w14:textId="3BA7EF10" w:rsidR="00FA3E50" w:rsidRDefault="002B1779" w:rsidP="00C6789F">
            <w:pPr>
              <w:rPr>
                <w:rFonts w:cstheme="minorHAnsi"/>
              </w:rPr>
            </w:pPr>
            <w:hyperlink r:id="rId27" w:history="1">
              <w:r w:rsidR="00FA3E50" w:rsidRPr="00580F65">
                <w:rPr>
                  <w:rStyle w:val="Hyperlink"/>
                  <w:rFonts w:cstheme="minorHAnsi"/>
                </w:rPr>
                <w:t>Program Review Process</w:t>
              </w:r>
            </w:hyperlink>
          </w:p>
          <w:p w14:paraId="2CE9B774" w14:textId="2A68222E" w:rsidR="007934DE" w:rsidRPr="00553597" w:rsidRDefault="007934DE" w:rsidP="00C6789F">
            <w:pPr>
              <w:rPr>
                <w:rFonts w:cstheme="minorHAnsi"/>
              </w:rPr>
            </w:pPr>
          </w:p>
        </w:tc>
        <w:tc>
          <w:tcPr>
            <w:tcW w:w="4320" w:type="dxa"/>
          </w:tcPr>
          <w:p w14:paraId="46445E21" w14:textId="49CD0142" w:rsidR="00FA3E50" w:rsidRPr="00553597" w:rsidRDefault="00FA3E50" w:rsidP="00B5687E">
            <w:pPr>
              <w:rPr>
                <w:rFonts w:cstheme="minorHAnsi"/>
              </w:rPr>
            </w:pPr>
            <w:r w:rsidRPr="00553597">
              <w:rPr>
                <w:rFonts w:cstheme="minorHAnsi"/>
              </w:rPr>
              <w:t xml:space="preserve">All </w:t>
            </w:r>
            <w:r w:rsidR="00E94258">
              <w:rPr>
                <w:rFonts w:cstheme="minorHAnsi"/>
              </w:rPr>
              <w:t>Sponsoring Organizations</w:t>
            </w:r>
            <w:r w:rsidRPr="00553597">
              <w:rPr>
                <w:rFonts w:cstheme="minorHAnsi"/>
              </w:rPr>
              <w:t xml:space="preserve"> undergo formal review </w:t>
            </w:r>
            <w:r w:rsidR="00873AE6">
              <w:rPr>
                <w:rFonts w:cstheme="minorHAnsi"/>
              </w:rPr>
              <w:t xml:space="preserve">every </w:t>
            </w:r>
            <w:r w:rsidR="00E94258">
              <w:rPr>
                <w:rFonts w:cstheme="minorHAnsi"/>
              </w:rPr>
              <w:t>seven</w:t>
            </w:r>
            <w:r w:rsidR="00873AE6">
              <w:rPr>
                <w:rFonts w:cstheme="minorHAnsi"/>
              </w:rPr>
              <w:t xml:space="preserve"> years. </w:t>
            </w:r>
            <w:r w:rsidRPr="00553597">
              <w:rPr>
                <w:rFonts w:cstheme="minorHAnsi"/>
              </w:rPr>
              <w:t xml:space="preserve">Approval allows </w:t>
            </w:r>
            <w:r w:rsidR="00E94258">
              <w:rPr>
                <w:rFonts w:cstheme="minorHAnsi"/>
              </w:rPr>
              <w:t>Sponsoring Organizations</w:t>
            </w:r>
            <w:r w:rsidRPr="00553597">
              <w:rPr>
                <w:rFonts w:cstheme="minorHAnsi"/>
              </w:rPr>
              <w:t xml:space="preserve"> to endorse </w:t>
            </w:r>
            <w:r w:rsidR="00B5687E">
              <w:rPr>
                <w:rFonts w:cstheme="minorHAnsi"/>
              </w:rPr>
              <w:t>completers</w:t>
            </w:r>
            <w:r w:rsidRPr="00553597">
              <w:rPr>
                <w:rFonts w:cstheme="minorHAnsi"/>
              </w:rPr>
              <w:t xml:space="preserve"> for licensure. </w:t>
            </w:r>
            <w:r w:rsidR="00873AE6">
              <w:rPr>
                <w:rFonts w:cstheme="minorHAnsi"/>
              </w:rPr>
              <w:t>D</w:t>
            </w:r>
            <w:r w:rsidRPr="00553597">
              <w:rPr>
                <w:rFonts w:cstheme="minorHAnsi"/>
              </w:rPr>
              <w:t xml:space="preserve">ESE has developed a comprehensive review process for evaluating </w:t>
            </w:r>
            <w:r w:rsidR="00B5687E">
              <w:rPr>
                <w:rFonts w:cstheme="minorHAnsi"/>
              </w:rPr>
              <w:t>Sponsoring Organizations</w:t>
            </w:r>
            <w:r w:rsidRPr="00553597">
              <w:rPr>
                <w:rFonts w:cstheme="minorHAnsi"/>
              </w:rPr>
              <w:t xml:space="preserve"> based on the Program Approval Standards adopted in June 2012. </w:t>
            </w:r>
          </w:p>
        </w:tc>
        <w:tc>
          <w:tcPr>
            <w:tcW w:w="3600" w:type="dxa"/>
          </w:tcPr>
          <w:p w14:paraId="5B5D893F" w14:textId="5DF2E7F3" w:rsidR="00FA3E50" w:rsidRPr="00553597" w:rsidRDefault="00FA3E50" w:rsidP="00C6789F">
            <w:pPr>
              <w:rPr>
                <w:rFonts w:cstheme="minorHAnsi"/>
              </w:rPr>
            </w:pPr>
            <w:r w:rsidRPr="00553597">
              <w:rPr>
                <w:rFonts w:cstheme="minorHAnsi"/>
              </w:rPr>
              <w:t xml:space="preserve">The </w:t>
            </w:r>
            <w:hyperlink r:id="rId28" w:history="1">
              <w:r w:rsidRPr="00553597">
                <w:rPr>
                  <w:rStyle w:val="Hyperlink"/>
                  <w:rFonts w:cstheme="minorHAnsi"/>
                </w:rPr>
                <w:t>Program Approval Standards</w:t>
              </w:r>
            </w:hyperlink>
            <w:r w:rsidRPr="00553597">
              <w:rPr>
                <w:rFonts w:cstheme="minorHAnsi"/>
              </w:rPr>
              <w:t xml:space="preserve"> require Sponsoring Organizations to “ensure that completers have </w:t>
            </w:r>
            <w:r w:rsidR="00CD20FE" w:rsidRPr="00553597">
              <w:rPr>
                <w:rFonts w:cstheme="minorHAnsi"/>
              </w:rPr>
              <w:t>content mastery based on the subject matter knowledge requirements</w:t>
            </w:r>
            <w:r w:rsidRPr="00553597">
              <w:rPr>
                <w:rFonts w:cstheme="minorHAnsi"/>
              </w:rPr>
              <w:t xml:space="preserve">…” Subsequently, providers are responsible for updating their programs to incorporate the </w:t>
            </w:r>
            <w:r w:rsidR="00CD20FE" w:rsidRPr="00553597">
              <w:rPr>
                <w:rFonts w:cstheme="minorHAnsi"/>
              </w:rPr>
              <w:t>SMK requirements</w:t>
            </w:r>
            <w:r w:rsidRPr="00553597">
              <w:rPr>
                <w:rFonts w:cstheme="minorHAnsi"/>
              </w:rPr>
              <w:t xml:space="preserve"> and for </w:t>
            </w:r>
            <w:r w:rsidR="00CD20FE" w:rsidRPr="00553597">
              <w:rPr>
                <w:rFonts w:cstheme="minorHAnsi"/>
              </w:rPr>
              <w:t>ensuring candidates have mastered</w:t>
            </w:r>
            <w:r w:rsidRPr="00553597">
              <w:rPr>
                <w:rFonts w:cstheme="minorHAnsi"/>
              </w:rPr>
              <w:t xml:space="preserve"> them. </w:t>
            </w:r>
          </w:p>
        </w:tc>
      </w:tr>
      <w:tr w:rsidR="00682B5E" w:rsidRPr="00553597" w14:paraId="5FEF8E7E" w14:textId="77777777" w:rsidTr="00943753">
        <w:trPr>
          <w:trHeight w:val="413"/>
        </w:trPr>
        <w:tc>
          <w:tcPr>
            <w:tcW w:w="1800" w:type="dxa"/>
            <w:shd w:val="clear" w:color="auto" w:fill="FFFFFF"/>
          </w:tcPr>
          <w:p w14:paraId="6D3ACB55" w14:textId="6AC6122A" w:rsidR="00682B5E" w:rsidRDefault="002B1779" w:rsidP="00F56A1D">
            <w:pPr>
              <w:spacing w:after="0"/>
              <w:rPr>
                <w:rFonts w:cstheme="minorHAnsi"/>
              </w:rPr>
            </w:pPr>
            <w:hyperlink r:id="rId29" w:history="1">
              <w:r w:rsidR="00682B5E" w:rsidRPr="00580F65">
                <w:rPr>
                  <w:rStyle w:val="Hyperlink"/>
                  <w:rFonts w:cstheme="minorHAnsi"/>
                </w:rPr>
                <w:t>Educator Evaluation</w:t>
              </w:r>
            </w:hyperlink>
          </w:p>
          <w:p w14:paraId="03976190" w14:textId="77777777" w:rsidR="00682B5E" w:rsidRDefault="00682B5E" w:rsidP="00F56A1D">
            <w:pPr>
              <w:spacing w:after="0"/>
              <w:rPr>
                <w:rFonts w:cstheme="minorHAnsi"/>
              </w:rPr>
            </w:pPr>
          </w:p>
          <w:p w14:paraId="61867128" w14:textId="0AB9A24D" w:rsidR="00682B5E" w:rsidRPr="00553597" w:rsidRDefault="002B1779" w:rsidP="00580F65">
            <w:pPr>
              <w:spacing w:after="0"/>
              <w:rPr>
                <w:rFonts w:cstheme="minorHAnsi"/>
                <w:b/>
              </w:rPr>
            </w:pPr>
            <w:hyperlink r:id="rId30" w:history="1"/>
            <w:r w:rsidR="00682B5E">
              <w:rPr>
                <w:rFonts w:cstheme="minorHAnsi"/>
              </w:rPr>
              <w:t xml:space="preserve"> </w:t>
            </w:r>
          </w:p>
        </w:tc>
        <w:tc>
          <w:tcPr>
            <w:tcW w:w="4320" w:type="dxa"/>
            <w:shd w:val="clear" w:color="auto" w:fill="FFFFFF"/>
          </w:tcPr>
          <w:p w14:paraId="7DAFECEF" w14:textId="5CDFACED" w:rsidR="00682B5E" w:rsidRPr="00553597" w:rsidRDefault="00873AE6" w:rsidP="00C237E5">
            <w:pPr>
              <w:spacing w:after="0"/>
              <w:rPr>
                <w:rFonts w:cstheme="minorHAnsi"/>
              </w:rPr>
            </w:pPr>
            <w:r>
              <w:rPr>
                <w:rFonts w:cstheme="minorHAnsi"/>
              </w:rPr>
              <w:lastRenderedPageBreak/>
              <w:t>T</w:t>
            </w:r>
            <w:r w:rsidR="00682B5E" w:rsidRPr="00553597">
              <w:rPr>
                <w:rFonts w:cstheme="minorHAnsi"/>
              </w:rPr>
              <w:t>he state adopted regulations for the evaluation of M</w:t>
            </w:r>
            <w:r w:rsidR="00C237E5">
              <w:rPr>
                <w:rFonts w:cstheme="minorHAnsi"/>
              </w:rPr>
              <w:t>assachusetts</w:t>
            </w:r>
            <w:r w:rsidR="00682B5E" w:rsidRPr="00553597">
              <w:rPr>
                <w:rFonts w:cstheme="minorHAnsi"/>
              </w:rPr>
              <w:t xml:space="preserve"> educators</w:t>
            </w:r>
            <w:r>
              <w:rPr>
                <w:rFonts w:cstheme="minorHAnsi"/>
              </w:rPr>
              <w:t xml:space="preserve"> in 2011</w:t>
            </w:r>
            <w:r w:rsidR="00682B5E" w:rsidRPr="00553597">
              <w:rPr>
                <w:rFonts w:cstheme="minorHAnsi"/>
              </w:rPr>
              <w:t xml:space="preserve"> in an effort to promote the growth and </w:t>
            </w:r>
            <w:r w:rsidR="00682B5E" w:rsidRPr="00553597">
              <w:rPr>
                <w:rFonts w:cstheme="minorHAnsi"/>
              </w:rPr>
              <w:lastRenderedPageBreak/>
              <w:t xml:space="preserve">development of educators; place student learning at the center of conversations about improvement; shorten timelines for improvement; and recognize excellence in the profession. The Educator Evaluation Framework was implemented in all districts in the 2013-2014 school year. </w:t>
            </w:r>
          </w:p>
        </w:tc>
        <w:tc>
          <w:tcPr>
            <w:tcW w:w="3600" w:type="dxa"/>
            <w:shd w:val="clear" w:color="auto" w:fill="FFFFFF"/>
          </w:tcPr>
          <w:p w14:paraId="6121921F" w14:textId="6B9D1659" w:rsidR="00682B5E" w:rsidRPr="00553597" w:rsidRDefault="00682B5E" w:rsidP="009525C6">
            <w:pPr>
              <w:spacing w:after="0"/>
              <w:rPr>
                <w:rFonts w:cstheme="minorHAnsi"/>
              </w:rPr>
            </w:pPr>
            <w:r w:rsidRPr="00553597">
              <w:rPr>
                <w:rFonts w:cstheme="minorHAnsi"/>
              </w:rPr>
              <w:lastRenderedPageBreak/>
              <w:t xml:space="preserve">Educators are held accountable to student achievement on the MA curriculum standards. By aligning the </w:t>
            </w:r>
            <w:r w:rsidRPr="00553597">
              <w:rPr>
                <w:rFonts w:cstheme="minorHAnsi"/>
              </w:rPr>
              <w:lastRenderedPageBreak/>
              <w:t>SMK requirements to th</w:t>
            </w:r>
            <w:r w:rsidR="007457FB">
              <w:rPr>
                <w:rFonts w:cstheme="minorHAnsi"/>
              </w:rPr>
              <w:t xml:space="preserve">e </w:t>
            </w:r>
            <w:r w:rsidR="00C237E5" w:rsidRPr="00A31EDC">
              <w:rPr>
                <w:rFonts w:cstheme="minorHAnsi"/>
                <w:i/>
              </w:rPr>
              <w:t xml:space="preserve">Massachusetts </w:t>
            </w:r>
            <w:r w:rsidR="007457FB" w:rsidRPr="007457FB">
              <w:rPr>
                <w:rFonts w:cstheme="minorHAnsi"/>
                <w:i/>
              </w:rPr>
              <w:t>C</w:t>
            </w:r>
            <w:r w:rsidRPr="007457FB">
              <w:rPr>
                <w:rFonts w:cstheme="minorHAnsi"/>
                <w:i/>
              </w:rPr>
              <w:t xml:space="preserve">urriculum </w:t>
            </w:r>
            <w:r w:rsidR="007457FB" w:rsidRPr="007457FB">
              <w:rPr>
                <w:rFonts w:cstheme="minorHAnsi"/>
                <w:i/>
              </w:rPr>
              <w:t>F</w:t>
            </w:r>
            <w:r w:rsidRPr="007457FB">
              <w:rPr>
                <w:rFonts w:cstheme="minorHAnsi"/>
                <w:i/>
              </w:rPr>
              <w:t>rameworks</w:t>
            </w:r>
            <w:r w:rsidR="007457FB">
              <w:rPr>
                <w:rFonts w:cstheme="minorHAnsi"/>
              </w:rPr>
              <w:t>, they align</w:t>
            </w:r>
            <w:r w:rsidRPr="00553597">
              <w:rPr>
                <w:rFonts w:cstheme="minorHAnsi"/>
              </w:rPr>
              <w:t xml:space="preserve"> with the expectations outlined for current M</w:t>
            </w:r>
            <w:r w:rsidR="009525C6">
              <w:rPr>
                <w:rFonts w:cstheme="minorHAnsi"/>
              </w:rPr>
              <w:t>assachusetts</w:t>
            </w:r>
            <w:r w:rsidRPr="00553597">
              <w:rPr>
                <w:rFonts w:cstheme="minorHAnsi"/>
              </w:rPr>
              <w:t xml:space="preserve"> teachers. This alignment ensures that educators are prepared under the same expectations on which they are evaluated and supported once employed. </w:t>
            </w:r>
          </w:p>
        </w:tc>
      </w:tr>
      <w:tr w:rsidR="00736371" w:rsidRPr="00553597" w14:paraId="505D3EC7" w14:textId="77777777" w:rsidTr="00943753">
        <w:trPr>
          <w:trHeight w:val="413"/>
        </w:trPr>
        <w:tc>
          <w:tcPr>
            <w:tcW w:w="1800" w:type="dxa"/>
            <w:shd w:val="clear" w:color="auto" w:fill="FFFFFF"/>
          </w:tcPr>
          <w:p w14:paraId="290B9B63" w14:textId="5956C608" w:rsidR="00736371" w:rsidRDefault="002B1779" w:rsidP="00F56A1D">
            <w:pPr>
              <w:spacing w:after="0"/>
              <w:rPr>
                <w:rFonts w:ascii="Calibri" w:hAnsi="Calibri" w:cs="Calibri"/>
                <w:color w:val="000000"/>
              </w:rPr>
            </w:pPr>
            <w:hyperlink r:id="rId31" w:history="1">
              <w:r w:rsidR="00736371" w:rsidRPr="00665AF9">
                <w:rPr>
                  <w:rStyle w:val="Hyperlink"/>
                  <w:rFonts w:ascii="Calibri" w:hAnsi="Calibri" w:cs="Calibri"/>
                </w:rPr>
                <w:t xml:space="preserve">CURATE </w:t>
              </w:r>
              <w:proofErr w:type="spellStart"/>
              <w:r w:rsidR="00736371" w:rsidRPr="00665AF9">
                <w:rPr>
                  <w:rStyle w:val="Hyperlink"/>
                  <w:rFonts w:ascii="Calibri" w:hAnsi="Calibri" w:cs="Calibri"/>
                </w:rPr>
                <w:t>CUrriculum</w:t>
              </w:r>
              <w:proofErr w:type="spellEnd"/>
              <w:r w:rsidR="00736371" w:rsidRPr="00665AF9">
                <w:rPr>
                  <w:rStyle w:val="Hyperlink"/>
                  <w:rFonts w:ascii="Calibri" w:hAnsi="Calibri" w:cs="Calibri"/>
                </w:rPr>
                <w:t xml:space="preserve"> </w:t>
              </w:r>
              <w:proofErr w:type="spellStart"/>
              <w:r w:rsidR="00736371" w:rsidRPr="00665AF9">
                <w:rPr>
                  <w:rStyle w:val="Hyperlink"/>
                  <w:rFonts w:ascii="Calibri" w:hAnsi="Calibri" w:cs="Calibri"/>
                </w:rPr>
                <w:t>RAtings</w:t>
              </w:r>
              <w:proofErr w:type="spellEnd"/>
              <w:r w:rsidR="00736371" w:rsidRPr="00665AF9">
                <w:rPr>
                  <w:rStyle w:val="Hyperlink"/>
                  <w:rFonts w:ascii="Calibri" w:hAnsi="Calibri" w:cs="Calibri"/>
                </w:rPr>
                <w:t xml:space="preserve"> by Teachers</w:t>
              </w:r>
            </w:hyperlink>
            <w:r w:rsidR="00736371">
              <w:rPr>
                <w:rFonts w:ascii="Calibri" w:hAnsi="Calibri" w:cs="Calibri"/>
                <w:color w:val="000000"/>
              </w:rPr>
              <w:t xml:space="preserve"> </w:t>
            </w:r>
          </w:p>
          <w:p w14:paraId="7D30BF80" w14:textId="77777777" w:rsidR="00736371" w:rsidRDefault="00736371" w:rsidP="00F56A1D">
            <w:pPr>
              <w:spacing w:after="0"/>
              <w:rPr>
                <w:rFonts w:ascii="Calibri" w:hAnsi="Calibri" w:cs="Calibri"/>
                <w:color w:val="000000"/>
              </w:rPr>
            </w:pPr>
          </w:p>
          <w:p w14:paraId="4132FDBC" w14:textId="5FB3B250" w:rsidR="00736371" w:rsidRPr="00553597" w:rsidRDefault="00736371" w:rsidP="00F56A1D">
            <w:pPr>
              <w:spacing w:after="0"/>
              <w:rPr>
                <w:rFonts w:cstheme="minorHAnsi"/>
              </w:rPr>
            </w:pPr>
          </w:p>
        </w:tc>
        <w:tc>
          <w:tcPr>
            <w:tcW w:w="4320" w:type="dxa"/>
            <w:shd w:val="clear" w:color="auto" w:fill="FFFFFF"/>
          </w:tcPr>
          <w:p w14:paraId="5C3CF2F5" w14:textId="7BB1756A" w:rsidR="00736371" w:rsidRDefault="00736371" w:rsidP="008E5939">
            <w:pPr>
              <w:spacing w:after="0"/>
              <w:rPr>
                <w:rFonts w:cstheme="minorHAnsi"/>
              </w:rPr>
            </w:pPr>
            <w:r>
              <w:rPr>
                <w:rFonts w:ascii="Calibri" w:hAnsi="Calibri" w:cs="Calibri"/>
                <w:color w:val="000000"/>
              </w:rPr>
              <w:t xml:space="preserve">Expanding access to high-quality, standards-aligned curricular materials can significantly improve student outcomes, especially when teachers have the professional learning </w:t>
            </w:r>
            <w:proofErr w:type="gramStart"/>
            <w:r>
              <w:rPr>
                <w:rFonts w:ascii="Calibri" w:hAnsi="Calibri" w:cs="Calibri"/>
                <w:color w:val="000000"/>
              </w:rPr>
              <w:t>opportunities</w:t>
            </w:r>
            <w:proofErr w:type="gramEnd"/>
            <w:r>
              <w:rPr>
                <w:rFonts w:ascii="Calibri" w:hAnsi="Calibri" w:cs="Calibri"/>
                <w:color w:val="000000"/>
              </w:rPr>
              <w:t xml:space="preserve"> they need to make the most of those materials. </w:t>
            </w:r>
            <w:r w:rsidR="00180DD9" w:rsidRPr="00736371">
              <w:t xml:space="preserve">The work of </w:t>
            </w:r>
            <w:r w:rsidR="008E5939">
              <w:t>Massachusetts teacher</w:t>
            </w:r>
            <w:r w:rsidR="00180DD9" w:rsidRPr="00736371">
              <w:t xml:space="preserve"> CURATE panels will result in a series of brief, user-friendly reports that provide schools and districts with guidance as they work to select high-quality core curricular materials aligned to Massach</w:t>
            </w:r>
            <w:r w:rsidR="00180DD9">
              <w:t>usetts learning standards.</w:t>
            </w:r>
          </w:p>
        </w:tc>
        <w:tc>
          <w:tcPr>
            <w:tcW w:w="3600" w:type="dxa"/>
            <w:shd w:val="clear" w:color="auto" w:fill="FFFFFF"/>
          </w:tcPr>
          <w:p w14:paraId="29417CCB" w14:textId="7E70DF4B" w:rsidR="00180DD9" w:rsidRPr="00117466" w:rsidRDefault="00180DD9" w:rsidP="00117466">
            <w:r w:rsidRPr="00117466">
              <w:rPr>
                <w:rFonts w:ascii="Calibri" w:hAnsi="Calibri" w:cs="Calibri"/>
              </w:rPr>
              <w:t>Strong curricular materials</w:t>
            </w:r>
            <w:r w:rsidR="008E5939" w:rsidRPr="00117466">
              <w:rPr>
                <w:rFonts w:ascii="Calibri" w:hAnsi="Calibri" w:cs="Calibri"/>
              </w:rPr>
              <w:t xml:space="preserve">, in addition to </w:t>
            </w:r>
            <w:r w:rsidRPr="00117466">
              <w:rPr>
                <w:rFonts w:ascii="Calibri" w:hAnsi="Calibri" w:cs="Calibri"/>
              </w:rPr>
              <w:t>model</w:t>
            </w:r>
            <w:r w:rsidR="008E5939" w:rsidRPr="00117466">
              <w:rPr>
                <w:rFonts w:ascii="Calibri" w:hAnsi="Calibri" w:cs="Calibri"/>
              </w:rPr>
              <w:t>ing</w:t>
            </w:r>
            <w:r w:rsidRPr="00117466">
              <w:rPr>
                <w:rFonts w:ascii="Calibri" w:hAnsi="Calibri" w:cs="Calibri"/>
              </w:rPr>
              <w:t xml:space="preserve"> high-quality instructional design</w:t>
            </w:r>
            <w:r w:rsidR="008E5939" w:rsidRPr="00117466">
              <w:rPr>
                <w:rFonts w:ascii="Calibri" w:hAnsi="Calibri" w:cs="Calibri"/>
              </w:rPr>
              <w:t>,</w:t>
            </w:r>
            <w:r w:rsidRPr="00117466">
              <w:rPr>
                <w:rFonts w:ascii="Calibri" w:hAnsi="Calibri" w:cs="Calibri"/>
              </w:rPr>
              <w:t xml:space="preserve"> also build content knowledge in teachers and teacher candidates. Materials closely aligned to Massachusetts standards will also be closely aligned to the SMKs</w:t>
            </w:r>
            <w:r w:rsidR="008E5939" w:rsidRPr="00117466">
              <w:rPr>
                <w:rFonts w:ascii="Calibri" w:hAnsi="Calibri" w:cs="Calibri"/>
              </w:rPr>
              <w:t>.</w:t>
            </w:r>
          </w:p>
        </w:tc>
      </w:tr>
    </w:tbl>
    <w:p w14:paraId="60F96440" w14:textId="77777777" w:rsidR="0092194E" w:rsidRDefault="0092194E" w:rsidP="00FA3E50">
      <w:pPr>
        <w:rPr>
          <w:rFonts w:cstheme="minorHAnsi"/>
        </w:rPr>
      </w:pPr>
    </w:p>
    <w:p w14:paraId="006B54AA" w14:textId="77777777" w:rsidR="00605331" w:rsidRDefault="00605331">
      <w:pPr>
        <w:rPr>
          <w:rFonts w:cstheme="minorHAnsi"/>
          <w:i/>
        </w:rPr>
      </w:pPr>
      <w:r>
        <w:rPr>
          <w:rFonts w:cstheme="minorHAnsi"/>
          <w:i/>
        </w:rPr>
        <w:br w:type="page"/>
      </w:r>
    </w:p>
    <w:p w14:paraId="05322F76" w14:textId="77777777" w:rsidR="007960FB" w:rsidRDefault="007960FB" w:rsidP="000E5681">
      <w:pPr>
        <w:rPr>
          <w:rFonts w:cstheme="minorHAnsi"/>
          <w:i/>
        </w:rPr>
        <w:sectPr w:rsidR="007960FB" w:rsidSect="000A50F1">
          <w:headerReference w:type="even" r:id="rId32"/>
          <w:headerReference w:type="default" r:id="rId33"/>
          <w:footerReference w:type="default" r:id="rId34"/>
          <w:headerReference w:type="first" r:id="rId35"/>
          <w:pgSz w:w="12240" w:h="15840"/>
          <w:pgMar w:top="1440" w:right="1080" w:bottom="720" w:left="1440" w:header="720" w:footer="720" w:gutter="0"/>
          <w:cols w:space="720"/>
          <w:docGrid w:linePitch="360"/>
        </w:sectPr>
      </w:pPr>
    </w:p>
    <w:p w14:paraId="5DC81701" w14:textId="77777777" w:rsidR="00392386" w:rsidRPr="00FD2BED" w:rsidRDefault="00392386" w:rsidP="00392386">
      <w:pPr>
        <w:rPr>
          <w:rFonts w:ascii="Calibri" w:hAnsi="Calibri"/>
          <w:b/>
          <w:color w:val="2E74B5" w:themeColor="accent1" w:themeShade="BF"/>
          <w:sz w:val="32"/>
          <w:szCs w:val="32"/>
        </w:rPr>
      </w:pPr>
      <w:r>
        <w:rPr>
          <w:rFonts w:ascii="Calibri" w:hAnsi="Calibri"/>
          <w:b/>
          <w:color w:val="2E74B5" w:themeColor="accent1" w:themeShade="BF"/>
          <w:sz w:val="32"/>
          <w:szCs w:val="32"/>
        </w:rPr>
        <w:lastRenderedPageBreak/>
        <w:t xml:space="preserve">Crosscutting </w:t>
      </w:r>
      <w:r w:rsidRPr="009D2024">
        <w:rPr>
          <w:rFonts w:ascii="Calibri" w:hAnsi="Calibri"/>
          <w:b/>
          <w:color w:val="2E74B5" w:themeColor="accent1" w:themeShade="BF"/>
          <w:sz w:val="32"/>
          <w:szCs w:val="32"/>
        </w:rPr>
        <w:t>Subject Matter Knowledge (SMK) Matrix</w:t>
      </w:r>
      <w:r>
        <w:rPr>
          <w:rFonts w:ascii="Calibri" w:hAnsi="Calibri"/>
          <w:b/>
          <w:color w:val="2E74B5" w:themeColor="accent1" w:themeShade="BF"/>
          <w:sz w:val="32"/>
          <w:szCs w:val="32"/>
        </w:rPr>
        <w:t xml:space="preserve"> </w:t>
      </w:r>
      <w:r w:rsidRPr="00392386">
        <w:rPr>
          <w:rFonts w:ascii="Calibri" w:hAnsi="Calibri"/>
          <w:b/>
          <w:color w:val="ED7D31" w:themeColor="accent2"/>
          <w:sz w:val="28"/>
          <w:szCs w:val="28"/>
        </w:rPr>
        <w:t>(Required)</w:t>
      </w:r>
    </w:p>
    <w:tbl>
      <w:tblPr>
        <w:tblStyle w:val="LightList-Accent1"/>
        <w:tblpPr w:leftFromText="180" w:rightFromText="180" w:vertAnchor="text" w:horzAnchor="margin" w:tblpX="18" w:tblpY="166"/>
        <w:tblW w:w="0" w:type="auto"/>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5047"/>
        <w:gridCol w:w="8111"/>
      </w:tblGrid>
      <w:tr w:rsidR="00392386" w14:paraId="7A58FFD9" w14:textId="77777777" w:rsidTr="00F84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7" w:type="dxa"/>
            <w:tcBorders>
              <w:bottom w:val="single" w:sz="8" w:space="0" w:color="5B9BD5" w:themeColor="accent1"/>
            </w:tcBorders>
            <w:shd w:val="clear" w:color="auto" w:fill="auto"/>
          </w:tcPr>
          <w:p w14:paraId="60276ADC" w14:textId="77777777" w:rsidR="00392386" w:rsidRPr="009B7AA9" w:rsidRDefault="00392386" w:rsidP="00F84069">
            <w:pPr>
              <w:tabs>
                <w:tab w:val="left" w:pos="5025"/>
              </w:tabs>
              <w:rPr>
                <w:rFonts w:cs="Arial"/>
                <w:color w:val="auto"/>
              </w:rPr>
            </w:pPr>
            <w:r w:rsidRPr="009B7AA9">
              <w:rPr>
                <w:rFonts w:cs="Arial"/>
                <w:color w:val="auto"/>
              </w:rPr>
              <w:t xml:space="preserve">Sponsoring Organization: </w:t>
            </w:r>
            <w:r w:rsidRPr="009B7AA9">
              <w:rPr>
                <w:rFonts w:cs="Arial"/>
                <w:color w:val="auto"/>
              </w:rPr>
              <w:tab/>
            </w:r>
          </w:p>
        </w:tc>
        <w:tc>
          <w:tcPr>
            <w:tcW w:w="8111" w:type="dxa"/>
            <w:tcBorders>
              <w:right w:val="single" w:sz="6" w:space="0" w:color="2E74B5" w:themeColor="accent1" w:themeShade="BF"/>
            </w:tcBorders>
            <w:shd w:val="clear" w:color="auto" w:fill="auto"/>
          </w:tcPr>
          <w:p w14:paraId="633B7088" w14:textId="77777777" w:rsidR="00392386" w:rsidRPr="009B7AA9" w:rsidRDefault="00392386" w:rsidP="00F84069">
            <w:pPr>
              <w:tabs>
                <w:tab w:val="left" w:pos="5025"/>
              </w:tabs>
              <w:cnfStyle w:val="100000000000" w:firstRow="1" w:lastRow="0" w:firstColumn="0" w:lastColumn="0" w:oddVBand="0" w:evenVBand="0" w:oddHBand="0" w:evenHBand="0" w:firstRowFirstColumn="0" w:firstRowLastColumn="0" w:lastRowFirstColumn="0" w:lastRowLastColumn="0"/>
              <w:rPr>
                <w:rFonts w:cs="Arial"/>
                <w:color w:val="auto"/>
              </w:rPr>
            </w:pPr>
          </w:p>
        </w:tc>
      </w:tr>
      <w:tr w:rsidR="00392386" w:rsidRPr="00F82074" w14:paraId="159D1377" w14:textId="77777777" w:rsidTr="00F84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435C1DFE" w14:textId="77777777" w:rsidR="00392386" w:rsidRPr="00AA4686" w:rsidRDefault="00392386" w:rsidP="00F84069">
            <w:pPr>
              <w:tabs>
                <w:tab w:val="left" w:pos="5025"/>
              </w:tabs>
              <w:rPr>
                <w:rFonts w:cs="Arial"/>
              </w:rPr>
            </w:pPr>
            <w:r w:rsidRPr="00AA4686">
              <w:rPr>
                <w:rFonts w:cs="Arial"/>
              </w:rPr>
              <w:t xml:space="preserve">Licensure Program (License and Grade Level): </w:t>
            </w:r>
            <w:r w:rsidRPr="00AA4686">
              <w:rPr>
                <w:rFonts w:cs="Arial"/>
              </w:rPr>
              <w:softHyphen/>
              <w:t xml:space="preserve">  </w:t>
            </w:r>
          </w:p>
        </w:tc>
        <w:tc>
          <w:tcPr>
            <w:tcW w:w="8111" w:type="dxa"/>
            <w:tcBorders>
              <w:right w:val="single" w:sz="6" w:space="0" w:color="2E74B5" w:themeColor="accent1" w:themeShade="BF"/>
            </w:tcBorders>
            <w:shd w:val="clear" w:color="auto" w:fill="auto"/>
          </w:tcPr>
          <w:p w14:paraId="3FF78459" w14:textId="77777777" w:rsidR="00392386" w:rsidRPr="00AA4686" w:rsidRDefault="00392386" w:rsidP="00F84069">
            <w:pPr>
              <w:tabs>
                <w:tab w:val="left" w:pos="5025"/>
              </w:tabs>
              <w:cnfStyle w:val="000000100000" w:firstRow="0" w:lastRow="0" w:firstColumn="0" w:lastColumn="0" w:oddVBand="0" w:evenVBand="0" w:oddHBand="1" w:evenHBand="0" w:firstRowFirstColumn="0" w:firstRowLastColumn="0" w:lastRowFirstColumn="0" w:lastRowLastColumn="0"/>
              <w:rPr>
                <w:rFonts w:cs="Arial"/>
              </w:rPr>
            </w:pPr>
          </w:p>
        </w:tc>
      </w:tr>
    </w:tbl>
    <w:p w14:paraId="46007A7F" w14:textId="77777777" w:rsidR="00392386" w:rsidRDefault="00392386" w:rsidP="00392386">
      <w:pPr>
        <w:spacing w:after="0"/>
      </w:pPr>
    </w:p>
    <w:tbl>
      <w:tblPr>
        <w:tblStyle w:val="TableGrid"/>
        <w:tblW w:w="13315" w:type="dxa"/>
        <w:tblLayout w:type="fixed"/>
        <w:tblCellMar>
          <w:left w:w="115" w:type="dxa"/>
          <w:right w:w="115" w:type="dxa"/>
        </w:tblCellMar>
        <w:tblLook w:val="04A0" w:firstRow="1" w:lastRow="0" w:firstColumn="1" w:lastColumn="0" w:noHBand="0" w:noVBand="1"/>
      </w:tblPr>
      <w:tblGrid>
        <w:gridCol w:w="5425"/>
        <w:gridCol w:w="1972"/>
        <w:gridCol w:w="1973"/>
        <w:gridCol w:w="1972"/>
        <w:gridCol w:w="1973"/>
      </w:tblGrid>
      <w:tr w:rsidR="00392386" w14:paraId="7490EF55" w14:textId="77777777" w:rsidTr="00F84069">
        <w:trPr>
          <w:cantSplit/>
          <w:trHeight w:val="530"/>
          <w:tblHeader/>
        </w:trPr>
        <w:tc>
          <w:tcPr>
            <w:tcW w:w="5425" w:type="dxa"/>
            <w:vMerge w:val="restart"/>
            <w:tcBorders>
              <w:top w:val="single" w:sz="4" w:space="0" w:color="auto"/>
            </w:tcBorders>
            <w:shd w:val="clear" w:color="auto" w:fill="BDD6EE" w:themeFill="accent1" w:themeFillTint="66"/>
            <w:vAlign w:val="center"/>
          </w:tcPr>
          <w:p w14:paraId="1B6831CE" w14:textId="3F2CCD2D" w:rsidR="00392386" w:rsidRPr="0026724F" w:rsidRDefault="00392386" w:rsidP="00F84069">
            <w:r>
              <w:rPr>
                <w:b/>
              </w:rPr>
              <w:t xml:space="preserve">Crosscutting </w:t>
            </w:r>
            <w:r w:rsidRPr="0026724F">
              <w:rPr>
                <w:b/>
              </w:rPr>
              <w:t>Subject Matter Knowledge</w:t>
            </w:r>
            <w:r>
              <w:rPr>
                <w:b/>
              </w:rPr>
              <w:t xml:space="preserve"> </w:t>
            </w:r>
            <w:r w:rsidR="00C95EB8">
              <w:rPr>
                <w:b/>
              </w:rPr>
              <w:t xml:space="preserve">(SMK) </w:t>
            </w:r>
            <w:r>
              <w:rPr>
                <w:b/>
              </w:rPr>
              <w:t>Requirement</w:t>
            </w:r>
          </w:p>
        </w:tc>
        <w:tc>
          <w:tcPr>
            <w:tcW w:w="7890" w:type="dxa"/>
            <w:gridSpan w:val="4"/>
            <w:tcBorders>
              <w:top w:val="single" w:sz="4" w:space="0" w:color="auto"/>
            </w:tcBorders>
            <w:shd w:val="clear" w:color="auto" w:fill="BDD6EE" w:themeFill="accent1" w:themeFillTint="66"/>
            <w:vAlign w:val="center"/>
          </w:tcPr>
          <w:p w14:paraId="074B733F" w14:textId="77777777" w:rsidR="00392386" w:rsidRDefault="00392386" w:rsidP="00F84069">
            <w:pPr>
              <w:jc w:val="center"/>
              <w:rPr>
                <w:rFonts w:ascii="Calibri" w:hAnsi="Calibri" w:cs="Arial"/>
                <w:b/>
                <w:bCs/>
              </w:rPr>
            </w:pPr>
            <w:r>
              <w:rPr>
                <w:rFonts w:ascii="Calibri" w:hAnsi="Calibri" w:cs="Arial"/>
                <w:b/>
                <w:bCs/>
              </w:rPr>
              <w:t>Course(s) that cover the knowledge needed to meet these requirements</w:t>
            </w:r>
          </w:p>
        </w:tc>
      </w:tr>
      <w:tr w:rsidR="00392386" w14:paraId="35BF8416" w14:textId="77777777" w:rsidTr="00F84069">
        <w:trPr>
          <w:cantSplit/>
          <w:trHeight w:val="530"/>
          <w:tblHeader/>
        </w:trPr>
        <w:tc>
          <w:tcPr>
            <w:tcW w:w="5425" w:type="dxa"/>
            <w:vMerge/>
            <w:shd w:val="clear" w:color="auto" w:fill="BDD6EE" w:themeFill="accent1" w:themeFillTint="66"/>
            <w:vAlign w:val="center"/>
          </w:tcPr>
          <w:p w14:paraId="773A799A" w14:textId="77777777" w:rsidR="00392386" w:rsidRDefault="00392386" w:rsidP="00F84069">
            <w:pPr>
              <w:rPr>
                <w:b/>
              </w:rPr>
            </w:pPr>
          </w:p>
        </w:tc>
        <w:tc>
          <w:tcPr>
            <w:tcW w:w="1972" w:type="dxa"/>
            <w:tcBorders>
              <w:top w:val="single" w:sz="4" w:space="0" w:color="auto"/>
            </w:tcBorders>
            <w:shd w:val="clear" w:color="auto" w:fill="DEEAF6" w:themeFill="accent1" w:themeFillTint="33"/>
            <w:vAlign w:val="center"/>
          </w:tcPr>
          <w:p w14:paraId="1957EE2D" w14:textId="77777777" w:rsidR="00392386" w:rsidRDefault="00392386" w:rsidP="00F84069">
            <w:pPr>
              <w:tabs>
                <w:tab w:val="left" w:pos="1612"/>
              </w:tabs>
              <w:jc w:val="center"/>
            </w:pPr>
            <w:r>
              <w:t>Basic</w:t>
            </w:r>
          </w:p>
        </w:tc>
        <w:tc>
          <w:tcPr>
            <w:tcW w:w="1973" w:type="dxa"/>
            <w:tcBorders>
              <w:top w:val="single" w:sz="4" w:space="0" w:color="auto"/>
            </w:tcBorders>
            <w:shd w:val="clear" w:color="auto" w:fill="DEEAF6" w:themeFill="accent1" w:themeFillTint="33"/>
            <w:vAlign w:val="center"/>
          </w:tcPr>
          <w:p w14:paraId="5D58F71B" w14:textId="77777777" w:rsidR="00392386" w:rsidRDefault="00392386" w:rsidP="00F84069">
            <w:pPr>
              <w:jc w:val="center"/>
            </w:pPr>
            <w:r>
              <w:t>Functional</w:t>
            </w:r>
          </w:p>
        </w:tc>
        <w:tc>
          <w:tcPr>
            <w:tcW w:w="1972" w:type="dxa"/>
            <w:tcBorders>
              <w:top w:val="single" w:sz="4" w:space="0" w:color="auto"/>
            </w:tcBorders>
            <w:shd w:val="clear" w:color="auto" w:fill="DEEAF6" w:themeFill="accent1" w:themeFillTint="33"/>
            <w:vAlign w:val="center"/>
          </w:tcPr>
          <w:p w14:paraId="390CC0F1" w14:textId="77777777" w:rsidR="00392386" w:rsidRDefault="00392386" w:rsidP="00F84069">
            <w:pPr>
              <w:jc w:val="center"/>
            </w:pPr>
            <w:r>
              <w:t>Fluent</w:t>
            </w:r>
          </w:p>
        </w:tc>
        <w:tc>
          <w:tcPr>
            <w:tcW w:w="1973" w:type="dxa"/>
            <w:tcBorders>
              <w:top w:val="single" w:sz="4" w:space="0" w:color="auto"/>
            </w:tcBorders>
            <w:shd w:val="clear" w:color="auto" w:fill="DEEAF6" w:themeFill="accent1" w:themeFillTint="33"/>
            <w:vAlign w:val="center"/>
          </w:tcPr>
          <w:p w14:paraId="3952BA3D" w14:textId="77777777" w:rsidR="00392386" w:rsidRPr="00392386" w:rsidRDefault="00392386" w:rsidP="00F84069">
            <w:pPr>
              <w:jc w:val="center"/>
              <w:rPr>
                <w:rFonts w:ascii="Calibri" w:hAnsi="Calibri" w:cs="Arial"/>
                <w:bCs/>
              </w:rPr>
            </w:pPr>
            <w:r w:rsidRPr="00392386">
              <w:rPr>
                <w:rFonts w:ascii="Calibri" w:hAnsi="Calibri" w:cs="Arial"/>
                <w:bCs/>
              </w:rPr>
              <w:t>Expert</w:t>
            </w:r>
          </w:p>
        </w:tc>
      </w:tr>
      <w:tr w:rsidR="00392386" w14:paraId="6EA4BFC2" w14:textId="77777777" w:rsidTr="00F84069">
        <w:trPr>
          <w:trHeight w:val="1169"/>
        </w:trPr>
        <w:tc>
          <w:tcPr>
            <w:tcW w:w="5425" w:type="dxa"/>
            <w:vAlign w:val="center"/>
          </w:tcPr>
          <w:p w14:paraId="0F3B163D" w14:textId="34C81396" w:rsidR="00392386" w:rsidRPr="00392386" w:rsidRDefault="00392386" w:rsidP="00F84069">
            <w:pPr>
              <w:rPr>
                <w:rFonts w:ascii="Calibri" w:eastAsia="Calibri" w:hAnsi="Calibri" w:cs="Times New Roman"/>
              </w:rPr>
            </w:pPr>
            <w:r w:rsidRPr="00392386">
              <w:rPr>
                <w:rFonts w:ascii="Calibri" w:hAnsi="Calibri" w:cs="Calibri"/>
                <w:color w:val="000000"/>
              </w:rPr>
              <w:t xml:space="preserve">Support the integration of standards for literacy across the content areas as outlined in the </w:t>
            </w:r>
            <w:hyperlink r:id="rId36" w:history="1">
              <w:r w:rsidRPr="00392386">
                <w:rPr>
                  <w:rStyle w:val="Hyperlink"/>
                  <w:rFonts w:cs="Calibri"/>
                </w:rPr>
                <w:t>2017 ELA/Literacy Framework</w:t>
              </w:r>
            </w:hyperlink>
            <w:r w:rsidR="00C95EB8">
              <w:rPr>
                <w:rStyle w:val="Hyperlink"/>
                <w:rFonts w:cs="Calibri"/>
              </w:rPr>
              <w:t>.</w:t>
            </w:r>
          </w:p>
        </w:tc>
        <w:tc>
          <w:tcPr>
            <w:tcW w:w="1972" w:type="dxa"/>
            <w:shd w:val="clear" w:color="auto" w:fill="FFFFFF" w:themeFill="background1"/>
          </w:tcPr>
          <w:p w14:paraId="68D0D842" w14:textId="77777777" w:rsidR="00392386" w:rsidRPr="00392386" w:rsidRDefault="00392386" w:rsidP="00F84069">
            <w:pPr>
              <w:rPr>
                <w:rFonts w:ascii="Calibri" w:hAnsi="Calibri" w:cs="Calibri"/>
              </w:rPr>
            </w:pPr>
          </w:p>
        </w:tc>
        <w:tc>
          <w:tcPr>
            <w:tcW w:w="1973" w:type="dxa"/>
            <w:shd w:val="clear" w:color="auto" w:fill="FFFFFF" w:themeFill="background1"/>
          </w:tcPr>
          <w:p w14:paraId="2F053B5D" w14:textId="77777777" w:rsidR="00392386" w:rsidRPr="00392386" w:rsidRDefault="00392386" w:rsidP="00F84069">
            <w:pPr>
              <w:rPr>
                <w:rFonts w:ascii="Calibri" w:hAnsi="Calibri" w:cs="Calibri"/>
              </w:rPr>
            </w:pPr>
          </w:p>
        </w:tc>
        <w:tc>
          <w:tcPr>
            <w:tcW w:w="1972" w:type="dxa"/>
            <w:shd w:val="clear" w:color="auto" w:fill="FFFFFF" w:themeFill="background1"/>
          </w:tcPr>
          <w:p w14:paraId="76C31B06" w14:textId="77777777" w:rsidR="00392386" w:rsidRPr="00392386" w:rsidRDefault="00392386" w:rsidP="00F84069">
            <w:pPr>
              <w:rPr>
                <w:rFonts w:ascii="Calibri" w:hAnsi="Calibri" w:cs="Calibri"/>
              </w:rPr>
            </w:pPr>
          </w:p>
        </w:tc>
        <w:tc>
          <w:tcPr>
            <w:tcW w:w="1973" w:type="dxa"/>
            <w:shd w:val="clear" w:color="auto" w:fill="FFFFFF" w:themeFill="background1"/>
          </w:tcPr>
          <w:p w14:paraId="35F0B6E2" w14:textId="77777777" w:rsidR="00392386" w:rsidRPr="00392386" w:rsidRDefault="00392386" w:rsidP="00F84069">
            <w:pPr>
              <w:rPr>
                <w:rFonts w:ascii="Calibri" w:hAnsi="Calibri" w:cs="Calibri"/>
              </w:rPr>
            </w:pPr>
          </w:p>
        </w:tc>
      </w:tr>
      <w:tr w:rsidR="00392386" w14:paraId="57383DCC" w14:textId="77777777" w:rsidTr="00F84069">
        <w:trPr>
          <w:trHeight w:val="1610"/>
        </w:trPr>
        <w:tc>
          <w:tcPr>
            <w:tcW w:w="5425" w:type="dxa"/>
            <w:vAlign w:val="center"/>
          </w:tcPr>
          <w:p w14:paraId="415D7681" w14:textId="41D20882" w:rsidR="00392386" w:rsidRPr="00392386" w:rsidRDefault="00392386" w:rsidP="00F84069">
            <w:pPr>
              <w:rPr>
                <w:rFonts w:ascii="Calibri" w:eastAsia="Calibri" w:hAnsi="Calibri" w:cs="Arial"/>
              </w:rPr>
            </w:pPr>
            <w:r w:rsidRPr="00392386">
              <w:rPr>
                <w:rFonts w:ascii="Calibri" w:hAnsi="Calibri" w:cs="Calibri"/>
                <w:color w:val="000000"/>
              </w:rPr>
              <w:t xml:space="preserve">Apply basic principles and concepts for digital literacy and computer science in Computing and Society, Digital Tools and Collaboration, and Computing Systems as outlined in the </w:t>
            </w:r>
            <w:hyperlink r:id="rId37" w:history="1">
              <w:r w:rsidRPr="00392386">
                <w:rPr>
                  <w:rStyle w:val="Hyperlink"/>
                  <w:rFonts w:cs="Calibri"/>
                </w:rPr>
                <w:t>2016 Digital Literacy Computer Science Framework</w:t>
              </w:r>
            </w:hyperlink>
            <w:r w:rsidR="00C95EB8">
              <w:rPr>
                <w:rStyle w:val="Hyperlink"/>
                <w:rFonts w:cs="Calibri"/>
              </w:rPr>
              <w:t>.</w:t>
            </w:r>
          </w:p>
        </w:tc>
        <w:tc>
          <w:tcPr>
            <w:tcW w:w="1972" w:type="dxa"/>
            <w:shd w:val="clear" w:color="auto" w:fill="FFFFFF" w:themeFill="background1"/>
          </w:tcPr>
          <w:p w14:paraId="3998049C" w14:textId="77777777" w:rsidR="00392386" w:rsidRPr="00392386" w:rsidRDefault="00392386" w:rsidP="00F84069"/>
        </w:tc>
        <w:tc>
          <w:tcPr>
            <w:tcW w:w="1973" w:type="dxa"/>
            <w:shd w:val="clear" w:color="auto" w:fill="FFFFFF" w:themeFill="background1"/>
          </w:tcPr>
          <w:p w14:paraId="17F5B508" w14:textId="77777777" w:rsidR="00392386" w:rsidRPr="00392386" w:rsidRDefault="00392386" w:rsidP="00F84069"/>
        </w:tc>
        <w:tc>
          <w:tcPr>
            <w:tcW w:w="1972" w:type="dxa"/>
            <w:shd w:val="clear" w:color="auto" w:fill="FFFFFF" w:themeFill="background1"/>
          </w:tcPr>
          <w:p w14:paraId="482EBE03" w14:textId="77777777" w:rsidR="00392386" w:rsidRPr="00392386" w:rsidRDefault="00392386" w:rsidP="00F84069"/>
        </w:tc>
        <w:tc>
          <w:tcPr>
            <w:tcW w:w="1973" w:type="dxa"/>
            <w:shd w:val="clear" w:color="auto" w:fill="FFFFFF" w:themeFill="background1"/>
          </w:tcPr>
          <w:p w14:paraId="443C4538" w14:textId="77777777" w:rsidR="00392386" w:rsidRPr="00392386" w:rsidRDefault="00392386" w:rsidP="00F84069"/>
        </w:tc>
      </w:tr>
      <w:tr w:rsidR="00392386" w14:paraId="7D45E700" w14:textId="77777777" w:rsidTr="00F84069">
        <w:trPr>
          <w:trHeight w:val="1250"/>
        </w:trPr>
        <w:tc>
          <w:tcPr>
            <w:tcW w:w="5425" w:type="dxa"/>
            <w:vAlign w:val="center"/>
          </w:tcPr>
          <w:p w14:paraId="23A7ADC0" w14:textId="77777777" w:rsidR="00392386" w:rsidRPr="00392386" w:rsidRDefault="00392386" w:rsidP="00F84069">
            <w:pPr>
              <w:pStyle w:val="NormalWeb"/>
              <w:spacing w:before="0" w:beforeAutospacing="0" w:after="0" w:afterAutospacing="0"/>
              <w:textAlignment w:val="baseline"/>
              <w:rPr>
                <w:rFonts w:ascii="Calibri" w:hAnsi="Calibri" w:cs="Calibri"/>
                <w:color w:val="000000"/>
                <w:sz w:val="22"/>
                <w:szCs w:val="22"/>
              </w:rPr>
            </w:pPr>
            <w:r w:rsidRPr="00392386">
              <w:rPr>
                <w:rFonts w:ascii="Calibri" w:hAnsi="Calibri" w:cs="Calibri"/>
                <w:color w:val="000000"/>
                <w:sz w:val="22"/>
                <w:szCs w:val="22"/>
              </w:rPr>
              <w:t>Apply the theories of cognitive, social, emotional, language, and physical development from childhood through adolescence.</w:t>
            </w:r>
          </w:p>
        </w:tc>
        <w:tc>
          <w:tcPr>
            <w:tcW w:w="1972" w:type="dxa"/>
            <w:shd w:val="clear" w:color="auto" w:fill="FFFFFF" w:themeFill="background1"/>
          </w:tcPr>
          <w:p w14:paraId="72C17524" w14:textId="77777777" w:rsidR="00392386" w:rsidRPr="00392386" w:rsidRDefault="00392386" w:rsidP="00F84069"/>
        </w:tc>
        <w:tc>
          <w:tcPr>
            <w:tcW w:w="1973" w:type="dxa"/>
            <w:shd w:val="clear" w:color="auto" w:fill="FFFFFF" w:themeFill="background1"/>
          </w:tcPr>
          <w:p w14:paraId="02B7D07B" w14:textId="77777777" w:rsidR="00392386" w:rsidRPr="00392386" w:rsidRDefault="00392386" w:rsidP="00F84069"/>
        </w:tc>
        <w:tc>
          <w:tcPr>
            <w:tcW w:w="1972" w:type="dxa"/>
            <w:shd w:val="clear" w:color="auto" w:fill="FFFFFF" w:themeFill="background1"/>
          </w:tcPr>
          <w:p w14:paraId="60C5AF76" w14:textId="77777777" w:rsidR="00392386" w:rsidRPr="00392386" w:rsidRDefault="00392386" w:rsidP="00F84069"/>
        </w:tc>
        <w:tc>
          <w:tcPr>
            <w:tcW w:w="1973" w:type="dxa"/>
            <w:shd w:val="clear" w:color="auto" w:fill="FFFFFF" w:themeFill="background1"/>
          </w:tcPr>
          <w:p w14:paraId="1AE9253A" w14:textId="77777777" w:rsidR="00392386" w:rsidRPr="00392386" w:rsidRDefault="00392386" w:rsidP="00F84069"/>
        </w:tc>
      </w:tr>
      <w:tr w:rsidR="00392386" w14:paraId="36B2AE7B" w14:textId="77777777" w:rsidTr="00F84069">
        <w:trPr>
          <w:trHeight w:val="1160"/>
        </w:trPr>
        <w:tc>
          <w:tcPr>
            <w:tcW w:w="5425" w:type="dxa"/>
            <w:tcBorders>
              <w:bottom w:val="single" w:sz="4" w:space="0" w:color="auto"/>
            </w:tcBorders>
            <w:vAlign w:val="center"/>
          </w:tcPr>
          <w:p w14:paraId="7DBBEF65" w14:textId="0737B811" w:rsidR="00392386" w:rsidRPr="00392386" w:rsidRDefault="00392386" w:rsidP="00F84069">
            <w:pPr>
              <w:rPr>
                <w:rFonts w:ascii="Calibri" w:eastAsia="Calibri" w:hAnsi="Calibri" w:cs="Arial"/>
              </w:rPr>
            </w:pPr>
            <w:r w:rsidRPr="00392386">
              <w:rPr>
                <w:rFonts w:ascii="Calibri" w:hAnsi="Calibri" w:cs="Calibri"/>
                <w:color w:val="000000"/>
              </w:rPr>
              <w:t>Understand the characteristics and instructional implications of moderately and severely disabling conditions</w:t>
            </w:r>
            <w:r w:rsidR="00C95EB8">
              <w:rPr>
                <w:rFonts w:ascii="Calibri" w:hAnsi="Calibri" w:cs="Calibri"/>
                <w:color w:val="000000"/>
              </w:rPr>
              <w:t>.</w:t>
            </w:r>
          </w:p>
        </w:tc>
        <w:tc>
          <w:tcPr>
            <w:tcW w:w="1972" w:type="dxa"/>
            <w:shd w:val="clear" w:color="auto" w:fill="FFFFFF" w:themeFill="background1"/>
          </w:tcPr>
          <w:p w14:paraId="2DDBF466" w14:textId="77777777" w:rsidR="00392386" w:rsidRPr="00392386" w:rsidRDefault="00392386" w:rsidP="00F84069"/>
        </w:tc>
        <w:tc>
          <w:tcPr>
            <w:tcW w:w="1973" w:type="dxa"/>
            <w:shd w:val="clear" w:color="auto" w:fill="FFFFFF" w:themeFill="background1"/>
          </w:tcPr>
          <w:p w14:paraId="6A3BA686" w14:textId="77777777" w:rsidR="00392386" w:rsidRPr="00392386" w:rsidRDefault="00392386" w:rsidP="00F84069"/>
        </w:tc>
        <w:tc>
          <w:tcPr>
            <w:tcW w:w="1972" w:type="dxa"/>
            <w:shd w:val="clear" w:color="auto" w:fill="FFFFFF" w:themeFill="background1"/>
          </w:tcPr>
          <w:p w14:paraId="0D7048BC" w14:textId="77777777" w:rsidR="00392386" w:rsidRPr="00392386" w:rsidRDefault="00392386" w:rsidP="00F84069"/>
        </w:tc>
        <w:tc>
          <w:tcPr>
            <w:tcW w:w="1973" w:type="dxa"/>
            <w:shd w:val="clear" w:color="auto" w:fill="FFFFFF" w:themeFill="background1"/>
          </w:tcPr>
          <w:p w14:paraId="27A316E9" w14:textId="77777777" w:rsidR="00392386" w:rsidRPr="00392386" w:rsidRDefault="00392386" w:rsidP="00F84069"/>
        </w:tc>
      </w:tr>
      <w:tr w:rsidR="00392386" w14:paraId="43ACFD98" w14:textId="77777777" w:rsidTr="00F84069">
        <w:tc>
          <w:tcPr>
            <w:tcW w:w="5425" w:type="dxa"/>
            <w:vAlign w:val="center"/>
          </w:tcPr>
          <w:p w14:paraId="7FDC633F" w14:textId="77777777" w:rsidR="00392386" w:rsidRPr="00392386" w:rsidRDefault="00392386" w:rsidP="00F84069">
            <w:pPr>
              <w:pStyle w:val="NormalWeb"/>
              <w:spacing w:before="0" w:beforeAutospacing="0" w:after="0" w:afterAutospacing="0"/>
              <w:textAlignment w:val="baseline"/>
              <w:rPr>
                <w:rFonts w:ascii="Calibri" w:hAnsi="Calibri" w:cs="Calibri"/>
                <w:color w:val="000000"/>
                <w:sz w:val="22"/>
                <w:szCs w:val="22"/>
              </w:rPr>
            </w:pPr>
            <w:r w:rsidRPr="00392386">
              <w:rPr>
                <w:rFonts w:ascii="Calibri" w:hAnsi="Calibri" w:cs="Calibri"/>
                <w:color w:val="000000"/>
                <w:sz w:val="22"/>
                <w:szCs w:val="22"/>
              </w:rPr>
              <w:t>Apply special education policies and procedures.</w:t>
            </w:r>
          </w:p>
        </w:tc>
        <w:tc>
          <w:tcPr>
            <w:tcW w:w="1972" w:type="dxa"/>
            <w:shd w:val="clear" w:color="auto" w:fill="FFFFFF" w:themeFill="background1"/>
          </w:tcPr>
          <w:p w14:paraId="44D85B6D" w14:textId="77777777" w:rsidR="00392386" w:rsidRPr="00392386" w:rsidRDefault="00392386" w:rsidP="00F84069"/>
        </w:tc>
        <w:tc>
          <w:tcPr>
            <w:tcW w:w="1973" w:type="dxa"/>
            <w:shd w:val="clear" w:color="auto" w:fill="FFFFFF" w:themeFill="background1"/>
          </w:tcPr>
          <w:p w14:paraId="3B384209" w14:textId="77777777" w:rsidR="00392386" w:rsidRPr="00392386" w:rsidRDefault="00392386" w:rsidP="00F84069"/>
        </w:tc>
        <w:tc>
          <w:tcPr>
            <w:tcW w:w="1972" w:type="dxa"/>
            <w:shd w:val="clear" w:color="auto" w:fill="FFFFFF" w:themeFill="background1"/>
          </w:tcPr>
          <w:p w14:paraId="784A1A26" w14:textId="77777777" w:rsidR="00392386" w:rsidRPr="00392386" w:rsidRDefault="00392386" w:rsidP="00F84069"/>
        </w:tc>
        <w:tc>
          <w:tcPr>
            <w:tcW w:w="1973" w:type="dxa"/>
            <w:shd w:val="clear" w:color="auto" w:fill="FFFFFF" w:themeFill="background1"/>
          </w:tcPr>
          <w:p w14:paraId="4DDA1D90" w14:textId="77777777" w:rsidR="00392386" w:rsidRPr="00392386" w:rsidRDefault="00392386" w:rsidP="00F84069"/>
        </w:tc>
      </w:tr>
      <w:tr w:rsidR="00392386" w14:paraId="24C54836" w14:textId="77777777" w:rsidTr="00F84069">
        <w:trPr>
          <w:trHeight w:val="710"/>
        </w:trPr>
        <w:tc>
          <w:tcPr>
            <w:tcW w:w="5425" w:type="dxa"/>
            <w:tcBorders>
              <w:bottom w:val="single" w:sz="4" w:space="0" w:color="auto"/>
            </w:tcBorders>
            <w:vAlign w:val="center"/>
          </w:tcPr>
          <w:p w14:paraId="5E8999B7" w14:textId="77777777" w:rsidR="00392386" w:rsidRPr="00392386" w:rsidRDefault="00392386" w:rsidP="00F84069">
            <w:pPr>
              <w:rPr>
                <w:rFonts w:ascii="Calibri" w:eastAsia="Calibri" w:hAnsi="Calibri" w:cs="Arial"/>
              </w:rPr>
            </w:pPr>
            <w:r w:rsidRPr="00392386">
              <w:rPr>
                <w:rFonts w:ascii="Calibri" w:hAnsi="Calibri" w:cs="Calibri"/>
                <w:color w:val="000000"/>
              </w:rPr>
              <w:t>Support English learners through English learner education instruction.</w:t>
            </w:r>
          </w:p>
        </w:tc>
        <w:tc>
          <w:tcPr>
            <w:tcW w:w="1972" w:type="dxa"/>
            <w:tcBorders>
              <w:bottom w:val="single" w:sz="4" w:space="0" w:color="auto"/>
            </w:tcBorders>
            <w:shd w:val="clear" w:color="auto" w:fill="FFFFFF" w:themeFill="background1"/>
          </w:tcPr>
          <w:p w14:paraId="5FDAF817" w14:textId="77777777" w:rsidR="00392386" w:rsidRPr="00392386" w:rsidRDefault="00392386" w:rsidP="00F84069"/>
        </w:tc>
        <w:tc>
          <w:tcPr>
            <w:tcW w:w="1973" w:type="dxa"/>
            <w:tcBorders>
              <w:bottom w:val="single" w:sz="4" w:space="0" w:color="auto"/>
            </w:tcBorders>
            <w:shd w:val="clear" w:color="auto" w:fill="FFFFFF" w:themeFill="background1"/>
          </w:tcPr>
          <w:p w14:paraId="6E6C78CC" w14:textId="77777777" w:rsidR="00392386" w:rsidRPr="00392386" w:rsidRDefault="00392386" w:rsidP="00F84069"/>
        </w:tc>
        <w:tc>
          <w:tcPr>
            <w:tcW w:w="1972" w:type="dxa"/>
            <w:tcBorders>
              <w:bottom w:val="single" w:sz="4" w:space="0" w:color="auto"/>
            </w:tcBorders>
            <w:shd w:val="clear" w:color="auto" w:fill="FFFFFF" w:themeFill="background1"/>
          </w:tcPr>
          <w:p w14:paraId="52632045" w14:textId="77777777" w:rsidR="00392386" w:rsidRPr="00392386" w:rsidRDefault="00392386" w:rsidP="00F84069"/>
        </w:tc>
        <w:tc>
          <w:tcPr>
            <w:tcW w:w="1973" w:type="dxa"/>
            <w:tcBorders>
              <w:bottom w:val="single" w:sz="4" w:space="0" w:color="auto"/>
            </w:tcBorders>
            <w:shd w:val="clear" w:color="auto" w:fill="FFFFFF" w:themeFill="background1"/>
          </w:tcPr>
          <w:p w14:paraId="3FD9E224" w14:textId="77777777" w:rsidR="00392386" w:rsidRPr="00392386" w:rsidRDefault="00392386" w:rsidP="00F84069"/>
        </w:tc>
      </w:tr>
    </w:tbl>
    <w:p w14:paraId="3F6FFDE2" w14:textId="77777777" w:rsidR="00392386" w:rsidRDefault="00392386" w:rsidP="00392386">
      <w:pPr>
        <w:jc w:val="both"/>
        <w:rPr>
          <w:rFonts w:cstheme="minorHAnsi"/>
          <w:i/>
        </w:rPr>
      </w:pPr>
    </w:p>
    <w:p w14:paraId="1915839B" w14:textId="2159D9B7" w:rsidR="000E5681" w:rsidRPr="00CE0E3B" w:rsidRDefault="000E5681" w:rsidP="000E5681">
      <w:pPr>
        <w:spacing w:after="0"/>
        <w:rPr>
          <w:rFonts w:ascii="Calibri" w:hAnsi="Calibri"/>
          <w:b/>
          <w:color w:val="2E74B5" w:themeColor="accent1" w:themeShade="BF"/>
          <w:sz w:val="32"/>
          <w:szCs w:val="32"/>
        </w:rPr>
      </w:pPr>
      <w:r>
        <w:rPr>
          <w:rFonts w:ascii="Calibri" w:hAnsi="Calibri"/>
          <w:b/>
          <w:color w:val="2E74B5" w:themeColor="accent1" w:themeShade="BF"/>
          <w:sz w:val="32"/>
          <w:szCs w:val="32"/>
        </w:rPr>
        <w:t xml:space="preserve">Subject Matter Knowledge (SMK) </w:t>
      </w:r>
      <w:r w:rsidR="007960FB">
        <w:rPr>
          <w:rFonts w:ascii="Calibri" w:hAnsi="Calibri"/>
          <w:b/>
          <w:color w:val="2E74B5" w:themeColor="accent1" w:themeShade="BF"/>
          <w:sz w:val="32"/>
          <w:szCs w:val="32"/>
        </w:rPr>
        <w:t xml:space="preserve">Program of Study </w:t>
      </w:r>
      <w:r w:rsidR="00392386">
        <w:rPr>
          <w:rFonts w:ascii="Calibri" w:hAnsi="Calibri"/>
          <w:b/>
          <w:color w:val="2E74B5" w:themeColor="accent1" w:themeShade="BF"/>
          <w:sz w:val="32"/>
          <w:szCs w:val="32"/>
        </w:rPr>
        <w:t>Mapping</w:t>
      </w:r>
      <w:r w:rsidR="007960FB">
        <w:rPr>
          <w:rFonts w:ascii="Calibri" w:hAnsi="Calibri"/>
          <w:b/>
          <w:color w:val="2E74B5" w:themeColor="accent1" w:themeShade="BF"/>
          <w:sz w:val="32"/>
          <w:szCs w:val="32"/>
        </w:rPr>
        <w:t xml:space="preserve"> </w:t>
      </w:r>
      <w:r w:rsidR="00392386">
        <w:rPr>
          <w:rFonts w:ascii="Calibri" w:hAnsi="Calibri"/>
          <w:b/>
          <w:color w:val="2E74B5" w:themeColor="accent1" w:themeShade="BF"/>
          <w:sz w:val="32"/>
          <w:szCs w:val="32"/>
        </w:rPr>
        <w:t xml:space="preserve">Tool </w:t>
      </w:r>
      <w:r w:rsidR="00392386" w:rsidRPr="00392386">
        <w:rPr>
          <w:rFonts w:ascii="Calibri" w:hAnsi="Calibri"/>
          <w:b/>
          <w:color w:val="ED7D31" w:themeColor="accent2"/>
          <w:sz w:val="28"/>
          <w:szCs w:val="28"/>
        </w:rPr>
        <w:t>(Optional)</w:t>
      </w:r>
    </w:p>
    <w:tbl>
      <w:tblPr>
        <w:tblStyle w:val="LightList-Accent1"/>
        <w:tblpPr w:leftFromText="180" w:rightFromText="180" w:vertAnchor="text" w:horzAnchor="margin" w:tblpX="10" w:tblpY="166"/>
        <w:tblW w:w="13672"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4860"/>
        <w:gridCol w:w="8812"/>
      </w:tblGrid>
      <w:tr w:rsidR="000E5681" w:rsidRPr="00F82074" w14:paraId="14B4FF47" w14:textId="77777777" w:rsidTr="00796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shd w:val="clear" w:color="auto" w:fill="auto"/>
          </w:tcPr>
          <w:p w14:paraId="69669424" w14:textId="77777777" w:rsidR="000E5681" w:rsidRPr="00CE0E3B" w:rsidRDefault="000E5681" w:rsidP="007960FB">
            <w:pPr>
              <w:tabs>
                <w:tab w:val="left" w:pos="5025"/>
              </w:tabs>
              <w:rPr>
                <w:rFonts w:cs="Arial"/>
                <w:color w:val="auto"/>
              </w:rPr>
            </w:pPr>
            <w:r w:rsidRPr="00CE0E3B">
              <w:rPr>
                <w:rFonts w:cs="Arial"/>
                <w:color w:val="auto"/>
              </w:rPr>
              <w:t xml:space="preserve">Licensure Program (License and Grade Level): </w:t>
            </w:r>
            <w:r w:rsidRPr="00CE0E3B">
              <w:rPr>
                <w:rFonts w:cs="Arial"/>
                <w:color w:val="auto"/>
              </w:rPr>
              <w:softHyphen/>
              <w:t xml:space="preserve">  </w:t>
            </w:r>
          </w:p>
        </w:tc>
        <w:tc>
          <w:tcPr>
            <w:tcW w:w="8812" w:type="dxa"/>
            <w:tcBorders>
              <w:right w:val="single" w:sz="6" w:space="0" w:color="2E74B5" w:themeColor="accent1" w:themeShade="BF"/>
            </w:tcBorders>
            <w:shd w:val="clear" w:color="auto" w:fill="auto"/>
          </w:tcPr>
          <w:p w14:paraId="1F4E2A2F" w14:textId="77777777" w:rsidR="000E5681" w:rsidRPr="00AA4686" w:rsidRDefault="000E5681" w:rsidP="007960FB">
            <w:pPr>
              <w:tabs>
                <w:tab w:val="left" w:pos="5025"/>
              </w:tabs>
              <w:cnfStyle w:val="100000000000" w:firstRow="1" w:lastRow="0" w:firstColumn="0" w:lastColumn="0" w:oddVBand="0" w:evenVBand="0" w:oddHBand="0" w:evenHBand="0" w:firstRowFirstColumn="0" w:firstRowLastColumn="0" w:lastRowFirstColumn="0" w:lastRowLastColumn="0"/>
              <w:rPr>
                <w:rFonts w:cs="Arial"/>
              </w:rPr>
            </w:pPr>
          </w:p>
        </w:tc>
      </w:tr>
    </w:tbl>
    <w:tbl>
      <w:tblPr>
        <w:tblStyle w:val="TableGrid"/>
        <w:tblW w:w="5000" w:type="pct"/>
        <w:tblLook w:val="04A0" w:firstRow="1" w:lastRow="0" w:firstColumn="1" w:lastColumn="0" w:noHBand="0" w:noVBand="1"/>
      </w:tblPr>
      <w:tblGrid>
        <w:gridCol w:w="2589"/>
        <w:gridCol w:w="1586"/>
        <w:gridCol w:w="2660"/>
        <w:gridCol w:w="4656"/>
        <w:gridCol w:w="2179"/>
      </w:tblGrid>
      <w:tr w:rsidR="000E5681" w:rsidRPr="00CE0E3B" w14:paraId="470FDCD5" w14:textId="77777777" w:rsidTr="00EB57A6">
        <w:tc>
          <w:tcPr>
            <w:tcW w:w="947" w:type="pct"/>
            <w:shd w:val="clear" w:color="auto" w:fill="9CC2E5" w:themeFill="accent1" w:themeFillTint="99"/>
            <w:vAlign w:val="center"/>
          </w:tcPr>
          <w:p w14:paraId="7EB21517" w14:textId="77777777" w:rsidR="000E5681" w:rsidRPr="00CE0E3B" w:rsidRDefault="000E5681" w:rsidP="00EB57A6">
            <w:pPr>
              <w:jc w:val="center"/>
              <w:rPr>
                <w:b/>
              </w:rPr>
            </w:pPr>
            <w:r w:rsidRPr="00CE0E3B">
              <w:rPr>
                <w:b/>
              </w:rPr>
              <w:t>Curriculum Framework Domain</w:t>
            </w:r>
          </w:p>
          <w:p w14:paraId="10E00C71" w14:textId="77777777" w:rsidR="000E5681" w:rsidRPr="00CE0E3B" w:rsidRDefault="000E5681" w:rsidP="00EB57A6">
            <w:pPr>
              <w:jc w:val="center"/>
            </w:pPr>
            <w:r w:rsidRPr="00CE0E3B">
              <w:t>(e.g. Counting and Cardinality in Math)</w:t>
            </w:r>
          </w:p>
        </w:tc>
        <w:tc>
          <w:tcPr>
            <w:tcW w:w="580" w:type="pct"/>
            <w:shd w:val="clear" w:color="auto" w:fill="9CC2E5" w:themeFill="accent1" w:themeFillTint="99"/>
            <w:vAlign w:val="center"/>
          </w:tcPr>
          <w:p w14:paraId="7E4A12E7" w14:textId="77777777" w:rsidR="000E5681" w:rsidRPr="00CE0E3B" w:rsidRDefault="000E5681" w:rsidP="00EB57A6">
            <w:pPr>
              <w:jc w:val="center"/>
              <w:rPr>
                <w:b/>
              </w:rPr>
            </w:pPr>
            <w:r w:rsidRPr="00CE0E3B">
              <w:rPr>
                <w:b/>
              </w:rPr>
              <w:t>Grade level(s) in which students are taught this domain</w:t>
            </w:r>
          </w:p>
        </w:tc>
        <w:tc>
          <w:tcPr>
            <w:tcW w:w="973" w:type="pct"/>
            <w:shd w:val="clear" w:color="auto" w:fill="9CC2E5" w:themeFill="accent1" w:themeFillTint="99"/>
            <w:vAlign w:val="center"/>
          </w:tcPr>
          <w:p w14:paraId="7AC42F89" w14:textId="77777777" w:rsidR="000E5681" w:rsidRDefault="000E5681" w:rsidP="00EB57A6">
            <w:pPr>
              <w:jc w:val="center"/>
              <w:rPr>
                <w:b/>
              </w:rPr>
            </w:pPr>
            <w:r>
              <w:rPr>
                <w:b/>
              </w:rPr>
              <w:t>Functional or Fluent content knowledge needed?</w:t>
            </w:r>
          </w:p>
          <w:p w14:paraId="53609248" w14:textId="77777777" w:rsidR="000E5681" w:rsidRPr="00CE0E3B" w:rsidRDefault="000E5681" w:rsidP="00EB57A6">
            <w:pPr>
              <w:jc w:val="center"/>
              <w:rPr>
                <w:b/>
              </w:rPr>
            </w:pPr>
            <w:r w:rsidRPr="00CE0E3B">
              <w:rPr>
                <w:sz w:val="18"/>
              </w:rPr>
              <w:t>(functional if in two grade levels below/above</w:t>
            </w:r>
            <w:r>
              <w:rPr>
                <w:sz w:val="18"/>
              </w:rPr>
              <w:t xml:space="preserve"> license</w:t>
            </w:r>
            <w:r w:rsidRPr="00CE0E3B">
              <w:rPr>
                <w:sz w:val="18"/>
              </w:rPr>
              <w:t>, f</w:t>
            </w:r>
            <w:r>
              <w:rPr>
                <w:sz w:val="18"/>
              </w:rPr>
              <w:t>luent if in the license grade(s)</w:t>
            </w:r>
            <w:r w:rsidRPr="00CE0E3B">
              <w:rPr>
                <w:sz w:val="18"/>
              </w:rPr>
              <w:t>)</w:t>
            </w:r>
          </w:p>
        </w:tc>
        <w:tc>
          <w:tcPr>
            <w:tcW w:w="1703" w:type="pct"/>
            <w:shd w:val="clear" w:color="auto" w:fill="9CC2E5" w:themeFill="accent1" w:themeFillTint="99"/>
            <w:vAlign w:val="center"/>
          </w:tcPr>
          <w:p w14:paraId="3AD8A335" w14:textId="77777777" w:rsidR="000E5681" w:rsidRPr="00CE0E3B" w:rsidRDefault="000E5681" w:rsidP="00EB57A6">
            <w:pPr>
              <w:jc w:val="center"/>
              <w:rPr>
                <w:b/>
              </w:rPr>
            </w:pPr>
            <w:r w:rsidRPr="00CE0E3B">
              <w:rPr>
                <w:b/>
              </w:rPr>
              <w:t>Knowledge needed to teach this content</w:t>
            </w:r>
          </w:p>
        </w:tc>
        <w:tc>
          <w:tcPr>
            <w:tcW w:w="797" w:type="pct"/>
            <w:shd w:val="clear" w:color="auto" w:fill="9CC2E5" w:themeFill="accent1" w:themeFillTint="99"/>
            <w:vAlign w:val="center"/>
          </w:tcPr>
          <w:p w14:paraId="23F9F3EF" w14:textId="0F895F2A" w:rsidR="000E5681" w:rsidRPr="00CE0E3B" w:rsidRDefault="000E5681" w:rsidP="00EB57A6">
            <w:pPr>
              <w:jc w:val="center"/>
              <w:rPr>
                <w:b/>
              </w:rPr>
            </w:pPr>
            <w:r w:rsidRPr="00CE0E3B">
              <w:rPr>
                <w:b/>
              </w:rPr>
              <w:t>Course(s) where majority of content is taught</w:t>
            </w:r>
            <w:r w:rsidR="003E3438">
              <w:rPr>
                <w:b/>
              </w:rPr>
              <w:t xml:space="preserve"> and/or assessed</w:t>
            </w:r>
          </w:p>
        </w:tc>
      </w:tr>
      <w:tr w:rsidR="000E5681" w14:paraId="6D8516E8" w14:textId="77777777" w:rsidTr="00EB57A6">
        <w:tc>
          <w:tcPr>
            <w:tcW w:w="947" w:type="pct"/>
          </w:tcPr>
          <w:p w14:paraId="4697BC62" w14:textId="77777777" w:rsidR="000E5681" w:rsidRDefault="000E5681" w:rsidP="00EB57A6"/>
        </w:tc>
        <w:tc>
          <w:tcPr>
            <w:tcW w:w="580" w:type="pct"/>
          </w:tcPr>
          <w:p w14:paraId="4622CFBF" w14:textId="77777777" w:rsidR="000E5681" w:rsidRDefault="000E5681" w:rsidP="00EB57A6"/>
        </w:tc>
        <w:tc>
          <w:tcPr>
            <w:tcW w:w="973" w:type="pct"/>
          </w:tcPr>
          <w:p w14:paraId="4088AB8D" w14:textId="77777777" w:rsidR="000E5681" w:rsidRDefault="000E5681" w:rsidP="00EB57A6">
            <w:r>
              <w:sym w:font="Symbol" w:char="F0F0"/>
            </w:r>
            <w:r>
              <w:t xml:space="preserve"> Functional    </w:t>
            </w:r>
            <w:r>
              <w:sym w:font="Symbol" w:char="F0F0"/>
            </w:r>
            <w:r>
              <w:t xml:space="preserve"> Fluent</w:t>
            </w:r>
          </w:p>
        </w:tc>
        <w:tc>
          <w:tcPr>
            <w:tcW w:w="1703" w:type="pct"/>
          </w:tcPr>
          <w:p w14:paraId="562A1FE8" w14:textId="77777777" w:rsidR="000E5681" w:rsidRDefault="000E5681" w:rsidP="00EB57A6"/>
        </w:tc>
        <w:tc>
          <w:tcPr>
            <w:tcW w:w="797" w:type="pct"/>
          </w:tcPr>
          <w:p w14:paraId="2916DF66" w14:textId="77777777" w:rsidR="000E5681" w:rsidRDefault="000E5681" w:rsidP="00EB57A6"/>
        </w:tc>
      </w:tr>
      <w:tr w:rsidR="000E5681" w14:paraId="1DA25B75" w14:textId="77777777" w:rsidTr="00EB57A6">
        <w:tc>
          <w:tcPr>
            <w:tcW w:w="947" w:type="pct"/>
          </w:tcPr>
          <w:p w14:paraId="25CCADBB" w14:textId="77777777" w:rsidR="000E5681" w:rsidRDefault="000E5681" w:rsidP="00EB57A6"/>
        </w:tc>
        <w:tc>
          <w:tcPr>
            <w:tcW w:w="580" w:type="pct"/>
          </w:tcPr>
          <w:p w14:paraId="3831A4B1" w14:textId="77777777" w:rsidR="000E5681" w:rsidRDefault="000E5681" w:rsidP="00EB57A6"/>
        </w:tc>
        <w:tc>
          <w:tcPr>
            <w:tcW w:w="973" w:type="pct"/>
          </w:tcPr>
          <w:p w14:paraId="6387F842" w14:textId="77777777" w:rsidR="000E5681" w:rsidRDefault="000E5681" w:rsidP="00EB57A6">
            <w:r>
              <w:sym w:font="Symbol" w:char="F0F0"/>
            </w:r>
            <w:r>
              <w:t xml:space="preserve"> Functional    </w:t>
            </w:r>
            <w:r>
              <w:sym w:font="Symbol" w:char="F0F0"/>
            </w:r>
            <w:r>
              <w:t xml:space="preserve"> Fluent</w:t>
            </w:r>
          </w:p>
        </w:tc>
        <w:tc>
          <w:tcPr>
            <w:tcW w:w="1703" w:type="pct"/>
          </w:tcPr>
          <w:p w14:paraId="724BF3A2" w14:textId="77777777" w:rsidR="000E5681" w:rsidRDefault="000E5681" w:rsidP="00EB57A6"/>
        </w:tc>
        <w:tc>
          <w:tcPr>
            <w:tcW w:w="797" w:type="pct"/>
          </w:tcPr>
          <w:p w14:paraId="66CE9120" w14:textId="77777777" w:rsidR="000E5681" w:rsidRDefault="000E5681" w:rsidP="00EB57A6"/>
        </w:tc>
      </w:tr>
      <w:tr w:rsidR="000E5681" w14:paraId="42CD927F" w14:textId="77777777" w:rsidTr="00EB57A6">
        <w:tc>
          <w:tcPr>
            <w:tcW w:w="947" w:type="pct"/>
          </w:tcPr>
          <w:p w14:paraId="789B6161" w14:textId="77777777" w:rsidR="000E5681" w:rsidRDefault="000E5681" w:rsidP="00EB57A6"/>
        </w:tc>
        <w:tc>
          <w:tcPr>
            <w:tcW w:w="580" w:type="pct"/>
          </w:tcPr>
          <w:p w14:paraId="7BF3CA2F" w14:textId="77777777" w:rsidR="000E5681" w:rsidRDefault="000E5681" w:rsidP="00EB57A6"/>
        </w:tc>
        <w:tc>
          <w:tcPr>
            <w:tcW w:w="973" w:type="pct"/>
          </w:tcPr>
          <w:p w14:paraId="52A06855" w14:textId="77777777" w:rsidR="000E5681" w:rsidRDefault="000E5681" w:rsidP="00EB57A6">
            <w:r>
              <w:sym w:font="Symbol" w:char="F0F0"/>
            </w:r>
            <w:r>
              <w:t xml:space="preserve"> Functional    </w:t>
            </w:r>
            <w:r>
              <w:sym w:font="Symbol" w:char="F0F0"/>
            </w:r>
            <w:r>
              <w:t xml:space="preserve"> Fluent</w:t>
            </w:r>
          </w:p>
        </w:tc>
        <w:tc>
          <w:tcPr>
            <w:tcW w:w="1703" w:type="pct"/>
          </w:tcPr>
          <w:p w14:paraId="6ECF5713" w14:textId="77777777" w:rsidR="000E5681" w:rsidRDefault="000E5681" w:rsidP="00EB57A6"/>
        </w:tc>
        <w:tc>
          <w:tcPr>
            <w:tcW w:w="797" w:type="pct"/>
          </w:tcPr>
          <w:p w14:paraId="234C57B5" w14:textId="77777777" w:rsidR="000E5681" w:rsidRDefault="000E5681" w:rsidP="00EB57A6"/>
        </w:tc>
      </w:tr>
      <w:tr w:rsidR="000E5681" w14:paraId="1757E6A3" w14:textId="77777777" w:rsidTr="00EB57A6">
        <w:tc>
          <w:tcPr>
            <w:tcW w:w="947" w:type="pct"/>
          </w:tcPr>
          <w:p w14:paraId="6379E083" w14:textId="77777777" w:rsidR="000E5681" w:rsidRDefault="000E5681" w:rsidP="00EB57A6"/>
        </w:tc>
        <w:tc>
          <w:tcPr>
            <w:tcW w:w="580" w:type="pct"/>
          </w:tcPr>
          <w:p w14:paraId="55A6DB47" w14:textId="77777777" w:rsidR="000E5681" w:rsidRDefault="000E5681" w:rsidP="00EB57A6"/>
        </w:tc>
        <w:tc>
          <w:tcPr>
            <w:tcW w:w="973" w:type="pct"/>
          </w:tcPr>
          <w:p w14:paraId="7D371CE3" w14:textId="77777777" w:rsidR="000E5681" w:rsidRDefault="000E5681" w:rsidP="00EB57A6">
            <w:r>
              <w:sym w:font="Symbol" w:char="F0F0"/>
            </w:r>
            <w:r>
              <w:t xml:space="preserve"> Functional    </w:t>
            </w:r>
            <w:r>
              <w:sym w:font="Symbol" w:char="F0F0"/>
            </w:r>
            <w:r>
              <w:t xml:space="preserve"> Fluent</w:t>
            </w:r>
          </w:p>
        </w:tc>
        <w:tc>
          <w:tcPr>
            <w:tcW w:w="1703" w:type="pct"/>
          </w:tcPr>
          <w:p w14:paraId="465C3876" w14:textId="77777777" w:rsidR="000E5681" w:rsidRDefault="000E5681" w:rsidP="00EB57A6"/>
        </w:tc>
        <w:tc>
          <w:tcPr>
            <w:tcW w:w="797" w:type="pct"/>
          </w:tcPr>
          <w:p w14:paraId="5AEED46B" w14:textId="77777777" w:rsidR="000E5681" w:rsidRDefault="000E5681" w:rsidP="00EB57A6"/>
        </w:tc>
      </w:tr>
      <w:tr w:rsidR="000E5681" w14:paraId="4855AFDD" w14:textId="77777777" w:rsidTr="00EB57A6">
        <w:tc>
          <w:tcPr>
            <w:tcW w:w="947" w:type="pct"/>
          </w:tcPr>
          <w:p w14:paraId="2237C5EC" w14:textId="77777777" w:rsidR="000E5681" w:rsidRDefault="000E5681" w:rsidP="00EB57A6"/>
        </w:tc>
        <w:tc>
          <w:tcPr>
            <w:tcW w:w="580" w:type="pct"/>
          </w:tcPr>
          <w:p w14:paraId="50B0A5E2" w14:textId="77777777" w:rsidR="000E5681" w:rsidRDefault="000E5681" w:rsidP="00EB57A6"/>
        </w:tc>
        <w:tc>
          <w:tcPr>
            <w:tcW w:w="973" w:type="pct"/>
          </w:tcPr>
          <w:p w14:paraId="23D89CF4" w14:textId="77777777" w:rsidR="000E5681" w:rsidRDefault="000E5681" w:rsidP="00EB57A6">
            <w:r>
              <w:sym w:font="Symbol" w:char="F0F0"/>
            </w:r>
            <w:r>
              <w:t xml:space="preserve"> Functional    </w:t>
            </w:r>
            <w:r>
              <w:sym w:font="Symbol" w:char="F0F0"/>
            </w:r>
            <w:r>
              <w:t xml:space="preserve"> Fluent</w:t>
            </w:r>
          </w:p>
        </w:tc>
        <w:tc>
          <w:tcPr>
            <w:tcW w:w="1703" w:type="pct"/>
          </w:tcPr>
          <w:p w14:paraId="480A0BEA" w14:textId="77777777" w:rsidR="000E5681" w:rsidRDefault="000E5681" w:rsidP="00EB57A6"/>
        </w:tc>
        <w:tc>
          <w:tcPr>
            <w:tcW w:w="797" w:type="pct"/>
          </w:tcPr>
          <w:p w14:paraId="4477F097" w14:textId="77777777" w:rsidR="000E5681" w:rsidRDefault="000E5681" w:rsidP="00EB57A6"/>
        </w:tc>
      </w:tr>
      <w:tr w:rsidR="000E5681" w14:paraId="7839882C" w14:textId="77777777" w:rsidTr="00EB57A6">
        <w:tc>
          <w:tcPr>
            <w:tcW w:w="947" w:type="pct"/>
          </w:tcPr>
          <w:p w14:paraId="1A48976A" w14:textId="77777777" w:rsidR="000E5681" w:rsidRDefault="000E5681" w:rsidP="00EB57A6"/>
        </w:tc>
        <w:tc>
          <w:tcPr>
            <w:tcW w:w="580" w:type="pct"/>
          </w:tcPr>
          <w:p w14:paraId="6DE58716" w14:textId="77777777" w:rsidR="000E5681" w:rsidRDefault="000E5681" w:rsidP="00EB57A6"/>
        </w:tc>
        <w:tc>
          <w:tcPr>
            <w:tcW w:w="973" w:type="pct"/>
          </w:tcPr>
          <w:p w14:paraId="197C3F12" w14:textId="77777777" w:rsidR="000E5681" w:rsidRDefault="000E5681" w:rsidP="00EB57A6">
            <w:r>
              <w:sym w:font="Symbol" w:char="F0F0"/>
            </w:r>
            <w:r>
              <w:t xml:space="preserve"> Functional    </w:t>
            </w:r>
            <w:r>
              <w:sym w:font="Symbol" w:char="F0F0"/>
            </w:r>
            <w:r>
              <w:t xml:space="preserve"> Fluent</w:t>
            </w:r>
          </w:p>
        </w:tc>
        <w:tc>
          <w:tcPr>
            <w:tcW w:w="1703" w:type="pct"/>
          </w:tcPr>
          <w:p w14:paraId="4E8C548E" w14:textId="77777777" w:rsidR="000E5681" w:rsidRDefault="000E5681" w:rsidP="00EB57A6"/>
        </w:tc>
        <w:tc>
          <w:tcPr>
            <w:tcW w:w="797" w:type="pct"/>
          </w:tcPr>
          <w:p w14:paraId="78949C35" w14:textId="77777777" w:rsidR="000E5681" w:rsidRDefault="000E5681" w:rsidP="00EB57A6"/>
        </w:tc>
      </w:tr>
    </w:tbl>
    <w:p w14:paraId="522A07FA" w14:textId="32E45CDA" w:rsidR="000E5681" w:rsidRDefault="000E5681" w:rsidP="000E5681">
      <w:pPr>
        <w:jc w:val="center"/>
        <w:rPr>
          <w:rFonts w:ascii="Calibri" w:hAnsi="Calibri"/>
          <w:b/>
          <w:color w:val="2E74B5" w:themeColor="accent1" w:themeShade="BF"/>
          <w:sz w:val="32"/>
          <w:szCs w:val="32"/>
        </w:rPr>
        <w:sectPr w:rsidR="000E5681" w:rsidSect="007960FB">
          <w:pgSz w:w="15840" w:h="12240" w:orient="landscape"/>
          <w:pgMar w:top="1440" w:right="1440" w:bottom="1080" w:left="720" w:header="720" w:footer="720" w:gutter="0"/>
          <w:cols w:space="720"/>
          <w:docGrid w:linePitch="360"/>
        </w:sectPr>
      </w:pPr>
    </w:p>
    <w:p w14:paraId="3180F5BC" w14:textId="01DEB24A" w:rsidR="000E5681" w:rsidRPr="00FD2BED" w:rsidRDefault="000E5681" w:rsidP="000E5681">
      <w:pPr>
        <w:rPr>
          <w:rFonts w:ascii="Calibri" w:hAnsi="Calibri"/>
          <w:b/>
          <w:color w:val="2E74B5" w:themeColor="accent1" w:themeShade="BF"/>
          <w:sz w:val="32"/>
          <w:szCs w:val="32"/>
        </w:rPr>
      </w:pPr>
      <w:r w:rsidRPr="009D2024">
        <w:rPr>
          <w:rFonts w:ascii="Calibri" w:hAnsi="Calibri"/>
          <w:b/>
          <w:color w:val="2E74B5" w:themeColor="accent1" w:themeShade="BF"/>
          <w:sz w:val="32"/>
          <w:szCs w:val="32"/>
        </w:rPr>
        <w:lastRenderedPageBreak/>
        <w:t xml:space="preserve">Subject Matter Knowledge (SMK) </w:t>
      </w:r>
      <w:r w:rsidR="00392386">
        <w:rPr>
          <w:rFonts w:ascii="Calibri" w:hAnsi="Calibri"/>
          <w:b/>
          <w:color w:val="2E74B5" w:themeColor="accent1" w:themeShade="BF"/>
          <w:sz w:val="32"/>
          <w:szCs w:val="32"/>
        </w:rPr>
        <w:t xml:space="preserve">Candidate Tracking Tool </w:t>
      </w:r>
      <w:r w:rsidR="00392386" w:rsidRPr="00392386">
        <w:rPr>
          <w:rFonts w:ascii="Calibri" w:hAnsi="Calibri"/>
          <w:b/>
          <w:color w:val="ED7D31" w:themeColor="accent2"/>
          <w:sz w:val="28"/>
          <w:szCs w:val="28"/>
        </w:rPr>
        <w:t>(</w:t>
      </w:r>
      <w:r w:rsidR="00392386">
        <w:rPr>
          <w:rFonts w:ascii="Calibri" w:hAnsi="Calibri"/>
          <w:b/>
          <w:color w:val="ED7D31" w:themeColor="accent2"/>
          <w:sz w:val="28"/>
          <w:szCs w:val="28"/>
        </w:rPr>
        <w:t>Optional</w:t>
      </w:r>
      <w:r w:rsidR="00392386" w:rsidRPr="00392386">
        <w:rPr>
          <w:rFonts w:ascii="Calibri" w:hAnsi="Calibri"/>
          <w:b/>
          <w:color w:val="ED7D31" w:themeColor="accent2"/>
          <w:sz w:val="28"/>
          <w:szCs w:val="28"/>
        </w:rPr>
        <w:t>)</w:t>
      </w:r>
    </w:p>
    <w:tbl>
      <w:tblPr>
        <w:tblStyle w:val="LightList-Accent1"/>
        <w:tblpPr w:leftFromText="180" w:rightFromText="180" w:vertAnchor="text" w:horzAnchor="margin" w:tblpX="18" w:tblpY="166"/>
        <w:tblW w:w="0" w:type="auto"/>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5047"/>
        <w:gridCol w:w="8111"/>
      </w:tblGrid>
      <w:tr w:rsidR="000E5681" w14:paraId="6D559476" w14:textId="77777777" w:rsidTr="00EB5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7" w:type="dxa"/>
            <w:tcBorders>
              <w:bottom w:val="single" w:sz="8" w:space="0" w:color="5B9BD5" w:themeColor="accent1"/>
            </w:tcBorders>
            <w:shd w:val="clear" w:color="auto" w:fill="auto"/>
          </w:tcPr>
          <w:p w14:paraId="3B600710" w14:textId="1582B962" w:rsidR="000E5681" w:rsidRPr="009B7AA9" w:rsidRDefault="00392386" w:rsidP="00392386">
            <w:pPr>
              <w:tabs>
                <w:tab w:val="left" w:pos="5025"/>
              </w:tabs>
              <w:rPr>
                <w:rFonts w:cs="Arial"/>
                <w:color w:val="auto"/>
              </w:rPr>
            </w:pPr>
            <w:r>
              <w:rPr>
                <w:rFonts w:cs="Arial"/>
                <w:color w:val="auto"/>
              </w:rPr>
              <w:t xml:space="preserve">Candidate: </w:t>
            </w:r>
          </w:p>
        </w:tc>
        <w:tc>
          <w:tcPr>
            <w:tcW w:w="8111" w:type="dxa"/>
            <w:tcBorders>
              <w:right w:val="single" w:sz="6" w:space="0" w:color="2E74B5" w:themeColor="accent1" w:themeShade="BF"/>
            </w:tcBorders>
            <w:shd w:val="clear" w:color="auto" w:fill="auto"/>
          </w:tcPr>
          <w:p w14:paraId="6DFBBB83" w14:textId="77777777" w:rsidR="000E5681" w:rsidRPr="009B7AA9" w:rsidRDefault="000E5681" w:rsidP="00EB57A6">
            <w:pPr>
              <w:tabs>
                <w:tab w:val="left" w:pos="5025"/>
              </w:tabs>
              <w:cnfStyle w:val="100000000000" w:firstRow="1" w:lastRow="0" w:firstColumn="0" w:lastColumn="0" w:oddVBand="0" w:evenVBand="0" w:oddHBand="0" w:evenHBand="0" w:firstRowFirstColumn="0" w:firstRowLastColumn="0" w:lastRowFirstColumn="0" w:lastRowLastColumn="0"/>
              <w:rPr>
                <w:rFonts w:cs="Arial"/>
                <w:color w:val="auto"/>
              </w:rPr>
            </w:pPr>
          </w:p>
        </w:tc>
      </w:tr>
      <w:tr w:rsidR="000E5681" w:rsidRPr="00F82074" w14:paraId="4EE6E15F" w14:textId="77777777" w:rsidTr="00EB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072D6716" w14:textId="77777777" w:rsidR="000E5681" w:rsidRPr="00AA4686" w:rsidRDefault="000E5681" w:rsidP="00EB57A6">
            <w:pPr>
              <w:tabs>
                <w:tab w:val="left" w:pos="5025"/>
              </w:tabs>
              <w:rPr>
                <w:rFonts w:cs="Arial"/>
              </w:rPr>
            </w:pPr>
            <w:r w:rsidRPr="00AA4686">
              <w:rPr>
                <w:rFonts w:cs="Arial"/>
              </w:rPr>
              <w:t xml:space="preserve">Licensure Program (License and Grade Level): </w:t>
            </w:r>
            <w:r w:rsidRPr="00AA4686">
              <w:rPr>
                <w:rFonts w:cs="Arial"/>
              </w:rPr>
              <w:softHyphen/>
              <w:t xml:space="preserve">  </w:t>
            </w:r>
          </w:p>
        </w:tc>
        <w:tc>
          <w:tcPr>
            <w:tcW w:w="8111" w:type="dxa"/>
            <w:tcBorders>
              <w:right w:val="single" w:sz="6" w:space="0" w:color="2E74B5" w:themeColor="accent1" w:themeShade="BF"/>
            </w:tcBorders>
            <w:shd w:val="clear" w:color="auto" w:fill="auto"/>
          </w:tcPr>
          <w:p w14:paraId="73D85FFA" w14:textId="77777777" w:rsidR="000E5681" w:rsidRPr="00AA4686" w:rsidRDefault="000E5681" w:rsidP="00EB57A6">
            <w:pPr>
              <w:tabs>
                <w:tab w:val="left" w:pos="5025"/>
              </w:tabs>
              <w:cnfStyle w:val="000000100000" w:firstRow="0" w:lastRow="0" w:firstColumn="0" w:lastColumn="0" w:oddVBand="0" w:evenVBand="0" w:oddHBand="1" w:evenHBand="0" w:firstRowFirstColumn="0" w:firstRowLastColumn="0" w:lastRowFirstColumn="0" w:lastRowLastColumn="0"/>
              <w:rPr>
                <w:rFonts w:cs="Arial"/>
              </w:rPr>
            </w:pPr>
          </w:p>
        </w:tc>
      </w:tr>
    </w:tbl>
    <w:p w14:paraId="0A60D48E" w14:textId="77777777" w:rsidR="000E5681" w:rsidRDefault="000E5681" w:rsidP="000E5681">
      <w:pPr>
        <w:spacing w:after="0"/>
      </w:pPr>
    </w:p>
    <w:tbl>
      <w:tblPr>
        <w:tblStyle w:val="TableGrid"/>
        <w:tblW w:w="13315" w:type="dxa"/>
        <w:tblLayout w:type="fixed"/>
        <w:tblCellMar>
          <w:left w:w="115" w:type="dxa"/>
          <w:right w:w="115" w:type="dxa"/>
        </w:tblCellMar>
        <w:tblLook w:val="04A0" w:firstRow="1" w:lastRow="0" w:firstColumn="1" w:lastColumn="0" w:noHBand="0" w:noVBand="1"/>
      </w:tblPr>
      <w:tblGrid>
        <w:gridCol w:w="5425"/>
        <w:gridCol w:w="1972"/>
        <w:gridCol w:w="1973"/>
        <w:gridCol w:w="1972"/>
        <w:gridCol w:w="1973"/>
      </w:tblGrid>
      <w:tr w:rsidR="00392386" w14:paraId="4F22AF9A" w14:textId="77777777" w:rsidTr="00EB57A6">
        <w:trPr>
          <w:cantSplit/>
          <w:trHeight w:val="530"/>
          <w:tblHeader/>
        </w:trPr>
        <w:tc>
          <w:tcPr>
            <w:tcW w:w="5425" w:type="dxa"/>
            <w:vMerge w:val="restart"/>
            <w:tcBorders>
              <w:top w:val="single" w:sz="4" w:space="0" w:color="auto"/>
            </w:tcBorders>
            <w:shd w:val="clear" w:color="auto" w:fill="BDD6EE" w:themeFill="accent1" w:themeFillTint="66"/>
            <w:vAlign w:val="center"/>
          </w:tcPr>
          <w:p w14:paraId="03714347" w14:textId="77777777" w:rsidR="00D57FB4" w:rsidRPr="00CE0E3B" w:rsidRDefault="00D57FB4" w:rsidP="00D57FB4">
            <w:pPr>
              <w:jc w:val="center"/>
              <w:rPr>
                <w:b/>
              </w:rPr>
            </w:pPr>
            <w:r w:rsidRPr="00CE0E3B">
              <w:rPr>
                <w:b/>
              </w:rPr>
              <w:t>Curriculum Framework Domain</w:t>
            </w:r>
          </w:p>
          <w:p w14:paraId="3FC6F34C" w14:textId="2B2EA4AE" w:rsidR="00392386" w:rsidRPr="0026724F" w:rsidRDefault="00D57FB4" w:rsidP="00D57FB4">
            <w:pPr>
              <w:jc w:val="center"/>
            </w:pPr>
            <w:r w:rsidRPr="00CE0E3B">
              <w:t>(e.g. Counting and Cardinality in Math)</w:t>
            </w:r>
          </w:p>
        </w:tc>
        <w:tc>
          <w:tcPr>
            <w:tcW w:w="7890" w:type="dxa"/>
            <w:gridSpan w:val="4"/>
            <w:tcBorders>
              <w:top w:val="single" w:sz="4" w:space="0" w:color="auto"/>
            </w:tcBorders>
            <w:shd w:val="clear" w:color="auto" w:fill="BDD6EE" w:themeFill="accent1" w:themeFillTint="66"/>
            <w:vAlign w:val="center"/>
          </w:tcPr>
          <w:p w14:paraId="4E708ECA" w14:textId="78A155EA" w:rsidR="00392386" w:rsidRDefault="00D57FB4" w:rsidP="00EB57A6">
            <w:pPr>
              <w:jc w:val="center"/>
              <w:rPr>
                <w:rFonts w:ascii="Calibri" w:hAnsi="Calibri" w:cs="Arial"/>
                <w:b/>
                <w:bCs/>
              </w:rPr>
            </w:pPr>
            <w:r>
              <w:rPr>
                <w:rFonts w:ascii="Calibri" w:hAnsi="Calibri" w:cs="Arial"/>
                <w:b/>
                <w:bCs/>
              </w:rPr>
              <w:t xml:space="preserve">Current level of content knowledge: </w:t>
            </w:r>
          </w:p>
        </w:tc>
      </w:tr>
      <w:tr w:rsidR="00392386" w14:paraId="5B50E38C" w14:textId="77777777" w:rsidTr="00392386">
        <w:trPr>
          <w:cantSplit/>
          <w:trHeight w:val="530"/>
          <w:tblHeader/>
        </w:trPr>
        <w:tc>
          <w:tcPr>
            <w:tcW w:w="5425" w:type="dxa"/>
            <w:vMerge/>
            <w:shd w:val="clear" w:color="auto" w:fill="BDD6EE" w:themeFill="accent1" w:themeFillTint="66"/>
            <w:vAlign w:val="center"/>
          </w:tcPr>
          <w:p w14:paraId="5A943208" w14:textId="77777777" w:rsidR="00392386" w:rsidRDefault="00392386" w:rsidP="00EB57A6">
            <w:pPr>
              <w:rPr>
                <w:b/>
              </w:rPr>
            </w:pPr>
          </w:p>
        </w:tc>
        <w:tc>
          <w:tcPr>
            <w:tcW w:w="1972" w:type="dxa"/>
            <w:tcBorders>
              <w:top w:val="single" w:sz="4" w:space="0" w:color="auto"/>
            </w:tcBorders>
            <w:shd w:val="clear" w:color="auto" w:fill="DEEAF6" w:themeFill="accent1" w:themeFillTint="33"/>
            <w:vAlign w:val="center"/>
          </w:tcPr>
          <w:p w14:paraId="5728E892" w14:textId="77B4611B" w:rsidR="00392386" w:rsidRDefault="00392386" w:rsidP="00392386">
            <w:pPr>
              <w:tabs>
                <w:tab w:val="left" w:pos="1612"/>
              </w:tabs>
              <w:jc w:val="center"/>
            </w:pPr>
            <w:r>
              <w:t>Basic</w:t>
            </w:r>
          </w:p>
        </w:tc>
        <w:tc>
          <w:tcPr>
            <w:tcW w:w="1973" w:type="dxa"/>
            <w:tcBorders>
              <w:top w:val="single" w:sz="4" w:space="0" w:color="auto"/>
            </w:tcBorders>
            <w:shd w:val="clear" w:color="auto" w:fill="DEEAF6" w:themeFill="accent1" w:themeFillTint="33"/>
            <w:vAlign w:val="center"/>
          </w:tcPr>
          <w:p w14:paraId="48CC0D59" w14:textId="3973683C" w:rsidR="00392386" w:rsidRDefault="00392386" w:rsidP="00392386">
            <w:pPr>
              <w:jc w:val="center"/>
            </w:pPr>
            <w:r>
              <w:t>Functional</w:t>
            </w:r>
          </w:p>
        </w:tc>
        <w:tc>
          <w:tcPr>
            <w:tcW w:w="1972" w:type="dxa"/>
            <w:tcBorders>
              <w:top w:val="single" w:sz="4" w:space="0" w:color="auto"/>
            </w:tcBorders>
            <w:shd w:val="clear" w:color="auto" w:fill="DEEAF6" w:themeFill="accent1" w:themeFillTint="33"/>
            <w:vAlign w:val="center"/>
          </w:tcPr>
          <w:p w14:paraId="7F17A2C3" w14:textId="4CCC4B65" w:rsidR="00392386" w:rsidRDefault="00392386" w:rsidP="00392386">
            <w:pPr>
              <w:jc w:val="center"/>
            </w:pPr>
            <w:r>
              <w:t>Fluent</w:t>
            </w:r>
          </w:p>
        </w:tc>
        <w:tc>
          <w:tcPr>
            <w:tcW w:w="1973" w:type="dxa"/>
            <w:tcBorders>
              <w:top w:val="single" w:sz="4" w:space="0" w:color="auto"/>
            </w:tcBorders>
            <w:shd w:val="clear" w:color="auto" w:fill="DEEAF6" w:themeFill="accent1" w:themeFillTint="33"/>
            <w:vAlign w:val="center"/>
          </w:tcPr>
          <w:p w14:paraId="02503D6B" w14:textId="0C1F5B03" w:rsidR="00392386" w:rsidRPr="00392386" w:rsidRDefault="00392386" w:rsidP="00392386">
            <w:pPr>
              <w:jc w:val="center"/>
              <w:rPr>
                <w:rFonts w:ascii="Calibri" w:hAnsi="Calibri" w:cs="Arial"/>
                <w:bCs/>
              </w:rPr>
            </w:pPr>
            <w:r w:rsidRPr="00392386">
              <w:rPr>
                <w:rFonts w:ascii="Calibri" w:hAnsi="Calibri" w:cs="Arial"/>
                <w:bCs/>
              </w:rPr>
              <w:t>Expert</w:t>
            </w:r>
          </w:p>
        </w:tc>
      </w:tr>
      <w:tr w:rsidR="00392386" w14:paraId="120ECE83" w14:textId="77777777" w:rsidTr="00D57FB4">
        <w:trPr>
          <w:trHeight w:val="20"/>
        </w:trPr>
        <w:tc>
          <w:tcPr>
            <w:tcW w:w="5425" w:type="dxa"/>
            <w:vAlign w:val="center"/>
          </w:tcPr>
          <w:p w14:paraId="00B78715" w14:textId="6069F6C7" w:rsidR="00392386" w:rsidRPr="00392386" w:rsidRDefault="00392386" w:rsidP="00392386">
            <w:pPr>
              <w:rPr>
                <w:rFonts w:ascii="Calibri" w:eastAsia="Calibri" w:hAnsi="Calibri" w:cs="Times New Roman"/>
              </w:rPr>
            </w:pPr>
          </w:p>
        </w:tc>
        <w:tc>
          <w:tcPr>
            <w:tcW w:w="1972" w:type="dxa"/>
            <w:shd w:val="clear" w:color="auto" w:fill="FFFFFF" w:themeFill="background1"/>
          </w:tcPr>
          <w:p w14:paraId="795F36BF" w14:textId="77777777" w:rsidR="00392386" w:rsidRPr="00392386" w:rsidRDefault="00392386" w:rsidP="00EB57A6">
            <w:pPr>
              <w:rPr>
                <w:rFonts w:ascii="Calibri" w:hAnsi="Calibri" w:cs="Calibri"/>
              </w:rPr>
            </w:pPr>
          </w:p>
        </w:tc>
        <w:tc>
          <w:tcPr>
            <w:tcW w:w="1973" w:type="dxa"/>
            <w:shd w:val="clear" w:color="auto" w:fill="FFFFFF" w:themeFill="background1"/>
          </w:tcPr>
          <w:p w14:paraId="54C43040" w14:textId="77777777" w:rsidR="00392386" w:rsidRPr="00392386" w:rsidRDefault="00392386" w:rsidP="00EB57A6">
            <w:pPr>
              <w:rPr>
                <w:rFonts w:ascii="Calibri" w:hAnsi="Calibri" w:cs="Calibri"/>
              </w:rPr>
            </w:pPr>
          </w:p>
        </w:tc>
        <w:tc>
          <w:tcPr>
            <w:tcW w:w="1972" w:type="dxa"/>
            <w:shd w:val="clear" w:color="auto" w:fill="FFFFFF" w:themeFill="background1"/>
          </w:tcPr>
          <w:p w14:paraId="057BF2A0" w14:textId="77777777" w:rsidR="00392386" w:rsidRPr="00392386" w:rsidRDefault="00392386" w:rsidP="00EB57A6">
            <w:pPr>
              <w:rPr>
                <w:rFonts w:ascii="Calibri" w:hAnsi="Calibri" w:cs="Calibri"/>
              </w:rPr>
            </w:pPr>
          </w:p>
        </w:tc>
        <w:tc>
          <w:tcPr>
            <w:tcW w:w="1973" w:type="dxa"/>
            <w:shd w:val="clear" w:color="auto" w:fill="FFFFFF" w:themeFill="background1"/>
          </w:tcPr>
          <w:p w14:paraId="1BC5E5D5" w14:textId="75592EA4" w:rsidR="00392386" w:rsidRPr="00392386" w:rsidRDefault="00392386" w:rsidP="00EB57A6">
            <w:pPr>
              <w:rPr>
                <w:rFonts w:ascii="Calibri" w:hAnsi="Calibri" w:cs="Calibri"/>
              </w:rPr>
            </w:pPr>
          </w:p>
        </w:tc>
      </w:tr>
      <w:tr w:rsidR="00392386" w14:paraId="3C363D7C" w14:textId="77777777" w:rsidTr="00D57FB4">
        <w:trPr>
          <w:trHeight w:val="20"/>
        </w:trPr>
        <w:tc>
          <w:tcPr>
            <w:tcW w:w="5425" w:type="dxa"/>
            <w:vAlign w:val="center"/>
          </w:tcPr>
          <w:p w14:paraId="5D15240F" w14:textId="5C2D2B66" w:rsidR="00392386" w:rsidRPr="00392386" w:rsidRDefault="00392386" w:rsidP="00392386">
            <w:pPr>
              <w:rPr>
                <w:rFonts w:ascii="Calibri" w:eastAsia="Calibri" w:hAnsi="Calibri" w:cs="Arial"/>
              </w:rPr>
            </w:pPr>
          </w:p>
        </w:tc>
        <w:tc>
          <w:tcPr>
            <w:tcW w:w="1972" w:type="dxa"/>
            <w:shd w:val="clear" w:color="auto" w:fill="FFFFFF" w:themeFill="background1"/>
          </w:tcPr>
          <w:p w14:paraId="4EAC9170" w14:textId="77777777" w:rsidR="00392386" w:rsidRPr="00392386" w:rsidRDefault="00392386" w:rsidP="00EB57A6"/>
        </w:tc>
        <w:tc>
          <w:tcPr>
            <w:tcW w:w="1973" w:type="dxa"/>
            <w:shd w:val="clear" w:color="auto" w:fill="FFFFFF" w:themeFill="background1"/>
          </w:tcPr>
          <w:p w14:paraId="4D545D63" w14:textId="77777777" w:rsidR="00392386" w:rsidRPr="00392386" w:rsidRDefault="00392386" w:rsidP="00EB57A6"/>
        </w:tc>
        <w:tc>
          <w:tcPr>
            <w:tcW w:w="1972" w:type="dxa"/>
            <w:shd w:val="clear" w:color="auto" w:fill="FFFFFF" w:themeFill="background1"/>
          </w:tcPr>
          <w:p w14:paraId="388F87CA" w14:textId="77777777" w:rsidR="00392386" w:rsidRPr="00392386" w:rsidRDefault="00392386" w:rsidP="00EB57A6"/>
        </w:tc>
        <w:tc>
          <w:tcPr>
            <w:tcW w:w="1973" w:type="dxa"/>
            <w:shd w:val="clear" w:color="auto" w:fill="FFFFFF" w:themeFill="background1"/>
          </w:tcPr>
          <w:p w14:paraId="0F1538F1" w14:textId="23FD7CE1" w:rsidR="00392386" w:rsidRPr="00392386" w:rsidRDefault="00392386" w:rsidP="00EB57A6"/>
        </w:tc>
      </w:tr>
      <w:tr w:rsidR="00392386" w14:paraId="7C700817" w14:textId="77777777" w:rsidTr="00D57FB4">
        <w:trPr>
          <w:trHeight w:val="20"/>
        </w:trPr>
        <w:tc>
          <w:tcPr>
            <w:tcW w:w="5425" w:type="dxa"/>
            <w:vAlign w:val="center"/>
          </w:tcPr>
          <w:p w14:paraId="07E17FEA" w14:textId="4BE6D29A" w:rsidR="00392386" w:rsidRPr="00392386" w:rsidRDefault="00392386" w:rsidP="00392386">
            <w:pPr>
              <w:pStyle w:val="NormalWeb"/>
              <w:spacing w:before="0" w:beforeAutospacing="0" w:after="0" w:afterAutospacing="0"/>
              <w:textAlignment w:val="baseline"/>
              <w:rPr>
                <w:rFonts w:ascii="Calibri" w:hAnsi="Calibri" w:cs="Calibri"/>
                <w:color w:val="000000"/>
                <w:sz w:val="22"/>
                <w:szCs w:val="22"/>
              </w:rPr>
            </w:pPr>
          </w:p>
        </w:tc>
        <w:tc>
          <w:tcPr>
            <w:tcW w:w="1972" w:type="dxa"/>
            <w:shd w:val="clear" w:color="auto" w:fill="FFFFFF" w:themeFill="background1"/>
          </w:tcPr>
          <w:p w14:paraId="7FCB07E9" w14:textId="77777777" w:rsidR="00392386" w:rsidRPr="00392386" w:rsidRDefault="00392386" w:rsidP="00EB57A6"/>
        </w:tc>
        <w:tc>
          <w:tcPr>
            <w:tcW w:w="1973" w:type="dxa"/>
            <w:shd w:val="clear" w:color="auto" w:fill="FFFFFF" w:themeFill="background1"/>
          </w:tcPr>
          <w:p w14:paraId="2AFB7E3E" w14:textId="77777777" w:rsidR="00392386" w:rsidRPr="00392386" w:rsidRDefault="00392386" w:rsidP="00EB57A6"/>
        </w:tc>
        <w:tc>
          <w:tcPr>
            <w:tcW w:w="1972" w:type="dxa"/>
            <w:shd w:val="clear" w:color="auto" w:fill="FFFFFF" w:themeFill="background1"/>
          </w:tcPr>
          <w:p w14:paraId="0D26C919" w14:textId="77777777" w:rsidR="00392386" w:rsidRPr="00392386" w:rsidRDefault="00392386" w:rsidP="00EB57A6"/>
        </w:tc>
        <w:tc>
          <w:tcPr>
            <w:tcW w:w="1973" w:type="dxa"/>
            <w:shd w:val="clear" w:color="auto" w:fill="FFFFFF" w:themeFill="background1"/>
          </w:tcPr>
          <w:p w14:paraId="70F4DA85" w14:textId="77868C8D" w:rsidR="00392386" w:rsidRPr="00392386" w:rsidRDefault="00392386" w:rsidP="00EB57A6"/>
        </w:tc>
      </w:tr>
      <w:tr w:rsidR="00392386" w14:paraId="227FEDEF" w14:textId="77777777" w:rsidTr="00D57FB4">
        <w:trPr>
          <w:trHeight w:val="20"/>
        </w:trPr>
        <w:tc>
          <w:tcPr>
            <w:tcW w:w="5425" w:type="dxa"/>
            <w:tcBorders>
              <w:bottom w:val="single" w:sz="4" w:space="0" w:color="auto"/>
            </w:tcBorders>
            <w:vAlign w:val="center"/>
          </w:tcPr>
          <w:p w14:paraId="70F34A39" w14:textId="712A4305" w:rsidR="00392386" w:rsidRPr="00392386" w:rsidRDefault="00392386" w:rsidP="00392386">
            <w:pPr>
              <w:rPr>
                <w:rFonts w:ascii="Calibri" w:eastAsia="Calibri" w:hAnsi="Calibri" w:cs="Arial"/>
              </w:rPr>
            </w:pPr>
          </w:p>
        </w:tc>
        <w:tc>
          <w:tcPr>
            <w:tcW w:w="1972" w:type="dxa"/>
            <w:shd w:val="clear" w:color="auto" w:fill="FFFFFF" w:themeFill="background1"/>
          </w:tcPr>
          <w:p w14:paraId="2D8EC577" w14:textId="77777777" w:rsidR="00392386" w:rsidRPr="00392386" w:rsidRDefault="00392386" w:rsidP="00EB57A6"/>
        </w:tc>
        <w:tc>
          <w:tcPr>
            <w:tcW w:w="1973" w:type="dxa"/>
            <w:shd w:val="clear" w:color="auto" w:fill="FFFFFF" w:themeFill="background1"/>
          </w:tcPr>
          <w:p w14:paraId="593A447D" w14:textId="77777777" w:rsidR="00392386" w:rsidRPr="00392386" w:rsidRDefault="00392386" w:rsidP="00EB57A6"/>
        </w:tc>
        <w:tc>
          <w:tcPr>
            <w:tcW w:w="1972" w:type="dxa"/>
            <w:shd w:val="clear" w:color="auto" w:fill="FFFFFF" w:themeFill="background1"/>
          </w:tcPr>
          <w:p w14:paraId="2B625C95" w14:textId="77777777" w:rsidR="00392386" w:rsidRPr="00392386" w:rsidRDefault="00392386" w:rsidP="00EB57A6"/>
        </w:tc>
        <w:tc>
          <w:tcPr>
            <w:tcW w:w="1973" w:type="dxa"/>
            <w:shd w:val="clear" w:color="auto" w:fill="FFFFFF" w:themeFill="background1"/>
          </w:tcPr>
          <w:p w14:paraId="40734DE4" w14:textId="69E5BCF4" w:rsidR="00392386" w:rsidRPr="00392386" w:rsidRDefault="00392386" w:rsidP="00EB57A6"/>
        </w:tc>
      </w:tr>
      <w:tr w:rsidR="00392386" w14:paraId="3D7A7DF6" w14:textId="77777777" w:rsidTr="00D57FB4">
        <w:trPr>
          <w:trHeight w:val="20"/>
        </w:trPr>
        <w:tc>
          <w:tcPr>
            <w:tcW w:w="5425" w:type="dxa"/>
            <w:vAlign w:val="center"/>
          </w:tcPr>
          <w:p w14:paraId="20D7B5F4" w14:textId="7D5A184A" w:rsidR="00392386" w:rsidRPr="00392386" w:rsidRDefault="00392386" w:rsidP="00392386">
            <w:pPr>
              <w:pStyle w:val="NormalWeb"/>
              <w:spacing w:before="0" w:beforeAutospacing="0" w:after="0" w:afterAutospacing="0"/>
              <w:textAlignment w:val="baseline"/>
              <w:rPr>
                <w:rFonts w:ascii="Calibri" w:hAnsi="Calibri" w:cs="Calibri"/>
                <w:color w:val="000000"/>
                <w:sz w:val="22"/>
                <w:szCs w:val="22"/>
              </w:rPr>
            </w:pPr>
          </w:p>
        </w:tc>
        <w:tc>
          <w:tcPr>
            <w:tcW w:w="1972" w:type="dxa"/>
            <w:shd w:val="clear" w:color="auto" w:fill="FFFFFF" w:themeFill="background1"/>
          </w:tcPr>
          <w:p w14:paraId="77626345" w14:textId="77777777" w:rsidR="00392386" w:rsidRPr="00392386" w:rsidRDefault="00392386" w:rsidP="00EB57A6"/>
        </w:tc>
        <w:tc>
          <w:tcPr>
            <w:tcW w:w="1973" w:type="dxa"/>
            <w:shd w:val="clear" w:color="auto" w:fill="FFFFFF" w:themeFill="background1"/>
          </w:tcPr>
          <w:p w14:paraId="1487546A" w14:textId="77777777" w:rsidR="00392386" w:rsidRPr="00392386" w:rsidRDefault="00392386" w:rsidP="00EB57A6"/>
        </w:tc>
        <w:tc>
          <w:tcPr>
            <w:tcW w:w="1972" w:type="dxa"/>
            <w:shd w:val="clear" w:color="auto" w:fill="FFFFFF" w:themeFill="background1"/>
          </w:tcPr>
          <w:p w14:paraId="26BE3436" w14:textId="77777777" w:rsidR="00392386" w:rsidRPr="00392386" w:rsidRDefault="00392386" w:rsidP="00EB57A6"/>
        </w:tc>
        <w:tc>
          <w:tcPr>
            <w:tcW w:w="1973" w:type="dxa"/>
            <w:shd w:val="clear" w:color="auto" w:fill="FFFFFF" w:themeFill="background1"/>
          </w:tcPr>
          <w:p w14:paraId="6CD188D0" w14:textId="395B1C88" w:rsidR="00392386" w:rsidRPr="00392386" w:rsidRDefault="00392386" w:rsidP="00EB57A6"/>
        </w:tc>
      </w:tr>
      <w:tr w:rsidR="00392386" w14:paraId="3354A3AF" w14:textId="77777777" w:rsidTr="00D57FB4">
        <w:trPr>
          <w:trHeight w:val="20"/>
        </w:trPr>
        <w:tc>
          <w:tcPr>
            <w:tcW w:w="5425" w:type="dxa"/>
            <w:tcBorders>
              <w:bottom w:val="single" w:sz="4" w:space="0" w:color="auto"/>
            </w:tcBorders>
            <w:vAlign w:val="center"/>
          </w:tcPr>
          <w:p w14:paraId="1F3F1D83" w14:textId="0462CA4B" w:rsidR="00392386" w:rsidRPr="00392386" w:rsidRDefault="00392386" w:rsidP="00392386">
            <w:pPr>
              <w:rPr>
                <w:rFonts w:ascii="Calibri" w:eastAsia="Calibri" w:hAnsi="Calibri" w:cs="Arial"/>
              </w:rPr>
            </w:pPr>
          </w:p>
        </w:tc>
        <w:tc>
          <w:tcPr>
            <w:tcW w:w="1972" w:type="dxa"/>
            <w:tcBorders>
              <w:bottom w:val="single" w:sz="4" w:space="0" w:color="auto"/>
            </w:tcBorders>
            <w:shd w:val="clear" w:color="auto" w:fill="FFFFFF" w:themeFill="background1"/>
          </w:tcPr>
          <w:p w14:paraId="18F4ADFB" w14:textId="77777777" w:rsidR="00392386" w:rsidRPr="00392386" w:rsidRDefault="00392386" w:rsidP="00EB57A6"/>
        </w:tc>
        <w:tc>
          <w:tcPr>
            <w:tcW w:w="1973" w:type="dxa"/>
            <w:tcBorders>
              <w:bottom w:val="single" w:sz="4" w:space="0" w:color="auto"/>
            </w:tcBorders>
            <w:shd w:val="clear" w:color="auto" w:fill="FFFFFF" w:themeFill="background1"/>
          </w:tcPr>
          <w:p w14:paraId="7DC32383" w14:textId="77777777" w:rsidR="00392386" w:rsidRPr="00392386" w:rsidRDefault="00392386" w:rsidP="00EB57A6"/>
        </w:tc>
        <w:tc>
          <w:tcPr>
            <w:tcW w:w="1972" w:type="dxa"/>
            <w:tcBorders>
              <w:bottom w:val="single" w:sz="4" w:space="0" w:color="auto"/>
            </w:tcBorders>
            <w:shd w:val="clear" w:color="auto" w:fill="FFFFFF" w:themeFill="background1"/>
          </w:tcPr>
          <w:p w14:paraId="423654AC" w14:textId="77777777" w:rsidR="00392386" w:rsidRPr="00392386" w:rsidRDefault="00392386" w:rsidP="00EB57A6"/>
        </w:tc>
        <w:tc>
          <w:tcPr>
            <w:tcW w:w="1973" w:type="dxa"/>
            <w:tcBorders>
              <w:bottom w:val="single" w:sz="4" w:space="0" w:color="auto"/>
            </w:tcBorders>
            <w:shd w:val="clear" w:color="auto" w:fill="FFFFFF" w:themeFill="background1"/>
          </w:tcPr>
          <w:p w14:paraId="5485FD56" w14:textId="222FA5B4" w:rsidR="00392386" w:rsidRPr="00392386" w:rsidRDefault="00392386" w:rsidP="00EB57A6"/>
        </w:tc>
      </w:tr>
    </w:tbl>
    <w:p w14:paraId="51184970" w14:textId="77777777" w:rsidR="000E5681" w:rsidRDefault="000E5681" w:rsidP="000E5681">
      <w:pPr>
        <w:jc w:val="both"/>
        <w:rPr>
          <w:rFonts w:cstheme="minorHAnsi"/>
          <w:i/>
        </w:rPr>
      </w:pPr>
    </w:p>
    <w:p w14:paraId="2BC637DD" w14:textId="77777777" w:rsidR="000E5681" w:rsidRDefault="000E5681" w:rsidP="000E5681">
      <w:pPr>
        <w:rPr>
          <w:rFonts w:cstheme="minorHAnsi"/>
          <w:i/>
        </w:rPr>
        <w:sectPr w:rsidR="000E5681" w:rsidSect="00B5687E">
          <w:pgSz w:w="15840" w:h="12240" w:orient="landscape"/>
          <w:pgMar w:top="1440" w:right="1440" w:bottom="1440" w:left="1008" w:header="720" w:footer="720" w:gutter="0"/>
          <w:cols w:space="720"/>
          <w:docGrid w:linePitch="360"/>
        </w:sectPr>
      </w:pPr>
    </w:p>
    <w:p w14:paraId="5B5BBF74" w14:textId="493FA300" w:rsidR="002F283F" w:rsidRDefault="002A4AEF" w:rsidP="000E5681">
      <w:pPr>
        <w:rPr>
          <w:rFonts w:cstheme="minorHAnsi"/>
        </w:rPr>
      </w:pPr>
      <w:r>
        <w:rPr>
          <w:rFonts w:cstheme="minorHAnsi"/>
        </w:rPr>
        <w:lastRenderedPageBreak/>
        <w:t>T</w:t>
      </w:r>
      <w:r w:rsidR="00034C63">
        <w:rPr>
          <w:rFonts w:cstheme="minorHAnsi"/>
        </w:rPr>
        <w:t xml:space="preserve">he </w:t>
      </w:r>
      <w:hyperlink r:id="rId38" w:history="1">
        <w:r w:rsidR="00034C63" w:rsidRPr="00107446">
          <w:rPr>
            <w:rStyle w:val="Hyperlink"/>
            <w:rFonts w:cstheme="minorHAnsi"/>
          </w:rPr>
          <w:t>Massachusetts Test for Educator Licensure (MTEL)</w:t>
        </w:r>
      </w:hyperlink>
      <w:r w:rsidR="00034C63">
        <w:rPr>
          <w:rFonts w:cstheme="minorHAnsi"/>
        </w:rPr>
        <w:t xml:space="preserve"> is designed to assess a certain level of content knowledge as outlined in the SMKs, </w:t>
      </w:r>
      <w:r w:rsidR="00107446">
        <w:rPr>
          <w:rFonts w:cstheme="minorHAnsi"/>
        </w:rPr>
        <w:t xml:space="preserve">which </w:t>
      </w:r>
      <w:r w:rsidR="00034C63">
        <w:rPr>
          <w:rFonts w:cstheme="minorHAnsi"/>
        </w:rPr>
        <w:t xml:space="preserve">serve as a key resource both in considering and prioritizing content and in determining candidate readiness relative to the overall continuum of content knowledge.  </w:t>
      </w:r>
    </w:p>
    <w:p w14:paraId="4374E7E6" w14:textId="1758C556" w:rsidR="00391FCE" w:rsidRPr="003C08D4" w:rsidRDefault="00391FCE" w:rsidP="00391FCE">
      <w:pPr>
        <w:pStyle w:val="ListParagraph"/>
        <w:ind w:left="0" w:right="86"/>
        <w:rPr>
          <w:rFonts w:cs="Calibri"/>
          <w:b/>
          <w:color w:val="44546A" w:themeColor="text2"/>
          <w:szCs w:val="24"/>
        </w:rPr>
      </w:pPr>
      <w:r>
        <w:rPr>
          <w:rFonts w:cs="Calibri"/>
          <w:szCs w:val="24"/>
        </w:rPr>
        <w:t>A</w:t>
      </w:r>
      <w:r w:rsidRPr="001B173F">
        <w:rPr>
          <w:rFonts w:cs="Calibri"/>
          <w:szCs w:val="24"/>
        </w:rPr>
        <w:t xml:space="preserve"> complete list of required MTEL’s for each license area</w:t>
      </w:r>
      <w:r>
        <w:rPr>
          <w:rFonts w:cs="Calibri"/>
          <w:szCs w:val="24"/>
        </w:rPr>
        <w:t xml:space="preserve"> is available</w:t>
      </w:r>
      <w:r w:rsidRPr="001B173F">
        <w:rPr>
          <w:rFonts w:cs="Calibri"/>
          <w:szCs w:val="24"/>
        </w:rPr>
        <w:t xml:space="preserve"> on the </w:t>
      </w:r>
      <w:hyperlink r:id="rId39" w:history="1">
        <w:r w:rsidR="00A31EDC">
          <w:rPr>
            <w:rStyle w:val="Hyperlink"/>
            <w:rFonts w:cs="Calibri"/>
            <w:szCs w:val="24"/>
          </w:rPr>
          <w:t>DESE website</w:t>
        </w:r>
      </w:hyperlink>
      <w:r>
        <w:rPr>
          <w:rFonts w:cs="Calibri"/>
          <w:szCs w:val="24"/>
        </w:rPr>
        <w:t xml:space="preserve">. Additional resources, including MTEL test objectives, are also available on this website. </w:t>
      </w:r>
    </w:p>
    <w:p w14:paraId="7DF53811" w14:textId="79CDBA60" w:rsidR="00391FCE" w:rsidRPr="00034C63" w:rsidRDefault="00391FCE" w:rsidP="000E5681">
      <w:pPr>
        <w:rPr>
          <w:rFonts w:cstheme="minorHAnsi"/>
        </w:rPr>
      </w:pPr>
      <w:r>
        <w:rPr>
          <w:rFonts w:cstheme="minorHAnsi"/>
        </w:rPr>
        <w:t xml:space="preserve">With the revision to SMKs, </w:t>
      </w:r>
      <w:r w:rsidR="001A433B">
        <w:rPr>
          <w:rFonts w:cstheme="minorHAnsi"/>
        </w:rPr>
        <w:t xml:space="preserve">some </w:t>
      </w:r>
      <w:r>
        <w:rPr>
          <w:rFonts w:cstheme="minorHAnsi"/>
        </w:rPr>
        <w:t>MTELs will also change. Below is the development schedule for affected tests</w:t>
      </w:r>
      <w:r w:rsidR="00107446">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3116"/>
        <w:gridCol w:w="3117"/>
        <w:gridCol w:w="3117"/>
      </w:tblGrid>
      <w:tr w:rsidR="009436E5" w:rsidRPr="009436E5" w14:paraId="3921D6BD" w14:textId="77777777" w:rsidTr="0077471E">
        <w:trPr>
          <w:trHeight w:val="368"/>
        </w:trPr>
        <w:tc>
          <w:tcPr>
            <w:tcW w:w="9350" w:type="dxa"/>
            <w:gridSpan w:val="3"/>
            <w:shd w:val="clear" w:color="auto" w:fill="BDD6EE" w:themeFill="accent1" w:themeFillTint="66"/>
            <w:vAlign w:val="center"/>
          </w:tcPr>
          <w:p w14:paraId="43734B70" w14:textId="0184B4A7" w:rsidR="009436E5" w:rsidRPr="0077471E" w:rsidRDefault="009436E5" w:rsidP="009436E5">
            <w:pPr>
              <w:jc w:val="center"/>
              <w:rPr>
                <w:rFonts w:cstheme="minorHAnsi"/>
              </w:rPr>
            </w:pPr>
            <w:r w:rsidRPr="0077471E">
              <w:rPr>
                <w:rFonts w:cstheme="minorHAnsi"/>
              </w:rPr>
              <w:t>Projected MTEL Test Development Schedule</w:t>
            </w:r>
          </w:p>
        </w:tc>
      </w:tr>
      <w:tr w:rsidR="009436E5" w:rsidRPr="009436E5" w14:paraId="7F541F4E" w14:textId="77777777" w:rsidTr="009436E5">
        <w:tc>
          <w:tcPr>
            <w:tcW w:w="3116" w:type="dxa"/>
            <w:shd w:val="clear" w:color="auto" w:fill="DEEAF6" w:themeFill="accent1" w:themeFillTint="33"/>
            <w:vAlign w:val="center"/>
          </w:tcPr>
          <w:p w14:paraId="7A954074" w14:textId="72E0C617" w:rsidR="000E5681" w:rsidRPr="009436E5" w:rsidRDefault="00836914" w:rsidP="009436E5">
            <w:pPr>
              <w:jc w:val="center"/>
              <w:rPr>
                <w:rFonts w:cstheme="minorHAnsi"/>
                <w:b/>
                <w:sz w:val="28"/>
              </w:rPr>
            </w:pPr>
            <w:r w:rsidRPr="0077471E">
              <w:rPr>
                <w:rFonts w:cstheme="minorHAnsi"/>
              </w:rPr>
              <w:t xml:space="preserve"> </w:t>
            </w:r>
            <w:r>
              <w:rPr>
                <w:rFonts w:cstheme="minorHAnsi"/>
              </w:rPr>
              <w:t>Group A</w:t>
            </w:r>
          </w:p>
        </w:tc>
        <w:tc>
          <w:tcPr>
            <w:tcW w:w="3117" w:type="dxa"/>
            <w:shd w:val="clear" w:color="auto" w:fill="DEEAF6" w:themeFill="accent1" w:themeFillTint="33"/>
            <w:vAlign w:val="center"/>
          </w:tcPr>
          <w:p w14:paraId="4AD6A830" w14:textId="4F9741DE" w:rsidR="000E5681" w:rsidRPr="0077471E" w:rsidRDefault="00836914" w:rsidP="001978CA">
            <w:pPr>
              <w:jc w:val="center"/>
              <w:rPr>
                <w:rFonts w:cstheme="minorHAnsi"/>
              </w:rPr>
            </w:pPr>
            <w:r w:rsidRPr="0077471E">
              <w:rPr>
                <w:rFonts w:cstheme="minorHAnsi"/>
              </w:rPr>
              <w:t xml:space="preserve"> </w:t>
            </w:r>
            <w:r>
              <w:rPr>
                <w:rFonts w:cstheme="minorHAnsi"/>
              </w:rPr>
              <w:t>Group B</w:t>
            </w:r>
          </w:p>
        </w:tc>
        <w:tc>
          <w:tcPr>
            <w:tcW w:w="3117" w:type="dxa"/>
            <w:shd w:val="clear" w:color="auto" w:fill="DEEAF6" w:themeFill="accent1" w:themeFillTint="33"/>
            <w:vAlign w:val="center"/>
          </w:tcPr>
          <w:p w14:paraId="27FF11A1" w14:textId="13C7B7D9" w:rsidR="000E5681" w:rsidRPr="0077471E" w:rsidRDefault="00836914" w:rsidP="009436E5">
            <w:pPr>
              <w:jc w:val="center"/>
              <w:rPr>
                <w:rFonts w:cstheme="minorHAnsi"/>
              </w:rPr>
            </w:pPr>
            <w:r w:rsidRPr="0077471E">
              <w:rPr>
                <w:rFonts w:cstheme="minorHAnsi"/>
              </w:rPr>
              <w:t xml:space="preserve"> </w:t>
            </w:r>
            <w:r>
              <w:rPr>
                <w:rFonts w:cstheme="minorHAnsi"/>
              </w:rPr>
              <w:t>Group C</w:t>
            </w:r>
          </w:p>
        </w:tc>
      </w:tr>
      <w:tr w:rsidR="00836914" w:rsidRPr="009436E5" w14:paraId="3A3E360E" w14:textId="77777777" w:rsidTr="009436E5">
        <w:tc>
          <w:tcPr>
            <w:tcW w:w="3116" w:type="dxa"/>
            <w:shd w:val="clear" w:color="auto" w:fill="DEEAF6" w:themeFill="accent1" w:themeFillTint="33"/>
            <w:vAlign w:val="center"/>
          </w:tcPr>
          <w:p w14:paraId="32FCB5E2" w14:textId="3D481020" w:rsidR="00836914" w:rsidRPr="00836914" w:rsidRDefault="00836914" w:rsidP="00836914">
            <w:pPr>
              <w:jc w:val="center"/>
              <w:rPr>
                <w:rFonts w:cstheme="minorHAnsi"/>
              </w:rPr>
            </w:pPr>
            <w:r w:rsidRPr="00836914">
              <w:rPr>
                <w:rFonts w:cstheme="minorHAnsi"/>
              </w:rPr>
              <w:t>Updates began in 2017-2018</w:t>
            </w:r>
          </w:p>
        </w:tc>
        <w:tc>
          <w:tcPr>
            <w:tcW w:w="3117" w:type="dxa"/>
            <w:shd w:val="clear" w:color="auto" w:fill="DEEAF6" w:themeFill="accent1" w:themeFillTint="33"/>
            <w:vAlign w:val="center"/>
          </w:tcPr>
          <w:p w14:paraId="23DA8083" w14:textId="451217A3" w:rsidR="00836914" w:rsidRPr="00836914" w:rsidRDefault="00836914" w:rsidP="00836914">
            <w:pPr>
              <w:jc w:val="center"/>
              <w:rPr>
                <w:rFonts w:cstheme="minorHAnsi"/>
              </w:rPr>
            </w:pPr>
            <w:r w:rsidRPr="00836914">
              <w:rPr>
                <w:rFonts w:cstheme="minorHAnsi"/>
              </w:rPr>
              <w:t>Updates to begin in 2018-2019</w:t>
            </w:r>
          </w:p>
        </w:tc>
        <w:tc>
          <w:tcPr>
            <w:tcW w:w="3117" w:type="dxa"/>
            <w:shd w:val="clear" w:color="auto" w:fill="DEEAF6" w:themeFill="accent1" w:themeFillTint="33"/>
            <w:vAlign w:val="center"/>
          </w:tcPr>
          <w:p w14:paraId="1080DA2A" w14:textId="78EEF123" w:rsidR="00836914" w:rsidRPr="00836914" w:rsidRDefault="00836914" w:rsidP="00836914">
            <w:pPr>
              <w:jc w:val="center"/>
              <w:rPr>
                <w:rFonts w:cstheme="minorHAnsi"/>
              </w:rPr>
            </w:pPr>
            <w:r w:rsidRPr="00836914">
              <w:rPr>
                <w:rFonts w:cstheme="minorHAnsi"/>
              </w:rPr>
              <w:t>Updates to begin in 2019-2020</w:t>
            </w:r>
          </w:p>
        </w:tc>
      </w:tr>
      <w:tr w:rsidR="002B4188" w:rsidRPr="009436E5" w14:paraId="41EF41C8" w14:textId="77777777" w:rsidTr="009436E5">
        <w:tc>
          <w:tcPr>
            <w:tcW w:w="3116" w:type="dxa"/>
            <w:shd w:val="clear" w:color="auto" w:fill="DEEAF6" w:themeFill="accent1" w:themeFillTint="33"/>
            <w:vAlign w:val="center"/>
          </w:tcPr>
          <w:p w14:paraId="3D0960F2" w14:textId="625ED61E" w:rsidR="002B4188" w:rsidRPr="00836914" w:rsidRDefault="002B4188" w:rsidP="00836914">
            <w:pPr>
              <w:jc w:val="center"/>
              <w:rPr>
                <w:rFonts w:cstheme="minorHAnsi"/>
              </w:rPr>
            </w:pPr>
            <w:r>
              <w:rPr>
                <w:rFonts w:cstheme="minorHAnsi"/>
              </w:rPr>
              <w:t>Operational Spring 2020</w:t>
            </w:r>
          </w:p>
        </w:tc>
        <w:tc>
          <w:tcPr>
            <w:tcW w:w="3117" w:type="dxa"/>
            <w:shd w:val="clear" w:color="auto" w:fill="DEEAF6" w:themeFill="accent1" w:themeFillTint="33"/>
            <w:vAlign w:val="center"/>
          </w:tcPr>
          <w:p w14:paraId="2BD8F5F6" w14:textId="3B9D9984" w:rsidR="002B4188" w:rsidRPr="00836914" w:rsidRDefault="002B4188" w:rsidP="00836914">
            <w:pPr>
              <w:jc w:val="center"/>
              <w:rPr>
                <w:rFonts w:cstheme="minorHAnsi"/>
              </w:rPr>
            </w:pPr>
            <w:r>
              <w:rPr>
                <w:rFonts w:cstheme="minorHAnsi"/>
              </w:rPr>
              <w:t>Operational Winter 2021</w:t>
            </w:r>
          </w:p>
        </w:tc>
        <w:tc>
          <w:tcPr>
            <w:tcW w:w="3117" w:type="dxa"/>
            <w:shd w:val="clear" w:color="auto" w:fill="DEEAF6" w:themeFill="accent1" w:themeFillTint="33"/>
            <w:vAlign w:val="center"/>
          </w:tcPr>
          <w:p w14:paraId="3D60B43C" w14:textId="4B00AFAF" w:rsidR="002B4188" w:rsidRPr="00836914" w:rsidRDefault="002B4188" w:rsidP="00836914">
            <w:pPr>
              <w:jc w:val="center"/>
              <w:rPr>
                <w:rFonts w:cstheme="minorHAnsi"/>
              </w:rPr>
            </w:pPr>
            <w:r>
              <w:rPr>
                <w:rFonts w:cstheme="minorHAnsi"/>
              </w:rPr>
              <w:t>Operational Spring 2021</w:t>
            </w:r>
          </w:p>
        </w:tc>
      </w:tr>
      <w:tr w:rsidR="00836914" w:rsidRPr="009436E5" w14:paraId="0D679BB0" w14:textId="77777777" w:rsidTr="00CA6AC4">
        <w:trPr>
          <w:trHeight w:val="2404"/>
        </w:trPr>
        <w:tc>
          <w:tcPr>
            <w:tcW w:w="3116" w:type="dxa"/>
            <w:vAlign w:val="center"/>
          </w:tcPr>
          <w:p w14:paraId="1E133C21" w14:textId="77777777" w:rsidR="00836914" w:rsidRPr="00836914" w:rsidRDefault="00836914" w:rsidP="009436E5">
            <w:pPr>
              <w:jc w:val="center"/>
              <w:rPr>
                <w:rFonts w:cstheme="minorHAnsi"/>
              </w:rPr>
            </w:pPr>
            <w:r w:rsidRPr="00836914">
              <w:rPr>
                <w:rFonts w:cstheme="minorHAnsi"/>
              </w:rPr>
              <w:t>General Science, 5-8</w:t>
            </w:r>
          </w:p>
          <w:p w14:paraId="62F6798E" w14:textId="77777777" w:rsidR="00836914" w:rsidRPr="00836914" w:rsidRDefault="00836914" w:rsidP="009436E5">
            <w:pPr>
              <w:jc w:val="center"/>
              <w:rPr>
                <w:rFonts w:cstheme="minorHAnsi"/>
              </w:rPr>
            </w:pPr>
            <w:r w:rsidRPr="00836914">
              <w:rPr>
                <w:rFonts w:cstheme="minorHAnsi"/>
              </w:rPr>
              <w:t>Mathematics, 5-8</w:t>
            </w:r>
          </w:p>
          <w:p w14:paraId="24A225F0" w14:textId="77777777" w:rsidR="00836914" w:rsidRPr="00836914" w:rsidRDefault="00836914" w:rsidP="009436E5">
            <w:pPr>
              <w:jc w:val="center"/>
              <w:rPr>
                <w:rFonts w:cstheme="minorHAnsi"/>
              </w:rPr>
            </w:pPr>
            <w:r w:rsidRPr="00836914">
              <w:rPr>
                <w:rFonts w:cstheme="minorHAnsi"/>
              </w:rPr>
              <w:t>Mathematics, 8-12</w:t>
            </w:r>
          </w:p>
          <w:p w14:paraId="7B962A7F" w14:textId="77777777" w:rsidR="00836914" w:rsidRPr="00836914" w:rsidRDefault="00836914" w:rsidP="009436E5">
            <w:pPr>
              <w:jc w:val="center"/>
              <w:rPr>
                <w:rFonts w:cstheme="minorHAnsi"/>
              </w:rPr>
            </w:pPr>
            <w:r w:rsidRPr="00836914">
              <w:rPr>
                <w:rFonts w:cstheme="minorHAnsi"/>
              </w:rPr>
              <w:t>Foundations of Reading</w:t>
            </w:r>
          </w:p>
          <w:p w14:paraId="59420106" w14:textId="7168ADB3" w:rsidR="00836914" w:rsidRPr="00836914" w:rsidRDefault="00836914" w:rsidP="009436E5">
            <w:pPr>
              <w:jc w:val="center"/>
              <w:rPr>
                <w:rFonts w:cstheme="minorHAnsi"/>
              </w:rPr>
            </w:pPr>
            <w:r w:rsidRPr="00836914">
              <w:rPr>
                <w:rFonts w:cstheme="minorHAnsi"/>
              </w:rPr>
              <w:t>English Language Arts, 5-12</w:t>
            </w:r>
          </w:p>
        </w:tc>
        <w:tc>
          <w:tcPr>
            <w:tcW w:w="3117" w:type="dxa"/>
            <w:vAlign w:val="center"/>
          </w:tcPr>
          <w:p w14:paraId="69C19501" w14:textId="77777777" w:rsidR="00836914" w:rsidRPr="00836914" w:rsidRDefault="00836914" w:rsidP="009436E5">
            <w:pPr>
              <w:jc w:val="center"/>
              <w:rPr>
                <w:rFonts w:cstheme="minorHAnsi"/>
              </w:rPr>
            </w:pPr>
            <w:r w:rsidRPr="00836914">
              <w:rPr>
                <w:rFonts w:cstheme="minorHAnsi"/>
              </w:rPr>
              <w:t>Biology, 8-12</w:t>
            </w:r>
          </w:p>
          <w:p w14:paraId="427E3476" w14:textId="77777777" w:rsidR="00836914" w:rsidRPr="00836914" w:rsidRDefault="00836914" w:rsidP="009436E5">
            <w:pPr>
              <w:jc w:val="center"/>
              <w:rPr>
                <w:rFonts w:cstheme="minorHAnsi"/>
              </w:rPr>
            </w:pPr>
            <w:r w:rsidRPr="00836914">
              <w:rPr>
                <w:rFonts w:cstheme="minorHAnsi"/>
              </w:rPr>
              <w:t>Chemistry, 8-12</w:t>
            </w:r>
          </w:p>
          <w:p w14:paraId="7EAF5852" w14:textId="77777777" w:rsidR="00836914" w:rsidRPr="00836914" w:rsidRDefault="00836914" w:rsidP="009436E5">
            <w:pPr>
              <w:jc w:val="center"/>
              <w:rPr>
                <w:rFonts w:cstheme="minorHAnsi"/>
              </w:rPr>
            </w:pPr>
            <w:r w:rsidRPr="00836914">
              <w:rPr>
                <w:rFonts w:cstheme="minorHAnsi"/>
              </w:rPr>
              <w:t>Mathematics, 1-6</w:t>
            </w:r>
          </w:p>
          <w:p w14:paraId="27DC509B" w14:textId="77777777" w:rsidR="00836914" w:rsidRPr="00836914" w:rsidRDefault="00836914" w:rsidP="009436E5">
            <w:pPr>
              <w:jc w:val="center"/>
              <w:rPr>
                <w:rFonts w:cstheme="minorHAnsi"/>
              </w:rPr>
            </w:pPr>
            <w:r w:rsidRPr="00836914">
              <w:rPr>
                <w:rFonts w:cstheme="minorHAnsi"/>
              </w:rPr>
              <w:t>Physics, 8-12</w:t>
            </w:r>
          </w:p>
          <w:p w14:paraId="4A0D05E0" w14:textId="77777777" w:rsidR="00836914" w:rsidRPr="00836914" w:rsidRDefault="00836914" w:rsidP="009436E5">
            <w:pPr>
              <w:jc w:val="center"/>
              <w:rPr>
                <w:rFonts w:cstheme="minorHAnsi"/>
              </w:rPr>
            </w:pPr>
            <w:r w:rsidRPr="00836914">
              <w:rPr>
                <w:rFonts w:cstheme="minorHAnsi"/>
              </w:rPr>
              <w:t>Technology/Engineering, 5-12</w:t>
            </w:r>
          </w:p>
          <w:p w14:paraId="206296ED" w14:textId="13C44100" w:rsidR="002B4188" w:rsidRPr="00836914" w:rsidRDefault="00836914" w:rsidP="002B4188">
            <w:pPr>
              <w:jc w:val="center"/>
              <w:rPr>
                <w:rFonts w:cstheme="minorHAnsi"/>
              </w:rPr>
            </w:pPr>
            <w:r w:rsidRPr="00836914">
              <w:rPr>
                <w:rFonts w:cstheme="minorHAnsi"/>
              </w:rPr>
              <w:t>Digital Literacy/Computer Science, 5-12</w:t>
            </w:r>
            <w:r w:rsidR="002B4188" w:rsidRPr="00836914">
              <w:rPr>
                <w:rFonts w:cstheme="minorHAnsi"/>
              </w:rPr>
              <w:t xml:space="preserve"> </w:t>
            </w:r>
          </w:p>
          <w:p w14:paraId="542E2F9A" w14:textId="70A74BB9" w:rsidR="00836914" w:rsidRPr="00836914" w:rsidRDefault="00836914" w:rsidP="009436E5">
            <w:pPr>
              <w:jc w:val="center"/>
              <w:rPr>
                <w:rFonts w:cstheme="minorHAnsi"/>
              </w:rPr>
            </w:pPr>
          </w:p>
        </w:tc>
        <w:tc>
          <w:tcPr>
            <w:tcW w:w="3117" w:type="dxa"/>
            <w:vAlign w:val="center"/>
          </w:tcPr>
          <w:p w14:paraId="5471B987" w14:textId="77777777" w:rsidR="00836914" w:rsidRPr="00836914" w:rsidRDefault="00836914" w:rsidP="009436E5">
            <w:pPr>
              <w:jc w:val="center"/>
              <w:rPr>
                <w:rFonts w:cstheme="minorHAnsi"/>
              </w:rPr>
            </w:pPr>
            <w:r w:rsidRPr="00836914">
              <w:rPr>
                <w:rFonts w:cstheme="minorHAnsi"/>
              </w:rPr>
              <w:t>General Curriculum</w:t>
            </w:r>
          </w:p>
          <w:p w14:paraId="29E75EB7" w14:textId="77777777" w:rsidR="00836914" w:rsidRPr="00836914" w:rsidRDefault="00836914" w:rsidP="009436E5">
            <w:pPr>
              <w:jc w:val="center"/>
              <w:rPr>
                <w:rFonts w:cstheme="minorHAnsi"/>
              </w:rPr>
            </w:pPr>
            <w:r w:rsidRPr="00836914">
              <w:rPr>
                <w:rFonts w:cstheme="minorHAnsi"/>
              </w:rPr>
              <w:t>Middle School English/History</w:t>
            </w:r>
          </w:p>
          <w:p w14:paraId="2C2950D3" w14:textId="77777777" w:rsidR="00836914" w:rsidRPr="00836914" w:rsidRDefault="00836914" w:rsidP="009436E5">
            <w:pPr>
              <w:jc w:val="center"/>
              <w:rPr>
                <w:rFonts w:cstheme="minorHAnsi"/>
              </w:rPr>
            </w:pPr>
            <w:r w:rsidRPr="00836914">
              <w:rPr>
                <w:rFonts w:cstheme="minorHAnsi"/>
              </w:rPr>
              <w:t>Earth &amp; Space Science, 8-12</w:t>
            </w:r>
          </w:p>
          <w:p w14:paraId="480E66EC" w14:textId="77777777" w:rsidR="00836914" w:rsidRPr="00836914" w:rsidRDefault="00836914" w:rsidP="009436E5">
            <w:pPr>
              <w:jc w:val="center"/>
              <w:rPr>
                <w:rFonts w:cstheme="minorHAnsi"/>
              </w:rPr>
            </w:pPr>
            <w:r w:rsidRPr="00836914">
              <w:rPr>
                <w:rFonts w:cstheme="minorHAnsi"/>
              </w:rPr>
              <w:t>Middle School Math/Science</w:t>
            </w:r>
          </w:p>
          <w:p w14:paraId="6B8F5562" w14:textId="77777777" w:rsidR="00836914" w:rsidRPr="00836914" w:rsidRDefault="00836914" w:rsidP="009436E5">
            <w:pPr>
              <w:jc w:val="center"/>
              <w:rPr>
                <w:rFonts w:cstheme="minorHAnsi"/>
              </w:rPr>
            </w:pPr>
            <w:r w:rsidRPr="00836914">
              <w:rPr>
                <w:rFonts w:cstheme="minorHAnsi"/>
              </w:rPr>
              <w:t>Early Childhood, PreK-2</w:t>
            </w:r>
          </w:p>
          <w:p w14:paraId="74CB6EC9" w14:textId="77777777" w:rsidR="00836914" w:rsidRPr="00836914" w:rsidRDefault="00836914" w:rsidP="009436E5">
            <w:pPr>
              <w:jc w:val="center"/>
              <w:rPr>
                <w:rFonts w:cstheme="minorHAnsi"/>
              </w:rPr>
            </w:pPr>
            <w:r w:rsidRPr="00836914">
              <w:rPr>
                <w:rFonts w:cstheme="minorHAnsi"/>
              </w:rPr>
              <w:t>History, 5-12</w:t>
            </w:r>
          </w:p>
          <w:p w14:paraId="13D47368" w14:textId="77777777" w:rsidR="002B4188" w:rsidRDefault="00836914" w:rsidP="009436E5">
            <w:pPr>
              <w:jc w:val="center"/>
              <w:rPr>
                <w:rFonts w:cstheme="minorHAnsi"/>
              </w:rPr>
            </w:pPr>
            <w:r w:rsidRPr="00836914">
              <w:rPr>
                <w:rFonts w:cstheme="minorHAnsi"/>
              </w:rPr>
              <w:t>Social Science 5-12</w:t>
            </w:r>
            <w:r w:rsidR="002B4188" w:rsidRPr="00836914">
              <w:rPr>
                <w:rFonts w:cstheme="minorHAnsi"/>
              </w:rPr>
              <w:t xml:space="preserve"> </w:t>
            </w:r>
          </w:p>
          <w:p w14:paraId="0AE4FA6B" w14:textId="4649AF3C" w:rsidR="00836914" w:rsidRPr="00836914" w:rsidRDefault="002B4188" w:rsidP="009436E5">
            <w:pPr>
              <w:jc w:val="center"/>
              <w:rPr>
                <w:rFonts w:cstheme="minorHAnsi"/>
              </w:rPr>
            </w:pPr>
            <w:r w:rsidRPr="00836914">
              <w:rPr>
                <w:rFonts w:cstheme="minorHAnsi"/>
              </w:rPr>
              <w:t>Reading Specialist</w:t>
            </w:r>
          </w:p>
        </w:tc>
      </w:tr>
    </w:tbl>
    <w:p w14:paraId="39D3BD44" w14:textId="0B10A72F" w:rsidR="00B23E6D" w:rsidRDefault="00B23E6D" w:rsidP="00FA3E50">
      <w:pPr>
        <w:rPr>
          <w:rFonts w:cstheme="minorHAnsi"/>
          <w:b/>
        </w:rPr>
      </w:pPr>
    </w:p>
    <w:p w14:paraId="76EB2822" w14:textId="7A5355DD" w:rsidR="00801BC7" w:rsidRDefault="00801BC7" w:rsidP="00FA3E50">
      <w:pPr>
        <w:rPr>
          <w:rFonts w:cstheme="minorHAnsi"/>
          <w:b/>
        </w:rPr>
        <w:sectPr w:rsidR="00801BC7" w:rsidSect="00B5687E">
          <w:headerReference w:type="even" r:id="rId40"/>
          <w:headerReference w:type="default" r:id="rId41"/>
          <w:headerReference w:type="first" r:id="rId42"/>
          <w:pgSz w:w="12240" w:h="15840"/>
          <w:pgMar w:top="1440" w:right="1440" w:bottom="1008" w:left="1440" w:header="720" w:footer="720" w:gutter="0"/>
          <w:cols w:space="720"/>
          <w:docGrid w:linePitch="360"/>
        </w:sectPr>
      </w:pPr>
    </w:p>
    <w:p w14:paraId="082D5B5E" w14:textId="2E45602E" w:rsidR="000E5681" w:rsidRDefault="000E5681" w:rsidP="00801BC7">
      <w:pPr>
        <w:rPr>
          <w:rFonts w:ascii="Arial" w:hAnsi="Arial"/>
          <w:b/>
          <w:i/>
          <w:sz w:val="40"/>
        </w:rPr>
      </w:pPr>
      <w:r>
        <w:rPr>
          <w:rFonts w:ascii="Arial" w:hAnsi="Arial"/>
          <w:i/>
          <w:noProof/>
          <w:sz w:val="40"/>
        </w:rPr>
        <w:lastRenderedPageBreak/>
        <w:drawing>
          <wp:anchor distT="0" distB="0" distL="114300" distR="274320" simplePos="0" relativeHeight="251662336" behindDoc="0" locked="0" layoutInCell="0" allowOverlap="1" wp14:anchorId="5DDE7E0F" wp14:editId="200114FD">
            <wp:simplePos x="0" y="0"/>
            <wp:positionH relativeFrom="column">
              <wp:posOffset>-365125</wp:posOffset>
            </wp:positionH>
            <wp:positionV relativeFrom="page">
              <wp:posOffset>668020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4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4F16CF55" w14:textId="77777777" w:rsidR="000E5681" w:rsidRDefault="000E5681" w:rsidP="000E5681">
      <w:pPr>
        <w:outlineLvl w:val="0"/>
        <w:rPr>
          <w:rFonts w:ascii="Arial" w:hAnsi="Arial"/>
          <w:b/>
          <w:i/>
          <w:sz w:val="50"/>
        </w:rPr>
      </w:pPr>
      <w:r>
        <w:rPr>
          <w:rFonts w:ascii="Arial" w:hAnsi="Arial"/>
          <w:b/>
          <w:i/>
          <w:sz w:val="40"/>
        </w:rPr>
        <w:t>Elementary and Secondary Education</w:t>
      </w:r>
    </w:p>
    <w:p w14:paraId="391CD3D6" w14:textId="77777777" w:rsidR="000E5681" w:rsidRDefault="000E5681" w:rsidP="000E5681">
      <w:pPr>
        <w:spacing w:after="0"/>
        <w:rPr>
          <w:rFonts w:ascii="Arial" w:hAnsi="Arial" w:cs="Arial"/>
          <w:i/>
          <w:sz w:val="16"/>
          <w:szCs w:val="16"/>
        </w:rPr>
      </w:pPr>
      <w:r>
        <w:rPr>
          <w:noProof/>
        </w:rPr>
        <mc:AlternateContent>
          <mc:Choice Requires="wps">
            <w:drawing>
              <wp:anchor distT="4294967293" distB="4294967293" distL="114300" distR="114300" simplePos="0" relativeHeight="251661312" behindDoc="0" locked="0" layoutInCell="0" allowOverlap="1" wp14:anchorId="269384F6" wp14:editId="17728911">
                <wp:simplePos x="0" y="0"/>
                <wp:positionH relativeFrom="column">
                  <wp:posOffset>875665</wp:posOffset>
                </wp:positionH>
                <wp:positionV relativeFrom="paragraph">
                  <wp:posOffset>44091</wp:posOffset>
                </wp:positionV>
                <wp:extent cx="48006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1EE4"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" o:allowincell="f" strokeweight="1pt"/>
            </w:pict>
          </mc:Fallback>
        </mc:AlternateContent>
      </w:r>
    </w:p>
    <w:tbl>
      <w:tblPr>
        <w:tblStyle w:val="TableGrid"/>
        <w:tblpPr w:leftFromText="180" w:rightFromText="180" w:vertAnchor="text" w:horzAnchor="page" w:tblpX="928" w:tblpY="3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6"/>
        <w:gridCol w:w="3807"/>
      </w:tblGrid>
      <w:tr w:rsidR="000E5681" w:rsidRPr="00C974A6" w14:paraId="27CF98BC" w14:textId="77777777" w:rsidTr="00EB57A6">
        <w:trPr>
          <w:trHeight w:val="310"/>
        </w:trPr>
        <w:tc>
          <w:tcPr>
            <w:tcW w:w="1466" w:type="dxa"/>
          </w:tcPr>
          <w:p w14:paraId="21F7780F" w14:textId="77777777" w:rsidR="000E5681" w:rsidRDefault="000E5681" w:rsidP="00EB57A6">
            <w:pPr>
              <w:jc w:val="center"/>
              <w:rPr>
                <w:rFonts w:ascii="Arial" w:hAnsi="Arial" w:cs="Arial"/>
                <w:sz w:val="16"/>
                <w:szCs w:val="16"/>
              </w:rPr>
            </w:pPr>
            <w:r>
              <w:rPr>
                <w:rFonts w:ascii="Arial" w:hAnsi="Arial" w:cs="Arial"/>
                <w:sz w:val="16"/>
                <w:szCs w:val="16"/>
              </w:rPr>
              <w:t>Jeffrey C. Riley</w:t>
            </w:r>
          </w:p>
          <w:p w14:paraId="2DC59D95" w14:textId="77777777" w:rsidR="000E5681" w:rsidRPr="00C974A6" w:rsidRDefault="000E5681" w:rsidP="00EB57A6">
            <w:pPr>
              <w:jc w:val="center"/>
              <w:rPr>
                <w:rFonts w:ascii="Arial" w:hAnsi="Arial"/>
                <w:i/>
                <w:sz w:val="16"/>
                <w:szCs w:val="16"/>
              </w:rPr>
            </w:pPr>
            <w:r w:rsidRPr="00C974A6">
              <w:rPr>
                <w:rFonts w:ascii="Arial" w:hAnsi="Arial"/>
                <w:i/>
                <w:sz w:val="16"/>
                <w:szCs w:val="16"/>
              </w:rPr>
              <w:t>Commissioner</w:t>
            </w:r>
          </w:p>
        </w:tc>
        <w:tc>
          <w:tcPr>
            <w:tcW w:w="3807" w:type="dxa"/>
          </w:tcPr>
          <w:p w14:paraId="113B3792" w14:textId="77777777" w:rsidR="000E5681" w:rsidRPr="00C974A6" w:rsidRDefault="000E5681" w:rsidP="00EB57A6">
            <w:pPr>
              <w:jc w:val="center"/>
              <w:rPr>
                <w:rFonts w:ascii="Arial" w:hAnsi="Arial"/>
                <w:i/>
                <w:sz w:val="16"/>
                <w:szCs w:val="16"/>
              </w:rPr>
            </w:pPr>
          </w:p>
        </w:tc>
      </w:tr>
    </w:tbl>
    <w:p w14:paraId="62231CB7" w14:textId="77777777" w:rsidR="000E5681" w:rsidRDefault="000E5681" w:rsidP="000E5681">
      <w:pPr>
        <w:ind w:left="6480" w:hanging="5760"/>
        <w:rPr>
          <w:rFonts w:ascii="Arial" w:hAnsi="Arial" w:cs="Arial"/>
          <w:i/>
          <w:sz w:val="16"/>
          <w:szCs w:val="16"/>
        </w:rPr>
      </w:pPr>
      <w:r w:rsidRPr="00FE2EA1">
        <w:rPr>
          <w:rFonts w:ascii="Arial" w:hAnsi="Arial" w:cs="Arial"/>
          <w:i/>
          <w:sz w:val="16"/>
          <w:szCs w:val="16"/>
        </w:rPr>
        <w:t xml:space="preserve">75 Pleasant Street, Malden, Massachusetts 02148-4906 </w:t>
      </w:r>
      <w:r w:rsidRPr="00FE2EA1">
        <w:rPr>
          <w:rFonts w:ascii="Arial" w:hAnsi="Arial" w:cs="Arial"/>
          <w:i/>
          <w:sz w:val="16"/>
          <w:szCs w:val="16"/>
        </w:rPr>
        <w:tab/>
      </w:r>
      <w:r>
        <w:rPr>
          <w:rFonts w:ascii="Arial" w:hAnsi="Arial" w:cs="Arial"/>
          <w:i/>
          <w:sz w:val="16"/>
          <w:szCs w:val="16"/>
        </w:rPr>
        <w:tab/>
      </w:r>
      <w:r w:rsidRPr="00FE2EA1">
        <w:rPr>
          <w:rFonts w:ascii="Arial" w:hAnsi="Arial" w:cs="Arial"/>
          <w:i/>
          <w:sz w:val="16"/>
          <w:szCs w:val="16"/>
        </w:rPr>
        <w:t xml:space="preserve">Telephone: (781) 338-3000                                                                                                                 </w:t>
      </w:r>
      <w:r>
        <w:rPr>
          <w:rFonts w:ascii="Arial" w:hAnsi="Arial" w:cs="Arial"/>
          <w:i/>
          <w:sz w:val="16"/>
          <w:szCs w:val="16"/>
        </w:rPr>
        <w:t xml:space="preserve">        </w:t>
      </w:r>
      <w:r w:rsidRPr="00FE2EA1">
        <w:rPr>
          <w:rFonts w:ascii="Arial" w:hAnsi="Arial" w:cs="Arial"/>
          <w:i/>
          <w:sz w:val="16"/>
          <w:szCs w:val="16"/>
        </w:rPr>
        <w:t>TTY: N.E.T. Relay 1-800-439-2370</w:t>
      </w:r>
    </w:p>
    <w:p w14:paraId="78119010" w14:textId="77777777" w:rsidR="000E5681" w:rsidRDefault="000E5681" w:rsidP="000E5681">
      <w:pPr>
        <w:ind w:left="6480" w:hanging="5760"/>
        <w:rPr>
          <w:rFonts w:ascii="Arial" w:hAnsi="Arial" w:cs="Arial"/>
          <w:i/>
          <w:sz w:val="16"/>
          <w:szCs w:val="16"/>
        </w:rPr>
      </w:pPr>
    </w:p>
    <w:p w14:paraId="54D0B21E" w14:textId="778A7E8C" w:rsidR="000E5681" w:rsidRPr="00FE2EA1" w:rsidRDefault="000E5681" w:rsidP="000E5681">
      <w:pPr>
        <w:spacing w:after="0"/>
        <w:ind w:left="6480" w:hanging="5760"/>
        <w:jc w:val="center"/>
        <w:rPr>
          <w:b/>
          <w:sz w:val="28"/>
        </w:rPr>
      </w:pPr>
      <w:r w:rsidRPr="00FE2EA1">
        <w:rPr>
          <w:b/>
          <w:sz w:val="28"/>
        </w:rPr>
        <w:t xml:space="preserve">Subject Matter Knowledge </w:t>
      </w:r>
      <w:r w:rsidR="00C5721E">
        <w:rPr>
          <w:b/>
          <w:sz w:val="28"/>
        </w:rPr>
        <w:t xml:space="preserve">(SMK) </w:t>
      </w:r>
      <w:r w:rsidRPr="00FE2EA1">
        <w:rPr>
          <w:b/>
          <w:sz w:val="28"/>
        </w:rPr>
        <w:t>Guidelines</w:t>
      </w:r>
    </w:p>
    <w:p w14:paraId="654E0FEC" w14:textId="77777777" w:rsidR="000E5681" w:rsidRPr="00023E91" w:rsidRDefault="000E5681" w:rsidP="000E5681">
      <w:pPr>
        <w:spacing w:after="0"/>
        <w:jc w:val="center"/>
        <w:rPr>
          <w:b/>
          <w:sz w:val="28"/>
        </w:rPr>
      </w:pPr>
      <w:r>
        <w:rPr>
          <w:b/>
          <w:sz w:val="28"/>
        </w:rPr>
        <w:t xml:space="preserve">Statement of Assurance </w:t>
      </w:r>
    </w:p>
    <w:p w14:paraId="7EC5C791" w14:textId="77777777" w:rsidR="000E5681" w:rsidRDefault="000E5681" w:rsidP="000E5681">
      <w:pPr>
        <w:rPr>
          <w:rFonts w:cstheme="minorHAnsi"/>
        </w:rPr>
      </w:pPr>
      <w:r>
        <w:rPr>
          <w:noProof/>
        </w:rPr>
        <mc:AlternateContent>
          <mc:Choice Requires="wps">
            <w:drawing>
              <wp:anchor distT="45720" distB="45720" distL="114300" distR="114300" simplePos="0" relativeHeight="251663360" behindDoc="0" locked="0" layoutInCell="1" allowOverlap="1" wp14:anchorId="08C36264" wp14:editId="648EF025">
                <wp:simplePos x="0" y="0"/>
                <wp:positionH relativeFrom="column">
                  <wp:posOffset>1800225</wp:posOffset>
                </wp:positionH>
                <wp:positionV relativeFrom="paragraph">
                  <wp:posOffset>142875</wp:posOffset>
                </wp:positionV>
                <wp:extent cx="4175760" cy="276225"/>
                <wp:effectExtent l="0" t="0" r="15240" b="28575"/>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76225"/>
                        </a:xfrm>
                        <a:prstGeom prst="rect">
                          <a:avLst/>
                        </a:prstGeom>
                        <a:solidFill>
                          <a:srgbClr val="FFFFFF"/>
                        </a:solidFill>
                        <a:ln w="9525">
                          <a:solidFill>
                            <a:srgbClr val="000000"/>
                          </a:solidFill>
                          <a:miter lim="800000"/>
                          <a:headEnd/>
                          <a:tailEnd/>
                        </a:ln>
                      </wps:spPr>
                      <wps:txbx>
                        <w:txbxContent>
                          <w:p w14:paraId="1A0E9E88" w14:textId="77777777" w:rsidR="000E5681" w:rsidRDefault="000E5681" w:rsidP="000E5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36264" id="_x0000_t202" coordsize="21600,21600" o:spt="202" path="m,l,21600r21600,l21600,xe">
                <v:stroke joinstyle="miter"/>
                <v:path gradientshapeok="t" o:connecttype="rect"/>
              </v:shapetype>
              <v:shape id="Text Box 1" o:spid="_x0000_s1026" type="#_x0000_t202" style="position:absolute;margin-left:141.75pt;margin-top:11.25pt;width:328.8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">
                <v:textbox>
                  <w:txbxContent>
                    <w:p w14:paraId="1A0E9E88" w14:textId="77777777" w:rsidR="000E5681" w:rsidRDefault="000E5681" w:rsidP="000E5681"/>
                  </w:txbxContent>
                </v:textbox>
                <w10:wrap type="square"/>
              </v:shape>
            </w:pict>
          </mc:Fallback>
        </mc:AlternateContent>
      </w:r>
    </w:p>
    <w:p w14:paraId="04860907" w14:textId="77777777" w:rsidR="000E5681" w:rsidRDefault="000E5681" w:rsidP="000E5681">
      <w:pPr>
        <w:jc w:val="center"/>
        <w:rPr>
          <w:rFonts w:cstheme="minorHAnsi"/>
        </w:rPr>
      </w:pPr>
      <w:r w:rsidRPr="00946B59">
        <w:rPr>
          <w:rFonts w:cstheme="minorHAnsi"/>
        </w:rPr>
        <w:t>Sponsoring Organization</w:t>
      </w:r>
      <w:r>
        <w:rPr>
          <w:rFonts w:cstheme="minorHAnsi"/>
        </w:rPr>
        <w:t>:</w:t>
      </w:r>
    </w:p>
    <w:p w14:paraId="0451D7AD" w14:textId="77777777" w:rsidR="00F7380A" w:rsidRDefault="00F7380A" w:rsidP="000E5681">
      <w:pPr>
        <w:rPr>
          <w:b/>
        </w:rPr>
      </w:pPr>
    </w:p>
    <w:p w14:paraId="34D586D0" w14:textId="0FC143C7" w:rsidR="000E5681" w:rsidRPr="00023E91" w:rsidRDefault="000E5681" w:rsidP="000E5681">
      <w:r w:rsidRPr="00023E91">
        <w:rPr>
          <w:b/>
        </w:rPr>
        <w:t>Directions</w:t>
      </w:r>
      <w:r w:rsidRPr="00023E91">
        <w:t xml:space="preserve">: This form should be completed by the Sponsoring Organization's </w:t>
      </w:r>
      <w:r>
        <w:t xml:space="preserve">President, </w:t>
      </w:r>
      <w:r w:rsidRPr="00023E91">
        <w:t>Executive</w:t>
      </w:r>
      <w:r>
        <w:t xml:space="preserve"> </w:t>
      </w:r>
      <w:r w:rsidRPr="00023E91">
        <w:t>Director</w:t>
      </w:r>
      <w:r>
        <w:t xml:space="preserve">, </w:t>
      </w:r>
      <w:r w:rsidRPr="00023E91">
        <w:t>Dean, or other perso</w:t>
      </w:r>
      <w:r>
        <w:t>n</w:t>
      </w:r>
      <w:r w:rsidRPr="00023E91">
        <w:t xml:space="preserve"> </w:t>
      </w:r>
      <w:r>
        <w:t>respons</w:t>
      </w:r>
      <w:r w:rsidRPr="00023E91">
        <w:t>ible for</w:t>
      </w:r>
      <w:r w:rsidR="00801BC7">
        <w:t xml:space="preserve"> oversight and ultimate decision-making associated with</w:t>
      </w:r>
      <w:r w:rsidRPr="00023E91">
        <w:t xml:space="preserve"> educator preparation programs at the organization.</w:t>
      </w:r>
    </w:p>
    <w:p w14:paraId="7EA1B366" w14:textId="77777777" w:rsidR="000E5681" w:rsidRDefault="000E5681" w:rsidP="000E5681">
      <w:r>
        <w:t>P</w:t>
      </w:r>
      <w:r w:rsidRPr="00023E91">
        <w:t>lace your initials in the appropriate yes/no</w:t>
      </w:r>
      <w:r>
        <w:t xml:space="preserve"> box</w:t>
      </w:r>
      <w:r w:rsidRPr="00023E91">
        <w:t xml:space="preserve">. If the answer is no, please </w:t>
      </w:r>
      <w:r>
        <w:t>provide</w:t>
      </w:r>
      <w:r w:rsidRPr="00023E91">
        <w:t xml:space="preserve"> a comment</w:t>
      </w:r>
      <w:r>
        <w:t xml:space="preserve"> explaining why and intentions to fully meet the expectations set forth. Attach additional </w:t>
      </w:r>
      <w:r w:rsidRPr="00023E91">
        <w:t>documentation</w:t>
      </w:r>
      <w:r>
        <w:t xml:space="preserve"> </w:t>
      </w:r>
      <w:r w:rsidRPr="00023E91">
        <w:t xml:space="preserve">as </w:t>
      </w:r>
      <w:r>
        <w:t>necessary.</w:t>
      </w:r>
    </w:p>
    <w:p w14:paraId="1C6C4818" w14:textId="77777777" w:rsidR="000E5681" w:rsidRDefault="000E5681" w:rsidP="000E5681">
      <w:r>
        <w:t xml:space="preserve">Please sign and submit this form to </w:t>
      </w:r>
      <w:hyperlink r:id="rId44" w:history="1">
        <w:r w:rsidRPr="001513ED">
          <w:rPr>
            <w:rStyle w:val="Hyperlink"/>
          </w:rPr>
          <w:t>edprep@doe.mass.edu</w:t>
        </w:r>
      </w:hyperlink>
      <w:r>
        <w:t xml:space="preserve"> by May 30, 2020.</w:t>
      </w:r>
    </w:p>
    <w:tbl>
      <w:tblPr>
        <w:tblStyle w:val="TableGrid"/>
        <w:tblW w:w="0" w:type="auto"/>
        <w:tblLook w:val="04A0" w:firstRow="1" w:lastRow="0" w:firstColumn="1" w:lastColumn="0" w:noHBand="0" w:noVBand="1"/>
      </w:tblPr>
      <w:tblGrid>
        <w:gridCol w:w="5344"/>
        <w:gridCol w:w="555"/>
        <w:gridCol w:w="533"/>
        <w:gridCol w:w="2918"/>
      </w:tblGrid>
      <w:tr w:rsidR="000E5681" w:rsidRPr="002D0671" w14:paraId="42DDB841" w14:textId="77777777" w:rsidTr="00EB57A6">
        <w:tc>
          <w:tcPr>
            <w:tcW w:w="5344" w:type="dxa"/>
          </w:tcPr>
          <w:p w14:paraId="011673E6" w14:textId="77777777" w:rsidR="000E5681" w:rsidRPr="002D0671" w:rsidRDefault="000E5681" w:rsidP="00EB57A6">
            <w:pPr>
              <w:rPr>
                <w:b/>
                <w:szCs w:val="24"/>
              </w:rPr>
            </w:pPr>
            <w:r w:rsidRPr="002D0671">
              <w:rPr>
                <w:b/>
                <w:szCs w:val="24"/>
              </w:rPr>
              <w:t>Statement of Assurance</w:t>
            </w:r>
          </w:p>
        </w:tc>
        <w:tc>
          <w:tcPr>
            <w:tcW w:w="555" w:type="dxa"/>
          </w:tcPr>
          <w:p w14:paraId="5568F45A" w14:textId="77777777" w:rsidR="000E5681" w:rsidRPr="002D0671" w:rsidRDefault="000E5681" w:rsidP="00EB57A6">
            <w:pPr>
              <w:jc w:val="center"/>
              <w:rPr>
                <w:b/>
                <w:szCs w:val="24"/>
              </w:rPr>
            </w:pPr>
            <w:r w:rsidRPr="002D0671">
              <w:rPr>
                <w:b/>
                <w:szCs w:val="24"/>
              </w:rPr>
              <w:t>Yes</w:t>
            </w:r>
          </w:p>
        </w:tc>
        <w:tc>
          <w:tcPr>
            <w:tcW w:w="533" w:type="dxa"/>
          </w:tcPr>
          <w:p w14:paraId="36730A92" w14:textId="77777777" w:rsidR="000E5681" w:rsidRPr="002D0671" w:rsidRDefault="000E5681" w:rsidP="00EB57A6">
            <w:pPr>
              <w:jc w:val="center"/>
              <w:rPr>
                <w:b/>
                <w:szCs w:val="24"/>
              </w:rPr>
            </w:pPr>
            <w:r w:rsidRPr="002D0671">
              <w:rPr>
                <w:b/>
                <w:szCs w:val="24"/>
              </w:rPr>
              <w:t>No</w:t>
            </w:r>
          </w:p>
        </w:tc>
        <w:tc>
          <w:tcPr>
            <w:tcW w:w="2918" w:type="dxa"/>
          </w:tcPr>
          <w:p w14:paraId="76695B3A" w14:textId="77777777" w:rsidR="000E5681" w:rsidRPr="002D0671" w:rsidRDefault="000E5681" w:rsidP="00EB57A6">
            <w:pPr>
              <w:rPr>
                <w:b/>
                <w:szCs w:val="24"/>
              </w:rPr>
            </w:pPr>
            <w:r w:rsidRPr="002D0671">
              <w:rPr>
                <w:b/>
                <w:szCs w:val="24"/>
              </w:rPr>
              <w:t>Comments</w:t>
            </w:r>
          </w:p>
        </w:tc>
      </w:tr>
      <w:tr w:rsidR="000E5681" w:rsidRPr="002D0671" w14:paraId="50B066D2" w14:textId="77777777" w:rsidTr="00EB57A6">
        <w:tc>
          <w:tcPr>
            <w:tcW w:w="5344" w:type="dxa"/>
          </w:tcPr>
          <w:p w14:paraId="4EF27CF0" w14:textId="042260F0" w:rsidR="000E5681" w:rsidRPr="002D0671" w:rsidRDefault="000E5681" w:rsidP="00C5721E">
            <w:r>
              <w:t>By September 1, 2020 all educator preparation programs will have been revised in support of ensuring candidates meet expectations as outlined in the 2018 Subject Matter Knowledge (SMK) Guidelines, including incorporating the new crosscutting SMKs into all Initial Licensure programs</w:t>
            </w:r>
            <w:r w:rsidR="00C00E9D">
              <w:t xml:space="preserve"> (</w:t>
            </w:r>
            <w:r w:rsidR="00F7380A">
              <w:t xml:space="preserve">Required </w:t>
            </w:r>
            <w:r w:rsidR="00C00E9D">
              <w:t>Cross</w:t>
            </w:r>
            <w:r w:rsidR="00C5721E">
              <w:t>c</w:t>
            </w:r>
            <w:r w:rsidR="00C00E9D">
              <w:t>utting SMK Matrix enclosed)</w:t>
            </w:r>
            <w:r>
              <w:t>.</w:t>
            </w:r>
          </w:p>
        </w:tc>
        <w:tc>
          <w:tcPr>
            <w:tcW w:w="555" w:type="dxa"/>
            <w:vAlign w:val="center"/>
          </w:tcPr>
          <w:p w14:paraId="47AFEF89" w14:textId="77777777" w:rsidR="000E5681" w:rsidRPr="002D0671" w:rsidRDefault="000E5681" w:rsidP="00EB57A6">
            <w:pPr>
              <w:jc w:val="center"/>
              <w:rPr>
                <w:szCs w:val="24"/>
              </w:rPr>
            </w:pPr>
          </w:p>
        </w:tc>
        <w:tc>
          <w:tcPr>
            <w:tcW w:w="533" w:type="dxa"/>
            <w:vAlign w:val="center"/>
          </w:tcPr>
          <w:p w14:paraId="43852745" w14:textId="77777777" w:rsidR="000E5681" w:rsidRPr="002D0671" w:rsidRDefault="000E5681" w:rsidP="00EB57A6">
            <w:pPr>
              <w:jc w:val="center"/>
              <w:rPr>
                <w:szCs w:val="24"/>
              </w:rPr>
            </w:pPr>
          </w:p>
        </w:tc>
        <w:tc>
          <w:tcPr>
            <w:tcW w:w="2918" w:type="dxa"/>
          </w:tcPr>
          <w:p w14:paraId="66406D5D" w14:textId="77777777" w:rsidR="000E5681" w:rsidRPr="002D0671" w:rsidRDefault="000E5681" w:rsidP="00EB57A6">
            <w:pPr>
              <w:rPr>
                <w:szCs w:val="24"/>
              </w:rPr>
            </w:pPr>
          </w:p>
        </w:tc>
      </w:tr>
      <w:tr w:rsidR="000E5681" w:rsidRPr="002D0671" w14:paraId="183365E5" w14:textId="77777777" w:rsidTr="00EB57A6">
        <w:tc>
          <w:tcPr>
            <w:tcW w:w="5344" w:type="dxa"/>
          </w:tcPr>
          <w:p w14:paraId="1A655E8F" w14:textId="77777777" w:rsidR="000E5681" w:rsidRPr="002D0671" w:rsidRDefault="000E5681" w:rsidP="00EB57A6">
            <w:r>
              <w:t>Our organization has a system/process in place to continually monitor individual program efficacy to ensure that candidates who complete the program are prepared to be effective in the licensure role as it relates to fluency in content knowledge.</w:t>
            </w:r>
          </w:p>
        </w:tc>
        <w:tc>
          <w:tcPr>
            <w:tcW w:w="555" w:type="dxa"/>
            <w:vAlign w:val="center"/>
          </w:tcPr>
          <w:p w14:paraId="3DE94660" w14:textId="77777777" w:rsidR="000E5681" w:rsidRPr="002D0671" w:rsidRDefault="000E5681" w:rsidP="00EB57A6">
            <w:pPr>
              <w:jc w:val="center"/>
              <w:rPr>
                <w:szCs w:val="24"/>
              </w:rPr>
            </w:pPr>
          </w:p>
        </w:tc>
        <w:tc>
          <w:tcPr>
            <w:tcW w:w="533" w:type="dxa"/>
            <w:vAlign w:val="center"/>
          </w:tcPr>
          <w:p w14:paraId="393DB415" w14:textId="77777777" w:rsidR="000E5681" w:rsidRPr="002D0671" w:rsidRDefault="000E5681" w:rsidP="00EB57A6">
            <w:pPr>
              <w:jc w:val="center"/>
              <w:rPr>
                <w:szCs w:val="24"/>
              </w:rPr>
            </w:pPr>
          </w:p>
        </w:tc>
        <w:tc>
          <w:tcPr>
            <w:tcW w:w="2918" w:type="dxa"/>
          </w:tcPr>
          <w:p w14:paraId="0F324FFD" w14:textId="77777777" w:rsidR="000E5681" w:rsidRPr="002D0671" w:rsidRDefault="000E5681" w:rsidP="00EB57A6">
            <w:pPr>
              <w:rPr>
                <w:szCs w:val="24"/>
              </w:rPr>
            </w:pPr>
          </w:p>
        </w:tc>
      </w:tr>
    </w:tbl>
    <w:p w14:paraId="06D8B286" w14:textId="77777777" w:rsidR="000E5681" w:rsidRDefault="000E5681" w:rsidP="000E5681"/>
    <w:p w14:paraId="4245783A" w14:textId="77777777" w:rsidR="000E5681" w:rsidRPr="00023E91" w:rsidRDefault="000E5681" w:rsidP="000E5681">
      <w:r w:rsidRPr="00023E91">
        <w:t>_______________________________________</w:t>
      </w:r>
      <w:r w:rsidRPr="00023E91">
        <w:tab/>
      </w:r>
      <w:r w:rsidRPr="00023E91">
        <w:tab/>
        <w:t>___________________________________</w:t>
      </w:r>
    </w:p>
    <w:p w14:paraId="7E220FB9" w14:textId="77777777" w:rsidR="000E5681" w:rsidRPr="00023E91" w:rsidRDefault="000E5681" w:rsidP="000E5681">
      <w:r w:rsidRPr="00023E91">
        <w:t>President/Executive Director/Dean Name (Print)</w:t>
      </w:r>
      <w:r w:rsidRPr="00023E91">
        <w:tab/>
      </w:r>
      <w:r w:rsidRPr="00023E91">
        <w:tab/>
        <w:t>Educator Preparation Contact Name (Print)</w:t>
      </w:r>
    </w:p>
    <w:p w14:paraId="7BC2376C" w14:textId="77777777" w:rsidR="000E5681" w:rsidRPr="00023E91" w:rsidRDefault="000E5681" w:rsidP="000E5681">
      <w:r w:rsidRPr="00023E91">
        <w:t>_____________________</w:t>
      </w:r>
      <w:r>
        <w:t xml:space="preserve">______     </w:t>
      </w:r>
      <w:r w:rsidRPr="00023E91">
        <w:t>__________</w:t>
      </w:r>
      <w:r w:rsidRPr="00023E91">
        <w:tab/>
      </w:r>
      <w:r w:rsidRPr="00023E91">
        <w:tab/>
        <w:t>_____________________</w:t>
      </w:r>
      <w:r>
        <w:t xml:space="preserve">      </w:t>
      </w:r>
      <w:r w:rsidRPr="00023E91">
        <w:t xml:space="preserve">__________ </w:t>
      </w:r>
      <w:r>
        <w:t>Signature</w:t>
      </w:r>
      <w:r>
        <w:tab/>
      </w:r>
      <w:r>
        <w:tab/>
      </w:r>
      <w:r>
        <w:tab/>
        <w:t xml:space="preserve">      </w:t>
      </w:r>
      <w:r w:rsidRPr="00023E91">
        <w:t>Date</w:t>
      </w:r>
      <w:r w:rsidRPr="00023E91">
        <w:tab/>
      </w:r>
      <w:r w:rsidRPr="00023E91">
        <w:tab/>
        <w:t>Signature</w:t>
      </w:r>
      <w:r w:rsidRPr="00023E91">
        <w:tab/>
      </w:r>
      <w:r w:rsidRPr="00023E91">
        <w:tab/>
      </w:r>
      <w:r>
        <w:t xml:space="preserve">         </w:t>
      </w:r>
      <w:r w:rsidRPr="00023E91">
        <w:t>Date</w:t>
      </w:r>
    </w:p>
    <w:p w14:paraId="26AF3F6F" w14:textId="118F3E5A" w:rsidR="00B23E6D" w:rsidRPr="00B23E6D" w:rsidRDefault="00B23E6D" w:rsidP="000E5681">
      <w:pPr>
        <w:rPr>
          <w:rFonts w:cstheme="minorHAnsi"/>
        </w:rPr>
      </w:pPr>
    </w:p>
    <w:sectPr w:rsidR="00B23E6D" w:rsidRPr="00B23E6D" w:rsidSect="00B5687E">
      <w:headerReference w:type="even" r:id="rId45"/>
      <w:headerReference w:type="default" r:id="rId46"/>
      <w:headerReference w:type="first" r:id="rId4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6590" w14:textId="77777777" w:rsidR="002B1779" w:rsidRDefault="002B1779" w:rsidP="00392386">
      <w:pPr>
        <w:spacing w:after="0" w:line="240" w:lineRule="auto"/>
      </w:pPr>
      <w:r>
        <w:separator/>
      </w:r>
    </w:p>
  </w:endnote>
  <w:endnote w:type="continuationSeparator" w:id="0">
    <w:p w14:paraId="4543B2D8" w14:textId="77777777" w:rsidR="002B1779" w:rsidRDefault="002B1779" w:rsidP="003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91065"/>
      <w:docPartObj>
        <w:docPartGallery w:val="Page Numbers (Bottom of Page)"/>
        <w:docPartUnique/>
      </w:docPartObj>
    </w:sdtPr>
    <w:sdtEndPr>
      <w:rPr>
        <w:noProof/>
      </w:rPr>
    </w:sdtEndPr>
    <w:sdtContent>
      <w:p w14:paraId="0A767BF1" w14:textId="0858195D" w:rsidR="00A31EDC" w:rsidRDefault="00A31EDC">
        <w:pPr>
          <w:pStyle w:val="Footer"/>
          <w:jc w:val="right"/>
        </w:pPr>
        <w:r>
          <w:fldChar w:fldCharType="begin"/>
        </w:r>
        <w:r>
          <w:instrText xml:space="preserve"> PAGE   \* MERGEFORMAT </w:instrText>
        </w:r>
        <w:r>
          <w:fldChar w:fldCharType="separate"/>
        </w:r>
        <w:r w:rsidR="006106AA">
          <w:rPr>
            <w:noProof/>
          </w:rPr>
          <w:t>11</w:t>
        </w:r>
        <w:r>
          <w:rPr>
            <w:noProof/>
          </w:rPr>
          <w:fldChar w:fldCharType="end"/>
        </w:r>
      </w:p>
    </w:sdtContent>
  </w:sdt>
  <w:p w14:paraId="635B03D9" w14:textId="77777777" w:rsidR="00A31EDC" w:rsidRDefault="00A3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61F2A" w14:textId="77777777" w:rsidR="002B1779" w:rsidRDefault="002B1779" w:rsidP="00392386">
      <w:pPr>
        <w:spacing w:after="0" w:line="240" w:lineRule="auto"/>
      </w:pPr>
      <w:r>
        <w:separator/>
      </w:r>
    </w:p>
  </w:footnote>
  <w:footnote w:type="continuationSeparator" w:id="0">
    <w:p w14:paraId="718B72AC" w14:textId="77777777" w:rsidR="002B1779" w:rsidRDefault="002B1779" w:rsidP="0039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48B1" w14:textId="4FE9CED2" w:rsidR="006106AA" w:rsidRDefault="002B1779">
    <w:pPr>
      <w:pStyle w:val="Header"/>
    </w:pPr>
    <w:r>
      <w:rPr>
        <w:noProof/>
      </w:rPr>
      <w:pict w14:anchorId="013B0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38"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49ED" w14:textId="282B4E76" w:rsidR="00392386" w:rsidRPr="00392386" w:rsidRDefault="00392386" w:rsidP="00392386">
    <w:pPr>
      <w:rPr>
        <w:rFonts w:cstheme="minorHAnsi"/>
        <w:i/>
      </w:rPr>
    </w:pPr>
    <w:r>
      <w:rPr>
        <w:rFonts w:cstheme="minorHAnsi"/>
        <w:i/>
      </w:rPr>
      <w:t>Appendix A</w:t>
    </w:r>
    <w:r w:rsidR="00034C63">
      <w:rPr>
        <w:rFonts w:cstheme="minorHAnsi"/>
        <w:i/>
      </w:rPr>
      <w:t xml:space="preserve">: </w:t>
    </w:r>
    <w:r>
      <w:rPr>
        <w:rFonts w:cstheme="minorHAnsi"/>
        <w:i/>
      </w:rPr>
      <w:t>Subject Matter Knowledge Tools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F2F1" w14:textId="4BD14188" w:rsidR="006106AA" w:rsidRDefault="002B1779">
    <w:pPr>
      <w:pStyle w:val="Header"/>
    </w:pPr>
    <w:r>
      <w:rPr>
        <w:noProof/>
      </w:rPr>
      <w:pict w14:anchorId="66184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37"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A245" w14:textId="20BD7F57" w:rsidR="006106AA" w:rsidRDefault="002B1779">
    <w:pPr>
      <w:pStyle w:val="Header"/>
    </w:pPr>
    <w:r>
      <w:rPr>
        <w:noProof/>
      </w:rPr>
      <w:pict w14:anchorId="559DC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41" o:spid="_x0000_s2053" type="#_x0000_t136" style="position:absolute;margin-left:0;margin-top:0;width:507.6pt;height:152.25pt;rotation:315;z-index:-251649024;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1E1B" w14:textId="206DD4D1" w:rsidR="00034C63" w:rsidRPr="009436E5" w:rsidRDefault="00034C63" w:rsidP="00034C63">
    <w:pPr>
      <w:rPr>
        <w:rFonts w:cstheme="minorHAnsi"/>
        <w:i/>
      </w:rPr>
    </w:pPr>
    <w:r>
      <w:rPr>
        <w:rFonts w:cstheme="minorHAnsi"/>
        <w:i/>
      </w:rPr>
      <w:t>Appendix B: Projected MTEL Test Development Schedule</w:t>
    </w:r>
  </w:p>
  <w:p w14:paraId="20DB699A" w14:textId="1C6EF903" w:rsidR="00034C63" w:rsidRPr="00034C63" w:rsidRDefault="00034C63" w:rsidP="00034C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6565" w14:textId="0377DD8E" w:rsidR="006106AA" w:rsidRDefault="002B1779">
    <w:pPr>
      <w:pStyle w:val="Header"/>
    </w:pPr>
    <w:r>
      <w:rPr>
        <w:noProof/>
      </w:rPr>
      <w:pict w14:anchorId="7931B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40" o:spid="_x0000_s2052" type="#_x0000_t136" style="position:absolute;margin-left:0;margin-top:0;width:507.6pt;height:152.25pt;rotation:315;z-index:-251651072;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5BEC" w14:textId="34FD6476" w:rsidR="006106AA" w:rsidRDefault="002B1779">
    <w:pPr>
      <w:pStyle w:val="Header"/>
    </w:pPr>
    <w:r>
      <w:rPr>
        <w:noProof/>
      </w:rPr>
      <w:pict w14:anchorId="6FF8C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44" o:spid="_x0000_s2056" type="#_x0000_t136" style="position:absolute;margin-left:0;margin-top:0;width:507.6pt;height:152.25pt;rotation:315;z-index:-25164288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25FF" w14:textId="308A287F" w:rsidR="00801BC7" w:rsidRPr="009436E5" w:rsidRDefault="00801BC7" w:rsidP="00801BC7">
    <w:pPr>
      <w:rPr>
        <w:rFonts w:cstheme="minorHAnsi"/>
        <w:i/>
      </w:rPr>
    </w:pPr>
    <w:r w:rsidRPr="009436E5">
      <w:rPr>
        <w:rFonts w:cstheme="minorHAnsi"/>
        <w:i/>
      </w:rPr>
      <w:t xml:space="preserve">Appendix </w:t>
    </w:r>
    <w:r w:rsidR="00736371">
      <w:rPr>
        <w:rFonts w:cstheme="minorHAnsi"/>
        <w:i/>
      </w:rPr>
      <w:t>C:</w:t>
    </w:r>
    <w:r>
      <w:rPr>
        <w:rFonts w:cstheme="minorHAnsi"/>
        <w:i/>
      </w:rPr>
      <w:t xml:space="preserve"> Required Statement of Assurance</w:t>
    </w:r>
  </w:p>
  <w:p w14:paraId="684CEFEC" w14:textId="77777777" w:rsidR="00801BC7" w:rsidRPr="00034C63" w:rsidRDefault="00801BC7" w:rsidP="00034C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2288" w14:textId="0E8F2D0F" w:rsidR="006106AA" w:rsidRDefault="002B1779">
    <w:pPr>
      <w:pStyle w:val="Header"/>
    </w:pPr>
    <w:r>
      <w:rPr>
        <w:noProof/>
      </w:rPr>
      <w:pict w14:anchorId="493EF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022443" o:spid="_x0000_s2055" type="#_x0000_t136" style="position:absolute;margin-left:0;margin-top:0;width:507.6pt;height:152.25pt;rotation:315;z-index:-251644928;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4403"/>
    <w:multiLevelType w:val="hybridMultilevel"/>
    <w:tmpl w:val="C178B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2EDC"/>
    <w:multiLevelType w:val="hybridMultilevel"/>
    <w:tmpl w:val="D4821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85F72"/>
    <w:multiLevelType w:val="hybridMultilevel"/>
    <w:tmpl w:val="AD30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73BD"/>
    <w:multiLevelType w:val="hybridMultilevel"/>
    <w:tmpl w:val="B874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2F32"/>
    <w:multiLevelType w:val="hybridMultilevel"/>
    <w:tmpl w:val="8EA4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5579"/>
    <w:multiLevelType w:val="hybridMultilevel"/>
    <w:tmpl w:val="8CAE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163F1"/>
    <w:multiLevelType w:val="hybridMultilevel"/>
    <w:tmpl w:val="B2945CBA"/>
    <w:lvl w:ilvl="0" w:tplc="A7DC2862">
      <w:start w:val="1"/>
      <w:numFmt w:val="decimal"/>
      <w:lvlText w:val="%1)"/>
      <w:lvlJc w:val="left"/>
      <w:pPr>
        <w:ind w:left="720" w:hanging="360"/>
      </w:pPr>
      <w:rPr>
        <w:rFonts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CB7643"/>
    <w:multiLevelType w:val="hybridMultilevel"/>
    <w:tmpl w:val="875E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B56C1"/>
    <w:multiLevelType w:val="hybridMultilevel"/>
    <w:tmpl w:val="045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B0FC8"/>
    <w:multiLevelType w:val="hybridMultilevel"/>
    <w:tmpl w:val="315C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A493D"/>
    <w:multiLevelType w:val="hybridMultilevel"/>
    <w:tmpl w:val="51B4C44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8BA3206"/>
    <w:multiLevelType w:val="hybridMultilevel"/>
    <w:tmpl w:val="5B1CC7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40885"/>
    <w:multiLevelType w:val="hybridMultilevel"/>
    <w:tmpl w:val="072E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A1302"/>
    <w:multiLevelType w:val="hybridMultilevel"/>
    <w:tmpl w:val="CA52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355AB"/>
    <w:multiLevelType w:val="hybridMultilevel"/>
    <w:tmpl w:val="729C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5"/>
  </w:num>
  <w:num w:numId="5">
    <w:abstractNumId w:val="0"/>
  </w:num>
  <w:num w:numId="6">
    <w:abstractNumId w:val="3"/>
  </w:num>
  <w:num w:numId="7">
    <w:abstractNumId w:val="7"/>
  </w:num>
  <w:num w:numId="8">
    <w:abstractNumId w:val="1"/>
  </w:num>
  <w:num w:numId="9">
    <w:abstractNumId w:val="11"/>
  </w:num>
  <w:num w:numId="10">
    <w:abstractNumId w:val="8"/>
  </w:num>
  <w:num w:numId="11">
    <w:abstractNumId w:val="9"/>
  </w:num>
  <w:num w:numId="12">
    <w:abstractNumId w:val="13"/>
  </w:num>
  <w:num w:numId="13">
    <w:abstractNumId w:val="10"/>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8CMGWJVYYcUqTgDeoABoTegdSpqZIyi1JeaklxULMd/kCz4E1GtcHDMzKyHMD1AjZuH90pvwpJd/cPItiiD6w==" w:salt="U7WSq5M9x6uj2/0NKkAERg=="/>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FA"/>
    <w:rsid w:val="000135CA"/>
    <w:rsid w:val="00034C63"/>
    <w:rsid w:val="000447C0"/>
    <w:rsid w:val="0005310B"/>
    <w:rsid w:val="00054829"/>
    <w:rsid w:val="0005665E"/>
    <w:rsid w:val="00074DD6"/>
    <w:rsid w:val="00084415"/>
    <w:rsid w:val="00087D41"/>
    <w:rsid w:val="00093F2B"/>
    <w:rsid w:val="000A50F1"/>
    <w:rsid w:val="000B7013"/>
    <w:rsid w:val="000C54C3"/>
    <w:rsid w:val="000E527D"/>
    <w:rsid w:val="000E5681"/>
    <w:rsid w:val="000E59F2"/>
    <w:rsid w:val="000E600E"/>
    <w:rsid w:val="000F14F4"/>
    <w:rsid w:val="0010642D"/>
    <w:rsid w:val="00107446"/>
    <w:rsid w:val="00116691"/>
    <w:rsid w:val="00117466"/>
    <w:rsid w:val="00141675"/>
    <w:rsid w:val="001473CA"/>
    <w:rsid w:val="00163689"/>
    <w:rsid w:val="001802DD"/>
    <w:rsid w:val="00180DD9"/>
    <w:rsid w:val="001978CA"/>
    <w:rsid w:val="001A433B"/>
    <w:rsid w:val="001C029E"/>
    <w:rsid w:val="001C4017"/>
    <w:rsid w:val="001C5BF0"/>
    <w:rsid w:val="001C65B2"/>
    <w:rsid w:val="001C76A6"/>
    <w:rsid w:val="001D521D"/>
    <w:rsid w:val="001F545B"/>
    <w:rsid w:val="001F65D3"/>
    <w:rsid w:val="00212E64"/>
    <w:rsid w:val="0021484D"/>
    <w:rsid w:val="002301DE"/>
    <w:rsid w:val="002363AB"/>
    <w:rsid w:val="00237387"/>
    <w:rsid w:val="002608E7"/>
    <w:rsid w:val="00263D64"/>
    <w:rsid w:val="002651E2"/>
    <w:rsid w:val="00265AB6"/>
    <w:rsid w:val="00281656"/>
    <w:rsid w:val="00287FDE"/>
    <w:rsid w:val="00297894"/>
    <w:rsid w:val="002A4AEF"/>
    <w:rsid w:val="002B1779"/>
    <w:rsid w:val="002B4188"/>
    <w:rsid w:val="002D1E48"/>
    <w:rsid w:val="002F283F"/>
    <w:rsid w:val="003107A5"/>
    <w:rsid w:val="00310F0E"/>
    <w:rsid w:val="00317761"/>
    <w:rsid w:val="00337094"/>
    <w:rsid w:val="00337934"/>
    <w:rsid w:val="003555DB"/>
    <w:rsid w:val="00361DAA"/>
    <w:rsid w:val="00362DE0"/>
    <w:rsid w:val="00370322"/>
    <w:rsid w:val="00371890"/>
    <w:rsid w:val="0038133E"/>
    <w:rsid w:val="0039078D"/>
    <w:rsid w:val="00391FCE"/>
    <w:rsid w:val="00392386"/>
    <w:rsid w:val="003C2E19"/>
    <w:rsid w:val="003D0D84"/>
    <w:rsid w:val="003E3438"/>
    <w:rsid w:val="003F19A3"/>
    <w:rsid w:val="003F5B63"/>
    <w:rsid w:val="00424433"/>
    <w:rsid w:val="00425760"/>
    <w:rsid w:val="0043423E"/>
    <w:rsid w:val="004360F1"/>
    <w:rsid w:val="0048400E"/>
    <w:rsid w:val="00496B96"/>
    <w:rsid w:val="004C0AEF"/>
    <w:rsid w:val="004C2366"/>
    <w:rsid w:val="005304B2"/>
    <w:rsid w:val="005305B5"/>
    <w:rsid w:val="00550298"/>
    <w:rsid w:val="00551086"/>
    <w:rsid w:val="00553597"/>
    <w:rsid w:val="00555A32"/>
    <w:rsid w:val="005640C0"/>
    <w:rsid w:val="00580F65"/>
    <w:rsid w:val="00585D31"/>
    <w:rsid w:val="005B1259"/>
    <w:rsid w:val="005B73EF"/>
    <w:rsid w:val="005D65A0"/>
    <w:rsid w:val="005E05EA"/>
    <w:rsid w:val="005E186F"/>
    <w:rsid w:val="005F0835"/>
    <w:rsid w:val="005F18B4"/>
    <w:rsid w:val="00605331"/>
    <w:rsid w:val="006079C8"/>
    <w:rsid w:val="006106AA"/>
    <w:rsid w:val="00614020"/>
    <w:rsid w:val="00625EF6"/>
    <w:rsid w:val="00665AF9"/>
    <w:rsid w:val="006761A5"/>
    <w:rsid w:val="00682B5E"/>
    <w:rsid w:val="006B0590"/>
    <w:rsid w:val="006C077A"/>
    <w:rsid w:val="006C1245"/>
    <w:rsid w:val="006C137A"/>
    <w:rsid w:val="006C2035"/>
    <w:rsid w:val="00723E2C"/>
    <w:rsid w:val="00730792"/>
    <w:rsid w:val="00736371"/>
    <w:rsid w:val="00740878"/>
    <w:rsid w:val="007457FB"/>
    <w:rsid w:val="00746139"/>
    <w:rsid w:val="007539CB"/>
    <w:rsid w:val="00755912"/>
    <w:rsid w:val="0077471E"/>
    <w:rsid w:val="007858E5"/>
    <w:rsid w:val="00792620"/>
    <w:rsid w:val="007934DE"/>
    <w:rsid w:val="007960FB"/>
    <w:rsid w:val="007C69C5"/>
    <w:rsid w:val="00801BC7"/>
    <w:rsid w:val="00806D2E"/>
    <w:rsid w:val="00811A6E"/>
    <w:rsid w:val="00825104"/>
    <w:rsid w:val="008310C7"/>
    <w:rsid w:val="00836914"/>
    <w:rsid w:val="008369CE"/>
    <w:rsid w:val="00840C5F"/>
    <w:rsid w:val="00850E29"/>
    <w:rsid w:val="0086725A"/>
    <w:rsid w:val="00873AE6"/>
    <w:rsid w:val="00874A6C"/>
    <w:rsid w:val="008A07F3"/>
    <w:rsid w:val="008B01D3"/>
    <w:rsid w:val="008C7A36"/>
    <w:rsid w:val="008D06F6"/>
    <w:rsid w:val="008E5939"/>
    <w:rsid w:val="008F3BA4"/>
    <w:rsid w:val="00907355"/>
    <w:rsid w:val="009110BC"/>
    <w:rsid w:val="0092194E"/>
    <w:rsid w:val="009436E5"/>
    <w:rsid w:val="00943753"/>
    <w:rsid w:val="009525C6"/>
    <w:rsid w:val="0096156D"/>
    <w:rsid w:val="0096628A"/>
    <w:rsid w:val="00970FB5"/>
    <w:rsid w:val="00974682"/>
    <w:rsid w:val="0098553D"/>
    <w:rsid w:val="009A55B8"/>
    <w:rsid w:val="009A6678"/>
    <w:rsid w:val="009F1E02"/>
    <w:rsid w:val="009F65FA"/>
    <w:rsid w:val="00A0214A"/>
    <w:rsid w:val="00A11AC4"/>
    <w:rsid w:val="00A31EDC"/>
    <w:rsid w:val="00A34380"/>
    <w:rsid w:val="00A404E1"/>
    <w:rsid w:val="00A473A4"/>
    <w:rsid w:val="00A54148"/>
    <w:rsid w:val="00A57122"/>
    <w:rsid w:val="00AA03AC"/>
    <w:rsid w:val="00AA52C0"/>
    <w:rsid w:val="00AB3607"/>
    <w:rsid w:val="00AD1223"/>
    <w:rsid w:val="00AD7819"/>
    <w:rsid w:val="00AE1EC0"/>
    <w:rsid w:val="00AE792D"/>
    <w:rsid w:val="00B03701"/>
    <w:rsid w:val="00B1188F"/>
    <w:rsid w:val="00B120E3"/>
    <w:rsid w:val="00B139D7"/>
    <w:rsid w:val="00B146CA"/>
    <w:rsid w:val="00B21246"/>
    <w:rsid w:val="00B23E6D"/>
    <w:rsid w:val="00B5687E"/>
    <w:rsid w:val="00B6365E"/>
    <w:rsid w:val="00B8103E"/>
    <w:rsid w:val="00B9211F"/>
    <w:rsid w:val="00BA4FDC"/>
    <w:rsid w:val="00BC25FB"/>
    <w:rsid w:val="00BE1EF5"/>
    <w:rsid w:val="00BF3710"/>
    <w:rsid w:val="00C00E9D"/>
    <w:rsid w:val="00C17C7D"/>
    <w:rsid w:val="00C23454"/>
    <w:rsid w:val="00C237E5"/>
    <w:rsid w:val="00C2638A"/>
    <w:rsid w:val="00C51673"/>
    <w:rsid w:val="00C5721E"/>
    <w:rsid w:val="00C6246A"/>
    <w:rsid w:val="00C65BFA"/>
    <w:rsid w:val="00C95EB8"/>
    <w:rsid w:val="00CA0F44"/>
    <w:rsid w:val="00CA73D6"/>
    <w:rsid w:val="00CC261A"/>
    <w:rsid w:val="00CD0288"/>
    <w:rsid w:val="00CD20FE"/>
    <w:rsid w:val="00CF103E"/>
    <w:rsid w:val="00CF16AB"/>
    <w:rsid w:val="00D101B0"/>
    <w:rsid w:val="00D15F4C"/>
    <w:rsid w:val="00D42EEC"/>
    <w:rsid w:val="00D57FB4"/>
    <w:rsid w:val="00D60935"/>
    <w:rsid w:val="00D73ACF"/>
    <w:rsid w:val="00E411A1"/>
    <w:rsid w:val="00E4189F"/>
    <w:rsid w:val="00E64D4B"/>
    <w:rsid w:val="00E72B14"/>
    <w:rsid w:val="00E94258"/>
    <w:rsid w:val="00EA4CA0"/>
    <w:rsid w:val="00EB2971"/>
    <w:rsid w:val="00EC6D8B"/>
    <w:rsid w:val="00EC73DC"/>
    <w:rsid w:val="00F042AD"/>
    <w:rsid w:val="00F07296"/>
    <w:rsid w:val="00F073F5"/>
    <w:rsid w:val="00F176F6"/>
    <w:rsid w:val="00F67CCD"/>
    <w:rsid w:val="00F7380A"/>
    <w:rsid w:val="00F90D34"/>
    <w:rsid w:val="00FA3E50"/>
    <w:rsid w:val="00FB4476"/>
    <w:rsid w:val="00FB794C"/>
    <w:rsid w:val="00FF0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B40678A"/>
  <w15:chartTrackingRefBased/>
  <w15:docId w15:val="{6CC82100-1D43-4B6D-9169-1B21E4CC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301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1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CA0"/>
    <w:rPr>
      <w:color w:val="0000FF"/>
      <w:u w:val="single"/>
    </w:rPr>
  </w:style>
  <w:style w:type="paragraph" w:styleId="ListParagraph">
    <w:name w:val="List Paragraph"/>
    <w:basedOn w:val="Normal"/>
    <w:link w:val="ListParagraphChar"/>
    <w:uiPriority w:val="34"/>
    <w:qFormat/>
    <w:rsid w:val="00811A6E"/>
    <w:pPr>
      <w:spacing w:after="200" w:line="276" w:lineRule="auto"/>
      <w:ind w:left="720"/>
      <w:contextualSpacing/>
    </w:pPr>
  </w:style>
  <w:style w:type="paragraph" w:styleId="IntenseQuote">
    <w:name w:val="Intense Quote"/>
    <w:basedOn w:val="Normal"/>
    <w:next w:val="Normal"/>
    <w:link w:val="IntenseQuoteChar"/>
    <w:uiPriority w:val="30"/>
    <w:qFormat/>
    <w:rsid w:val="00FA3E50"/>
    <w:pPr>
      <w:pBdr>
        <w:bottom w:val="single" w:sz="4" w:space="4" w:color="4F81BD"/>
      </w:pBdr>
      <w:spacing w:before="80" w:line="240" w:lineRule="auto"/>
      <w:ind w:right="936"/>
    </w:pPr>
    <w:rPr>
      <w:rFonts w:ascii="Calibri" w:eastAsia="Times New Roman" w:hAnsi="Calibri" w:cs="Times New Roman"/>
      <w:bCs/>
      <w:i/>
      <w:iCs/>
      <w:color w:val="1F497D"/>
      <w:szCs w:val="24"/>
    </w:rPr>
  </w:style>
  <w:style w:type="character" w:customStyle="1" w:styleId="IntenseQuoteChar">
    <w:name w:val="Intense Quote Char"/>
    <w:basedOn w:val="DefaultParagraphFont"/>
    <w:link w:val="IntenseQuote"/>
    <w:uiPriority w:val="30"/>
    <w:rsid w:val="00FA3E50"/>
    <w:rPr>
      <w:rFonts w:ascii="Calibri" w:eastAsia="Times New Roman" w:hAnsi="Calibri" w:cs="Times New Roman"/>
      <w:bCs/>
      <w:i/>
      <w:iCs/>
      <w:color w:val="1F497D"/>
      <w:szCs w:val="24"/>
    </w:rPr>
  </w:style>
  <w:style w:type="character" w:styleId="FollowedHyperlink">
    <w:name w:val="FollowedHyperlink"/>
    <w:basedOn w:val="DefaultParagraphFont"/>
    <w:uiPriority w:val="99"/>
    <w:semiHidden/>
    <w:unhideWhenUsed/>
    <w:rsid w:val="00825104"/>
    <w:rPr>
      <w:color w:val="954F72" w:themeColor="followedHyperlink"/>
      <w:u w:val="single"/>
    </w:rPr>
  </w:style>
  <w:style w:type="character" w:styleId="IntenseEmphasis">
    <w:name w:val="Intense Emphasis"/>
    <w:basedOn w:val="DefaultParagraphFont"/>
    <w:uiPriority w:val="21"/>
    <w:qFormat/>
    <w:rsid w:val="00A57122"/>
    <w:rPr>
      <w:i/>
      <w:iCs/>
      <w:color w:val="5B9BD5" w:themeColor="accent1"/>
    </w:rPr>
  </w:style>
  <w:style w:type="paragraph" w:styleId="NormalWeb">
    <w:name w:val="Normal (Web)"/>
    <w:basedOn w:val="Normal"/>
    <w:uiPriority w:val="99"/>
    <w:unhideWhenUsed/>
    <w:rsid w:val="00AE79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029E"/>
    <w:rPr>
      <w:sz w:val="16"/>
      <w:szCs w:val="16"/>
    </w:rPr>
  </w:style>
  <w:style w:type="paragraph" w:styleId="CommentText">
    <w:name w:val="annotation text"/>
    <w:basedOn w:val="Normal"/>
    <w:link w:val="CommentTextChar"/>
    <w:uiPriority w:val="99"/>
    <w:semiHidden/>
    <w:unhideWhenUsed/>
    <w:rsid w:val="001C029E"/>
    <w:pPr>
      <w:spacing w:line="240" w:lineRule="auto"/>
    </w:pPr>
    <w:rPr>
      <w:sz w:val="20"/>
      <w:szCs w:val="20"/>
    </w:rPr>
  </w:style>
  <w:style w:type="character" w:customStyle="1" w:styleId="CommentTextChar">
    <w:name w:val="Comment Text Char"/>
    <w:basedOn w:val="DefaultParagraphFont"/>
    <w:link w:val="CommentText"/>
    <w:uiPriority w:val="99"/>
    <w:semiHidden/>
    <w:rsid w:val="001C029E"/>
    <w:rPr>
      <w:sz w:val="20"/>
      <w:szCs w:val="20"/>
    </w:rPr>
  </w:style>
  <w:style w:type="paragraph" w:styleId="CommentSubject">
    <w:name w:val="annotation subject"/>
    <w:basedOn w:val="CommentText"/>
    <w:next w:val="CommentText"/>
    <w:link w:val="CommentSubjectChar"/>
    <w:uiPriority w:val="99"/>
    <w:semiHidden/>
    <w:unhideWhenUsed/>
    <w:rsid w:val="001C029E"/>
    <w:rPr>
      <w:b/>
      <w:bCs/>
    </w:rPr>
  </w:style>
  <w:style w:type="character" w:customStyle="1" w:styleId="CommentSubjectChar">
    <w:name w:val="Comment Subject Char"/>
    <w:basedOn w:val="CommentTextChar"/>
    <w:link w:val="CommentSubject"/>
    <w:uiPriority w:val="99"/>
    <w:semiHidden/>
    <w:rsid w:val="001C029E"/>
    <w:rPr>
      <w:b/>
      <w:bCs/>
      <w:sz w:val="20"/>
      <w:szCs w:val="20"/>
    </w:rPr>
  </w:style>
  <w:style w:type="paragraph" w:styleId="BalloonText">
    <w:name w:val="Balloon Text"/>
    <w:basedOn w:val="Normal"/>
    <w:link w:val="BalloonTextChar"/>
    <w:uiPriority w:val="99"/>
    <w:semiHidden/>
    <w:unhideWhenUsed/>
    <w:rsid w:val="001C0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29E"/>
    <w:rPr>
      <w:rFonts w:ascii="Segoe UI" w:hAnsi="Segoe UI" w:cs="Segoe UI"/>
      <w:sz w:val="18"/>
      <w:szCs w:val="18"/>
    </w:rPr>
  </w:style>
  <w:style w:type="character" w:customStyle="1" w:styleId="Heading2Char">
    <w:name w:val="Heading 2 Char"/>
    <w:basedOn w:val="DefaultParagraphFont"/>
    <w:link w:val="Heading2"/>
    <w:uiPriority w:val="9"/>
    <w:rsid w:val="002301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1D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B360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ghtList-Accent1">
    <w:name w:val="Light List Accent 1"/>
    <w:basedOn w:val="TableNormal"/>
    <w:uiPriority w:val="61"/>
    <w:rsid w:val="00B5687E"/>
    <w:pPr>
      <w:spacing w:after="0" w:line="240" w:lineRule="auto"/>
    </w:pPr>
    <w:rPr>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39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386"/>
  </w:style>
  <w:style w:type="paragraph" w:styleId="Footer">
    <w:name w:val="footer"/>
    <w:basedOn w:val="Normal"/>
    <w:link w:val="FooterChar"/>
    <w:uiPriority w:val="99"/>
    <w:unhideWhenUsed/>
    <w:rsid w:val="0039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386"/>
  </w:style>
  <w:style w:type="character" w:customStyle="1" w:styleId="ListParagraphChar">
    <w:name w:val="List Paragraph Char"/>
    <w:link w:val="ListParagraph"/>
    <w:uiPriority w:val="34"/>
    <w:rsid w:val="0039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9016">
      <w:bodyDiv w:val="1"/>
      <w:marLeft w:val="0"/>
      <w:marRight w:val="0"/>
      <w:marTop w:val="0"/>
      <w:marBottom w:val="0"/>
      <w:divBdr>
        <w:top w:val="none" w:sz="0" w:space="0" w:color="auto"/>
        <w:left w:val="none" w:sz="0" w:space="0" w:color="auto"/>
        <w:bottom w:val="none" w:sz="0" w:space="0" w:color="auto"/>
        <w:right w:val="none" w:sz="0" w:space="0" w:color="auto"/>
      </w:divBdr>
    </w:div>
    <w:div w:id="551042100">
      <w:bodyDiv w:val="1"/>
      <w:marLeft w:val="0"/>
      <w:marRight w:val="0"/>
      <w:marTop w:val="0"/>
      <w:marBottom w:val="0"/>
      <w:divBdr>
        <w:top w:val="none" w:sz="0" w:space="0" w:color="auto"/>
        <w:left w:val="none" w:sz="0" w:space="0" w:color="auto"/>
        <w:bottom w:val="none" w:sz="0" w:space="0" w:color="auto"/>
        <w:right w:val="none" w:sz="0" w:space="0" w:color="auto"/>
      </w:divBdr>
    </w:div>
    <w:div w:id="779569961">
      <w:bodyDiv w:val="1"/>
      <w:marLeft w:val="0"/>
      <w:marRight w:val="0"/>
      <w:marTop w:val="0"/>
      <w:marBottom w:val="0"/>
      <w:divBdr>
        <w:top w:val="none" w:sz="0" w:space="0" w:color="auto"/>
        <w:left w:val="none" w:sz="0" w:space="0" w:color="auto"/>
        <w:bottom w:val="none" w:sz="0" w:space="0" w:color="auto"/>
        <w:right w:val="none" w:sz="0" w:space="0" w:color="auto"/>
      </w:divBdr>
    </w:div>
    <w:div w:id="990988107">
      <w:bodyDiv w:val="1"/>
      <w:marLeft w:val="0"/>
      <w:marRight w:val="0"/>
      <w:marTop w:val="0"/>
      <w:marBottom w:val="0"/>
      <w:divBdr>
        <w:top w:val="none" w:sz="0" w:space="0" w:color="auto"/>
        <w:left w:val="none" w:sz="0" w:space="0" w:color="auto"/>
        <w:bottom w:val="none" w:sz="0" w:space="0" w:color="auto"/>
        <w:right w:val="none" w:sz="0" w:space="0" w:color="auto"/>
      </w:divBdr>
    </w:div>
    <w:div w:id="1120108342">
      <w:bodyDiv w:val="1"/>
      <w:marLeft w:val="0"/>
      <w:marRight w:val="0"/>
      <w:marTop w:val="0"/>
      <w:marBottom w:val="0"/>
      <w:divBdr>
        <w:top w:val="none" w:sz="0" w:space="0" w:color="auto"/>
        <w:left w:val="none" w:sz="0" w:space="0" w:color="auto"/>
        <w:bottom w:val="none" w:sz="0" w:space="0" w:color="auto"/>
        <w:right w:val="none" w:sz="0" w:space="0" w:color="auto"/>
      </w:divBdr>
    </w:div>
    <w:div w:id="18984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edprep/advisories/TeachersGuidelines.docx" TargetMode="External"/><Relationship Id="rId18" Type="http://schemas.openxmlformats.org/officeDocument/2006/relationships/hyperlink" Target="http://www.doe.mass.edu/frameworks/observation/" TargetMode="External"/><Relationship Id="rId26" Type="http://schemas.openxmlformats.org/officeDocument/2006/relationships/hyperlink" Target="http://www.doe.mass.edu/edprep/pst/" TargetMode="External"/><Relationship Id="rId39" Type="http://schemas.openxmlformats.org/officeDocument/2006/relationships/hyperlink" Target="http://www.doe.mass.edu/mtel/testrequire.html" TargetMode="External"/><Relationship Id="rId3" Type="http://schemas.openxmlformats.org/officeDocument/2006/relationships/customXml" Target="../customXml/item3.xml"/><Relationship Id="rId21" Type="http://schemas.openxmlformats.org/officeDocument/2006/relationships/hyperlink" Target="http://www.doe.mass.edu/frameworks/"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header" Target="header9.xml"/><Relationship Id="rId7" Type="http://schemas.openxmlformats.org/officeDocument/2006/relationships/styles" Target="styles.xml"/><Relationship Id="rId12" Type="http://schemas.openxmlformats.org/officeDocument/2006/relationships/hyperlink" Target="http://www.doe.mass.edu/edprep/resources/smk-guidelines.pdf" TargetMode="External"/><Relationship Id="rId17" Type="http://schemas.openxmlformats.org/officeDocument/2006/relationships/hyperlink" Target="http://www.doe.mass.edu/instruction/" TargetMode="External"/><Relationship Id="rId25" Type="http://schemas.openxmlformats.org/officeDocument/2006/relationships/hyperlink" Target="http://www.doe.mass.edu/edeval/model/" TargetMode="External"/><Relationship Id="rId33" Type="http://schemas.openxmlformats.org/officeDocument/2006/relationships/header" Target="header2.xml"/><Relationship Id="rId38" Type="http://schemas.openxmlformats.org/officeDocument/2006/relationships/hyperlink" Target="http://www.doe.mass.edu/mtel/"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doe.mass.edu/frameworks/" TargetMode="External"/><Relationship Id="rId20" Type="http://schemas.openxmlformats.org/officeDocument/2006/relationships/hyperlink" Target="http://www.doe.mass.edu/frameworks/ela/2017-06.pdf" TargetMode="External"/><Relationship Id="rId29" Type="http://schemas.openxmlformats.org/officeDocument/2006/relationships/hyperlink" Target="http://www.doe.mass.edu/edeval"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prep/cap/" TargetMode="External"/><Relationship Id="rId32" Type="http://schemas.openxmlformats.org/officeDocument/2006/relationships/header" Target="header1.xml"/><Relationship Id="rId37" Type="http://schemas.openxmlformats.org/officeDocument/2006/relationships/hyperlink" Target="http://www.doe.mass.edu/frameworks/dlcs.docx" TargetMode="External"/><Relationship Id="rId40" Type="http://schemas.openxmlformats.org/officeDocument/2006/relationships/header" Target="header4.xm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www.doe.mass.edu/edprep/resources/pre-practicum.docx" TargetMode="External"/><Relationship Id="rId23" Type="http://schemas.openxmlformats.org/officeDocument/2006/relationships/hyperlink" Target="http://www.doe.mass.edu/edprep/resources/pre-practicum.docx" TargetMode="External"/><Relationship Id="rId28" Type="http://schemas.openxmlformats.org/officeDocument/2006/relationships/hyperlink" Target="http://www.doe.mass.edu/lawsregs/603cmr7.html?section=03" TargetMode="External"/><Relationship Id="rId36" Type="http://schemas.openxmlformats.org/officeDocument/2006/relationships/hyperlink" Target="http://www.doe.mass.edu/frameworks/ela/2017-06.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frameworks/ela/wsa/" TargetMode="External"/><Relationship Id="rId31" Type="http://schemas.openxmlformats.org/officeDocument/2006/relationships/hyperlink" Target="http://www.doe.mass.edu/instruction/curate/resources.html" TargetMode="External"/><Relationship Id="rId44" Type="http://schemas.openxmlformats.org/officeDocument/2006/relationships/hyperlink" Target="mailto:edprep@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rameworks/" TargetMode="External"/><Relationship Id="rId22" Type="http://schemas.openxmlformats.org/officeDocument/2006/relationships/hyperlink" Target="http://www.doe.mass.edu/mtel/" TargetMode="External"/><Relationship Id="rId27" Type="http://schemas.openxmlformats.org/officeDocument/2006/relationships/hyperlink" Target="http://www.doe.mass.edu/edprep/pr.html" TargetMode="External"/><Relationship Id="rId30" Type="http://schemas.openxmlformats.org/officeDocument/2006/relationships/hyperlink" Target="http://www.doe.mass.edu/edeval" TargetMode="External"/><Relationship Id="rId35" Type="http://schemas.openxmlformats.org/officeDocument/2006/relationships/header" Target="header3.xm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DESE-231-59488</_dlc_DocId>
    <_dlc_DocIdUrl xmlns="733efe1c-5bbe-4968-87dc-d400e65c879f">
      <Url>https://sharepoint.doemass.org/ese/webteam/cps/_layouts/DocIdRedir.aspx?ID=DESE-231-59488</Url>
      <Description>DESE-231-59488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70297-357D-45FD-A670-982ACB3C0D42}">
  <ds:schemaRefs>
    <ds:schemaRef ds:uri="http://schemas.microsoft.com/sharepoint/events"/>
  </ds:schemaRefs>
</ds:datastoreItem>
</file>

<file path=customXml/itemProps2.xml><?xml version="1.0" encoding="utf-8"?>
<ds:datastoreItem xmlns:ds="http://schemas.openxmlformats.org/officeDocument/2006/customXml" ds:itemID="{F9A19C47-4150-42C4-A008-0DD61EF0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7821E-9697-473E-A90C-412B56810C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BD2E020-E8D7-43BD-8D45-BDA64E19FCF7}">
  <ds:schemaRefs>
    <ds:schemaRef ds:uri="http://schemas.microsoft.com/sharepoint/v3/contenttype/forms"/>
  </ds:schemaRefs>
</ds:datastoreItem>
</file>

<file path=customXml/itemProps5.xml><?xml version="1.0" encoding="utf-8"?>
<ds:datastoreItem xmlns:ds="http://schemas.openxmlformats.org/officeDocument/2006/customXml" ds:itemID="{1AB0E9A7-4CEB-47E9-B5F4-2E1F0123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3150</Words>
  <Characters>17957</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Subject Matter Knowledge (SMK) Implementation Memo August 2018</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Matter Knowledge (SMK) Implementation Memo August 2018</dc:title>
  <dc:subject/>
  <dc:creator>DESE</dc:creator>
  <cp:keywords/>
  <dc:description/>
  <cp:lastModifiedBy>Zou, Dong (EOE)</cp:lastModifiedBy>
  <cp:revision>4</cp:revision>
  <cp:lastPrinted>2018-08-07T13:52:00Z</cp:lastPrinted>
  <dcterms:created xsi:type="dcterms:W3CDTF">2020-04-01T19:00:00Z</dcterms:created>
  <dcterms:modified xsi:type="dcterms:W3CDTF">2020-04-10T21:18:00Z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2020</vt:lpwstr>
  </property>
</Properties>
</file>