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0C" w:rsidRPr="009A6752" w:rsidRDefault="00BE610C" w:rsidP="00BE610C">
      <w:pPr>
        <w:rPr>
          <w:sz w:val="24"/>
        </w:rPr>
      </w:pPr>
      <w:r w:rsidRPr="009A6752">
        <w:rPr>
          <w:sz w:val="24"/>
        </w:rPr>
        <w:t>Batching is a way for Sponsoring Organizations (SO) to expedite the licensure process for their program completers.  SOs are not required to batch, it is simply an available option.</w:t>
      </w:r>
      <w:r w:rsidR="00EA2133">
        <w:rPr>
          <w:sz w:val="24"/>
        </w:rPr>
        <w:t xml:space="preserve"> In the past, batching has helped to expedite the licensure process for program completers from an approved </w:t>
      </w:r>
      <w:r w:rsidR="00C547BF">
        <w:rPr>
          <w:sz w:val="24"/>
        </w:rPr>
        <w:t>SO</w:t>
      </w:r>
      <w:r w:rsidR="00EA2133">
        <w:rPr>
          <w:sz w:val="24"/>
        </w:rPr>
        <w:t xml:space="preserve">. As the licensure office has significantly reduced wait times on processing, the need for batching has somewhat decreased. Now, </w:t>
      </w:r>
      <w:r w:rsidR="0047417A">
        <w:rPr>
          <w:sz w:val="24"/>
        </w:rPr>
        <w:t>the most effective route for expediting licensu</w:t>
      </w:r>
      <w:r w:rsidR="008448D8">
        <w:rPr>
          <w:sz w:val="24"/>
        </w:rPr>
        <w:t xml:space="preserve">re is through submitting an </w:t>
      </w:r>
      <w:r w:rsidR="0047417A">
        <w:rPr>
          <w:sz w:val="24"/>
        </w:rPr>
        <w:t xml:space="preserve">electronic batch. This advisory provides an overview of the entire batch process and requirements. </w:t>
      </w:r>
    </w:p>
    <w:p w:rsidR="00BE610C" w:rsidRPr="009A6752" w:rsidRDefault="00BE610C" w:rsidP="00BE610C">
      <w:pPr>
        <w:rPr>
          <w:sz w:val="24"/>
        </w:rPr>
      </w:pPr>
    </w:p>
    <w:p w:rsidR="00BE610C" w:rsidRPr="009A6752" w:rsidRDefault="00BE610C" w:rsidP="00BE610C">
      <w:pPr>
        <w:rPr>
          <w:b/>
          <w:color w:val="365F91" w:themeColor="accent1" w:themeShade="BF"/>
          <w:sz w:val="24"/>
        </w:rPr>
      </w:pPr>
      <w:r w:rsidRPr="009A6752">
        <w:rPr>
          <w:b/>
          <w:color w:val="365F91" w:themeColor="accent1" w:themeShade="BF"/>
          <w:sz w:val="24"/>
        </w:rPr>
        <w:t>Batch Processing</w:t>
      </w:r>
    </w:p>
    <w:p w:rsidR="00BE610C" w:rsidRDefault="005C40EC" w:rsidP="00BE610C">
      <w:pPr>
        <w:rPr>
          <w:sz w:val="24"/>
        </w:rPr>
      </w:pPr>
      <w:r>
        <w:rPr>
          <w:sz w:val="24"/>
        </w:rPr>
        <w:t>Applicants</w:t>
      </w:r>
      <w:r w:rsidR="00BE610C" w:rsidRPr="009A6752">
        <w:rPr>
          <w:sz w:val="24"/>
        </w:rPr>
        <w:t xml:space="preserve">, </w:t>
      </w:r>
      <w:r w:rsidR="002A3D0D">
        <w:rPr>
          <w:sz w:val="24"/>
        </w:rPr>
        <w:t>SOs</w:t>
      </w:r>
      <w:r w:rsidR="00BE610C" w:rsidRPr="009A6752">
        <w:rPr>
          <w:sz w:val="24"/>
        </w:rPr>
        <w:t xml:space="preserve"> and school districts have the ability to </w:t>
      </w:r>
      <w:hyperlink r:id="rId11" w:history="1">
        <w:r w:rsidR="00BE610C" w:rsidRPr="009A6752">
          <w:rPr>
            <w:rStyle w:val="Hyperlink"/>
            <w:sz w:val="24"/>
          </w:rPr>
          <w:t>upload supporting licensure documents</w:t>
        </w:r>
      </w:hyperlink>
      <w:r w:rsidR="00BE610C" w:rsidRPr="009A6752">
        <w:rPr>
          <w:sz w:val="24"/>
        </w:rPr>
        <w:t xml:space="preserve">, including official transcripts, directly into the applicants ELAR profile. Batches that are received by the Office of Educator Licensure (OEL) that have supporting documents </w:t>
      </w:r>
      <w:r w:rsidR="00BE610C" w:rsidRPr="009A6752">
        <w:rPr>
          <w:b/>
          <w:sz w:val="24"/>
        </w:rPr>
        <w:t>uploaded</w:t>
      </w:r>
      <w:r w:rsidR="00BE610C" w:rsidRPr="009A6752">
        <w:rPr>
          <w:sz w:val="24"/>
        </w:rPr>
        <w:t xml:space="preserve"> directly to ELAR will likely be processed in a </w:t>
      </w:r>
      <w:r w:rsidR="00BE610C" w:rsidRPr="009A6752">
        <w:rPr>
          <w:b/>
          <w:sz w:val="24"/>
        </w:rPr>
        <w:t>matter of days</w:t>
      </w:r>
      <w:r w:rsidR="00BC4C7C">
        <w:rPr>
          <w:b/>
          <w:sz w:val="24"/>
        </w:rPr>
        <w:t xml:space="preserve">. </w:t>
      </w:r>
      <w:r w:rsidR="00BC4C7C" w:rsidRPr="00BC4C7C">
        <w:rPr>
          <w:sz w:val="24"/>
        </w:rPr>
        <w:t>Organizations</w:t>
      </w:r>
      <w:r w:rsidR="00BE610C" w:rsidRPr="009A6752">
        <w:rPr>
          <w:sz w:val="24"/>
        </w:rPr>
        <w:t xml:space="preserve"> that submit </w:t>
      </w:r>
      <w:r w:rsidR="00BC4C7C">
        <w:rPr>
          <w:sz w:val="24"/>
        </w:rPr>
        <w:t xml:space="preserve">hard-copy (mail/drop-off) </w:t>
      </w:r>
      <w:r w:rsidR="00BE610C" w:rsidRPr="009A6752">
        <w:rPr>
          <w:sz w:val="24"/>
        </w:rPr>
        <w:t xml:space="preserve">supporting documents will experience a </w:t>
      </w:r>
      <w:r w:rsidR="009A6752" w:rsidRPr="009A6752">
        <w:rPr>
          <w:sz w:val="24"/>
        </w:rPr>
        <w:t xml:space="preserve">longer </w:t>
      </w:r>
      <w:r w:rsidR="00712B11" w:rsidRPr="009A6752">
        <w:rPr>
          <w:sz w:val="24"/>
        </w:rPr>
        <w:t>processing time</w:t>
      </w:r>
      <w:r w:rsidR="009A6752" w:rsidRPr="009A6752">
        <w:rPr>
          <w:sz w:val="24"/>
        </w:rPr>
        <w:t xml:space="preserve"> (2-3 weeks)</w:t>
      </w:r>
      <w:r w:rsidR="00712B11" w:rsidRPr="009A6752">
        <w:rPr>
          <w:sz w:val="24"/>
        </w:rPr>
        <w:t xml:space="preserve">. </w:t>
      </w:r>
    </w:p>
    <w:p w:rsidR="00BC4C7C" w:rsidRDefault="00BC4C7C" w:rsidP="00BE610C">
      <w:pPr>
        <w:rPr>
          <w:sz w:val="24"/>
        </w:rPr>
      </w:pPr>
    </w:p>
    <w:p w:rsidR="00BC4C7C" w:rsidRPr="00BC4C7C" w:rsidRDefault="00BC4C7C" w:rsidP="00BE610C">
      <w:pPr>
        <w:rPr>
          <w:i/>
          <w:sz w:val="24"/>
        </w:rPr>
      </w:pPr>
      <w:r w:rsidRPr="00BC4C7C">
        <w:rPr>
          <w:i/>
          <w:sz w:val="24"/>
        </w:rPr>
        <w:t xml:space="preserve">Important to Note: Effective July 1, 2017 OEL will no longer accept paper documentation. From this point forward, all documentation must be uploaded electronically. </w:t>
      </w:r>
    </w:p>
    <w:p w:rsidR="00BE610C" w:rsidRPr="00712B11" w:rsidRDefault="00BE610C" w:rsidP="00BE610C">
      <w:pPr>
        <w:rPr>
          <w:szCs w:val="22"/>
        </w:rPr>
      </w:pPr>
    </w:p>
    <w:p w:rsidR="00BE610C" w:rsidRPr="009A6752" w:rsidRDefault="00BE610C" w:rsidP="00BE610C">
      <w:pPr>
        <w:rPr>
          <w:b/>
          <w:color w:val="365F91" w:themeColor="accent1" w:themeShade="BF"/>
          <w:sz w:val="24"/>
        </w:rPr>
      </w:pPr>
      <w:r w:rsidRPr="009A6752">
        <w:rPr>
          <w:b/>
          <w:color w:val="365F91" w:themeColor="accent1" w:themeShade="BF"/>
          <w:sz w:val="24"/>
        </w:rPr>
        <w:t>Preparing to Batch</w:t>
      </w:r>
    </w:p>
    <w:p w:rsidR="00BC4C7C" w:rsidRDefault="00BC4C7C" w:rsidP="00BE610C">
      <w:pPr>
        <w:numPr>
          <w:ilvl w:val="0"/>
          <w:numId w:val="1"/>
        </w:numPr>
        <w:tabs>
          <w:tab w:val="num" w:pos="450"/>
          <w:tab w:val="left" w:pos="720"/>
        </w:tabs>
        <w:ind w:left="450" w:hanging="450"/>
        <w:rPr>
          <w:sz w:val="24"/>
        </w:rPr>
      </w:pPr>
      <w:r w:rsidRPr="00BC4C7C">
        <w:rPr>
          <w:sz w:val="24"/>
        </w:rPr>
        <w:t>Endorse all candidates electronically in ELAR.</w:t>
      </w:r>
      <w:r>
        <w:rPr>
          <w:sz w:val="24"/>
        </w:rPr>
        <w:t xml:space="preserve"> See the </w:t>
      </w:r>
      <w:hyperlink r:id="rId12" w:history="1">
        <w:r w:rsidRPr="00BC4C7C">
          <w:rPr>
            <w:rStyle w:val="Hyperlink"/>
            <w:sz w:val="24"/>
          </w:rPr>
          <w:t>Early ID</w:t>
        </w:r>
      </w:hyperlink>
      <w:r>
        <w:rPr>
          <w:sz w:val="24"/>
        </w:rPr>
        <w:t xml:space="preserve"> resources for </w:t>
      </w:r>
      <w:r w:rsidR="00960BD7">
        <w:rPr>
          <w:sz w:val="24"/>
        </w:rPr>
        <w:t>guidance on</w:t>
      </w:r>
      <w:r>
        <w:rPr>
          <w:sz w:val="24"/>
        </w:rPr>
        <w:t xml:space="preserve"> endorsing candidates electronically. </w:t>
      </w:r>
      <w:r w:rsidR="00245778">
        <w:rPr>
          <w:sz w:val="24"/>
        </w:rPr>
        <w:t>As a reminder, p</w:t>
      </w:r>
      <w:r>
        <w:rPr>
          <w:sz w:val="24"/>
        </w:rPr>
        <w:t xml:space="preserve">aper endorsements are not accepted by OEL. </w:t>
      </w:r>
    </w:p>
    <w:p w:rsidR="00BE610C" w:rsidRPr="009A6752" w:rsidRDefault="000E1A74" w:rsidP="00BE610C">
      <w:pPr>
        <w:numPr>
          <w:ilvl w:val="0"/>
          <w:numId w:val="1"/>
        </w:numPr>
        <w:tabs>
          <w:tab w:val="num" w:pos="450"/>
          <w:tab w:val="left" w:pos="720"/>
        </w:tabs>
        <w:ind w:left="450" w:hanging="450"/>
        <w:rPr>
          <w:sz w:val="24"/>
        </w:rPr>
      </w:pPr>
      <w:r w:rsidRPr="000E1A74">
        <w:rPr>
          <w:b/>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362.25pt;margin-top:27.2pt;width:193.45pt;height:218.2pt;z-index:-251658752;visibility:visible" wrapcoords="-84 -74 -84 21526 21684 21526 21684 -74 -84 -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">
            <v:textbox>
              <w:txbxContent>
                <w:p w:rsidR="004E446D" w:rsidRDefault="008A64F4" w:rsidP="00BE610C">
                  <w:pPr>
                    <w:jc w:val="center"/>
                    <w:rPr>
                      <w:b/>
                    </w:rPr>
                  </w:pPr>
                  <w:r>
                    <w:rPr>
                      <w:b/>
                    </w:rPr>
                    <w:t>Batch Options</w:t>
                  </w:r>
                  <w:bookmarkStart w:id="0" w:name="_GoBack"/>
                  <w:bookmarkEnd w:id="0"/>
                </w:p>
                <w:p w:rsidR="004E446D" w:rsidRPr="004E446D" w:rsidRDefault="004E446D" w:rsidP="008448D8">
                  <w:pPr>
                    <w:rPr>
                      <w:b/>
                      <w:sz w:val="18"/>
                      <w:szCs w:val="18"/>
                    </w:rPr>
                  </w:pPr>
                  <w:r>
                    <w:rPr>
                      <w:noProof/>
                      <w:sz w:val="18"/>
                      <w:szCs w:val="18"/>
                      <w:lang w:eastAsia="zh-CN" w:bidi="km-KH"/>
                    </w:rPr>
                    <w:drawing>
                      <wp:inline distT="0" distB="0" distL="0" distR="0">
                        <wp:extent cx="184245" cy="225189"/>
                        <wp:effectExtent l="0" t="0" r="6255" b="0"/>
                        <wp:docPr id="6" name="Picture 6" desc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jd\AppData\Local\Microsoft\Windows\Temporary Internet Files\Content.IE5\0I1Y3VG1\number-39114_640[1].png"/>
                                <pic:cNvPicPr>
                                  <a:picLocks noChangeAspect="1" noChangeArrowheads="1"/>
                                </pic:cNvPicPr>
                              </pic:nvPicPr>
                              <pic:blipFill>
                                <a:blip r:embed="rId13"/>
                                <a:srcRect/>
                                <a:stretch>
                                  <a:fillRect/>
                                </a:stretch>
                              </pic:blipFill>
                              <pic:spPr bwMode="auto">
                                <a:xfrm>
                                  <a:off x="0" y="0"/>
                                  <a:ext cx="184245" cy="225189"/>
                                </a:xfrm>
                                <a:prstGeom prst="rect">
                                  <a:avLst/>
                                </a:prstGeom>
                                <a:noFill/>
                                <a:ln w="9525">
                                  <a:noFill/>
                                  <a:miter lim="800000"/>
                                  <a:headEnd/>
                                  <a:tailEnd/>
                                </a:ln>
                              </pic:spPr>
                            </pic:pic>
                          </a:graphicData>
                        </a:graphic>
                      </wp:inline>
                    </w:drawing>
                  </w:r>
                  <w:r w:rsidR="008448D8">
                    <w:rPr>
                      <w:sz w:val="18"/>
                      <w:szCs w:val="18"/>
                    </w:rPr>
                    <w:t xml:space="preserve">Electronically endorse and then </w:t>
                  </w:r>
                  <w:r w:rsidR="008448D8" w:rsidRPr="00441448">
                    <w:rPr>
                      <w:sz w:val="18"/>
                      <w:szCs w:val="18"/>
                      <w:u w:val="single"/>
                    </w:rPr>
                    <w:t>u</w:t>
                  </w:r>
                  <w:r w:rsidR="007C7B84" w:rsidRPr="00441448">
                    <w:rPr>
                      <w:sz w:val="18"/>
                      <w:szCs w:val="18"/>
                      <w:u w:val="single"/>
                    </w:rPr>
                    <w:t>pload</w:t>
                  </w:r>
                  <w:r w:rsidRPr="00441448">
                    <w:rPr>
                      <w:sz w:val="18"/>
                      <w:szCs w:val="18"/>
                      <w:u w:val="single"/>
                    </w:rPr>
                    <w:t xml:space="preserve"> supporting documents</w:t>
                  </w:r>
                  <w:r w:rsidR="008448D8">
                    <w:rPr>
                      <w:sz w:val="18"/>
                      <w:szCs w:val="18"/>
                    </w:rPr>
                    <w:t xml:space="preserve"> directly in ELAR. </w:t>
                  </w:r>
                  <w:r w:rsidR="00675574">
                    <w:rPr>
                      <w:sz w:val="18"/>
                      <w:szCs w:val="18"/>
                    </w:rPr>
                    <w:t xml:space="preserve">Email </w:t>
                  </w:r>
                  <w:r w:rsidR="008448D8">
                    <w:rPr>
                      <w:sz w:val="18"/>
                      <w:szCs w:val="18"/>
                    </w:rPr>
                    <w:t xml:space="preserve">a coversheet to </w:t>
                  </w:r>
                  <w:hyperlink r:id="rId14" w:history="1">
                    <w:r w:rsidR="00675574" w:rsidRPr="004F2B74">
                      <w:rPr>
                        <w:rStyle w:val="Hyperlink"/>
                        <w:sz w:val="18"/>
                        <w:szCs w:val="18"/>
                      </w:rPr>
                      <w:t>edprep@doe.mass.edu</w:t>
                    </w:r>
                  </w:hyperlink>
                  <w:r w:rsidR="008448D8">
                    <w:rPr>
                      <w:sz w:val="18"/>
                      <w:szCs w:val="18"/>
                    </w:rPr>
                    <w:t>.</w:t>
                  </w:r>
                  <w:r w:rsidR="00675574">
                    <w:rPr>
                      <w:sz w:val="18"/>
                      <w:szCs w:val="18"/>
                    </w:rPr>
                    <w:t xml:space="preserve"> </w:t>
                  </w:r>
                  <w:r w:rsidR="008448D8">
                    <w:rPr>
                      <w:sz w:val="18"/>
                      <w:szCs w:val="18"/>
                    </w:rPr>
                    <w:t xml:space="preserve"> </w:t>
                  </w:r>
                </w:p>
                <w:p w:rsidR="008448D8" w:rsidRDefault="008448D8" w:rsidP="008448D8">
                  <w:pPr>
                    <w:rPr>
                      <w:sz w:val="18"/>
                      <w:szCs w:val="18"/>
                    </w:rPr>
                  </w:pPr>
                </w:p>
                <w:p w:rsidR="008448D8" w:rsidRDefault="009A6752" w:rsidP="008448D8">
                  <w:pPr>
                    <w:rPr>
                      <w:sz w:val="18"/>
                      <w:szCs w:val="18"/>
                    </w:rPr>
                  </w:pPr>
                  <w:r>
                    <w:rPr>
                      <w:noProof/>
                      <w:sz w:val="18"/>
                      <w:szCs w:val="18"/>
                      <w:lang w:eastAsia="zh-CN" w:bidi="km-KH"/>
                    </w:rPr>
                    <w:drawing>
                      <wp:inline distT="0" distB="0" distL="0" distR="0">
                        <wp:extent cx="232012" cy="232012"/>
                        <wp:effectExtent l="0" t="0" r="0" b="0"/>
                        <wp:docPr id="12" name="Picture 9" descr="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jd\AppData\Local\Microsoft\Windows\Temporary Internet Files\Content.IE5\0OXZF21Y\two-39115_640[1].png"/>
                                <pic:cNvPicPr>
                                  <a:picLocks noChangeAspect="1" noChangeArrowheads="1"/>
                                </pic:cNvPicPr>
                              </pic:nvPicPr>
                              <pic:blipFill>
                                <a:blip r:embed="rId15"/>
                                <a:srcRect/>
                                <a:stretch>
                                  <a:fillRect/>
                                </a:stretch>
                              </pic:blipFill>
                              <pic:spPr bwMode="auto">
                                <a:xfrm>
                                  <a:off x="0" y="0"/>
                                  <a:ext cx="233782" cy="233782"/>
                                </a:xfrm>
                                <a:prstGeom prst="rect">
                                  <a:avLst/>
                                </a:prstGeom>
                                <a:noFill/>
                                <a:ln w="9525">
                                  <a:noFill/>
                                  <a:miter lim="800000"/>
                                  <a:headEnd/>
                                  <a:tailEnd/>
                                </a:ln>
                              </pic:spPr>
                            </pic:pic>
                          </a:graphicData>
                        </a:graphic>
                      </wp:inline>
                    </w:drawing>
                  </w:r>
                  <w:r w:rsidR="004E446D">
                    <w:rPr>
                      <w:sz w:val="18"/>
                      <w:szCs w:val="18"/>
                    </w:rPr>
                    <w:t xml:space="preserve">   </w:t>
                  </w:r>
                  <w:r w:rsidR="008448D8">
                    <w:rPr>
                      <w:sz w:val="18"/>
                      <w:szCs w:val="18"/>
                    </w:rPr>
                    <w:t xml:space="preserve">Electronically endorse and then </w:t>
                  </w:r>
                  <w:r w:rsidR="008448D8" w:rsidRPr="00441448">
                    <w:rPr>
                      <w:sz w:val="18"/>
                      <w:szCs w:val="18"/>
                      <w:u w:val="single"/>
                    </w:rPr>
                    <w:t>m</w:t>
                  </w:r>
                  <w:r w:rsidR="00BE610C" w:rsidRPr="00441448">
                    <w:rPr>
                      <w:sz w:val="18"/>
                      <w:szCs w:val="18"/>
                      <w:u w:val="single"/>
                    </w:rPr>
                    <w:t>ail</w:t>
                  </w:r>
                  <w:r w:rsidR="008448D8" w:rsidRPr="00441448">
                    <w:rPr>
                      <w:sz w:val="18"/>
                      <w:szCs w:val="18"/>
                      <w:u w:val="single"/>
                    </w:rPr>
                    <w:t>/drop-off</w:t>
                  </w:r>
                  <w:r w:rsidR="00BE610C" w:rsidRPr="00441448">
                    <w:rPr>
                      <w:sz w:val="18"/>
                      <w:szCs w:val="18"/>
                      <w:u w:val="single"/>
                    </w:rPr>
                    <w:t xml:space="preserve"> </w:t>
                  </w:r>
                  <w:r w:rsidR="008448D8" w:rsidRPr="00441448">
                    <w:rPr>
                      <w:sz w:val="18"/>
                      <w:szCs w:val="18"/>
                      <w:u w:val="single"/>
                    </w:rPr>
                    <w:t>all supporting documents</w:t>
                  </w:r>
                  <w:r w:rsidR="008448D8">
                    <w:rPr>
                      <w:sz w:val="18"/>
                      <w:szCs w:val="18"/>
                    </w:rPr>
                    <w:t xml:space="preserve"> with coversheet. </w:t>
                  </w:r>
                </w:p>
                <w:p w:rsidR="008448D8" w:rsidRDefault="008448D8" w:rsidP="008448D8">
                  <w:pPr>
                    <w:rPr>
                      <w:sz w:val="18"/>
                      <w:szCs w:val="18"/>
                    </w:rPr>
                  </w:pPr>
                </w:p>
                <w:p w:rsidR="00BE610C" w:rsidRPr="004E446D" w:rsidRDefault="008448D8" w:rsidP="008448D8">
                  <w:pPr>
                    <w:rPr>
                      <w:sz w:val="18"/>
                      <w:szCs w:val="18"/>
                    </w:rPr>
                  </w:pPr>
                  <w:r>
                    <w:rPr>
                      <w:sz w:val="18"/>
                      <w:szCs w:val="18"/>
                    </w:rPr>
                    <w:t>OEL Mailing Address</w:t>
                  </w:r>
                  <w:r w:rsidR="00BE610C" w:rsidRPr="004E446D">
                    <w:rPr>
                      <w:sz w:val="18"/>
                      <w:szCs w:val="18"/>
                    </w:rPr>
                    <w:t>:</w:t>
                  </w:r>
                </w:p>
                <w:p w:rsidR="00BE610C" w:rsidRPr="004E446D" w:rsidRDefault="00BE610C" w:rsidP="008448D8">
                  <w:pPr>
                    <w:rPr>
                      <w:sz w:val="18"/>
                      <w:szCs w:val="18"/>
                    </w:rPr>
                  </w:pPr>
                  <w:r w:rsidRPr="004E446D">
                    <w:rPr>
                      <w:sz w:val="18"/>
                      <w:szCs w:val="18"/>
                    </w:rPr>
                    <w:t>Massachusetts Department of Elementary and Secondary Education</w:t>
                  </w:r>
                </w:p>
                <w:p w:rsidR="00BE610C" w:rsidRPr="004E446D" w:rsidRDefault="00BE610C" w:rsidP="008448D8">
                  <w:pPr>
                    <w:rPr>
                      <w:sz w:val="18"/>
                      <w:szCs w:val="18"/>
                    </w:rPr>
                  </w:pPr>
                  <w:r w:rsidRPr="004E446D">
                    <w:rPr>
                      <w:sz w:val="18"/>
                      <w:szCs w:val="18"/>
                    </w:rPr>
                    <w:t>Office of Educator Licensure</w:t>
                  </w:r>
                </w:p>
                <w:p w:rsidR="00BE610C" w:rsidRPr="004E446D" w:rsidRDefault="00BE610C" w:rsidP="008448D8">
                  <w:pPr>
                    <w:rPr>
                      <w:sz w:val="18"/>
                      <w:szCs w:val="18"/>
                    </w:rPr>
                  </w:pPr>
                  <w:r w:rsidRPr="004E446D">
                    <w:rPr>
                      <w:sz w:val="18"/>
                      <w:szCs w:val="18"/>
                    </w:rPr>
                    <w:t>Attn: Batch Processing</w:t>
                  </w:r>
                </w:p>
                <w:p w:rsidR="00BE610C" w:rsidRPr="004E446D" w:rsidRDefault="00BE610C" w:rsidP="008448D8">
                  <w:pPr>
                    <w:rPr>
                      <w:sz w:val="18"/>
                      <w:szCs w:val="18"/>
                    </w:rPr>
                  </w:pPr>
                  <w:r w:rsidRPr="004E446D">
                    <w:rPr>
                      <w:sz w:val="18"/>
                      <w:szCs w:val="18"/>
                    </w:rPr>
                    <w:t xml:space="preserve">75 Pleasant </w:t>
                  </w:r>
                  <w:proofErr w:type="gramStart"/>
                  <w:r w:rsidRPr="004E446D">
                    <w:rPr>
                      <w:sz w:val="18"/>
                      <w:szCs w:val="18"/>
                    </w:rPr>
                    <w:t>Street</w:t>
                  </w:r>
                  <w:proofErr w:type="gramEnd"/>
                </w:p>
                <w:p w:rsidR="00BE610C" w:rsidRPr="004E446D" w:rsidRDefault="00BE610C" w:rsidP="008448D8">
                  <w:pPr>
                    <w:rPr>
                      <w:sz w:val="18"/>
                      <w:szCs w:val="18"/>
                    </w:rPr>
                  </w:pPr>
                  <w:r w:rsidRPr="004E446D">
                    <w:rPr>
                      <w:sz w:val="18"/>
                      <w:szCs w:val="18"/>
                    </w:rPr>
                    <w:t>Malden, MA 02148</w:t>
                  </w:r>
                </w:p>
                <w:p w:rsidR="007C7B84" w:rsidRPr="004E446D" w:rsidRDefault="007C7B84" w:rsidP="00BE610C">
                  <w:pPr>
                    <w:jc w:val="center"/>
                    <w:rPr>
                      <w:sz w:val="18"/>
                      <w:szCs w:val="18"/>
                    </w:rPr>
                  </w:pPr>
                </w:p>
                <w:p w:rsidR="007C7B84" w:rsidRDefault="007C7B84" w:rsidP="00BE610C">
                  <w:pPr>
                    <w:jc w:val="center"/>
                  </w:pPr>
                </w:p>
                <w:p w:rsidR="007C7B84" w:rsidRDefault="007C7B84" w:rsidP="00BE610C">
                  <w:pPr>
                    <w:jc w:val="center"/>
                  </w:pPr>
                </w:p>
              </w:txbxContent>
            </v:textbox>
            <w10:wrap type="tight"/>
          </v:shape>
        </w:pict>
      </w:r>
      <w:r w:rsidR="00BE610C" w:rsidRPr="009A6752">
        <w:rPr>
          <w:sz w:val="24"/>
        </w:rPr>
        <w:t>Make sure that all candidates have applied and made full payment for the correct field, grade level(s), and type of license.</w:t>
      </w:r>
    </w:p>
    <w:p w:rsidR="00BC4C7C" w:rsidRPr="008448D8" w:rsidRDefault="004E446D" w:rsidP="008448D8">
      <w:pPr>
        <w:numPr>
          <w:ilvl w:val="0"/>
          <w:numId w:val="1"/>
        </w:numPr>
        <w:tabs>
          <w:tab w:val="num" w:pos="450"/>
          <w:tab w:val="left" w:pos="720"/>
        </w:tabs>
        <w:ind w:left="450" w:hanging="450"/>
        <w:rPr>
          <w:sz w:val="24"/>
        </w:rPr>
      </w:pPr>
      <w:r w:rsidRPr="009A6752">
        <w:rPr>
          <w:sz w:val="24"/>
        </w:rPr>
        <w:t>Make sure that all core academic candidates have applied for the Sheltered English Immersion (SEI) Endorsement</w:t>
      </w:r>
      <w:r w:rsidR="00D7217E">
        <w:rPr>
          <w:sz w:val="24"/>
        </w:rPr>
        <w:t>.</w:t>
      </w:r>
    </w:p>
    <w:p w:rsidR="009A6752" w:rsidRPr="00BC4C7C" w:rsidRDefault="009A6752" w:rsidP="00BE610C">
      <w:pPr>
        <w:numPr>
          <w:ilvl w:val="0"/>
          <w:numId w:val="1"/>
        </w:numPr>
        <w:tabs>
          <w:tab w:val="num" w:pos="450"/>
          <w:tab w:val="left" w:pos="720"/>
        </w:tabs>
        <w:ind w:left="450" w:hanging="450"/>
        <w:rPr>
          <w:szCs w:val="22"/>
        </w:rPr>
      </w:pPr>
      <w:r w:rsidRPr="00BC4C7C">
        <w:rPr>
          <w:sz w:val="24"/>
        </w:rPr>
        <w:t xml:space="preserve">Tip – for faster processing, have your program completers upload official transcripts </w:t>
      </w:r>
      <w:r w:rsidR="00D7217E">
        <w:rPr>
          <w:sz w:val="24"/>
        </w:rPr>
        <w:t xml:space="preserve">from other institutions </w:t>
      </w:r>
      <w:r w:rsidRPr="00BC4C7C">
        <w:rPr>
          <w:sz w:val="24"/>
        </w:rPr>
        <w:t>and any other necessary supporting documents when they apply for their license in ELAR</w:t>
      </w:r>
      <w:r w:rsidRPr="00BC4C7C">
        <w:rPr>
          <w:szCs w:val="22"/>
        </w:rPr>
        <w:t xml:space="preserve">.  </w:t>
      </w:r>
    </w:p>
    <w:p w:rsidR="00BE610C" w:rsidRPr="00712B11" w:rsidRDefault="00BE610C" w:rsidP="00BE610C">
      <w:pPr>
        <w:rPr>
          <w:szCs w:val="22"/>
        </w:rPr>
      </w:pPr>
    </w:p>
    <w:p w:rsidR="00BE610C" w:rsidRPr="009A6752" w:rsidRDefault="00BE610C" w:rsidP="00BE610C">
      <w:pPr>
        <w:rPr>
          <w:b/>
          <w:color w:val="365F91" w:themeColor="accent1" w:themeShade="BF"/>
          <w:sz w:val="24"/>
        </w:rPr>
      </w:pPr>
      <w:r w:rsidRPr="009A6752">
        <w:rPr>
          <w:b/>
          <w:color w:val="365F91" w:themeColor="accent1" w:themeShade="BF"/>
          <w:sz w:val="24"/>
        </w:rPr>
        <w:t>Batch Requirements</w:t>
      </w:r>
    </w:p>
    <w:p w:rsidR="00BE610C" w:rsidRPr="009A6752" w:rsidRDefault="00BE610C" w:rsidP="00BE610C">
      <w:pPr>
        <w:tabs>
          <w:tab w:val="left" w:pos="720"/>
        </w:tabs>
        <w:rPr>
          <w:sz w:val="24"/>
        </w:rPr>
      </w:pPr>
      <w:r w:rsidRPr="009A6752">
        <w:rPr>
          <w:sz w:val="24"/>
        </w:rPr>
        <w:t>A batch consists of:</w:t>
      </w:r>
    </w:p>
    <w:p w:rsidR="00BE610C" w:rsidRPr="009A6752" w:rsidRDefault="008448D8" w:rsidP="00BE610C">
      <w:pPr>
        <w:numPr>
          <w:ilvl w:val="0"/>
          <w:numId w:val="3"/>
        </w:numPr>
        <w:tabs>
          <w:tab w:val="left" w:pos="720"/>
        </w:tabs>
        <w:rPr>
          <w:sz w:val="24"/>
        </w:rPr>
      </w:pPr>
      <w:r>
        <w:rPr>
          <w:sz w:val="24"/>
        </w:rPr>
        <w:t xml:space="preserve"> A cover</w:t>
      </w:r>
      <w:r w:rsidR="00BE610C" w:rsidRPr="009A6752">
        <w:rPr>
          <w:sz w:val="24"/>
        </w:rPr>
        <w:t>sheet on the Sponsoring Organization’s official letterhead with the following information:</w:t>
      </w:r>
    </w:p>
    <w:p w:rsidR="00BE610C" w:rsidRPr="009A6752" w:rsidRDefault="00BE610C" w:rsidP="00BE610C">
      <w:pPr>
        <w:pStyle w:val="ListParagraph"/>
        <w:numPr>
          <w:ilvl w:val="3"/>
          <w:numId w:val="2"/>
        </w:numPr>
        <w:tabs>
          <w:tab w:val="left" w:pos="720"/>
        </w:tabs>
        <w:spacing w:after="0" w:line="240" w:lineRule="auto"/>
        <w:contextualSpacing w:val="0"/>
        <w:rPr>
          <w:sz w:val="24"/>
          <w:szCs w:val="24"/>
        </w:rPr>
      </w:pPr>
      <w:r w:rsidRPr="009A6752">
        <w:rPr>
          <w:sz w:val="24"/>
          <w:szCs w:val="24"/>
        </w:rPr>
        <w:t>Candidate first and last name</w:t>
      </w:r>
    </w:p>
    <w:p w:rsidR="00BE610C" w:rsidRPr="009A6752" w:rsidRDefault="00BE610C" w:rsidP="00BE610C">
      <w:pPr>
        <w:pStyle w:val="ListParagraph"/>
        <w:numPr>
          <w:ilvl w:val="3"/>
          <w:numId w:val="2"/>
        </w:numPr>
        <w:tabs>
          <w:tab w:val="left" w:pos="720"/>
        </w:tabs>
        <w:spacing w:after="0" w:line="240" w:lineRule="auto"/>
        <w:contextualSpacing w:val="0"/>
        <w:rPr>
          <w:sz w:val="24"/>
          <w:szCs w:val="24"/>
        </w:rPr>
      </w:pPr>
      <w:r w:rsidRPr="009A6752">
        <w:rPr>
          <w:sz w:val="24"/>
          <w:szCs w:val="24"/>
        </w:rPr>
        <w:t xml:space="preserve">Candidate </w:t>
      </w:r>
      <w:r w:rsidR="008448D8">
        <w:rPr>
          <w:sz w:val="24"/>
          <w:szCs w:val="24"/>
        </w:rPr>
        <w:t>MEPID</w:t>
      </w:r>
    </w:p>
    <w:p w:rsidR="00BE610C" w:rsidRPr="009A6752" w:rsidRDefault="00BE610C" w:rsidP="00BE610C">
      <w:pPr>
        <w:pStyle w:val="ListParagraph"/>
        <w:numPr>
          <w:ilvl w:val="3"/>
          <w:numId w:val="2"/>
        </w:numPr>
        <w:tabs>
          <w:tab w:val="left" w:pos="720"/>
        </w:tabs>
        <w:spacing w:after="0" w:line="240" w:lineRule="auto"/>
        <w:contextualSpacing w:val="0"/>
        <w:rPr>
          <w:sz w:val="24"/>
          <w:szCs w:val="24"/>
        </w:rPr>
      </w:pPr>
      <w:r w:rsidRPr="009A6752">
        <w:rPr>
          <w:sz w:val="24"/>
          <w:szCs w:val="24"/>
        </w:rPr>
        <w:t>Program completed (ex. English, 5-8, Initial Post-Baccalaureate)</w:t>
      </w:r>
    </w:p>
    <w:p w:rsidR="00BE610C" w:rsidRPr="009A6752" w:rsidRDefault="00BE610C" w:rsidP="00BE610C">
      <w:pPr>
        <w:pStyle w:val="ListParagraph"/>
        <w:numPr>
          <w:ilvl w:val="0"/>
          <w:numId w:val="3"/>
        </w:numPr>
        <w:tabs>
          <w:tab w:val="left" w:pos="720"/>
        </w:tabs>
        <w:spacing w:after="0" w:line="240" w:lineRule="auto"/>
        <w:contextualSpacing w:val="0"/>
        <w:rPr>
          <w:sz w:val="24"/>
          <w:szCs w:val="24"/>
        </w:rPr>
      </w:pPr>
      <w:r w:rsidRPr="009A6752">
        <w:rPr>
          <w:sz w:val="24"/>
          <w:szCs w:val="24"/>
        </w:rPr>
        <w:t xml:space="preserve">When applicable, official transcripts. </w:t>
      </w:r>
      <w:r w:rsidR="008448D8">
        <w:rPr>
          <w:sz w:val="24"/>
          <w:szCs w:val="24"/>
        </w:rPr>
        <w:t>Please s</w:t>
      </w:r>
      <w:r w:rsidRPr="009A6752">
        <w:rPr>
          <w:sz w:val="24"/>
          <w:szCs w:val="24"/>
        </w:rPr>
        <w:t>ee below</w:t>
      </w:r>
      <w:r w:rsidR="008448D8">
        <w:rPr>
          <w:sz w:val="24"/>
          <w:szCs w:val="24"/>
        </w:rPr>
        <w:t>, this is not applicable for all licenses</w:t>
      </w:r>
      <w:r w:rsidRPr="009A6752">
        <w:rPr>
          <w:sz w:val="24"/>
          <w:szCs w:val="24"/>
        </w:rPr>
        <w:t>.</w:t>
      </w:r>
    </w:p>
    <w:p w:rsidR="00BE610C" w:rsidRPr="009A6752" w:rsidRDefault="00BE610C" w:rsidP="00BE610C">
      <w:pPr>
        <w:pStyle w:val="ListParagraph"/>
        <w:numPr>
          <w:ilvl w:val="0"/>
          <w:numId w:val="3"/>
        </w:numPr>
        <w:tabs>
          <w:tab w:val="left" w:pos="720"/>
        </w:tabs>
        <w:spacing w:after="0" w:line="240" w:lineRule="auto"/>
        <w:contextualSpacing w:val="0"/>
        <w:rPr>
          <w:sz w:val="24"/>
          <w:szCs w:val="24"/>
        </w:rPr>
      </w:pPr>
      <w:r w:rsidRPr="009A6752">
        <w:rPr>
          <w:sz w:val="24"/>
          <w:szCs w:val="24"/>
        </w:rPr>
        <w:t xml:space="preserve">When applicable, additional documentation for specific licenses. </w:t>
      </w:r>
      <w:r w:rsidR="008448D8">
        <w:rPr>
          <w:sz w:val="24"/>
          <w:szCs w:val="24"/>
        </w:rPr>
        <w:t>Again, please s</w:t>
      </w:r>
      <w:r w:rsidRPr="009A6752">
        <w:rPr>
          <w:sz w:val="24"/>
          <w:szCs w:val="24"/>
        </w:rPr>
        <w:t xml:space="preserve">ee below. </w:t>
      </w:r>
    </w:p>
    <w:p w:rsidR="008448D8" w:rsidRDefault="008448D8" w:rsidP="00BE610C">
      <w:pPr>
        <w:tabs>
          <w:tab w:val="left" w:pos="720"/>
        </w:tabs>
        <w:rPr>
          <w:sz w:val="24"/>
        </w:rPr>
      </w:pPr>
    </w:p>
    <w:p w:rsidR="00BE610C" w:rsidRPr="009A6752" w:rsidRDefault="00BE610C" w:rsidP="00BE610C">
      <w:pPr>
        <w:tabs>
          <w:tab w:val="left" w:pos="720"/>
        </w:tabs>
        <w:rPr>
          <w:sz w:val="24"/>
        </w:rPr>
      </w:pPr>
      <w:r w:rsidRPr="009A6752">
        <w:rPr>
          <w:sz w:val="24"/>
        </w:rPr>
        <w:t>Make sure that any additional documents submitted include the candidates’ identifier (MEPID, MA Educator License number, or SSN) to ensure they are matched to the appropriate candidate file.</w:t>
      </w:r>
    </w:p>
    <w:p w:rsidR="00BE610C" w:rsidRPr="00712B11" w:rsidRDefault="00BE610C" w:rsidP="00BE610C">
      <w:pPr>
        <w:tabs>
          <w:tab w:val="left" w:pos="720"/>
        </w:tabs>
        <w:rPr>
          <w:szCs w:val="22"/>
        </w:rPr>
      </w:pPr>
    </w:p>
    <w:p w:rsidR="00BE610C" w:rsidRPr="009A6752" w:rsidRDefault="00BE610C" w:rsidP="00BE610C">
      <w:pPr>
        <w:tabs>
          <w:tab w:val="left" w:pos="720"/>
        </w:tabs>
        <w:rPr>
          <w:b/>
          <w:color w:val="E36C0A" w:themeColor="accent6" w:themeShade="BF"/>
          <w:sz w:val="24"/>
        </w:rPr>
      </w:pPr>
      <w:r w:rsidRPr="009A6752">
        <w:rPr>
          <w:b/>
          <w:color w:val="E36C0A" w:themeColor="accent6" w:themeShade="BF"/>
          <w:sz w:val="24"/>
        </w:rPr>
        <w:t>Official Transcript Requirements</w:t>
      </w:r>
    </w:p>
    <w:p w:rsidR="00BE610C" w:rsidRPr="009A6752" w:rsidRDefault="00BE610C" w:rsidP="00BE610C">
      <w:pPr>
        <w:numPr>
          <w:ilvl w:val="0"/>
          <w:numId w:val="1"/>
        </w:numPr>
        <w:tabs>
          <w:tab w:val="num" w:pos="450"/>
        </w:tabs>
        <w:ind w:left="450" w:hanging="450"/>
        <w:rPr>
          <w:sz w:val="24"/>
        </w:rPr>
      </w:pPr>
      <w:r w:rsidRPr="009A6752">
        <w:rPr>
          <w:sz w:val="24"/>
        </w:rPr>
        <w:t xml:space="preserve">For all </w:t>
      </w:r>
      <w:r w:rsidRPr="009A6752">
        <w:rPr>
          <w:sz w:val="24"/>
          <w:u w:val="single"/>
        </w:rPr>
        <w:t>first-time licensure applicants</w:t>
      </w:r>
      <w:r w:rsidRPr="009A6752">
        <w:rPr>
          <w:sz w:val="24"/>
        </w:rPr>
        <w:t xml:space="preserve">, official </w:t>
      </w:r>
      <w:r w:rsidRPr="009A6752">
        <w:rPr>
          <w:b/>
          <w:sz w:val="24"/>
        </w:rPr>
        <w:t>undergraduate</w:t>
      </w:r>
      <w:r w:rsidRPr="009A6752">
        <w:rPr>
          <w:sz w:val="24"/>
        </w:rPr>
        <w:t xml:space="preserve"> transcripts must be included or already on file in the Office of Educator Licensure in order for the application to be approved. If submitting an undergraduate transcript on behalf of the candidate, please ensure that there is a date of conferral for the bachelor’s degree. (If the course work is from a foreign institution, the applicant will need an equivalency evaluation from </w:t>
      </w:r>
      <w:hyperlink r:id="rId16" w:history="1">
        <w:r w:rsidRPr="009A6752">
          <w:rPr>
            <w:rStyle w:val="Hyperlink"/>
            <w:sz w:val="24"/>
          </w:rPr>
          <w:t>one of the agencies approved by the Department</w:t>
        </w:r>
      </w:hyperlink>
      <w:r w:rsidRPr="009A6752">
        <w:rPr>
          <w:sz w:val="24"/>
        </w:rPr>
        <w:t>.)</w:t>
      </w:r>
    </w:p>
    <w:p w:rsidR="00BE610C" w:rsidRPr="009A6752" w:rsidRDefault="00BE610C" w:rsidP="00BE610C">
      <w:pPr>
        <w:ind w:left="450"/>
        <w:rPr>
          <w:sz w:val="24"/>
        </w:rPr>
      </w:pPr>
    </w:p>
    <w:p w:rsidR="00BE610C" w:rsidRPr="009A6752" w:rsidRDefault="00BE610C" w:rsidP="00BE610C">
      <w:pPr>
        <w:numPr>
          <w:ilvl w:val="0"/>
          <w:numId w:val="1"/>
        </w:numPr>
        <w:tabs>
          <w:tab w:val="num" w:pos="450"/>
        </w:tabs>
        <w:ind w:left="450" w:hanging="450"/>
        <w:rPr>
          <w:sz w:val="24"/>
        </w:rPr>
      </w:pPr>
      <w:r w:rsidRPr="009A6752">
        <w:rPr>
          <w:sz w:val="24"/>
        </w:rPr>
        <w:t xml:space="preserve">For completers of post-baccalaureate </w:t>
      </w:r>
      <w:r w:rsidRPr="009A6752">
        <w:rPr>
          <w:sz w:val="24"/>
          <w:u w:val="single"/>
        </w:rPr>
        <w:t>initial</w:t>
      </w:r>
      <w:r w:rsidRPr="009A6752">
        <w:rPr>
          <w:sz w:val="24"/>
        </w:rPr>
        <w:t xml:space="preserve"> programs, </w:t>
      </w:r>
      <w:r w:rsidRPr="009A6752">
        <w:rPr>
          <w:b/>
          <w:sz w:val="24"/>
        </w:rPr>
        <w:t>graduate</w:t>
      </w:r>
      <w:r w:rsidRPr="009A6752">
        <w:rPr>
          <w:sz w:val="24"/>
        </w:rPr>
        <w:t xml:space="preserve"> transcripts are </w:t>
      </w:r>
      <w:r w:rsidR="008448D8">
        <w:rPr>
          <w:sz w:val="24"/>
        </w:rPr>
        <w:t>NOT</w:t>
      </w:r>
      <w:r w:rsidRPr="009A6752">
        <w:rPr>
          <w:sz w:val="24"/>
        </w:rPr>
        <w:t xml:space="preserve"> required to be submitted.</w:t>
      </w:r>
    </w:p>
    <w:p w:rsidR="00BE610C" w:rsidRPr="009A6752" w:rsidRDefault="00BE610C" w:rsidP="00BE610C">
      <w:pPr>
        <w:ind w:left="450"/>
        <w:rPr>
          <w:sz w:val="24"/>
        </w:rPr>
      </w:pPr>
    </w:p>
    <w:p w:rsidR="00712B11" w:rsidRPr="009A6752" w:rsidRDefault="00BE610C" w:rsidP="00712B11">
      <w:pPr>
        <w:numPr>
          <w:ilvl w:val="0"/>
          <w:numId w:val="1"/>
        </w:numPr>
        <w:tabs>
          <w:tab w:val="num" w:pos="450"/>
        </w:tabs>
        <w:ind w:left="450" w:hanging="450"/>
        <w:rPr>
          <w:sz w:val="24"/>
        </w:rPr>
      </w:pPr>
      <w:r w:rsidRPr="009A6752">
        <w:rPr>
          <w:sz w:val="24"/>
        </w:rPr>
        <w:t xml:space="preserve">For completers of post-baccalaureate </w:t>
      </w:r>
      <w:r w:rsidRPr="009A6752">
        <w:rPr>
          <w:sz w:val="24"/>
          <w:u w:val="single"/>
        </w:rPr>
        <w:t>professional</w:t>
      </w:r>
      <w:r w:rsidRPr="009A6752">
        <w:rPr>
          <w:sz w:val="24"/>
        </w:rPr>
        <w:t xml:space="preserve"> programs, official </w:t>
      </w:r>
      <w:r w:rsidRPr="009A6752">
        <w:rPr>
          <w:b/>
          <w:sz w:val="24"/>
        </w:rPr>
        <w:t>graduate</w:t>
      </w:r>
      <w:r w:rsidRPr="009A6752">
        <w:rPr>
          <w:sz w:val="24"/>
        </w:rPr>
        <w:t xml:space="preserve"> transcripts must be included or already on file in the Office of Educator Licensure in order for the application to be approved. If submitting a graduate transcript on behalf of the candidate, please </w:t>
      </w:r>
      <w:proofErr w:type="gramStart"/>
      <w:r w:rsidRPr="009A6752">
        <w:rPr>
          <w:sz w:val="24"/>
        </w:rPr>
        <w:t>ensure</w:t>
      </w:r>
      <w:proofErr w:type="gramEnd"/>
      <w:r w:rsidRPr="009A6752">
        <w:rPr>
          <w:sz w:val="24"/>
        </w:rPr>
        <w:t xml:space="preserve"> that there is a date of conferral for the master’s degree (if applicable).</w:t>
      </w:r>
    </w:p>
    <w:p w:rsidR="00712B11" w:rsidRPr="009A6752" w:rsidRDefault="00712B11" w:rsidP="00712B11">
      <w:pPr>
        <w:ind w:left="450"/>
        <w:rPr>
          <w:sz w:val="24"/>
        </w:rPr>
      </w:pPr>
    </w:p>
    <w:p w:rsidR="00712B11" w:rsidRPr="009A6752" w:rsidRDefault="00712B11" w:rsidP="00BE610C">
      <w:pPr>
        <w:numPr>
          <w:ilvl w:val="0"/>
          <w:numId w:val="1"/>
        </w:numPr>
        <w:tabs>
          <w:tab w:val="num" w:pos="450"/>
        </w:tabs>
        <w:ind w:left="450" w:hanging="450"/>
        <w:rPr>
          <w:sz w:val="24"/>
        </w:rPr>
      </w:pPr>
      <w:r w:rsidRPr="009A6752">
        <w:rPr>
          <w:sz w:val="24"/>
        </w:rPr>
        <w:t xml:space="preserve">Note: An endorsement printed on an official transcript </w:t>
      </w:r>
      <w:r w:rsidRPr="009A6752">
        <w:rPr>
          <w:sz w:val="24"/>
          <w:u w:val="single"/>
        </w:rPr>
        <w:t>is not needed</w:t>
      </w:r>
      <w:r w:rsidRPr="009A6752">
        <w:rPr>
          <w:sz w:val="24"/>
        </w:rPr>
        <w:t xml:space="preserve"> in order for the license to be awarded. OEL </w:t>
      </w:r>
      <w:r w:rsidR="008448D8">
        <w:rPr>
          <w:sz w:val="24"/>
        </w:rPr>
        <w:t>will only</w:t>
      </w:r>
      <w:r w:rsidRPr="009A6752">
        <w:rPr>
          <w:sz w:val="24"/>
        </w:rPr>
        <w:t xml:space="preserve"> issue a license to a candidate as a result of an electronic endorsement. If the candidate applies for other grade levels and/or fields, the transcript may be helpful to determine if “add license requirements” have been satisfied through the program.</w:t>
      </w:r>
      <w:r w:rsidR="008448D8">
        <w:rPr>
          <w:sz w:val="24"/>
        </w:rPr>
        <w:t xml:space="preserve"> While not required for licensure, all Sponsoring Organizations should retain a record of the candidate’s transcript, </w:t>
      </w:r>
      <w:r w:rsidR="00441448">
        <w:rPr>
          <w:sz w:val="24"/>
        </w:rPr>
        <w:t>with</w:t>
      </w:r>
      <w:r w:rsidR="008448D8">
        <w:rPr>
          <w:sz w:val="24"/>
        </w:rPr>
        <w:t xml:space="preserve"> the official endorsement statement, on file</w:t>
      </w:r>
      <w:r w:rsidR="00441448">
        <w:rPr>
          <w:sz w:val="24"/>
        </w:rPr>
        <w:t xml:space="preserve"> at your organization</w:t>
      </w:r>
      <w:r w:rsidR="008448D8">
        <w:rPr>
          <w:sz w:val="24"/>
        </w:rPr>
        <w:t xml:space="preserve">. ESE may request to review this documentation during a review. </w:t>
      </w:r>
      <w:r w:rsidRPr="009A6752">
        <w:rPr>
          <w:sz w:val="24"/>
        </w:rPr>
        <w:t xml:space="preserve">   </w:t>
      </w:r>
    </w:p>
    <w:p w:rsidR="008448D8" w:rsidRDefault="008448D8" w:rsidP="00BE610C">
      <w:pPr>
        <w:rPr>
          <w:b/>
          <w:color w:val="E36C0A" w:themeColor="accent6" w:themeShade="BF"/>
          <w:sz w:val="24"/>
        </w:rPr>
      </w:pPr>
    </w:p>
    <w:p w:rsidR="00BE610C" w:rsidRPr="00D11C1A" w:rsidRDefault="00BE610C" w:rsidP="00BE610C">
      <w:pPr>
        <w:rPr>
          <w:b/>
          <w:color w:val="E36C0A" w:themeColor="accent6" w:themeShade="BF"/>
          <w:sz w:val="24"/>
        </w:rPr>
      </w:pPr>
      <w:r w:rsidRPr="00D11C1A">
        <w:rPr>
          <w:b/>
          <w:color w:val="E36C0A" w:themeColor="accent6" w:themeShade="BF"/>
          <w:sz w:val="24"/>
        </w:rPr>
        <w:t>Additional documentation required for specific licenses</w:t>
      </w:r>
    </w:p>
    <w:p w:rsidR="00BE610C" w:rsidRPr="00D11C1A" w:rsidRDefault="00BE610C" w:rsidP="00BE610C">
      <w:pPr>
        <w:rPr>
          <w:sz w:val="24"/>
        </w:rPr>
      </w:pPr>
      <w:r w:rsidRPr="00D11C1A">
        <w:rPr>
          <w:sz w:val="24"/>
        </w:rPr>
        <w:t xml:space="preserve">The documents outlined below are </w:t>
      </w:r>
      <w:r w:rsidRPr="00D11C1A">
        <w:rPr>
          <w:sz w:val="24"/>
          <w:u w:val="single"/>
        </w:rPr>
        <w:t>not required for completion of an approved program</w:t>
      </w:r>
      <w:r w:rsidRPr="00D11C1A">
        <w:rPr>
          <w:sz w:val="24"/>
        </w:rPr>
        <w:t xml:space="preserve">; however, they are documents required to obtain the license. Failure to include these additional documents may result in a delay for your candidate obtaining their license. </w:t>
      </w:r>
    </w:p>
    <w:p w:rsidR="00BE610C" w:rsidRPr="00D11C1A" w:rsidRDefault="00BE610C" w:rsidP="00BE610C">
      <w:pPr>
        <w:rPr>
          <w:b/>
          <w:sz w:val="24"/>
        </w:rPr>
      </w:pPr>
    </w:p>
    <w:p w:rsidR="00BE610C" w:rsidRPr="00D11C1A" w:rsidRDefault="00BE610C" w:rsidP="00BE610C">
      <w:pPr>
        <w:numPr>
          <w:ilvl w:val="0"/>
          <w:numId w:val="1"/>
        </w:numPr>
        <w:tabs>
          <w:tab w:val="num" w:pos="450"/>
        </w:tabs>
        <w:ind w:left="450" w:hanging="450"/>
        <w:rPr>
          <w:sz w:val="24"/>
        </w:rPr>
      </w:pPr>
      <w:r w:rsidRPr="00D11C1A">
        <w:rPr>
          <w:sz w:val="24"/>
        </w:rPr>
        <w:t xml:space="preserve">For </w:t>
      </w:r>
      <w:r w:rsidRPr="00D11C1A">
        <w:rPr>
          <w:i/>
          <w:sz w:val="24"/>
        </w:rPr>
        <w:t>Reading Specialist</w:t>
      </w:r>
      <w:r w:rsidRPr="00D11C1A">
        <w:rPr>
          <w:sz w:val="24"/>
        </w:rPr>
        <w:t xml:space="preserve"> include the letter(s) of prerequisite experience.</w:t>
      </w:r>
    </w:p>
    <w:p w:rsidR="00BE610C" w:rsidRPr="00D11C1A" w:rsidRDefault="00BE610C" w:rsidP="00BE610C">
      <w:pPr>
        <w:numPr>
          <w:ilvl w:val="0"/>
          <w:numId w:val="1"/>
        </w:numPr>
        <w:tabs>
          <w:tab w:val="num" w:pos="450"/>
        </w:tabs>
        <w:ind w:left="450" w:hanging="450"/>
        <w:rPr>
          <w:sz w:val="24"/>
        </w:rPr>
      </w:pPr>
      <w:r w:rsidRPr="00D11C1A">
        <w:rPr>
          <w:sz w:val="24"/>
        </w:rPr>
        <w:t xml:space="preserve">For </w:t>
      </w:r>
      <w:r w:rsidRPr="00D11C1A">
        <w:rPr>
          <w:i/>
          <w:sz w:val="24"/>
        </w:rPr>
        <w:t>Teacher of Speech, Language and Hearing Disorders</w:t>
      </w:r>
      <w:r w:rsidRPr="00D11C1A">
        <w:rPr>
          <w:sz w:val="24"/>
        </w:rPr>
        <w:t xml:space="preserve"> include a signed statement from the candidate verifying adherence to the Code of Ethics of the American Speech-Language-Hearing Association.</w:t>
      </w:r>
    </w:p>
    <w:p w:rsidR="00BE610C" w:rsidRPr="00D11C1A" w:rsidRDefault="00BE610C" w:rsidP="00BE610C">
      <w:pPr>
        <w:numPr>
          <w:ilvl w:val="0"/>
          <w:numId w:val="1"/>
        </w:numPr>
        <w:tabs>
          <w:tab w:val="num" w:pos="450"/>
        </w:tabs>
        <w:ind w:left="450" w:hanging="450"/>
        <w:rPr>
          <w:sz w:val="24"/>
        </w:rPr>
      </w:pPr>
      <w:r w:rsidRPr="00D11C1A">
        <w:rPr>
          <w:sz w:val="24"/>
        </w:rPr>
        <w:t xml:space="preserve">For </w:t>
      </w:r>
      <w:r w:rsidRPr="00D11C1A">
        <w:rPr>
          <w:i/>
          <w:sz w:val="24"/>
        </w:rPr>
        <w:t>Administrator</w:t>
      </w:r>
      <w:r w:rsidRPr="00D11C1A">
        <w:rPr>
          <w:sz w:val="24"/>
        </w:rPr>
        <w:t xml:space="preserve"> licenses, include the letter(s) of prerequisite experience.</w:t>
      </w:r>
    </w:p>
    <w:p w:rsidR="00BE610C" w:rsidRPr="00D11C1A" w:rsidRDefault="00BE610C" w:rsidP="00BE610C">
      <w:pPr>
        <w:numPr>
          <w:ilvl w:val="0"/>
          <w:numId w:val="1"/>
        </w:numPr>
        <w:tabs>
          <w:tab w:val="num" w:pos="450"/>
        </w:tabs>
        <w:ind w:left="450" w:hanging="450"/>
        <w:rPr>
          <w:sz w:val="24"/>
        </w:rPr>
      </w:pPr>
      <w:r w:rsidRPr="00D11C1A">
        <w:rPr>
          <w:sz w:val="24"/>
        </w:rPr>
        <w:t xml:space="preserve">For </w:t>
      </w:r>
      <w:r w:rsidRPr="00515080">
        <w:rPr>
          <w:i/>
          <w:sz w:val="24"/>
        </w:rPr>
        <w:t>School</w:t>
      </w:r>
      <w:r w:rsidRPr="00D11C1A">
        <w:rPr>
          <w:sz w:val="24"/>
        </w:rPr>
        <w:t xml:space="preserve"> </w:t>
      </w:r>
      <w:r w:rsidRPr="00D11C1A">
        <w:rPr>
          <w:i/>
          <w:sz w:val="24"/>
        </w:rPr>
        <w:t xml:space="preserve">Guidance Counselor, School Psychologist, </w:t>
      </w:r>
      <w:r w:rsidRPr="00D11C1A">
        <w:rPr>
          <w:sz w:val="24"/>
        </w:rPr>
        <w:t>and</w:t>
      </w:r>
      <w:r w:rsidRPr="00D11C1A">
        <w:rPr>
          <w:i/>
          <w:sz w:val="24"/>
        </w:rPr>
        <w:t xml:space="preserve"> School Social Worker/Adjustment Counselor</w:t>
      </w:r>
      <w:r w:rsidRPr="00D11C1A">
        <w:rPr>
          <w:sz w:val="24"/>
        </w:rPr>
        <w:t xml:space="preserve"> official graduate transcripts that include the date of conferral for the masters degree or higher. </w:t>
      </w:r>
    </w:p>
    <w:p w:rsidR="00AE539A" w:rsidRPr="00D11C1A" w:rsidRDefault="00AE539A">
      <w:pPr>
        <w:rPr>
          <w:sz w:val="24"/>
        </w:rPr>
      </w:pPr>
    </w:p>
    <w:sectPr w:rsidR="00AE539A" w:rsidRPr="00D11C1A" w:rsidSect="001274A8">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7D" w:rsidRDefault="00B3167D" w:rsidP="009A6752">
      <w:r>
        <w:separator/>
      </w:r>
    </w:p>
  </w:endnote>
  <w:endnote w:type="continuationSeparator" w:id="0">
    <w:p w:rsidR="00B3167D" w:rsidRDefault="00B3167D" w:rsidP="009A6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38" w:rsidRDefault="001707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D7" w:rsidRDefault="000E1A74" w:rsidP="00657B26">
    <w:pPr>
      <w:pStyle w:val="Footer"/>
      <w:jc w:val="right"/>
    </w:pPr>
    <w:r>
      <w:rPr>
        <w:noProof/>
      </w:rPr>
      <w:pict>
        <v:shapetype id="_x0000_t32" coordsize="21600,21600" o:spt="32" o:oned="t" path="m,l21600,21600e" filled="f">
          <v:path arrowok="t" fillok="f" o:connecttype="none"/>
          <o:lock v:ext="edit" shapetype="t"/>
        </v:shapetype>
        <v:shape id="AutoShape 1" o:spid="_x0000_s2049" type="#_x0000_t32" alt="Description: horizontal line" style="position:absolute;left:0;text-align:left;margin-left:70.5pt;margin-top:17.95pt;width:469.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" strokecolor="#365f91 [2404]"/>
      </w:pict>
    </w:r>
    <w:r w:rsidR="003D2355">
      <w:rPr>
        <w:noProof/>
        <w:lang w:eastAsia="zh-CN" w:bidi="km-KH"/>
      </w:rPr>
      <w:drawing>
        <wp:anchor distT="0" distB="0" distL="114300" distR="114300" simplePos="0" relativeHeight="251661312" behindDoc="0" locked="0" layoutInCell="1" allowOverlap="1">
          <wp:simplePos x="0" y="0"/>
          <wp:positionH relativeFrom="column">
            <wp:posOffset>-238125</wp:posOffset>
          </wp:positionH>
          <wp:positionV relativeFrom="paragraph">
            <wp:posOffset>-67310</wp:posOffset>
          </wp:positionV>
          <wp:extent cx="1097280" cy="533400"/>
          <wp:effectExtent l="19050" t="0" r="7620" b="0"/>
          <wp:wrapNone/>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tretch>
                    <a:fillRect/>
                  </a:stretch>
                </pic:blipFill>
                <pic:spPr bwMode="auto">
                  <a:xfrm>
                    <a:off x="0" y="0"/>
                    <a:ext cx="1097280" cy="533400"/>
                  </a:xfrm>
                  <a:prstGeom prst="rect">
                    <a:avLst/>
                  </a:prstGeom>
                  <a:noFill/>
                  <a:ln w="9525">
                    <a:noFill/>
                    <a:miter lim="800000"/>
                    <a:headEnd/>
                    <a:tailEnd/>
                  </a:ln>
                </pic:spPr>
              </pic:pic>
            </a:graphicData>
          </a:graphic>
        </wp:anchor>
      </w:drawing>
    </w:r>
    <w:r w:rsidR="008448D8">
      <w:t>February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38" w:rsidRDefault="00170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7D" w:rsidRDefault="00B3167D" w:rsidP="009A6752">
      <w:r>
        <w:separator/>
      </w:r>
    </w:p>
  </w:footnote>
  <w:footnote w:type="continuationSeparator" w:id="0">
    <w:p w:rsidR="00B3167D" w:rsidRDefault="00B3167D" w:rsidP="009A6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38" w:rsidRDefault="00170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8" w:type="dxa"/>
      <w:tblBorders>
        <w:bottom w:val="single" w:sz="12" w:space="0" w:color="154786"/>
      </w:tblBorders>
      <w:tblLook w:val="04A0"/>
    </w:tblPr>
    <w:tblGrid>
      <w:gridCol w:w="6462"/>
      <w:gridCol w:w="3906"/>
    </w:tblGrid>
    <w:tr w:rsidR="00EA2133" w:rsidRPr="000962EA" w:rsidTr="002F1D62">
      <w:trPr>
        <w:trHeight w:val="1350"/>
      </w:trPr>
      <w:tc>
        <w:tcPr>
          <w:tcW w:w="6462" w:type="dxa"/>
          <w:shd w:val="clear" w:color="auto" w:fill="FFFFFF"/>
          <w:vAlign w:val="center"/>
        </w:tcPr>
        <w:p w:rsidR="00EA2133" w:rsidRPr="000962EA" w:rsidRDefault="00EA2133" w:rsidP="002F1D62">
          <w:pPr>
            <w:pStyle w:val="Header"/>
            <w:rPr>
              <w:color w:val="1F497D" w:themeColor="text2"/>
              <w:sz w:val="48"/>
            </w:rPr>
          </w:pPr>
          <w:r w:rsidRPr="000962EA">
            <w:rPr>
              <w:color w:val="1F497D" w:themeColor="text2"/>
              <w:sz w:val="48"/>
            </w:rPr>
            <w:t xml:space="preserve">Educator Preparation </w:t>
          </w:r>
        </w:p>
        <w:p w:rsidR="00EA2133" w:rsidRDefault="00EA2133" w:rsidP="002F1D62">
          <w:pPr>
            <w:pStyle w:val="Header"/>
            <w:rPr>
              <w:b/>
              <w:color w:val="E36C0A" w:themeColor="accent6" w:themeShade="BF"/>
              <w:sz w:val="28"/>
            </w:rPr>
          </w:pPr>
          <w:r>
            <w:rPr>
              <w:b/>
              <w:color w:val="E36C0A" w:themeColor="accent6" w:themeShade="BF"/>
              <w:sz w:val="28"/>
            </w:rPr>
            <w:t>Licensure Batch Process Advisory</w:t>
          </w:r>
        </w:p>
        <w:p w:rsidR="00EA2133" w:rsidRPr="000D2E6C" w:rsidRDefault="00EA2133" w:rsidP="002F1D62">
          <w:pPr>
            <w:pStyle w:val="Header"/>
            <w:rPr>
              <w:b/>
              <w:color w:val="E36C0A" w:themeColor="accent6" w:themeShade="BF"/>
              <w:sz w:val="28"/>
            </w:rPr>
          </w:pPr>
          <w:r>
            <w:rPr>
              <w:b/>
              <w:color w:val="808080" w:themeColor="background1" w:themeShade="80"/>
              <w:sz w:val="28"/>
            </w:rPr>
            <w:t>Updated February 2016</w:t>
          </w:r>
        </w:p>
      </w:tc>
      <w:tc>
        <w:tcPr>
          <w:tcW w:w="3906" w:type="dxa"/>
        </w:tcPr>
        <w:p w:rsidR="00EA2133" w:rsidRPr="000962EA" w:rsidRDefault="00EA2133" w:rsidP="002F1D62">
          <w:pPr>
            <w:pStyle w:val="Header"/>
          </w:pPr>
          <w:r>
            <w:rPr>
              <w:noProof/>
              <w:lang w:eastAsia="zh-CN" w:bidi="km-KH"/>
            </w:rPr>
            <w:drawing>
              <wp:inline distT="0" distB="0" distL="0" distR="0">
                <wp:extent cx="2027555" cy="826770"/>
                <wp:effectExtent l="0" t="0" r="0" b="0"/>
                <wp:docPr id="5" name="Picture 4"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2027555" cy="826770"/>
                        </a:xfrm>
                        <a:prstGeom prst="rect">
                          <a:avLst/>
                        </a:prstGeom>
                        <a:noFill/>
                        <a:ln w="9525">
                          <a:noFill/>
                          <a:miter lim="800000"/>
                          <a:headEnd/>
                          <a:tailEnd/>
                        </a:ln>
                      </pic:spPr>
                    </pic:pic>
                  </a:graphicData>
                </a:graphic>
              </wp:inline>
            </w:drawing>
          </w:r>
        </w:p>
      </w:tc>
    </w:tr>
  </w:tbl>
  <w:p w:rsidR="00EA2133" w:rsidRDefault="00EA21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38" w:rsidRDefault="00170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480pt;visibility:visible;mso-wrap-style:square" o:bullet="t">
        <v:imagedata r:id="rId1" o:title="one-38484_640[1]"/>
      </v:shape>
    </w:pict>
  </w:numPicBullet>
  <w:abstractNum w:abstractNumId="0">
    <w:nsid w:val="2553292F"/>
    <w:multiLevelType w:val="hybridMultilevel"/>
    <w:tmpl w:val="751E70E4"/>
    <w:lvl w:ilvl="0" w:tplc="4C88611A">
      <w:start w:val="1"/>
      <w:numFmt w:val="bullet"/>
      <w:lvlText w:val=""/>
      <w:lvlPicBulletId w:val="0"/>
      <w:lvlJc w:val="left"/>
      <w:pPr>
        <w:tabs>
          <w:tab w:val="num" w:pos="360"/>
        </w:tabs>
        <w:ind w:left="360" w:hanging="360"/>
      </w:pPr>
      <w:rPr>
        <w:rFonts w:ascii="Symbol" w:hAnsi="Symbol" w:hint="default"/>
      </w:rPr>
    </w:lvl>
    <w:lvl w:ilvl="1" w:tplc="A2E0D3E2" w:tentative="1">
      <w:start w:val="1"/>
      <w:numFmt w:val="bullet"/>
      <w:lvlText w:val=""/>
      <w:lvlJc w:val="left"/>
      <w:pPr>
        <w:tabs>
          <w:tab w:val="num" w:pos="1080"/>
        </w:tabs>
        <w:ind w:left="1080" w:hanging="360"/>
      </w:pPr>
      <w:rPr>
        <w:rFonts w:ascii="Symbol" w:hAnsi="Symbol" w:hint="default"/>
      </w:rPr>
    </w:lvl>
    <w:lvl w:ilvl="2" w:tplc="10504C28" w:tentative="1">
      <w:start w:val="1"/>
      <w:numFmt w:val="bullet"/>
      <w:lvlText w:val=""/>
      <w:lvlJc w:val="left"/>
      <w:pPr>
        <w:tabs>
          <w:tab w:val="num" w:pos="1800"/>
        </w:tabs>
        <w:ind w:left="1800" w:hanging="360"/>
      </w:pPr>
      <w:rPr>
        <w:rFonts w:ascii="Symbol" w:hAnsi="Symbol" w:hint="default"/>
      </w:rPr>
    </w:lvl>
    <w:lvl w:ilvl="3" w:tplc="F5489604" w:tentative="1">
      <w:start w:val="1"/>
      <w:numFmt w:val="bullet"/>
      <w:lvlText w:val=""/>
      <w:lvlJc w:val="left"/>
      <w:pPr>
        <w:tabs>
          <w:tab w:val="num" w:pos="2520"/>
        </w:tabs>
        <w:ind w:left="2520" w:hanging="360"/>
      </w:pPr>
      <w:rPr>
        <w:rFonts w:ascii="Symbol" w:hAnsi="Symbol" w:hint="default"/>
      </w:rPr>
    </w:lvl>
    <w:lvl w:ilvl="4" w:tplc="907A3294" w:tentative="1">
      <w:start w:val="1"/>
      <w:numFmt w:val="bullet"/>
      <w:lvlText w:val=""/>
      <w:lvlJc w:val="left"/>
      <w:pPr>
        <w:tabs>
          <w:tab w:val="num" w:pos="3240"/>
        </w:tabs>
        <w:ind w:left="3240" w:hanging="360"/>
      </w:pPr>
      <w:rPr>
        <w:rFonts w:ascii="Symbol" w:hAnsi="Symbol" w:hint="default"/>
      </w:rPr>
    </w:lvl>
    <w:lvl w:ilvl="5" w:tplc="B2FCFB52" w:tentative="1">
      <w:start w:val="1"/>
      <w:numFmt w:val="bullet"/>
      <w:lvlText w:val=""/>
      <w:lvlJc w:val="left"/>
      <w:pPr>
        <w:tabs>
          <w:tab w:val="num" w:pos="3960"/>
        </w:tabs>
        <w:ind w:left="3960" w:hanging="360"/>
      </w:pPr>
      <w:rPr>
        <w:rFonts w:ascii="Symbol" w:hAnsi="Symbol" w:hint="default"/>
      </w:rPr>
    </w:lvl>
    <w:lvl w:ilvl="6" w:tplc="09F0B136" w:tentative="1">
      <w:start w:val="1"/>
      <w:numFmt w:val="bullet"/>
      <w:lvlText w:val=""/>
      <w:lvlJc w:val="left"/>
      <w:pPr>
        <w:tabs>
          <w:tab w:val="num" w:pos="4680"/>
        </w:tabs>
        <w:ind w:left="4680" w:hanging="360"/>
      </w:pPr>
      <w:rPr>
        <w:rFonts w:ascii="Symbol" w:hAnsi="Symbol" w:hint="default"/>
      </w:rPr>
    </w:lvl>
    <w:lvl w:ilvl="7" w:tplc="E3749A1E" w:tentative="1">
      <w:start w:val="1"/>
      <w:numFmt w:val="bullet"/>
      <w:lvlText w:val=""/>
      <w:lvlJc w:val="left"/>
      <w:pPr>
        <w:tabs>
          <w:tab w:val="num" w:pos="5400"/>
        </w:tabs>
        <w:ind w:left="5400" w:hanging="360"/>
      </w:pPr>
      <w:rPr>
        <w:rFonts w:ascii="Symbol" w:hAnsi="Symbol" w:hint="default"/>
      </w:rPr>
    </w:lvl>
    <w:lvl w:ilvl="8" w:tplc="FB2EA414" w:tentative="1">
      <w:start w:val="1"/>
      <w:numFmt w:val="bullet"/>
      <w:lvlText w:val=""/>
      <w:lvlJc w:val="left"/>
      <w:pPr>
        <w:tabs>
          <w:tab w:val="num" w:pos="6120"/>
        </w:tabs>
        <w:ind w:left="6120" w:hanging="360"/>
      </w:pPr>
      <w:rPr>
        <w:rFonts w:ascii="Symbol" w:hAnsi="Symbol" w:hint="default"/>
      </w:rPr>
    </w:lvl>
  </w:abstractNum>
  <w:abstractNum w:abstractNumId="1">
    <w:nsid w:val="2C880A75"/>
    <w:multiLevelType w:val="multilevel"/>
    <w:tmpl w:val="C8086F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E417DD9"/>
    <w:multiLevelType w:val="hybridMultilevel"/>
    <w:tmpl w:val="BB8EF00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0E717D3"/>
    <w:multiLevelType w:val="singleLevel"/>
    <w:tmpl w:val="04090001"/>
    <w:lvl w:ilvl="0">
      <w:start w:val="1"/>
      <w:numFmt w:val="bullet"/>
      <w:lvlText w:val=""/>
      <w:lvlJc w:val="left"/>
      <w:pPr>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rules v:ext="edit">
        <o:r id="V:Rule1" type="connector" idref="#AutoShape 1"/>
      </o:rules>
    </o:shapelayout>
  </w:hdrShapeDefaults>
  <w:footnotePr>
    <w:footnote w:id="-1"/>
    <w:footnote w:id="0"/>
  </w:footnotePr>
  <w:endnotePr>
    <w:endnote w:id="-1"/>
    <w:endnote w:id="0"/>
  </w:endnotePr>
  <w:compat/>
  <w:rsids>
    <w:rsidRoot w:val="00BE610C"/>
    <w:rsid w:val="00097752"/>
    <w:rsid w:val="000A60C7"/>
    <w:rsid w:val="000E1A74"/>
    <w:rsid w:val="00170738"/>
    <w:rsid w:val="00245778"/>
    <w:rsid w:val="002A3D0D"/>
    <w:rsid w:val="002C7800"/>
    <w:rsid w:val="00373832"/>
    <w:rsid w:val="003D2355"/>
    <w:rsid w:val="00441448"/>
    <w:rsid w:val="0047417A"/>
    <w:rsid w:val="004E446D"/>
    <w:rsid w:val="00515080"/>
    <w:rsid w:val="005875F5"/>
    <w:rsid w:val="005C40EC"/>
    <w:rsid w:val="00675574"/>
    <w:rsid w:val="006E70DD"/>
    <w:rsid w:val="00704DF8"/>
    <w:rsid w:val="00712B11"/>
    <w:rsid w:val="007A22FC"/>
    <w:rsid w:val="007C7B84"/>
    <w:rsid w:val="008047B5"/>
    <w:rsid w:val="008061A3"/>
    <w:rsid w:val="008448D8"/>
    <w:rsid w:val="00896CC6"/>
    <w:rsid w:val="008A64F4"/>
    <w:rsid w:val="00960BD7"/>
    <w:rsid w:val="009A6752"/>
    <w:rsid w:val="009B6419"/>
    <w:rsid w:val="00AE539A"/>
    <w:rsid w:val="00B3167D"/>
    <w:rsid w:val="00B63457"/>
    <w:rsid w:val="00BC4C7C"/>
    <w:rsid w:val="00BE610C"/>
    <w:rsid w:val="00C547BF"/>
    <w:rsid w:val="00D11C1A"/>
    <w:rsid w:val="00D7217E"/>
    <w:rsid w:val="00EA2133"/>
    <w:rsid w:val="00EB6FB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0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610C"/>
    <w:pPr>
      <w:tabs>
        <w:tab w:val="center" w:pos="4680"/>
        <w:tab w:val="right" w:pos="9360"/>
      </w:tabs>
    </w:pPr>
  </w:style>
  <w:style w:type="character" w:customStyle="1" w:styleId="FooterChar">
    <w:name w:val="Footer Char"/>
    <w:basedOn w:val="DefaultParagraphFont"/>
    <w:link w:val="Footer"/>
    <w:uiPriority w:val="99"/>
    <w:rsid w:val="00BE610C"/>
    <w:rPr>
      <w:rFonts w:eastAsia="Times New Roman" w:cs="Times New Roman"/>
      <w:szCs w:val="24"/>
    </w:rPr>
  </w:style>
  <w:style w:type="paragraph" w:styleId="ListParagraph">
    <w:name w:val="List Paragraph"/>
    <w:basedOn w:val="Normal"/>
    <w:uiPriority w:val="34"/>
    <w:qFormat/>
    <w:rsid w:val="00BE610C"/>
    <w:pPr>
      <w:spacing w:after="200" w:line="276" w:lineRule="auto"/>
      <w:ind w:left="720"/>
      <w:contextualSpacing/>
    </w:pPr>
    <w:rPr>
      <w:rFonts w:eastAsiaTheme="minorHAnsi" w:cstheme="minorBidi"/>
      <w:szCs w:val="22"/>
    </w:rPr>
  </w:style>
  <w:style w:type="character" w:styleId="Hyperlink">
    <w:name w:val="Hyperlink"/>
    <w:basedOn w:val="DefaultParagraphFont"/>
    <w:rsid w:val="00BE610C"/>
    <w:rPr>
      <w:color w:val="0000FF" w:themeColor="hyperlink"/>
      <w:u w:val="single"/>
    </w:rPr>
  </w:style>
  <w:style w:type="paragraph" w:styleId="BalloonText">
    <w:name w:val="Balloon Text"/>
    <w:basedOn w:val="Normal"/>
    <w:link w:val="BalloonTextChar"/>
    <w:uiPriority w:val="99"/>
    <w:semiHidden/>
    <w:unhideWhenUsed/>
    <w:rsid w:val="004E446D"/>
    <w:rPr>
      <w:rFonts w:ascii="Tahoma" w:hAnsi="Tahoma" w:cs="Tahoma"/>
      <w:sz w:val="16"/>
      <w:szCs w:val="16"/>
    </w:rPr>
  </w:style>
  <w:style w:type="character" w:customStyle="1" w:styleId="BalloonTextChar">
    <w:name w:val="Balloon Text Char"/>
    <w:basedOn w:val="DefaultParagraphFont"/>
    <w:link w:val="BalloonText"/>
    <w:uiPriority w:val="99"/>
    <w:semiHidden/>
    <w:rsid w:val="004E446D"/>
    <w:rPr>
      <w:rFonts w:ascii="Tahoma" w:eastAsia="Times New Roman" w:hAnsi="Tahoma" w:cs="Tahoma"/>
      <w:sz w:val="16"/>
      <w:szCs w:val="16"/>
    </w:rPr>
  </w:style>
  <w:style w:type="paragraph" w:styleId="Header">
    <w:name w:val="header"/>
    <w:basedOn w:val="Normal"/>
    <w:link w:val="HeaderChar"/>
    <w:uiPriority w:val="99"/>
    <w:unhideWhenUsed/>
    <w:rsid w:val="009A6752"/>
    <w:pPr>
      <w:tabs>
        <w:tab w:val="center" w:pos="4680"/>
        <w:tab w:val="right" w:pos="9360"/>
      </w:tabs>
    </w:pPr>
  </w:style>
  <w:style w:type="character" w:customStyle="1" w:styleId="HeaderChar">
    <w:name w:val="Header Char"/>
    <w:basedOn w:val="DefaultParagraphFont"/>
    <w:link w:val="Header"/>
    <w:uiPriority w:val="99"/>
    <w:rsid w:val="009A6752"/>
    <w:rPr>
      <w:rFonts w:eastAsia="Times New Roman" w:cs="Times New Roman"/>
      <w:szCs w:val="24"/>
    </w:rPr>
  </w:style>
  <w:style w:type="character" w:styleId="FollowedHyperlink">
    <w:name w:val="FollowedHyperlink"/>
    <w:basedOn w:val="DefaultParagraphFont"/>
    <w:uiPriority w:val="99"/>
    <w:semiHidden/>
    <w:unhideWhenUsed/>
    <w:rsid w:val="00C547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0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610C"/>
    <w:pPr>
      <w:tabs>
        <w:tab w:val="center" w:pos="4680"/>
        <w:tab w:val="right" w:pos="9360"/>
      </w:tabs>
    </w:pPr>
  </w:style>
  <w:style w:type="character" w:customStyle="1" w:styleId="FooterChar">
    <w:name w:val="Footer Char"/>
    <w:basedOn w:val="DefaultParagraphFont"/>
    <w:link w:val="Footer"/>
    <w:uiPriority w:val="99"/>
    <w:rsid w:val="00BE610C"/>
    <w:rPr>
      <w:rFonts w:eastAsia="Times New Roman" w:cs="Times New Roman"/>
      <w:szCs w:val="24"/>
    </w:rPr>
  </w:style>
  <w:style w:type="paragraph" w:styleId="ListParagraph">
    <w:name w:val="List Paragraph"/>
    <w:basedOn w:val="Normal"/>
    <w:uiPriority w:val="34"/>
    <w:qFormat/>
    <w:rsid w:val="00BE610C"/>
    <w:pPr>
      <w:spacing w:after="200" w:line="276" w:lineRule="auto"/>
      <w:ind w:left="720"/>
      <w:contextualSpacing/>
    </w:pPr>
    <w:rPr>
      <w:rFonts w:eastAsiaTheme="minorHAnsi" w:cstheme="minorBidi"/>
      <w:szCs w:val="22"/>
    </w:rPr>
  </w:style>
  <w:style w:type="character" w:styleId="Hyperlink">
    <w:name w:val="Hyperlink"/>
    <w:basedOn w:val="DefaultParagraphFont"/>
    <w:rsid w:val="00BE610C"/>
    <w:rPr>
      <w:color w:val="0000FF" w:themeColor="hyperlink"/>
      <w:u w:val="single"/>
    </w:rPr>
  </w:style>
  <w:style w:type="paragraph" w:styleId="BalloonText">
    <w:name w:val="Balloon Text"/>
    <w:basedOn w:val="Normal"/>
    <w:link w:val="BalloonTextChar"/>
    <w:uiPriority w:val="99"/>
    <w:semiHidden/>
    <w:unhideWhenUsed/>
    <w:rsid w:val="004E446D"/>
    <w:rPr>
      <w:rFonts w:ascii="Tahoma" w:hAnsi="Tahoma" w:cs="Tahoma"/>
      <w:sz w:val="16"/>
      <w:szCs w:val="16"/>
    </w:rPr>
  </w:style>
  <w:style w:type="character" w:customStyle="1" w:styleId="BalloonTextChar">
    <w:name w:val="Balloon Text Char"/>
    <w:basedOn w:val="DefaultParagraphFont"/>
    <w:link w:val="BalloonText"/>
    <w:uiPriority w:val="99"/>
    <w:semiHidden/>
    <w:rsid w:val="004E446D"/>
    <w:rPr>
      <w:rFonts w:ascii="Tahoma" w:eastAsia="Times New Roman" w:hAnsi="Tahoma" w:cs="Tahoma"/>
      <w:sz w:val="16"/>
      <w:szCs w:val="16"/>
    </w:rPr>
  </w:style>
  <w:style w:type="paragraph" w:styleId="Header">
    <w:name w:val="header"/>
    <w:basedOn w:val="Normal"/>
    <w:link w:val="HeaderChar"/>
    <w:uiPriority w:val="99"/>
    <w:unhideWhenUsed/>
    <w:rsid w:val="009A6752"/>
    <w:pPr>
      <w:tabs>
        <w:tab w:val="center" w:pos="4680"/>
        <w:tab w:val="right" w:pos="9360"/>
      </w:tabs>
    </w:pPr>
  </w:style>
  <w:style w:type="character" w:customStyle="1" w:styleId="HeaderChar">
    <w:name w:val="Header Char"/>
    <w:basedOn w:val="DefaultParagraphFont"/>
    <w:link w:val="Header"/>
    <w:uiPriority w:val="99"/>
    <w:rsid w:val="009A6752"/>
    <w:rPr>
      <w:rFonts w:eastAsia="Times New Roman" w:cs="Times New Roman"/>
      <w:szCs w:val="24"/>
    </w:rPr>
  </w:style>
  <w:style w:type="character" w:styleId="FollowedHyperlink">
    <w:name w:val="FollowedHyperlink"/>
    <w:basedOn w:val="DefaultParagraphFont"/>
    <w:uiPriority w:val="99"/>
    <w:semiHidden/>
    <w:unhideWhenUsed/>
    <w:rsid w:val="00C547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oe.mass.edu/edprep/earlyid"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mass.gov/edu/government/departments-and-boards/ese/programs/educator-effectiveness/licensure/academic-prek-12/teacher/foreign-degree-and-credit-equivalen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edu/docs/ese/educator-effectiveness/licensing/elar-how-to-upload-document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rep@doe.mass.ed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DESE-231-22598</_dlc_DocId>
    <_dlc_DocIdUrl xmlns="733efe1c-5bbe-4968-87dc-d400e65c879f">
      <Url>https://sharepoint.doemass.org/ese/webteam/cps/_layouts/DocIdRedir.aspx?ID=DESE-231-22598</Url>
      <Description>DESE-231-22598</Description>
    </_dlc_DocIdUrl>
  </documentManagement>
</p:properties>
</file>

<file path=customXml/itemProps1.xml><?xml version="1.0" encoding="utf-8"?>
<ds:datastoreItem xmlns:ds="http://schemas.openxmlformats.org/officeDocument/2006/customXml" ds:itemID="{6C9228A3-E57C-406F-9770-540CD0A9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3BAEF-6678-491E-8C44-6AC1C155CE9B}">
  <ds:schemaRefs>
    <ds:schemaRef ds:uri="http://schemas.microsoft.com/sharepoint/events"/>
  </ds:schemaRefs>
</ds:datastoreItem>
</file>

<file path=customXml/itemProps3.xml><?xml version="1.0" encoding="utf-8"?>
<ds:datastoreItem xmlns:ds="http://schemas.openxmlformats.org/officeDocument/2006/customXml" ds:itemID="{8213129B-31A5-4FE4-AD8F-43C12D1408FE}">
  <ds:schemaRefs>
    <ds:schemaRef ds:uri="http://schemas.microsoft.com/sharepoint/v3/contenttype/forms"/>
  </ds:schemaRefs>
</ds:datastoreItem>
</file>

<file path=customXml/itemProps4.xml><?xml version="1.0" encoding="utf-8"?>
<ds:datastoreItem xmlns:ds="http://schemas.openxmlformats.org/officeDocument/2006/customXml" ds:itemID="{295D5CF7-AA95-4EB2-A8AC-7EECFFA97EC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Licensure Batch Process Advisory - February 2016</dc:title>
  <dc:creator>ESE</dc:creator>
  <cp:lastModifiedBy>dzou</cp:lastModifiedBy>
  <cp:revision>9</cp:revision>
  <dcterms:created xsi:type="dcterms:W3CDTF">2016-02-02T20:50:00Z</dcterms:created>
  <dcterms:modified xsi:type="dcterms:W3CDTF">2016-02-03T17:15:00Z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2016</vt:lpwstr>
  </property>
</Properties>
</file>