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DA63" w14:textId="77777777" w:rsidR="0020668C" w:rsidRPr="007C6BEB" w:rsidRDefault="00FB01D8">
      <w:pPr>
        <w:rPr>
          <w:color w:val="000000" w:themeColor="text1"/>
        </w:rPr>
      </w:pPr>
      <w:bookmarkStart w:id="0" w:name="_gjdgxs" w:colFirst="0" w:colLast="0"/>
      <w:bookmarkEnd w:id="0"/>
      <w:r w:rsidRPr="007E4CF4">
        <w:rPr>
          <w:noProof/>
          <w:color w:val="000000" w:themeColor="text1"/>
          <w:lang w:eastAsia="zh-CN"/>
        </w:rPr>
        <w:drawing>
          <wp:inline distT="0" distB="0" distL="0" distR="0" wp14:anchorId="38466716" wp14:editId="7FED7E52">
            <wp:extent cx="2476500" cy="1203960"/>
            <wp:effectExtent l="0" t="0" r="0" b="0"/>
            <wp:docPr id="1" name="Picture 1" descr="Massachusetts Department of Elementary and Secondary Education Logo"/>
            <wp:cNvGraphicFramePr/>
            <a:graphic xmlns:a="http://schemas.openxmlformats.org/drawingml/2006/main">
              <a:graphicData uri="http://schemas.openxmlformats.org/drawingml/2006/picture">
                <pic:pic xmlns:pic="http://schemas.openxmlformats.org/drawingml/2006/picture">
                  <pic:nvPicPr>
                    <pic:cNvPr id="0" name="image2.png" descr="Massachusetts Department of Elementary and Secondary Education Logo"/>
                    <pic:cNvPicPr preferRelativeResize="0"/>
                  </pic:nvPicPr>
                  <pic:blipFill>
                    <a:blip r:embed="rId12"/>
                    <a:srcRect/>
                    <a:stretch>
                      <a:fillRect/>
                    </a:stretch>
                  </pic:blipFill>
                  <pic:spPr>
                    <a:xfrm>
                      <a:off x="0" y="0"/>
                      <a:ext cx="2476500" cy="1203960"/>
                    </a:xfrm>
                    <a:prstGeom prst="rect">
                      <a:avLst/>
                    </a:prstGeom>
                    <a:ln/>
                  </pic:spPr>
                </pic:pic>
              </a:graphicData>
            </a:graphic>
          </wp:inline>
        </w:drawing>
      </w:r>
    </w:p>
    <w:p w14:paraId="5479DFDB" w14:textId="77777777" w:rsidR="0020668C" w:rsidRPr="00B1322B" w:rsidRDefault="0020668C" w:rsidP="00B1322B">
      <w:pPr>
        <w:rPr>
          <w:rFonts w:ascii="Times New Roman" w:hAnsi="Times New Roman" w:cs="Times New Roman"/>
          <w:b/>
          <w:sz w:val="28"/>
          <w:szCs w:val="28"/>
        </w:rPr>
      </w:pPr>
    </w:p>
    <w:p w14:paraId="628DB0DE" w14:textId="77777777" w:rsidR="0020668C" w:rsidRPr="00B1322B" w:rsidRDefault="0020668C" w:rsidP="00B1322B">
      <w:pPr>
        <w:rPr>
          <w:rFonts w:ascii="Times New Roman" w:hAnsi="Times New Roman" w:cs="Times New Roman"/>
          <w:b/>
          <w:sz w:val="28"/>
          <w:szCs w:val="28"/>
        </w:rPr>
      </w:pPr>
    </w:p>
    <w:p w14:paraId="70C72C75" w14:textId="77777777" w:rsidR="0020668C" w:rsidRPr="00B1322B" w:rsidRDefault="0020668C" w:rsidP="00B1322B">
      <w:pPr>
        <w:rPr>
          <w:rFonts w:ascii="Times New Roman" w:hAnsi="Times New Roman" w:cs="Times New Roman"/>
          <w:b/>
          <w:sz w:val="28"/>
          <w:szCs w:val="28"/>
        </w:rPr>
      </w:pPr>
    </w:p>
    <w:p w14:paraId="24016F5B" w14:textId="77777777" w:rsidR="0020668C" w:rsidRPr="00B1322B" w:rsidRDefault="0020668C" w:rsidP="00B1322B">
      <w:pPr>
        <w:rPr>
          <w:rFonts w:ascii="Times New Roman" w:hAnsi="Times New Roman" w:cs="Times New Roman"/>
          <w:b/>
          <w:sz w:val="28"/>
          <w:szCs w:val="28"/>
        </w:rPr>
      </w:pPr>
    </w:p>
    <w:p w14:paraId="01AC3CE5" w14:textId="77777777" w:rsidR="0020668C" w:rsidRPr="00B1322B" w:rsidRDefault="0020668C" w:rsidP="00B1322B">
      <w:pPr>
        <w:rPr>
          <w:rFonts w:ascii="Times New Roman" w:hAnsi="Times New Roman" w:cs="Times New Roman"/>
          <w:b/>
          <w:sz w:val="28"/>
          <w:szCs w:val="28"/>
        </w:rPr>
      </w:pPr>
    </w:p>
    <w:p w14:paraId="47A8C521" w14:textId="77777777" w:rsidR="0020668C" w:rsidRPr="00B1322B" w:rsidRDefault="0020668C" w:rsidP="00B1322B">
      <w:pPr>
        <w:rPr>
          <w:rFonts w:ascii="Times New Roman" w:hAnsi="Times New Roman" w:cs="Times New Roman"/>
          <w:b/>
          <w:sz w:val="28"/>
          <w:szCs w:val="28"/>
        </w:rPr>
      </w:pPr>
    </w:p>
    <w:p w14:paraId="309F55B6" w14:textId="77777777" w:rsidR="0020668C" w:rsidRPr="00B1322B" w:rsidRDefault="0020668C" w:rsidP="00B1322B">
      <w:pPr>
        <w:rPr>
          <w:rFonts w:ascii="Times New Roman" w:hAnsi="Times New Roman" w:cs="Times New Roman"/>
          <w:b/>
          <w:sz w:val="28"/>
          <w:szCs w:val="28"/>
        </w:rPr>
      </w:pPr>
    </w:p>
    <w:p w14:paraId="6BA805F9" w14:textId="77777777" w:rsidR="0020668C" w:rsidRPr="00D15EF2" w:rsidRDefault="0020668C" w:rsidP="00D15EF2">
      <w:pPr>
        <w:rPr>
          <w:rFonts w:ascii="Times New Roman" w:hAnsi="Times New Roman" w:cs="Times New Roman"/>
          <w:b/>
          <w:sz w:val="28"/>
          <w:szCs w:val="28"/>
        </w:rPr>
      </w:pPr>
    </w:p>
    <w:p w14:paraId="27FA2003" w14:textId="77777777" w:rsidR="0020668C" w:rsidRPr="00D15EF2" w:rsidRDefault="0020668C" w:rsidP="00D15EF2">
      <w:pPr>
        <w:rPr>
          <w:rFonts w:ascii="Times New Roman" w:hAnsi="Times New Roman" w:cs="Times New Roman"/>
          <w:b/>
          <w:sz w:val="28"/>
          <w:szCs w:val="28"/>
        </w:rPr>
      </w:pPr>
    </w:p>
    <w:p w14:paraId="41AAE4FD" w14:textId="77777777" w:rsidR="0020668C" w:rsidRPr="00B1322B" w:rsidRDefault="0020668C" w:rsidP="00B1322B">
      <w:pPr>
        <w:rPr>
          <w:rFonts w:ascii="Times New Roman" w:hAnsi="Times New Roman" w:cs="Times New Roman"/>
          <w:b/>
          <w:sz w:val="28"/>
          <w:szCs w:val="28"/>
        </w:rPr>
      </w:pPr>
    </w:p>
    <w:p w14:paraId="541F85D7" w14:textId="77777777" w:rsidR="0020668C" w:rsidRPr="00B1322B" w:rsidRDefault="0020668C" w:rsidP="00B1322B">
      <w:pPr>
        <w:rPr>
          <w:rFonts w:ascii="Times New Roman" w:hAnsi="Times New Roman" w:cs="Times New Roman"/>
          <w:b/>
          <w:sz w:val="28"/>
          <w:szCs w:val="28"/>
        </w:rPr>
      </w:pPr>
    </w:p>
    <w:p w14:paraId="585E7154" w14:textId="77777777" w:rsidR="0020668C" w:rsidRPr="00B1322B" w:rsidRDefault="0020668C" w:rsidP="00B1322B">
      <w:pPr>
        <w:rPr>
          <w:rFonts w:ascii="Times New Roman" w:hAnsi="Times New Roman" w:cs="Times New Roman"/>
          <w:b/>
          <w:sz w:val="28"/>
          <w:szCs w:val="28"/>
        </w:rPr>
      </w:pPr>
    </w:p>
    <w:p w14:paraId="3A2E96C2" w14:textId="77777777" w:rsidR="0020668C" w:rsidRPr="00B1322B" w:rsidRDefault="0020668C" w:rsidP="00B1322B">
      <w:pPr>
        <w:rPr>
          <w:rFonts w:ascii="Times New Roman" w:hAnsi="Times New Roman" w:cs="Times New Roman"/>
          <w:b/>
          <w:sz w:val="28"/>
          <w:szCs w:val="28"/>
        </w:rPr>
      </w:pPr>
    </w:p>
    <w:p w14:paraId="5B83108C" w14:textId="074EEE47" w:rsidR="00B44FA3" w:rsidRPr="00D15EF2" w:rsidRDefault="00996F34" w:rsidP="00D15EF2">
      <w:pPr>
        <w:pStyle w:val="Title"/>
      </w:pPr>
      <w:r w:rsidRPr="00D15EF2">
        <w:t xml:space="preserve">Guidelines for the </w:t>
      </w:r>
      <w:r w:rsidR="00B44FA3" w:rsidRPr="00D15EF2">
        <w:t>Bilingual Education Endorsement</w:t>
      </w:r>
    </w:p>
    <w:p w14:paraId="6DDE9E81" w14:textId="2C52035C" w:rsidR="0020668C" w:rsidRPr="00054FF8" w:rsidRDefault="00B1322B" w:rsidP="00B1322B">
      <w:r>
        <w:rPr>
          <w:noProof/>
          <w:lang w:eastAsia="zh-CN"/>
        </w:rPr>
        <mc:AlternateContent>
          <mc:Choice Requires="wps">
            <w:drawing>
              <wp:inline distT="0" distB="0" distL="0" distR="0" wp14:anchorId="13BE1EAF" wp14:editId="727BBDE0">
                <wp:extent cx="6400800" cy="0"/>
                <wp:effectExtent l="0" t="0" r="0" b="0"/>
                <wp:docPr id="2" name="Straight Connector 2" descr="horizontal line"/>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inline>
            </w:drawing>
          </mc:Choice>
          <mc:Fallback>
            <w:pict>
              <v:line w14:anchorId="64463A7D" id="Straight Connector 2" o:spid="_x0000_s1026" alt="horizontal line"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" strokecolor="#7f7f7f [1612]" strokeweight="2pt">
                <w10:anchorlock/>
              </v:line>
            </w:pict>
          </mc:Fallback>
        </mc:AlternateContent>
      </w:r>
    </w:p>
    <w:p w14:paraId="3F9F080B" w14:textId="6F448FA3" w:rsidR="003C0291" w:rsidRPr="00157E67" w:rsidRDefault="00157E67" w:rsidP="00B1322B">
      <w:pPr>
        <w:rPr>
          <w:b/>
          <w:bCs/>
          <w:i/>
          <w:iCs/>
          <w:color w:val="1F497D" w:themeColor="text2"/>
          <w:sz w:val="22"/>
          <w:szCs w:val="22"/>
        </w:rPr>
      </w:pPr>
      <w:r>
        <w:rPr>
          <w:b/>
          <w:bCs/>
          <w:i/>
          <w:iCs/>
          <w:color w:val="1F497D" w:themeColor="text2"/>
          <w:sz w:val="22"/>
          <w:szCs w:val="22"/>
        </w:rPr>
        <w:t>Updated Fall 2023</w:t>
      </w:r>
    </w:p>
    <w:p w14:paraId="7CA26176" w14:textId="0DBFB8B3" w:rsidR="003C0291" w:rsidRDefault="003C0291" w:rsidP="00B1322B"/>
    <w:p w14:paraId="0F1D66D3" w14:textId="4DF83132" w:rsidR="003C0291" w:rsidRDefault="003C0291" w:rsidP="00D63DB3"/>
    <w:p w14:paraId="458423BB" w14:textId="5CC28185" w:rsidR="003C0291" w:rsidRDefault="003C0291" w:rsidP="00D63DB3"/>
    <w:p w14:paraId="2CEFB2B8" w14:textId="1170A564" w:rsidR="003C0291" w:rsidRDefault="003C0291" w:rsidP="00D63DB3"/>
    <w:p w14:paraId="2985A05B" w14:textId="57C795C7" w:rsidR="003C0291" w:rsidRDefault="003C0291" w:rsidP="00D63DB3"/>
    <w:p w14:paraId="1EC9D7A0" w14:textId="37DC6C62" w:rsidR="003C0291" w:rsidRDefault="003C0291" w:rsidP="00D63DB3"/>
    <w:p w14:paraId="1E36C658" w14:textId="57A8DD7E" w:rsidR="003C0291" w:rsidRDefault="003C0291" w:rsidP="00D63DB3"/>
    <w:p w14:paraId="04462223" w14:textId="2AAA7F7E" w:rsidR="003C0291" w:rsidRDefault="003C0291" w:rsidP="00D63DB3"/>
    <w:p w14:paraId="69E9C86E" w14:textId="1FD2FC0C" w:rsidR="003C0291" w:rsidRDefault="003C0291" w:rsidP="00D63DB3"/>
    <w:p w14:paraId="7C1C27DB" w14:textId="02DDD122" w:rsidR="003C0291" w:rsidRDefault="003C0291" w:rsidP="00D63DB3"/>
    <w:p w14:paraId="12ACC9EA" w14:textId="62AE8630" w:rsidR="003C0291" w:rsidRDefault="003C0291" w:rsidP="00D63DB3"/>
    <w:p w14:paraId="5C5EBE72" w14:textId="69EFA847" w:rsidR="003C0291" w:rsidRDefault="003C0291" w:rsidP="00D63DB3"/>
    <w:p w14:paraId="2A179AD7" w14:textId="1A6D9AA8" w:rsidR="003C0291" w:rsidRDefault="003C0291" w:rsidP="00D63DB3"/>
    <w:p w14:paraId="79D2E097" w14:textId="402E123F" w:rsidR="003C0291" w:rsidRDefault="003C0291" w:rsidP="00D63DB3"/>
    <w:p w14:paraId="427EE296" w14:textId="3351D6E5" w:rsidR="003C0291" w:rsidRDefault="003C0291" w:rsidP="00D63DB3"/>
    <w:p w14:paraId="6348918A" w14:textId="1E617EBD" w:rsidR="003C0291" w:rsidRPr="00D63DB3" w:rsidRDefault="003C0291" w:rsidP="00D63DB3"/>
    <w:p w14:paraId="41721D38" w14:textId="56B8BE2F" w:rsidR="0020668C" w:rsidRPr="00D63DB3" w:rsidRDefault="00000000">
      <w:pPr>
        <w:pBdr>
          <w:top w:val="nil"/>
          <w:left w:val="nil"/>
          <w:bottom w:val="nil"/>
          <w:right w:val="nil"/>
          <w:between w:val="nil"/>
        </w:pBdr>
        <w:rPr>
          <w:rFonts w:ascii="Times New Roman" w:hAnsi="Times New Roman" w:cs="Times New Roman"/>
          <w:b/>
          <w:color w:val="000000" w:themeColor="text1"/>
          <w:sz w:val="18"/>
          <w:szCs w:val="18"/>
        </w:rPr>
      </w:pPr>
      <w:hyperlink r:id="rId13" w:history="1">
        <w:r w:rsidR="00FB01D8" w:rsidRPr="0045583D">
          <w:rPr>
            <w:rStyle w:val="Hyperlink"/>
            <w:rFonts w:ascii="Times New Roman" w:hAnsi="Times New Roman" w:cs="Times New Roman"/>
            <w:b/>
            <w:sz w:val="18"/>
            <w:szCs w:val="18"/>
          </w:rPr>
          <w:t>Massachusetts Department of Elementary and Secondary Education</w:t>
        </w:r>
      </w:hyperlink>
    </w:p>
    <w:p w14:paraId="51D7BBDE" w14:textId="77777777" w:rsidR="0020668C" w:rsidRPr="00D63DB3" w:rsidRDefault="00FB01D8">
      <w:pPr>
        <w:pBdr>
          <w:top w:val="nil"/>
          <w:left w:val="nil"/>
          <w:bottom w:val="nil"/>
          <w:right w:val="nil"/>
          <w:between w:val="nil"/>
        </w:pBdr>
        <w:ind w:right="-108"/>
        <w:rPr>
          <w:rFonts w:ascii="Times New Roman" w:hAnsi="Times New Roman" w:cs="Times New Roman"/>
          <w:color w:val="000000" w:themeColor="text1"/>
          <w:sz w:val="18"/>
          <w:szCs w:val="18"/>
        </w:rPr>
      </w:pPr>
      <w:r w:rsidRPr="00D63DB3">
        <w:rPr>
          <w:rFonts w:ascii="Times New Roman" w:hAnsi="Times New Roman" w:cs="Times New Roman"/>
          <w:color w:val="000000" w:themeColor="text1"/>
          <w:sz w:val="18"/>
          <w:szCs w:val="18"/>
        </w:rPr>
        <w:t>75 Pleasant Street, Malden, MA 02148-4906</w:t>
      </w:r>
    </w:p>
    <w:p w14:paraId="5C4F1B46" w14:textId="77777777" w:rsidR="0020668C" w:rsidRPr="00D63DB3" w:rsidRDefault="00FB01D8">
      <w:pPr>
        <w:pBdr>
          <w:top w:val="nil"/>
          <w:left w:val="nil"/>
          <w:bottom w:val="nil"/>
          <w:right w:val="nil"/>
          <w:between w:val="nil"/>
        </w:pBdr>
        <w:ind w:right="-108"/>
        <w:rPr>
          <w:rFonts w:ascii="Times New Roman" w:hAnsi="Times New Roman" w:cs="Times New Roman"/>
          <w:color w:val="000000" w:themeColor="text1"/>
          <w:sz w:val="18"/>
          <w:szCs w:val="18"/>
        </w:rPr>
      </w:pPr>
      <w:r w:rsidRPr="00D63DB3">
        <w:rPr>
          <w:rFonts w:ascii="Times New Roman" w:hAnsi="Times New Roman" w:cs="Times New Roman"/>
          <w:color w:val="000000" w:themeColor="text1"/>
          <w:sz w:val="18"/>
          <w:szCs w:val="18"/>
        </w:rPr>
        <w:t>Phone 781-338-</w:t>
      </w:r>
      <w:proofErr w:type="gramStart"/>
      <w:r w:rsidRPr="00D63DB3">
        <w:rPr>
          <w:rFonts w:ascii="Times New Roman" w:hAnsi="Times New Roman" w:cs="Times New Roman"/>
          <w:color w:val="000000" w:themeColor="text1"/>
          <w:sz w:val="18"/>
          <w:szCs w:val="18"/>
        </w:rPr>
        <w:t>3000  TTY</w:t>
      </w:r>
      <w:proofErr w:type="gramEnd"/>
      <w:r w:rsidRPr="00D63DB3">
        <w:rPr>
          <w:rFonts w:ascii="Times New Roman" w:hAnsi="Times New Roman" w:cs="Times New Roman"/>
          <w:color w:val="000000" w:themeColor="text1"/>
          <w:sz w:val="18"/>
          <w:szCs w:val="18"/>
        </w:rPr>
        <w:t>: N.E.T. Relay 800-439-2370</w:t>
      </w:r>
    </w:p>
    <w:p w14:paraId="795F60D6" w14:textId="45A60B68" w:rsidR="00B70477" w:rsidRDefault="00B70477" w:rsidP="00D63DB3">
      <w:pPr>
        <w:rPr>
          <w:rFonts w:ascii="Times New Roman" w:hAnsi="Times New Roman" w:cs="Times New Roman"/>
          <w:color w:val="000000" w:themeColor="text1"/>
          <w:sz w:val="18"/>
          <w:u w:val="single"/>
        </w:rPr>
      </w:pPr>
    </w:p>
    <w:p w14:paraId="57277EF2" w14:textId="77777777" w:rsidR="0045583D" w:rsidRPr="00D63DB3" w:rsidRDefault="0045583D" w:rsidP="00D63DB3">
      <w:pPr>
        <w:rPr>
          <w:rFonts w:ascii="Times New Roman" w:hAnsi="Times New Roman" w:cs="Times New Roman"/>
          <w:color w:val="000000" w:themeColor="text1"/>
          <w:sz w:val="18"/>
        </w:rPr>
      </w:pPr>
    </w:p>
    <w:p w14:paraId="28B2AE9E" w14:textId="77777777" w:rsidR="00B44FA3" w:rsidRPr="00205393" w:rsidRDefault="00B44FA3" w:rsidP="00D15EF2">
      <w:pPr>
        <w:pStyle w:val="Heading1"/>
        <w:sectPr w:rsidR="00B44FA3" w:rsidRPr="00205393" w:rsidSect="001271B1">
          <w:headerReference w:type="even" r:id="rId14"/>
          <w:headerReference w:type="default" r:id="rId15"/>
          <w:footerReference w:type="even" r:id="rId16"/>
          <w:footerReference w:type="default" r:id="rId17"/>
          <w:footerReference w:type="first" r:id="rId18"/>
          <w:pgSz w:w="12240" w:h="15840"/>
          <w:pgMar w:top="1008" w:right="1080" w:bottom="1008" w:left="1080" w:header="288" w:footer="288" w:gutter="0"/>
          <w:pgNumType w:start="1"/>
          <w:cols w:space="720"/>
          <w:titlePg/>
          <w:docGrid w:linePitch="326"/>
        </w:sectPr>
      </w:pPr>
    </w:p>
    <w:p w14:paraId="354B57C5" w14:textId="77777777" w:rsidR="003C0291" w:rsidRDefault="003C0291">
      <w:pPr>
        <w:rPr>
          <w:rFonts w:ascii="Times New Roman" w:eastAsia="Times New Roman" w:hAnsi="Times New Roman" w:cs="Times New Roman"/>
          <w:b/>
          <w:color w:val="000000" w:themeColor="text1"/>
          <w:sz w:val="32"/>
        </w:rPr>
      </w:pPr>
      <w:r>
        <w:rPr>
          <w:rFonts w:ascii="Times New Roman" w:eastAsia="Times New Roman" w:hAnsi="Times New Roman" w:cs="Times New Roman"/>
          <w:color w:val="000000" w:themeColor="text1"/>
        </w:rPr>
        <w:br w:type="page"/>
      </w:r>
    </w:p>
    <w:p w14:paraId="085A2584" w14:textId="16E39EAF" w:rsidR="0020668C" w:rsidRPr="00D15EF2" w:rsidRDefault="00FB01D8" w:rsidP="00D15EF2">
      <w:pPr>
        <w:pStyle w:val="Heading1"/>
      </w:pPr>
      <w:r w:rsidRPr="00D15EF2">
        <w:lastRenderedPageBreak/>
        <w:t>I. Context and Purpose:</w:t>
      </w:r>
    </w:p>
    <w:p w14:paraId="7DD41A2F" w14:textId="4ED22EA4" w:rsidR="0020668C" w:rsidRPr="00205393" w:rsidRDefault="00FB01D8">
      <w:pPr>
        <w:spacing w:before="280" w:after="280"/>
        <w:rPr>
          <w:rFonts w:ascii="Times New Roman" w:eastAsia="Arial" w:hAnsi="Times New Roman" w:cs="Times New Roman"/>
          <w:color w:val="000000" w:themeColor="text1"/>
        </w:rPr>
      </w:pPr>
      <w:r w:rsidRPr="00205393">
        <w:rPr>
          <w:rFonts w:ascii="Times New Roman" w:eastAsia="Arial" w:hAnsi="Times New Roman" w:cs="Times New Roman"/>
          <w:color w:val="000000" w:themeColor="text1"/>
        </w:rPr>
        <w:t xml:space="preserve">The population of English learners (ELs) enrolled in Massachusetts public schools </w:t>
      </w:r>
      <w:r w:rsidR="00EF505B">
        <w:rPr>
          <w:rFonts w:ascii="Times New Roman" w:eastAsia="Arial" w:hAnsi="Times New Roman" w:cs="Times New Roman"/>
          <w:color w:val="000000" w:themeColor="text1"/>
        </w:rPr>
        <w:t xml:space="preserve">has </w:t>
      </w:r>
      <w:r w:rsidR="00EF505B" w:rsidRPr="0017079C">
        <w:rPr>
          <w:rFonts w:ascii="Times New Roman" w:eastAsia="Arial" w:hAnsi="Times New Roman" w:cs="Times New Roman"/>
          <w:color w:val="000000" w:themeColor="text1"/>
        </w:rPr>
        <w:t xml:space="preserve">increased by </w:t>
      </w:r>
      <w:r w:rsidR="0017079C" w:rsidRPr="0017079C">
        <w:rPr>
          <w:rFonts w:ascii="Times New Roman" w:eastAsia="Arial" w:hAnsi="Times New Roman" w:cs="Times New Roman"/>
          <w:color w:val="000000" w:themeColor="text1"/>
        </w:rPr>
        <w:t>75</w:t>
      </w:r>
      <w:r w:rsidR="00EF505B" w:rsidRPr="0017079C">
        <w:rPr>
          <w:rFonts w:ascii="Times New Roman" w:eastAsia="Arial" w:hAnsi="Times New Roman" w:cs="Times New Roman"/>
          <w:color w:val="000000" w:themeColor="text1"/>
        </w:rPr>
        <w:t xml:space="preserve">% over the past </w:t>
      </w:r>
      <w:r w:rsidR="0017079C" w:rsidRPr="0017079C">
        <w:rPr>
          <w:rFonts w:ascii="Times New Roman" w:eastAsia="Arial" w:hAnsi="Times New Roman" w:cs="Times New Roman"/>
          <w:color w:val="000000" w:themeColor="text1"/>
        </w:rPr>
        <w:t>10</w:t>
      </w:r>
      <w:r w:rsidR="00EF505B" w:rsidRPr="0017079C">
        <w:rPr>
          <w:rFonts w:ascii="Times New Roman" w:eastAsia="Arial" w:hAnsi="Times New Roman" w:cs="Times New Roman"/>
          <w:color w:val="000000" w:themeColor="text1"/>
        </w:rPr>
        <w:t xml:space="preserve"> years</w:t>
      </w:r>
      <w:r w:rsidRPr="0017079C">
        <w:rPr>
          <w:rFonts w:ascii="Times New Roman" w:eastAsia="Arial" w:hAnsi="Times New Roman" w:cs="Times New Roman"/>
          <w:color w:val="000000" w:themeColor="text1"/>
        </w:rPr>
        <w:t>.</w:t>
      </w:r>
      <w:r w:rsidRPr="00205393">
        <w:rPr>
          <w:rFonts w:ascii="Times New Roman" w:eastAsia="Arial" w:hAnsi="Times New Roman" w:cs="Times New Roman"/>
          <w:color w:val="000000" w:themeColor="text1"/>
        </w:rPr>
        <w:t xml:space="preserve"> The Department</w:t>
      </w:r>
      <w:r w:rsidR="000D1BC5">
        <w:rPr>
          <w:rFonts w:ascii="Times New Roman" w:eastAsia="Arial" w:hAnsi="Times New Roman" w:cs="Times New Roman"/>
          <w:color w:val="000000" w:themeColor="text1"/>
        </w:rPr>
        <w:t xml:space="preserve"> of Elementary and Secondary Education (DESE)</w:t>
      </w:r>
      <w:r w:rsidRPr="00205393">
        <w:rPr>
          <w:rFonts w:ascii="Times New Roman" w:eastAsia="Arial" w:hAnsi="Times New Roman" w:cs="Times New Roman"/>
          <w:color w:val="000000" w:themeColor="text1"/>
        </w:rPr>
        <w:t xml:space="preserve"> has dedicated significant resources and efforts to improve the education of English </w:t>
      </w:r>
      <w:proofErr w:type="gramStart"/>
      <w:r w:rsidRPr="00205393">
        <w:rPr>
          <w:rFonts w:ascii="Times New Roman" w:eastAsia="Arial" w:hAnsi="Times New Roman" w:cs="Times New Roman"/>
          <w:color w:val="000000" w:themeColor="text1"/>
        </w:rPr>
        <w:t>learners</w:t>
      </w:r>
      <w:r w:rsidR="005835AC">
        <w:rPr>
          <w:rFonts w:ascii="Times New Roman" w:eastAsia="Arial" w:hAnsi="Times New Roman" w:cs="Times New Roman"/>
          <w:color w:val="000000" w:themeColor="text1"/>
        </w:rPr>
        <w:t>,</w:t>
      </w:r>
      <w:r w:rsidRPr="00205393">
        <w:rPr>
          <w:rFonts w:ascii="Times New Roman" w:eastAsia="Arial" w:hAnsi="Times New Roman" w:cs="Times New Roman"/>
          <w:color w:val="000000" w:themeColor="text1"/>
        </w:rPr>
        <w:t xml:space="preserve"> and</w:t>
      </w:r>
      <w:proofErr w:type="gramEnd"/>
      <w:r w:rsidRPr="00205393">
        <w:rPr>
          <w:rFonts w:ascii="Times New Roman" w:eastAsia="Arial" w:hAnsi="Times New Roman" w:cs="Times New Roman"/>
          <w:color w:val="000000" w:themeColor="text1"/>
        </w:rPr>
        <w:t xml:space="preserve"> is committed to continuing its work in this area.</w:t>
      </w:r>
    </w:p>
    <w:p w14:paraId="323AAFDF" w14:textId="191F37D0" w:rsidR="0020668C" w:rsidRPr="00205393" w:rsidRDefault="00FB01D8">
      <w:pPr>
        <w:rPr>
          <w:rFonts w:ascii="Times New Roman" w:hAnsi="Times New Roman" w:cs="Times New Roman"/>
          <w:color w:val="000000" w:themeColor="text1"/>
        </w:rPr>
      </w:pPr>
      <w:r w:rsidRPr="00205393">
        <w:rPr>
          <w:rFonts w:ascii="Times New Roman" w:eastAsia="Arial" w:hAnsi="Times New Roman" w:cs="Times New Roman"/>
          <w:color w:val="000000" w:themeColor="text1"/>
        </w:rPr>
        <w:t xml:space="preserve">On November 22, 2017 Governor Baker signed into law the </w:t>
      </w:r>
      <w:r w:rsidRPr="00111BCE">
        <w:rPr>
          <w:rFonts w:ascii="Times New Roman" w:eastAsia="Arial" w:hAnsi="Times New Roman" w:cs="Times New Roman"/>
          <w:color w:val="000000" w:themeColor="text1"/>
        </w:rPr>
        <w:t xml:space="preserve">Act Relative to Language Opportunity for Our Kids </w:t>
      </w:r>
      <w:r w:rsidRPr="00205393">
        <w:rPr>
          <w:rFonts w:ascii="Times New Roman" w:eastAsia="Arial" w:hAnsi="Times New Roman" w:cs="Times New Roman"/>
          <w:color w:val="000000" w:themeColor="text1"/>
        </w:rPr>
        <w:t xml:space="preserve">(LOOK). We believe that the LOOK Act will further improve the education of English learners, will </w:t>
      </w:r>
      <w:r w:rsidRPr="00205393">
        <w:rPr>
          <w:rFonts w:ascii="Times New Roman" w:hAnsi="Times New Roman" w:cs="Times New Roman"/>
          <w:color w:val="000000" w:themeColor="text1"/>
        </w:rPr>
        <w:t>continue to strengthen instruction and better support the academic achievement of English learners (ELs) while providing more flexibility for districts regarding the type of English learner education program they feel best meets the needs of their students.</w:t>
      </w:r>
    </w:p>
    <w:p w14:paraId="69E1AFF9" w14:textId="77777777" w:rsidR="00B44FA3" w:rsidRPr="00205393" w:rsidRDefault="00B44FA3">
      <w:pPr>
        <w:rPr>
          <w:rFonts w:ascii="Times New Roman" w:hAnsi="Times New Roman" w:cs="Times New Roman"/>
          <w:color w:val="000000" w:themeColor="text1"/>
        </w:rPr>
      </w:pPr>
    </w:p>
    <w:p w14:paraId="1079C725" w14:textId="0BD06659" w:rsidR="0020668C" w:rsidRPr="00055870" w:rsidRDefault="005835AC">
      <w:pPr>
        <w:rPr>
          <w:rFonts w:ascii="Times New Roman" w:hAnsi="Times New Roman" w:cs="Times New Roman"/>
          <w:color w:val="000000" w:themeColor="text1"/>
        </w:rPr>
      </w:pPr>
      <w:r>
        <w:rPr>
          <w:rFonts w:ascii="Times New Roman" w:hAnsi="Times New Roman" w:cs="Times New Roman"/>
          <w:color w:val="000000" w:themeColor="text1"/>
        </w:rPr>
        <w:t>In June 2018, u</w:t>
      </w:r>
      <w:r w:rsidR="00CA5E11">
        <w:rPr>
          <w:rFonts w:ascii="Times New Roman" w:hAnsi="Times New Roman" w:cs="Times New Roman"/>
          <w:color w:val="000000" w:themeColor="text1"/>
        </w:rPr>
        <w:t>nder</w:t>
      </w:r>
      <w:r w:rsidR="00FB01D8" w:rsidRPr="00CA5E11">
        <w:rPr>
          <w:rFonts w:ascii="Times New Roman" w:hAnsi="Times New Roman" w:cs="Times New Roman"/>
          <w:color w:val="000000" w:themeColor="text1"/>
        </w:rPr>
        <w:t xml:space="preserve"> this law, DESE established Subject Matter Knowledge (SMK) </w:t>
      </w:r>
      <w:r>
        <w:rPr>
          <w:rFonts w:ascii="Times New Roman" w:hAnsi="Times New Roman" w:cs="Times New Roman"/>
          <w:color w:val="000000" w:themeColor="text1"/>
        </w:rPr>
        <w:t xml:space="preserve">requirements </w:t>
      </w:r>
      <w:r w:rsidR="00FB01D8" w:rsidRPr="00CA5E11">
        <w:rPr>
          <w:rFonts w:ascii="Times New Roman" w:hAnsi="Times New Roman" w:cs="Times New Roman"/>
          <w:color w:val="000000" w:themeColor="text1"/>
        </w:rPr>
        <w:t xml:space="preserve">for educators who are seeking to earn the Bilingual Education endorsement through coursework and field-based experience and teach in the bilingual education classrooms in accordance with </w:t>
      </w:r>
      <w:hyperlink r:id="rId19" w:history="1">
        <w:r w:rsidR="00FB01D8" w:rsidRPr="00954F57">
          <w:rPr>
            <w:rStyle w:val="Hyperlink"/>
            <w:rFonts w:ascii="Times New Roman" w:hAnsi="Times New Roman" w:cs="Times New Roman"/>
          </w:rPr>
          <w:t>603CMR7.</w:t>
        </w:r>
        <w:r w:rsidR="00954F57" w:rsidRPr="00954F57">
          <w:rPr>
            <w:rStyle w:val="Hyperlink"/>
            <w:rFonts w:ascii="Times New Roman" w:hAnsi="Times New Roman" w:cs="Times New Roman"/>
          </w:rPr>
          <w:t>1</w:t>
        </w:r>
        <w:r w:rsidR="00FB01D8" w:rsidRPr="00954F57">
          <w:rPr>
            <w:rStyle w:val="Hyperlink"/>
            <w:rFonts w:ascii="Times New Roman" w:hAnsi="Times New Roman" w:cs="Times New Roman"/>
          </w:rPr>
          <w:t>4(3)</w:t>
        </w:r>
        <w:r w:rsidR="00954F57" w:rsidRPr="00954F57">
          <w:rPr>
            <w:rStyle w:val="Hyperlink"/>
            <w:rFonts w:ascii="Times New Roman" w:hAnsi="Times New Roman" w:cs="Times New Roman"/>
          </w:rPr>
          <w:t>(b)</w:t>
        </w:r>
      </w:hyperlink>
      <w:r>
        <w:rPr>
          <w:rFonts w:ascii="Times New Roman" w:hAnsi="Times New Roman" w:cs="Times New Roman"/>
          <w:color w:val="000000" w:themeColor="text1"/>
        </w:rPr>
        <w:t>.</w:t>
      </w:r>
    </w:p>
    <w:p w14:paraId="1A64E5A5" w14:textId="0AA67F0B" w:rsidR="0020668C" w:rsidRPr="00205393" w:rsidRDefault="0020668C">
      <w:pPr>
        <w:rPr>
          <w:rFonts w:ascii="Times New Roman" w:eastAsia="Times New Roman" w:hAnsi="Times New Roman" w:cs="Times New Roman"/>
          <w:color w:val="000000" w:themeColor="text1"/>
        </w:rPr>
      </w:pPr>
    </w:p>
    <w:p w14:paraId="124BD2EB" w14:textId="4A570F1C" w:rsidR="00F845F7" w:rsidRDefault="00FB01D8">
      <w:pPr>
        <w:widowControl w:val="0"/>
        <w:rPr>
          <w:rFonts w:ascii="Times New Roman" w:eastAsia="Times New Roman" w:hAnsi="Times New Roman" w:cs="Times New Roman"/>
          <w:color w:val="000000" w:themeColor="text1"/>
        </w:rPr>
      </w:pPr>
      <w:r w:rsidRPr="00205393">
        <w:rPr>
          <w:rFonts w:ascii="Times New Roman" w:eastAsia="Times New Roman" w:hAnsi="Times New Roman" w:cs="Times New Roman"/>
          <w:color w:val="000000" w:themeColor="text1"/>
        </w:rPr>
        <w:t xml:space="preserve">Under </w:t>
      </w:r>
      <w:r w:rsidR="00954F57">
        <w:rPr>
          <w:rFonts w:ascii="Times New Roman" w:eastAsia="Times New Roman" w:hAnsi="Times New Roman" w:cs="Times New Roman"/>
          <w:color w:val="000000" w:themeColor="text1"/>
        </w:rPr>
        <w:t>the LOOK Act,</w:t>
      </w:r>
      <w:r w:rsidRPr="00205393">
        <w:rPr>
          <w:rFonts w:ascii="Times New Roman" w:eastAsia="Times New Roman" w:hAnsi="Times New Roman" w:cs="Times New Roman"/>
          <w:color w:val="000000" w:themeColor="text1"/>
        </w:rPr>
        <w:t xml:space="preserve"> </w:t>
      </w:r>
      <w:r w:rsidR="000D1BC5">
        <w:rPr>
          <w:rFonts w:ascii="Times New Roman" w:eastAsia="Times New Roman" w:hAnsi="Times New Roman" w:cs="Times New Roman"/>
          <w:color w:val="000000" w:themeColor="text1"/>
        </w:rPr>
        <w:t>DESE</w:t>
      </w:r>
      <w:r w:rsidRPr="00205393">
        <w:rPr>
          <w:rFonts w:ascii="Times New Roman" w:eastAsia="Times New Roman" w:hAnsi="Times New Roman" w:cs="Times New Roman"/>
          <w:color w:val="000000" w:themeColor="text1"/>
        </w:rPr>
        <w:t xml:space="preserve"> is required to</w:t>
      </w:r>
      <w:r w:rsidRPr="00205393">
        <w:rPr>
          <w:rFonts w:ascii="Times New Roman" w:eastAsia="Verdana" w:hAnsi="Times New Roman" w:cs="Times New Roman"/>
          <w:color w:val="000000" w:themeColor="text1"/>
          <w:highlight w:val="white"/>
        </w:rPr>
        <w:t xml:space="preserve"> “</w:t>
      </w:r>
      <w:r w:rsidRPr="00205393">
        <w:rPr>
          <w:rFonts w:ascii="Times New Roman" w:eastAsia="Times New Roman" w:hAnsi="Times New Roman" w:cs="Times New Roman"/>
          <w:color w:val="000000" w:themeColor="text1"/>
        </w:rPr>
        <w:t>provide an endorsement in bilingual education</w:t>
      </w:r>
      <w:r w:rsidR="00B44FA3" w:rsidRPr="00205393">
        <w:rPr>
          <w:rFonts w:ascii="Times New Roman" w:eastAsia="Times New Roman" w:hAnsi="Times New Roman" w:cs="Times New Roman"/>
          <w:color w:val="000000" w:themeColor="text1"/>
        </w:rPr>
        <w:t xml:space="preserve"> </w:t>
      </w:r>
      <w:r w:rsidRPr="00205393">
        <w:rPr>
          <w:rFonts w:ascii="Times New Roman" w:eastAsia="Times New Roman" w:hAnsi="Times New Roman" w:cs="Times New Roman"/>
          <w:color w:val="000000" w:themeColor="text1"/>
        </w:rPr>
        <w:t>which shall include both coursework and a field experience for bilingual education teachers to acquire the competencies necessary to teach in bilingual education settings</w:t>
      </w:r>
      <w:r w:rsidR="00B44FA3" w:rsidRPr="00205393">
        <w:rPr>
          <w:rFonts w:ascii="Times New Roman" w:eastAsia="Times New Roman" w:hAnsi="Times New Roman" w:cs="Times New Roman"/>
          <w:color w:val="000000" w:themeColor="text1"/>
        </w:rPr>
        <w:t>.</w:t>
      </w:r>
      <w:r w:rsidR="00954F57">
        <w:rPr>
          <w:rFonts w:ascii="Times New Roman" w:eastAsia="Times New Roman" w:hAnsi="Times New Roman" w:cs="Times New Roman"/>
          <w:color w:val="000000" w:themeColor="text1"/>
        </w:rPr>
        <w:t>”</w:t>
      </w:r>
    </w:p>
    <w:p w14:paraId="2BCAA277" w14:textId="1C0D699E" w:rsidR="0020668C" w:rsidRPr="00205393" w:rsidRDefault="0020668C">
      <w:pPr>
        <w:widowControl w:val="0"/>
        <w:rPr>
          <w:rFonts w:ascii="Times New Roman" w:eastAsia="Times New Roman" w:hAnsi="Times New Roman" w:cs="Times New Roman"/>
          <w:color w:val="000000" w:themeColor="text1"/>
        </w:rPr>
      </w:pPr>
    </w:p>
    <w:p w14:paraId="452FD6A4" w14:textId="5C14B5A0" w:rsidR="0020668C" w:rsidRPr="00205393" w:rsidRDefault="00F624B5">
      <w:pPr>
        <w:rPr>
          <w:rFonts w:ascii="Times New Roman" w:eastAsia="Times New Roman" w:hAnsi="Times New Roman" w:cs="Times New Roman"/>
          <w:b/>
          <w:color w:val="000000" w:themeColor="text1"/>
        </w:rPr>
      </w:pPr>
      <w:r w:rsidRPr="00D63DB3">
        <w:rPr>
          <w:rFonts w:ascii="Times New Roman" w:hAnsi="Times New Roman" w:cs="Times New Roman"/>
        </w:rPr>
        <w:t xml:space="preserve">The purpose of the Massachusetts Bilingual Education Endorsement is to enhance the knowledge of educators working </w:t>
      </w:r>
      <w:r w:rsidR="00F845F7" w:rsidRPr="00D63DB3">
        <w:rPr>
          <w:rFonts w:ascii="Times New Roman" w:hAnsi="Times New Roman" w:cs="Times New Roman"/>
        </w:rPr>
        <w:t>in bilingual education settings</w:t>
      </w:r>
      <w:r w:rsidRPr="00D63DB3">
        <w:rPr>
          <w:rFonts w:ascii="Times New Roman" w:hAnsi="Times New Roman" w:cs="Times New Roman"/>
        </w:rPr>
        <w:t xml:space="preserve">. DESE is issuing these </w:t>
      </w:r>
      <w:r w:rsidR="00F845F7" w:rsidRPr="00D63DB3">
        <w:rPr>
          <w:rFonts w:ascii="Times New Roman" w:hAnsi="Times New Roman" w:cs="Times New Roman"/>
          <w:i/>
        </w:rPr>
        <w:t>G</w:t>
      </w:r>
      <w:r w:rsidRPr="00D63DB3">
        <w:rPr>
          <w:rFonts w:ascii="Times New Roman" w:hAnsi="Times New Roman" w:cs="Times New Roman"/>
          <w:i/>
        </w:rPr>
        <w:t>uidelines</w:t>
      </w:r>
      <w:r w:rsidRPr="00D63DB3">
        <w:rPr>
          <w:rFonts w:ascii="Times New Roman" w:hAnsi="Times New Roman" w:cs="Times New Roman"/>
        </w:rPr>
        <w:t xml:space="preserve"> to support implementation of the Bilingual Education Endorsement.</w:t>
      </w:r>
    </w:p>
    <w:p w14:paraId="2640AB08" w14:textId="44500794" w:rsidR="0020668C" w:rsidRPr="00205393" w:rsidRDefault="0020668C">
      <w:pPr>
        <w:rPr>
          <w:rFonts w:ascii="Times New Roman" w:eastAsia="Times New Roman" w:hAnsi="Times New Roman" w:cs="Times New Roman"/>
          <w:b/>
          <w:color w:val="000000" w:themeColor="text1"/>
        </w:rPr>
      </w:pPr>
    </w:p>
    <w:p w14:paraId="19EE26CD" w14:textId="4732705A" w:rsidR="0020668C" w:rsidRPr="00D63DB3" w:rsidRDefault="00FB01D8" w:rsidP="00D15EF2">
      <w:pPr>
        <w:pStyle w:val="Heading1"/>
      </w:pPr>
      <w:r w:rsidRPr="00D63DB3">
        <w:t xml:space="preserve">II. Guidelines to Develop a Bilingual Education Endorsement </w:t>
      </w:r>
      <w:r w:rsidR="00996F34" w:rsidRPr="00D63DB3">
        <w:t>Course of Study</w:t>
      </w:r>
      <w:r w:rsidR="00996F34">
        <w:t>:</w:t>
      </w:r>
    </w:p>
    <w:p w14:paraId="1861DEF1" w14:textId="77777777" w:rsidR="00996F34" w:rsidRPr="00D63DB3" w:rsidRDefault="00996F34"/>
    <w:p w14:paraId="49F51831" w14:textId="209B64C3" w:rsidR="0020668C" w:rsidRPr="00B1322B" w:rsidRDefault="00FB01D8" w:rsidP="00B1322B">
      <w:pPr>
        <w:rPr>
          <w:rFonts w:ascii="Times New Roman" w:hAnsi="Times New Roman" w:cs="Times New Roman"/>
        </w:rPr>
      </w:pPr>
      <w:bookmarkStart w:id="1" w:name="_30j0zll" w:colFirst="0" w:colLast="0"/>
      <w:bookmarkStart w:id="2" w:name="_1fob9te" w:colFirst="0" w:colLast="0"/>
      <w:bookmarkEnd w:id="1"/>
      <w:bookmarkEnd w:id="2"/>
      <w:r w:rsidRPr="00B1322B">
        <w:rPr>
          <w:rFonts w:ascii="Times New Roman" w:hAnsi="Times New Roman" w:cs="Times New Roman"/>
        </w:rPr>
        <w:t xml:space="preserve">The Bilingual Education Endorsement regulations </w:t>
      </w:r>
      <w:hyperlink r:id="rId20" w:history="1">
        <w:r w:rsidR="00D63DB3" w:rsidRPr="00B1322B">
          <w:rPr>
            <w:rStyle w:val="Hyperlink"/>
            <w:rFonts w:ascii="Times New Roman" w:hAnsi="Times New Roman" w:cs="Times New Roman"/>
          </w:rPr>
          <w:t>603CMR7.14(3)(b)</w:t>
        </w:r>
      </w:hyperlink>
      <w:r w:rsidR="00D63DB3" w:rsidRPr="00B1322B">
        <w:rPr>
          <w:rFonts w:ascii="Times New Roman" w:hAnsi="Times New Roman" w:cs="Times New Roman"/>
        </w:rPr>
        <w:t xml:space="preserve"> </w:t>
      </w:r>
      <w:r w:rsidRPr="00B1322B">
        <w:rPr>
          <w:rFonts w:ascii="Times New Roman" w:hAnsi="Times New Roman" w:cs="Times New Roman"/>
        </w:rPr>
        <w:t>set forth requirements including</w:t>
      </w:r>
      <w:r w:rsidR="00996F34" w:rsidRPr="00B1322B">
        <w:rPr>
          <w:rFonts w:ascii="Times New Roman" w:hAnsi="Times New Roman" w:cs="Times New Roman"/>
        </w:rPr>
        <w:t xml:space="preserve"> a</w:t>
      </w:r>
      <w:r w:rsidR="00AB59E2" w:rsidRPr="00B1322B">
        <w:rPr>
          <w:rFonts w:ascii="Times New Roman" w:hAnsi="Times New Roman" w:cs="Times New Roman"/>
        </w:rPr>
        <w:t xml:space="preserve"> prerequisite license,</w:t>
      </w:r>
      <w:r w:rsidR="00996F34" w:rsidRPr="00B1322B">
        <w:rPr>
          <w:rFonts w:ascii="Times New Roman" w:hAnsi="Times New Roman" w:cs="Times New Roman"/>
        </w:rPr>
        <w:t xml:space="preserve"> </w:t>
      </w:r>
      <w:r w:rsidR="00996F34" w:rsidRPr="00B1322B">
        <w:rPr>
          <w:rFonts w:ascii="Times New Roman" w:eastAsia="Times New Roman" w:hAnsi="Times New Roman" w:cs="Times New Roman"/>
          <w:color w:val="000000"/>
        </w:rPr>
        <w:t>passing score on a foreign language test acceptable to the Department in the relevant foreign language,</w:t>
      </w:r>
      <w:r w:rsidRPr="00B1322B">
        <w:rPr>
          <w:rFonts w:ascii="Times New Roman" w:hAnsi="Times New Roman" w:cs="Times New Roman"/>
        </w:rPr>
        <w:t xml:space="preserve"> field-based experience and </w:t>
      </w:r>
      <w:r w:rsidR="00F845F7" w:rsidRPr="00B1322B">
        <w:rPr>
          <w:rFonts w:ascii="Times New Roman" w:hAnsi="Times New Roman" w:cs="Times New Roman"/>
        </w:rPr>
        <w:t>SMK</w:t>
      </w:r>
      <w:r w:rsidRPr="00B1322B">
        <w:rPr>
          <w:rFonts w:ascii="Times New Roman" w:hAnsi="Times New Roman" w:cs="Times New Roman"/>
        </w:rPr>
        <w:t xml:space="preserve"> that include a thorough understanding of: </w:t>
      </w:r>
    </w:p>
    <w:p w14:paraId="5AADF6D4" w14:textId="5FB2D847" w:rsidR="0020668C" w:rsidRPr="007C6BEB"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7C6BEB">
        <w:rPr>
          <w:rFonts w:ascii="Times New Roman" w:eastAsia="Times New Roman" w:hAnsi="Times New Roman" w:cs="Times New Roman"/>
          <w:color w:val="000000" w:themeColor="text1"/>
        </w:rPr>
        <w:t>Knowledge of the foundations of bilingual education</w:t>
      </w:r>
      <w:r w:rsidR="00205393">
        <w:rPr>
          <w:rFonts w:ascii="Times New Roman" w:eastAsia="Times New Roman" w:hAnsi="Times New Roman" w:cs="Times New Roman"/>
          <w:color w:val="000000" w:themeColor="text1"/>
        </w:rPr>
        <w:t>, including dual language education or two-way Immersion and transitional bilingual education, as defined in M.G.L.c.71A,</w:t>
      </w:r>
      <w:r w:rsidR="00205393" w:rsidRPr="00205393">
        <w:rPr>
          <w:rFonts w:ascii="Times New Roman" w:eastAsia="Times New Roman" w:hAnsi="Times New Roman" w:cs="Times New Roman"/>
        </w:rPr>
        <w:t xml:space="preserve"> </w:t>
      </w:r>
      <w:r w:rsidR="00205393">
        <w:rPr>
          <w:rFonts w:ascii="Times New Roman" w:eastAsia="Times New Roman" w:hAnsi="Times New Roman" w:cs="Times New Roman"/>
        </w:rPr>
        <w:t>§ 2</w:t>
      </w:r>
      <w:r w:rsidR="00205393">
        <w:rPr>
          <w:rFonts w:ascii="Times New Roman" w:eastAsia="Times New Roman" w:hAnsi="Times New Roman" w:cs="Times New Roman"/>
          <w:color w:val="000000" w:themeColor="text1"/>
        </w:rPr>
        <w:t>,</w:t>
      </w:r>
      <w:r w:rsidRPr="007C6BEB">
        <w:rPr>
          <w:rFonts w:ascii="Times New Roman" w:eastAsia="Times New Roman" w:hAnsi="Times New Roman" w:cs="Times New Roman"/>
          <w:color w:val="000000" w:themeColor="text1"/>
        </w:rPr>
        <w:t xml:space="preserve"> and the concepts of bilingualism and biculturalism.</w:t>
      </w:r>
    </w:p>
    <w:p w14:paraId="5EE30A7D" w14:textId="77777777" w:rsidR="0020668C" w:rsidRPr="00205393"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055870">
        <w:rPr>
          <w:rFonts w:ascii="Times New Roman" w:eastAsia="Times New Roman" w:hAnsi="Times New Roman" w:cs="Times New Roman"/>
          <w:color w:val="000000" w:themeColor="text1"/>
        </w:rPr>
        <w:t>Bilingual language acquisition factors as they affect access to the Massachusetts content and language standards.</w:t>
      </w:r>
    </w:p>
    <w:p w14:paraId="471657B1" w14:textId="77777777" w:rsidR="0020668C" w:rsidRPr="00205393"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205393">
        <w:rPr>
          <w:rFonts w:ascii="Times New Roman" w:eastAsia="Times New Roman" w:hAnsi="Times New Roman" w:cs="Times New Roman"/>
          <w:color w:val="000000" w:themeColor="text1"/>
        </w:rPr>
        <w:t>Social-cultural, social-emotional, political, and other salient factors in bilingual language acquisition.</w:t>
      </w:r>
    </w:p>
    <w:p w14:paraId="3F2F0BED" w14:textId="77777777" w:rsidR="0020668C" w:rsidRPr="00205393"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205393">
        <w:rPr>
          <w:rFonts w:ascii="Times New Roman" w:eastAsia="Times New Roman" w:hAnsi="Times New Roman" w:cs="Times New Roman"/>
          <w:color w:val="000000" w:themeColor="text1"/>
        </w:rPr>
        <w:t>Implementation of strategies for coordinating non-English partner language instruction and English language development instruction for English learners.</w:t>
      </w:r>
    </w:p>
    <w:p w14:paraId="0AE948C9" w14:textId="77777777" w:rsidR="0020668C" w:rsidRPr="007C6BEB"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205393">
        <w:rPr>
          <w:rFonts w:ascii="Times New Roman" w:eastAsia="Times New Roman" w:hAnsi="Times New Roman" w:cs="Times New Roman"/>
          <w:color w:val="000000" w:themeColor="text1"/>
        </w:rPr>
        <w:t>Practices and approaches of teaching reading an</w:t>
      </w:r>
      <w:r w:rsidRPr="007C6BEB">
        <w:rPr>
          <w:rFonts w:ascii="Times New Roman" w:eastAsia="Times New Roman" w:hAnsi="Times New Roman" w:cs="Times New Roman"/>
          <w:color w:val="000000" w:themeColor="text1"/>
        </w:rPr>
        <w:t xml:space="preserve">d writing in two languages, including the importance of oral language development as a foundation for literacy. </w:t>
      </w:r>
    </w:p>
    <w:p w14:paraId="3299F7A6" w14:textId="77777777" w:rsidR="0020668C" w:rsidRPr="00205393"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055870">
        <w:rPr>
          <w:rFonts w:ascii="Times New Roman" w:eastAsia="Times New Roman" w:hAnsi="Times New Roman" w:cs="Times New Roman"/>
          <w:color w:val="000000" w:themeColor="text1"/>
        </w:rPr>
        <w:t xml:space="preserve">Practices and approaches for assessing content knowledge, </w:t>
      </w:r>
      <w:proofErr w:type="gramStart"/>
      <w:r w:rsidRPr="00055870">
        <w:rPr>
          <w:rFonts w:ascii="Times New Roman" w:eastAsia="Times New Roman" w:hAnsi="Times New Roman" w:cs="Times New Roman"/>
          <w:color w:val="000000" w:themeColor="text1"/>
        </w:rPr>
        <w:t>reading</w:t>
      </w:r>
      <w:proofErr w:type="gramEnd"/>
      <w:r w:rsidRPr="00055870">
        <w:rPr>
          <w:rFonts w:ascii="Times New Roman" w:eastAsia="Times New Roman" w:hAnsi="Times New Roman" w:cs="Times New Roman"/>
          <w:color w:val="000000" w:themeColor="text1"/>
        </w:rPr>
        <w:t xml:space="preserve"> and writing skills and comprehension in English and the non-En</w:t>
      </w:r>
      <w:r w:rsidRPr="00205393">
        <w:rPr>
          <w:rFonts w:ascii="Times New Roman" w:eastAsia="Times New Roman" w:hAnsi="Times New Roman" w:cs="Times New Roman"/>
          <w:color w:val="000000" w:themeColor="text1"/>
        </w:rPr>
        <w:t>glish partner language for English learners who are at different levels of proficiency in English and the non-English partner language.</w:t>
      </w:r>
    </w:p>
    <w:p w14:paraId="57BE70B9" w14:textId="6FF06E07" w:rsidR="0020668C" w:rsidRPr="007C6BEB" w:rsidRDefault="00FB01D8">
      <w:pPr>
        <w:widowControl w:val="0"/>
        <w:numPr>
          <w:ilvl w:val="1"/>
          <w:numId w:val="2"/>
        </w:numPr>
        <w:pBdr>
          <w:top w:val="nil"/>
          <w:left w:val="nil"/>
          <w:bottom w:val="nil"/>
          <w:right w:val="nil"/>
          <w:between w:val="nil"/>
        </w:pBdr>
        <w:spacing w:line="259" w:lineRule="auto"/>
        <w:ind w:left="1080"/>
        <w:contextualSpacing/>
        <w:rPr>
          <w:rFonts w:ascii="Times New Roman" w:hAnsi="Times New Roman" w:cs="Times New Roman"/>
          <w:color w:val="000000" w:themeColor="text1"/>
        </w:rPr>
      </w:pPr>
      <w:r w:rsidRPr="00205393">
        <w:rPr>
          <w:rFonts w:ascii="Times New Roman" w:eastAsia="Times New Roman" w:hAnsi="Times New Roman" w:cs="Times New Roman"/>
          <w:color w:val="000000" w:themeColor="text1"/>
        </w:rPr>
        <w:t>Understanding and implementation of culturally relevant teaching materials and practice</w:t>
      </w:r>
      <w:r w:rsidR="007C6BEB">
        <w:rPr>
          <w:rFonts w:ascii="Times New Roman" w:eastAsia="Times New Roman" w:hAnsi="Times New Roman" w:cs="Times New Roman"/>
          <w:color w:val="000000" w:themeColor="text1"/>
        </w:rPr>
        <w:t>s.</w:t>
      </w:r>
    </w:p>
    <w:p w14:paraId="36C5EA71" w14:textId="44CEF03D" w:rsidR="00AB59E2" w:rsidRDefault="00AB59E2" w:rsidP="00D63DB3">
      <w:pPr>
        <w:widowControl w:val="0"/>
        <w:pBdr>
          <w:top w:val="nil"/>
          <w:left w:val="nil"/>
          <w:bottom w:val="nil"/>
          <w:right w:val="nil"/>
          <w:between w:val="nil"/>
        </w:pBdr>
        <w:spacing w:after="160" w:line="259" w:lineRule="auto"/>
        <w:rPr>
          <w:rFonts w:ascii="Times New Roman" w:eastAsia="Times New Roman" w:hAnsi="Times New Roman" w:cs="Times New Roman"/>
          <w:color w:val="000000" w:themeColor="text1"/>
        </w:rPr>
      </w:pPr>
    </w:p>
    <w:p w14:paraId="51E3380A" w14:textId="1E785AF1" w:rsidR="000D1BC5" w:rsidRDefault="000D1BC5" w:rsidP="00D63DB3">
      <w:pPr>
        <w:widowControl w:val="0"/>
        <w:pBdr>
          <w:top w:val="nil"/>
          <w:left w:val="nil"/>
          <w:bottom w:val="nil"/>
          <w:right w:val="nil"/>
          <w:between w:val="nil"/>
        </w:pBdr>
        <w:spacing w:after="160" w:line="259"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Sponsoring Organizations</w:t>
      </w:r>
      <w:r w:rsidRPr="00B90E5A">
        <w:rPr>
          <w:rFonts w:ascii="Times New Roman" w:eastAsia="Times New Roman" w:hAnsi="Times New Roman" w:cs="Times New Roman"/>
          <w:color w:val="000000" w:themeColor="text1"/>
        </w:rPr>
        <w:t xml:space="preserve"> are encouraged to draw from the </w:t>
      </w:r>
      <w:hyperlink r:id="rId21" w:history="1">
        <w:r w:rsidRPr="00DB198B">
          <w:rPr>
            <w:rStyle w:val="Hyperlink"/>
            <w:rFonts w:ascii="Times New Roman" w:eastAsia="Times New Roman" w:hAnsi="Times New Roman" w:cs="Times New Roman"/>
          </w:rPr>
          <w:t>National Dual Language Education Teacher Preparation Standards (NDLETPS)</w:t>
        </w:r>
      </w:hyperlink>
      <w:r w:rsidRPr="00B90E5A">
        <w:rPr>
          <w:rFonts w:ascii="Times New Roman" w:eastAsia="Times New Roman" w:hAnsi="Times New Roman" w:cs="Times New Roman"/>
          <w:color w:val="000000" w:themeColor="text1"/>
        </w:rPr>
        <w:t>, available through Dual Language Education of New Mexico (</w:t>
      </w:r>
      <w:proofErr w:type="spellStart"/>
      <w:r w:rsidRPr="00B90E5A">
        <w:rPr>
          <w:rFonts w:ascii="Times New Roman" w:eastAsia="Times New Roman" w:hAnsi="Times New Roman" w:cs="Times New Roman"/>
          <w:color w:val="000000" w:themeColor="text1"/>
        </w:rPr>
        <w:t>DLeNM</w:t>
      </w:r>
      <w:proofErr w:type="spellEnd"/>
      <w:r w:rsidRPr="00B90E5A">
        <w:rPr>
          <w:rFonts w:ascii="Times New Roman" w:eastAsia="Times New Roman" w:hAnsi="Times New Roman" w:cs="Times New Roman"/>
          <w:color w:val="000000" w:themeColor="text1"/>
        </w:rPr>
        <w:t xml:space="preserve">, 2018). The NDLETPS represent a collaborative effort from experts in bilingual education across the nation and provide an opportunity for states to align their teacher preparation programs in bilingual education. In addition, the NDLETPS are aligned with the </w:t>
      </w:r>
      <w:r w:rsidRPr="00B90E5A">
        <w:rPr>
          <w:rFonts w:ascii="Times New Roman" w:eastAsia="Times New Roman" w:hAnsi="Times New Roman" w:cs="Times New Roman"/>
          <w:i/>
          <w:color w:val="000000" w:themeColor="text1"/>
        </w:rPr>
        <w:t>Guiding Principles of Dual Language Education</w:t>
      </w:r>
      <w:r w:rsidRPr="00B90E5A">
        <w:rPr>
          <w:rFonts w:ascii="Times New Roman" w:eastAsia="Times New Roman" w:hAnsi="Times New Roman" w:cs="Times New Roman"/>
          <w:color w:val="000000" w:themeColor="text1"/>
        </w:rPr>
        <w:t>, TESOL Standards, and ACTFL Standards, making it the most comprehensive resource available for bilingual educat</w:t>
      </w:r>
      <w:r>
        <w:rPr>
          <w:rFonts w:ascii="Times New Roman" w:eastAsia="Times New Roman" w:hAnsi="Times New Roman" w:cs="Times New Roman"/>
          <w:color w:val="000000" w:themeColor="text1"/>
        </w:rPr>
        <w:t>or</w:t>
      </w:r>
      <w:r w:rsidRPr="00B90E5A">
        <w:rPr>
          <w:rFonts w:ascii="Times New Roman" w:eastAsia="Times New Roman" w:hAnsi="Times New Roman" w:cs="Times New Roman"/>
          <w:color w:val="000000" w:themeColor="text1"/>
        </w:rPr>
        <w:t xml:space="preserve"> preparation programs. Most indicators listed below are taken from this document (which is in draft form as of August 2018), but the full breadth and depth of the NDLETPS are not captured here. As such, programs should examine the NDLETPS document in full when developing their courses of study.</w:t>
      </w:r>
    </w:p>
    <w:p w14:paraId="0F1A157B" w14:textId="023F6437" w:rsidR="000D1BC5" w:rsidRDefault="000D1BC5" w:rsidP="00D63DB3">
      <w:pPr>
        <w:widowControl w:val="0"/>
        <w:pBdr>
          <w:top w:val="nil"/>
          <w:left w:val="nil"/>
          <w:bottom w:val="nil"/>
          <w:right w:val="nil"/>
          <w:between w:val="nil"/>
        </w:pBdr>
        <w:spacing w:after="160" w:line="259" w:lineRule="auto"/>
        <w:rPr>
          <w:rFonts w:ascii="Times New Roman" w:eastAsia="Times New Roman" w:hAnsi="Times New Roman" w:cs="Times New Roman"/>
          <w:color w:val="000000" w:themeColor="text1"/>
        </w:rPr>
      </w:pPr>
      <w:r w:rsidRPr="00B90E5A">
        <w:rPr>
          <w:rFonts w:ascii="Times New Roman" w:eastAsia="Times New Roman" w:hAnsi="Times New Roman" w:cs="Times New Roman"/>
          <w:color w:val="000000" w:themeColor="text1"/>
        </w:rPr>
        <w:t xml:space="preserve">The </w:t>
      </w:r>
      <w:r w:rsidRPr="00B90E5A">
        <w:rPr>
          <w:rFonts w:ascii="Times New Roman" w:eastAsia="Times New Roman" w:hAnsi="Times New Roman" w:cs="Times New Roman"/>
          <w:i/>
          <w:color w:val="000000" w:themeColor="text1"/>
        </w:rPr>
        <w:t>Guidelines</w:t>
      </w:r>
      <w:r w:rsidRPr="00B90E5A">
        <w:rPr>
          <w:rFonts w:ascii="Times New Roman" w:eastAsia="Times New Roman" w:hAnsi="Times New Roman" w:cs="Times New Roman"/>
          <w:color w:val="000000" w:themeColor="text1"/>
        </w:rPr>
        <w:t xml:space="preserve"> detailed below will be used by DESE when approving Bilingual Education Endorsement programs.</w:t>
      </w:r>
    </w:p>
    <w:p w14:paraId="408E5C90" w14:textId="57291E19" w:rsidR="00AB59E2" w:rsidRPr="00D15EF2" w:rsidRDefault="00AB59E2" w:rsidP="00D15EF2">
      <w:pPr>
        <w:pStyle w:val="Heading2"/>
      </w:pPr>
      <w:r w:rsidRPr="00D15EF2">
        <w:t>Prerequisite License</w:t>
      </w:r>
    </w:p>
    <w:p w14:paraId="5D6D3434" w14:textId="60538AE0" w:rsidR="00AB59E2" w:rsidRDefault="00000000" w:rsidP="00D63DB3">
      <w:pPr>
        <w:widowControl w:val="0"/>
        <w:pBdr>
          <w:top w:val="nil"/>
          <w:left w:val="nil"/>
          <w:bottom w:val="nil"/>
          <w:right w:val="nil"/>
          <w:between w:val="nil"/>
        </w:pBdr>
        <w:spacing w:after="160" w:line="259" w:lineRule="auto"/>
        <w:ind w:left="720" w:hanging="720"/>
        <w:rPr>
          <w:rFonts w:ascii="Times New Roman" w:eastAsia="Times New Roman" w:hAnsi="Times New Roman" w:cs="Times New Roman"/>
          <w:color w:val="000000" w:themeColor="text1"/>
        </w:rPr>
      </w:pPr>
      <w:hyperlink r:id="rId22" w:history="1">
        <w:r w:rsidR="00AB59E2" w:rsidRPr="00AB59E2">
          <w:rPr>
            <w:rStyle w:val="Hyperlink"/>
            <w:rFonts w:ascii="Times New Roman" w:eastAsia="Times New Roman" w:hAnsi="Times New Roman" w:cs="Times New Roman"/>
          </w:rPr>
          <w:t>603CMR7.15(9)(c)</w:t>
        </w:r>
      </w:hyperlink>
      <w:r w:rsidR="00AB59E2">
        <w:rPr>
          <w:rFonts w:ascii="Times New Roman" w:eastAsia="Times New Roman" w:hAnsi="Times New Roman" w:cs="Times New Roman"/>
          <w:color w:val="000000" w:themeColor="text1"/>
        </w:rPr>
        <w:t xml:space="preserve"> Bilingual Education</w:t>
      </w:r>
      <w:r w:rsidR="000D1BC5">
        <w:rPr>
          <w:rFonts w:ascii="Times New Roman" w:eastAsia="Times New Roman" w:hAnsi="Times New Roman" w:cs="Times New Roman"/>
          <w:color w:val="000000" w:themeColor="text1"/>
        </w:rPr>
        <w:t>.</w:t>
      </w:r>
      <w:r w:rsidR="00AB59E2">
        <w:rPr>
          <w:rFonts w:ascii="Times New Roman" w:eastAsia="Times New Roman" w:hAnsi="Times New Roman" w:cs="Times New Roman"/>
          <w:color w:val="000000" w:themeColor="text1"/>
        </w:rPr>
        <w:t xml:space="preserve"> </w:t>
      </w:r>
    </w:p>
    <w:p w14:paraId="4974B5F7" w14:textId="15852CEF" w:rsidR="00AB59E2" w:rsidRPr="00D63DB3" w:rsidRDefault="000D1BC5" w:rsidP="00AB59E2">
      <w:pPr>
        <w:numPr>
          <w:ilvl w:val="0"/>
          <w:numId w:val="8"/>
        </w:numPr>
        <w:shd w:val="clear" w:color="auto" w:fill="FFFFFF"/>
        <w:spacing w:before="100" w:beforeAutospacing="1" w:after="100" w:afterAutospacing="1"/>
        <w:rPr>
          <w:rFonts w:ascii="Times New Roman" w:hAnsi="Times New Roman" w:cs="Times New Roman"/>
          <w:color w:val="000000"/>
        </w:rPr>
      </w:pPr>
      <w:r>
        <w:rPr>
          <w:rFonts w:ascii="Times New Roman" w:hAnsi="Times New Roman" w:cs="Times New Roman"/>
          <w:color w:val="000000"/>
        </w:rPr>
        <w:t>A</w:t>
      </w:r>
      <w:r w:rsidR="00AB59E2" w:rsidRPr="00D63DB3">
        <w:rPr>
          <w:rFonts w:ascii="Times New Roman" w:hAnsi="Times New Roman" w:cs="Times New Roman"/>
          <w:color w:val="000000"/>
        </w:rPr>
        <w:t xml:space="preserve"> core academic teacher assigned to provide instruction to an English learner in a bilingual education setting must be properly qualified in the field and grade level of the </w:t>
      </w:r>
      <w:proofErr w:type="gramStart"/>
      <w:r w:rsidR="00AB59E2" w:rsidRPr="00D63DB3">
        <w:rPr>
          <w:rFonts w:ascii="Times New Roman" w:hAnsi="Times New Roman" w:cs="Times New Roman"/>
          <w:color w:val="000000"/>
        </w:rPr>
        <w:t>assignment, and</w:t>
      </w:r>
      <w:proofErr w:type="gramEnd"/>
      <w:r w:rsidR="00AB59E2" w:rsidRPr="00D63DB3">
        <w:rPr>
          <w:rFonts w:ascii="Times New Roman" w:hAnsi="Times New Roman" w:cs="Times New Roman"/>
          <w:color w:val="000000"/>
        </w:rPr>
        <w:t xml:space="preserve"> hold the appropriate endorsement</w:t>
      </w:r>
      <w:r>
        <w:rPr>
          <w:rFonts w:ascii="Times New Roman" w:hAnsi="Times New Roman" w:cs="Times New Roman"/>
          <w:color w:val="000000"/>
        </w:rPr>
        <w:t xml:space="preserve"> (i.e. Bilingual Education Endorsement or the SEI Endorsement).</w:t>
      </w:r>
    </w:p>
    <w:p w14:paraId="20FE59C5" w14:textId="3922D343" w:rsidR="00AB59E2" w:rsidRPr="00D63DB3" w:rsidRDefault="000D1BC5" w:rsidP="00AB59E2">
      <w:pPr>
        <w:numPr>
          <w:ilvl w:val="0"/>
          <w:numId w:val="8"/>
        </w:numPr>
        <w:shd w:val="clear" w:color="auto" w:fill="FFFFFF"/>
        <w:spacing w:before="100" w:beforeAutospacing="1" w:after="100" w:afterAutospacing="1"/>
        <w:rPr>
          <w:rFonts w:ascii="Times New Roman" w:hAnsi="Times New Roman" w:cs="Times New Roman"/>
          <w:color w:val="000000"/>
        </w:rPr>
      </w:pPr>
      <w:r>
        <w:rPr>
          <w:rFonts w:ascii="Times New Roman" w:hAnsi="Times New Roman" w:cs="Times New Roman"/>
          <w:color w:val="000000"/>
        </w:rPr>
        <w:t>A</w:t>
      </w:r>
      <w:r w:rsidR="00AB59E2" w:rsidRPr="00D63DB3">
        <w:rPr>
          <w:rFonts w:ascii="Times New Roman" w:hAnsi="Times New Roman" w:cs="Times New Roman"/>
          <w:color w:val="000000"/>
        </w:rPr>
        <w:t xml:space="preserve"> principal, assistant principal, or supervisor/director who supervises or evaluates a core academic teacher assigned to provide instruction to an English learner in a bilingual education setting must hold the Bilingual Education Endorsement or the SEI Endorsement.</w:t>
      </w:r>
    </w:p>
    <w:p w14:paraId="0C3B7061" w14:textId="785675C1" w:rsidR="0020668C" w:rsidRPr="007C6BEB" w:rsidRDefault="000D1BC5" w:rsidP="00D15EF2">
      <w:pPr>
        <w:pStyle w:val="Heading2"/>
      </w:pPr>
      <w:r>
        <w:t>Field Based Experience</w:t>
      </w:r>
    </w:p>
    <w:p w14:paraId="6674E418" w14:textId="6023CE58" w:rsidR="000B1BE9" w:rsidRDefault="000D1BC5" w:rsidP="00D63DB3">
      <w:pPr>
        <w:spacing w:before="280" w:after="280"/>
        <w:rPr>
          <w:rFonts w:ascii="Times New Roman" w:eastAsia="Times New Roman" w:hAnsi="Times New Roman" w:cs="Times New Roman"/>
          <w:color w:val="000000" w:themeColor="text1"/>
        </w:rPr>
      </w:pPr>
      <w:r w:rsidRPr="4C8F67E0">
        <w:rPr>
          <w:rFonts w:ascii="Times New Roman" w:eastAsia="Times New Roman" w:hAnsi="Times New Roman" w:cs="Times New Roman"/>
          <w:color w:val="000000" w:themeColor="text1"/>
        </w:rPr>
        <w:t>Seventy</w:t>
      </w:r>
      <w:r w:rsidR="000B1BE9" w:rsidRPr="4C8F67E0">
        <w:rPr>
          <w:rFonts w:ascii="Times New Roman" w:eastAsia="Times New Roman" w:hAnsi="Times New Roman" w:cs="Times New Roman"/>
          <w:color w:val="000000" w:themeColor="text1"/>
        </w:rPr>
        <w:t>-</w:t>
      </w:r>
      <w:r w:rsidRPr="4C8F67E0">
        <w:rPr>
          <w:rFonts w:ascii="Times New Roman" w:eastAsia="Times New Roman" w:hAnsi="Times New Roman" w:cs="Times New Roman"/>
          <w:color w:val="000000" w:themeColor="text1"/>
        </w:rPr>
        <w:t>five hours of field-based experience in a Pre-K-–12 dual language education or transitional bilingual education program, two-way immersion program, or other bilingual education setting are required for the endorsement</w:t>
      </w:r>
      <w:r w:rsidR="6B75080D" w:rsidRPr="4C8F67E0">
        <w:rPr>
          <w:rFonts w:ascii="Times New Roman" w:eastAsia="Times New Roman" w:hAnsi="Times New Roman" w:cs="Times New Roman"/>
          <w:color w:val="000000" w:themeColor="text1"/>
        </w:rPr>
        <w:t>, but not the approved program</w:t>
      </w:r>
      <w:r w:rsidRPr="4C8F67E0">
        <w:rPr>
          <w:rFonts w:ascii="Times New Roman" w:eastAsia="Times New Roman" w:hAnsi="Times New Roman" w:cs="Times New Roman"/>
          <w:color w:val="000000" w:themeColor="text1"/>
        </w:rPr>
        <w:t xml:space="preserve">. </w:t>
      </w:r>
    </w:p>
    <w:p w14:paraId="0F851AE2" w14:textId="6ED4F2DF" w:rsidR="000D1BC5" w:rsidRDefault="00B23C3B" w:rsidP="002B4B84">
      <w:pPr>
        <w:spacing w:before="280" w:after="280"/>
        <w:ind w:left="720"/>
        <w:rPr>
          <w:rFonts w:ascii="Times New Roman" w:eastAsia="Times New Roman" w:hAnsi="Times New Roman" w:cs="Times New Roman"/>
          <w:color w:val="000000" w:themeColor="text1"/>
        </w:rPr>
      </w:pPr>
      <w:r w:rsidRPr="4C8F67E0">
        <w:rPr>
          <w:rFonts w:ascii="Times New Roman" w:eastAsia="Times New Roman" w:hAnsi="Times New Roman" w:cs="Times New Roman"/>
          <w:color w:val="000000" w:themeColor="text1"/>
        </w:rPr>
        <w:t xml:space="preserve">Note: </w:t>
      </w:r>
      <w:r w:rsidR="00DC188C" w:rsidRPr="4C8F67E0">
        <w:rPr>
          <w:rFonts w:ascii="Times New Roman" w:eastAsia="Times New Roman" w:hAnsi="Times New Roman" w:cs="Times New Roman"/>
          <w:color w:val="000000" w:themeColor="text1"/>
        </w:rPr>
        <w:t xml:space="preserve">Sponsoring Organizations may </w:t>
      </w:r>
      <w:r w:rsidR="00CE4766" w:rsidRPr="4C8F67E0">
        <w:rPr>
          <w:rFonts w:ascii="Times New Roman" w:eastAsia="Times New Roman" w:hAnsi="Times New Roman" w:cs="Times New Roman"/>
          <w:color w:val="000000" w:themeColor="text1"/>
        </w:rPr>
        <w:t>include the suppor</w:t>
      </w:r>
      <w:r w:rsidR="000B1BE9" w:rsidRPr="4C8F67E0">
        <w:rPr>
          <w:rFonts w:ascii="Times New Roman" w:eastAsia="Times New Roman" w:hAnsi="Times New Roman" w:cs="Times New Roman"/>
          <w:color w:val="000000" w:themeColor="text1"/>
        </w:rPr>
        <w:t>t</w:t>
      </w:r>
      <w:r w:rsidR="00CE4766" w:rsidRPr="4C8F67E0">
        <w:rPr>
          <w:rFonts w:ascii="Times New Roman" w:eastAsia="Times New Roman" w:hAnsi="Times New Roman" w:cs="Times New Roman"/>
          <w:color w:val="000000" w:themeColor="text1"/>
        </w:rPr>
        <w:t xml:space="preserve"> </w:t>
      </w:r>
      <w:r w:rsidR="000B1BE9" w:rsidRPr="4C8F67E0">
        <w:rPr>
          <w:rFonts w:ascii="Times New Roman" w:eastAsia="Times New Roman" w:hAnsi="Times New Roman" w:cs="Times New Roman"/>
          <w:color w:val="000000" w:themeColor="text1"/>
        </w:rPr>
        <w:t>for</w:t>
      </w:r>
      <w:r w:rsidR="00CE4766" w:rsidRPr="4C8F67E0">
        <w:rPr>
          <w:rFonts w:ascii="Times New Roman" w:eastAsia="Times New Roman" w:hAnsi="Times New Roman" w:cs="Times New Roman"/>
          <w:color w:val="000000" w:themeColor="text1"/>
        </w:rPr>
        <w:t xml:space="preserve"> candidates in the</w:t>
      </w:r>
      <w:r w:rsidR="0075579F" w:rsidRPr="4C8F67E0">
        <w:rPr>
          <w:rFonts w:ascii="Times New Roman" w:eastAsia="Times New Roman" w:hAnsi="Times New Roman" w:cs="Times New Roman"/>
          <w:color w:val="000000" w:themeColor="text1"/>
        </w:rPr>
        <w:t xml:space="preserve">ir field-based experience, but candidates </w:t>
      </w:r>
      <w:r w:rsidR="0010459C">
        <w:rPr>
          <w:rFonts w:ascii="Times New Roman" w:eastAsia="Times New Roman" w:hAnsi="Times New Roman" w:cs="Times New Roman"/>
          <w:color w:val="000000" w:themeColor="text1"/>
        </w:rPr>
        <w:t>(or Sponsoring Organization</w:t>
      </w:r>
      <w:r w:rsidR="009F64E4">
        <w:rPr>
          <w:rFonts w:ascii="Times New Roman" w:eastAsia="Times New Roman" w:hAnsi="Times New Roman" w:cs="Times New Roman"/>
          <w:color w:val="000000" w:themeColor="text1"/>
        </w:rPr>
        <w:t xml:space="preserve">’s on the candidates behalf) </w:t>
      </w:r>
      <w:r w:rsidR="0075579F" w:rsidRPr="4C8F67E0">
        <w:rPr>
          <w:rFonts w:ascii="Times New Roman" w:eastAsia="Times New Roman" w:hAnsi="Times New Roman" w:cs="Times New Roman"/>
          <w:color w:val="000000" w:themeColor="text1"/>
        </w:rPr>
        <w:t xml:space="preserve">will be required to submit the necessary documentation </w:t>
      </w:r>
      <w:r w:rsidR="000B1BE9" w:rsidRPr="4C8F67E0">
        <w:rPr>
          <w:rFonts w:ascii="Times New Roman" w:eastAsia="Times New Roman" w:hAnsi="Times New Roman" w:cs="Times New Roman"/>
          <w:color w:val="000000" w:themeColor="text1"/>
        </w:rPr>
        <w:t>for meeting the 75-hour field</w:t>
      </w:r>
      <w:r w:rsidR="00FF36C8" w:rsidRPr="4C8F67E0">
        <w:rPr>
          <w:rFonts w:ascii="Times New Roman" w:eastAsia="Times New Roman" w:hAnsi="Times New Roman" w:cs="Times New Roman"/>
          <w:color w:val="000000" w:themeColor="text1"/>
        </w:rPr>
        <w:t>-</w:t>
      </w:r>
      <w:r w:rsidR="000B1BE9" w:rsidRPr="4C8F67E0">
        <w:rPr>
          <w:rFonts w:ascii="Times New Roman" w:eastAsia="Times New Roman" w:hAnsi="Times New Roman" w:cs="Times New Roman"/>
          <w:color w:val="000000" w:themeColor="text1"/>
        </w:rPr>
        <w:t xml:space="preserve">based experience separate from </w:t>
      </w:r>
      <w:r w:rsidR="004C2361" w:rsidRPr="4C8F67E0">
        <w:rPr>
          <w:rFonts w:ascii="Times New Roman" w:eastAsia="Times New Roman" w:hAnsi="Times New Roman" w:cs="Times New Roman"/>
          <w:color w:val="000000" w:themeColor="text1"/>
        </w:rPr>
        <w:t>an</w:t>
      </w:r>
      <w:r w:rsidR="000B1BE9" w:rsidRPr="4C8F67E0">
        <w:rPr>
          <w:rFonts w:ascii="Times New Roman" w:eastAsia="Times New Roman" w:hAnsi="Times New Roman" w:cs="Times New Roman"/>
          <w:color w:val="000000" w:themeColor="text1"/>
        </w:rPr>
        <w:t xml:space="preserve"> approved program.</w:t>
      </w:r>
    </w:p>
    <w:p w14:paraId="718F148C" w14:textId="77777777" w:rsidR="007C6BEB" w:rsidRDefault="007C6BEB">
      <w:pPr>
        <w:shd w:val="clear" w:color="auto" w:fill="FFFFFF"/>
        <w:rPr>
          <w:rFonts w:ascii="Times New Roman" w:eastAsia="Times New Roman" w:hAnsi="Times New Roman" w:cs="Times New Roman"/>
          <w:color w:val="000000" w:themeColor="text1"/>
        </w:rPr>
      </w:pPr>
    </w:p>
    <w:p w14:paraId="22D3D137" w14:textId="3AF5CB3F" w:rsidR="0020668C" w:rsidRPr="00205393" w:rsidRDefault="00FB01D8" w:rsidP="00D15EF2">
      <w:pPr>
        <w:pStyle w:val="Heading2"/>
      </w:pPr>
      <w:r w:rsidRPr="00205393">
        <w:t xml:space="preserve">Subject Matter Knowledge Requirements </w:t>
      </w:r>
      <w:r w:rsidR="007C6BEB" w:rsidRPr="00205393">
        <w:t xml:space="preserve">and Indicators </w:t>
      </w:r>
    </w:p>
    <w:p w14:paraId="330DF71C" w14:textId="77777777" w:rsidR="0020668C" w:rsidRPr="00205393" w:rsidRDefault="0020668C" w:rsidP="007E4CF4">
      <w:pPr>
        <w:rPr>
          <w:rFonts w:ascii="Times New Roman" w:eastAsia="Times New Roman" w:hAnsi="Times New Roman" w:cs="Times New Roman"/>
          <w:b/>
          <w:color w:val="000000" w:themeColor="text1"/>
          <w:u w:val="single"/>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SMKs and Indicators"/>
      </w:tblPr>
      <w:tblGrid>
        <w:gridCol w:w="10070"/>
      </w:tblGrid>
      <w:tr w:rsidR="007C6BEB" w:rsidRPr="00205393" w14:paraId="3EC00E99" w14:textId="77777777" w:rsidTr="00C879C9">
        <w:trPr>
          <w:trHeight w:val="278"/>
          <w:tblHeader/>
        </w:trPr>
        <w:tc>
          <w:tcPr>
            <w:tcW w:w="10070" w:type="dxa"/>
            <w:shd w:val="clear" w:color="auto" w:fill="D9D9D9"/>
          </w:tcPr>
          <w:p w14:paraId="23BDADC4" w14:textId="43588A0E" w:rsidR="0020668C" w:rsidRPr="00D63DB3" w:rsidRDefault="003B2F60" w:rsidP="00D63DB3">
            <w:pPr>
              <w:pStyle w:val="ListParagraph"/>
              <w:numPr>
                <w:ilvl w:val="0"/>
                <w:numId w:val="9"/>
              </w:numPr>
              <w:rPr>
                <w:u w:val="single"/>
              </w:rPr>
            </w:pPr>
            <w:r w:rsidRPr="00D63DB3">
              <w:rPr>
                <w:rFonts w:ascii="Times New Roman" w:eastAsia="Times New Roman" w:hAnsi="Times New Roman" w:cs="Times New Roman"/>
                <w:color w:val="000000" w:themeColor="text1"/>
              </w:rPr>
              <w:t>Knowledge of the foundations of bilingual education, including dual language education or two-way Immersion and transitional bilingual education, as defined in M.G.L.c.71A,</w:t>
            </w:r>
            <w:r w:rsidRPr="00D63DB3">
              <w:rPr>
                <w:rFonts w:ascii="Times New Roman" w:eastAsia="Times New Roman" w:hAnsi="Times New Roman" w:cs="Times New Roman"/>
              </w:rPr>
              <w:t xml:space="preserve"> § 2</w:t>
            </w:r>
            <w:r w:rsidRPr="00D63DB3">
              <w:rPr>
                <w:rFonts w:ascii="Times New Roman" w:eastAsia="Times New Roman" w:hAnsi="Times New Roman" w:cs="Times New Roman"/>
                <w:color w:val="000000" w:themeColor="text1"/>
              </w:rPr>
              <w:t>, and the concepts of bilingualism and biculturalism.</w:t>
            </w:r>
          </w:p>
        </w:tc>
      </w:tr>
    </w:tbl>
    <w:p w14:paraId="68FCC79D" w14:textId="77777777" w:rsidR="0020668C" w:rsidRPr="00205393" w:rsidRDefault="0020668C">
      <w:pPr>
        <w:widowControl w:val="0"/>
        <w:rPr>
          <w:rFonts w:ascii="Times New Roman" w:eastAsia="Times New Roman" w:hAnsi="Times New Roman" w:cs="Times New Roman"/>
          <w:color w:val="000000" w:themeColor="text1"/>
          <w:u w:val="single"/>
        </w:rPr>
      </w:pPr>
    </w:p>
    <w:p w14:paraId="0E86B77F" w14:textId="77777777" w:rsidR="0020668C" w:rsidRPr="00205393" w:rsidRDefault="00FB01D8">
      <w:pPr>
        <w:shd w:val="clear" w:color="auto" w:fill="FFFFFF"/>
        <w:rPr>
          <w:rFonts w:ascii="Times New Roman" w:eastAsia="Times New Roman" w:hAnsi="Times New Roman" w:cs="Times New Roman"/>
          <w:i/>
          <w:color w:val="000000" w:themeColor="text1"/>
        </w:rPr>
      </w:pPr>
      <w:r w:rsidRPr="00205393">
        <w:rPr>
          <w:rFonts w:ascii="Times New Roman" w:eastAsia="Times New Roman" w:hAnsi="Times New Roman" w:cs="Times New Roman"/>
          <w:i/>
          <w:color w:val="000000" w:themeColor="text1"/>
        </w:rPr>
        <w:t>Candidates for the Bilingual Education Endorsement should develop a knowledge base in the following areas:</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Indicators"/>
      </w:tblPr>
      <w:tblGrid>
        <w:gridCol w:w="10070"/>
      </w:tblGrid>
      <w:tr w:rsidR="007C6BEB" w:rsidRPr="00205393" w14:paraId="10F1FAD9" w14:textId="77777777" w:rsidTr="00C879C9">
        <w:trPr>
          <w:tblHeader/>
        </w:trPr>
        <w:tc>
          <w:tcPr>
            <w:tcW w:w="10070" w:type="dxa"/>
          </w:tcPr>
          <w:p w14:paraId="613A3437" w14:textId="77777777" w:rsidR="0020668C" w:rsidRPr="007C6BEB"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lastRenderedPageBreak/>
              <w:t>Indicators</w:t>
            </w:r>
            <w:r w:rsidR="003871AD" w:rsidRPr="007C6BEB">
              <w:rPr>
                <w:rStyle w:val="FootnoteReference"/>
                <w:rFonts w:ascii="Times New Roman" w:eastAsia="Times New Roman" w:hAnsi="Times New Roman" w:cs="Times New Roman"/>
                <w:b/>
                <w:color w:val="000000" w:themeColor="text1"/>
              </w:rPr>
              <w:footnoteReference w:id="2"/>
            </w:r>
            <w:r w:rsidRPr="007C6BEB">
              <w:rPr>
                <w:rFonts w:ascii="Times New Roman" w:eastAsia="Times New Roman" w:hAnsi="Times New Roman" w:cs="Times New Roman"/>
                <w:b/>
                <w:color w:val="000000" w:themeColor="text1"/>
              </w:rPr>
              <w:t>:</w:t>
            </w:r>
          </w:p>
        </w:tc>
      </w:tr>
      <w:tr w:rsidR="007C6BEB" w:rsidRPr="00205393" w14:paraId="2CD7EE2E" w14:textId="77777777">
        <w:tc>
          <w:tcPr>
            <w:tcW w:w="10070" w:type="dxa"/>
          </w:tcPr>
          <w:p w14:paraId="2E311AA5" w14:textId="44375D14" w:rsidR="007E4CF4" w:rsidRPr="00D63DB3" w:rsidRDefault="00265ECE" w:rsidP="007E4CF4">
            <w:pPr>
              <w:pStyle w:val="ListParagraph"/>
              <w:numPr>
                <w:ilvl w:val="0"/>
                <w:numId w:val="7"/>
              </w:numPr>
              <w:rPr>
                <w:rFonts w:ascii="Times New Roman" w:eastAsia="Times New Roman" w:hAnsi="Times New Roman" w:cs="Times New Roman"/>
                <w:b/>
                <w:color w:val="000000" w:themeColor="text1"/>
              </w:rPr>
            </w:pPr>
            <w:r w:rsidRPr="00D63DB3">
              <w:rPr>
                <w:rFonts w:ascii="Times New Roman" w:eastAsia="Times New Roman" w:hAnsi="Times New Roman" w:cs="Times New Roman"/>
                <w:color w:val="000000" w:themeColor="text1"/>
              </w:rPr>
              <w:t>The candidate is knowledgeable about contemporary theories and concepts associated with the study of bilingualism and biliteracy development of the individual learner in the social contexts of family, community, and schooling. (NDLETPS Component 1.2.a)</w:t>
            </w:r>
          </w:p>
        </w:tc>
      </w:tr>
      <w:tr w:rsidR="007C6BEB" w:rsidRPr="00205393" w14:paraId="0F497359" w14:textId="77777777">
        <w:tc>
          <w:tcPr>
            <w:tcW w:w="10070" w:type="dxa"/>
          </w:tcPr>
          <w:p w14:paraId="72D92410" w14:textId="45DC5204" w:rsidR="007E4CF4" w:rsidRPr="00D63DB3" w:rsidRDefault="00265ECE" w:rsidP="007E4CF4">
            <w:pPr>
              <w:pStyle w:val="ListParagraph"/>
              <w:numPr>
                <w:ilvl w:val="0"/>
                <w:numId w:val="7"/>
              </w:numPr>
              <w:rPr>
                <w:rFonts w:ascii="Times New Roman" w:eastAsia="Times New Roman" w:hAnsi="Times New Roman" w:cs="Times New Roman"/>
                <w:b/>
                <w:color w:val="000000" w:themeColor="text1"/>
              </w:rPr>
            </w:pPr>
            <w:r w:rsidRPr="00D63DB3">
              <w:rPr>
                <w:rFonts w:ascii="Times New Roman" w:eastAsia="Times New Roman" w:hAnsi="Times New Roman" w:cs="Times New Roman"/>
                <w:color w:val="000000" w:themeColor="text1"/>
              </w:rPr>
              <w:t>The candidate demonstrates understanding of time and partner languages, scheduling; programmatic classification, including appropriate and available language assessments in the partner language and English. (NDLETPS Component 6.2.a)</w:t>
            </w:r>
          </w:p>
        </w:tc>
      </w:tr>
      <w:tr w:rsidR="007C6BEB" w:rsidRPr="00205393" w14:paraId="5C213D7C" w14:textId="77777777">
        <w:tc>
          <w:tcPr>
            <w:tcW w:w="10070" w:type="dxa"/>
          </w:tcPr>
          <w:p w14:paraId="0FDAE8CA" w14:textId="0D9CD0E8" w:rsidR="007E4CF4" w:rsidRPr="00D63DB3" w:rsidRDefault="00265ECE" w:rsidP="007E4CF4">
            <w:pPr>
              <w:pStyle w:val="ListParagraph"/>
              <w:numPr>
                <w:ilvl w:val="0"/>
                <w:numId w:val="7"/>
              </w:numPr>
              <w:rPr>
                <w:rFonts w:ascii="Times New Roman" w:eastAsia="Times New Roman" w:hAnsi="Times New Roman" w:cs="Times New Roman"/>
                <w:b/>
                <w:color w:val="000000" w:themeColor="text1"/>
              </w:rPr>
            </w:pPr>
            <w:r w:rsidRPr="00D63DB3">
              <w:rPr>
                <w:rFonts w:ascii="Times New Roman" w:eastAsia="Times New Roman" w:hAnsi="Times New Roman" w:cs="Times New Roman"/>
                <w:color w:val="000000" w:themeColor="text1"/>
              </w:rPr>
              <w:t>The candidate understands the linguistic and sociocultural relationships between oral language, bilingualism, biliteracy, and instructional materials. (NDLETPS Component 3.3.c)</w:t>
            </w:r>
          </w:p>
        </w:tc>
      </w:tr>
      <w:tr w:rsidR="007C6BEB" w:rsidRPr="00205393" w14:paraId="42EC9D03" w14:textId="77777777">
        <w:tc>
          <w:tcPr>
            <w:tcW w:w="10070" w:type="dxa"/>
          </w:tcPr>
          <w:p w14:paraId="2DB2E449" w14:textId="69019A29" w:rsidR="00265ECE" w:rsidRPr="00D63DB3" w:rsidRDefault="00265ECE"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is knowledgeable about the history of bilingual education policy in the United States.</w:t>
            </w:r>
          </w:p>
        </w:tc>
      </w:tr>
    </w:tbl>
    <w:p w14:paraId="4E6946C6" w14:textId="77777777" w:rsidR="0020668C" w:rsidRPr="00205393" w:rsidRDefault="0020668C">
      <w:pPr>
        <w:rPr>
          <w:rFonts w:ascii="Times New Roman" w:eastAsia="Times New Roman" w:hAnsi="Times New Roman" w:cs="Times New Roman"/>
          <w:color w:val="000000" w:themeColor="text1"/>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actors"/>
      </w:tblPr>
      <w:tblGrid>
        <w:gridCol w:w="10070"/>
      </w:tblGrid>
      <w:tr w:rsidR="007C6BEB" w:rsidRPr="00205393" w14:paraId="4EC6EA2C" w14:textId="77777777" w:rsidTr="00C879C9">
        <w:trPr>
          <w:tblHeader/>
        </w:trPr>
        <w:tc>
          <w:tcPr>
            <w:tcW w:w="10070" w:type="dxa"/>
            <w:shd w:val="clear" w:color="auto" w:fill="D9D9D9"/>
          </w:tcPr>
          <w:p w14:paraId="37CD01B2" w14:textId="1B3DF902" w:rsidR="0020668C" w:rsidRPr="00D63DB3" w:rsidRDefault="00FB01D8" w:rsidP="00D63DB3">
            <w:pPr>
              <w:widowControl w:val="0"/>
              <w:pBdr>
                <w:top w:val="nil"/>
                <w:left w:val="nil"/>
                <w:bottom w:val="nil"/>
                <w:right w:val="nil"/>
                <w:between w:val="nil"/>
              </w:pBdr>
              <w:spacing w:line="259" w:lineRule="auto"/>
              <w:contextualSpacing/>
              <w:rPr>
                <w:rFonts w:ascii="Times New Roman" w:hAnsi="Times New Roman" w:cs="Times New Roman"/>
                <w:color w:val="000000" w:themeColor="text1"/>
              </w:rPr>
            </w:pPr>
            <w:r w:rsidRPr="00205393">
              <w:rPr>
                <w:rFonts w:ascii="Times New Roman" w:eastAsia="Times New Roman" w:hAnsi="Times New Roman" w:cs="Times New Roman"/>
                <w:color w:val="000000" w:themeColor="text1"/>
              </w:rPr>
              <w:t xml:space="preserve">(2) </w:t>
            </w:r>
            <w:r w:rsidR="003B2F60" w:rsidRPr="00055870">
              <w:rPr>
                <w:rFonts w:ascii="Times New Roman" w:eastAsia="Times New Roman" w:hAnsi="Times New Roman" w:cs="Times New Roman"/>
                <w:color w:val="000000" w:themeColor="text1"/>
              </w:rPr>
              <w:t>Bilingual language acquisition factors as they affect access to the Massachusetts content and language standards.</w:t>
            </w:r>
          </w:p>
        </w:tc>
      </w:tr>
    </w:tbl>
    <w:p w14:paraId="40127207" w14:textId="77777777" w:rsidR="0020668C" w:rsidRPr="00205393" w:rsidRDefault="0020668C">
      <w:pPr>
        <w:rPr>
          <w:rFonts w:ascii="Times New Roman" w:eastAsia="Times New Roman" w:hAnsi="Times New Roman" w:cs="Times New Roman"/>
          <w:color w:val="000000" w:themeColor="text1"/>
        </w:rPr>
      </w:pPr>
    </w:p>
    <w:p w14:paraId="68CA921A" w14:textId="3F57895C" w:rsidR="0020668C" w:rsidRPr="00205393" w:rsidRDefault="00FB01D8">
      <w:pPr>
        <w:shd w:val="clear" w:color="auto" w:fill="FFFFFF"/>
        <w:rPr>
          <w:rFonts w:ascii="Times New Roman" w:eastAsia="Times New Roman" w:hAnsi="Times New Roman" w:cs="Times New Roman"/>
          <w:i/>
          <w:color w:val="000000" w:themeColor="text1"/>
        </w:rPr>
      </w:pPr>
      <w:r w:rsidRPr="00205393">
        <w:rPr>
          <w:rFonts w:ascii="Times New Roman" w:eastAsia="Times New Roman" w:hAnsi="Times New Roman" w:cs="Times New Roman"/>
          <w:i/>
          <w:color w:val="000000" w:themeColor="text1"/>
        </w:rPr>
        <w:t xml:space="preserve">Candidates for the Bilingual </w:t>
      </w:r>
      <w:r w:rsidR="003B2F60">
        <w:rPr>
          <w:rFonts w:ascii="Times New Roman" w:eastAsia="Times New Roman" w:hAnsi="Times New Roman" w:cs="Times New Roman"/>
          <w:i/>
          <w:color w:val="000000" w:themeColor="text1"/>
        </w:rPr>
        <w:t>E</w:t>
      </w:r>
      <w:r w:rsidRPr="00205393">
        <w:rPr>
          <w:rFonts w:ascii="Times New Roman" w:eastAsia="Times New Roman" w:hAnsi="Times New Roman" w:cs="Times New Roman"/>
          <w:i/>
          <w:color w:val="000000" w:themeColor="text1"/>
        </w:rPr>
        <w:t xml:space="preserve">ducation Endorsement will develop knowledge and skills related to language acquisition factors as they affect access to the Massachusetts content and language standards including: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Indicators"/>
      </w:tblPr>
      <w:tblGrid>
        <w:gridCol w:w="10070"/>
      </w:tblGrid>
      <w:tr w:rsidR="007C6BEB" w:rsidRPr="00205393" w14:paraId="3268C425" w14:textId="77777777" w:rsidTr="00C879C9">
        <w:trPr>
          <w:tblHeader/>
        </w:trPr>
        <w:tc>
          <w:tcPr>
            <w:tcW w:w="10070" w:type="dxa"/>
          </w:tcPr>
          <w:p w14:paraId="3E53DD97" w14:textId="77777777" w:rsidR="0020668C" w:rsidRPr="00205393"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t>Indicators:</w:t>
            </w:r>
          </w:p>
        </w:tc>
      </w:tr>
      <w:tr w:rsidR="007C6BEB" w:rsidRPr="00205393" w14:paraId="540518FA" w14:textId="77777777">
        <w:tc>
          <w:tcPr>
            <w:tcW w:w="10070" w:type="dxa"/>
          </w:tcPr>
          <w:p w14:paraId="7839948F" w14:textId="30BF1F82" w:rsidR="007E4CF4" w:rsidRPr="00D63DB3" w:rsidRDefault="00265ECE"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a general understanding of how two or more languages are acquired, structured, and organized yet subject to influences of a cognitive and maturational nature, including language relatedness and the learner’s age, motivation, and identity development. (NDLETPS Component 1.2.b)</w:t>
            </w:r>
          </w:p>
        </w:tc>
      </w:tr>
      <w:tr w:rsidR="007C6BEB" w:rsidRPr="00205393" w14:paraId="15A09D1B" w14:textId="77777777">
        <w:tc>
          <w:tcPr>
            <w:tcW w:w="10070" w:type="dxa"/>
          </w:tcPr>
          <w:p w14:paraId="629BFF5E" w14:textId="5C9D1878" w:rsidR="007E4CF4" w:rsidRPr="00D63DB3" w:rsidRDefault="00265ECE"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understand</w:t>
            </w:r>
            <w:r w:rsidR="004968FA" w:rsidRPr="00D63DB3">
              <w:rPr>
                <w:rFonts w:ascii="Times New Roman" w:eastAsia="Times New Roman" w:hAnsi="Times New Roman" w:cs="Times New Roman"/>
                <w:color w:val="000000" w:themeColor="text1"/>
              </w:rPr>
              <w:t>ing</w:t>
            </w:r>
            <w:r w:rsidRPr="00D63DB3">
              <w:rPr>
                <w:rFonts w:ascii="Times New Roman" w:eastAsia="Times New Roman" w:hAnsi="Times New Roman" w:cs="Times New Roman"/>
                <w:color w:val="000000" w:themeColor="text1"/>
              </w:rPr>
              <w:t>s that one’s degree of bilingualism and biliteracy are best represented along a continuum that can vary contextually and over the lifetime of a learner</w:t>
            </w:r>
            <w:r w:rsidR="005940C1" w:rsidRPr="00D63DB3">
              <w:rPr>
                <w:rFonts w:ascii="Times New Roman" w:eastAsia="Times New Roman" w:hAnsi="Times New Roman" w:cs="Times New Roman"/>
                <w:color w:val="000000" w:themeColor="text1"/>
              </w:rPr>
              <w:t>.</w:t>
            </w:r>
            <w:r w:rsidRPr="00D63DB3">
              <w:rPr>
                <w:rFonts w:ascii="Times New Roman" w:eastAsia="Times New Roman" w:hAnsi="Times New Roman" w:cs="Times New Roman"/>
                <w:color w:val="000000" w:themeColor="text1"/>
              </w:rPr>
              <w:t xml:space="preserve"> (NDLETPS Component 1.2.c)</w:t>
            </w:r>
          </w:p>
        </w:tc>
      </w:tr>
      <w:tr w:rsidR="007C6BEB" w:rsidRPr="00205393" w14:paraId="205195C3" w14:textId="77777777">
        <w:tc>
          <w:tcPr>
            <w:tcW w:w="10070" w:type="dxa"/>
          </w:tcPr>
          <w:p w14:paraId="4DB7D41F" w14:textId="35C48781"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 xml:space="preserve">The candidate understands that there is no single best approach to promoting bilingualism and biliteracy for all learners in all dual language contexts (e.g., sequential versus simultaneous versus </w:t>
            </w:r>
            <w:proofErr w:type="spellStart"/>
            <w:r w:rsidRPr="00D63DB3">
              <w:rPr>
                <w:rFonts w:ascii="Times New Roman" w:eastAsia="Times New Roman" w:hAnsi="Times New Roman" w:cs="Times New Roman"/>
                <w:color w:val="000000" w:themeColor="text1"/>
              </w:rPr>
              <w:t>translanguaging</w:t>
            </w:r>
            <w:proofErr w:type="spellEnd"/>
            <w:r w:rsidRPr="00D63DB3">
              <w:rPr>
                <w:rFonts w:ascii="Times New Roman" w:eastAsia="Times New Roman" w:hAnsi="Times New Roman" w:cs="Times New Roman"/>
                <w:color w:val="000000" w:themeColor="text1"/>
              </w:rPr>
              <w:t xml:space="preserve"> literacy development approaches; grouping of learners; time and subject area allocation, etc.) and can understand and explain why the approach may be better suited than another for a particular context. (NDLETPS Component 1.3.b)</w:t>
            </w:r>
          </w:p>
        </w:tc>
      </w:tr>
    </w:tbl>
    <w:p w14:paraId="74EB0DE9" w14:textId="77777777" w:rsidR="0020668C" w:rsidRPr="007C6BEB" w:rsidRDefault="0020668C">
      <w:pPr>
        <w:pBdr>
          <w:top w:val="nil"/>
          <w:left w:val="nil"/>
          <w:bottom w:val="nil"/>
          <w:right w:val="nil"/>
          <w:between w:val="nil"/>
        </w:pBdr>
        <w:rPr>
          <w:color w:val="000000" w:themeColor="text1"/>
          <w:highlight w:val="yellow"/>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actors"/>
      </w:tblPr>
      <w:tblGrid>
        <w:gridCol w:w="10080"/>
      </w:tblGrid>
      <w:tr w:rsidR="007C6BEB" w:rsidRPr="00205393" w14:paraId="71E22554" w14:textId="77777777" w:rsidTr="00C879C9">
        <w:trPr>
          <w:trHeight w:val="520"/>
          <w:tblHeader/>
        </w:trPr>
        <w:tc>
          <w:tcPr>
            <w:tcW w:w="10080" w:type="dxa"/>
            <w:shd w:val="clear" w:color="auto" w:fill="D9D9D9"/>
          </w:tcPr>
          <w:p w14:paraId="0EDDE68B" w14:textId="45F32401" w:rsidR="0020668C" w:rsidRPr="00205393" w:rsidRDefault="00FB01D8" w:rsidP="00D63DB3">
            <w:pPr>
              <w:widowControl w:val="0"/>
              <w:rPr>
                <w:rFonts w:ascii="Times New Roman" w:eastAsia="Times New Roman" w:hAnsi="Times New Roman" w:cs="Times New Roman"/>
                <w:color w:val="000000" w:themeColor="text1"/>
                <w:u w:val="single"/>
              </w:rPr>
            </w:pPr>
            <w:r w:rsidRPr="00CA5E11">
              <w:rPr>
                <w:rFonts w:ascii="Times New Roman" w:eastAsia="Times New Roman" w:hAnsi="Times New Roman" w:cs="Times New Roman"/>
                <w:color w:val="000000" w:themeColor="text1"/>
              </w:rPr>
              <w:t>(3)</w:t>
            </w:r>
            <w:r w:rsidR="00205393">
              <w:rPr>
                <w:rFonts w:ascii="Times New Roman" w:eastAsia="Times New Roman" w:hAnsi="Times New Roman" w:cs="Times New Roman"/>
                <w:color w:val="000000" w:themeColor="text1"/>
              </w:rPr>
              <w:t xml:space="preserve"> </w:t>
            </w:r>
            <w:r w:rsidR="003B2F60" w:rsidRPr="00205393">
              <w:rPr>
                <w:rFonts w:ascii="Times New Roman" w:eastAsia="Times New Roman" w:hAnsi="Times New Roman" w:cs="Times New Roman"/>
                <w:color w:val="000000" w:themeColor="text1"/>
              </w:rPr>
              <w:t>Social-cultural, social-emotional, political, and other salient factors in bilingual language acquisition</w:t>
            </w:r>
            <w:r w:rsidR="003B2F60">
              <w:rPr>
                <w:rFonts w:ascii="Times New Roman" w:eastAsia="Times New Roman" w:hAnsi="Times New Roman" w:cs="Times New Roman"/>
                <w:color w:val="000000" w:themeColor="text1"/>
              </w:rPr>
              <w:t>.</w:t>
            </w:r>
            <w:r w:rsidR="003B2F60" w:rsidRPr="00CA5E11" w:rsidDel="003B2F60">
              <w:rPr>
                <w:rFonts w:ascii="Times New Roman" w:eastAsia="Times New Roman" w:hAnsi="Times New Roman" w:cs="Times New Roman"/>
                <w:color w:val="000000" w:themeColor="text1"/>
              </w:rPr>
              <w:t xml:space="preserve"> </w:t>
            </w:r>
          </w:p>
        </w:tc>
      </w:tr>
    </w:tbl>
    <w:p w14:paraId="0BBF089F" w14:textId="77777777" w:rsidR="0020668C" w:rsidRPr="00205393" w:rsidRDefault="0020668C">
      <w:pPr>
        <w:pBdr>
          <w:top w:val="nil"/>
          <w:left w:val="nil"/>
          <w:bottom w:val="nil"/>
          <w:right w:val="nil"/>
          <w:between w:val="nil"/>
        </w:pBdr>
        <w:shd w:val="clear" w:color="auto" w:fill="FFFFFF"/>
        <w:ind w:left="720" w:hanging="720"/>
        <w:rPr>
          <w:rFonts w:ascii="Times New Roman" w:eastAsia="Times New Roman" w:hAnsi="Times New Roman" w:cs="Times New Roman"/>
          <w:color w:val="000000" w:themeColor="text1"/>
          <w:u w:val="single"/>
        </w:rPr>
      </w:pPr>
    </w:p>
    <w:p w14:paraId="793B0C8B" w14:textId="21CBAA2E" w:rsidR="0020668C" w:rsidRPr="00054FF8" w:rsidRDefault="00FB01D8">
      <w:pPr>
        <w:widowControl w:val="0"/>
        <w:rPr>
          <w:rFonts w:ascii="Times New Roman" w:eastAsia="Times New Roman" w:hAnsi="Times New Roman" w:cs="Times New Roman"/>
          <w:i/>
          <w:color w:val="000000" w:themeColor="text1"/>
        </w:rPr>
      </w:pPr>
      <w:r w:rsidRPr="00205393">
        <w:rPr>
          <w:rFonts w:ascii="Times New Roman" w:eastAsia="Times New Roman" w:hAnsi="Times New Roman" w:cs="Times New Roman"/>
          <w:i/>
          <w:color w:val="000000" w:themeColor="text1"/>
        </w:rPr>
        <w:t xml:space="preserve">Candidates for the </w:t>
      </w:r>
      <w:r w:rsidR="003B2F60">
        <w:rPr>
          <w:rFonts w:ascii="Times New Roman" w:eastAsia="Times New Roman" w:hAnsi="Times New Roman" w:cs="Times New Roman"/>
          <w:i/>
          <w:color w:val="000000" w:themeColor="text1"/>
        </w:rPr>
        <w:t>B</w:t>
      </w:r>
      <w:r w:rsidRPr="00205393">
        <w:rPr>
          <w:rFonts w:ascii="Times New Roman" w:eastAsia="Times New Roman" w:hAnsi="Times New Roman" w:cs="Times New Roman"/>
          <w:i/>
          <w:color w:val="000000" w:themeColor="text1"/>
        </w:rPr>
        <w:t xml:space="preserve">ilingual </w:t>
      </w:r>
      <w:r w:rsidR="003B2F60">
        <w:rPr>
          <w:rFonts w:ascii="Times New Roman" w:eastAsia="Times New Roman" w:hAnsi="Times New Roman" w:cs="Times New Roman"/>
          <w:i/>
          <w:color w:val="000000" w:themeColor="text1"/>
        </w:rPr>
        <w:t>E</w:t>
      </w:r>
      <w:r w:rsidRPr="00205393">
        <w:rPr>
          <w:rFonts w:ascii="Times New Roman" w:eastAsia="Times New Roman" w:hAnsi="Times New Roman" w:cs="Times New Roman"/>
          <w:i/>
          <w:color w:val="000000" w:themeColor="text1"/>
        </w:rPr>
        <w:t xml:space="preserve">ducation </w:t>
      </w:r>
      <w:r w:rsidR="003B2F60">
        <w:rPr>
          <w:rFonts w:ascii="Times New Roman" w:eastAsia="Times New Roman" w:hAnsi="Times New Roman" w:cs="Times New Roman"/>
          <w:i/>
          <w:color w:val="000000" w:themeColor="text1"/>
        </w:rPr>
        <w:t>E</w:t>
      </w:r>
      <w:r w:rsidRPr="00205393">
        <w:rPr>
          <w:rFonts w:ascii="Times New Roman" w:eastAsia="Times New Roman" w:hAnsi="Times New Roman" w:cs="Times New Roman"/>
          <w:i/>
          <w:color w:val="000000" w:themeColor="text1"/>
        </w:rPr>
        <w:t xml:space="preserve">ndorsement will develop knowledge and skills related to social-cultural, social-emotional, political, and other </w:t>
      </w:r>
      <w:r w:rsidR="00054FF8">
        <w:rPr>
          <w:rFonts w:ascii="Times New Roman" w:eastAsia="Times New Roman" w:hAnsi="Times New Roman" w:cs="Times New Roman"/>
          <w:i/>
          <w:color w:val="000000" w:themeColor="text1"/>
        </w:rPr>
        <w:t>salient</w:t>
      </w:r>
      <w:r w:rsidR="00054FF8" w:rsidRPr="00054FF8">
        <w:rPr>
          <w:rFonts w:ascii="Times New Roman" w:eastAsia="Times New Roman" w:hAnsi="Times New Roman" w:cs="Times New Roman"/>
          <w:i/>
          <w:color w:val="000000" w:themeColor="text1"/>
        </w:rPr>
        <w:t xml:space="preserve"> </w:t>
      </w:r>
      <w:r w:rsidRPr="00054FF8">
        <w:rPr>
          <w:rFonts w:ascii="Times New Roman" w:eastAsia="Times New Roman" w:hAnsi="Times New Roman" w:cs="Times New Roman"/>
          <w:i/>
          <w:color w:val="000000" w:themeColor="text1"/>
        </w:rPr>
        <w:t xml:space="preserve">factors in bilingual acquisition including: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Caption w:val="Indicators"/>
      </w:tblPr>
      <w:tblGrid>
        <w:gridCol w:w="10070"/>
      </w:tblGrid>
      <w:tr w:rsidR="007C6BEB" w:rsidRPr="00205393" w14:paraId="37B78E0D" w14:textId="77777777" w:rsidTr="00C879C9">
        <w:trPr>
          <w:trHeight w:val="320"/>
          <w:tblHeader/>
        </w:trPr>
        <w:tc>
          <w:tcPr>
            <w:tcW w:w="10070" w:type="dxa"/>
          </w:tcPr>
          <w:p w14:paraId="695D3498" w14:textId="77777777" w:rsidR="0020668C" w:rsidRPr="00055870" w:rsidRDefault="00FB01D8">
            <w:pPr>
              <w:jc w:val="center"/>
              <w:rPr>
                <w:rFonts w:ascii="Times New Roman" w:eastAsia="Times New Roman" w:hAnsi="Times New Roman" w:cs="Times New Roman"/>
                <w:b/>
                <w:color w:val="000000" w:themeColor="text1"/>
              </w:rPr>
            </w:pPr>
            <w:r w:rsidRPr="00055870">
              <w:rPr>
                <w:rFonts w:ascii="Times New Roman" w:eastAsia="Times New Roman" w:hAnsi="Times New Roman" w:cs="Times New Roman"/>
                <w:b/>
                <w:color w:val="000000" w:themeColor="text1"/>
              </w:rPr>
              <w:t xml:space="preserve">Indicators:  </w:t>
            </w:r>
          </w:p>
        </w:tc>
      </w:tr>
      <w:tr w:rsidR="007C6BEB" w:rsidRPr="00205393" w14:paraId="2111AC52" w14:textId="77777777">
        <w:trPr>
          <w:trHeight w:val="320"/>
        </w:trPr>
        <w:tc>
          <w:tcPr>
            <w:tcW w:w="10070" w:type="dxa"/>
          </w:tcPr>
          <w:p w14:paraId="3DC74793" w14:textId="3E0C7811" w:rsidR="00AF6321" w:rsidRPr="00D63DB3" w:rsidRDefault="00AF6321"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understands how the learners’ sense of identity is intimately linked to his or her past, present, and future. (NDLETPS Component 2.1.a)</w:t>
            </w:r>
          </w:p>
        </w:tc>
      </w:tr>
      <w:tr w:rsidR="007C6BEB" w:rsidRPr="00205393" w14:paraId="545ABB88" w14:textId="77777777">
        <w:trPr>
          <w:trHeight w:val="320"/>
        </w:trPr>
        <w:tc>
          <w:tcPr>
            <w:tcW w:w="10070" w:type="dxa"/>
          </w:tcPr>
          <w:p w14:paraId="17D1529B" w14:textId="1C4C96C0"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understandings that language ideologies may not be generally neutral and that they are sometimes used to benefit certain segments of a given society to the detriment of others. (NDLETPS Component 1.1.a)</w:t>
            </w:r>
          </w:p>
        </w:tc>
      </w:tr>
      <w:tr w:rsidR="007C6BEB" w:rsidRPr="00205393" w14:paraId="2075ED3A" w14:textId="77777777">
        <w:trPr>
          <w:trHeight w:val="320"/>
        </w:trPr>
        <w:tc>
          <w:tcPr>
            <w:tcW w:w="10070" w:type="dxa"/>
          </w:tcPr>
          <w:p w14:paraId="37D9253A" w14:textId="5748ED59"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understands that teachers are central to enacting established micro level language policy and planning, may mitigate the implementation of a policy and plan, and are key to evaluating the improving micro level language policy. (NDLETPS Component 1.3.c)</w:t>
            </w:r>
          </w:p>
        </w:tc>
      </w:tr>
      <w:tr w:rsidR="007C6BEB" w:rsidRPr="00205393" w14:paraId="7F60493E" w14:textId="77777777">
        <w:trPr>
          <w:trHeight w:val="320"/>
        </w:trPr>
        <w:tc>
          <w:tcPr>
            <w:tcW w:w="10070" w:type="dxa"/>
          </w:tcPr>
          <w:p w14:paraId="671A84AA" w14:textId="38C522B6"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lastRenderedPageBreak/>
              <w:t xml:space="preserve">The candidate understands the various political, social, economic, </w:t>
            </w:r>
            <w:proofErr w:type="gramStart"/>
            <w:r w:rsidRPr="00D63DB3">
              <w:rPr>
                <w:rFonts w:ascii="Times New Roman" w:eastAsia="Times New Roman" w:hAnsi="Times New Roman" w:cs="Times New Roman"/>
                <w:color w:val="000000" w:themeColor="text1"/>
              </w:rPr>
              <w:t>psychological</w:t>
            </w:r>
            <w:proofErr w:type="gramEnd"/>
            <w:r w:rsidRPr="00D63DB3">
              <w:rPr>
                <w:rFonts w:ascii="Times New Roman" w:eastAsia="Times New Roman" w:hAnsi="Times New Roman" w:cs="Times New Roman"/>
                <w:color w:val="000000" w:themeColor="text1"/>
              </w:rPr>
              <w:t xml:space="preserve"> and linguistic events of the past and present that influence the learners’ sense of identity whether privileged or subordinated locally, regionally, nationally, or globally. (NDLETPS Component 2.1.b)</w:t>
            </w:r>
          </w:p>
        </w:tc>
      </w:tr>
      <w:tr w:rsidR="007C6BEB" w:rsidRPr="00205393" w14:paraId="3731AA9A" w14:textId="77777777">
        <w:trPr>
          <w:trHeight w:val="320"/>
        </w:trPr>
        <w:tc>
          <w:tcPr>
            <w:tcW w:w="10070" w:type="dxa"/>
          </w:tcPr>
          <w:p w14:paraId="336EA80C" w14:textId="169E5A7F" w:rsidR="00116669"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the ability to critically reflect on how his or her own sociohistorical positioning (e.g., based on race, gender, language, class, etc.) might influence the quality of interactions with members of the school and community. (NDLETPS Component 2.2.a)</w:t>
            </w:r>
          </w:p>
        </w:tc>
      </w:tr>
    </w:tbl>
    <w:p w14:paraId="3A8C4340" w14:textId="77777777" w:rsidR="00D63DB3" w:rsidRPr="00CA5E11" w:rsidRDefault="00D63DB3" w:rsidP="00D63DB3">
      <w:pPr>
        <w:rPr>
          <w:rFonts w:ascii="Times New Roman" w:eastAsia="Times New Roman" w:hAnsi="Times New Roman" w:cs="Times New Roman"/>
          <w:color w:val="000000" w:themeColor="text1"/>
        </w:rPr>
      </w:pPr>
    </w:p>
    <w:tbl>
      <w:tblPr>
        <w:tblW w:w="10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Strategies"/>
      </w:tblPr>
      <w:tblGrid>
        <w:gridCol w:w="10075"/>
      </w:tblGrid>
      <w:tr w:rsidR="007C6BEB" w:rsidRPr="00205393" w14:paraId="47393C8D" w14:textId="77777777" w:rsidTr="00C879C9">
        <w:trPr>
          <w:trHeight w:val="539"/>
          <w:tblHeader/>
        </w:trPr>
        <w:tc>
          <w:tcPr>
            <w:tcW w:w="10075" w:type="dxa"/>
            <w:shd w:val="clear" w:color="auto" w:fill="D9D9D9"/>
          </w:tcPr>
          <w:p w14:paraId="08ABF095" w14:textId="129FF8C8" w:rsidR="0020668C" w:rsidRPr="00205393" w:rsidRDefault="00FB01D8" w:rsidP="00D63DB3">
            <w:pPr>
              <w:widowControl w:val="0"/>
              <w:rPr>
                <w:rFonts w:ascii="Times New Roman" w:eastAsia="Times New Roman" w:hAnsi="Times New Roman" w:cs="Times New Roman"/>
                <w:b/>
                <w:color w:val="000000" w:themeColor="text1"/>
              </w:rPr>
            </w:pPr>
            <w:r w:rsidRPr="00055870">
              <w:rPr>
                <w:rFonts w:ascii="Times New Roman" w:eastAsia="Times New Roman" w:hAnsi="Times New Roman" w:cs="Times New Roman"/>
                <w:color w:val="000000" w:themeColor="text1"/>
              </w:rPr>
              <w:t>(4)</w:t>
            </w:r>
            <w:r w:rsidR="00205393">
              <w:rPr>
                <w:rFonts w:ascii="Times New Roman" w:eastAsia="Times New Roman" w:hAnsi="Times New Roman" w:cs="Times New Roman"/>
                <w:color w:val="000000" w:themeColor="text1"/>
              </w:rPr>
              <w:t xml:space="preserve"> </w:t>
            </w:r>
            <w:r w:rsidR="003B2F60" w:rsidRPr="00205393">
              <w:rPr>
                <w:rFonts w:ascii="Times New Roman" w:eastAsia="Times New Roman" w:hAnsi="Times New Roman" w:cs="Times New Roman"/>
                <w:color w:val="000000" w:themeColor="text1"/>
              </w:rPr>
              <w:t>Implementation of strategies for coordinating non-English partner language instruction and English language development instruction for English learners</w:t>
            </w:r>
          </w:p>
        </w:tc>
      </w:tr>
    </w:tbl>
    <w:p w14:paraId="602A1715" w14:textId="7B1A2DA0" w:rsidR="0020668C" w:rsidRPr="00205393" w:rsidRDefault="0020668C">
      <w:pPr>
        <w:widowControl w:val="0"/>
        <w:rPr>
          <w:rFonts w:ascii="Times New Roman" w:eastAsia="Times New Roman" w:hAnsi="Times New Roman" w:cs="Times New Roman"/>
          <w:i/>
          <w:color w:val="000000" w:themeColor="text1"/>
        </w:rPr>
      </w:pPr>
    </w:p>
    <w:p w14:paraId="49C4778A" w14:textId="77777777" w:rsidR="0020668C" w:rsidRPr="00205393" w:rsidRDefault="00FB01D8">
      <w:pPr>
        <w:widowControl w:val="0"/>
        <w:rPr>
          <w:rFonts w:ascii="Times New Roman" w:eastAsia="Times New Roman" w:hAnsi="Times New Roman" w:cs="Times New Roman"/>
          <w:i/>
          <w:color w:val="000000" w:themeColor="text1"/>
        </w:rPr>
      </w:pPr>
      <w:r w:rsidRPr="00205393">
        <w:rPr>
          <w:rFonts w:ascii="Times New Roman" w:eastAsia="Times New Roman" w:hAnsi="Times New Roman" w:cs="Times New Roman"/>
          <w:i/>
          <w:color w:val="000000" w:themeColor="text1"/>
        </w:rPr>
        <w:t xml:space="preserve">Candidates for the Bilingual Education Endorsement will develop knowledge and skills related to implementation of strategies for coordinating non-English partner language instruction and English language development including: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Description w:val="Indicators"/>
      </w:tblPr>
      <w:tblGrid>
        <w:gridCol w:w="10070"/>
      </w:tblGrid>
      <w:tr w:rsidR="007C6BEB" w:rsidRPr="00205393" w14:paraId="5E424E9E" w14:textId="77777777" w:rsidTr="00C879C9">
        <w:trPr>
          <w:tblHeader/>
        </w:trPr>
        <w:tc>
          <w:tcPr>
            <w:tcW w:w="10070" w:type="dxa"/>
            <w:shd w:val="clear" w:color="auto" w:fill="FFFFFF"/>
          </w:tcPr>
          <w:p w14:paraId="320AAAAC" w14:textId="77777777" w:rsidR="0020668C" w:rsidRPr="00205393"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t>Indicators:</w:t>
            </w:r>
          </w:p>
        </w:tc>
      </w:tr>
      <w:tr w:rsidR="007C6BEB" w:rsidRPr="00205393" w14:paraId="0B213DCD" w14:textId="77777777">
        <w:trPr>
          <w:trHeight w:val="500"/>
        </w:trPr>
        <w:tc>
          <w:tcPr>
            <w:tcW w:w="10070" w:type="dxa"/>
          </w:tcPr>
          <w:p w14:paraId="30CEDDD7" w14:textId="0C57FBF9" w:rsidR="0020668C" w:rsidRPr="00D63DB3" w:rsidRDefault="00116669">
            <w:pPr>
              <w:numPr>
                <w:ilvl w:val="0"/>
                <w:numId w:val="5"/>
              </w:numPr>
              <w:pBdr>
                <w:top w:val="nil"/>
                <w:left w:val="nil"/>
                <w:bottom w:val="nil"/>
                <w:right w:val="nil"/>
                <w:between w:val="nil"/>
              </w:pBdr>
              <w:spacing w:after="20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Independently or with a co-teacher (depending on the program model), the candidate </w:t>
            </w:r>
            <w:proofErr w:type="gramStart"/>
            <w:r w:rsidRPr="00D63DB3">
              <w:rPr>
                <w:rFonts w:ascii="Times New Roman" w:hAnsi="Times New Roman" w:cs="Times New Roman"/>
                <w:color w:val="000000" w:themeColor="text1"/>
              </w:rPr>
              <w:t>is able to</w:t>
            </w:r>
            <w:proofErr w:type="gramEnd"/>
            <w:r w:rsidRPr="00D63DB3">
              <w:rPr>
                <w:rFonts w:ascii="Times New Roman" w:hAnsi="Times New Roman" w:cs="Times New Roman"/>
                <w:color w:val="000000" w:themeColor="text1"/>
              </w:rPr>
              <w:t xml:space="preserve"> map instructional standards across languages to create a cohesive instructional plan that promotes biliteracy development and the transfer of learning objectives. </w:t>
            </w:r>
            <w:r w:rsidRPr="00D63DB3">
              <w:rPr>
                <w:rFonts w:ascii="Times New Roman" w:eastAsia="Times New Roman" w:hAnsi="Times New Roman" w:cs="Times New Roman"/>
                <w:color w:val="000000" w:themeColor="text1"/>
              </w:rPr>
              <w:t>(NDLETPS Component 3.1.c)</w:t>
            </w:r>
          </w:p>
        </w:tc>
      </w:tr>
      <w:tr w:rsidR="007C6BEB" w:rsidRPr="00205393" w14:paraId="36B8B76A" w14:textId="77777777">
        <w:trPr>
          <w:trHeight w:val="500"/>
        </w:trPr>
        <w:tc>
          <w:tcPr>
            <w:tcW w:w="10070" w:type="dxa"/>
          </w:tcPr>
          <w:p w14:paraId="154C99E6" w14:textId="34FF95BE" w:rsidR="0020668C" w:rsidRPr="00D63DB3" w:rsidRDefault="00116669">
            <w:pPr>
              <w:numPr>
                <w:ilvl w:val="0"/>
                <w:numId w:val="5"/>
              </w:numPr>
              <w:pBdr>
                <w:top w:val="nil"/>
                <w:left w:val="nil"/>
                <w:bottom w:val="nil"/>
                <w:right w:val="nil"/>
                <w:between w:val="nil"/>
              </w:pBdr>
              <w:spacing w:after="20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The candidate is able to design and implement instructional activities that promote the transfer of learning objectives across languages with an emphasis on the significance of student-relevant lessons that facilitate and encourage students to utilize broa</w:t>
            </w:r>
            <w:r w:rsidR="005E5869" w:rsidRPr="00D63DB3">
              <w:rPr>
                <w:rFonts w:ascii="Times New Roman" w:hAnsi="Times New Roman" w:cs="Times New Roman"/>
                <w:color w:val="000000" w:themeColor="text1"/>
              </w:rPr>
              <w:t>d linguistic repertoires fro</w:t>
            </w:r>
            <w:r w:rsidRPr="00D63DB3">
              <w:rPr>
                <w:rFonts w:ascii="Times New Roman" w:hAnsi="Times New Roman" w:cs="Times New Roman"/>
                <w:color w:val="000000" w:themeColor="text1"/>
              </w:rPr>
              <w:t xml:space="preserve">m an assets-based perspective. </w:t>
            </w:r>
            <w:r w:rsidRPr="00D63DB3">
              <w:rPr>
                <w:rFonts w:ascii="Times New Roman" w:eastAsia="Times New Roman" w:hAnsi="Times New Roman" w:cs="Times New Roman"/>
                <w:color w:val="000000" w:themeColor="text1"/>
              </w:rPr>
              <w:t>(NDLETPS Component 3.2.d)</w:t>
            </w:r>
          </w:p>
        </w:tc>
      </w:tr>
      <w:tr w:rsidR="007C6BEB" w:rsidRPr="00205393" w14:paraId="16FFA9BB" w14:textId="77777777">
        <w:trPr>
          <w:trHeight w:val="500"/>
        </w:trPr>
        <w:tc>
          <w:tcPr>
            <w:tcW w:w="10070" w:type="dxa"/>
          </w:tcPr>
          <w:p w14:paraId="67613373" w14:textId="57287B83" w:rsidR="0020668C" w:rsidRPr="00D63DB3" w:rsidRDefault="00116669">
            <w:pPr>
              <w:numPr>
                <w:ilvl w:val="0"/>
                <w:numId w:val="5"/>
              </w:numPr>
              <w:pBdr>
                <w:top w:val="nil"/>
                <w:left w:val="nil"/>
                <w:bottom w:val="nil"/>
                <w:right w:val="nil"/>
                <w:between w:val="nil"/>
              </w:pBdr>
              <w:spacing w:after="20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The candidate demonstrates understanding of the phonological, lexical, and syntactic differences between the two languages and scaffolds instruction accordingly. </w:t>
            </w:r>
            <w:r w:rsidRPr="00D63DB3">
              <w:rPr>
                <w:rFonts w:ascii="Times New Roman" w:eastAsia="Times New Roman" w:hAnsi="Times New Roman" w:cs="Times New Roman"/>
                <w:color w:val="000000" w:themeColor="text1"/>
              </w:rPr>
              <w:t>(NDLETPS Component 3.4.d)</w:t>
            </w:r>
          </w:p>
        </w:tc>
      </w:tr>
    </w:tbl>
    <w:p w14:paraId="3AEB8E2C" w14:textId="77777777" w:rsidR="0020668C" w:rsidRPr="007C6BEB" w:rsidRDefault="0020668C" w:rsidP="00D63DB3">
      <w:pPr>
        <w:rPr>
          <w:rFonts w:ascii="Times New Roman" w:eastAsia="Times New Roman" w:hAnsi="Times New Roman" w:cs="Times New Roman"/>
          <w:color w:val="000000" w:themeColor="text1"/>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Practices and approaches"/>
      </w:tblPr>
      <w:tblGrid>
        <w:gridCol w:w="10070"/>
      </w:tblGrid>
      <w:tr w:rsidR="007C6BEB" w:rsidRPr="00205393" w14:paraId="719578BE" w14:textId="77777777" w:rsidTr="00C879C9">
        <w:trPr>
          <w:trHeight w:val="600"/>
          <w:tblHeader/>
        </w:trPr>
        <w:tc>
          <w:tcPr>
            <w:tcW w:w="10070" w:type="dxa"/>
            <w:shd w:val="clear" w:color="auto" w:fill="D9D9D9"/>
          </w:tcPr>
          <w:p w14:paraId="6E5297C6" w14:textId="412110E3" w:rsidR="0020668C" w:rsidRPr="00205393" w:rsidRDefault="003B2F60">
            <w:pPr>
              <w:tabs>
                <w:tab w:val="left" w:pos="8493"/>
              </w:tabs>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szCs w:val="22"/>
              </w:rPr>
              <w:t xml:space="preserve">(5) </w:t>
            </w:r>
            <w:r w:rsidRPr="00205393">
              <w:rPr>
                <w:rFonts w:ascii="Times New Roman" w:eastAsia="Times New Roman" w:hAnsi="Times New Roman" w:cs="Times New Roman"/>
                <w:color w:val="000000" w:themeColor="text1"/>
              </w:rPr>
              <w:t>Practices and approaches of teaching reading an</w:t>
            </w:r>
            <w:r w:rsidRPr="007C6BEB">
              <w:rPr>
                <w:rFonts w:ascii="Times New Roman" w:eastAsia="Times New Roman" w:hAnsi="Times New Roman" w:cs="Times New Roman"/>
                <w:color w:val="000000" w:themeColor="text1"/>
              </w:rPr>
              <w:t>d writing in two languages, including the importance of oral language development as a foundation for literacy</w:t>
            </w:r>
            <w:r>
              <w:rPr>
                <w:rFonts w:ascii="Times New Roman" w:eastAsia="Times New Roman" w:hAnsi="Times New Roman" w:cs="Times New Roman"/>
                <w:color w:val="000000" w:themeColor="text1"/>
              </w:rPr>
              <w:t>.</w:t>
            </w:r>
            <w:r w:rsidRPr="007C6BEB" w:rsidDel="003B2F60">
              <w:rPr>
                <w:rFonts w:ascii="Times New Roman" w:eastAsia="Times New Roman" w:hAnsi="Times New Roman" w:cs="Times New Roman"/>
                <w:color w:val="000000" w:themeColor="text1"/>
                <w:sz w:val="22"/>
                <w:szCs w:val="22"/>
              </w:rPr>
              <w:t xml:space="preserve"> </w:t>
            </w:r>
            <w:r w:rsidR="00FB01D8" w:rsidRPr="00205393">
              <w:rPr>
                <w:rFonts w:ascii="Times New Roman" w:eastAsia="Times New Roman" w:hAnsi="Times New Roman" w:cs="Times New Roman"/>
                <w:color w:val="000000" w:themeColor="text1"/>
              </w:rPr>
              <w:tab/>
            </w:r>
          </w:p>
        </w:tc>
      </w:tr>
    </w:tbl>
    <w:p w14:paraId="5BC9BBC8" w14:textId="77777777" w:rsidR="003B2F60" w:rsidRDefault="003B2F60">
      <w:pPr>
        <w:widowControl w:val="0"/>
        <w:rPr>
          <w:rFonts w:ascii="Times New Roman" w:eastAsia="Times New Roman" w:hAnsi="Times New Roman" w:cs="Times New Roman"/>
          <w:i/>
          <w:color w:val="000000" w:themeColor="text1"/>
        </w:rPr>
      </w:pPr>
    </w:p>
    <w:p w14:paraId="22F782B4" w14:textId="423CCC17" w:rsidR="0020668C" w:rsidRPr="00055870" w:rsidRDefault="00FB01D8">
      <w:pPr>
        <w:widowControl w:val="0"/>
        <w:rPr>
          <w:rFonts w:ascii="Times New Roman" w:eastAsia="Times New Roman" w:hAnsi="Times New Roman" w:cs="Times New Roman"/>
          <w:i/>
          <w:color w:val="000000" w:themeColor="text1"/>
        </w:rPr>
      </w:pPr>
      <w:r w:rsidRPr="007C6BEB">
        <w:rPr>
          <w:rFonts w:ascii="Times New Roman" w:eastAsia="Times New Roman" w:hAnsi="Times New Roman" w:cs="Times New Roman"/>
          <w:i/>
          <w:color w:val="000000" w:themeColor="text1"/>
        </w:rPr>
        <w:t xml:space="preserve">Candidates for the </w:t>
      </w:r>
      <w:r w:rsidR="003B2F60">
        <w:rPr>
          <w:rFonts w:ascii="Times New Roman" w:eastAsia="Times New Roman" w:hAnsi="Times New Roman" w:cs="Times New Roman"/>
          <w:i/>
          <w:color w:val="000000" w:themeColor="text1"/>
        </w:rPr>
        <w:t>B</w:t>
      </w:r>
      <w:r w:rsidRPr="007C6BEB">
        <w:rPr>
          <w:rFonts w:ascii="Times New Roman" w:eastAsia="Times New Roman" w:hAnsi="Times New Roman" w:cs="Times New Roman"/>
          <w:i/>
          <w:color w:val="000000" w:themeColor="text1"/>
        </w:rPr>
        <w:t xml:space="preserve">ilingual </w:t>
      </w:r>
      <w:r w:rsidR="003B2F60">
        <w:rPr>
          <w:rFonts w:ascii="Times New Roman" w:eastAsia="Times New Roman" w:hAnsi="Times New Roman" w:cs="Times New Roman"/>
          <w:i/>
          <w:color w:val="000000" w:themeColor="text1"/>
        </w:rPr>
        <w:t>E</w:t>
      </w:r>
      <w:r w:rsidRPr="007C6BEB">
        <w:rPr>
          <w:rFonts w:ascii="Times New Roman" w:eastAsia="Times New Roman" w:hAnsi="Times New Roman" w:cs="Times New Roman"/>
          <w:i/>
          <w:color w:val="000000" w:themeColor="text1"/>
        </w:rPr>
        <w:t>ducation Endorsement will develop knowledge and skills related to Practices and approaches of teaching reading and wri</w:t>
      </w:r>
      <w:r w:rsidRPr="00CA5E11">
        <w:rPr>
          <w:rFonts w:ascii="Times New Roman" w:eastAsia="Times New Roman" w:hAnsi="Times New Roman" w:cs="Times New Roman"/>
          <w:i/>
          <w:color w:val="000000" w:themeColor="text1"/>
        </w:rPr>
        <w:t xml:space="preserve">ting in two languages, including the importance of oral language development as a foundation for literacy.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Description w:val="Indicators"/>
      </w:tblPr>
      <w:tblGrid>
        <w:gridCol w:w="10070"/>
      </w:tblGrid>
      <w:tr w:rsidR="007C6BEB" w:rsidRPr="00205393" w14:paraId="4AA11305" w14:textId="77777777" w:rsidTr="00C879C9">
        <w:trPr>
          <w:tblHeader/>
        </w:trPr>
        <w:tc>
          <w:tcPr>
            <w:tcW w:w="10070" w:type="dxa"/>
            <w:shd w:val="clear" w:color="auto" w:fill="FFFFFF"/>
          </w:tcPr>
          <w:p w14:paraId="0D59D730" w14:textId="77777777" w:rsidR="0020668C" w:rsidRPr="00205393"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t>Indicators:</w:t>
            </w:r>
          </w:p>
        </w:tc>
      </w:tr>
      <w:tr w:rsidR="007C6BEB" w:rsidRPr="00205393" w14:paraId="24E6B7B9" w14:textId="77777777">
        <w:tc>
          <w:tcPr>
            <w:tcW w:w="10070" w:type="dxa"/>
            <w:shd w:val="clear" w:color="auto" w:fill="FFFFFF"/>
          </w:tcPr>
          <w:p w14:paraId="206384B4" w14:textId="75D376F4"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lesson delivery that incorporates a variety of grouping strategies to promote students’ active engagement and to provide sufficient opportunities to practice all four language modalities. (NDLETPS Component 3.2.b)</w:t>
            </w:r>
          </w:p>
        </w:tc>
      </w:tr>
      <w:tr w:rsidR="007C6BEB" w:rsidRPr="00205393" w14:paraId="5132E9D4" w14:textId="77777777">
        <w:tc>
          <w:tcPr>
            <w:tcW w:w="10070" w:type="dxa"/>
            <w:shd w:val="clear" w:color="auto" w:fill="FFFFFF"/>
          </w:tcPr>
          <w:p w14:paraId="4222EEE0" w14:textId="2C4EA948" w:rsidR="007E4CF4" w:rsidRPr="00D63DB3" w:rsidRDefault="00116669"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pedagogical practices that afford students’ use of grammatical, pragmatic, discourse, and metalinguistic competencies, with ample opportunities for structured and unstructured language production, in both the partner language and in English. (NDLETPS Component 3.3.d)</w:t>
            </w:r>
          </w:p>
        </w:tc>
      </w:tr>
      <w:tr w:rsidR="007C6BEB" w:rsidRPr="00205393" w14:paraId="4BB78D7C" w14:textId="77777777">
        <w:tc>
          <w:tcPr>
            <w:tcW w:w="10070" w:type="dxa"/>
            <w:shd w:val="clear" w:color="auto" w:fill="FFFFFF"/>
          </w:tcPr>
          <w:p w14:paraId="29415DC8" w14:textId="620019D1" w:rsidR="007E4CF4" w:rsidRPr="00D63DB3" w:rsidRDefault="00F7402B"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 xml:space="preserve">The candidate demonstrates knowledge and skills </w:t>
            </w:r>
            <w:proofErr w:type="gramStart"/>
            <w:r w:rsidRPr="00D63DB3">
              <w:rPr>
                <w:rFonts w:ascii="Times New Roman" w:eastAsia="Times New Roman" w:hAnsi="Times New Roman" w:cs="Times New Roman"/>
                <w:color w:val="000000" w:themeColor="text1"/>
              </w:rPr>
              <w:t>with regard to</w:t>
            </w:r>
            <w:proofErr w:type="gramEnd"/>
            <w:r w:rsidRPr="00D63DB3">
              <w:rPr>
                <w:rFonts w:ascii="Times New Roman" w:eastAsia="Times New Roman" w:hAnsi="Times New Roman" w:cs="Times New Roman"/>
                <w:color w:val="000000" w:themeColor="text1"/>
              </w:rPr>
              <w:t xml:space="preserve"> scaffolding for the language of instruction and separation of languages along with appropriate points for </w:t>
            </w:r>
            <w:proofErr w:type="spellStart"/>
            <w:r w:rsidRPr="00D63DB3">
              <w:rPr>
                <w:rFonts w:ascii="Times New Roman" w:eastAsia="Times New Roman" w:hAnsi="Times New Roman" w:cs="Times New Roman"/>
                <w:color w:val="000000" w:themeColor="text1"/>
              </w:rPr>
              <w:t>transliteracy</w:t>
            </w:r>
            <w:proofErr w:type="spellEnd"/>
            <w:r w:rsidRPr="00D63DB3">
              <w:rPr>
                <w:rFonts w:ascii="Times New Roman" w:eastAsia="Times New Roman" w:hAnsi="Times New Roman" w:cs="Times New Roman"/>
                <w:color w:val="000000" w:themeColor="text1"/>
              </w:rPr>
              <w:t>. (NDLETPS Component 3.4.c)</w:t>
            </w:r>
          </w:p>
        </w:tc>
      </w:tr>
      <w:tr w:rsidR="007C6BEB" w:rsidRPr="00205393" w14:paraId="2FAE928B" w14:textId="77777777">
        <w:tc>
          <w:tcPr>
            <w:tcW w:w="10070" w:type="dxa"/>
            <w:shd w:val="clear" w:color="auto" w:fill="FFFFFF"/>
          </w:tcPr>
          <w:p w14:paraId="37A42866" w14:textId="425CD669" w:rsidR="00F7402B" w:rsidRPr="00D63DB3" w:rsidRDefault="00F7402B"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effectively uses a variety of materials to foster the development of biliteracy and the transfer of concepts. (NDLETPS Component 3.3.b)</w:t>
            </w:r>
          </w:p>
        </w:tc>
      </w:tr>
    </w:tbl>
    <w:p w14:paraId="772CE729" w14:textId="77777777" w:rsidR="0020668C" w:rsidRPr="00205393" w:rsidRDefault="0020668C" w:rsidP="00D63DB3">
      <w:pPr>
        <w:rPr>
          <w:rFonts w:ascii="Times New Roman" w:eastAsia="Times New Roman" w:hAnsi="Times New Roman" w:cs="Times New Roman"/>
          <w:b/>
          <w:color w:val="000000" w:themeColor="text1"/>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Practices and approaches"/>
      </w:tblPr>
      <w:tblGrid>
        <w:gridCol w:w="10070"/>
      </w:tblGrid>
      <w:tr w:rsidR="007C6BEB" w:rsidRPr="00205393" w14:paraId="53EB0AC3" w14:textId="77777777" w:rsidTr="00C879C9">
        <w:trPr>
          <w:tblHeader/>
        </w:trPr>
        <w:tc>
          <w:tcPr>
            <w:tcW w:w="10070" w:type="dxa"/>
            <w:shd w:val="clear" w:color="auto" w:fill="D9D9D9"/>
          </w:tcPr>
          <w:p w14:paraId="59274E13" w14:textId="4BDEDCC3" w:rsidR="0020668C" w:rsidRPr="00205393" w:rsidRDefault="003B2F60" w:rsidP="00D63DB3">
            <w:pPr>
              <w:widowControl w:val="0"/>
              <w:pBdr>
                <w:top w:val="nil"/>
                <w:left w:val="nil"/>
                <w:bottom w:val="nil"/>
                <w:right w:val="nil"/>
                <w:between w:val="nil"/>
              </w:pBdr>
              <w:spacing w:after="160" w:line="259" w:lineRule="auto"/>
              <w:contextualSpacing/>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lastRenderedPageBreak/>
              <w:t xml:space="preserve">(6) </w:t>
            </w:r>
            <w:r w:rsidRPr="00055870">
              <w:rPr>
                <w:rFonts w:ascii="Times New Roman" w:eastAsia="Times New Roman" w:hAnsi="Times New Roman" w:cs="Times New Roman"/>
                <w:color w:val="000000" w:themeColor="text1"/>
              </w:rPr>
              <w:t xml:space="preserve">Practices and approaches for assessing content knowledge, </w:t>
            </w:r>
            <w:proofErr w:type="gramStart"/>
            <w:r w:rsidRPr="00055870">
              <w:rPr>
                <w:rFonts w:ascii="Times New Roman" w:eastAsia="Times New Roman" w:hAnsi="Times New Roman" w:cs="Times New Roman"/>
                <w:color w:val="000000" w:themeColor="text1"/>
              </w:rPr>
              <w:t>reading</w:t>
            </w:r>
            <w:proofErr w:type="gramEnd"/>
            <w:r w:rsidRPr="00055870">
              <w:rPr>
                <w:rFonts w:ascii="Times New Roman" w:eastAsia="Times New Roman" w:hAnsi="Times New Roman" w:cs="Times New Roman"/>
                <w:color w:val="000000" w:themeColor="text1"/>
              </w:rPr>
              <w:t xml:space="preserve"> and writing skills and comprehension in English and the non-En</w:t>
            </w:r>
            <w:r w:rsidRPr="00205393">
              <w:rPr>
                <w:rFonts w:ascii="Times New Roman" w:eastAsia="Times New Roman" w:hAnsi="Times New Roman" w:cs="Times New Roman"/>
                <w:color w:val="000000" w:themeColor="text1"/>
              </w:rPr>
              <w:t>glish partner language for English learners who are at different levels of proficiency in English and the non-English partner language</w:t>
            </w:r>
            <w:r>
              <w:rPr>
                <w:rFonts w:ascii="Times New Roman" w:eastAsia="Times New Roman" w:hAnsi="Times New Roman" w:cs="Times New Roman"/>
                <w:color w:val="000000" w:themeColor="text1"/>
              </w:rPr>
              <w:t>.</w:t>
            </w:r>
          </w:p>
        </w:tc>
      </w:tr>
    </w:tbl>
    <w:p w14:paraId="4F5249D8" w14:textId="77777777" w:rsidR="003B2F60" w:rsidRDefault="003B2F60">
      <w:pPr>
        <w:shd w:val="clear" w:color="auto" w:fill="FFFFFF"/>
        <w:rPr>
          <w:rFonts w:ascii="Times New Roman" w:eastAsia="Times New Roman" w:hAnsi="Times New Roman" w:cs="Times New Roman"/>
          <w:i/>
          <w:color w:val="000000" w:themeColor="text1"/>
        </w:rPr>
      </w:pPr>
    </w:p>
    <w:p w14:paraId="2D719AC8" w14:textId="0AB66682" w:rsidR="0020668C" w:rsidRPr="00205393" w:rsidRDefault="00FB01D8">
      <w:pPr>
        <w:shd w:val="clear" w:color="auto" w:fill="FFFFFF"/>
        <w:rPr>
          <w:rFonts w:ascii="Times New Roman" w:eastAsia="Times New Roman" w:hAnsi="Times New Roman" w:cs="Times New Roman"/>
          <w:i/>
          <w:color w:val="000000" w:themeColor="text1"/>
        </w:rPr>
      </w:pPr>
      <w:r w:rsidRPr="00205393">
        <w:rPr>
          <w:rFonts w:ascii="Times New Roman" w:eastAsia="Times New Roman" w:hAnsi="Times New Roman" w:cs="Times New Roman"/>
          <w:i/>
          <w:color w:val="000000" w:themeColor="text1"/>
        </w:rPr>
        <w:t xml:space="preserve">Candidates for the </w:t>
      </w:r>
      <w:r w:rsidR="003B2F60">
        <w:rPr>
          <w:rFonts w:ascii="Times New Roman" w:eastAsia="Times New Roman" w:hAnsi="Times New Roman" w:cs="Times New Roman"/>
          <w:i/>
          <w:color w:val="000000" w:themeColor="text1"/>
        </w:rPr>
        <w:t>B</w:t>
      </w:r>
      <w:r w:rsidRPr="00205393">
        <w:rPr>
          <w:rFonts w:ascii="Times New Roman" w:eastAsia="Times New Roman" w:hAnsi="Times New Roman" w:cs="Times New Roman"/>
          <w:i/>
          <w:color w:val="000000" w:themeColor="text1"/>
        </w:rPr>
        <w:t xml:space="preserve">ilingual </w:t>
      </w:r>
      <w:r w:rsidR="003B2F60">
        <w:rPr>
          <w:rFonts w:ascii="Times New Roman" w:eastAsia="Times New Roman" w:hAnsi="Times New Roman" w:cs="Times New Roman"/>
          <w:i/>
          <w:color w:val="000000" w:themeColor="text1"/>
        </w:rPr>
        <w:t>E</w:t>
      </w:r>
      <w:r w:rsidRPr="00205393">
        <w:rPr>
          <w:rFonts w:ascii="Times New Roman" w:eastAsia="Times New Roman" w:hAnsi="Times New Roman" w:cs="Times New Roman"/>
          <w:i/>
          <w:color w:val="000000" w:themeColor="text1"/>
        </w:rPr>
        <w:t xml:space="preserve">ducation Endorsement will develop knowledge and skills related to assessment based on known best practices and peer-reviewed research to the extent practicable, which are specific to bilingual education programs, including: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Description w:val="Indicators"/>
      </w:tblPr>
      <w:tblGrid>
        <w:gridCol w:w="10070"/>
      </w:tblGrid>
      <w:tr w:rsidR="007C6BEB" w:rsidRPr="00205393" w14:paraId="7B91C3EA" w14:textId="77777777" w:rsidTr="00C879C9">
        <w:trPr>
          <w:tblHeader/>
        </w:trPr>
        <w:tc>
          <w:tcPr>
            <w:tcW w:w="10070" w:type="dxa"/>
            <w:shd w:val="clear" w:color="auto" w:fill="FFFFFF"/>
          </w:tcPr>
          <w:p w14:paraId="42C786F9" w14:textId="77777777" w:rsidR="0020668C" w:rsidRPr="00205393"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t>Indicators:</w:t>
            </w:r>
          </w:p>
        </w:tc>
      </w:tr>
      <w:tr w:rsidR="007C6BEB" w:rsidRPr="00205393" w14:paraId="39EAFA70" w14:textId="77777777">
        <w:trPr>
          <w:trHeight w:val="500"/>
        </w:trPr>
        <w:tc>
          <w:tcPr>
            <w:tcW w:w="10070" w:type="dxa"/>
          </w:tcPr>
          <w:p w14:paraId="2215D076" w14:textId="3806A4FE" w:rsidR="0020668C" w:rsidRPr="00D63DB3" w:rsidRDefault="00F7402B">
            <w:pPr>
              <w:numPr>
                <w:ilvl w:val="0"/>
                <w:numId w:val="5"/>
              </w:numPr>
              <w:pBdr>
                <w:top w:val="nil"/>
                <w:left w:val="nil"/>
                <w:bottom w:val="nil"/>
                <w:right w:val="nil"/>
                <w:between w:val="nil"/>
              </w:pBdr>
              <w:shd w:val="clear" w:color="auto" w:fill="FFFFFF"/>
              <w:spacing w:after="16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The candidate understands assessment of biliteracy and demonstrates knowledge of how to use multiple, inclusive, holistic, valid, and reliable measures to assess literacy development, oral language development, and content concepts in both the partner language and in English. </w:t>
            </w:r>
            <w:r w:rsidRPr="00D63DB3">
              <w:rPr>
                <w:rFonts w:ascii="Times New Roman" w:eastAsia="Times New Roman" w:hAnsi="Times New Roman" w:cs="Times New Roman"/>
                <w:color w:val="000000" w:themeColor="text1"/>
              </w:rPr>
              <w:t>(NDLETPS Component 4.1.a)</w:t>
            </w:r>
          </w:p>
        </w:tc>
      </w:tr>
      <w:tr w:rsidR="007C6BEB" w:rsidRPr="00205393" w14:paraId="51947829" w14:textId="77777777">
        <w:trPr>
          <w:trHeight w:val="500"/>
        </w:trPr>
        <w:tc>
          <w:tcPr>
            <w:tcW w:w="10070" w:type="dxa"/>
          </w:tcPr>
          <w:p w14:paraId="06965DAD" w14:textId="4C5AD9F0" w:rsidR="007E4CF4" w:rsidRPr="00D63DB3" w:rsidRDefault="00F7402B">
            <w:pPr>
              <w:numPr>
                <w:ilvl w:val="0"/>
                <w:numId w:val="5"/>
              </w:numPr>
              <w:pBdr>
                <w:top w:val="nil"/>
                <w:left w:val="nil"/>
                <w:bottom w:val="nil"/>
                <w:right w:val="nil"/>
                <w:between w:val="nil"/>
              </w:pBdr>
              <w:shd w:val="clear" w:color="auto" w:fill="FFFFFF"/>
              <w:spacing w:after="16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The candidate demonstrates skills and knowledge related to assessment and equity. This includes understand dual language learners’ myriad, complex features that impact the assessment process. </w:t>
            </w:r>
            <w:r w:rsidRPr="00D63DB3">
              <w:rPr>
                <w:rFonts w:ascii="Times New Roman" w:eastAsia="Times New Roman" w:hAnsi="Times New Roman" w:cs="Times New Roman"/>
                <w:color w:val="000000" w:themeColor="text1"/>
              </w:rPr>
              <w:t>(NDLETPS Component 4.2.b)</w:t>
            </w:r>
          </w:p>
        </w:tc>
      </w:tr>
      <w:tr w:rsidR="007C6BEB" w:rsidRPr="00205393" w14:paraId="73806C64" w14:textId="77777777">
        <w:trPr>
          <w:trHeight w:val="500"/>
        </w:trPr>
        <w:tc>
          <w:tcPr>
            <w:tcW w:w="10070" w:type="dxa"/>
          </w:tcPr>
          <w:p w14:paraId="47D28D38" w14:textId="69BC7712" w:rsidR="007E4CF4" w:rsidRPr="00D63DB3" w:rsidRDefault="00F7402B">
            <w:pPr>
              <w:numPr>
                <w:ilvl w:val="0"/>
                <w:numId w:val="5"/>
              </w:numPr>
              <w:pBdr>
                <w:top w:val="nil"/>
                <w:left w:val="nil"/>
                <w:bottom w:val="nil"/>
                <w:right w:val="nil"/>
                <w:between w:val="nil"/>
              </w:pBdr>
              <w:shd w:val="clear" w:color="auto" w:fill="FFFFFF"/>
              <w:spacing w:after="16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The candidate demonstrates knowledge and skills reflective of a broad range of informal, student-centered, formative assessment strategies to gather information on student learning and adjust pedagogical patterns accordingly in both the partner language and in English. </w:t>
            </w:r>
            <w:r w:rsidRPr="00D63DB3">
              <w:rPr>
                <w:rFonts w:ascii="Times New Roman" w:eastAsia="Times New Roman" w:hAnsi="Times New Roman" w:cs="Times New Roman"/>
                <w:color w:val="000000" w:themeColor="text1"/>
              </w:rPr>
              <w:t>(NDLETPS Component 4.3.c)</w:t>
            </w:r>
          </w:p>
        </w:tc>
      </w:tr>
      <w:tr w:rsidR="007C6BEB" w:rsidRPr="00205393" w14:paraId="2AE2BD33" w14:textId="77777777">
        <w:trPr>
          <w:trHeight w:val="500"/>
        </w:trPr>
        <w:tc>
          <w:tcPr>
            <w:tcW w:w="10070" w:type="dxa"/>
          </w:tcPr>
          <w:p w14:paraId="3306E743" w14:textId="4C4DFBD3" w:rsidR="00F7402B" w:rsidRPr="00D63DB3" w:rsidRDefault="00F7402B">
            <w:pPr>
              <w:numPr>
                <w:ilvl w:val="0"/>
                <w:numId w:val="5"/>
              </w:numPr>
              <w:pBdr>
                <w:top w:val="nil"/>
                <w:left w:val="nil"/>
                <w:bottom w:val="nil"/>
                <w:right w:val="nil"/>
                <w:between w:val="nil"/>
              </w:pBdr>
              <w:shd w:val="clear" w:color="auto" w:fill="FFFFFF"/>
              <w:spacing w:after="160" w:line="259" w:lineRule="auto"/>
              <w:contextualSpacing/>
              <w:rPr>
                <w:rFonts w:ascii="Times New Roman" w:hAnsi="Times New Roman" w:cs="Times New Roman"/>
                <w:color w:val="000000" w:themeColor="text1"/>
              </w:rPr>
            </w:pPr>
            <w:r w:rsidRPr="00D63DB3">
              <w:rPr>
                <w:rFonts w:ascii="Times New Roman" w:hAnsi="Times New Roman" w:cs="Times New Roman"/>
                <w:color w:val="000000" w:themeColor="text1"/>
              </w:rPr>
              <w:t xml:space="preserve">The candidate demonstrates appropriate assessment data-analysis and data-management skills aligned with biliteracy development, dual language programmatic features, and national, state, and local systems of accountability to accurately depict students’ progress for content-based learning and biliteracy development in both the partner language and in English. </w:t>
            </w:r>
            <w:r w:rsidRPr="00D63DB3">
              <w:rPr>
                <w:rFonts w:ascii="Times New Roman" w:eastAsia="Times New Roman" w:hAnsi="Times New Roman" w:cs="Times New Roman"/>
                <w:color w:val="000000" w:themeColor="text1"/>
              </w:rPr>
              <w:t>(NDLETPS Component 4.4b)</w:t>
            </w:r>
          </w:p>
        </w:tc>
      </w:tr>
    </w:tbl>
    <w:p w14:paraId="09A1EA11" w14:textId="77777777" w:rsidR="0020668C" w:rsidRPr="007C6BEB" w:rsidRDefault="0020668C" w:rsidP="00D63DB3">
      <w:pPr>
        <w:rPr>
          <w:rFonts w:ascii="Times New Roman" w:eastAsia="Times New Roman" w:hAnsi="Times New Roman" w:cs="Times New Roman"/>
          <w:b/>
          <w:color w:val="000000" w:themeColor="text1"/>
        </w:rPr>
      </w:pP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Description w:val="Understanding and implementation"/>
      </w:tblPr>
      <w:tblGrid>
        <w:gridCol w:w="10070"/>
      </w:tblGrid>
      <w:tr w:rsidR="007C6BEB" w:rsidRPr="00205393" w14:paraId="05357456" w14:textId="77777777" w:rsidTr="00C879C9">
        <w:trPr>
          <w:tblHeader/>
        </w:trPr>
        <w:tc>
          <w:tcPr>
            <w:tcW w:w="10070" w:type="dxa"/>
            <w:shd w:val="clear" w:color="auto" w:fill="D9D9D9"/>
          </w:tcPr>
          <w:p w14:paraId="60D5CD65" w14:textId="701DA446" w:rsidR="0020668C" w:rsidRPr="00CA5E11" w:rsidRDefault="003B2F60" w:rsidP="00D63DB3">
            <w:pPr>
              <w:widowControl w:val="0"/>
              <w:pBdr>
                <w:top w:val="nil"/>
                <w:left w:val="nil"/>
                <w:bottom w:val="nil"/>
                <w:right w:val="nil"/>
                <w:between w:val="nil"/>
              </w:pBdr>
              <w:spacing w:after="160" w:line="259" w:lineRule="auto"/>
              <w:contextualSpacing/>
              <w:rPr>
                <w:rFonts w:ascii="Times New Roman" w:eastAsia="Times New Roman" w:hAnsi="Times New Roman" w:cs="Times New Roman"/>
                <w:b/>
                <w:color w:val="000000" w:themeColor="text1"/>
              </w:rPr>
            </w:pPr>
            <w:r>
              <w:rPr>
                <w:rFonts w:ascii="Times New Roman" w:eastAsia="Times New Roman" w:hAnsi="Times New Roman" w:cs="Times New Roman"/>
                <w:color w:val="000000" w:themeColor="text1"/>
              </w:rPr>
              <w:t xml:space="preserve">(7) </w:t>
            </w:r>
            <w:r w:rsidRPr="00205393">
              <w:rPr>
                <w:rFonts w:ascii="Times New Roman" w:eastAsia="Times New Roman" w:hAnsi="Times New Roman" w:cs="Times New Roman"/>
                <w:color w:val="000000" w:themeColor="text1"/>
              </w:rPr>
              <w:t>Understanding and implementation of culturally relevant teaching materials and practice</w:t>
            </w:r>
            <w:r>
              <w:rPr>
                <w:rFonts w:ascii="Times New Roman" w:eastAsia="Times New Roman" w:hAnsi="Times New Roman" w:cs="Times New Roman"/>
                <w:color w:val="000000" w:themeColor="text1"/>
              </w:rPr>
              <w:t>s</w:t>
            </w:r>
            <w:r>
              <w:rPr>
                <w:rFonts w:ascii="Times New Roman" w:eastAsia="Times New Roman" w:hAnsi="Times New Roman" w:cs="Times New Roman"/>
                <w:color w:val="000000" w:themeColor="text1"/>
                <w:sz w:val="22"/>
                <w:szCs w:val="22"/>
              </w:rPr>
              <w:t>.</w:t>
            </w:r>
          </w:p>
        </w:tc>
      </w:tr>
    </w:tbl>
    <w:p w14:paraId="4979FC4A" w14:textId="77777777" w:rsidR="003B2F60" w:rsidRDefault="003B2F60">
      <w:pPr>
        <w:widowControl w:val="0"/>
        <w:rPr>
          <w:rFonts w:ascii="Times New Roman" w:eastAsia="Times New Roman" w:hAnsi="Times New Roman" w:cs="Times New Roman"/>
          <w:b/>
          <w:color w:val="000000" w:themeColor="text1"/>
        </w:rPr>
      </w:pPr>
    </w:p>
    <w:p w14:paraId="2E3864B2" w14:textId="7B401759" w:rsidR="0020668C" w:rsidRPr="00205393" w:rsidRDefault="003B2F60">
      <w:pPr>
        <w:widowControl w:val="0"/>
        <w:rPr>
          <w:rFonts w:ascii="Times New Roman" w:eastAsia="Times New Roman" w:hAnsi="Times New Roman" w:cs="Times New Roman"/>
          <w:color w:val="000000" w:themeColor="text1"/>
        </w:rPr>
      </w:pPr>
      <w:r w:rsidRPr="00205393">
        <w:rPr>
          <w:rFonts w:ascii="Times New Roman" w:eastAsia="Times New Roman" w:hAnsi="Times New Roman" w:cs="Times New Roman"/>
          <w:i/>
          <w:color w:val="000000" w:themeColor="text1"/>
        </w:rPr>
        <w:t xml:space="preserve">Candidates for the </w:t>
      </w:r>
      <w:r>
        <w:rPr>
          <w:rFonts w:ascii="Times New Roman" w:eastAsia="Times New Roman" w:hAnsi="Times New Roman" w:cs="Times New Roman"/>
          <w:i/>
          <w:color w:val="000000" w:themeColor="text1"/>
        </w:rPr>
        <w:t>B</w:t>
      </w:r>
      <w:r w:rsidRPr="00205393">
        <w:rPr>
          <w:rFonts w:ascii="Times New Roman" w:eastAsia="Times New Roman" w:hAnsi="Times New Roman" w:cs="Times New Roman"/>
          <w:i/>
          <w:color w:val="000000" w:themeColor="text1"/>
        </w:rPr>
        <w:t xml:space="preserve">ilingual </w:t>
      </w:r>
      <w:r>
        <w:rPr>
          <w:rFonts w:ascii="Times New Roman" w:eastAsia="Times New Roman" w:hAnsi="Times New Roman" w:cs="Times New Roman"/>
          <w:i/>
          <w:color w:val="000000" w:themeColor="text1"/>
        </w:rPr>
        <w:t>E</w:t>
      </w:r>
      <w:r w:rsidRPr="00205393">
        <w:rPr>
          <w:rFonts w:ascii="Times New Roman" w:eastAsia="Times New Roman" w:hAnsi="Times New Roman" w:cs="Times New Roman"/>
          <w:i/>
          <w:color w:val="000000" w:themeColor="text1"/>
        </w:rPr>
        <w:t>ducation Endorsement will</w:t>
      </w:r>
      <w:r>
        <w:rPr>
          <w:rFonts w:ascii="Times New Roman" w:eastAsia="Times New Roman" w:hAnsi="Times New Roman" w:cs="Times New Roman"/>
          <w:i/>
          <w:color w:val="000000" w:themeColor="text1"/>
        </w:rPr>
        <w:t xml:space="preserve"> develop understanding and implementation of culturally relevant reaching materials and practices including: </w:t>
      </w:r>
    </w:p>
    <w:tbl>
      <w:tblPr>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Description w:val="Indicators"/>
      </w:tblPr>
      <w:tblGrid>
        <w:gridCol w:w="10070"/>
      </w:tblGrid>
      <w:tr w:rsidR="007C6BEB" w:rsidRPr="00205393" w14:paraId="5F325042" w14:textId="77777777" w:rsidTr="00C879C9">
        <w:trPr>
          <w:tblHeader/>
        </w:trPr>
        <w:tc>
          <w:tcPr>
            <w:tcW w:w="10070" w:type="dxa"/>
            <w:shd w:val="clear" w:color="auto" w:fill="FFFFFF"/>
          </w:tcPr>
          <w:p w14:paraId="447BDF4C" w14:textId="77777777" w:rsidR="0020668C" w:rsidRPr="00205393" w:rsidRDefault="00FB01D8">
            <w:pPr>
              <w:jc w:val="center"/>
              <w:rPr>
                <w:rFonts w:ascii="Times New Roman" w:eastAsia="Times New Roman" w:hAnsi="Times New Roman" w:cs="Times New Roman"/>
                <w:b/>
                <w:color w:val="000000" w:themeColor="text1"/>
              </w:rPr>
            </w:pPr>
            <w:r w:rsidRPr="00205393">
              <w:rPr>
                <w:rFonts w:ascii="Times New Roman" w:eastAsia="Times New Roman" w:hAnsi="Times New Roman" w:cs="Times New Roman"/>
                <w:b/>
                <w:color w:val="000000" w:themeColor="text1"/>
              </w:rPr>
              <w:t>Indicators:</w:t>
            </w:r>
          </w:p>
        </w:tc>
      </w:tr>
      <w:tr w:rsidR="007C6BEB" w:rsidRPr="00205393" w14:paraId="1CD53677" w14:textId="77777777">
        <w:tc>
          <w:tcPr>
            <w:tcW w:w="10070" w:type="dxa"/>
            <w:shd w:val="clear" w:color="auto" w:fill="FFFFFF"/>
          </w:tcPr>
          <w:p w14:paraId="146FB73C" w14:textId="27B0B0BB" w:rsidR="003A500A" w:rsidRPr="00D63DB3" w:rsidRDefault="003A500A" w:rsidP="003A500A">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demonstrates student-centered, asset-based pedagogies that draw upon all students’ linguistic, cultural, and academic funds of knowledge. (NDLETPS Component 3.2.a)</w:t>
            </w:r>
          </w:p>
        </w:tc>
      </w:tr>
      <w:tr w:rsidR="007C6BEB" w:rsidRPr="00205393" w14:paraId="16BAB472" w14:textId="77777777">
        <w:tc>
          <w:tcPr>
            <w:tcW w:w="10070" w:type="dxa"/>
            <w:shd w:val="clear" w:color="auto" w:fill="FFFFFF"/>
          </w:tcPr>
          <w:p w14:paraId="2F3170A2" w14:textId="35F20638" w:rsidR="007E4CF4" w:rsidRPr="00D63DB3" w:rsidRDefault="00973FD3"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 xml:space="preserve">The candidate </w:t>
            </w:r>
            <w:proofErr w:type="gramStart"/>
            <w:r w:rsidRPr="00D63DB3">
              <w:rPr>
                <w:rFonts w:ascii="Times New Roman" w:eastAsia="Times New Roman" w:hAnsi="Times New Roman" w:cs="Times New Roman"/>
                <w:color w:val="000000" w:themeColor="text1"/>
              </w:rPr>
              <w:t>is able to</w:t>
            </w:r>
            <w:proofErr w:type="gramEnd"/>
            <w:r w:rsidRPr="00D63DB3">
              <w:rPr>
                <w:rFonts w:ascii="Times New Roman" w:eastAsia="Times New Roman" w:hAnsi="Times New Roman" w:cs="Times New Roman"/>
                <w:color w:val="000000" w:themeColor="text1"/>
              </w:rPr>
              <w:t xml:space="preserve"> identify racist, stereotypical or culturally biased content within the prescribed or mandated curriculum. (NDLETPS Component 2.3.a)</w:t>
            </w:r>
          </w:p>
        </w:tc>
      </w:tr>
      <w:tr w:rsidR="007C6BEB" w:rsidRPr="00205393" w14:paraId="5DF22411" w14:textId="77777777">
        <w:tc>
          <w:tcPr>
            <w:tcW w:w="10070" w:type="dxa"/>
            <w:shd w:val="clear" w:color="auto" w:fill="FFFFFF"/>
          </w:tcPr>
          <w:p w14:paraId="13A938BB" w14:textId="4B93DBD0" w:rsidR="007E4CF4" w:rsidRPr="00D63DB3" w:rsidRDefault="00973FD3"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 xml:space="preserve">The candidate </w:t>
            </w:r>
            <w:proofErr w:type="gramStart"/>
            <w:r w:rsidRPr="00D63DB3">
              <w:rPr>
                <w:rFonts w:ascii="Times New Roman" w:eastAsia="Times New Roman" w:hAnsi="Times New Roman" w:cs="Times New Roman"/>
                <w:color w:val="000000" w:themeColor="text1"/>
              </w:rPr>
              <w:t>is able to</w:t>
            </w:r>
            <w:proofErr w:type="gramEnd"/>
            <w:r w:rsidRPr="00D63DB3">
              <w:rPr>
                <w:rFonts w:ascii="Times New Roman" w:eastAsia="Times New Roman" w:hAnsi="Times New Roman" w:cs="Times New Roman"/>
                <w:color w:val="000000" w:themeColor="text1"/>
              </w:rPr>
              <w:t xml:space="preserve"> locate, modify, and create curricular content that is equitable and enhances the learners’ sociocultural competence. (NDLETPS Component 2.3.b)</w:t>
            </w:r>
          </w:p>
        </w:tc>
      </w:tr>
      <w:tr w:rsidR="007C6BEB" w:rsidRPr="00205393" w14:paraId="5DBB4C7A" w14:textId="77777777">
        <w:tc>
          <w:tcPr>
            <w:tcW w:w="10070" w:type="dxa"/>
            <w:shd w:val="clear" w:color="auto" w:fill="FFFFFF"/>
          </w:tcPr>
          <w:p w14:paraId="669E3099" w14:textId="42467932" w:rsidR="00973FD3" w:rsidRPr="00D63DB3" w:rsidRDefault="00973FD3"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understands that the learners possess deep persona</w:t>
            </w:r>
            <w:r w:rsidR="004E7363" w:rsidRPr="00D63DB3">
              <w:rPr>
                <w:rFonts w:ascii="Times New Roman" w:eastAsia="Times New Roman" w:hAnsi="Times New Roman" w:cs="Times New Roman"/>
                <w:color w:val="000000" w:themeColor="text1"/>
              </w:rPr>
              <w:t>l</w:t>
            </w:r>
            <w:r w:rsidRPr="00D63DB3">
              <w:rPr>
                <w:rFonts w:ascii="Times New Roman" w:eastAsia="Times New Roman" w:hAnsi="Times New Roman" w:cs="Times New Roman"/>
                <w:color w:val="000000" w:themeColor="text1"/>
              </w:rPr>
              <w:t>, familial, and communal cultural knowledge and draws on such knowledge to co-construct new cultural knowledge. (NDLETPS Component 2.3.c)</w:t>
            </w:r>
          </w:p>
        </w:tc>
      </w:tr>
      <w:tr w:rsidR="007C6BEB" w:rsidRPr="00205393" w14:paraId="095AB633" w14:textId="77777777">
        <w:tc>
          <w:tcPr>
            <w:tcW w:w="10070" w:type="dxa"/>
            <w:shd w:val="clear" w:color="auto" w:fill="FFFFFF"/>
          </w:tcPr>
          <w:p w14:paraId="2A0E803F" w14:textId="5D5226EA" w:rsidR="00973FD3" w:rsidRPr="00D63DB3" w:rsidRDefault="00973FD3"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 xml:space="preserve">The candidate </w:t>
            </w:r>
            <w:proofErr w:type="gramStart"/>
            <w:r w:rsidRPr="00D63DB3">
              <w:rPr>
                <w:rFonts w:ascii="Times New Roman" w:eastAsia="Times New Roman" w:hAnsi="Times New Roman" w:cs="Times New Roman"/>
                <w:color w:val="000000" w:themeColor="text1"/>
              </w:rPr>
              <w:t>is able to</w:t>
            </w:r>
            <w:proofErr w:type="gramEnd"/>
            <w:r w:rsidRPr="00D63DB3">
              <w:rPr>
                <w:rFonts w:ascii="Times New Roman" w:eastAsia="Times New Roman" w:hAnsi="Times New Roman" w:cs="Times New Roman"/>
                <w:color w:val="000000" w:themeColor="text1"/>
              </w:rPr>
              <w:t xml:space="preserve"> plan and design activities aimed at building a mutual appreciation and respect for the targeted cultural groups among the families and community members. (NDLETPS Component 2.4.c)</w:t>
            </w:r>
          </w:p>
        </w:tc>
      </w:tr>
      <w:tr w:rsidR="007C6BEB" w:rsidRPr="00205393" w14:paraId="3AF4A9C0" w14:textId="77777777">
        <w:tc>
          <w:tcPr>
            <w:tcW w:w="10070" w:type="dxa"/>
            <w:shd w:val="clear" w:color="auto" w:fill="FFFFFF"/>
          </w:tcPr>
          <w:p w14:paraId="1131B4E0" w14:textId="64F2F583" w:rsidR="00973FD3" w:rsidRPr="00D63DB3" w:rsidRDefault="00973FD3" w:rsidP="007E4CF4">
            <w:pPr>
              <w:pStyle w:val="ListParagraph"/>
              <w:numPr>
                <w:ilvl w:val="0"/>
                <w:numId w:val="7"/>
              </w:numPr>
              <w:rPr>
                <w:rFonts w:ascii="Times New Roman" w:eastAsia="Times New Roman" w:hAnsi="Times New Roman" w:cs="Times New Roman"/>
                <w:color w:val="000000" w:themeColor="text1"/>
              </w:rPr>
            </w:pPr>
            <w:r w:rsidRPr="00D63DB3">
              <w:rPr>
                <w:rFonts w:ascii="Times New Roman" w:eastAsia="Times New Roman" w:hAnsi="Times New Roman" w:cs="Times New Roman"/>
                <w:color w:val="000000" w:themeColor="text1"/>
              </w:rPr>
              <w:t>The candidate understands that advocating, confronting, speaking up, managing conflicts, taking risks, taking a stance, questioning authority, or exercising one’s agency can vary across cultures, social classes, race, ethnicity, gender, and legal status. (NDLETPS Component 5.1.c)</w:t>
            </w:r>
          </w:p>
        </w:tc>
      </w:tr>
    </w:tbl>
    <w:p w14:paraId="2D5E7A9E" w14:textId="77777777" w:rsidR="0020668C" w:rsidRPr="00205393" w:rsidRDefault="0020668C">
      <w:pPr>
        <w:shd w:val="clear" w:color="auto" w:fill="FFFFFF"/>
        <w:rPr>
          <w:rFonts w:ascii="Times New Roman" w:eastAsia="Times New Roman" w:hAnsi="Times New Roman" w:cs="Times New Roman"/>
          <w:b/>
          <w:color w:val="000000" w:themeColor="text1"/>
        </w:rPr>
      </w:pPr>
    </w:p>
    <w:p w14:paraId="1C92BC18" w14:textId="77777777" w:rsidR="0020668C" w:rsidRPr="00205393" w:rsidRDefault="0020668C">
      <w:pPr>
        <w:shd w:val="clear" w:color="auto" w:fill="FFFFFF"/>
        <w:rPr>
          <w:rFonts w:ascii="Times New Roman" w:eastAsia="Times New Roman" w:hAnsi="Times New Roman" w:cs="Times New Roman"/>
          <w:b/>
          <w:color w:val="000000" w:themeColor="text1"/>
        </w:rPr>
      </w:pPr>
    </w:p>
    <w:p w14:paraId="44469D24" w14:textId="77777777" w:rsidR="0020668C" w:rsidRPr="007E4CF4" w:rsidRDefault="0020668C">
      <w:pPr>
        <w:shd w:val="clear" w:color="auto" w:fill="FFFFFF"/>
        <w:rPr>
          <w:rFonts w:ascii="Times New Roman" w:eastAsia="Times New Roman" w:hAnsi="Times New Roman" w:cs="Times New Roman"/>
          <w:b/>
          <w:color w:val="000000" w:themeColor="text1"/>
        </w:rPr>
      </w:pPr>
    </w:p>
    <w:sectPr w:rsidR="0020668C" w:rsidRPr="007E4CF4" w:rsidSect="001271B1">
      <w:type w:val="continuous"/>
      <w:pgSz w:w="12240" w:h="15840"/>
      <w:pgMar w:top="1008" w:right="1080" w:bottom="864" w:left="1080" w:header="288" w:footer="28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A5DC" w14:textId="77777777" w:rsidR="001271B1" w:rsidRDefault="001271B1">
      <w:r>
        <w:separator/>
      </w:r>
    </w:p>
  </w:endnote>
  <w:endnote w:type="continuationSeparator" w:id="0">
    <w:p w14:paraId="679658F3" w14:textId="77777777" w:rsidR="001271B1" w:rsidRDefault="001271B1">
      <w:r>
        <w:continuationSeparator/>
      </w:r>
    </w:p>
  </w:endnote>
  <w:endnote w:type="continuationNotice" w:id="1">
    <w:p w14:paraId="4D929D33" w14:textId="77777777" w:rsidR="001271B1" w:rsidRDefault="00127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4983" w14:textId="01354FEA" w:rsidR="00C02B69" w:rsidRDefault="00C02B69" w:rsidP="00C02B6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D9625B" w14:textId="77777777" w:rsidR="00C02B69" w:rsidRDefault="00C02B69" w:rsidP="00D63DB3">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91966"/>
      <w:docPartObj>
        <w:docPartGallery w:val="Page Numbers (Bottom of Page)"/>
        <w:docPartUnique/>
      </w:docPartObj>
    </w:sdtPr>
    <w:sdtEndPr>
      <w:rPr>
        <w:noProof/>
      </w:rPr>
    </w:sdtEndPr>
    <w:sdtContent>
      <w:p w14:paraId="76C70FF1" w14:textId="0A2D6704" w:rsidR="00C02B69" w:rsidRDefault="00C02B69">
        <w:pPr>
          <w:pStyle w:val="Footer"/>
          <w:jc w:val="right"/>
        </w:pPr>
        <w:r>
          <w:fldChar w:fldCharType="begin"/>
        </w:r>
        <w:r>
          <w:instrText xml:space="preserve"> PAGE   \* MERGEFORMAT </w:instrText>
        </w:r>
        <w:r>
          <w:fldChar w:fldCharType="separate"/>
        </w:r>
        <w:r w:rsidR="0042346F">
          <w:rPr>
            <w:noProof/>
          </w:rPr>
          <w:t>3</w:t>
        </w:r>
        <w:r>
          <w:rPr>
            <w:noProof/>
          </w:rPr>
          <w:fldChar w:fldCharType="end"/>
        </w:r>
      </w:p>
    </w:sdtContent>
  </w:sdt>
  <w:p w14:paraId="70A0A29F" w14:textId="77777777" w:rsidR="00C02B69" w:rsidRDefault="00C02B69">
    <w:pPr>
      <w:rPr>
        <w:b/>
        <w:color w:val="595959"/>
        <w:sz w:val="18"/>
        <w:szCs w:val="18"/>
        <w:highlight w:val="whit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3882E" w14:textId="77777777" w:rsidR="00C02B69" w:rsidRDefault="00C02B6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35697" w14:textId="77777777" w:rsidR="001271B1" w:rsidRDefault="001271B1">
      <w:r>
        <w:separator/>
      </w:r>
    </w:p>
  </w:footnote>
  <w:footnote w:type="continuationSeparator" w:id="0">
    <w:p w14:paraId="2ACC25C9" w14:textId="77777777" w:rsidR="001271B1" w:rsidRDefault="001271B1">
      <w:r>
        <w:continuationSeparator/>
      </w:r>
    </w:p>
  </w:footnote>
  <w:footnote w:type="continuationNotice" w:id="1">
    <w:p w14:paraId="45EF1D35" w14:textId="77777777" w:rsidR="001271B1" w:rsidRDefault="001271B1"/>
  </w:footnote>
  <w:footnote w:id="2">
    <w:p w14:paraId="537AFBFB" w14:textId="774F8151" w:rsidR="00C02B69" w:rsidRPr="00D63DB3" w:rsidRDefault="00C02B69">
      <w:pPr>
        <w:pStyle w:val="FootnoteText"/>
      </w:pPr>
      <w:r w:rsidRPr="003C0291">
        <w:rPr>
          <w:rStyle w:val="FootnoteReference"/>
        </w:rPr>
        <w:footnoteRef/>
      </w:r>
      <w:r w:rsidRPr="003C0291">
        <w:t xml:space="preserve"> </w:t>
      </w:r>
      <w:r w:rsidRPr="00D63DB3">
        <w:t>Most indicators in this document are taken from the June 2018 Draft National Dual Language Education Teacher Preparation Standards (NDLETPS)</w:t>
      </w:r>
      <w:r w:rsidRPr="003C0291">
        <w:t>. Copyright, Dual Language Education of New Mexico (</w:t>
      </w:r>
      <w:r w:rsidRPr="00D63DB3">
        <w:t>DLeNM).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AB4D4" w14:textId="77777777" w:rsidR="00C02B69" w:rsidRDefault="00C02B69">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1D67FBF7" w14:textId="77777777" w:rsidR="00C02B69" w:rsidRDefault="00C02B69">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6BE1" w14:textId="2A57C097" w:rsidR="00C02B69" w:rsidRDefault="00C02B69">
    <w:pPr>
      <w:pBdr>
        <w:top w:val="nil"/>
        <w:left w:val="nil"/>
        <w:bottom w:val="nil"/>
        <w:right w:val="nil"/>
        <w:between w:val="nil"/>
      </w:pBdr>
      <w:tabs>
        <w:tab w:val="center" w:pos="4680"/>
        <w:tab w:val="right" w:pos="9360"/>
      </w:tabs>
      <w:jc w:val="right"/>
      <w:rPr>
        <w:rFonts w:ascii="Times New Roman" w:eastAsia="Times New Roman" w:hAnsi="Times New Roman" w:cs="Times New Roman"/>
        <w:color w:val="000000"/>
      </w:rPr>
    </w:pPr>
  </w:p>
  <w:p w14:paraId="1A848F3A" w14:textId="77777777" w:rsidR="00C02B69" w:rsidRDefault="00C02B69">
    <w:pPr>
      <w:pBdr>
        <w:top w:val="nil"/>
        <w:left w:val="nil"/>
        <w:bottom w:val="nil"/>
        <w:right w:val="nil"/>
        <w:between w:val="nil"/>
      </w:pBdr>
      <w:tabs>
        <w:tab w:val="center" w:pos="4680"/>
        <w:tab w:val="right" w:pos="9360"/>
      </w:tabs>
      <w:ind w:right="360"/>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43960"/>
    <w:multiLevelType w:val="multilevel"/>
    <w:tmpl w:val="90EAED9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E1E5096"/>
    <w:multiLevelType w:val="hybridMultilevel"/>
    <w:tmpl w:val="D01099B4"/>
    <w:lvl w:ilvl="0" w:tplc="1DA488C8">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5779BC"/>
    <w:multiLevelType w:val="multilevel"/>
    <w:tmpl w:val="0674FEFC"/>
    <w:lvl w:ilvl="0">
      <w:start w:val="5"/>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8A876C6"/>
    <w:multiLevelType w:val="multilevel"/>
    <w:tmpl w:val="B0E602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E77D51"/>
    <w:multiLevelType w:val="multilevel"/>
    <w:tmpl w:val="AD309AA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FE577B9"/>
    <w:multiLevelType w:val="multilevel"/>
    <w:tmpl w:val="A6F0E2C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701B5A"/>
    <w:multiLevelType w:val="multilevel"/>
    <w:tmpl w:val="B532E21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A3F6AAC"/>
    <w:multiLevelType w:val="multilevel"/>
    <w:tmpl w:val="B916F664"/>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4FC6F6A"/>
    <w:multiLevelType w:val="hybridMultilevel"/>
    <w:tmpl w:val="2B140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C35C3A"/>
    <w:multiLevelType w:val="multilevel"/>
    <w:tmpl w:val="B532E21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1319218">
    <w:abstractNumId w:val="2"/>
  </w:num>
  <w:num w:numId="2" w16cid:durableId="1663973380">
    <w:abstractNumId w:val="9"/>
  </w:num>
  <w:num w:numId="3" w16cid:durableId="609510216">
    <w:abstractNumId w:val="7"/>
  </w:num>
  <w:num w:numId="4" w16cid:durableId="1559123124">
    <w:abstractNumId w:val="0"/>
  </w:num>
  <w:num w:numId="5" w16cid:durableId="1421410985">
    <w:abstractNumId w:val="3"/>
  </w:num>
  <w:num w:numId="6" w16cid:durableId="620575146">
    <w:abstractNumId w:val="5"/>
  </w:num>
  <w:num w:numId="7" w16cid:durableId="735738393">
    <w:abstractNumId w:val="8"/>
  </w:num>
  <w:num w:numId="8" w16cid:durableId="1583030113">
    <w:abstractNumId w:val="4"/>
  </w:num>
  <w:num w:numId="9" w16cid:durableId="384915851">
    <w:abstractNumId w:val="1"/>
  </w:num>
  <w:num w:numId="10" w16cid:durableId="124857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2MDQ1MDIyMDGztDBU0lEKTi0uzszPAykwrAUAYWP89SwAAAA="/>
  </w:docVars>
  <w:rsids>
    <w:rsidRoot w:val="0020668C"/>
    <w:rsid w:val="00054FF8"/>
    <w:rsid w:val="00055870"/>
    <w:rsid w:val="000B1BE9"/>
    <w:rsid w:val="000B5A56"/>
    <w:rsid w:val="000D1BC5"/>
    <w:rsid w:val="000D2B2A"/>
    <w:rsid w:val="0010459C"/>
    <w:rsid w:val="00111BCE"/>
    <w:rsid w:val="00116669"/>
    <w:rsid w:val="001271B1"/>
    <w:rsid w:val="00157E67"/>
    <w:rsid w:val="00162204"/>
    <w:rsid w:val="0017079C"/>
    <w:rsid w:val="00205393"/>
    <w:rsid w:val="0020668C"/>
    <w:rsid w:val="00210660"/>
    <w:rsid w:val="002364AD"/>
    <w:rsid w:val="00265ECE"/>
    <w:rsid w:val="00293D06"/>
    <w:rsid w:val="002B4B84"/>
    <w:rsid w:val="002D133C"/>
    <w:rsid w:val="002D6842"/>
    <w:rsid w:val="0034383D"/>
    <w:rsid w:val="0035351C"/>
    <w:rsid w:val="00372FFB"/>
    <w:rsid w:val="00374BE1"/>
    <w:rsid w:val="003871AD"/>
    <w:rsid w:val="003A500A"/>
    <w:rsid w:val="003B2F60"/>
    <w:rsid w:val="003C0291"/>
    <w:rsid w:val="0042346F"/>
    <w:rsid w:val="0045583D"/>
    <w:rsid w:val="0047675B"/>
    <w:rsid w:val="004968FA"/>
    <w:rsid w:val="004C2361"/>
    <w:rsid w:val="004E7363"/>
    <w:rsid w:val="004F0201"/>
    <w:rsid w:val="00515227"/>
    <w:rsid w:val="0055281F"/>
    <w:rsid w:val="005835AC"/>
    <w:rsid w:val="005844EB"/>
    <w:rsid w:val="00584648"/>
    <w:rsid w:val="005940C1"/>
    <w:rsid w:val="005B0F80"/>
    <w:rsid w:val="005E4973"/>
    <w:rsid w:val="005E5869"/>
    <w:rsid w:val="00656EDF"/>
    <w:rsid w:val="00657A10"/>
    <w:rsid w:val="00667ACD"/>
    <w:rsid w:val="0070333A"/>
    <w:rsid w:val="00732CA0"/>
    <w:rsid w:val="00734151"/>
    <w:rsid w:val="0075579F"/>
    <w:rsid w:val="007C2639"/>
    <w:rsid w:val="007C6BEB"/>
    <w:rsid w:val="007E4CF4"/>
    <w:rsid w:val="008310B4"/>
    <w:rsid w:val="00840593"/>
    <w:rsid w:val="008527DC"/>
    <w:rsid w:val="008D1CBD"/>
    <w:rsid w:val="0090743F"/>
    <w:rsid w:val="00954F57"/>
    <w:rsid w:val="00973FD3"/>
    <w:rsid w:val="00976BB0"/>
    <w:rsid w:val="0098333C"/>
    <w:rsid w:val="00996F34"/>
    <w:rsid w:val="009A57E9"/>
    <w:rsid w:val="009B4046"/>
    <w:rsid w:val="009F64E4"/>
    <w:rsid w:val="00A3217A"/>
    <w:rsid w:val="00A4537A"/>
    <w:rsid w:val="00A907FD"/>
    <w:rsid w:val="00AB099F"/>
    <w:rsid w:val="00AB59E2"/>
    <w:rsid w:val="00AF6321"/>
    <w:rsid w:val="00B04216"/>
    <w:rsid w:val="00B1322B"/>
    <w:rsid w:val="00B2272E"/>
    <w:rsid w:val="00B23C3B"/>
    <w:rsid w:val="00B44FA3"/>
    <w:rsid w:val="00B70477"/>
    <w:rsid w:val="00C028C3"/>
    <w:rsid w:val="00C02B69"/>
    <w:rsid w:val="00C3160B"/>
    <w:rsid w:val="00C879C9"/>
    <w:rsid w:val="00CA5E11"/>
    <w:rsid w:val="00CB55A8"/>
    <w:rsid w:val="00CE4766"/>
    <w:rsid w:val="00D1080D"/>
    <w:rsid w:val="00D15EF2"/>
    <w:rsid w:val="00D54934"/>
    <w:rsid w:val="00D63DB3"/>
    <w:rsid w:val="00D93F4E"/>
    <w:rsid w:val="00D97C66"/>
    <w:rsid w:val="00DB198B"/>
    <w:rsid w:val="00DC188C"/>
    <w:rsid w:val="00DF44DF"/>
    <w:rsid w:val="00E20620"/>
    <w:rsid w:val="00E42BE6"/>
    <w:rsid w:val="00E743AB"/>
    <w:rsid w:val="00E86A7F"/>
    <w:rsid w:val="00EE2649"/>
    <w:rsid w:val="00EF505B"/>
    <w:rsid w:val="00F37ACE"/>
    <w:rsid w:val="00F624B5"/>
    <w:rsid w:val="00F7402B"/>
    <w:rsid w:val="00F845F7"/>
    <w:rsid w:val="00FB01D8"/>
    <w:rsid w:val="00FB7E3F"/>
    <w:rsid w:val="00FF36C8"/>
    <w:rsid w:val="4C8F67E0"/>
    <w:rsid w:val="6B7508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F0217"/>
  <w15:docId w15:val="{8632026C-E81D-4D53-B974-59373EF6B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D15EF2"/>
    <w:pPr>
      <w:keepNext/>
      <w:outlineLvl w:val="0"/>
    </w:pPr>
    <w:rPr>
      <w:rFonts w:ascii="Times New Roman" w:eastAsia="Times New Roman" w:hAnsi="Times New Roman" w:cs="Times New Roman"/>
      <w:b/>
      <w:color w:val="000000" w:themeColor="text1"/>
      <w:sz w:val="32"/>
    </w:rPr>
  </w:style>
  <w:style w:type="paragraph" w:styleId="Heading2">
    <w:name w:val="heading 2"/>
    <w:basedOn w:val="Normal"/>
    <w:next w:val="Normal"/>
    <w:qFormat/>
    <w:rsid w:val="00D15EF2"/>
    <w:pPr>
      <w:widowControl w:val="0"/>
      <w:pBdr>
        <w:top w:val="nil"/>
        <w:left w:val="nil"/>
        <w:bottom w:val="nil"/>
        <w:right w:val="nil"/>
        <w:between w:val="nil"/>
      </w:pBdr>
      <w:spacing w:after="160" w:line="259" w:lineRule="auto"/>
      <w:ind w:left="720" w:hanging="720"/>
      <w:outlineLvl w:val="1"/>
    </w:pPr>
    <w:rPr>
      <w:rFonts w:ascii="Times New Roman" w:eastAsia="Times New Roman" w:hAnsi="Times New Roman" w:cs="Times New Roman"/>
      <w:b/>
      <w:color w:val="000000" w:themeColor="text1"/>
      <w:u w:val="single"/>
    </w:rPr>
  </w:style>
  <w:style w:type="paragraph" w:styleId="Heading3">
    <w:name w:val="heading 3"/>
    <w:basedOn w:val="Normal"/>
    <w:next w:val="Normal"/>
    <w:pPr>
      <w:keepNext/>
      <w:outlineLvl w:val="2"/>
    </w:pPr>
    <w:rPr>
      <w:b/>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D15EF2"/>
    <w:rPr>
      <w:sz w:val="28"/>
      <w:szCs w:val="28"/>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rPr>
      <w:rFonts w:ascii="Cambria" w:eastAsia="Cambria" w:hAnsi="Cambria" w:cs="Cambria"/>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rFonts w:ascii="Cambria" w:eastAsia="Cambria" w:hAnsi="Cambria" w:cs="Cambria"/>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mbria" w:eastAsia="Cambria" w:hAnsi="Cambria" w:cs="Cambria"/>
    </w:r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rFonts w:ascii="Cambria" w:eastAsia="Cambria" w:hAnsi="Cambria" w:cs="Cambria"/>
    </w:rPr>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mbria" w:eastAsia="Cambria" w:hAnsi="Cambria" w:cs="Cambria"/>
    </w:r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rPr>
      <w:rFonts w:ascii="Cambria" w:eastAsia="Cambria" w:hAnsi="Cambria" w:cs="Cambria"/>
    </w:r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mbria" w:eastAsia="Cambria" w:hAnsi="Cambria" w:cs="Cambria"/>
    </w:rPr>
    <w:tblPr>
      <w:tblStyleRowBandSize w:val="1"/>
      <w:tblStyleColBandSize w:val="1"/>
    </w:tblPr>
  </w:style>
  <w:style w:type="table" w:customStyle="1" w:styleId="ac">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E4C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4CF4"/>
    <w:rPr>
      <w:rFonts w:ascii="Times New Roman" w:hAnsi="Times New Roman" w:cs="Times New Roman"/>
      <w:sz w:val="18"/>
      <w:szCs w:val="18"/>
    </w:rPr>
  </w:style>
  <w:style w:type="paragraph" w:styleId="ListParagraph">
    <w:name w:val="List Paragraph"/>
    <w:basedOn w:val="Normal"/>
    <w:uiPriority w:val="34"/>
    <w:qFormat/>
    <w:rsid w:val="007E4CF4"/>
    <w:pPr>
      <w:ind w:left="720"/>
      <w:contextualSpacing/>
    </w:pPr>
  </w:style>
  <w:style w:type="paragraph" w:styleId="FootnoteText">
    <w:name w:val="footnote text"/>
    <w:basedOn w:val="Normal"/>
    <w:link w:val="FootnoteTextChar"/>
    <w:uiPriority w:val="99"/>
    <w:semiHidden/>
    <w:unhideWhenUsed/>
    <w:rsid w:val="003871AD"/>
    <w:rPr>
      <w:sz w:val="20"/>
      <w:szCs w:val="20"/>
    </w:rPr>
  </w:style>
  <w:style w:type="character" w:customStyle="1" w:styleId="FootnoteTextChar">
    <w:name w:val="Footnote Text Char"/>
    <w:basedOn w:val="DefaultParagraphFont"/>
    <w:link w:val="FootnoteText"/>
    <w:uiPriority w:val="99"/>
    <w:semiHidden/>
    <w:rsid w:val="003871AD"/>
    <w:rPr>
      <w:sz w:val="20"/>
      <w:szCs w:val="20"/>
    </w:rPr>
  </w:style>
  <w:style w:type="character" w:styleId="FootnoteReference">
    <w:name w:val="footnote reference"/>
    <w:basedOn w:val="DefaultParagraphFont"/>
    <w:uiPriority w:val="99"/>
    <w:semiHidden/>
    <w:unhideWhenUsed/>
    <w:rsid w:val="003871AD"/>
    <w:rPr>
      <w:vertAlign w:val="superscript"/>
    </w:rPr>
  </w:style>
  <w:style w:type="paragraph" w:styleId="CommentSubject">
    <w:name w:val="annotation subject"/>
    <w:basedOn w:val="CommentText"/>
    <w:next w:val="CommentText"/>
    <w:link w:val="CommentSubjectChar"/>
    <w:uiPriority w:val="99"/>
    <w:semiHidden/>
    <w:unhideWhenUsed/>
    <w:rsid w:val="00657A10"/>
    <w:rPr>
      <w:b/>
      <w:bCs/>
    </w:rPr>
  </w:style>
  <w:style w:type="character" w:customStyle="1" w:styleId="CommentSubjectChar">
    <w:name w:val="Comment Subject Char"/>
    <w:basedOn w:val="CommentTextChar"/>
    <w:link w:val="CommentSubject"/>
    <w:uiPriority w:val="99"/>
    <w:semiHidden/>
    <w:rsid w:val="00657A10"/>
    <w:rPr>
      <w:b/>
      <w:bCs/>
      <w:sz w:val="20"/>
      <w:szCs w:val="20"/>
    </w:rPr>
  </w:style>
  <w:style w:type="paragraph" w:styleId="Footer">
    <w:name w:val="footer"/>
    <w:basedOn w:val="Normal"/>
    <w:link w:val="FooterChar"/>
    <w:uiPriority w:val="99"/>
    <w:unhideWhenUsed/>
    <w:rsid w:val="007C6BEB"/>
    <w:pPr>
      <w:tabs>
        <w:tab w:val="center" w:pos="4680"/>
        <w:tab w:val="right" w:pos="9360"/>
      </w:tabs>
    </w:pPr>
  </w:style>
  <w:style w:type="character" w:customStyle="1" w:styleId="FooterChar">
    <w:name w:val="Footer Char"/>
    <w:basedOn w:val="DefaultParagraphFont"/>
    <w:link w:val="Footer"/>
    <w:uiPriority w:val="99"/>
    <w:rsid w:val="007C6BEB"/>
  </w:style>
  <w:style w:type="character" w:styleId="PageNumber">
    <w:name w:val="page number"/>
    <w:basedOn w:val="DefaultParagraphFont"/>
    <w:uiPriority w:val="99"/>
    <w:semiHidden/>
    <w:unhideWhenUsed/>
    <w:rsid w:val="007C6BEB"/>
  </w:style>
  <w:style w:type="paragraph" w:styleId="Revision">
    <w:name w:val="Revision"/>
    <w:hidden/>
    <w:uiPriority w:val="99"/>
    <w:semiHidden/>
    <w:rsid w:val="00205393"/>
  </w:style>
  <w:style w:type="character" w:styleId="Hyperlink">
    <w:name w:val="Hyperlink"/>
    <w:basedOn w:val="DefaultParagraphFont"/>
    <w:uiPriority w:val="99"/>
    <w:unhideWhenUsed/>
    <w:rsid w:val="005835AC"/>
    <w:rPr>
      <w:color w:val="0000FF" w:themeColor="hyperlink"/>
      <w:u w:val="single"/>
    </w:rPr>
  </w:style>
  <w:style w:type="paragraph" w:styleId="Header">
    <w:name w:val="header"/>
    <w:basedOn w:val="Normal"/>
    <w:link w:val="HeaderChar"/>
    <w:uiPriority w:val="99"/>
    <w:semiHidden/>
    <w:unhideWhenUsed/>
    <w:rsid w:val="00D63DB3"/>
    <w:pPr>
      <w:tabs>
        <w:tab w:val="center" w:pos="4680"/>
        <w:tab w:val="right" w:pos="9360"/>
      </w:tabs>
    </w:pPr>
  </w:style>
  <w:style w:type="character" w:customStyle="1" w:styleId="HeaderChar">
    <w:name w:val="Header Char"/>
    <w:basedOn w:val="DefaultParagraphFont"/>
    <w:link w:val="Header"/>
    <w:uiPriority w:val="99"/>
    <w:semiHidden/>
    <w:rsid w:val="00D63DB3"/>
  </w:style>
  <w:style w:type="character" w:styleId="FollowedHyperlink">
    <w:name w:val="FollowedHyperlink"/>
    <w:basedOn w:val="DefaultParagraphFont"/>
    <w:uiPriority w:val="99"/>
    <w:semiHidden/>
    <w:unhideWhenUsed/>
    <w:rsid w:val="00C02B69"/>
    <w:rPr>
      <w:color w:val="800080" w:themeColor="followedHyperlink"/>
      <w:u w:val="single"/>
    </w:rPr>
  </w:style>
  <w:style w:type="paragraph" w:styleId="Caption">
    <w:name w:val="caption"/>
    <w:basedOn w:val="Normal"/>
    <w:next w:val="Normal"/>
    <w:uiPriority w:val="35"/>
    <w:unhideWhenUsed/>
    <w:qFormat/>
    <w:rsid w:val="00C879C9"/>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462025">
      <w:bodyDiv w:val="1"/>
      <w:marLeft w:val="0"/>
      <w:marRight w:val="0"/>
      <w:marTop w:val="0"/>
      <w:marBottom w:val="0"/>
      <w:divBdr>
        <w:top w:val="none" w:sz="0" w:space="0" w:color="auto"/>
        <w:left w:val="none" w:sz="0" w:space="0" w:color="auto"/>
        <w:bottom w:val="none" w:sz="0" w:space="0" w:color="auto"/>
        <w:right w:val="none" w:sz="0" w:space="0" w:color="auto"/>
      </w:divBdr>
    </w:div>
    <w:div w:id="1441532901">
      <w:bodyDiv w:val="1"/>
      <w:marLeft w:val="0"/>
      <w:marRight w:val="0"/>
      <w:marTop w:val="0"/>
      <w:marBottom w:val="0"/>
      <w:divBdr>
        <w:top w:val="none" w:sz="0" w:space="0" w:color="auto"/>
        <w:left w:val="none" w:sz="0" w:space="0" w:color="auto"/>
        <w:bottom w:val="none" w:sz="0" w:space="0" w:color="auto"/>
        <w:right w:val="none" w:sz="0" w:space="0" w:color="auto"/>
      </w:divBdr>
    </w:div>
    <w:div w:id="1871648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dlenm.org/uploads/files/NDLETPS_PublicVetting.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lawsregs/603cmr7.html?section=14"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lawsregs/603cmr7.html?section=14"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doe.mass.edu/lawsregs/603cmr7.html?section=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DESE-231-46194</_dlc_DocId>
    <_dlc_DocIdUrl xmlns="733efe1c-5bbe-4968-87dc-d400e65c879f">
      <Url>https://sharepoint.doemass.org/ese/webteam/cps/_layouts/DocIdRedir.aspx?ID=DESE-231-46194</Url>
      <Description>DESE-231-46194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19A56C-0505-4C5B-8731-50D2DD40D183}">
  <ds:schemaRefs>
    <ds:schemaRef ds:uri="http://schemas.openxmlformats.org/officeDocument/2006/bibliography"/>
  </ds:schemaRefs>
</ds:datastoreItem>
</file>

<file path=customXml/itemProps2.xml><?xml version="1.0" encoding="utf-8"?>
<ds:datastoreItem xmlns:ds="http://schemas.openxmlformats.org/officeDocument/2006/customXml" ds:itemID="{5A2054DF-8A79-4959-9F53-63BEB82BBBC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36165AD4-52F8-4868-B85C-7040FE6F65B0}">
  <ds:schemaRefs>
    <ds:schemaRef ds:uri="http://schemas.microsoft.com/sharepoint/events"/>
  </ds:schemaRefs>
</ds:datastoreItem>
</file>

<file path=customXml/itemProps4.xml><?xml version="1.0" encoding="utf-8"?>
<ds:datastoreItem xmlns:ds="http://schemas.openxmlformats.org/officeDocument/2006/customXml" ds:itemID="{C4039263-E309-4FA1-B63F-DEF6157D0F5A}">
  <ds:schemaRefs>
    <ds:schemaRef ds:uri="http://schemas.microsoft.com/sharepoint/v3/contenttype/forms"/>
  </ds:schemaRefs>
</ds:datastoreItem>
</file>

<file path=customXml/itemProps5.xml><?xml version="1.0" encoding="utf-8"?>
<ds:datastoreItem xmlns:ds="http://schemas.openxmlformats.org/officeDocument/2006/customXml" ds:itemID="{82CD5F0B-7510-4637-A2E2-5EAC530E3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Bilingual Education Endorsement Guidelines</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Bilingual Education Endorsement Guidelines</dc:title>
  <dc:subject/>
  <dc:creator>DESE</dc:creator>
  <cp:keywords/>
  <cp:lastModifiedBy>Zou, Dong (EOE)</cp:lastModifiedBy>
  <cp:revision>3</cp:revision>
  <cp:lastPrinted>2018-07-12T18:56:00Z</cp:lastPrinted>
  <dcterms:created xsi:type="dcterms:W3CDTF">2024-01-24T21:03:00Z</dcterms:created>
  <dcterms:modified xsi:type="dcterms:W3CDTF">2024-01-25T17:37:00Z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25 2024 12:00AM</vt:lpwstr>
  </property>
</Properties>
</file>