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D5F2" w14:textId="77777777" w:rsidR="0028003E" w:rsidRDefault="0028003E"/>
    <w:tbl>
      <w:tblPr>
        <w:tblStyle w:val="TableGrid"/>
        <w:tblW w:w="10368"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7020"/>
        <w:gridCol w:w="3348"/>
      </w:tblGrid>
      <w:tr w:rsidR="00D00E34" w14:paraId="457BDF2E" w14:textId="77777777" w:rsidTr="00536FA0">
        <w:trPr>
          <w:trHeight w:val="1080"/>
        </w:trPr>
        <w:tc>
          <w:tcPr>
            <w:tcW w:w="7020" w:type="dxa"/>
            <w:tcBorders>
              <w:bottom w:val="single" w:sz="12" w:space="0" w:color="1F497D" w:themeColor="text2"/>
            </w:tcBorders>
            <w:shd w:val="clear" w:color="auto" w:fill="FFFFFF" w:themeFill="background1"/>
            <w:vAlign w:val="center"/>
          </w:tcPr>
          <w:p w14:paraId="6799DFCD" w14:textId="1C32062D" w:rsidR="00D00E34" w:rsidRPr="00D00E34" w:rsidRDefault="00FE7E6F" w:rsidP="00460BE7">
            <w:pPr>
              <w:pStyle w:val="Header"/>
              <w:rPr>
                <w:bCs/>
                <w:color w:val="FFFFFF" w:themeColor="background1"/>
                <w:sz w:val="36"/>
                <w:szCs w:val="36"/>
              </w:rPr>
            </w:pPr>
            <w:sdt>
              <w:sdtPr>
                <w:rPr>
                  <w:rFonts w:asciiTheme="majorHAnsi" w:hAnsiTheme="majorHAnsi" w:cstheme="majorHAnsi"/>
                  <w:b/>
                  <w:color w:val="1F497D" w:themeColor="text2"/>
                  <w:sz w:val="40"/>
                  <w:szCs w:val="40"/>
                </w:rPr>
                <w:alias w:val="Title"/>
                <w:tag w:val=""/>
                <w:id w:val="1504931122"/>
                <w:placeholder>
                  <w:docPart w:val="D490EBD972DF42F491A4C467CECE265D"/>
                </w:placeholder>
                <w:dataBinding w:prefixMappings="xmlns:ns0='http://purl.org/dc/elements/1.1/' xmlns:ns1='http://schemas.openxmlformats.org/package/2006/metadata/core-properties' " w:xpath="/ns1:coreProperties[1]/ns0:title[1]" w:storeItemID="{6C3C8BC8-F283-45AE-878A-BAB7291924A1}"/>
                <w:text/>
              </w:sdtPr>
              <w:sdtEndPr/>
              <w:sdtContent>
                <w:r w:rsidR="00460BE7" w:rsidRPr="008C1083">
                  <w:rPr>
                    <w:rFonts w:asciiTheme="majorHAnsi" w:hAnsiTheme="majorHAnsi" w:cstheme="majorHAnsi"/>
                    <w:b/>
                    <w:color w:val="1F497D" w:themeColor="text2"/>
                    <w:sz w:val="40"/>
                    <w:szCs w:val="40"/>
                  </w:rPr>
                  <w:t>Ed Prep Policy Advisory January 2022</w:t>
                </w:r>
              </w:sdtContent>
            </w:sdt>
          </w:p>
        </w:tc>
        <w:tc>
          <w:tcPr>
            <w:tcW w:w="3348" w:type="dxa"/>
            <w:tcBorders>
              <w:bottom w:val="single" w:sz="12" w:space="0" w:color="1F497D" w:themeColor="text2"/>
            </w:tcBorders>
          </w:tcPr>
          <w:p w14:paraId="152B9EE8" w14:textId="77777777" w:rsidR="00D00E34" w:rsidRDefault="00D00E34" w:rsidP="00536FA0">
            <w:pPr>
              <w:pStyle w:val="Header"/>
              <w:jc w:val="right"/>
              <w:rPr>
                <w:sz w:val="16"/>
                <w:szCs w:val="16"/>
              </w:rPr>
            </w:pPr>
            <w:r w:rsidRPr="00DD62D0">
              <w:rPr>
                <w:noProof/>
                <w:sz w:val="16"/>
                <w:szCs w:val="16"/>
                <w:lang w:eastAsia="zh-CN" w:bidi="km-KH"/>
              </w:rPr>
              <w:drawing>
                <wp:inline distT="0" distB="0" distL="0" distR="0" wp14:anchorId="3C2DCAB1" wp14:editId="43C5C01E">
                  <wp:extent cx="1704975" cy="685800"/>
                  <wp:effectExtent l="0" t="0" r="0" b="0"/>
                  <wp:docPr id="3" name="Picture 14"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cess After High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85800"/>
                          </a:xfrm>
                          <a:prstGeom prst="rect">
                            <a:avLst/>
                          </a:prstGeom>
                          <a:noFill/>
                          <a:ln>
                            <a:noFill/>
                          </a:ln>
                        </pic:spPr>
                      </pic:pic>
                    </a:graphicData>
                  </a:graphic>
                </wp:inline>
              </w:drawing>
            </w:r>
          </w:p>
        </w:tc>
      </w:tr>
    </w:tbl>
    <w:p w14:paraId="006B3773" w14:textId="480F58FD" w:rsidR="0028003E" w:rsidRPr="00835994" w:rsidRDefault="001D145C">
      <w:pPr>
        <w:spacing w:before="240" w:after="240"/>
        <w:rPr>
          <w:rFonts w:asciiTheme="majorHAnsi" w:hAnsiTheme="majorHAnsi" w:cstheme="majorHAnsi"/>
          <w:sz w:val="24"/>
          <w:szCs w:val="24"/>
        </w:rPr>
      </w:pPr>
      <w:r w:rsidRPr="00835994">
        <w:rPr>
          <w:rFonts w:asciiTheme="majorHAnsi" w:hAnsiTheme="majorHAnsi" w:cstheme="majorHAnsi"/>
          <w:sz w:val="24"/>
          <w:szCs w:val="24"/>
        </w:rPr>
        <w:t>This advisory provides the most recent information regarding MTEL revisions through 202</w:t>
      </w:r>
      <w:r w:rsidR="00B3413F">
        <w:rPr>
          <w:rFonts w:asciiTheme="majorHAnsi" w:hAnsiTheme="majorHAnsi" w:cstheme="majorHAnsi"/>
          <w:sz w:val="24"/>
          <w:szCs w:val="24"/>
        </w:rPr>
        <w:t>3</w:t>
      </w:r>
      <w:r w:rsidR="002668A5" w:rsidRPr="00835994">
        <w:rPr>
          <w:rFonts w:asciiTheme="majorHAnsi" w:hAnsiTheme="majorHAnsi" w:cstheme="majorHAnsi"/>
          <w:sz w:val="24"/>
          <w:szCs w:val="24"/>
        </w:rPr>
        <w:t xml:space="preserve">, </w:t>
      </w:r>
      <w:r w:rsidR="00887F93">
        <w:rPr>
          <w:rFonts w:asciiTheme="majorHAnsi" w:hAnsiTheme="majorHAnsi" w:cstheme="majorHAnsi"/>
          <w:sz w:val="24"/>
          <w:szCs w:val="24"/>
        </w:rPr>
        <w:t>information about retired MTELs and licensure</w:t>
      </w:r>
      <w:r w:rsidR="002668A5" w:rsidRPr="00835994">
        <w:rPr>
          <w:rFonts w:asciiTheme="majorHAnsi" w:hAnsiTheme="majorHAnsi" w:cstheme="majorHAnsi"/>
          <w:sz w:val="24"/>
          <w:szCs w:val="24"/>
        </w:rPr>
        <w:t>,</w:t>
      </w:r>
      <w:r w:rsidRPr="00835994">
        <w:rPr>
          <w:rFonts w:asciiTheme="majorHAnsi" w:hAnsiTheme="majorHAnsi" w:cstheme="majorHAnsi"/>
          <w:sz w:val="24"/>
          <w:szCs w:val="24"/>
        </w:rPr>
        <w:t xml:space="preserve"> and opportunities to participate on MTEL development committees.</w:t>
      </w:r>
    </w:p>
    <w:p w14:paraId="2C3AD5F3" w14:textId="77777777" w:rsidR="0028003E" w:rsidRPr="00835994" w:rsidRDefault="001D145C">
      <w:pPr>
        <w:spacing w:before="240" w:after="240"/>
        <w:rPr>
          <w:rFonts w:asciiTheme="majorHAnsi" w:hAnsiTheme="majorHAnsi" w:cstheme="majorHAnsi"/>
          <w:b/>
          <w:color w:val="E28325"/>
          <w:sz w:val="28"/>
          <w:szCs w:val="28"/>
        </w:rPr>
      </w:pPr>
      <w:r w:rsidRPr="00835994">
        <w:rPr>
          <w:rFonts w:asciiTheme="majorHAnsi" w:hAnsiTheme="majorHAnsi" w:cstheme="majorHAnsi"/>
          <w:b/>
          <w:color w:val="E28325"/>
          <w:sz w:val="28"/>
          <w:szCs w:val="28"/>
        </w:rPr>
        <w:t>Update on the Timeline for Implementation and MTELs being Revised</w:t>
      </w:r>
    </w:p>
    <w:p w14:paraId="682E9455" w14:textId="77777777" w:rsidR="0028003E" w:rsidRPr="00835994" w:rsidRDefault="001D145C">
      <w:pPr>
        <w:spacing w:before="240" w:after="240"/>
        <w:rPr>
          <w:rFonts w:asciiTheme="majorHAnsi" w:hAnsiTheme="majorHAnsi" w:cstheme="majorHAnsi"/>
          <w:b/>
          <w:color w:val="5B9BD5"/>
          <w:sz w:val="24"/>
          <w:szCs w:val="24"/>
        </w:rPr>
      </w:pPr>
      <w:r w:rsidRPr="00835994">
        <w:rPr>
          <w:rFonts w:asciiTheme="majorHAnsi" w:hAnsiTheme="majorHAnsi" w:cstheme="majorHAnsi"/>
          <w:b/>
          <w:color w:val="5B9BD5"/>
          <w:sz w:val="24"/>
          <w:szCs w:val="24"/>
        </w:rPr>
        <w:t>Revised Timeline</w:t>
      </w:r>
    </w:p>
    <w:p w14:paraId="5DFD6A0A" w14:textId="514234A3" w:rsidR="0028003E" w:rsidRPr="00835994" w:rsidRDefault="2B502A60" w:rsidP="125D52E7">
      <w:pPr>
        <w:spacing w:before="240" w:after="240"/>
        <w:rPr>
          <w:rFonts w:asciiTheme="majorHAnsi" w:hAnsiTheme="majorHAnsi" w:cstheme="majorBidi"/>
          <w:sz w:val="24"/>
          <w:szCs w:val="24"/>
        </w:rPr>
      </w:pPr>
      <w:r w:rsidRPr="125D52E7">
        <w:rPr>
          <w:rFonts w:asciiTheme="majorHAnsi" w:hAnsiTheme="majorHAnsi" w:cstheme="majorBidi"/>
          <w:sz w:val="24"/>
          <w:szCs w:val="24"/>
        </w:rPr>
        <w:t xml:space="preserve">In collaboration with Evaluation Systems Group (ES) of Pearson, </w:t>
      </w:r>
      <w:r w:rsidR="6A70F989" w:rsidRPr="125D52E7">
        <w:rPr>
          <w:rFonts w:asciiTheme="majorHAnsi" w:hAnsiTheme="majorHAnsi" w:cstheme="majorBidi"/>
          <w:sz w:val="24"/>
          <w:szCs w:val="24"/>
        </w:rPr>
        <w:t>DESE</w:t>
      </w:r>
      <w:r w:rsidRPr="125D52E7">
        <w:rPr>
          <w:rFonts w:asciiTheme="majorHAnsi" w:hAnsiTheme="majorHAnsi" w:cstheme="majorBidi"/>
          <w:sz w:val="24"/>
          <w:szCs w:val="24"/>
        </w:rPr>
        <w:t xml:space="preserve"> began updating </w:t>
      </w:r>
      <w:r w:rsidR="24AFE6AE" w:rsidRPr="125D52E7">
        <w:rPr>
          <w:rFonts w:asciiTheme="majorHAnsi" w:hAnsiTheme="majorHAnsi" w:cstheme="majorBidi"/>
          <w:sz w:val="24"/>
          <w:szCs w:val="24"/>
        </w:rPr>
        <w:t xml:space="preserve">the </w:t>
      </w:r>
      <w:r w:rsidRPr="125D52E7">
        <w:rPr>
          <w:rFonts w:asciiTheme="majorHAnsi" w:hAnsiTheme="majorHAnsi" w:cstheme="majorBidi"/>
          <w:sz w:val="24"/>
          <w:szCs w:val="24"/>
        </w:rPr>
        <w:t xml:space="preserve">MTELs </w:t>
      </w:r>
      <w:r w:rsidR="0C04B29C" w:rsidRPr="125D52E7">
        <w:rPr>
          <w:rFonts w:asciiTheme="majorHAnsi" w:hAnsiTheme="majorHAnsi" w:cstheme="majorBidi"/>
          <w:sz w:val="24"/>
          <w:szCs w:val="24"/>
        </w:rPr>
        <w:t xml:space="preserve">in 2018 </w:t>
      </w:r>
      <w:r w:rsidRPr="125D52E7">
        <w:rPr>
          <w:rFonts w:asciiTheme="majorHAnsi" w:hAnsiTheme="majorHAnsi" w:cstheme="majorBidi"/>
          <w:sz w:val="24"/>
          <w:szCs w:val="24"/>
        </w:rPr>
        <w:t xml:space="preserve">based on </w:t>
      </w:r>
      <w:r w:rsidR="55CC4DC1" w:rsidRPr="125D52E7">
        <w:rPr>
          <w:rFonts w:asciiTheme="majorHAnsi" w:hAnsiTheme="majorHAnsi" w:cstheme="majorBidi"/>
          <w:sz w:val="24"/>
          <w:szCs w:val="24"/>
        </w:rPr>
        <w:t xml:space="preserve">updated </w:t>
      </w:r>
      <w:hyperlink r:id="rId11" w:history="1">
        <w:r w:rsidR="55CC4DC1" w:rsidRPr="125D52E7">
          <w:rPr>
            <w:rStyle w:val="Hyperlink"/>
            <w:rFonts w:asciiTheme="majorHAnsi" w:hAnsiTheme="majorHAnsi" w:cstheme="majorBidi"/>
            <w:sz w:val="24"/>
            <w:szCs w:val="24"/>
          </w:rPr>
          <w:t>MA Curriculum Frameworks</w:t>
        </w:r>
      </w:hyperlink>
      <w:r w:rsidR="55CC4DC1" w:rsidRPr="125D52E7">
        <w:rPr>
          <w:rFonts w:asciiTheme="majorHAnsi" w:hAnsiTheme="majorHAnsi" w:cstheme="majorBidi"/>
          <w:sz w:val="24"/>
          <w:szCs w:val="24"/>
        </w:rPr>
        <w:t xml:space="preserve"> and </w:t>
      </w:r>
      <w:hyperlink r:id="rId12" w:history="1">
        <w:r w:rsidR="55CC4DC1" w:rsidRPr="125D52E7">
          <w:rPr>
            <w:rStyle w:val="Hyperlink"/>
            <w:rFonts w:asciiTheme="majorHAnsi" w:hAnsiTheme="majorHAnsi" w:cstheme="majorBidi"/>
            <w:sz w:val="24"/>
            <w:szCs w:val="24"/>
          </w:rPr>
          <w:t>Subject Matter Knowledge Guidelines</w:t>
        </w:r>
      </w:hyperlink>
      <w:r w:rsidR="55CC4DC1" w:rsidRPr="125D52E7">
        <w:rPr>
          <w:rFonts w:asciiTheme="majorHAnsi" w:hAnsiTheme="majorHAnsi" w:cstheme="majorBidi"/>
          <w:sz w:val="24"/>
          <w:szCs w:val="24"/>
        </w:rPr>
        <w:t xml:space="preserve">.  </w:t>
      </w:r>
      <w:r w:rsidR="7D00234F" w:rsidRPr="125D52E7">
        <w:rPr>
          <w:rFonts w:asciiTheme="majorHAnsi" w:hAnsiTheme="majorHAnsi" w:cstheme="majorBidi"/>
          <w:sz w:val="24"/>
          <w:szCs w:val="24"/>
        </w:rPr>
        <w:t xml:space="preserve">As communicated in previous </w:t>
      </w:r>
      <w:hyperlink r:id="rId13">
        <w:r w:rsidR="7D00234F" w:rsidRPr="125D52E7">
          <w:rPr>
            <w:rStyle w:val="Hyperlink"/>
            <w:rFonts w:asciiTheme="majorHAnsi" w:hAnsiTheme="majorHAnsi" w:cstheme="majorBidi"/>
            <w:sz w:val="24"/>
            <w:szCs w:val="24"/>
          </w:rPr>
          <w:t>advisories,</w:t>
        </w:r>
      </w:hyperlink>
      <w:r w:rsidR="7D00234F" w:rsidRPr="125D52E7">
        <w:rPr>
          <w:rFonts w:asciiTheme="majorHAnsi" w:hAnsiTheme="majorHAnsi" w:cstheme="majorBidi"/>
          <w:sz w:val="24"/>
          <w:szCs w:val="24"/>
        </w:rPr>
        <w:t xml:space="preserve"> t</w:t>
      </w:r>
      <w:r w:rsidR="1F647CF0" w:rsidRPr="125D52E7">
        <w:rPr>
          <w:rFonts w:asciiTheme="majorHAnsi" w:hAnsiTheme="majorHAnsi" w:cstheme="majorBidi"/>
          <w:sz w:val="24"/>
          <w:szCs w:val="24"/>
        </w:rPr>
        <w:t xml:space="preserve">he </w:t>
      </w:r>
      <w:r w:rsidR="7D00234F" w:rsidRPr="125D52E7">
        <w:rPr>
          <w:rFonts w:asciiTheme="majorHAnsi" w:hAnsiTheme="majorHAnsi" w:cstheme="majorBidi"/>
          <w:sz w:val="24"/>
          <w:szCs w:val="24"/>
        </w:rPr>
        <w:t xml:space="preserve">MTEL  </w:t>
      </w:r>
      <w:r w:rsidR="1F647CF0" w:rsidRPr="125D52E7">
        <w:rPr>
          <w:rFonts w:asciiTheme="majorHAnsi" w:hAnsiTheme="majorHAnsi" w:cstheme="majorBidi"/>
          <w:sz w:val="24"/>
          <w:szCs w:val="24"/>
        </w:rPr>
        <w:t xml:space="preserve">development timeline continues to be subject to change due to the ongoing nature of the COVID-19 pandemic. </w:t>
      </w:r>
      <w:r w:rsidR="06B1FEC5" w:rsidRPr="125D52E7">
        <w:rPr>
          <w:rFonts w:asciiTheme="majorHAnsi" w:hAnsiTheme="majorHAnsi" w:cstheme="majorBidi"/>
          <w:sz w:val="24"/>
          <w:szCs w:val="24"/>
        </w:rPr>
        <w:t>Please see</w:t>
      </w:r>
      <w:r w:rsidR="1F647CF0" w:rsidRPr="125D52E7">
        <w:rPr>
          <w:rFonts w:asciiTheme="majorHAnsi" w:hAnsiTheme="majorHAnsi" w:cstheme="majorBidi"/>
          <w:sz w:val="24"/>
          <w:szCs w:val="24"/>
        </w:rPr>
        <w:t xml:space="preserve"> the revised MTEL development timeline below. We will send out communications notifying you of exact dates as they become available and would advise candidates to continue to check the Evaluation Systems Group (ES) of Pearson </w:t>
      </w:r>
      <w:hyperlink r:id="rId14">
        <w:r w:rsidR="1F647CF0" w:rsidRPr="125D52E7">
          <w:rPr>
            <w:rStyle w:val="Hyperlink"/>
            <w:rFonts w:asciiTheme="majorHAnsi" w:hAnsiTheme="majorHAnsi" w:cstheme="majorBidi"/>
            <w:sz w:val="24"/>
            <w:szCs w:val="24"/>
          </w:rPr>
          <w:t>website</w:t>
        </w:r>
      </w:hyperlink>
      <w:r w:rsidR="1F647CF0" w:rsidRPr="125D52E7">
        <w:rPr>
          <w:rFonts w:asciiTheme="majorHAnsi" w:hAnsiTheme="majorHAnsi" w:cstheme="majorBidi"/>
          <w:sz w:val="24"/>
          <w:szCs w:val="24"/>
        </w:rPr>
        <w:t xml:space="preserve"> for the most up to date dates as well. </w:t>
      </w:r>
    </w:p>
    <w:p w14:paraId="5DD9EC08" w14:textId="5080D058" w:rsidR="0028003E" w:rsidRPr="00835994" w:rsidRDefault="1F647CF0" w:rsidP="125D52E7">
      <w:pPr>
        <w:spacing w:before="240" w:after="240"/>
        <w:rPr>
          <w:rFonts w:asciiTheme="majorHAnsi" w:hAnsiTheme="majorHAnsi" w:cstheme="majorBidi"/>
          <w:sz w:val="24"/>
          <w:szCs w:val="24"/>
        </w:rPr>
        <w:sectPr w:rsidR="0028003E" w:rsidRPr="00835994" w:rsidSect="00835994">
          <w:headerReference w:type="default" r:id="rId15"/>
          <w:pgSz w:w="12240" w:h="15840"/>
          <w:pgMar w:top="907" w:right="720" w:bottom="720" w:left="1080" w:header="720" w:footer="720" w:gutter="0"/>
          <w:pgNumType w:start="1"/>
          <w:cols w:space="720"/>
        </w:sectPr>
      </w:pPr>
      <w:r w:rsidRPr="125D52E7">
        <w:rPr>
          <w:rFonts w:asciiTheme="majorHAnsi" w:hAnsiTheme="majorHAnsi" w:cstheme="majorBidi"/>
          <w:sz w:val="24"/>
          <w:szCs w:val="24"/>
        </w:rPr>
        <w:t>Below please find a</w:t>
      </w:r>
      <w:r w:rsidR="169E869C" w:rsidRPr="125D52E7">
        <w:rPr>
          <w:rFonts w:asciiTheme="majorHAnsi" w:hAnsiTheme="majorHAnsi" w:cstheme="majorBidi"/>
          <w:sz w:val="24"/>
          <w:szCs w:val="24"/>
        </w:rPr>
        <w:t>n updated</w:t>
      </w:r>
      <w:r w:rsidRPr="125D52E7">
        <w:rPr>
          <w:rFonts w:asciiTheme="majorHAnsi" w:hAnsiTheme="majorHAnsi" w:cstheme="majorBidi"/>
          <w:sz w:val="24"/>
          <w:szCs w:val="24"/>
        </w:rPr>
        <w:t xml:space="preserve"> operational timeline for these MTEL tests. </w:t>
      </w:r>
    </w:p>
    <w:tbl>
      <w:tblPr>
        <w:tblStyle w:val="TableGrid"/>
        <w:tblW w:w="14379"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736"/>
        <w:gridCol w:w="4643"/>
      </w:tblGrid>
      <w:tr w:rsidR="00266BED" w14:paraId="4A8A761E" w14:textId="77777777" w:rsidTr="00266BED">
        <w:trPr>
          <w:trHeight w:val="680"/>
        </w:trPr>
        <w:tc>
          <w:tcPr>
            <w:tcW w:w="9736" w:type="dxa"/>
            <w:tcBorders>
              <w:bottom w:val="single" w:sz="12" w:space="0" w:color="1F497D" w:themeColor="text2"/>
            </w:tcBorders>
            <w:shd w:val="clear" w:color="auto" w:fill="FFFFFF" w:themeFill="background1"/>
            <w:vAlign w:val="center"/>
          </w:tcPr>
          <w:p w14:paraId="3D522672" w14:textId="304335F1" w:rsidR="002F3828" w:rsidRPr="002F3828" w:rsidRDefault="002F3828" w:rsidP="002F3828">
            <w:pPr>
              <w:pStyle w:val="Header"/>
              <w:rPr>
                <w:rFonts w:asciiTheme="majorHAnsi" w:hAnsiTheme="majorHAnsi" w:cstheme="majorHAnsi"/>
                <w:b/>
                <w:color w:val="1F497D" w:themeColor="text2"/>
                <w:sz w:val="40"/>
                <w:szCs w:val="40"/>
              </w:rPr>
            </w:pPr>
            <w:r w:rsidRPr="002F3828">
              <w:rPr>
                <w:rFonts w:asciiTheme="majorHAnsi" w:hAnsiTheme="majorHAnsi" w:cstheme="majorHAnsi"/>
                <w:b/>
                <w:color w:val="1F497D" w:themeColor="text2"/>
                <w:sz w:val="40"/>
                <w:szCs w:val="40"/>
              </w:rPr>
              <w:lastRenderedPageBreak/>
              <w:t xml:space="preserve">Ed Prep Policy Advisory </w:t>
            </w:r>
            <w:r w:rsidR="00F00545">
              <w:rPr>
                <w:rFonts w:asciiTheme="majorHAnsi" w:hAnsiTheme="majorHAnsi" w:cstheme="majorHAnsi"/>
                <w:b/>
                <w:color w:val="1F497D" w:themeColor="text2"/>
                <w:sz w:val="40"/>
                <w:szCs w:val="40"/>
              </w:rPr>
              <w:t>January 2022</w:t>
            </w:r>
          </w:p>
          <w:p w14:paraId="102F5660" w14:textId="77777777" w:rsidR="00266BED" w:rsidRPr="00D00E34" w:rsidRDefault="00266BED" w:rsidP="00536FA0">
            <w:pPr>
              <w:pStyle w:val="Header"/>
              <w:rPr>
                <w:bCs/>
                <w:color w:val="FFFFFF" w:themeColor="background1"/>
                <w:sz w:val="36"/>
                <w:szCs w:val="36"/>
              </w:rPr>
            </w:pPr>
            <w:r w:rsidRPr="00D00E34">
              <w:rPr>
                <w:rFonts w:ascii="Arial" w:eastAsia="Arial" w:hAnsi="Arial" w:cs="Arial"/>
                <w:bCs/>
                <w:color w:val="E28325"/>
                <w:sz w:val="36"/>
                <w:szCs w:val="36"/>
                <w:lang w:val="en"/>
              </w:rPr>
              <w:t>MTEL Updates and Timeline</w:t>
            </w:r>
          </w:p>
        </w:tc>
        <w:tc>
          <w:tcPr>
            <w:tcW w:w="4643" w:type="dxa"/>
            <w:tcBorders>
              <w:bottom w:val="single" w:sz="12" w:space="0" w:color="1F497D" w:themeColor="text2"/>
            </w:tcBorders>
          </w:tcPr>
          <w:p w14:paraId="0311522F" w14:textId="77777777" w:rsidR="00266BED" w:rsidRDefault="00266BED" w:rsidP="00536FA0">
            <w:pPr>
              <w:pStyle w:val="Header"/>
              <w:jc w:val="right"/>
              <w:rPr>
                <w:sz w:val="16"/>
                <w:szCs w:val="16"/>
              </w:rPr>
            </w:pPr>
            <w:r w:rsidRPr="00DD62D0">
              <w:rPr>
                <w:noProof/>
                <w:sz w:val="16"/>
                <w:szCs w:val="16"/>
                <w:lang w:eastAsia="zh-CN" w:bidi="km-KH"/>
              </w:rPr>
              <w:drawing>
                <wp:inline distT="0" distB="0" distL="0" distR="0" wp14:anchorId="3CE23AB6" wp14:editId="4DF3327B">
                  <wp:extent cx="1704975" cy="685800"/>
                  <wp:effectExtent l="0" t="0" r="0" b="0"/>
                  <wp:docPr id="4" name="Picture 14"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cess After High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85800"/>
                          </a:xfrm>
                          <a:prstGeom prst="rect">
                            <a:avLst/>
                          </a:prstGeom>
                          <a:noFill/>
                          <a:ln>
                            <a:noFill/>
                          </a:ln>
                        </pic:spPr>
                      </pic:pic>
                    </a:graphicData>
                  </a:graphic>
                </wp:inline>
              </w:drawing>
            </w:r>
          </w:p>
        </w:tc>
      </w:tr>
    </w:tbl>
    <w:tbl>
      <w:tblPr>
        <w:tblW w:w="12471" w:type="dxa"/>
        <w:jc w:val="center"/>
        <w:tblBorders>
          <w:top w:val="nil"/>
          <w:left w:val="nil"/>
          <w:bottom w:val="nil"/>
          <w:right w:val="nil"/>
          <w:insideH w:val="nil"/>
          <w:insideV w:val="nil"/>
        </w:tblBorders>
        <w:tblLayout w:type="fixed"/>
        <w:tblLook w:val="0620" w:firstRow="1" w:lastRow="0" w:firstColumn="0" w:lastColumn="0" w:noHBand="1" w:noVBand="1"/>
      </w:tblPr>
      <w:tblGrid>
        <w:gridCol w:w="2078"/>
        <w:gridCol w:w="2078"/>
        <w:gridCol w:w="2078"/>
        <w:gridCol w:w="2079"/>
        <w:gridCol w:w="2079"/>
        <w:gridCol w:w="2079"/>
      </w:tblGrid>
      <w:tr w:rsidR="0028003E" w:rsidRPr="00835994" w14:paraId="488149C6" w14:textId="77777777" w:rsidTr="125D52E7">
        <w:trPr>
          <w:trHeight w:val="395"/>
          <w:jc w:val="center"/>
        </w:trPr>
        <w:tc>
          <w:tcPr>
            <w:tcW w:w="1247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top w:w="100" w:type="dxa"/>
              <w:left w:w="100" w:type="dxa"/>
              <w:bottom w:w="100" w:type="dxa"/>
              <w:right w:w="100" w:type="dxa"/>
            </w:tcMar>
          </w:tcPr>
          <w:p w14:paraId="2BFA9DB7" w14:textId="0B92958D" w:rsidR="0028003E" w:rsidRPr="00835994" w:rsidRDefault="001D145C">
            <w:pPr>
              <w:spacing w:before="240" w:after="240"/>
              <w:ind w:left="-270"/>
              <w:jc w:val="center"/>
              <w:rPr>
                <w:rFonts w:asciiTheme="majorHAnsi" w:hAnsiTheme="majorHAnsi" w:cstheme="majorHAnsi"/>
                <w:b/>
              </w:rPr>
            </w:pPr>
            <w:r w:rsidRPr="00835994">
              <w:rPr>
                <w:rFonts w:asciiTheme="majorHAnsi" w:hAnsiTheme="majorHAnsi" w:cstheme="majorHAnsi"/>
                <w:b/>
              </w:rPr>
              <w:t xml:space="preserve">Revised Projected MTEL Test Development Schedule </w:t>
            </w:r>
            <w:r w:rsidR="00F00545">
              <w:rPr>
                <w:rFonts w:asciiTheme="majorHAnsi" w:hAnsiTheme="majorHAnsi" w:cstheme="majorHAnsi"/>
                <w:b/>
              </w:rPr>
              <w:t>–</w:t>
            </w:r>
            <w:r w:rsidRPr="00835994">
              <w:rPr>
                <w:rFonts w:asciiTheme="majorHAnsi" w:hAnsiTheme="majorHAnsi" w:cstheme="majorHAnsi"/>
                <w:b/>
              </w:rPr>
              <w:t xml:space="preserve"> </w:t>
            </w:r>
            <w:r w:rsidR="00F00545">
              <w:rPr>
                <w:rFonts w:asciiTheme="majorHAnsi" w:hAnsiTheme="majorHAnsi" w:cstheme="majorHAnsi"/>
                <w:b/>
              </w:rPr>
              <w:t>January 2022</w:t>
            </w:r>
          </w:p>
        </w:tc>
      </w:tr>
      <w:tr w:rsidR="007C6C68" w:rsidRPr="00835994" w14:paraId="18F269F5" w14:textId="77777777" w:rsidTr="00CD4B49">
        <w:trPr>
          <w:trHeight w:val="290"/>
          <w:jc w:val="center"/>
        </w:trPr>
        <w:tc>
          <w:tcPr>
            <w:tcW w:w="2078" w:type="dxa"/>
            <w:vMerge w:val="restart"/>
            <w:tcBorders>
              <w:top w:val="single" w:sz="4" w:space="0" w:color="auto"/>
              <w:left w:val="single" w:sz="4" w:space="0" w:color="auto"/>
              <w:bottom w:val="single" w:sz="4" w:space="0" w:color="auto"/>
              <w:right w:val="single" w:sz="4" w:space="0" w:color="auto"/>
            </w:tcBorders>
            <w:shd w:val="clear" w:color="auto" w:fill="DEEAF6"/>
            <w:tcMar>
              <w:top w:w="100" w:type="dxa"/>
              <w:left w:w="100" w:type="dxa"/>
              <w:bottom w:w="100" w:type="dxa"/>
              <w:right w:w="100" w:type="dxa"/>
            </w:tcMar>
          </w:tcPr>
          <w:p w14:paraId="22F81808" w14:textId="4B924954" w:rsidR="007C6C68" w:rsidRPr="00835994" w:rsidRDefault="007C6C68" w:rsidP="007C6C68">
            <w:pPr>
              <w:spacing w:before="240" w:after="240"/>
              <w:ind w:left="-100"/>
              <w:jc w:val="center"/>
              <w:rPr>
                <w:rFonts w:asciiTheme="majorHAnsi" w:hAnsiTheme="majorHAnsi" w:cstheme="majorHAnsi"/>
              </w:rPr>
            </w:pPr>
            <w:r>
              <w:rPr>
                <w:rFonts w:asciiTheme="majorHAnsi" w:hAnsiTheme="majorHAnsi" w:cstheme="majorHAnsi"/>
                <w:b/>
              </w:rPr>
              <w:t xml:space="preserve">Currently </w:t>
            </w:r>
            <w:r w:rsidRPr="00835994">
              <w:rPr>
                <w:rFonts w:asciiTheme="majorHAnsi" w:hAnsiTheme="majorHAnsi" w:cstheme="majorHAnsi"/>
                <w:b/>
              </w:rPr>
              <w:t>Operational</w:t>
            </w:r>
          </w:p>
        </w:tc>
        <w:tc>
          <w:tcPr>
            <w:tcW w:w="2078" w:type="dxa"/>
            <w:tcBorders>
              <w:top w:val="nil"/>
              <w:left w:val="single" w:sz="4" w:space="0" w:color="auto"/>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22BEC25A" w14:textId="6094F0BE"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 xml:space="preserve"> Group </w:t>
            </w:r>
            <w:r>
              <w:rPr>
                <w:rFonts w:asciiTheme="majorHAnsi" w:hAnsiTheme="majorHAnsi" w:cstheme="majorHAnsi"/>
              </w:rPr>
              <w:t>C</w:t>
            </w:r>
          </w:p>
        </w:tc>
        <w:tc>
          <w:tcPr>
            <w:tcW w:w="2078" w:type="dxa"/>
            <w:tcBorders>
              <w:top w:val="nil"/>
              <w:left w:val="single" w:sz="8" w:space="0" w:color="000000" w:themeColor="text1"/>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0B32A933" w14:textId="6941DEB3" w:rsidR="007C6C68" w:rsidRPr="00835994" w:rsidRDefault="0C46233C" w:rsidP="125D52E7">
            <w:pPr>
              <w:spacing w:before="240" w:after="240"/>
              <w:ind w:left="-100"/>
              <w:jc w:val="center"/>
              <w:rPr>
                <w:rFonts w:asciiTheme="majorHAnsi" w:hAnsiTheme="majorHAnsi" w:cstheme="majorBidi"/>
              </w:rPr>
            </w:pPr>
            <w:r w:rsidRPr="125D52E7">
              <w:rPr>
                <w:rFonts w:asciiTheme="majorHAnsi" w:hAnsiTheme="majorHAnsi" w:cstheme="majorBidi"/>
              </w:rPr>
              <w:t xml:space="preserve"> Group </w:t>
            </w:r>
            <w:r w:rsidR="42409C82" w:rsidRPr="125D52E7">
              <w:rPr>
                <w:rFonts w:asciiTheme="majorHAnsi" w:hAnsiTheme="majorHAnsi" w:cstheme="majorBidi"/>
              </w:rPr>
              <w:t>D</w:t>
            </w:r>
          </w:p>
        </w:tc>
        <w:tc>
          <w:tcPr>
            <w:tcW w:w="2079" w:type="dxa"/>
            <w:tcBorders>
              <w:top w:val="nil"/>
              <w:left w:val="nil"/>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417F44D8" w14:textId="2A65FEFE" w:rsidR="007C6C68" w:rsidRPr="00835994" w:rsidRDefault="21169687" w:rsidP="125D52E7">
            <w:pPr>
              <w:spacing w:before="240" w:after="240"/>
              <w:ind w:left="-100"/>
              <w:jc w:val="center"/>
              <w:rPr>
                <w:rFonts w:asciiTheme="majorHAnsi" w:hAnsiTheme="majorHAnsi" w:cstheme="majorBidi"/>
              </w:rPr>
            </w:pPr>
            <w:r w:rsidRPr="125D52E7">
              <w:rPr>
                <w:rFonts w:asciiTheme="majorHAnsi" w:hAnsiTheme="majorHAnsi" w:cstheme="majorBidi"/>
              </w:rPr>
              <w:t xml:space="preserve">Group </w:t>
            </w:r>
            <w:r w:rsidR="4424C957" w:rsidRPr="125D52E7">
              <w:rPr>
                <w:rFonts w:asciiTheme="majorHAnsi" w:hAnsiTheme="majorHAnsi" w:cstheme="majorBidi"/>
              </w:rPr>
              <w:t>E</w:t>
            </w:r>
          </w:p>
        </w:tc>
        <w:tc>
          <w:tcPr>
            <w:tcW w:w="2079" w:type="dxa"/>
            <w:tcBorders>
              <w:top w:val="nil"/>
              <w:left w:val="nil"/>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4A80DBD3"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Group F</w:t>
            </w:r>
          </w:p>
        </w:tc>
        <w:tc>
          <w:tcPr>
            <w:tcW w:w="2079" w:type="dxa"/>
            <w:tcBorders>
              <w:top w:val="nil"/>
              <w:left w:val="nil"/>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4C7E00D3"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Group G</w:t>
            </w:r>
          </w:p>
        </w:tc>
      </w:tr>
      <w:tr w:rsidR="007C6C68" w:rsidRPr="00835994" w14:paraId="5AA37D92" w14:textId="77777777" w:rsidTr="00CD4B49">
        <w:trPr>
          <w:trHeight w:val="1152"/>
          <w:jc w:val="center"/>
        </w:trPr>
        <w:tc>
          <w:tcPr>
            <w:tcW w:w="2078"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7DD57" w14:textId="7D1D408A" w:rsidR="007C6C68" w:rsidRPr="00835994" w:rsidRDefault="007C6C68" w:rsidP="007C6C68">
            <w:pPr>
              <w:spacing w:before="240" w:after="240"/>
              <w:ind w:left="-100"/>
              <w:jc w:val="center"/>
              <w:rPr>
                <w:rFonts w:asciiTheme="majorHAnsi" w:hAnsiTheme="majorHAnsi" w:cstheme="majorHAnsi"/>
                <w:b/>
              </w:rPr>
            </w:pPr>
          </w:p>
        </w:tc>
        <w:tc>
          <w:tcPr>
            <w:tcW w:w="2078" w:type="dxa"/>
            <w:tcBorders>
              <w:top w:val="nil"/>
              <w:left w:val="single" w:sz="4" w:space="0" w:color="auto"/>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70C3203B" w14:textId="71E71543" w:rsidR="007C6C68" w:rsidRPr="00835994" w:rsidRDefault="0C46233C" w:rsidP="125D52E7">
            <w:pPr>
              <w:spacing w:before="240" w:after="240"/>
              <w:ind w:left="-100"/>
              <w:jc w:val="center"/>
              <w:rPr>
                <w:rFonts w:asciiTheme="majorHAnsi" w:hAnsiTheme="majorHAnsi" w:cstheme="majorBidi"/>
                <w:b/>
                <w:bCs/>
              </w:rPr>
            </w:pPr>
            <w:r w:rsidRPr="125D52E7">
              <w:rPr>
                <w:rFonts w:asciiTheme="majorHAnsi" w:hAnsiTheme="majorHAnsi" w:cstheme="majorBidi"/>
                <w:b/>
                <w:bCs/>
              </w:rPr>
              <w:t>Operational</w:t>
            </w:r>
            <w:r w:rsidR="45FBEEA7" w:rsidRPr="125D52E7">
              <w:rPr>
                <w:rFonts w:asciiTheme="majorHAnsi" w:hAnsiTheme="majorHAnsi" w:cstheme="majorBidi"/>
                <w:b/>
                <w:bCs/>
              </w:rPr>
              <w:t xml:space="preserve"> </w:t>
            </w:r>
            <w:r w:rsidRPr="125D52E7">
              <w:rPr>
                <w:rFonts w:asciiTheme="majorHAnsi" w:hAnsiTheme="majorHAnsi" w:cstheme="majorBidi"/>
                <w:b/>
                <w:bCs/>
              </w:rPr>
              <w:t xml:space="preserve"> Summer 2022</w:t>
            </w:r>
          </w:p>
        </w:tc>
        <w:tc>
          <w:tcPr>
            <w:tcW w:w="2078" w:type="dxa"/>
            <w:tcBorders>
              <w:top w:val="nil"/>
              <w:left w:val="single" w:sz="8" w:space="0" w:color="000000" w:themeColor="text1"/>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08B8582B" w14:textId="70007B31" w:rsidR="007C6C68" w:rsidRPr="00835994" w:rsidRDefault="0C46233C" w:rsidP="125D52E7">
            <w:pPr>
              <w:spacing w:before="240" w:after="240"/>
              <w:ind w:left="-100"/>
              <w:jc w:val="center"/>
              <w:rPr>
                <w:rFonts w:asciiTheme="majorHAnsi" w:hAnsiTheme="majorHAnsi" w:cstheme="majorBidi"/>
                <w:b/>
                <w:bCs/>
              </w:rPr>
            </w:pPr>
            <w:r w:rsidRPr="125D52E7">
              <w:rPr>
                <w:rFonts w:asciiTheme="majorHAnsi" w:hAnsiTheme="majorHAnsi" w:cstheme="majorBidi"/>
                <w:b/>
                <w:bCs/>
              </w:rPr>
              <w:t>Operational Early Fall 2022</w:t>
            </w:r>
          </w:p>
        </w:tc>
        <w:tc>
          <w:tcPr>
            <w:tcW w:w="2079" w:type="dxa"/>
            <w:tcBorders>
              <w:top w:val="nil"/>
              <w:left w:val="nil"/>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6517F8A5" w14:textId="6DB05A03" w:rsidR="007C6C68" w:rsidRPr="00835994" w:rsidRDefault="005A7643" w:rsidP="007C6C68">
            <w:pPr>
              <w:spacing w:before="240" w:after="240"/>
              <w:ind w:left="-100"/>
              <w:jc w:val="center"/>
              <w:rPr>
                <w:rFonts w:asciiTheme="majorHAnsi" w:hAnsiTheme="majorHAnsi" w:cstheme="majorHAnsi"/>
                <w:b/>
              </w:rPr>
            </w:pPr>
            <w:r>
              <w:rPr>
                <w:rFonts w:asciiTheme="majorHAnsi" w:hAnsiTheme="majorHAnsi" w:cstheme="majorHAnsi"/>
                <w:b/>
              </w:rPr>
              <w:t>Operational Fall 2022</w:t>
            </w:r>
          </w:p>
        </w:tc>
        <w:tc>
          <w:tcPr>
            <w:tcW w:w="2079" w:type="dxa"/>
            <w:tcBorders>
              <w:top w:val="nil"/>
              <w:left w:val="nil"/>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63AABE83" w14:textId="52870566" w:rsidR="007C6C68" w:rsidRPr="00835994" w:rsidRDefault="0C46233C" w:rsidP="125D52E7">
            <w:pPr>
              <w:spacing w:before="240" w:after="240"/>
              <w:ind w:left="-100"/>
              <w:jc w:val="center"/>
              <w:rPr>
                <w:rFonts w:asciiTheme="majorHAnsi" w:hAnsiTheme="majorHAnsi" w:cstheme="majorBidi"/>
                <w:b/>
                <w:bCs/>
              </w:rPr>
            </w:pPr>
            <w:r w:rsidRPr="125D52E7">
              <w:rPr>
                <w:rFonts w:asciiTheme="majorHAnsi" w:hAnsiTheme="majorHAnsi" w:cstheme="majorBidi"/>
                <w:b/>
                <w:bCs/>
              </w:rPr>
              <w:t>Operational Late</w:t>
            </w:r>
            <w:r w:rsidR="300CFDCF" w:rsidRPr="125D52E7">
              <w:rPr>
                <w:rFonts w:asciiTheme="majorHAnsi" w:hAnsiTheme="majorHAnsi" w:cstheme="majorBidi"/>
                <w:b/>
                <w:bCs/>
              </w:rPr>
              <w:t xml:space="preserve"> Fall</w:t>
            </w:r>
            <w:r w:rsidRPr="125D52E7">
              <w:rPr>
                <w:rFonts w:asciiTheme="majorHAnsi" w:hAnsiTheme="majorHAnsi" w:cstheme="majorBidi"/>
                <w:b/>
                <w:bCs/>
              </w:rPr>
              <w:t xml:space="preserve"> </w:t>
            </w:r>
            <w:r w:rsidR="40120A57" w:rsidRPr="125D52E7">
              <w:rPr>
                <w:rFonts w:asciiTheme="majorHAnsi" w:hAnsiTheme="majorHAnsi" w:cstheme="majorBidi"/>
                <w:b/>
                <w:bCs/>
              </w:rPr>
              <w:t>2022</w:t>
            </w:r>
          </w:p>
        </w:tc>
        <w:tc>
          <w:tcPr>
            <w:tcW w:w="2079" w:type="dxa"/>
            <w:tcBorders>
              <w:top w:val="nil"/>
              <w:left w:val="nil"/>
              <w:bottom w:val="single" w:sz="8" w:space="0" w:color="000000" w:themeColor="text1"/>
              <w:right w:val="single" w:sz="8" w:space="0" w:color="000000" w:themeColor="text1"/>
            </w:tcBorders>
            <w:shd w:val="clear" w:color="auto" w:fill="DEEAF6"/>
            <w:tcMar>
              <w:top w:w="100" w:type="dxa"/>
              <w:left w:w="100" w:type="dxa"/>
              <w:bottom w:w="100" w:type="dxa"/>
              <w:right w:w="100" w:type="dxa"/>
            </w:tcMar>
          </w:tcPr>
          <w:p w14:paraId="285B8900" w14:textId="7073BC0E" w:rsidR="007C6C68" w:rsidRPr="00835994" w:rsidRDefault="0C46233C" w:rsidP="125D52E7">
            <w:pPr>
              <w:spacing w:before="240" w:after="240"/>
              <w:ind w:left="-100"/>
              <w:jc w:val="center"/>
              <w:rPr>
                <w:rFonts w:asciiTheme="majorHAnsi" w:hAnsiTheme="majorHAnsi" w:cstheme="majorBidi"/>
                <w:b/>
                <w:bCs/>
              </w:rPr>
            </w:pPr>
            <w:r w:rsidRPr="125D52E7">
              <w:rPr>
                <w:rFonts w:asciiTheme="majorHAnsi" w:hAnsiTheme="majorHAnsi" w:cstheme="majorBidi"/>
                <w:b/>
                <w:bCs/>
              </w:rPr>
              <w:t>Operational Early</w:t>
            </w:r>
            <w:r w:rsidR="40120A57" w:rsidRPr="125D52E7">
              <w:rPr>
                <w:rFonts w:asciiTheme="majorHAnsi" w:hAnsiTheme="majorHAnsi" w:cstheme="majorBidi"/>
                <w:b/>
                <w:bCs/>
              </w:rPr>
              <w:t xml:space="preserve"> 2023</w:t>
            </w:r>
          </w:p>
        </w:tc>
      </w:tr>
      <w:tr w:rsidR="007C6C68" w:rsidRPr="00835994" w14:paraId="58FC1256" w14:textId="77777777" w:rsidTr="00CD4B49">
        <w:trPr>
          <w:trHeight w:val="3440"/>
          <w:jc w:val="center"/>
        </w:trPr>
        <w:tc>
          <w:tcPr>
            <w:tcW w:w="20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7245F2" w14:textId="57430C16" w:rsidR="007C6C68"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Digital Literacy/Computer Science, 5-12</w:t>
            </w:r>
          </w:p>
          <w:p w14:paraId="42337A43" w14:textId="4BE6471D" w:rsidR="007C6C68"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English Language Arts, 5-12</w:t>
            </w:r>
          </w:p>
          <w:p w14:paraId="425574E2" w14:textId="65EF4D38" w:rsidR="007C6C68"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Foundations of Reading</w:t>
            </w:r>
          </w:p>
          <w:p w14:paraId="6371D93E"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Mathematics, 5-8</w:t>
            </w:r>
          </w:p>
          <w:p w14:paraId="4D152933" w14:textId="65490852"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Mathematics, 8-12</w:t>
            </w:r>
          </w:p>
        </w:tc>
        <w:tc>
          <w:tcPr>
            <w:tcW w:w="2078"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7426C6"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General Science, 5-8</w:t>
            </w:r>
          </w:p>
          <w:p w14:paraId="050078DD"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Physics, 8-12</w:t>
            </w:r>
          </w:p>
          <w:p w14:paraId="7E295E38"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Technology/</w:t>
            </w:r>
            <w:r>
              <w:rPr>
                <w:rFonts w:asciiTheme="majorHAnsi" w:hAnsiTheme="majorHAnsi" w:cstheme="majorHAnsi"/>
              </w:rPr>
              <w:br/>
            </w:r>
            <w:r w:rsidRPr="00835994">
              <w:rPr>
                <w:rFonts w:asciiTheme="majorHAnsi" w:hAnsiTheme="majorHAnsi" w:cstheme="majorHAnsi"/>
              </w:rPr>
              <w:t>Engineering, 5-12</w:t>
            </w:r>
          </w:p>
          <w:p w14:paraId="643BF564" w14:textId="7AE6B571" w:rsidR="007C6C68" w:rsidRPr="00835994" w:rsidRDefault="007C6C68" w:rsidP="007C6C68">
            <w:pPr>
              <w:spacing w:before="240" w:after="240"/>
              <w:ind w:left="-100"/>
              <w:jc w:val="center"/>
              <w:rPr>
                <w:rFonts w:asciiTheme="majorHAnsi" w:hAnsiTheme="majorHAnsi" w:cstheme="majorHAnsi"/>
              </w:rPr>
            </w:pPr>
          </w:p>
        </w:tc>
        <w:tc>
          <w:tcPr>
            <w:tcW w:w="2078"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35B282" w14:textId="77777777" w:rsidR="007C6C68" w:rsidRPr="00835994" w:rsidRDefault="0C46233C" w:rsidP="125D52E7">
            <w:pPr>
              <w:spacing w:before="240" w:after="240"/>
              <w:ind w:left="-100"/>
              <w:jc w:val="center"/>
              <w:rPr>
                <w:rFonts w:asciiTheme="majorHAnsi" w:hAnsiTheme="majorHAnsi" w:cstheme="majorBidi"/>
              </w:rPr>
            </w:pPr>
            <w:r w:rsidRPr="125D52E7">
              <w:rPr>
                <w:rFonts w:asciiTheme="majorHAnsi" w:hAnsiTheme="majorHAnsi" w:cstheme="majorBidi"/>
              </w:rPr>
              <w:t>Mathematics, 1-6</w:t>
            </w:r>
          </w:p>
          <w:p w14:paraId="1633BAF3" w14:textId="6067A010" w:rsidR="1F4098C6" w:rsidRDefault="1F4098C6" w:rsidP="125D52E7">
            <w:pPr>
              <w:spacing w:before="240" w:after="240"/>
              <w:ind w:left="-100"/>
              <w:jc w:val="center"/>
              <w:rPr>
                <w:rFonts w:asciiTheme="majorHAnsi" w:hAnsiTheme="majorHAnsi" w:cstheme="majorBidi"/>
              </w:rPr>
            </w:pPr>
            <w:r w:rsidRPr="125D52E7">
              <w:rPr>
                <w:rFonts w:asciiTheme="majorHAnsi" w:hAnsiTheme="majorHAnsi" w:cstheme="majorBidi"/>
              </w:rPr>
              <w:t>Reading Specialist, All Levels</w:t>
            </w:r>
          </w:p>
          <w:p w14:paraId="3F8B3C0D" w14:textId="799A1EA9" w:rsidR="125D52E7" w:rsidRDefault="125D52E7" w:rsidP="125D52E7">
            <w:pPr>
              <w:spacing w:before="240" w:after="240"/>
              <w:ind w:left="-100"/>
              <w:jc w:val="center"/>
              <w:rPr>
                <w:rFonts w:asciiTheme="majorHAnsi" w:hAnsiTheme="majorHAnsi" w:cstheme="majorBidi"/>
              </w:rPr>
            </w:pPr>
          </w:p>
          <w:p w14:paraId="6B41DB96" w14:textId="10F68955" w:rsidR="007C6C68" w:rsidRPr="00835994" w:rsidRDefault="007C6C68" w:rsidP="007C6C68">
            <w:pPr>
              <w:spacing w:before="240" w:after="240"/>
              <w:ind w:left="-100"/>
              <w:rPr>
                <w:rFonts w:asciiTheme="majorHAnsi" w:hAnsiTheme="majorHAnsi" w:cstheme="majorHAnsi"/>
              </w:rPr>
            </w:pPr>
          </w:p>
        </w:tc>
        <w:tc>
          <w:tcPr>
            <w:tcW w:w="2079"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447328" w14:textId="77777777" w:rsidR="005A7643" w:rsidRPr="00835994" w:rsidRDefault="005A7643" w:rsidP="005A7643">
            <w:pPr>
              <w:spacing w:before="240" w:after="240"/>
              <w:ind w:left="-100"/>
              <w:jc w:val="center"/>
              <w:rPr>
                <w:rFonts w:asciiTheme="majorHAnsi" w:hAnsiTheme="majorHAnsi" w:cstheme="majorHAnsi"/>
              </w:rPr>
            </w:pPr>
            <w:r w:rsidRPr="00835994">
              <w:rPr>
                <w:rFonts w:asciiTheme="majorHAnsi" w:hAnsiTheme="majorHAnsi" w:cstheme="majorHAnsi"/>
              </w:rPr>
              <w:t>Biology, 8-12</w:t>
            </w:r>
          </w:p>
          <w:p w14:paraId="6A02C2E2" w14:textId="77777777" w:rsidR="005A7643" w:rsidRPr="00835994" w:rsidRDefault="005A7643" w:rsidP="005A7643">
            <w:pPr>
              <w:spacing w:before="240" w:after="240"/>
              <w:ind w:left="-100"/>
              <w:jc w:val="center"/>
              <w:rPr>
                <w:rFonts w:asciiTheme="majorHAnsi" w:hAnsiTheme="majorHAnsi" w:cstheme="majorHAnsi"/>
              </w:rPr>
            </w:pPr>
            <w:r w:rsidRPr="00835994">
              <w:rPr>
                <w:rFonts w:asciiTheme="majorHAnsi" w:hAnsiTheme="majorHAnsi" w:cstheme="majorHAnsi"/>
              </w:rPr>
              <w:t>Chemistry, 8-12</w:t>
            </w:r>
          </w:p>
          <w:p w14:paraId="06FB53F6" w14:textId="77777777" w:rsidR="005A7643" w:rsidRPr="00835994" w:rsidRDefault="005A7643" w:rsidP="005A7643">
            <w:pPr>
              <w:spacing w:before="240" w:after="240"/>
              <w:ind w:left="-100"/>
              <w:jc w:val="center"/>
              <w:rPr>
                <w:rFonts w:asciiTheme="majorHAnsi" w:hAnsiTheme="majorHAnsi" w:cstheme="majorHAnsi"/>
              </w:rPr>
            </w:pPr>
            <w:r w:rsidRPr="00835994">
              <w:rPr>
                <w:rFonts w:asciiTheme="majorHAnsi" w:hAnsiTheme="majorHAnsi" w:cstheme="majorHAnsi"/>
              </w:rPr>
              <w:t>Earth &amp; Space Science, 8-12</w:t>
            </w:r>
          </w:p>
          <w:p w14:paraId="72D0C182" w14:textId="77777777" w:rsidR="005A7643" w:rsidRPr="00835994" w:rsidRDefault="005A7643" w:rsidP="005A7643">
            <w:pPr>
              <w:spacing w:before="240" w:after="240"/>
              <w:ind w:left="-100"/>
              <w:jc w:val="center"/>
              <w:rPr>
                <w:rFonts w:asciiTheme="majorHAnsi" w:hAnsiTheme="majorHAnsi" w:cstheme="majorHAnsi"/>
              </w:rPr>
            </w:pPr>
            <w:r w:rsidRPr="00835994">
              <w:rPr>
                <w:rFonts w:asciiTheme="majorHAnsi" w:hAnsiTheme="majorHAnsi" w:cstheme="majorHAnsi"/>
              </w:rPr>
              <w:t>Middle School Math/Science, 5-8</w:t>
            </w:r>
          </w:p>
          <w:p w14:paraId="7386A031" w14:textId="77777777" w:rsidR="007C6C68" w:rsidRPr="00835994" w:rsidRDefault="007C6C68" w:rsidP="007C6C68">
            <w:pPr>
              <w:spacing w:before="240" w:after="240"/>
              <w:ind w:left="-100"/>
              <w:jc w:val="center"/>
              <w:rPr>
                <w:rFonts w:asciiTheme="majorHAnsi" w:hAnsiTheme="majorHAnsi" w:cstheme="majorHAnsi"/>
              </w:rPr>
            </w:pPr>
          </w:p>
        </w:tc>
        <w:tc>
          <w:tcPr>
            <w:tcW w:w="2079"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000F1B" w14:textId="3EBDEF7C" w:rsidR="005A7643" w:rsidRDefault="005A7643" w:rsidP="005A7643">
            <w:pPr>
              <w:spacing w:before="240" w:after="240"/>
              <w:ind w:left="-100"/>
              <w:jc w:val="center"/>
              <w:rPr>
                <w:rFonts w:asciiTheme="majorHAnsi" w:hAnsiTheme="majorHAnsi" w:cstheme="majorHAnsi"/>
              </w:rPr>
            </w:pPr>
            <w:r w:rsidRPr="00835994">
              <w:rPr>
                <w:rFonts w:asciiTheme="majorHAnsi" w:hAnsiTheme="majorHAnsi" w:cstheme="majorHAnsi"/>
              </w:rPr>
              <w:t>Early Childhood, PK-2</w:t>
            </w:r>
          </w:p>
          <w:p w14:paraId="17992DCF" w14:textId="0F45DEDC" w:rsidR="005A7643" w:rsidRPr="00835994" w:rsidRDefault="005A7643" w:rsidP="005A7643">
            <w:pPr>
              <w:spacing w:before="240" w:after="240"/>
              <w:ind w:left="-100"/>
              <w:jc w:val="center"/>
              <w:rPr>
                <w:rFonts w:asciiTheme="majorHAnsi" w:hAnsiTheme="majorHAnsi" w:cstheme="majorHAnsi"/>
              </w:rPr>
            </w:pPr>
            <w:r w:rsidRPr="00835994">
              <w:rPr>
                <w:rFonts w:asciiTheme="majorHAnsi" w:hAnsiTheme="majorHAnsi" w:cstheme="majorHAnsi"/>
              </w:rPr>
              <w:t xml:space="preserve">Middle School </w:t>
            </w:r>
            <w:r w:rsidR="00CD4B49">
              <w:rPr>
                <w:rFonts w:asciiTheme="majorHAnsi" w:hAnsiTheme="majorHAnsi" w:cstheme="majorHAnsi"/>
              </w:rPr>
              <w:t>Humanities (</w:t>
            </w:r>
            <w:r w:rsidRPr="00835994">
              <w:rPr>
                <w:rFonts w:asciiTheme="majorHAnsi" w:hAnsiTheme="majorHAnsi" w:cstheme="majorHAnsi"/>
              </w:rPr>
              <w:t>English/History</w:t>
            </w:r>
            <w:r w:rsidR="00CD4B49">
              <w:rPr>
                <w:rFonts w:asciiTheme="majorHAnsi" w:hAnsiTheme="majorHAnsi" w:cstheme="majorHAnsi"/>
              </w:rPr>
              <w:t>)</w:t>
            </w:r>
            <w:r w:rsidRPr="00835994">
              <w:rPr>
                <w:rFonts w:asciiTheme="majorHAnsi" w:hAnsiTheme="majorHAnsi" w:cstheme="majorHAnsi"/>
              </w:rPr>
              <w:t>, 5-8</w:t>
            </w:r>
          </w:p>
          <w:p w14:paraId="7AE9E729" w14:textId="77777777" w:rsidR="007C6C68" w:rsidRPr="00835994" w:rsidRDefault="007C6C68" w:rsidP="007C6C68">
            <w:pPr>
              <w:spacing w:before="240" w:after="240"/>
              <w:ind w:left="-100"/>
              <w:jc w:val="center"/>
              <w:rPr>
                <w:rFonts w:asciiTheme="majorHAnsi" w:hAnsiTheme="majorHAnsi" w:cstheme="majorHAnsi"/>
              </w:rPr>
            </w:pPr>
          </w:p>
        </w:tc>
        <w:tc>
          <w:tcPr>
            <w:tcW w:w="2079"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2DC970" w14:textId="77777777" w:rsidR="007C6C68" w:rsidRPr="00835994" w:rsidRDefault="007C6C68" w:rsidP="005A7643">
            <w:pPr>
              <w:spacing w:before="240" w:after="240"/>
              <w:jc w:val="center"/>
              <w:rPr>
                <w:rFonts w:asciiTheme="majorHAnsi" w:hAnsiTheme="majorHAnsi" w:cstheme="majorHAnsi"/>
              </w:rPr>
            </w:pPr>
            <w:r w:rsidRPr="00835994">
              <w:rPr>
                <w:rFonts w:asciiTheme="majorHAnsi" w:hAnsiTheme="majorHAnsi" w:cstheme="majorHAnsi"/>
              </w:rPr>
              <w:t>General Curriculum, 1-6</w:t>
            </w:r>
          </w:p>
          <w:p w14:paraId="2A95A3C8" w14:textId="77777777" w:rsidR="007C6C68" w:rsidRPr="00835994" w:rsidRDefault="007C6C68" w:rsidP="007C6C68">
            <w:pPr>
              <w:spacing w:before="240" w:after="240"/>
              <w:ind w:left="-100"/>
              <w:jc w:val="center"/>
              <w:rPr>
                <w:rFonts w:asciiTheme="majorHAnsi" w:hAnsiTheme="majorHAnsi" w:cstheme="majorHAnsi"/>
              </w:rPr>
            </w:pPr>
            <w:r w:rsidRPr="00835994">
              <w:rPr>
                <w:rFonts w:asciiTheme="majorHAnsi" w:hAnsiTheme="majorHAnsi" w:cstheme="majorHAnsi"/>
              </w:rPr>
              <w:t>History/Social Science, 5-12</w:t>
            </w:r>
          </w:p>
          <w:p w14:paraId="49B8FE2E" w14:textId="3621837C" w:rsidR="007C6C68" w:rsidRPr="00835994" w:rsidRDefault="007C6C68" w:rsidP="007C6C68">
            <w:pPr>
              <w:spacing w:before="240" w:after="240"/>
              <w:ind w:left="-100"/>
              <w:jc w:val="center"/>
              <w:rPr>
                <w:rFonts w:asciiTheme="majorHAnsi" w:hAnsiTheme="majorHAnsi" w:cstheme="majorHAnsi"/>
              </w:rPr>
            </w:pPr>
          </w:p>
        </w:tc>
      </w:tr>
    </w:tbl>
    <w:p w14:paraId="59584F19" w14:textId="77777777" w:rsidR="0028003E" w:rsidRDefault="0028003E">
      <w:pPr>
        <w:spacing w:before="240" w:after="240"/>
        <w:sectPr w:rsidR="0028003E" w:rsidSect="00266BED">
          <w:headerReference w:type="default" r:id="rId16"/>
          <w:pgSz w:w="15840" w:h="12240" w:orient="landscape"/>
          <w:pgMar w:top="720" w:right="720" w:bottom="720" w:left="720" w:header="360" w:footer="360" w:gutter="0"/>
          <w:cols w:space="720"/>
          <w:docGrid w:linePitch="299"/>
        </w:sectPr>
      </w:pPr>
    </w:p>
    <w:tbl>
      <w:tblPr>
        <w:tblStyle w:val="TableGrid"/>
        <w:tblW w:w="10368"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7020"/>
        <w:gridCol w:w="3348"/>
      </w:tblGrid>
      <w:tr w:rsidR="00D00E34" w14:paraId="17478C57" w14:textId="77777777" w:rsidTr="00536FA0">
        <w:trPr>
          <w:trHeight w:val="1080"/>
        </w:trPr>
        <w:tc>
          <w:tcPr>
            <w:tcW w:w="7020" w:type="dxa"/>
            <w:tcBorders>
              <w:bottom w:val="single" w:sz="12" w:space="0" w:color="1F497D" w:themeColor="text2"/>
            </w:tcBorders>
            <w:shd w:val="clear" w:color="auto" w:fill="FFFFFF" w:themeFill="background1"/>
            <w:vAlign w:val="center"/>
          </w:tcPr>
          <w:p w14:paraId="1399A701" w14:textId="2F1820D0" w:rsidR="002F3828" w:rsidRPr="002F3828" w:rsidRDefault="002F3828" w:rsidP="002F3828">
            <w:pPr>
              <w:pStyle w:val="Header"/>
              <w:rPr>
                <w:rFonts w:asciiTheme="majorHAnsi" w:hAnsiTheme="majorHAnsi" w:cstheme="majorHAnsi"/>
                <w:b/>
                <w:color w:val="1F497D" w:themeColor="text2"/>
                <w:sz w:val="40"/>
                <w:szCs w:val="40"/>
              </w:rPr>
            </w:pPr>
            <w:bookmarkStart w:id="0" w:name="_Hlk66267950"/>
            <w:r w:rsidRPr="002F3828">
              <w:rPr>
                <w:rFonts w:asciiTheme="majorHAnsi" w:hAnsiTheme="majorHAnsi" w:cstheme="majorHAnsi"/>
                <w:b/>
                <w:color w:val="1F497D" w:themeColor="text2"/>
                <w:sz w:val="40"/>
                <w:szCs w:val="40"/>
              </w:rPr>
              <w:lastRenderedPageBreak/>
              <w:t xml:space="preserve">Ed Prep Policy Advisory </w:t>
            </w:r>
            <w:r w:rsidR="00F00545">
              <w:rPr>
                <w:rFonts w:asciiTheme="majorHAnsi" w:hAnsiTheme="majorHAnsi" w:cstheme="majorHAnsi"/>
                <w:b/>
                <w:color w:val="1F497D" w:themeColor="text2"/>
                <w:sz w:val="40"/>
                <w:szCs w:val="40"/>
              </w:rPr>
              <w:t>January 2022</w:t>
            </w:r>
          </w:p>
          <w:p w14:paraId="33017D3C" w14:textId="77777777" w:rsidR="00D00E34" w:rsidRPr="00D00E34" w:rsidRDefault="00D00E34" w:rsidP="00536FA0">
            <w:pPr>
              <w:pStyle w:val="Header"/>
              <w:rPr>
                <w:bCs/>
                <w:color w:val="FFFFFF" w:themeColor="background1"/>
                <w:sz w:val="36"/>
                <w:szCs w:val="36"/>
              </w:rPr>
            </w:pPr>
            <w:r w:rsidRPr="00D00E34">
              <w:rPr>
                <w:rFonts w:ascii="Arial" w:eastAsia="Arial" w:hAnsi="Arial" w:cs="Arial"/>
                <w:bCs/>
                <w:color w:val="E28325"/>
                <w:sz w:val="36"/>
                <w:szCs w:val="36"/>
                <w:lang w:val="en"/>
              </w:rPr>
              <w:t>MTEL Updates and Timeline</w:t>
            </w:r>
          </w:p>
        </w:tc>
        <w:tc>
          <w:tcPr>
            <w:tcW w:w="3348" w:type="dxa"/>
            <w:tcBorders>
              <w:bottom w:val="single" w:sz="12" w:space="0" w:color="1F497D" w:themeColor="text2"/>
            </w:tcBorders>
          </w:tcPr>
          <w:p w14:paraId="5B2E38D8" w14:textId="6A1AE3BC" w:rsidR="00D00E34" w:rsidRDefault="008518F0" w:rsidP="00536FA0">
            <w:pPr>
              <w:pStyle w:val="Header"/>
              <w:jc w:val="right"/>
              <w:rPr>
                <w:sz w:val="16"/>
                <w:szCs w:val="16"/>
              </w:rPr>
            </w:pPr>
            <w:r>
              <w:rPr>
                <w:noProof/>
                <w:sz w:val="16"/>
                <w:szCs w:val="16"/>
                <w:lang w:eastAsia="zh-CN" w:bidi="km-KH"/>
              </w:rPr>
              <w:fldChar w:fldCharType="begin"/>
            </w:r>
            <w:r>
              <w:rPr>
                <w:rFonts w:cs="Arial Unicode MS"/>
                <w:noProof/>
                <w:sz w:val="16"/>
                <w:szCs w:val="16"/>
                <w:lang w:eastAsia="zh-CN" w:bidi="km-KH"/>
              </w:rPr>
              <w:instrText xml:space="preserve"> FILENAME \* MERGEFORMAT </w:instrText>
            </w:r>
            <w:r>
              <w:rPr>
                <w:noProof/>
                <w:sz w:val="16"/>
                <w:szCs w:val="16"/>
                <w:lang w:eastAsia="zh-CN" w:bidi="km-KH"/>
              </w:rPr>
              <w:fldChar w:fldCharType="separate"/>
            </w:r>
            <w:r>
              <w:rPr>
                <w:rFonts w:cs="Arial Unicode MS"/>
                <w:noProof/>
                <w:sz w:val="16"/>
                <w:szCs w:val="16"/>
                <w:lang w:eastAsia="zh-CN" w:bidi="km-KH"/>
              </w:rPr>
              <w:t>Web Posting Requests - Using and Submitting the Form.docx</w:t>
            </w:r>
            <w:r>
              <w:rPr>
                <w:noProof/>
                <w:sz w:val="16"/>
                <w:szCs w:val="16"/>
                <w:lang w:eastAsia="zh-CN" w:bidi="km-KH"/>
              </w:rPr>
              <w:fldChar w:fldCharType="end"/>
            </w:r>
            <w:r w:rsidR="00D00E34" w:rsidRPr="00DD62D0">
              <w:rPr>
                <w:noProof/>
                <w:sz w:val="16"/>
                <w:szCs w:val="16"/>
                <w:lang w:eastAsia="zh-CN" w:bidi="km-KH"/>
              </w:rPr>
              <w:drawing>
                <wp:inline distT="0" distB="0" distL="0" distR="0" wp14:anchorId="2EDF9F3A" wp14:editId="53EC41B2">
                  <wp:extent cx="1704975" cy="685800"/>
                  <wp:effectExtent l="0" t="0" r="0" b="0"/>
                  <wp:docPr id="2" name="Picture 14"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cess After High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85800"/>
                          </a:xfrm>
                          <a:prstGeom prst="rect">
                            <a:avLst/>
                          </a:prstGeom>
                          <a:noFill/>
                          <a:ln>
                            <a:noFill/>
                          </a:ln>
                        </pic:spPr>
                      </pic:pic>
                    </a:graphicData>
                  </a:graphic>
                </wp:inline>
              </w:drawing>
            </w:r>
          </w:p>
        </w:tc>
      </w:tr>
    </w:tbl>
    <w:bookmarkEnd w:id="0"/>
    <w:p w14:paraId="2BDF5477" w14:textId="77777777" w:rsidR="0028003E" w:rsidRPr="00835994" w:rsidRDefault="001D145C">
      <w:pPr>
        <w:spacing w:before="240" w:after="240"/>
        <w:rPr>
          <w:rFonts w:asciiTheme="majorHAnsi" w:hAnsiTheme="majorHAnsi" w:cstheme="majorHAnsi"/>
          <w:b/>
          <w:color w:val="5B9BD5"/>
          <w:sz w:val="24"/>
          <w:szCs w:val="24"/>
        </w:rPr>
      </w:pPr>
      <w:r w:rsidRPr="00835994">
        <w:rPr>
          <w:rFonts w:asciiTheme="majorHAnsi" w:hAnsiTheme="majorHAnsi" w:cstheme="majorHAnsi"/>
          <w:b/>
          <w:color w:val="5B9BD5"/>
          <w:sz w:val="24"/>
          <w:szCs w:val="24"/>
        </w:rPr>
        <w:t>Score Reporting Information:</w:t>
      </w:r>
    </w:p>
    <w:p w14:paraId="31B81FAA" w14:textId="5B48B89C" w:rsidR="0028003E" w:rsidRPr="00835994" w:rsidRDefault="001D145C">
      <w:pPr>
        <w:spacing w:before="240" w:after="240"/>
        <w:rPr>
          <w:rFonts w:asciiTheme="majorHAnsi" w:hAnsiTheme="majorHAnsi" w:cstheme="majorHAnsi"/>
          <w:color w:val="5B9BD5"/>
          <w:sz w:val="24"/>
          <w:szCs w:val="24"/>
        </w:rPr>
      </w:pPr>
      <w:r w:rsidRPr="00835994">
        <w:rPr>
          <w:rFonts w:asciiTheme="majorHAnsi" w:hAnsiTheme="majorHAnsi" w:cstheme="majorHAnsi"/>
          <w:sz w:val="24"/>
          <w:szCs w:val="24"/>
        </w:rPr>
        <w:t>As noted on the MTEL website and as is standard with all newly revised MTELs, the first round of score reports for a revised test are delayed due to standard-setting activities and determination of qualifying scores by the Department of Elementary and Secondary Education</w:t>
      </w:r>
      <w:r w:rsidR="00835994" w:rsidRPr="00835994">
        <w:rPr>
          <w:rFonts w:asciiTheme="majorHAnsi" w:hAnsiTheme="majorHAnsi" w:cstheme="majorHAnsi"/>
          <w:sz w:val="24"/>
          <w:szCs w:val="24"/>
        </w:rPr>
        <w:t xml:space="preserve"> (DESE)</w:t>
      </w:r>
      <w:r w:rsidRPr="00835994">
        <w:rPr>
          <w:rFonts w:asciiTheme="majorHAnsi" w:hAnsiTheme="majorHAnsi" w:cstheme="majorHAnsi"/>
          <w:sz w:val="24"/>
          <w:szCs w:val="24"/>
        </w:rPr>
        <w:t xml:space="preserve">. Scores are released upon the completion of these activities. </w:t>
      </w:r>
    </w:p>
    <w:p w14:paraId="7FA38CB4" w14:textId="12A28CF1" w:rsidR="0028003E" w:rsidRPr="00835994" w:rsidRDefault="1F647CF0" w:rsidP="125D52E7">
      <w:pPr>
        <w:spacing w:before="240" w:after="240"/>
        <w:rPr>
          <w:rFonts w:asciiTheme="majorHAnsi" w:hAnsiTheme="majorHAnsi" w:cstheme="majorBidi"/>
          <w:color w:val="5B9BD5"/>
          <w:sz w:val="24"/>
          <w:szCs w:val="24"/>
        </w:rPr>
      </w:pPr>
      <w:r w:rsidRPr="125D52E7">
        <w:rPr>
          <w:rFonts w:asciiTheme="majorHAnsi" w:hAnsiTheme="majorHAnsi" w:cstheme="majorBidi"/>
          <w:sz w:val="24"/>
          <w:szCs w:val="24"/>
        </w:rPr>
        <w:t xml:space="preserve">We understand the impact that the delays can have on teacher candidates and so we </w:t>
      </w:r>
      <w:r w:rsidR="486184BC" w:rsidRPr="125D52E7">
        <w:rPr>
          <w:rFonts w:asciiTheme="majorHAnsi" w:hAnsiTheme="majorHAnsi" w:cstheme="majorBidi"/>
          <w:sz w:val="24"/>
          <w:szCs w:val="24"/>
        </w:rPr>
        <w:t>continue to</w:t>
      </w:r>
      <w:r w:rsidRPr="125D52E7">
        <w:rPr>
          <w:rFonts w:asciiTheme="majorHAnsi" w:hAnsiTheme="majorHAnsi" w:cstheme="majorBidi"/>
          <w:sz w:val="24"/>
          <w:szCs w:val="24"/>
        </w:rPr>
        <w:t xml:space="preserve"> share information about the test development activities to make the process clear and to share additional information behind the delayed release of the score reports.</w:t>
      </w:r>
      <w:r w:rsidR="486184BC" w:rsidRPr="125D52E7">
        <w:rPr>
          <w:rFonts w:asciiTheme="majorHAnsi" w:hAnsiTheme="majorHAnsi" w:cstheme="majorBidi"/>
          <w:sz w:val="24"/>
          <w:szCs w:val="24"/>
        </w:rPr>
        <w:t xml:space="preserve"> We recommend that you advise candidates to schedule their testing registration based on when they will need a score report for the purposes of employment</w:t>
      </w:r>
      <w:r w:rsidR="7B14045E" w:rsidRPr="125D52E7">
        <w:rPr>
          <w:rFonts w:asciiTheme="majorHAnsi" w:hAnsiTheme="majorHAnsi" w:cstheme="majorBidi"/>
          <w:sz w:val="24"/>
          <w:szCs w:val="24"/>
        </w:rPr>
        <w:t xml:space="preserve"> or other factors. </w:t>
      </w:r>
    </w:p>
    <w:p w14:paraId="4059CE53" w14:textId="77777777" w:rsidR="0028003E" w:rsidRPr="00835994" w:rsidRDefault="001D145C">
      <w:pPr>
        <w:spacing w:before="240" w:after="240"/>
        <w:rPr>
          <w:rFonts w:asciiTheme="majorHAnsi" w:hAnsiTheme="majorHAnsi" w:cstheme="majorHAnsi"/>
          <w:color w:val="5B9BD5"/>
          <w:sz w:val="24"/>
          <w:szCs w:val="24"/>
        </w:rPr>
      </w:pPr>
      <w:r w:rsidRPr="00835994">
        <w:rPr>
          <w:rFonts w:asciiTheme="majorHAnsi" w:hAnsiTheme="majorHAnsi" w:cstheme="majorHAnsi"/>
          <w:sz w:val="24"/>
          <w:szCs w:val="24"/>
        </w:rPr>
        <w:t>Once the test is operational, our partner, ES begins to collect data on candidate performance on the revised test. ES must collect enough test data to ensure that there is robust evidence for making a passing score recommendation. That collected data is then provided to a Qualifying Score Panel composed of up to 20 content experts, including currently practicing teachers, and educator preparation faculty.</w:t>
      </w:r>
    </w:p>
    <w:p w14:paraId="504D2696" w14:textId="77777777" w:rsidR="0028003E" w:rsidRPr="00835994" w:rsidRDefault="001D145C">
      <w:pPr>
        <w:spacing w:before="240" w:after="240"/>
        <w:rPr>
          <w:rFonts w:asciiTheme="majorHAnsi" w:hAnsiTheme="majorHAnsi" w:cstheme="majorHAnsi"/>
          <w:color w:val="5B9BD5"/>
          <w:sz w:val="24"/>
          <w:szCs w:val="24"/>
        </w:rPr>
      </w:pPr>
      <w:r w:rsidRPr="00835994">
        <w:rPr>
          <w:rFonts w:asciiTheme="majorHAnsi" w:hAnsiTheme="majorHAnsi" w:cstheme="majorHAnsi"/>
          <w:sz w:val="24"/>
          <w:szCs w:val="24"/>
        </w:rPr>
        <w:t>At the Qualifying Score Conference, Panel members review the candidate data and additionally undergo a simulated test-taking activity in order to inform the overall score recommendation. You can find additional detail about this process in the MTEL Technical Manual here:</w:t>
      </w:r>
      <w:hyperlink r:id="rId17">
        <w:r w:rsidRPr="00835994">
          <w:rPr>
            <w:rFonts w:asciiTheme="majorHAnsi" w:hAnsiTheme="majorHAnsi" w:cstheme="majorHAnsi"/>
            <w:color w:val="5B9BD5"/>
            <w:sz w:val="24"/>
            <w:szCs w:val="24"/>
          </w:rPr>
          <w:t xml:space="preserve"> </w:t>
        </w:r>
      </w:hyperlink>
      <w:hyperlink r:id="rId18">
        <w:r w:rsidRPr="00835994">
          <w:rPr>
            <w:rFonts w:asciiTheme="majorHAnsi" w:hAnsiTheme="majorHAnsi" w:cstheme="majorHAnsi"/>
            <w:color w:val="1155CC"/>
            <w:sz w:val="24"/>
            <w:szCs w:val="24"/>
            <w:u w:val="single"/>
          </w:rPr>
          <w:t>http://www.mtel.nesinc.com/PageView.aspx?f=GEN_TechnicalManual_Development.html</w:t>
        </w:r>
      </w:hyperlink>
      <w:r w:rsidRPr="00835994">
        <w:rPr>
          <w:rFonts w:asciiTheme="majorHAnsi" w:hAnsiTheme="majorHAnsi" w:cstheme="majorHAnsi"/>
          <w:color w:val="5B9BD5"/>
          <w:sz w:val="24"/>
          <w:szCs w:val="24"/>
        </w:rPr>
        <w:t xml:space="preserve">. </w:t>
      </w:r>
      <w:r w:rsidRPr="00835994">
        <w:rPr>
          <w:rFonts w:asciiTheme="majorHAnsi" w:hAnsiTheme="majorHAnsi" w:cstheme="majorHAnsi"/>
          <w:sz w:val="24"/>
          <w:szCs w:val="24"/>
        </w:rPr>
        <w:t>Specifically, the section “Determination of Qualifying Scores” provides information about the score-setting process. The Qualifying Score Conference date is set in order to ensure that ES is able to collect enough performance data from candidates to inform the recommendation.</w:t>
      </w:r>
    </w:p>
    <w:p w14:paraId="3ACE1991" w14:textId="77777777" w:rsidR="0028003E" w:rsidRPr="00835994" w:rsidRDefault="001D145C">
      <w:pPr>
        <w:spacing w:before="240" w:after="240"/>
        <w:rPr>
          <w:rFonts w:asciiTheme="majorHAnsi" w:hAnsiTheme="majorHAnsi" w:cstheme="majorHAnsi"/>
          <w:color w:val="5B9BD5"/>
          <w:sz w:val="24"/>
          <w:szCs w:val="24"/>
        </w:rPr>
      </w:pPr>
      <w:r w:rsidRPr="00835994">
        <w:rPr>
          <w:rFonts w:asciiTheme="majorHAnsi" w:hAnsiTheme="majorHAnsi" w:cstheme="majorHAnsi"/>
          <w:sz w:val="24"/>
          <w:szCs w:val="24"/>
        </w:rPr>
        <w:t>Following the Qualifying Score Conference, ES then calculates recommended performance levels for the multiple choice and open-response sections of each test based on the recommendations provided by the Qualifying Score Panel members which in turn informs the analysis and report for the Commissioner. This information is used by the Commissioner to determine the passing score for the test based upon the panel-based recommendations and other input.</w:t>
      </w:r>
    </w:p>
    <w:p w14:paraId="0FB797AF" w14:textId="77777777" w:rsidR="0028003E" w:rsidRPr="00835994" w:rsidRDefault="001D145C">
      <w:pPr>
        <w:spacing w:before="240" w:after="240"/>
        <w:rPr>
          <w:rFonts w:asciiTheme="majorHAnsi" w:hAnsiTheme="majorHAnsi" w:cstheme="majorHAnsi"/>
          <w:sz w:val="24"/>
          <w:szCs w:val="24"/>
        </w:rPr>
      </w:pPr>
      <w:r w:rsidRPr="00835994">
        <w:rPr>
          <w:rFonts w:asciiTheme="majorHAnsi" w:hAnsiTheme="majorHAnsi" w:cstheme="majorHAnsi"/>
          <w:sz w:val="24"/>
          <w:szCs w:val="24"/>
        </w:rPr>
        <w:t xml:space="preserve">This process can take several weeks following the Qualifying Score conference. Score reports are released in the next score report date after the passing score is determined by the Commissioner.  </w:t>
      </w:r>
    </w:p>
    <w:p w14:paraId="1142DD68" w14:textId="77777777" w:rsidR="0028003E" w:rsidRDefault="0028003E">
      <w:pPr>
        <w:spacing w:before="240" w:after="240"/>
        <w:rPr>
          <w:b/>
          <w:color w:val="5B9BD5"/>
        </w:rPr>
        <w:sectPr w:rsidR="0028003E" w:rsidSect="00266BED">
          <w:headerReference w:type="default" r:id="rId19"/>
          <w:pgSz w:w="12240" w:h="15840"/>
          <w:pgMar w:top="907" w:right="720" w:bottom="720" w:left="1080" w:header="720" w:footer="720" w:gutter="0"/>
          <w:cols w:space="720"/>
        </w:sectPr>
      </w:pPr>
    </w:p>
    <w:tbl>
      <w:tblPr>
        <w:tblStyle w:val="TableGrid"/>
        <w:tblW w:w="10368"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7020"/>
        <w:gridCol w:w="3348"/>
      </w:tblGrid>
      <w:tr w:rsidR="00D00E34" w14:paraId="48234791" w14:textId="77777777" w:rsidTr="00536FA0">
        <w:trPr>
          <w:trHeight w:val="1080"/>
        </w:trPr>
        <w:tc>
          <w:tcPr>
            <w:tcW w:w="7020" w:type="dxa"/>
            <w:tcBorders>
              <w:bottom w:val="single" w:sz="12" w:space="0" w:color="1F497D" w:themeColor="text2"/>
            </w:tcBorders>
            <w:shd w:val="clear" w:color="auto" w:fill="FFFFFF" w:themeFill="background1"/>
            <w:vAlign w:val="center"/>
          </w:tcPr>
          <w:p w14:paraId="08A87EB3" w14:textId="1663097B" w:rsidR="002F3828" w:rsidRPr="002F3828" w:rsidRDefault="002F3828" w:rsidP="002F3828">
            <w:pPr>
              <w:pStyle w:val="Header"/>
              <w:rPr>
                <w:rFonts w:asciiTheme="majorHAnsi" w:hAnsiTheme="majorHAnsi" w:cstheme="majorHAnsi"/>
                <w:b/>
                <w:color w:val="1F497D" w:themeColor="text2"/>
                <w:sz w:val="40"/>
                <w:szCs w:val="40"/>
              </w:rPr>
            </w:pPr>
            <w:r w:rsidRPr="002F3828">
              <w:rPr>
                <w:rFonts w:asciiTheme="majorHAnsi" w:hAnsiTheme="majorHAnsi" w:cstheme="majorHAnsi"/>
                <w:b/>
                <w:color w:val="1F497D" w:themeColor="text2"/>
                <w:sz w:val="40"/>
                <w:szCs w:val="40"/>
              </w:rPr>
              <w:lastRenderedPageBreak/>
              <w:t xml:space="preserve">Ed Prep Policy Advisory </w:t>
            </w:r>
            <w:r w:rsidR="00F00545">
              <w:rPr>
                <w:rFonts w:asciiTheme="majorHAnsi" w:hAnsiTheme="majorHAnsi" w:cstheme="majorHAnsi"/>
                <w:b/>
                <w:color w:val="1F497D" w:themeColor="text2"/>
                <w:sz w:val="40"/>
                <w:szCs w:val="40"/>
              </w:rPr>
              <w:t>January 2022</w:t>
            </w:r>
          </w:p>
          <w:p w14:paraId="290D2EE6" w14:textId="77777777" w:rsidR="00D00E34" w:rsidRPr="00D00E34" w:rsidRDefault="00D00E34" w:rsidP="00536FA0">
            <w:pPr>
              <w:pStyle w:val="Header"/>
              <w:rPr>
                <w:bCs/>
                <w:color w:val="FFFFFF" w:themeColor="background1"/>
                <w:sz w:val="36"/>
                <w:szCs w:val="36"/>
              </w:rPr>
            </w:pPr>
            <w:r w:rsidRPr="00D00E34">
              <w:rPr>
                <w:rFonts w:ascii="Arial" w:eastAsia="Arial" w:hAnsi="Arial" w:cs="Arial"/>
                <w:bCs/>
                <w:color w:val="E28325"/>
                <w:sz w:val="36"/>
                <w:szCs w:val="36"/>
                <w:lang w:val="en"/>
              </w:rPr>
              <w:t>MTEL Updates and Timeline</w:t>
            </w:r>
          </w:p>
        </w:tc>
        <w:tc>
          <w:tcPr>
            <w:tcW w:w="3348" w:type="dxa"/>
            <w:tcBorders>
              <w:bottom w:val="single" w:sz="12" w:space="0" w:color="1F497D" w:themeColor="text2"/>
            </w:tcBorders>
          </w:tcPr>
          <w:p w14:paraId="79CCFD6D" w14:textId="77777777" w:rsidR="00D00E34" w:rsidRDefault="00D00E34" w:rsidP="00536FA0">
            <w:pPr>
              <w:pStyle w:val="Header"/>
              <w:jc w:val="right"/>
              <w:rPr>
                <w:sz w:val="16"/>
                <w:szCs w:val="16"/>
              </w:rPr>
            </w:pPr>
            <w:r w:rsidRPr="00DD62D0">
              <w:rPr>
                <w:noProof/>
                <w:sz w:val="16"/>
                <w:szCs w:val="16"/>
                <w:lang w:eastAsia="zh-CN" w:bidi="km-KH"/>
              </w:rPr>
              <w:drawing>
                <wp:inline distT="0" distB="0" distL="0" distR="0" wp14:anchorId="0C7D6104" wp14:editId="40FF9A0A">
                  <wp:extent cx="1704975" cy="685800"/>
                  <wp:effectExtent l="0" t="0" r="0" b="0"/>
                  <wp:docPr id="1" name="Picture 14"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cess After High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85800"/>
                          </a:xfrm>
                          <a:prstGeom prst="rect">
                            <a:avLst/>
                          </a:prstGeom>
                          <a:noFill/>
                          <a:ln>
                            <a:noFill/>
                          </a:ln>
                        </pic:spPr>
                      </pic:pic>
                    </a:graphicData>
                  </a:graphic>
                </wp:inline>
              </w:drawing>
            </w:r>
          </w:p>
        </w:tc>
      </w:tr>
    </w:tbl>
    <w:p w14:paraId="7DE9A16B" w14:textId="77777777" w:rsidR="0028003E" w:rsidRPr="00835994" w:rsidRDefault="001D145C">
      <w:pPr>
        <w:spacing w:before="240" w:after="240"/>
        <w:rPr>
          <w:rFonts w:asciiTheme="majorHAnsi" w:hAnsiTheme="majorHAnsi" w:cstheme="majorHAnsi"/>
          <w:b/>
          <w:color w:val="E28325"/>
          <w:sz w:val="28"/>
          <w:szCs w:val="28"/>
        </w:rPr>
      </w:pPr>
      <w:r w:rsidRPr="00835994">
        <w:rPr>
          <w:rFonts w:asciiTheme="majorHAnsi" w:hAnsiTheme="majorHAnsi" w:cstheme="majorHAnsi"/>
          <w:b/>
          <w:color w:val="E28325"/>
          <w:sz w:val="28"/>
          <w:szCs w:val="28"/>
        </w:rPr>
        <w:t>Notice to Candidates and Use of Retired MTEL for Licensure</w:t>
      </w:r>
    </w:p>
    <w:p w14:paraId="06E28614" w14:textId="77777777" w:rsidR="0028003E" w:rsidRPr="00835994" w:rsidRDefault="001D145C">
      <w:pPr>
        <w:spacing w:before="240" w:after="240"/>
        <w:rPr>
          <w:rFonts w:asciiTheme="majorHAnsi" w:hAnsiTheme="majorHAnsi" w:cstheme="majorHAnsi"/>
          <w:sz w:val="24"/>
          <w:szCs w:val="24"/>
        </w:rPr>
      </w:pPr>
      <w:r w:rsidRPr="00835994">
        <w:rPr>
          <w:rFonts w:asciiTheme="majorHAnsi" w:hAnsiTheme="majorHAnsi" w:cstheme="majorHAnsi"/>
          <w:sz w:val="24"/>
          <w:szCs w:val="24"/>
        </w:rPr>
        <w:t>We will continue to update the MTEL site to ensure that the timing of when tests will be updated is clear to candidates. Use the dropdown at</w:t>
      </w:r>
      <w:hyperlink r:id="rId20">
        <w:r w:rsidRPr="00835994">
          <w:rPr>
            <w:rFonts w:asciiTheme="majorHAnsi" w:hAnsiTheme="majorHAnsi" w:cstheme="majorHAnsi"/>
            <w:sz w:val="24"/>
            <w:szCs w:val="24"/>
          </w:rPr>
          <w:t xml:space="preserve"> </w:t>
        </w:r>
      </w:hyperlink>
      <w:hyperlink r:id="rId21">
        <w:r w:rsidRPr="00835994">
          <w:rPr>
            <w:rFonts w:asciiTheme="majorHAnsi" w:hAnsiTheme="majorHAnsi" w:cstheme="majorHAnsi"/>
            <w:color w:val="1155CC"/>
            <w:sz w:val="24"/>
            <w:szCs w:val="24"/>
            <w:u w:val="single"/>
          </w:rPr>
          <w:t>this link</w:t>
        </w:r>
      </w:hyperlink>
      <w:r w:rsidRPr="00835994">
        <w:rPr>
          <w:rFonts w:asciiTheme="majorHAnsi" w:hAnsiTheme="majorHAnsi" w:cstheme="majorHAnsi"/>
          <w:sz w:val="24"/>
          <w:szCs w:val="24"/>
        </w:rPr>
        <w:t xml:space="preserve"> to see timeline information for each test.</w:t>
      </w:r>
    </w:p>
    <w:p w14:paraId="3B3E58A6" w14:textId="77777777" w:rsidR="0028003E" w:rsidRPr="00835994" w:rsidRDefault="001D145C">
      <w:pPr>
        <w:spacing w:before="240" w:after="240"/>
        <w:rPr>
          <w:rFonts w:asciiTheme="majorHAnsi" w:hAnsiTheme="majorHAnsi" w:cstheme="majorHAnsi"/>
          <w:sz w:val="24"/>
          <w:szCs w:val="24"/>
        </w:rPr>
      </w:pPr>
      <w:r w:rsidRPr="00835994">
        <w:rPr>
          <w:rFonts w:asciiTheme="majorHAnsi" w:hAnsiTheme="majorHAnsi" w:cstheme="majorHAnsi"/>
          <w:b/>
          <w:sz w:val="24"/>
          <w:szCs w:val="24"/>
        </w:rPr>
        <w:t>Please note that only one version of an MTEL can be made available to individuals at any given time.</w:t>
      </w:r>
      <w:r w:rsidRPr="00835994">
        <w:rPr>
          <w:rFonts w:asciiTheme="majorHAnsi" w:hAnsiTheme="majorHAnsi" w:cstheme="majorHAnsi"/>
          <w:sz w:val="24"/>
          <w:szCs w:val="24"/>
        </w:rPr>
        <w:t xml:space="preserve"> As such, as soon as an updated version of an MTEL is live, the previous version will retire and will no longer be made available to candidates. If a candidate wishes to take the current version of the test, we recommend that you advise them to take the test as far in advance as possible from the times that the tests will be updated. </w:t>
      </w:r>
    </w:p>
    <w:p w14:paraId="61DBB8A9" w14:textId="77777777" w:rsidR="0028003E" w:rsidRPr="00835994" w:rsidRDefault="001D145C">
      <w:pPr>
        <w:spacing w:before="240" w:after="240"/>
        <w:rPr>
          <w:rFonts w:asciiTheme="majorHAnsi" w:hAnsiTheme="majorHAnsi" w:cstheme="majorHAnsi"/>
          <w:b/>
          <w:color w:val="E28325"/>
          <w:sz w:val="24"/>
          <w:szCs w:val="24"/>
        </w:rPr>
      </w:pPr>
      <w:r w:rsidRPr="00835994">
        <w:rPr>
          <w:rFonts w:asciiTheme="majorHAnsi" w:hAnsiTheme="majorHAnsi" w:cstheme="majorHAnsi"/>
          <w:sz w:val="24"/>
          <w:szCs w:val="24"/>
        </w:rPr>
        <w:t xml:space="preserve">If a candidate takes and passes an MTEL that becomes retired before the individual has met other licensure requirements, they can still use the retired MTEL passing score towards earning their license. There is no expiration date on the validity of a passing score on an MTEL.  </w:t>
      </w:r>
    </w:p>
    <w:p w14:paraId="45481BDD" w14:textId="77777777" w:rsidR="0028003E" w:rsidRPr="00835994" w:rsidRDefault="001D145C">
      <w:pPr>
        <w:spacing w:before="240" w:after="240"/>
        <w:rPr>
          <w:rFonts w:asciiTheme="majorHAnsi" w:hAnsiTheme="majorHAnsi" w:cstheme="majorHAnsi"/>
          <w:b/>
          <w:color w:val="E28325"/>
          <w:sz w:val="28"/>
          <w:szCs w:val="28"/>
        </w:rPr>
      </w:pPr>
      <w:r w:rsidRPr="00835994">
        <w:rPr>
          <w:rFonts w:asciiTheme="majorHAnsi" w:hAnsiTheme="majorHAnsi" w:cstheme="majorHAnsi"/>
          <w:b/>
          <w:color w:val="E28325"/>
          <w:sz w:val="28"/>
          <w:szCs w:val="28"/>
        </w:rPr>
        <w:t>MTEL Committee Opportunities</w:t>
      </w:r>
    </w:p>
    <w:p w14:paraId="7A61B969" w14:textId="0FFB1FF5" w:rsidR="0028003E" w:rsidRPr="00835994" w:rsidRDefault="001D145C">
      <w:pPr>
        <w:spacing w:before="240" w:after="240"/>
        <w:rPr>
          <w:rFonts w:asciiTheme="majorHAnsi" w:hAnsiTheme="majorHAnsi" w:cstheme="majorHAnsi"/>
          <w:sz w:val="24"/>
          <w:szCs w:val="24"/>
        </w:rPr>
      </w:pPr>
      <w:r w:rsidRPr="00835994">
        <w:rPr>
          <w:rFonts w:asciiTheme="majorHAnsi" w:hAnsiTheme="majorHAnsi" w:cstheme="majorHAnsi"/>
          <w:sz w:val="24"/>
          <w:szCs w:val="24"/>
        </w:rPr>
        <w:t>We will continue to need volunteers to serve on committees for the development of each of these tests in the future. Some of these MTEL committees may be brought together virtually depending on the status of the COVID-19 pandemic at the time of the meetings.</w:t>
      </w:r>
    </w:p>
    <w:p w14:paraId="321509B2" w14:textId="37142EA5" w:rsidR="0028003E" w:rsidRPr="00887F93" w:rsidRDefault="001D145C" w:rsidP="00887F93">
      <w:pPr>
        <w:rPr>
          <w:rFonts w:asciiTheme="majorHAnsi" w:hAnsiTheme="majorHAnsi" w:cstheme="majorHAnsi"/>
          <w:sz w:val="24"/>
          <w:szCs w:val="24"/>
        </w:rPr>
      </w:pPr>
      <w:r w:rsidRPr="00835994">
        <w:rPr>
          <w:rFonts w:asciiTheme="majorHAnsi" w:hAnsiTheme="majorHAnsi" w:cstheme="majorHAnsi"/>
          <w:sz w:val="24"/>
          <w:szCs w:val="24"/>
        </w:rPr>
        <w:t>We are especially interested in hearing from voices that have been historically underrepresented, particularly Black, Indigenous, LatinX, and Asian educators, and other educators of color. If you are interested in participating on an MTEL Committee, or would like to recommend committee members, you can learn more</w:t>
      </w:r>
      <w:hyperlink r:id="rId22">
        <w:r w:rsidRPr="00835994">
          <w:rPr>
            <w:rFonts w:asciiTheme="majorHAnsi" w:hAnsiTheme="majorHAnsi" w:cstheme="majorHAnsi"/>
            <w:color w:val="1155CC"/>
            <w:sz w:val="24"/>
            <w:szCs w:val="24"/>
            <w:u w:val="single"/>
          </w:rPr>
          <w:t xml:space="preserve"> here</w:t>
        </w:r>
      </w:hyperlink>
      <w:r w:rsidRPr="00835994">
        <w:rPr>
          <w:rFonts w:asciiTheme="majorHAnsi" w:hAnsiTheme="majorHAnsi" w:cstheme="majorHAnsi"/>
          <w:sz w:val="24"/>
          <w:szCs w:val="24"/>
        </w:rPr>
        <w:t>.</w:t>
      </w:r>
    </w:p>
    <w:sectPr w:rsidR="0028003E" w:rsidRPr="00887F93" w:rsidSect="00887F93">
      <w:pgSz w:w="12240" w:h="15840"/>
      <w:pgMar w:top="907" w:right="720"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5190E" w14:textId="77777777" w:rsidR="00CA5DF1" w:rsidRDefault="00CA5DF1">
      <w:pPr>
        <w:spacing w:line="240" w:lineRule="auto"/>
      </w:pPr>
      <w:r>
        <w:separator/>
      </w:r>
    </w:p>
  </w:endnote>
  <w:endnote w:type="continuationSeparator" w:id="0">
    <w:p w14:paraId="79250F53" w14:textId="77777777" w:rsidR="00CA5DF1" w:rsidRDefault="00CA5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4E0D9" w14:textId="77777777" w:rsidR="00CA5DF1" w:rsidRDefault="00CA5DF1">
      <w:pPr>
        <w:spacing w:line="240" w:lineRule="auto"/>
      </w:pPr>
      <w:r>
        <w:separator/>
      </w:r>
    </w:p>
  </w:footnote>
  <w:footnote w:type="continuationSeparator" w:id="0">
    <w:p w14:paraId="68894722" w14:textId="77777777" w:rsidR="00CA5DF1" w:rsidRDefault="00CA5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22E9" w14:textId="77777777" w:rsidR="0028003E" w:rsidRDefault="002800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F5E3" w14:textId="77777777" w:rsidR="0028003E" w:rsidRDefault="002800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A62D" w14:textId="77777777" w:rsidR="0028003E" w:rsidRDefault="002800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3E"/>
    <w:rsid w:val="00012FAF"/>
    <w:rsid w:val="00115CAE"/>
    <w:rsid w:val="00125C69"/>
    <w:rsid w:val="001D145C"/>
    <w:rsid w:val="002668A5"/>
    <w:rsid w:val="00266BED"/>
    <w:rsid w:val="0028003E"/>
    <w:rsid w:val="002F3828"/>
    <w:rsid w:val="00460BE7"/>
    <w:rsid w:val="0046192D"/>
    <w:rsid w:val="004C5B43"/>
    <w:rsid w:val="00536FA0"/>
    <w:rsid w:val="005738D2"/>
    <w:rsid w:val="00574BAE"/>
    <w:rsid w:val="005A7643"/>
    <w:rsid w:val="006E1A63"/>
    <w:rsid w:val="006F5064"/>
    <w:rsid w:val="007C6C68"/>
    <w:rsid w:val="00835994"/>
    <w:rsid w:val="008518F0"/>
    <w:rsid w:val="008759F0"/>
    <w:rsid w:val="00887F93"/>
    <w:rsid w:val="008A07E7"/>
    <w:rsid w:val="008F092A"/>
    <w:rsid w:val="00B21A26"/>
    <w:rsid w:val="00B3413F"/>
    <w:rsid w:val="00B6188D"/>
    <w:rsid w:val="00B74E01"/>
    <w:rsid w:val="00C139ED"/>
    <w:rsid w:val="00C83667"/>
    <w:rsid w:val="00CA5DF1"/>
    <w:rsid w:val="00CD4B49"/>
    <w:rsid w:val="00D00E34"/>
    <w:rsid w:val="00F0029B"/>
    <w:rsid w:val="00F00545"/>
    <w:rsid w:val="00F66604"/>
    <w:rsid w:val="00F737B3"/>
    <w:rsid w:val="00F829F9"/>
    <w:rsid w:val="00F86FD0"/>
    <w:rsid w:val="00FE7E6F"/>
    <w:rsid w:val="02C84AFD"/>
    <w:rsid w:val="034E39D1"/>
    <w:rsid w:val="03D5364D"/>
    <w:rsid w:val="06B1FEC5"/>
    <w:rsid w:val="071EC60F"/>
    <w:rsid w:val="0BCAA8AF"/>
    <w:rsid w:val="0C04B29C"/>
    <w:rsid w:val="0C46233C"/>
    <w:rsid w:val="11550532"/>
    <w:rsid w:val="125D52E7"/>
    <w:rsid w:val="1295AB9F"/>
    <w:rsid w:val="1368F027"/>
    <w:rsid w:val="14A91E3C"/>
    <w:rsid w:val="14C093E2"/>
    <w:rsid w:val="169E869C"/>
    <w:rsid w:val="173929E8"/>
    <w:rsid w:val="196CC8FF"/>
    <w:rsid w:val="19D17410"/>
    <w:rsid w:val="1BE55F05"/>
    <w:rsid w:val="1CC3866B"/>
    <w:rsid w:val="1DFB7604"/>
    <w:rsid w:val="1F4098C6"/>
    <w:rsid w:val="1F5BD093"/>
    <w:rsid w:val="1F647CF0"/>
    <w:rsid w:val="20740C0A"/>
    <w:rsid w:val="20F63F33"/>
    <w:rsid w:val="21169687"/>
    <w:rsid w:val="22A7AB21"/>
    <w:rsid w:val="24299A15"/>
    <w:rsid w:val="24AFE6AE"/>
    <w:rsid w:val="253FF549"/>
    <w:rsid w:val="26809BB6"/>
    <w:rsid w:val="268F0662"/>
    <w:rsid w:val="283207A4"/>
    <w:rsid w:val="2B43CE21"/>
    <w:rsid w:val="2B502A60"/>
    <w:rsid w:val="2DBB2186"/>
    <w:rsid w:val="300CFDCF"/>
    <w:rsid w:val="30AE7682"/>
    <w:rsid w:val="325DD158"/>
    <w:rsid w:val="340E1D93"/>
    <w:rsid w:val="3497B77B"/>
    <w:rsid w:val="34A71B39"/>
    <w:rsid w:val="3B7B2F90"/>
    <w:rsid w:val="3CAA0DC2"/>
    <w:rsid w:val="3CC8E0B0"/>
    <w:rsid w:val="40120A57"/>
    <w:rsid w:val="40AF9637"/>
    <w:rsid w:val="42409C82"/>
    <w:rsid w:val="4424C957"/>
    <w:rsid w:val="45FBEEA7"/>
    <w:rsid w:val="48188EFB"/>
    <w:rsid w:val="486184BC"/>
    <w:rsid w:val="48920B50"/>
    <w:rsid w:val="4AF24738"/>
    <w:rsid w:val="4B082FC5"/>
    <w:rsid w:val="4B8B1FA2"/>
    <w:rsid w:val="524F209B"/>
    <w:rsid w:val="53871034"/>
    <w:rsid w:val="53A87B81"/>
    <w:rsid w:val="54008C89"/>
    <w:rsid w:val="554132F6"/>
    <w:rsid w:val="55444BE2"/>
    <w:rsid w:val="55CC4DC1"/>
    <w:rsid w:val="573EA55F"/>
    <w:rsid w:val="57F93140"/>
    <w:rsid w:val="5CC1F256"/>
    <w:rsid w:val="5FFC23C9"/>
    <w:rsid w:val="6051269F"/>
    <w:rsid w:val="63B0F572"/>
    <w:rsid w:val="6401AC3E"/>
    <w:rsid w:val="65FFFCA1"/>
    <w:rsid w:val="67183818"/>
    <w:rsid w:val="6A70F989"/>
    <w:rsid w:val="6B6AA502"/>
    <w:rsid w:val="6D24C7C4"/>
    <w:rsid w:val="6E02EF2A"/>
    <w:rsid w:val="70248D17"/>
    <w:rsid w:val="73E713E0"/>
    <w:rsid w:val="74609035"/>
    <w:rsid w:val="747952F0"/>
    <w:rsid w:val="79717063"/>
    <w:rsid w:val="7B14045E"/>
    <w:rsid w:val="7C9BF99B"/>
    <w:rsid w:val="7D002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EE42"/>
  <w15:docId w15:val="{4E142D21-8461-48B5-A016-FC20A2B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E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D00E34"/>
    <w:pPr>
      <w:spacing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D00E34"/>
    <w:pPr>
      <w:tabs>
        <w:tab w:val="center" w:pos="4320"/>
        <w:tab w:val="right" w:pos="8640"/>
      </w:tabs>
      <w:spacing w:line="240" w:lineRule="auto"/>
    </w:pPr>
    <w:rPr>
      <w:rFonts w:asciiTheme="minorHAnsi" w:eastAsia="Times New Roman" w:hAnsiTheme="minorHAnsi" w:cs="Times New Roman"/>
      <w:sz w:val="24"/>
      <w:szCs w:val="20"/>
      <w:lang w:val="en-US"/>
    </w:rPr>
  </w:style>
  <w:style w:type="character" w:customStyle="1" w:styleId="HeaderChar">
    <w:name w:val="Header Char"/>
    <w:basedOn w:val="DefaultParagraphFont"/>
    <w:link w:val="Header"/>
    <w:uiPriority w:val="99"/>
    <w:semiHidden/>
    <w:rsid w:val="00D00E34"/>
    <w:rPr>
      <w:rFonts w:asciiTheme="minorHAnsi" w:eastAsia="Times New Roman" w:hAnsiTheme="minorHAnsi" w:cs="Times New Roman"/>
      <w:sz w:val="24"/>
      <w:szCs w:val="20"/>
      <w:lang w:val="en-US"/>
    </w:rPr>
  </w:style>
  <w:style w:type="character" w:styleId="PlaceholderText">
    <w:name w:val="Placeholder Text"/>
    <w:basedOn w:val="DefaultParagraphFont"/>
    <w:uiPriority w:val="99"/>
    <w:semiHidden/>
    <w:rsid w:val="008518F0"/>
    <w:rPr>
      <w:color w:val="808080"/>
    </w:rPr>
  </w:style>
  <w:style w:type="character" w:styleId="CommentReference">
    <w:name w:val="annotation reference"/>
    <w:basedOn w:val="DefaultParagraphFont"/>
    <w:uiPriority w:val="99"/>
    <w:semiHidden/>
    <w:unhideWhenUsed/>
    <w:rsid w:val="00C139ED"/>
    <w:rPr>
      <w:sz w:val="16"/>
      <w:szCs w:val="16"/>
    </w:rPr>
  </w:style>
  <w:style w:type="paragraph" w:styleId="CommentText">
    <w:name w:val="annotation text"/>
    <w:basedOn w:val="Normal"/>
    <w:link w:val="CommentTextChar"/>
    <w:uiPriority w:val="99"/>
    <w:semiHidden/>
    <w:unhideWhenUsed/>
    <w:rsid w:val="00C139ED"/>
    <w:pPr>
      <w:spacing w:line="240" w:lineRule="auto"/>
    </w:pPr>
    <w:rPr>
      <w:sz w:val="20"/>
      <w:szCs w:val="20"/>
    </w:rPr>
  </w:style>
  <w:style w:type="character" w:customStyle="1" w:styleId="CommentTextChar">
    <w:name w:val="Comment Text Char"/>
    <w:basedOn w:val="DefaultParagraphFont"/>
    <w:link w:val="CommentText"/>
    <w:uiPriority w:val="99"/>
    <w:semiHidden/>
    <w:rsid w:val="00C139ED"/>
    <w:rPr>
      <w:sz w:val="20"/>
      <w:szCs w:val="20"/>
    </w:rPr>
  </w:style>
  <w:style w:type="paragraph" w:styleId="CommentSubject">
    <w:name w:val="annotation subject"/>
    <w:basedOn w:val="CommentText"/>
    <w:next w:val="CommentText"/>
    <w:link w:val="CommentSubjectChar"/>
    <w:uiPriority w:val="99"/>
    <w:semiHidden/>
    <w:unhideWhenUsed/>
    <w:rsid w:val="00C139ED"/>
    <w:rPr>
      <w:b/>
      <w:bCs/>
    </w:rPr>
  </w:style>
  <w:style w:type="character" w:customStyle="1" w:styleId="CommentSubjectChar">
    <w:name w:val="Comment Subject Char"/>
    <w:basedOn w:val="CommentTextChar"/>
    <w:link w:val="CommentSubject"/>
    <w:uiPriority w:val="99"/>
    <w:semiHidden/>
    <w:rsid w:val="00C139ED"/>
    <w:rPr>
      <w:b/>
      <w:bCs/>
      <w:sz w:val="20"/>
      <w:szCs w:val="20"/>
    </w:rPr>
  </w:style>
  <w:style w:type="paragraph" w:styleId="BalloonText">
    <w:name w:val="Balloon Text"/>
    <w:basedOn w:val="Normal"/>
    <w:link w:val="BalloonTextChar"/>
    <w:uiPriority w:val="99"/>
    <w:semiHidden/>
    <w:unhideWhenUsed/>
    <w:rsid w:val="00C139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ED"/>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mtel/" TargetMode="External"/><Relationship Id="rId18" Type="http://schemas.openxmlformats.org/officeDocument/2006/relationships/hyperlink" Target="http://www.mtel.nesinc.com/PageView.aspx?f=GEN_TechnicalManual_Development.html" TargetMode="External"/><Relationship Id="rId3" Type="http://schemas.openxmlformats.org/officeDocument/2006/relationships/customXml" Target="../customXml/item3.xml"/><Relationship Id="rId21" Type="http://schemas.openxmlformats.org/officeDocument/2006/relationships/hyperlink" Target="http://www.mtel.nesinc.com/PageView.aspx?f=HTML_FRAG/GENRB_ProgramUpdate.html" TargetMode="External"/><Relationship Id="rId7" Type="http://schemas.openxmlformats.org/officeDocument/2006/relationships/webSettings" Target="web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www.mtel.nesinc.com/PageView.aspx?f=GEN_TechnicalManual_Developmen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tel.nesinc.com/PageView.aspx?f=HTML_FRAG/GENRB_ProgramUpdat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frameworks/current.html"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tel.nesinc.com/PageView.aspx?f=GEN_Tests.html" TargetMode="External"/><Relationship Id="rId22" Type="http://schemas.openxmlformats.org/officeDocument/2006/relationships/hyperlink" Target="http://www.marecruit.nesin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90EBD972DF42F491A4C467CECE265D"/>
        <w:category>
          <w:name w:val="General"/>
          <w:gallery w:val="placeholder"/>
        </w:category>
        <w:types>
          <w:type w:val="bbPlcHdr"/>
        </w:types>
        <w:behaviors>
          <w:behavior w:val="content"/>
        </w:behaviors>
        <w:guid w:val="{0E701527-145A-4324-ACF0-2921F00C1455}"/>
      </w:docPartPr>
      <w:docPartBody>
        <w:p w:rsidR="006E794C" w:rsidRDefault="0060544A">
          <w:r w:rsidRPr="00924D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4A"/>
    <w:rsid w:val="0060544A"/>
    <w:rsid w:val="006E794C"/>
    <w:rsid w:val="00C96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4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DESE-231-76138</_dlc_DocId>
    <_dlc_DocIdUrl xmlns="733efe1c-5bbe-4968-87dc-d400e65c879f">
      <Url>https://sharepoint.doemass.org/ese/webteam/cps/_layouts/DocIdRedir.aspx?ID=DESE-231-76138</Url>
      <Description>DESE-231-76138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FE1D2-DFAE-4CA5-B239-6D83E4F6A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147D728-4095-4DA3-BF4F-E2063344ABE0}">
  <ds:schemaRefs>
    <ds:schemaRef ds:uri="http://schemas.microsoft.com/sharepoint/events"/>
  </ds:schemaRefs>
</ds:datastoreItem>
</file>

<file path=customXml/itemProps3.xml><?xml version="1.0" encoding="utf-8"?>
<ds:datastoreItem xmlns:ds="http://schemas.openxmlformats.org/officeDocument/2006/customXml" ds:itemID="{BE28C6E3-D379-42FB-9613-306A061D1EB0}">
  <ds:schemaRefs>
    <ds:schemaRef ds:uri="http://schemas.microsoft.com/sharepoint/v3/contenttype/forms"/>
  </ds:schemaRefs>
</ds:datastoreItem>
</file>

<file path=customXml/itemProps4.xml><?xml version="1.0" encoding="utf-8"?>
<ds:datastoreItem xmlns:ds="http://schemas.openxmlformats.org/officeDocument/2006/customXml" ds:itemID="{D24E1286-E4A4-4B1C-8564-467E25C7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Ed Prep Policy Advisory January 2022</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Policy Advisory January 2022</dc:title>
  <dc:subject/>
  <dc:creator>DESE</dc:creator>
  <cp:keywords/>
  <cp:lastModifiedBy>Zou, Dong (EOE)</cp:lastModifiedBy>
  <cp:revision>4</cp:revision>
  <dcterms:created xsi:type="dcterms:W3CDTF">2022-01-25T13:50:00Z</dcterms:created>
  <dcterms:modified xsi:type="dcterms:W3CDTF">2022-01-25T20:09:00Z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2022</vt:lpwstr>
  </property>
</Properties>
</file>