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76" w:type="dxa"/>
        <w:tblBorders>
          <w:top w:val="none" w:sz="0" w:space="0" w:color="auto"/>
          <w:left w:val="none" w:sz="0" w:space="0" w:color="auto"/>
          <w:bottom w:val="single" w:sz="12" w:space="0" w:color="154786" w:themeColor="text2"/>
          <w:right w:val="none" w:sz="0" w:space="0" w:color="auto"/>
          <w:insideH w:val="none" w:sz="0" w:space="0" w:color="auto"/>
          <w:insideV w:val="none" w:sz="0" w:space="0" w:color="auto"/>
        </w:tblBorders>
        <w:tblLook w:val="04A0" w:firstRow="1" w:lastRow="0" w:firstColumn="1" w:lastColumn="0" w:noHBand="0" w:noVBand="1"/>
      </w:tblPr>
      <w:tblGrid>
        <w:gridCol w:w="7740"/>
        <w:gridCol w:w="2736"/>
      </w:tblGrid>
      <w:tr w:rsidR="00185649" w14:paraId="571DEC1D" w14:textId="77777777" w:rsidTr="00BD07D7">
        <w:trPr>
          <w:trHeight w:val="1080"/>
        </w:trPr>
        <w:tc>
          <w:tcPr>
            <w:tcW w:w="7740" w:type="dxa"/>
            <w:tcBorders>
              <w:bottom w:val="single" w:sz="12" w:space="0" w:color="154786" w:themeColor="text2"/>
            </w:tcBorders>
            <w:shd w:val="clear" w:color="auto" w:fill="FFFFFF" w:themeFill="background1"/>
            <w:vAlign w:val="center"/>
          </w:tcPr>
          <w:p w14:paraId="33BCCDB2" w14:textId="77777777" w:rsidR="00925872" w:rsidRDefault="00925872" w:rsidP="00925872">
            <w:pPr>
              <w:pStyle w:val="Header"/>
              <w:rPr>
                <w:b/>
                <w:color w:val="154786" w:themeColor="text2"/>
                <w:sz w:val="48"/>
                <w:szCs w:val="16"/>
              </w:rPr>
            </w:pPr>
            <w:bookmarkStart w:id="0" w:name="_Hlk46234082"/>
            <w:r w:rsidRPr="00384833">
              <w:rPr>
                <w:b/>
                <w:color w:val="154786" w:themeColor="text2"/>
                <w:sz w:val="48"/>
                <w:szCs w:val="16"/>
              </w:rPr>
              <w:t>Ed Prep Policy Advisory 2020</w:t>
            </w:r>
          </w:p>
          <w:p w14:paraId="6D2BEC65" w14:textId="77777777" w:rsidR="00185649" w:rsidRPr="00A5542B" w:rsidRDefault="00185649" w:rsidP="00925872">
            <w:pPr>
              <w:pStyle w:val="Header"/>
              <w:rPr>
                <w:color w:val="FFFFFF" w:themeColor="background1"/>
                <w:sz w:val="40"/>
                <w:szCs w:val="16"/>
              </w:rPr>
            </w:pPr>
            <w:r>
              <w:rPr>
                <w:color w:val="E28325" w:themeColor="accent2"/>
                <w:sz w:val="36"/>
                <w:szCs w:val="16"/>
              </w:rPr>
              <w:t xml:space="preserve">MTEL Online Testing – Beginning in October </w:t>
            </w:r>
          </w:p>
        </w:tc>
        <w:tc>
          <w:tcPr>
            <w:tcW w:w="2736" w:type="dxa"/>
            <w:tcBorders>
              <w:bottom w:val="single" w:sz="12" w:space="0" w:color="154786" w:themeColor="text2"/>
            </w:tcBorders>
          </w:tcPr>
          <w:p w14:paraId="4918CA83" w14:textId="77777777" w:rsidR="00185649" w:rsidRDefault="00D079EC" w:rsidP="00BD07D7">
            <w:pPr>
              <w:pStyle w:val="Header"/>
              <w:jc w:val="right"/>
              <w:rPr>
                <w:sz w:val="16"/>
                <w:szCs w:val="16"/>
              </w:rPr>
            </w:pPr>
            <w:r w:rsidRPr="00D079EC">
              <w:rPr>
                <w:noProof/>
                <w:sz w:val="16"/>
                <w:szCs w:val="16"/>
                <w:lang w:eastAsia="zh-CN" w:bidi="km-KH"/>
              </w:rPr>
              <w:drawing>
                <wp:inline distT="0" distB="0" distL="0" distR="0" wp14:anchorId="71982834" wp14:editId="754B4813">
                  <wp:extent cx="1381125" cy="561975"/>
                  <wp:effectExtent l="0" t="0" r="0" b="0"/>
                  <wp:docPr id="3" name="Picture 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cess After High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561975"/>
                          </a:xfrm>
                          <a:prstGeom prst="rect">
                            <a:avLst/>
                          </a:prstGeom>
                          <a:noFill/>
                          <a:ln>
                            <a:noFill/>
                          </a:ln>
                        </pic:spPr>
                      </pic:pic>
                    </a:graphicData>
                  </a:graphic>
                </wp:inline>
              </w:drawing>
            </w:r>
          </w:p>
        </w:tc>
      </w:tr>
    </w:tbl>
    <w:p w14:paraId="31F7FD49" w14:textId="77777777" w:rsidR="00185649" w:rsidRPr="00B43E12" w:rsidRDefault="00185649" w:rsidP="00185649">
      <w:pPr>
        <w:pStyle w:val="Header"/>
        <w:rPr>
          <w:sz w:val="16"/>
          <w:szCs w:val="16"/>
        </w:rPr>
      </w:pPr>
    </w:p>
    <w:p w14:paraId="11BCB0D0" w14:textId="77777777" w:rsidR="005C1A28" w:rsidRDefault="005C1A28" w:rsidP="005C1A28">
      <w:r w:rsidRPr="00403337">
        <w:t xml:space="preserve">This advisory </w:t>
      </w:r>
      <w:r w:rsidR="00327D7B">
        <w:t>includes information about</w:t>
      </w:r>
      <w:r w:rsidRPr="00403337">
        <w:t xml:space="preserve"> </w:t>
      </w:r>
      <w:r>
        <w:t>which MTELs will be available in an online testing environment and the timeline for this testing option.</w:t>
      </w:r>
    </w:p>
    <w:p w14:paraId="0ED7E67E" w14:textId="77777777" w:rsidR="005C1A28" w:rsidRDefault="005C1A28" w:rsidP="00D73F6D">
      <w:pPr>
        <w:rPr>
          <w:b/>
          <w:bCs/>
        </w:rPr>
      </w:pPr>
    </w:p>
    <w:p w14:paraId="0BB23BD4" w14:textId="77777777" w:rsidR="00D73F6D" w:rsidRPr="005C1A28" w:rsidRDefault="005C1A28" w:rsidP="00D73F6D">
      <w:pPr>
        <w:rPr>
          <w:b/>
          <w:bCs/>
          <w:color w:val="E28325" w:themeColor="accent2"/>
          <w:sz w:val="28"/>
          <w:szCs w:val="28"/>
        </w:rPr>
      </w:pPr>
      <w:r>
        <w:rPr>
          <w:b/>
          <w:bCs/>
          <w:color w:val="E28325" w:themeColor="accent2"/>
          <w:sz w:val="28"/>
          <w:szCs w:val="28"/>
        </w:rPr>
        <w:t>Access</w:t>
      </w:r>
      <w:r w:rsidR="00327D7B">
        <w:rPr>
          <w:b/>
          <w:bCs/>
          <w:color w:val="E28325" w:themeColor="accent2"/>
          <w:sz w:val="28"/>
          <w:szCs w:val="28"/>
        </w:rPr>
        <w:t>ing</w:t>
      </w:r>
      <w:r>
        <w:rPr>
          <w:b/>
          <w:bCs/>
          <w:color w:val="E28325" w:themeColor="accent2"/>
          <w:sz w:val="28"/>
          <w:szCs w:val="28"/>
        </w:rPr>
        <w:t xml:space="preserve"> </w:t>
      </w:r>
      <w:r w:rsidR="00D73F6D" w:rsidRPr="005C1A28">
        <w:rPr>
          <w:b/>
          <w:bCs/>
          <w:color w:val="E28325" w:themeColor="accent2"/>
          <w:sz w:val="28"/>
          <w:szCs w:val="28"/>
        </w:rPr>
        <w:t xml:space="preserve">MTEL Testing </w:t>
      </w:r>
    </w:p>
    <w:p w14:paraId="4FADF581" w14:textId="77777777" w:rsidR="005C1A28" w:rsidRPr="005C1A28" w:rsidRDefault="005C1A28" w:rsidP="00D73F6D">
      <w:pPr>
        <w:rPr>
          <w:b/>
          <w:bCs/>
          <w:color w:val="5B9BD5" w:themeColor="accent1"/>
          <w:sz w:val="22"/>
        </w:rPr>
      </w:pPr>
      <w:r>
        <w:rPr>
          <w:b/>
          <w:bCs/>
          <w:color w:val="5B9BD5" w:themeColor="accent1"/>
        </w:rPr>
        <w:t>In Response to the COVID-19 Pandemic</w:t>
      </w:r>
    </w:p>
    <w:bookmarkEnd w:id="0"/>
    <w:p w14:paraId="5FB02642" w14:textId="77777777" w:rsidR="00D73F6D" w:rsidRDefault="00D73F6D" w:rsidP="00D73F6D">
      <w:r>
        <w:t xml:space="preserve">In our effort to increase access to the MTEL due to the COVID-19 pandemic, we have worked with our </w:t>
      </w:r>
      <w:r w:rsidR="005C1A28">
        <w:t xml:space="preserve">testing </w:t>
      </w:r>
      <w:r>
        <w:t>vendor, Evaluation Systems (ES) of Pearson</w:t>
      </w:r>
      <w:r w:rsidR="002B5259">
        <w:t>,</w:t>
      </w:r>
      <w:r>
        <w:t xml:space="preserve"> to continue to explore options and enhance availability for candidates to take the MTEL. This includes expanding the hours and availability of slots to take the MTEL.</w:t>
      </w:r>
      <w:r w:rsidR="005C1A28">
        <w:t xml:space="preserve"> C</w:t>
      </w:r>
      <w:r>
        <w:t xml:space="preserve">andidates should </w:t>
      </w:r>
      <w:r w:rsidR="005C1A28">
        <w:t xml:space="preserve">continue to </w:t>
      </w:r>
      <w:r>
        <w:t xml:space="preserve">check </w:t>
      </w:r>
      <w:r w:rsidR="002B5259">
        <w:t xml:space="preserve">test </w:t>
      </w:r>
      <w:r>
        <w:t>availability each week if they are concerned about timing</w:t>
      </w:r>
      <w:r w:rsidR="002B5259">
        <w:t>,</w:t>
      </w:r>
      <w:r>
        <w:t xml:space="preserve"> as </w:t>
      </w:r>
      <w:r w:rsidR="005C1A28">
        <w:t xml:space="preserve">testing </w:t>
      </w:r>
      <w:r>
        <w:t>slots continue to open</w:t>
      </w:r>
      <w:r w:rsidR="00384880">
        <w:t xml:space="preserve"> </w:t>
      </w:r>
      <w:r>
        <w:t>up.</w:t>
      </w:r>
    </w:p>
    <w:p w14:paraId="03B8AE5D" w14:textId="77777777" w:rsidR="00327D7B" w:rsidRDefault="00327D7B" w:rsidP="00D73F6D"/>
    <w:p w14:paraId="5F05C6FA" w14:textId="77777777" w:rsidR="00327D7B" w:rsidRDefault="00327D7B" w:rsidP="00327D7B">
      <w:r>
        <w:t xml:space="preserve">We are pursuing shifts in the administration of MTEL to support a more conducive </w:t>
      </w:r>
      <w:r w:rsidR="002B5259">
        <w:t xml:space="preserve">testing </w:t>
      </w:r>
      <w:r>
        <w:t>environment</w:t>
      </w:r>
      <w:r w:rsidR="002B5259">
        <w:t>,</w:t>
      </w:r>
      <w:r>
        <w:t xml:space="preserve"> given the COVID-19 pandemic and the high-stakes nature of the assessment</w:t>
      </w:r>
      <w:r w:rsidR="002B5259">
        <w:t>.</w:t>
      </w:r>
      <w:r w:rsidR="0006510B">
        <w:t xml:space="preserve"> </w:t>
      </w:r>
      <w:r w:rsidR="002B5259">
        <w:t>I</w:t>
      </w:r>
      <w:r w:rsidR="0006510B">
        <w:t xml:space="preserve">n addition to expanding hours at test centers, we have been working with ES to allow for the MTEL to be taken in an online environment. </w:t>
      </w:r>
      <w:r>
        <w:t>Due to the security concerns regarding these tests, we have not made the decision to add online testing options lightly. We are excited about the option for</w:t>
      </w:r>
      <w:r w:rsidR="002B5259">
        <w:t xml:space="preserve"> some</w:t>
      </w:r>
      <w:r>
        <w:t xml:space="preserve"> test takers to take the MTEL in an online environment and consider online testing to be a long-term option for candidates. Our hope is that having an online testing option makes the test more accessible in the future for all candidates, while continuing to make the MTEL available in-person at the current test centers.  </w:t>
      </w:r>
    </w:p>
    <w:p w14:paraId="7BAF5090" w14:textId="77777777" w:rsidR="00327D7B" w:rsidRDefault="00327D7B" w:rsidP="00327D7B"/>
    <w:p w14:paraId="0FB2AC29" w14:textId="77777777" w:rsidR="00327D7B" w:rsidRPr="00327D7B" w:rsidRDefault="00327D7B" w:rsidP="00D73F6D">
      <w:pPr>
        <w:rPr>
          <w:b/>
          <w:bCs/>
          <w:color w:val="E28325" w:themeColor="accent2"/>
          <w:sz w:val="28"/>
          <w:szCs w:val="28"/>
        </w:rPr>
      </w:pPr>
      <w:r>
        <w:rPr>
          <w:b/>
          <w:bCs/>
          <w:color w:val="E28325" w:themeColor="accent2"/>
          <w:sz w:val="28"/>
          <w:szCs w:val="28"/>
        </w:rPr>
        <w:t>Online Testing</w:t>
      </w:r>
    </w:p>
    <w:p w14:paraId="54836082" w14:textId="77777777" w:rsidR="005C1A28" w:rsidRPr="005C1A28" w:rsidRDefault="00327D7B" w:rsidP="00D73F6D">
      <w:pPr>
        <w:rPr>
          <w:b/>
          <w:bCs/>
          <w:color w:val="5B9BD5" w:themeColor="accent1"/>
        </w:rPr>
      </w:pPr>
      <w:r>
        <w:rPr>
          <w:b/>
          <w:bCs/>
          <w:color w:val="5B9BD5" w:themeColor="accent1"/>
        </w:rPr>
        <w:t xml:space="preserve">Which MTELs and When </w:t>
      </w:r>
    </w:p>
    <w:p w14:paraId="4F1A3D3B" w14:textId="77777777" w:rsidR="00D73F6D" w:rsidRDefault="00D73F6D" w:rsidP="00D73F6D">
      <w:r>
        <w:t>We are pleased to be able to offer 2</w:t>
      </w:r>
      <w:r w:rsidR="001E7107">
        <w:t>1</w:t>
      </w:r>
      <w:r>
        <w:t xml:space="preserve"> of the 4</w:t>
      </w:r>
      <w:r w:rsidR="00384880">
        <w:t>2</w:t>
      </w:r>
      <w:r>
        <w:t xml:space="preserve"> MTEL assessments online. The first </w:t>
      </w:r>
      <w:r w:rsidR="002B5259">
        <w:t>five</w:t>
      </w:r>
      <w:r>
        <w:t xml:space="preserve"> tests to move online are scheduled to be available in </w:t>
      </w:r>
      <w:r w:rsidRPr="00327D7B">
        <w:rPr>
          <w:b/>
          <w:bCs/>
        </w:rPr>
        <w:t>October</w:t>
      </w:r>
      <w:r w:rsidR="002B5259">
        <w:rPr>
          <w:b/>
          <w:bCs/>
        </w:rPr>
        <w:t xml:space="preserve"> 2020</w:t>
      </w:r>
      <w:r>
        <w:t xml:space="preserve"> and include the following: </w:t>
      </w:r>
    </w:p>
    <w:p w14:paraId="3CABF0C0" w14:textId="77777777" w:rsidR="00327D7B" w:rsidRDefault="00327D7B" w:rsidP="00D73F6D"/>
    <w:tbl>
      <w:tblPr>
        <w:tblStyle w:val="GridTable2-Accent5"/>
        <w:tblW w:w="0" w:type="auto"/>
        <w:tblInd w:w="0" w:type="dxa"/>
        <w:tblLook w:val="04A0" w:firstRow="1" w:lastRow="0" w:firstColumn="1" w:lastColumn="0" w:noHBand="0" w:noVBand="1"/>
      </w:tblPr>
      <w:tblGrid>
        <w:gridCol w:w="5940"/>
      </w:tblGrid>
      <w:tr w:rsidR="00D73F6D" w14:paraId="4BA6B309" w14:textId="77777777" w:rsidTr="0032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Borders>
              <w:left w:val="nil"/>
              <w:right w:val="nil"/>
            </w:tcBorders>
            <w:hideMark/>
          </w:tcPr>
          <w:p w14:paraId="2B3FDA4E" w14:textId="77777777" w:rsidR="00D73F6D" w:rsidRPr="001E7107" w:rsidRDefault="00D73F6D">
            <w:pPr>
              <w:rPr>
                <w:b w:val="0"/>
                <w:bCs w:val="0"/>
              </w:rPr>
            </w:pPr>
            <w:r w:rsidRPr="001E7107">
              <w:rPr>
                <w:b w:val="0"/>
                <w:bCs w:val="0"/>
              </w:rPr>
              <w:t>Communication and Literacy Skills (Reading and Writing)</w:t>
            </w:r>
          </w:p>
        </w:tc>
      </w:tr>
      <w:tr w:rsidR="00D73F6D" w14:paraId="0DB00E8C" w14:textId="77777777" w:rsidTr="00327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Borders>
              <w:left w:val="nil"/>
              <w:right w:val="nil"/>
            </w:tcBorders>
            <w:hideMark/>
          </w:tcPr>
          <w:p w14:paraId="552F2BCC" w14:textId="77777777" w:rsidR="00D73F6D" w:rsidRPr="001E7107" w:rsidRDefault="00D73F6D">
            <w:pPr>
              <w:rPr>
                <w:b w:val="0"/>
                <w:bCs w:val="0"/>
              </w:rPr>
            </w:pPr>
            <w:r w:rsidRPr="001E7107">
              <w:rPr>
                <w:b w:val="0"/>
                <w:bCs w:val="0"/>
              </w:rPr>
              <w:t>Foundations of Reading</w:t>
            </w:r>
          </w:p>
        </w:tc>
      </w:tr>
      <w:tr w:rsidR="00D73F6D" w14:paraId="24A3676C" w14:textId="77777777" w:rsidTr="00327D7B">
        <w:tc>
          <w:tcPr>
            <w:cnfStyle w:val="001000000000" w:firstRow="0" w:lastRow="0" w:firstColumn="1" w:lastColumn="0" w:oddVBand="0" w:evenVBand="0" w:oddHBand="0" w:evenHBand="0" w:firstRowFirstColumn="0" w:firstRowLastColumn="0" w:lastRowFirstColumn="0" w:lastRowLastColumn="0"/>
            <w:tcW w:w="5940" w:type="dxa"/>
            <w:tcBorders>
              <w:left w:val="nil"/>
              <w:right w:val="nil"/>
            </w:tcBorders>
            <w:hideMark/>
          </w:tcPr>
          <w:p w14:paraId="362AD7BE" w14:textId="77777777" w:rsidR="00D73F6D" w:rsidRPr="001E7107" w:rsidRDefault="00D73F6D">
            <w:pPr>
              <w:rPr>
                <w:b w:val="0"/>
                <w:bCs w:val="0"/>
              </w:rPr>
            </w:pPr>
            <w:r w:rsidRPr="001E7107">
              <w:rPr>
                <w:b w:val="0"/>
                <w:bCs w:val="0"/>
              </w:rPr>
              <w:t>Sheltered English Immersion</w:t>
            </w:r>
          </w:p>
        </w:tc>
      </w:tr>
      <w:tr w:rsidR="00D73F6D" w14:paraId="7F7D65CB" w14:textId="77777777" w:rsidTr="00327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Borders>
              <w:left w:val="nil"/>
              <w:right w:val="nil"/>
            </w:tcBorders>
            <w:hideMark/>
          </w:tcPr>
          <w:p w14:paraId="2BC35415" w14:textId="77777777" w:rsidR="00D73F6D" w:rsidRPr="001E7107" w:rsidRDefault="00D73F6D">
            <w:pPr>
              <w:rPr>
                <w:b w:val="0"/>
                <w:bCs w:val="0"/>
              </w:rPr>
            </w:pPr>
            <w:r w:rsidRPr="001E7107">
              <w:rPr>
                <w:b w:val="0"/>
                <w:bCs w:val="0"/>
              </w:rPr>
              <w:t>English as a Second Language</w:t>
            </w:r>
          </w:p>
        </w:tc>
      </w:tr>
      <w:tr w:rsidR="00D73F6D" w14:paraId="730C9189" w14:textId="77777777" w:rsidTr="00327D7B">
        <w:tc>
          <w:tcPr>
            <w:cnfStyle w:val="001000000000" w:firstRow="0" w:lastRow="0" w:firstColumn="1" w:lastColumn="0" w:oddVBand="0" w:evenVBand="0" w:oddHBand="0" w:evenHBand="0" w:firstRowFirstColumn="0" w:firstRowLastColumn="0" w:lastRowFirstColumn="0" w:lastRowLastColumn="0"/>
            <w:tcW w:w="5940" w:type="dxa"/>
            <w:tcBorders>
              <w:left w:val="nil"/>
              <w:right w:val="nil"/>
            </w:tcBorders>
            <w:hideMark/>
          </w:tcPr>
          <w:p w14:paraId="08B7177B" w14:textId="77777777" w:rsidR="00D73F6D" w:rsidRPr="001E7107" w:rsidRDefault="00D73F6D">
            <w:pPr>
              <w:rPr>
                <w:b w:val="0"/>
                <w:bCs w:val="0"/>
              </w:rPr>
            </w:pPr>
            <w:r w:rsidRPr="001E7107">
              <w:rPr>
                <w:b w:val="0"/>
                <w:bCs w:val="0"/>
              </w:rPr>
              <w:t>English</w:t>
            </w:r>
          </w:p>
        </w:tc>
      </w:tr>
    </w:tbl>
    <w:p w14:paraId="44383C64" w14:textId="77777777" w:rsidR="00D73F6D" w:rsidRDefault="00D73F6D" w:rsidP="00D73F6D">
      <w:pPr>
        <w:rPr>
          <w:rFonts w:cs="Arial"/>
          <w:sz w:val="22"/>
          <w:szCs w:val="22"/>
        </w:rPr>
      </w:pPr>
    </w:p>
    <w:p w14:paraId="3C71997A" w14:textId="77777777" w:rsidR="00D73F6D" w:rsidRDefault="00D73F6D" w:rsidP="00D73F6D">
      <w:r>
        <w:t>We will phase in the remaining 1</w:t>
      </w:r>
      <w:r w:rsidR="001E7107">
        <w:t>6</w:t>
      </w:r>
      <w:r>
        <w:t xml:space="preserve"> eligible tests between </w:t>
      </w:r>
      <w:r w:rsidRPr="00327D7B">
        <w:rPr>
          <w:b/>
          <w:bCs/>
        </w:rPr>
        <w:t>November</w:t>
      </w:r>
      <w:r w:rsidR="001E7107">
        <w:rPr>
          <w:b/>
          <w:bCs/>
        </w:rPr>
        <w:t xml:space="preserve"> 2020 </w:t>
      </w:r>
      <w:r w:rsidR="00B7058C">
        <w:rPr>
          <w:b/>
          <w:bCs/>
        </w:rPr>
        <w:t>-</w:t>
      </w:r>
      <w:r w:rsidR="001E7107">
        <w:rPr>
          <w:b/>
          <w:bCs/>
        </w:rPr>
        <w:t xml:space="preserve"> </w:t>
      </w:r>
      <w:r w:rsidR="00B7058C">
        <w:rPr>
          <w:b/>
          <w:bCs/>
        </w:rPr>
        <w:t>January 2021</w:t>
      </w:r>
      <w:r>
        <w:t>, including the following</w:t>
      </w:r>
      <w:r w:rsidR="00B7058C">
        <w:t xml:space="preserve"> MTELs on the following timeline</w:t>
      </w:r>
      <w:r>
        <w:t xml:space="preserve">: </w:t>
      </w:r>
    </w:p>
    <w:p w14:paraId="6D19AC4B" w14:textId="77777777" w:rsidR="00327D7B" w:rsidRDefault="00327D7B" w:rsidP="00D73F6D"/>
    <w:tbl>
      <w:tblPr>
        <w:tblStyle w:val="GridTable2-Accent1"/>
        <w:tblW w:w="0" w:type="auto"/>
        <w:tblInd w:w="0" w:type="dxa"/>
        <w:tblLook w:val="04A0" w:firstRow="1" w:lastRow="0" w:firstColumn="1" w:lastColumn="0" w:noHBand="0" w:noVBand="1"/>
      </w:tblPr>
      <w:tblGrid>
        <w:gridCol w:w="2700"/>
        <w:gridCol w:w="7110"/>
      </w:tblGrid>
      <w:tr w:rsidR="00B7058C" w14:paraId="135A49E0" w14:textId="77777777" w:rsidTr="00B70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left w:val="nil"/>
            </w:tcBorders>
            <w:vAlign w:val="center"/>
          </w:tcPr>
          <w:p w14:paraId="0CF3A452" w14:textId="77777777" w:rsidR="00925872" w:rsidRPr="00925872" w:rsidRDefault="00925872" w:rsidP="00925872">
            <w:r>
              <w:t>November 2020</w:t>
            </w:r>
          </w:p>
        </w:tc>
        <w:tc>
          <w:tcPr>
            <w:tcW w:w="7110" w:type="dxa"/>
            <w:tcBorders>
              <w:right w:val="nil"/>
            </w:tcBorders>
            <w:hideMark/>
          </w:tcPr>
          <w:p w14:paraId="79F3A6FE" w14:textId="77777777" w:rsidR="00B7058C" w:rsidRPr="00B7058C" w:rsidRDefault="00B7058C">
            <w:pPr>
              <w:cnfStyle w:val="100000000000" w:firstRow="1" w:lastRow="0" w:firstColumn="0" w:lastColumn="0" w:oddVBand="0" w:evenVBand="0" w:oddHBand="0" w:evenHBand="0" w:firstRowFirstColumn="0" w:firstRowLastColumn="0" w:lastRowFirstColumn="0" w:lastRowLastColumn="0"/>
              <w:rPr>
                <w:b w:val="0"/>
                <w:bCs w:val="0"/>
              </w:rPr>
            </w:pPr>
            <w:r w:rsidRPr="00B7058C">
              <w:rPr>
                <w:b w:val="0"/>
                <w:bCs w:val="0"/>
              </w:rPr>
              <w:t>History</w:t>
            </w:r>
          </w:p>
        </w:tc>
      </w:tr>
      <w:tr w:rsidR="00B7058C" w14:paraId="5C543C39" w14:textId="77777777" w:rsidTr="00CB0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09D0C38F" w14:textId="77777777" w:rsidR="00B7058C" w:rsidRPr="00B7058C" w:rsidRDefault="00B7058C">
            <w:pPr>
              <w:rPr>
                <w:b w:val="0"/>
                <w:bCs w:val="0"/>
              </w:rPr>
            </w:pPr>
          </w:p>
        </w:tc>
        <w:tc>
          <w:tcPr>
            <w:tcW w:w="7110" w:type="dxa"/>
            <w:tcBorders>
              <w:left w:val="nil"/>
              <w:right w:val="nil"/>
            </w:tcBorders>
            <w:hideMark/>
          </w:tcPr>
          <w:p w14:paraId="28EB0CBB" w14:textId="77777777" w:rsidR="00B7058C" w:rsidRPr="00B7058C" w:rsidRDefault="00B7058C">
            <w:pPr>
              <w:cnfStyle w:val="000000100000" w:firstRow="0" w:lastRow="0" w:firstColumn="0" w:lastColumn="0" w:oddVBand="0" w:evenVBand="0" w:oddHBand="1" w:evenHBand="0" w:firstRowFirstColumn="0" w:firstRowLastColumn="0" w:lastRowFirstColumn="0" w:lastRowLastColumn="0"/>
            </w:pPr>
            <w:r w:rsidRPr="00B7058C">
              <w:t>Physical Education</w:t>
            </w:r>
          </w:p>
        </w:tc>
      </w:tr>
      <w:tr w:rsidR="00B7058C" w14:paraId="1280F7B0" w14:textId="77777777" w:rsidTr="00CB080D">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26972BD4" w14:textId="77777777" w:rsidR="00B7058C" w:rsidRPr="00B7058C" w:rsidRDefault="00B7058C">
            <w:pPr>
              <w:rPr>
                <w:b w:val="0"/>
                <w:bCs w:val="0"/>
              </w:rPr>
            </w:pPr>
          </w:p>
        </w:tc>
        <w:tc>
          <w:tcPr>
            <w:tcW w:w="7110" w:type="dxa"/>
            <w:tcBorders>
              <w:left w:val="nil"/>
              <w:right w:val="nil"/>
            </w:tcBorders>
            <w:hideMark/>
          </w:tcPr>
          <w:p w14:paraId="107924AF" w14:textId="77777777" w:rsidR="00B7058C" w:rsidRPr="00B7058C" w:rsidRDefault="00B7058C">
            <w:pPr>
              <w:cnfStyle w:val="000000000000" w:firstRow="0" w:lastRow="0" w:firstColumn="0" w:lastColumn="0" w:oddVBand="0" w:evenVBand="0" w:oddHBand="0" w:evenHBand="0" w:firstRowFirstColumn="0" w:firstRowLastColumn="0" w:lastRowFirstColumn="0" w:lastRowLastColumn="0"/>
            </w:pPr>
            <w:r w:rsidRPr="00B7058C">
              <w:t>Reading Specialist</w:t>
            </w:r>
          </w:p>
        </w:tc>
      </w:tr>
      <w:tr w:rsidR="00B7058C" w14:paraId="58F83F82" w14:textId="77777777" w:rsidTr="00CB0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78AAD18F" w14:textId="77777777" w:rsidR="00B7058C" w:rsidRPr="00B7058C" w:rsidRDefault="00B7058C">
            <w:pPr>
              <w:rPr>
                <w:b w:val="0"/>
                <w:bCs w:val="0"/>
              </w:rPr>
            </w:pPr>
          </w:p>
        </w:tc>
        <w:tc>
          <w:tcPr>
            <w:tcW w:w="7110" w:type="dxa"/>
            <w:tcBorders>
              <w:left w:val="nil"/>
              <w:right w:val="nil"/>
            </w:tcBorders>
            <w:hideMark/>
          </w:tcPr>
          <w:p w14:paraId="4C3644BF" w14:textId="77777777" w:rsidR="00B7058C" w:rsidRPr="00B7058C" w:rsidRDefault="00B7058C">
            <w:pPr>
              <w:cnfStyle w:val="000000100000" w:firstRow="0" w:lastRow="0" w:firstColumn="0" w:lastColumn="0" w:oddVBand="0" w:evenVBand="0" w:oddHBand="1" w:evenHBand="0" w:firstRowFirstColumn="0" w:firstRowLastColumn="0" w:lastRowFirstColumn="0" w:lastRowLastColumn="0"/>
            </w:pPr>
            <w:r w:rsidRPr="00B7058C">
              <w:t>Visual Art</w:t>
            </w:r>
          </w:p>
        </w:tc>
      </w:tr>
      <w:tr w:rsidR="00B7058C" w14:paraId="19E5DF36" w14:textId="77777777" w:rsidTr="0062796B">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46A93C30" w14:textId="77777777" w:rsidR="00B7058C" w:rsidRPr="00B7058C" w:rsidRDefault="00B7058C">
            <w:pPr>
              <w:rPr>
                <w:b w:val="0"/>
                <w:bCs w:val="0"/>
              </w:rPr>
            </w:pPr>
          </w:p>
        </w:tc>
        <w:tc>
          <w:tcPr>
            <w:tcW w:w="7110" w:type="dxa"/>
            <w:tcBorders>
              <w:left w:val="nil"/>
              <w:right w:val="nil"/>
            </w:tcBorders>
            <w:hideMark/>
          </w:tcPr>
          <w:p w14:paraId="6576CEBC" w14:textId="77777777" w:rsidR="00B7058C" w:rsidRPr="00B7058C" w:rsidRDefault="00B7058C">
            <w:pPr>
              <w:cnfStyle w:val="000000000000" w:firstRow="0" w:lastRow="0" w:firstColumn="0" w:lastColumn="0" w:oddVBand="0" w:evenVBand="0" w:oddHBand="0" w:evenHBand="0" w:firstRowFirstColumn="0" w:firstRowLastColumn="0" w:lastRowFirstColumn="0" w:lastRowLastColumn="0"/>
            </w:pPr>
            <w:r w:rsidRPr="00B7058C">
              <w:t>Health/Family and Consumer Sciences</w:t>
            </w:r>
          </w:p>
        </w:tc>
      </w:tr>
    </w:tbl>
    <w:tbl>
      <w:tblPr>
        <w:tblStyle w:val="TableGrid"/>
        <w:tblW w:w="10476" w:type="dxa"/>
        <w:tblBorders>
          <w:top w:val="none" w:sz="0" w:space="0" w:color="auto"/>
          <w:left w:val="none" w:sz="0" w:space="0" w:color="auto"/>
          <w:bottom w:val="single" w:sz="12" w:space="0" w:color="154786" w:themeColor="text2"/>
          <w:right w:val="none" w:sz="0" w:space="0" w:color="auto"/>
          <w:insideH w:val="none" w:sz="0" w:space="0" w:color="auto"/>
          <w:insideV w:val="none" w:sz="0" w:space="0" w:color="auto"/>
        </w:tblBorders>
        <w:tblLook w:val="04A0" w:firstRow="1" w:lastRow="0" w:firstColumn="1" w:lastColumn="0" w:noHBand="0" w:noVBand="1"/>
      </w:tblPr>
      <w:tblGrid>
        <w:gridCol w:w="7740"/>
        <w:gridCol w:w="2736"/>
      </w:tblGrid>
      <w:tr w:rsidR="00185649" w14:paraId="2E319A7A" w14:textId="77777777" w:rsidTr="00BD07D7">
        <w:trPr>
          <w:trHeight w:val="1080"/>
        </w:trPr>
        <w:tc>
          <w:tcPr>
            <w:tcW w:w="7740" w:type="dxa"/>
            <w:tcBorders>
              <w:bottom w:val="single" w:sz="12" w:space="0" w:color="154786" w:themeColor="text2"/>
            </w:tcBorders>
            <w:shd w:val="clear" w:color="auto" w:fill="FFFFFF" w:themeFill="background1"/>
            <w:vAlign w:val="center"/>
          </w:tcPr>
          <w:p w14:paraId="22B0D716" w14:textId="77777777" w:rsidR="00185649" w:rsidRPr="00570A94" w:rsidRDefault="00185649" w:rsidP="00BD07D7">
            <w:pPr>
              <w:pStyle w:val="Header"/>
              <w:rPr>
                <w:b/>
                <w:color w:val="154786" w:themeColor="text2"/>
                <w:sz w:val="40"/>
                <w:szCs w:val="16"/>
              </w:rPr>
            </w:pPr>
            <w:r>
              <w:rPr>
                <w:b/>
                <w:color w:val="154786" w:themeColor="text2"/>
                <w:sz w:val="48"/>
                <w:szCs w:val="16"/>
              </w:rPr>
              <w:lastRenderedPageBreak/>
              <w:t>E</w:t>
            </w:r>
            <w:r w:rsidRPr="00570A94">
              <w:rPr>
                <w:b/>
                <w:color w:val="154786" w:themeColor="text2"/>
                <w:sz w:val="48"/>
                <w:szCs w:val="16"/>
              </w:rPr>
              <w:t>d</w:t>
            </w:r>
            <w:r>
              <w:rPr>
                <w:b/>
                <w:color w:val="154786" w:themeColor="text2"/>
                <w:sz w:val="48"/>
                <w:szCs w:val="16"/>
              </w:rPr>
              <w:t xml:space="preserve"> Prep Policy Advisory 2020</w:t>
            </w:r>
          </w:p>
          <w:p w14:paraId="753830DE" w14:textId="77777777" w:rsidR="00185649" w:rsidRPr="00A5542B" w:rsidRDefault="00185649" w:rsidP="00BD07D7">
            <w:pPr>
              <w:pStyle w:val="Header"/>
              <w:rPr>
                <w:color w:val="FFFFFF" w:themeColor="background1"/>
                <w:sz w:val="40"/>
                <w:szCs w:val="16"/>
              </w:rPr>
            </w:pPr>
            <w:r>
              <w:rPr>
                <w:color w:val="E28325" w:themeColor="accent2"/>
                <w:sz w:val="36"/>
                <w:szCs w:val="16"/>
              </w:rPr>
              <w:t xml:space="preserve">MTEL Online Testing – Beginning in October </w:t>
            </w:r>
          </w:p>
        </w:tc>
        <w:tc>
          <w:tcPr>
            <w:tcW w:w="2736" w:type="dxa"/>
            <w:tcBorders>
              <w:bottom w:val="single" w:sz="12" w:space="0" w:color="154786" w:themeColor="text2"/>
            </w:tcBorders>
          </w:tcPr>
          <w:p w14:paraId="07B7B89A" w14:textId="77777777" w:rsidR="00185649" w:rsidRDefault="00D079EC" w:rsidP="00BD07D7">
            <w:pPr>
              <w:pStyle w:val="Header"/>
              <w:jc w:val="right"/>
              <w:rPr>
                <w:sz w:val="16"/>
                <w:szCs w:val="16"/>
              </w:rPr>
            </w:pPr>
            <w:r w:rsidRPr="00D079EC">
              <w:rPr>
                <w:noProof/>
                <w:sz w:val="16"/>
                <w:szCs w:val="16"/>
                <w:lang w:eastAsia="zh-CN" w:bidi="km-KH"/>
              </w:rPr>
              <w:drawing>
                <wp:inline distT="0" distB="0" distL="0" distR="0" wp14:anchorId="64190466" wp14:editId="2ECAB4DE">
                  <wp:extent cx="1381125" cy="561975"/>
                  <wp:effectExtent l="0" t="0" r="0" b="0"/>
                  <wp:docPr id="1" name="Picture 5"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ess After High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561975"/>
                          </a:xfrm>
                          <a:prstGeom prst="rect">
                            <a:avLst/>
                          </a:prstGeom>
                          <a:noFill/>
                          <a:ln>
                            <a:noFill/>
                          </a:ln>
                        </pic:spPr>
                      </pic:pic>
                    </a:graphicData>
                  </a:graphic>
                </wp:inline>
              </w:drawing>
            </w:r>
          </w:p>
        </w:tc>
      </w:tr>
    </w:tbl>
    <w:p w14:paraId="40000C71" w14:textId="77777777" w:rsidR="00185649" w:rsidRPr="00B43E12" w:rsidRDefault="00185649" w:rsidP="00185649">
      <w:pPr>
        <w:pStyle w:val="Header"/>
        <w:rPr>
          <w:sz w:val="16"/>
          <w:szCs w:val="16"/>
        </w:rPr>
      </w:pPr>
    </w:p>
    <w:tbl>
      <w:tblPr>
        <w:tblStyle w:val="GridTable2-Accent1"/>
        <w:tblW w:w="0" w:type="auto"/>
        <w:tblInd w:w="0" w:type="dxa"/>
        <w:tblLook w:val="04A0" w:firstRow="1" w:lastRow="0" w:firstColumn="1" w:lastColumn="0" w:noHBand="0" w:noVBand="1"/>
      </w:tblPr>
      <w:tblGrid>
        <w:gridCol w:w="2700"/>
        <w:gridCol w:w="7110"/>
      </w:tblGrid>
      <w:tr w:rsidR="00B7058C" w14:paraId="5C046384" w14:textId="77777777" w:rsidTr="00B70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left w:val="nil"/>
            </w:tcBorders>
            <w:vAlign w:val="center"/>
          </w:tcPr>
          <w:p w14:paraId="5CEA27E3" w14:textId="77777777" w:rsidR="00B7058C" w:rsidRDefault="00B7058C" w:rsidP="00B7058C">
            <w:pPr>
              <w:jc w:val="center"/>
            </w:pPr>
            <w:r>
              <w:t>December 2020</w:t>
            </w:r>
          </w:p>
        </w:tc>
        <w:tc>
          <w:tcPr>
            <w:tcW w:w="7110" w:type="dxa"/>
            <w:tcBorders>
              <w:right w:val="nil"/>
            </w:tcBorders>
            <w:hideMark/>
          </w:tcPr>
          <w:p w14:paraId="1E090B54" w14:textId="77777777" w:rsidR="00B7058C" w:rsidRPr="00925872" w:rsidRDefault="00B7058C">
            <w:pPr>
              <w:cnfStyle w:val="100000000000" w:firstRow="1" w:lastRow="0" w:firstColumn="0" w:lastColumn="0" w:oddVBand="0" w:evenVBand="0" w:oddHBand="0" w:evenHBand="0" w:firstRowFirstColumn="0" w:firstRowLastColumn="0" w:lastRowFirstColumn="0" w:lastRowLastColumn="0"/>
              <w:rPr>
                <w:b w:val="0"/>
                <w:bCs w:val="0"/>
              </w:rPr>
            </w:pPr>
            <w:r w:rsidRPr="00925872">
              <w:rPr>
                <w:b w:val="0"/>
                <w:bCs w:val="0"/>
              </w:rPr>
              <w:t>Vocational Technical Literacy Skills (</w:t>
            </w:r>
            <w:r w:rsidR="001E7107" w:rsidRPr="00925872">
              <w:rPr>
                <w:b w:val="0"/>
                <w:bCs w:val="0"/>
              </w:rPr>
              <w:t xml:space="preserve">Reading and </w:t>
            </w:r>
            <w:r w:rsidRPr="00925872">
              <w:rPr>
                <w:b w:val="0"/>
                <w:bCs w:val="0"/>
              </w:rPr>
              <w:t>Writing)</w:t>
            </w:r>
          </w:p>
        </w:tc>
      </w:tr>
      <w:tr w:rsidR="00B7058C" w14:paraId="1C2A0058" w14:textId="77777777" w:rsidTr="00686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2F6A9C2A" w14:textId="77777777" w:rsidR="00B7058C" w:rsidRDefault="00B7058C"/>
        </w:tc>
        <w:tc>
          <w:tcPr>
            <w:tcW w:w="7110" w:type="dxa"/>
            <w:tcBorders>
              <w:left w:val="nil"/>
              <w:right w:val="nil"/>
            </w:tcBorders>
            <w:hideMark/>
          </w:tcPr>
          <w:p w14:paraId="27F5CF9A" w14:textId="77777777" w:rsidR="00B7058C" w:rsidRDefault="00B7058C">
            <w:pPr>
              <w:cnfStyle w:val="000000100000" w:firstRow="0" w:lastRow="0" w:firstColumn="0" w:lastColumn="0" w:oddVBand="0" w:evenVBand="0" w:oddHBand="1" w:evenHBand="0" w:firstRowFirstColumn="0" w:firstRowLastColumn="0" w:lastRowFirstColumn="0" w:lastRowLastColumn="0"/>
            </w:pPr>
            <w:r>
              <w:t>Middle School Humanities</w:t>
            </w:r>
          </w:p>
        </w:tc>
      </w:tr>
      <w:tr w:rsidR="00B7058C" w14:paraId="2A343FBB" w14:textId="77777777" w:rsidTr="00686D82">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125BE8B1" w14:textId="77777777" w:rsidR="00B7058C" w:rsidRDefault="00B7058C"/>
        </w:tc>
        <w:tc>
          <w:tcPr>
            <w:tcW w:w="7110" w:type="dxa"/>
            <w:tcBorders>
              <w:left w:val="nil"/>
              <w:right w:val="nil"/>
            </w:tcBorders>
            <w:hideMark/>
          </w:tcPr>
          <w:p w14:paraId="6AFA9508" w14:textId="77777777" w:rsidR="00B7058C" w:rsidRDefault="00B7058C">
            <w:pPr>
              <w:cnfStyle w:val="000000000000" w:firstRow="0" w:lastRow="0" w:firstColumn="0" w:lastColumn="0" w:oddVBand="0" w:evenVBand="0" w:oddHBand="0" w:evenHBand="0" w:firstRowFirstColumn="0" w:firstRowLastColumn="0" w:lastRowFirstColumn="0" w:lastRowLastColumn="0"/>
            </w:pPr>
            <w:r>
              <w:t>Theater</w:t>
            </w:r>
          </w:p>
        </w:tc>
      </w:tr>
      <w:tr w:rsidR="00B7058C" w14:paraId="1B2DF2E3" w14:textId="77777777" w:rsidTr="00686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317DAB19" w14:textId="77777777" w:rsidR="00B7058C" w:rsidRDefault="00B7058C"/>
        </w:tc>
        <w:tc>
          <w:tcPr>
            <w:tcW w:w="7110" w:type="dxa"/>
            <w:tcBorders>
              <w:left w:val="nil"/>
              <w:right w:val="nil"/>
            </w:tcBorders>
            <w:hideMark/>
          </w:tcPr>
          <w:p w14:paraId="3D19A078" w14:textId="77777777" w:rsidR="00B7058C" w:rsidRDefault="00B7058C">
            <w:pPr>
              <w:cnfStyle w:val="000000100000" w:firstRow="0" w:lastRow="0" w:firstColumn="0" w:lastColumn="0" w:oddVBand="0" w:evenVBand="0" w:oddHBand="1" w:evenHBand="0" w:firstRowFirstColumn="0" w:firstRowLastColumn="0" w:lastRowFirstColumn="0" w:lastRowLastColumn="0"/>
            </w:pPr>
            <w:r>
              <w:t>Business</w:t>
            </w:r>
          </w:p>
        </w:tc>
      </w:tr>
      <w:tr w:rsidR="00B7058C" w14:paraId="542C17E0" w14:textId="77777777" w:rsidTr="005257A2">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4CCBB965" w14:textId="77777777" w:rsidR="00B7058C" w:rsidRDefault="00B7058C"/>
        </w:tc>
        <w:tc>
          <w:tcPr>
            <w:tcW w:w="7110" w:type="dxa"/>
            <w:tcBorders>
              <w:left w:val="nil"/>
              <w:right w:val="nil"/>
            </w:tcBorders>
            <w:hideMark/>
          </w:tcPr>
          <w:p w14:paraId="3E9423BE" w14:textId="77777777" w:rsidR="00B7058C" w:rsidRDefault="00B7058C">
            <w:pPr>
              <w:cnfStyle w:val="000000000000" w:firstRow="0" w:lastRow="0" w:firstColumn="0" w:lastColumn="0" w:oddVBand="0" w:evenVBand="0" w:oddHBand="0" w:evenHBand="0" w:firstRowFirstColumn="0" w:firstRowLastColumn="0" w:lastRowFirstColumn="0" w:lastRowLastColumn="0"/>
            </w:pPr>
            <w:r>
              <w:t>Latin and Classical Humanities</w:t>
            </w:r>
          </w:p>
        </w:tc>
      </w:tr>
      <w:tr w:rsidR="00B7058C" w14:paraId="48A3AAD5" w14:textId="77777777" w:rsidTr="00B70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left w:val="nil"/>
              <w:right w:val="nil"/>
            </w:tcBorders>
            <w:vAlign w:val="center"/>
          </w:tcPr>
          <w:p w14:paraId="3A9CBCC6" w14:textId="77777777" w:rsidR="00B7058C" w:rsidRDefault="00B7058C" w:rsidP="00B7058C">
            <w:pPr>
              <w:jc w:val="center"/>
            </w:pPr>
            <w:r>
              <w:t>January 2021</w:t>
            </w:r>
          </w:p>
        </w:tc>
        <w:tc>
          <w:tcPr>
            <w:tcW w:w="7110" w:type="dxa"/>
            <w:tcBorders>
              <w:left w:val="nil"/>
              <w:right w:val="nil"/>
            </w:tcBorders>
            <w:hideMark/>
          </w:tcPr>
          <w:p w14:paraId="2A02CDF3" w14:textId="77777777" w:rsidR="00B7058C" w:rsidRDefault="00B7058C">
            <w:pPr>
              <w:cnfStyle w:val="000000100000" w:firstRow="0" w:lastRow="0" w:firstColumn="0" w:lastColumn="0" w:oddVBand="0" w:evenVBand="0" w:oddHBand="1" w:evenHBand="0" w:firstRowFirstColumn="0" w:firstRowLastColumn="0" w:lastRowFirstColumn="0" w:lastRowLastColumn="0"/>
            </w:pPr>
            <w:r>
              <w:t>Political Science/Political Philosophy</w:t>
            </w:r>
          </w:p>
        </w:tc>
      </w:tr>
      <w:tr w:rsidR="00B7058C" w14:paraId="501CEBB6" w14:textId="77777777" w:rsidTr="002C687D">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49DD9920" w14:textId="77777777" w:rsidR="00B7058C" w:rsidRDefault="00B7058C"/>
        </w:tc>
        <w:tc>
          <w:tcPr>
            <w:tcW w:w="7110" w:type="dxa"/>
            <w:tcBorders>
              <w:left w:val="nil"/>
              <w:right w:val="nil"/>
            </w:tcBorders>
            <w:hideMark/>
          </w:tcPr>
          <w:p w14:paraId="5548421B" w14:textId="77777777" w:rsidR="00B7058C" w:rsidRDefault="00B7058C">
            <w:pPr>
              <w:cnfStyle w:val="000000000000" w:firstRow="0" w:lastRow="0" w:firstColumn="0" w:lastColumn="0" w:oddVBand="0" w:evenVBand="0" w:oddHBand="0" w:evenHBand="0" w:firstRowFirstColumn="0" w:firstRowLastColumn="0" w:lastRowFirstColumn="0" w:lastRowLastColumn="0"/>
            </w:pPr>
            <w:r>
              <w:t>Dance</w:t>
            </w:r>
          </w:p>
        </w:tc>
      </w:tr>
      <w:tr w:rsidR="00B7058C" w14:paraId="2647BA7E" w14:textId="77777777" w:rsidTr="002C6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008B8029" w14:textId="77777777" w:rsidR="00B7058C" w:rsidRDefault="00B7058C"/>
        </w:tc>
        <w:tc>
          <w:tcPr>
            <w:tcW w:w="7110" w:type="dxa"/>
            <w:tcBorders>
              <w:left w:val="nil"/>
              <w:right w:val="nil"/>
            </w:tcBorders>
            <w:hideMark/>
          </w:tcPr>
          <w:p w14:paraId="02C04C9C" w14:textId="77777777" w:rsidR="00B7058C" w:rsidRDefault="00B7058C">
            <w:pPr>
              <w:cnfStyle w:val="000000100000" w:firstRow="0" w:lastRow="0" w:firstColumn="0" w:lastColumn="0" w:oddVBand="0" w:evenVBand="0" w:oddHBand="1" w:evenHBand="0" w:firstRowFirstColumn="0" w:firstRowLastColumn="0" w:lastRowFirstColumn="0" w:lastRowLastColumn="0"/>
            </w:pPr>
            <w:r>
              <w:t>Adult Basic Education</w:t>
            </w:r>
          </w:p>
        </w:tc>
      </w:tr>
      <w:tr w:rsidR="00B7058C" w14:paraId="716C9E3E" w14:textId="77777777" w:rsidTr="002C687D">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28CA2D21" w14:textId="77777777" w:rsidR="00B7058C" w:rsidRDefault="00B7058C"/>
        </w:tc>
        <w:tc>
          <w:tcPr>
            <w:tcW w:w="7110" w:type="dxa"/>
            <w:tcBorders>
              <w:left w:val="nil"/>
              <w:right w:val="nil"/>
            </w:tcBorders>
            <w:hideMark/>
          </w:tcPr>
          <w:p w14:paraId="6F3222C4" w14:textId="77777777" w:rsidR="00B7058C" w:rsidRDefault="00B7058C">
            <w:pPr>
              <w:cnfStyle w:val="000000000000" w:firstRow="0" w:lastRow="0" w:firstColumn="0" w:lastColumn="0" w:oddVBand="0" w:evenVBand="0" w:oddHBand="0" w:evenHBand="0" w:firstRowFirstColumn="0" w:firstRowLastColumn="0" w:lastRowFirstColumn="0" w:lastRowLastColumn="0"/>
            </w:pPr>
            <w:r>
              <w:t>Speech</w:t>
            </w:r>
          </w:p>
        </w:tc>
      </w:tr>
      <w:tr w:rsidR="00B7058C" w14:paraId="68BB07E8" w14:textId="77777777" w:rsidTr="002C6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6EFF9B72" w14:textId="77777777" w:rsidR="00B7058C" w:rsidRDefault="00B7058C"/>
        </w:tc>
        <w:tc>
          <w:tcPr>
            <w:tcW w:w="7110" w:type="dxa"/>
            <w:tcBorders>
              <w:left w:val="nil"/>
              <w:right w:val="nil"/>
            </w:tcBorders>
            <w:hideMark/>
          </w:tcPr>
          <w:p w14:paraId="5EFB460B" w14:textId="77777777" w:rsidR="00B7058C" w:rsidRDefault="00B7058C">
            <w:pPr>
              <w:cnfStyle w:val="000000100000" w:firstRow="0" w:lastRow="0" w:firstColumn="0" w:lastColumn="0" w:oddVBand="0" w:evenVBand="0" w:oddHBand="1" w:evenHBand="0" w:firstRowFirstColumn="0" w:firstRowLastColumn="0" w:lastRowFirstColumn="0" w:lastRowLastColumn="0"/>
            </w:pPr>
            <w:r>
              <w:t>Academically Advanced</w:t>
            </w:r>
          </w:p>
        </w:tc>
      </w:tr>
      <w:tr w:rsidR="00B7058C" w14:paraId="76C21757" w14:textId="77777777" w:rsidTr="002C687D">
        <w:tc>
          <w:tcPr>
            <w:cnfStyle w:val="001000000000" w:firstRow="0" w:lastRow="0" w:firstColumn="1" w:lastColumn="0" w:oddVBand="0" w:evenVBand="0" w:oddHBand="0" w:evenHBand="0" w:firstRowFirstColumn="0" w:firstRowLastColumn="0" w:lastRowFirstColumn="0" w:lastRowLastColumn="0"/>
            <w:tcW w:w="2700" w:type="dxa"/>
            <w:vMerge/>
            <w:tcBorders>
              <w:left w:val="nil"/>
              <w:right w:val="nil"/>
            </w:tcBorders>
          </w:tcPr>
          <w:p w14:paraId="6A2B4F68" w14:textId="77777777" w:rsidR="00B7058C" w:rsidRDefault="00B7058C"/>
        </w:tc>
        <w:tc>
          <w:tcPr>
            <w:tcW w:w="7110" w:type="dxa"/>
            <w:tcBorders>
              <w:left w:val="nil"/>
              <w:right w:val="nil"/>
            </w:tcBorders>
          </w:tcPr>
          <w:p w14:paraId="1A9239DA" w14:textId="77777777" w:rsidR="00B7058C" w:rsidRDefault="00B7058C">
            <w:pPr>
              <w:cnfStyle w:val="000000000000" w:firstRow="0" w:lastRow="0" w:firstColumn="0" w:lastColumn="0" w:oddVBand="0" w:evenVBand="0" w:oddHBand="0" w:evenHBand="0" w:firstRowFirstColumn="0" w:firstRowLastColumn="0" w:lastRowFirstColumn="0" w:lastRowLastColumn="0"/>
            </w:pPr>
            <w:r>
              <w:t>Bilingual Education</w:t>
            </w:r>
          </w:p>
        </w:tc>
      </w:tr>
    </w:tbl>
    <w:p w14:paraId="0F0658D3" w14:textId="77777777" w:rsidR="00D73F6D" w:rsidRDefault="00D73F6D" w:rsidP="00D73F6D">
      <w:pPr>
        <w:rPr>
          <w:rFonts w:cs="Arial"/>
          <w:sz w:val="22"/>
          <w:szCs w:val="22"/>
        </w:rPr>
      </w:pPr>
    </w:p>
    <w:p w14:paraId="018A3FA4" w14:textId="77777777" w:rsidR="00327D7B" w:rsidRPr="00327D7B" w:rsidRDefault="00327D7B" w:rsidP="00D73F6D">
      <w:pPr>
        <w:rPr>
          <w:b/>
          <w:bCs/>
          <w:color w:val="5B9BD5" w:themeColor="accent1"/>
        </w:rPr>
      </w:pPr>
      <w:r>
        <w:rPr>
          <w:b/>
          <w:bCs/>
          <w:color w:val="5B9BD5" w:themeColor="accent1"/>
        </w:rPr>
        <w:t>Why Not All MTELs</w:t>
      </w:r>
    </w:p>
    <w:p w14:paraId="2FB837C4" w14:textId="77777777" w:rsidR="00D73F6D" w:rsidRDefault="00D73F6D" w:rsidP="00D73F6D">
      <w:r>
        <w:t xml:space="preserve">At this time, not all tests are structurally able to be moved to an online environment due to oral components of the test and items that require scanned responses. We are continuing to work with Evaluation Systems of Pearson on making these tests available online in the future. </w:t>
      </w:r>
    </w:p>
    <w:p w14:paraId="49403518" w14:textId="77777777" w:rsidR="00327D7B" w:rsidRDefault="00327D7B" w:rsidP="00D73F6D"/>
    <w:p w14:paraId="3F41A55C" w14:textId="77777777" w:rsidR="00327D7B" w:rsidRPr="00327D7B" w:rsidRDefault="00327D7B" w:rsidP="00327D7B">
      <w:pPr>
        <w:rPr>
          <w:b/>
          <w:bCs/>
          <w:color w:val="5B9BD5" w:themeColor="accent1"/>
        </w:rPr>
      </w:pPr>
      <w:r>
        <w:rPr>
          <w:b/>
          <w:bCs/>
          <w:color w:val="5B9BD5" w:themeColor="accent1"/>
        </w:rPr>
        <w:t>Online Testing Environment</w:t>
      </w:r>
    </w:p>
    <w:p w14:paraId="54718F17" w14:textId="77777777" w:rsidR="00327D7B" w:rsidRDefault="00327D7B" w:rsidP="00327D7B">
      <w:r>
        <w:t xml:space="preserve">The online testing environment will have some unique requirements for candidates due to testing security. For example, online tests will not be able to allow for unscheduled breaks for security reasons. As a result, ES is building breaks into the tests to allow more flexibility for candidates. This will impact a candidate’s ability to return to earlier questions in the tests following their break. In advance of the October online MTEL administration of the first set of tests, more information will be available regarding testing in the online environment. </w:t>
      </w:r>
    </w:p>
    <w:p w14:paraId="238B48F0" w14:textId="77777777" w:rsidR="00327D7B" w:rsidRDefault="00327D7B" w:rsidP="00D73F6D"/>
    <w:p w14:paraId="3179E206" w14:textId="77777777" w:rsidR="0006510B" w:rsidRDefault="00D73F6D" w:rsidP="00D73F6D">
      <w:r>
        <w:t xml:space="preserve">We continue to keep equitable access to the MTEL at the forefront of our decision-making process. We are taking into consideration options for accommodations, candidate access to technology and wi-fi, and testing environments. Our hope is that the online testing option will alleviate </w:t>
      </w:r>
      <w:r w:rsidR="00E51E20">
        <w:t xml:space="preserve">some </w:t>
      </w:r>
      <w:r>
        <w:t xml:space="preserve">burden on educators who have been unable to test this Spring, and on those who have been impacted by the social distancing requirements at the now re-opened testing centers. </w:t>
      </w:r>
    </w:p>
    <w:p w14:paraId="2BE0DAEB" w14:textId="77777777" w:rsidR="0006510B" w:rsidRDefault="0006510B" w:rsidP="00D73F6D"/>
    <w:p w14:paraId="6C3B41EF" w14:textId="77777777" w:rsidR="00D73F6D" w:rsidRDefault="00D73F6D" w:rsidP="00D73F6D"/>
    <w:p w14:paraId="385D627D" w14:textId="77777777" w:rsidR="00D73F6D" w:rsidRDefault="00D73F6D" w:rsidP="00D73F6D"/>
    <w:sectPr w:rsidR="00D73F6D" w:rsidSect="00A5542B">
      <w:footerReference w:type="default" r:id="rId13"/>
      <w:type w:val="continuous"/>
      <w:pgSz w:w="12240" w:h="15840"/>
      <w:pgMar w:top="900" w:right="1350" w:bottom="720" w:left="1080" w:header="450" w:footer="57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9465" w14:textId="77777777" w:rsidR="001B7CE1" w:rsidRDefault="001B7CE1">
      <w:r>
        <w:separator/>
      </w:r>
    </w:p>
  </w:endnote>
  <w:endnote w:type="continuationSeparator" w:id="0">
    <w:p w14:paraId="4913B0A3" w14:textId="77777777" w:rsidR="001B7CE1" w:rsidRDefault="001B7CE1">
      <w:r>
        <w:continuationSeparator/>
      </w:r>
    </w:p>
  </w:endnote>
  <w:endnote w:type="continuationNotice" w:id="1">
    <w:p w14:paraId="3A3B1DBE" w14:textId="77777777" w:rsidR="001B7CE1" w:rsidRDefault="001B7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panose1 w:val="00000000000000000000"/>
    <w:charset w:val="00"/>
    <w:family w:val="roman"/>
    <w:notTrueType/>
    <w:pitch w:val="default"/>
  </w:font>
  <w:font w:name="DaunPenh">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577B" w14:textId="46D9F7CF" w:rsidR="00AC6DA3" w:rsidRPr="000E149C" w:rsidRDefault="00077976" w:rsidP="000E149C">
    <w:pPr>
      <w:pStyle w:val="Footer"/>
      <w:jc w:val="right"/>
      <w:rPr>
        <w:rFonts w:ascii="Calibri" w:hAnsi="Calibri"/>
        <w:color w:val="154786" w:themeColor="text2"/>
        <w:sz w:val="22"/>
        <w:szCs w:val="22"/>
      </w:rPr>
    </w:pPr>
    <w:r>
      <w:rPr>
        <w:noProof/>
      </w:rPr>
      <mc:AlternateContent>
        <mc:Choice Requires="wps">
          <w:drawing>
            <wp:anchor distT="4294967294" distB="4294967294" distL="114300" distR="114300" simplePos="0" relativeHeight="251660288" behindDoc="0" locked="0" layoutInCell="1" allowOverlap="1" wp14:anchorId="41ADBD7F" wp14:editId="39A62C63">
              <wp:simplePos x="0" y="0"/>
              <wp:positionH relativeFrom="column">
                <wp:posOffset>944880</wp:posOffset>
              </wp:positionH>
              <wp:positionV relativeFrom="paragraph">
                <wp:posOffset>277494</wp:posOffset>
              </wp:positionV>
              <wp:extent cx="5588635" cy="0"/>
              <wp:effectExtent l="0" t="0" r="0" b="0"/>
              <wp:wrapNone/>
              <wp:docPr id="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straightConnector1">
                        <a:avLst/>
                      </a:prstGeom>
                      <a:noFill/>
                      <a:ln w="19050">
                        <a:solidFill>
                          <a:schemeClr val="tx2"/>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F5556C" id="_x0000_t32" coordsize="21600,21600" o:spt="32" o:oned="t" path="m,l21600,21600e" filled="f">
              <v:path arrowok="t" fillok="f" o:connecttype="none"/>
              <o:lock v:ext="edit" shapetype="t"/>
            </v:shapetype>
            <v:shape id="AutoShape 3" o:spid="_x0000_s1026" type="#_x0000_t32" style="position:absolute;margin-left:74.4pt;margin-top:21.85pt;width:440.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" strokecolor="#154786 [3215]" strokeweight="1.5pt"/>
          </w:pict>
        </mc:Fallback>
      </mc:AlternateContent>
    </w:r>
    <w:bookmarkStart w:id="1" w:name="_GoBack"/>
    <w:r w:rsidR="0032579B">
      <w:rPr>
        <w:noProof/>
      </w:rPr>
      <w:drawing>
        <wp:anchor distT="0" distB="0" distL="114300" distR="114300" simplePos="0" relativeHeight="251659264" behindDoc="0" locked="0" layoutInCell="1" allowOverlap="1" wp14:anchorId="414B9AA3" wp14:editId="0C782F77">
          <wp:simplePos x="0" y="0"/>
          <wp:positionH relativeFrom="column">
            <wp:posOffset>-190500</wp:posOffset>
          </wp:positionH>
          <wp:positionV relativeFrom="paragraph">
            <wp:posOffset>-198120</wp:posOffset>
          </wp:positionV>
          <wp:extent cx="1057275" cy="514350"/>
          <wp:effectExtent l="0" t="0" r="0" b="0"/>
          <wp:wrapTopAndBottom/>
          <wp:docPr id="2" name="Picture 10"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06510B">
      <w:rPr>
        <w:rFonts w:ascii="Calibri" w:hAnsi="Calibri"/>
        <w:color w:val="154786" w:themeColor="text2"/>
        <w:sz w:val="22"/>
        <w:szCs w:val="22"/>
      </w:rPr>
      <w:t>Online MTEL Testing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33138" w14:textId="77777777" w:rsidR="001B7CE1" w:rsidRDefault="001B7CE1">
      <w:r>
        <w:separator/>
      </w:r>
    </w:p>
  </w:footnote>
  <w:footnote w:type="continuationSeparator" w:id="0">
    <w:p w14:paraId="4009466D" w14:textId="77777777" w:rsidR="001B7CE1" w:rsidRDefault="001B7CE1">
      <w:r>
        <w:continuationSeparator/>
      </w:r>
    </w:p>
  </w:footnote>
  <w:footnote w:type="continuationNotice" w:id="1">
    <w:p w14:paraId="206BC89C" w14:textId="77777777" w:rsidR="001B7CE1" w:rsidRDefault="001B7C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B8B"/>
    <w:multiLevelType w:val="hybridMultilevel"/>
    <w:tmpl w:val="56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A33"/>
    <w:multiLevelType w:val="hybridMultilevel"/>
    <w:tmpl w:val="50B4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400"/>
    <w:multiLevelType w:val="hybridMultilevel"/>
    <w:tmpl w:val="AC1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C27F8"/>
    <w:multiLevelType w:val="hybridMultilevel"/>
    <w:tmpl w:val="12F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25A09"/>
    <w:multiLevelType w:val="hybridMultilevel"/>
    <w:tmpl w:val="9522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807"/>
    <w:multiLevelType w:val="hybridMultilevel"/>
    <w:tmpl w:val="C836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33A0F"/>
    <w:multiLevelType w:val="hybridMultilevel"/>
    <w:tmpl w:val="0E2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F497B"/>
    <w:multiLevelType w:val="hybridMultilevel"/>
    <w:tmpl w:val="653889E0"/>
    <w:lvl w:ilvl="0" w:tplc="3A74F7DA">
      <w:start w:val="1"/>
      <w:numFmt w:val="decimal"/>
      <w:lvlText w:val="%1)"/>
      <w:lvlJc w:val="left"/>
      <w:pPr>
        <w:tabs>
          <w:tab w:val="num" w:pos="720"/>
        </w:tabs>
        <w:ind w:left="720" w:hanging="360"/>
      </w:pPr>
      <w:rPr>
        <w:rFonts w:cs="Times New Roman" w:hint="default"/>
      </w:rPr>
    </w:lvl>
    <w:lvl w:ilvl="1" w:tplc="EDF09BF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DF6860"/>
    <w:multiLevelType w:val="hybridMultilevel"/>
    <w:tmpl w:val="16AE8D3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2068747C"/>
    <w:multiLevelType w:val="hybridMultilevel"/>
    <w:tmpl w:val="2A5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03CB6"/>
    <w:multiLevelType w:val="hybridMultilevel"/>
    <w:tmpl w:val="BF36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D6BEF"/>
    <w:multiLevelType w:val="hybridMultilevel"/>
    <w:tmpl w:val="182490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E54188C"/>
    <w:multiLevelType w:val="hybridMultilevel"/>
    <w:tmpl w:val="D20A7D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63547DE"/>
    <w:multiLevelType w:val="hybridMultilevel"/>
    <w:tmpl w:val="969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8242D"/>
    <w:multiLevelType w:val="hybridMultilevel"/>
    <w:tmpl w:val="0228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4651"/>
    <w:multiLevelType w:val="hybridMultilevel"/>
    <w:tmpl w:val="A2C6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07C67"/>
    <w:multiLevelType w:val="hybridMultilevel"/>
    <w:tmpl w:val="AAC4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901DE"/>
    <w:multiLevelType w:val="hybridMultilevel"/>
    <w:tmpl w:val="B3E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D78C6"/>
    <w:multiLevelType w:val="hybridMultilevel"/>
    <w:tmpl w:val="82AA5A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902B48"/>
    <w:multiLevelType w:val="hybridMultilevel"/>
    <w:tmpl w:val="D01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B0068"/>
    <w:multiLevelType w:val="hybridMultilevel"/>
    <w:tmpl w:val="A52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C5A6C"/>
    <w:multiLevelType w:val="hybridMultilevel"/>
    <w:tmpl w:val="71F09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902AB"/>
    <w:multiLevelType w:val="hybridMultilevel"/>
    <w:tmpl w:val="1A0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37269"/>
    <w:multiLevelType w:val="hybridMultilevel"/>
    <w:tmpl w:val="340649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F665A39"/>
    <w:multiLevelType w:val="hybridMultilevel"/>
    <w:tmpl w:val="1456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B71E8"/>
    <w:multiLevelType w:val="hybridMultilevel"/>
    <w:tmpl w:val="4C3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00797"/>
    <w:multiLevelType w:val="hybridMultilevel"/>
    <w:tmpl w:val="653889E0"/>
    <w:lvl w:ilvl="0" w:tplc="3A74F7DA">
      <w:start w:val="1"/>
      <w:numFmt w:val="decimal"/>
      <w:lvlText w:val="%1)"/>
      <w:lvlJc w:val="left"/>
      <w:pPr>
        <w:tabs>
          <w:tab w:val="num" w:pos="720"/>
        </w:tabs>
        <w:ind w:left="720" w:hanging="360"/>
      </w:pPr>
      <w:rPr>
        <w:rFonts w:cs="Times New Roman" w:hint="default"/>
      </w:rPr>
    </w:lvl>
    <w:lvl w:ilvl="1" w:tplc="EDF09BF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CD57C4"/>
    <w:multiLevelType w:val="hybridMultilevel"/>
    <w:tmpl w:val="776CE4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B4A0C48"/>
    <w:multiLevelType w:val="hybridMultilevel"/>
    <w:tmpl w:val="C66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6"/>
  </w:num>
  <w:num w:numId="4">
    <w:abstractNumId w:val="2"/>
  </w:num>
  <w:num w:numId="5">
    <w:abstractNumId w:val="22"/>
  </w:num>
  <w:num w:numId="6">
    <w:abstractNumId w:val="9"/>
  </w:num>
  <w:num w:numId="7">
    <w:abstractNumId w:val="25"/>
  </w:num>
  <w:num w:numId="8">
    <w:abstractNumId w:val="15"/>
  </w:num>
  <w:num w:numId="9">
    <w:abstractNumId w:val="23"/>
  </w:num>
  <w:num w:numId="10">
    <w:abstractNumId w:val="18"/>
  </w:num>
  <w:num w:numId="11">
    <w:abstractNumId w:val="13"/>
  </w:num>
  <w:num w:numId="12">
    <w:abstractNumId w:val="20"/>
  </w:num>
  <w:num w:numId="13">
    <w:abstractNumId w:val="28"/>
  </w:num>
  <w:num w:numId="14">
    <w:abstractNumId w:val="21"/>
  </w:num>
  <w:num w:numId="15">
    <w:abstractNumId w:val="8"/>
  </w:num>
  <w:num w:numId="16">
    <w:abstractNumId w:val="11"/>
  </w:num>
  <w:num w:numId="17">
    <w:abstractNumId w:val="0"/>
  </w:num>
  <w:num w:numId="18">
    <w:abstractNumId w:val="10"/>
  </w:num>
  <w:num w:numId="19">
    <w:abstractNumId w:val="12"/>
  </w:num>
  <w:num w:numId="20">
    <w:abstractNumId w:val="16"/>
  </w:num>
  <w:num w:numId="21">
    <w:abstractNumId w:val="17"/>
  </w:num>
  <w:num w:numId="22">
    <w:abstractNumId w:val="14"/>
  </w:num>
  <w:num w:numId="23">
    <w:abstractNumId w:val="5"/>
  </w:num>
  <w:num w:numId="24">
    <w:abstractNumId w:val="19"/>
  </w:num>
  <w:num w:numId="25">
    <w:abstractNumId w:val="6"/>
  </w:num>
  <w:num w:numId="26">
    <w:abstractNumId w:val="24"/>
  </w:num>
  <w:num w:numId="27">
    <w:abstractNumId w:val="1"/>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22"/>
    <w:rsid w:val="00010AD3"/>
    <w:rsid w:val="00016032"/>
    <w:rsid w:val="000459E2"/>
    <w:rsid w:val="0006510B"/>
    <w:rsid w:val="00066C6A"/>
    <w:rsid w:val="00067627"/>
    <w:rsid w:val="00077976"/>
    <w:rsid w:val="00086E03"/>
    <w:rsid w:val="000A0099"/>
    <w:rsid w:val="000B1756"/>
    <w:rsid w:val="000C1649"/>
    <w:rsid w:val="000C520C"/>
    <w:rsid w:val="000D5A53"/>
    <w:rsid w:val="000D6EF8"/>
    <w:rsid w:val="000E149C"/>
    <w:rsid w:val="000F12FA"/>
    <w:rsid w:val="000F170A"/>
    <w:rsid w:val="0012253C"/>
    <w:rsid w:val="00126CBC"/>
    <w:rsid w:val="00143458"/>
    <w:rsid w:val="00154A2A"/>
    <w:rsid w:val="0016556C"/>
    <w:rsid w:val="00185649"/>
    <w:rsid w:val="00194994"/>
    <w:rsid w:val="001A6C1E"/>
    <w:rsid w:val="001B27A0"/>
    <w:rsid w:val="001B7CE1"/>
    <w:rsid w:val="001C1D11"/>
    <w:rsid w:val="001D4BC4"/>
    <w:rsid w:val="001E1DDB"/>
    <w:rsid w:val="001E3442"/>
    <w:rsid w:val="001E7107"/>
    <w:rsid w:val="001F71F9"/>
    <w:rsid w:val="001F7A0B"/>
    <w:rsid w:val="00202D53"/>
    <w:rsid w:val="00231A59"/>
    <w:rsid w:val="00246FC3"/>
    <w:rsid w:val="0028492D"/>
    <w:rsid w:val="002B4256"/>
    <w:rsid w:val="002B5259"/>
    <w:rsid w:val="002C12D8"/>
    <w:rsid w:val="002C2A05"/>
    <w:rsid w:val="002C4D0D"/>
    <w:rsid w:val="002C687D"/>
    <w:rsid w:val="002D130E"/>
    <w:rsid w:val="002D3C10"/>
    <w:rsid w:val="002E3DB8"/>
    <w:rsid w:val="002F3EE5"/>
    <w:rsid w:val="00314944"/>
    <w:rsid w:val="0032579B"/>
    <w:rsid w:val="003258A8"/>
    <w:rsid w:val="00325F87"/>
    <w:rsid w:val="00327D7B"/>
    <w:rsid w:val="00334BAB"/>
    <w:rsid w:val="0033633D"/>
    <w:rsid w:val="0033780C"/>
    <w:rsid w:val="00337989"/>
    <w:rsid w:val="00343EE5"/>
    <w:rsid w:val="00351E82"/>
    <w:rsid w:val="00373A44"/>
    <w:rsid w:val="0038277B"/>
    <w:rsid w:val="00384833"/>
    <w:rsid w:val="00384880"/>
    <w:rsid w:val="00386A75"/>
    <w:rsid w:val="00391698"/>
    <w:rsid w:val="00392290"/>
    <w:rsid w:val="00392C70"/>
    <w:rsid w:val="003A17D0"/>
    <w:rsid w:val="003B2A34"/>
    <w:rsid w:val="003C7523"/>
    <w:rsid w:val="003E5B21"/>
    <w:rsid w:val="003F43A7"/>
    <w:rsid w:val="00403337"/>
    <w:rsid w:val="00423AC6"/>
    <w:rsid w:val="00425CFA"/>
    <w:rsid w:val="00433797"/>
    <w:rsid w:val="004752D9"/>
    <w:rsid w:val="00476A46"/>
    <w:rsid w:val="004869F0"/>
    <w:rsid w:val="00486DA8"/>
    <w:rsid w:val="00486E93"/>
    <w:rsid w:val="00491A37"/>
    <w:rsid w:val="0049615B"/>
    <w:rsid w:val="00496679"/>
    <w:rsid w:val="004A4982"/>
    <w:rsid w:val="005004F0"/>
    <w:rsid w:val="005040AD"/>
    <w:rsid w:val="00512E32"/>
    <w:rsid w:val="005257A2"/>
    <w:rsid w:val="0052709F"/>
    <w:rsid w:val="00537F49"/>
    <w:rsid w:val="00551A1B"/>
    <w:rsid w:val="005634CE"/>
    <w:rsid w:val="00570A94"/>
    <w:rsid w:val="00576068"/>
    <w:rsid w:val="00587738"/>
    <w:rsid w:val="00592120"/>
    <w:rsid w:val="005A1436"/>
    <w:rsid w:val="005A1981"/>
    <w:rsid w:val="005A2FF8"/>
    <w:rsid w:val="005B4EEC"/>
    <w:rsid w:val="005C1A28"/>
    <w:rsid w:val="005D2B83"/>
    <w:rsid w:val="005D7468"/>
    <w:rsid w:val="005E2757"/>
    <w:rsid w:val="005E5717"/>
    <w:rsid w:val="005E7B1A"/>
    <w:rsid w:val="005F24DE"/>
    <w:rsid w:val="005F37E9"/>
    <w:rsid w:val="005F617F"/>
    <w:rsid w:val="0060065B"/>
    <w:rsid w:val="00612468"/>
    <w:rsid w:val="00615120"/>
    <w:rsid w:val="006215EC"/>
    <w:rsid w:val="00624AD9"/>
    <w:rsid w:val="00627098"/>
    <w:rsid w:val="0062796B"/>
    <w:rsid w:val="00645932"/>
    <w:rsid w:val="00651084"/>
    <w:rsid w:val="00655D49"/>
    <w:rsid w:val="00666C88"/>
    <w:rsid w:val="00686D82"/>
    <w:rsid w:val="006B19D9"/>
    <w:rsid w:val="006B58AE"/>
    <w:rsid w:val="006C104E"/>
    <w:rsid w:val="006C57A7"/>
    <w:rsid w:val="006E085D"/>
    <w:rsid w:val="006F7A24"/>
    <w:rsid w:val="00705464"/>
    <w:rsid w:val="00735ECE"/>
    <w:rsid w:val="00740180"/>
    <w:rsid w:val="00755892"/>
    <w:rsid w:val="007619AE"/>
    <w:rsid w:val="00770231"/>
    <w:rsid w:val="007821BF"/>
    <w:rsid w:val="007844CA"/>
    <w:rsid w:val="00785F20"/>
    <w:rsid w:val="00793CE8"/>
    <w:rsid w:val="00795302"/>
    <w:rsid w:val="007A13EF"/>
    <w:rsid w:val="007A44E5"/>
    <w:rsid w:val="007C7B00"/>
    <w:rsid w:val="007D629A"/>
    <w:rsid w:val="00814AC7"/>
    <w:rsid w:val="00816F11"/>
    <w:rsid w:val="00833FEF"/>
    <w:rsid w:val="00845CA7"/>
    <w:rsid w:val="008512B1"/>
    <w:rsid w:val="0086250D"/>
    <w:rsid w:val="00872023"/>
    <w:rsid w:val="0087728E"/>
    <w:rsid w:val="00886ADD"/>
    <w:rsid w:val="0089009A"/>
    <w:rsid w:val="008B4D7E"/>
    <w:rsid w:val="008C09AE"/>
    <w:rsid w:val="008C5F4B"/>
    <w:rsid w:val="008C6408"/>
    <w:rsid w:val="008D7ACA"/>
    <w:rsid w:val="009063E5"/>
    <w:rsid w:val="0092586B"/>
    <w:rsid w:val="00925872"/>
    <w:rsid w:val="00933198"/>
    <w:rsid w:val="00935048"/>
    <w:rsid w:val="00937FE3"/>
    <w:rsid w:val="0094490E"/>
    <w:rsid w:val="00951471"/>
    <w:rsid w:val="009518EF"/>
    <w:rsid w:val="00962A99"/>
    <w:rsid w:val="009722E5"/>
    <w:rsid w:val="00982850"/>
    <w:rsid w:val="00997A7B"/>
    <w:rsid w:val="009A615F"/>
    <w:rsid w:val="009B5098"/>
    <w:rsid w:val="009C2146"/>
    <w:rsid w:val="009D2F46"/>
    <w:rsid w:val="009D5CF5"/>
    <w:rsid w:val="009D63F5"/>
    <w:rsid w:val="009E25C6"/>
    <w:rsid w:val="009E33F9"/>
    <w:rsid w:val="00A05656"/>
    <w:rsid w:val="00A13E1C"/>
    <w:rsid w:val="00A36233"/>
    <w:rsid w:val="00A53ED3"/>
    <w:rsid w:val="00A5542B"/>
    <w:rsid w:val="00A5548E"/>
    <w:rsid w:val="00A64831"/>
    <w:rsid w:val="00A74DC6"/>
    <w:rsid w:val="00A8329E"/>
    <w:rsid w:val="00AA0C21"/>
    <w:rsid w:val="00AA707D"/>
    <w:rsid w:val="00AB5E9A"/>
    <w:rsid w:val="00AC51E9"/>
    <w:rsid w:val="00AC6DA3"/>
    <w:rsid w:val="00AD0722"/>
    <w:rsid w:val="00AE79AE"/>
    <w:rsid w:val="00AF023A"/>
    <w:rsid w:val="00B12DA5"/>
    <w:rsid w:val="00B3042D"/>
    <w:rsid w:val="00B33F4D"/>
    <w:rsid w:val="00B43E12"/>
    <w:rsid w:val="00B540F6"/>
    <w:rsid w:val="00B6782A"/>
    <w:rsid w:val="00B7058C"/>
    <w:rsid w:val="00B7100D"/>
    <w:rsid w:val="00B71FAD"/>
    <w:rsid w:val="00B81C53"/>
    <w:rsid w:val="00B85F92"/>
    <w:rsid w:val="00BB05CB"/>
    <w:rsid w:val="00BC6F63"/>
    <w:rsid w:val="00BD07D7"/>
    <w:rsid w:val="00BD4883"/>
    <w:rsid w:val="00BD543C"/>
    <w:rsid w:val="00BF4BA4"/>
    <w:rsid w:val="00BF584D"/>
    <w:rsid w:val="00BF69DC"/>
    <w:rsid w:val="00C11641"/>
    <w:rsid w:val="00C13E40"/>
    <w:rsid w:val="00C2150A"/>
    <w:rsid w:val="00C60AEB"/>
    <w:rsid w:val="00C62F3D"/>
    <w:rsid w:val="00C6393E"/>
    <w:rsid w:val="00C812FB"/>
    <w:rsid w:val="00C82A56"/>
    <w:rsid w:val="00C87678"/>
    <w:rsid w:val="00C87EDC"/>
    <w:rsid w:val="00CA004C"/>
    <w:rsid w:val="00CA6E89"/>
    <w:rsid w:val="00CB080D"/>
    <w:rsid w:val="00CB2609"/>
    <w:rsid w:val="00CC2E24"/>
    <w:rsid w:val="00CD33F3"/>
    <w:rsid w:val="00CF572E"/>
    <w:rsid w:val="00D00F16"/>
    <w:rsid w:val="00D0537A"/>
    <w:rsid w:val="00D079EC"/>
    <w:rsid w:val="00D26C7A"/>
    <w:rsid w:val="00D73F6D"/>
    <w:rsid w:val="00DA5C8C"/>
    <w:rsid w:val="00DC108E"/>
    <w:rsid w:val="00DC2C40"/>
    <w:rsid w:val="00DD484D"/>
    <w:rsid w:val="00DD4E7E"/>
    <w:rsid w:val="00E02DDD"/>
    <w:rsid w:val="00E0702A"/>
    <w:rsid w:val="00E0731E"/>
    <w:rsid w:val="00E13831"/>
    <w:rsid w:val="00E15CB3"/>
    <w:rsid w:val="00E15EFD"/>
    <w:rsid w:val="00E17E92"/>
    <w:rsid w:val="00E262C2"/>
    <w:rsid w:val="00E34FBD"/>
    <w:rsid w:val="00E35121"/>
    <w:rsid w:val="00E37313"/>
    <w:rsid w:val="00E51E20"/>
    <w:rsid w:val="00E56568"/>
    <w:rsid w:val="00E62628"/>
    <w:rsid w:val="00E72B40"/>
    <w:rsid w:val="00E91445"/>
    <w:rsid w:val="00E915BF"/>
    <w:rsid w:val="00E936D6"/>
    <w:rsid w:val="00E975D4"/>
    <w:rsid w:val="00EC62D1"/>
    <w:rsid w:val="00ED0099"/>
    <w:rsid w:val="00EE2A81"/>
    <w:rsid w:val="00EF62F3"/>
    <w:rsid w:val="00F034DD"/>
    <w:rsid w:val="00F03C0D"/>
    <w:rsid w:val="00F040D6"/>
    <w:rsid w:val="00F15208"/>
    <w:rsid w:val="00F25771"/>
    <w:rsid w:val="00F261D7"/>
    <w:rsid w:val="00F276D3"/>
    <w:rsid w:val="00F36DDE"/>
    <w:rsid w:val="00F54D22"/>
    <w:rsid w:val="00F65B54"/>
    <w:rsid w:val="00F661B0"/>
    <w:rsid w:val="00F70A57"/>
    <w:rsid w:val="00F721AB"/>
    <w:rsid w:val="00F758E5"/>
    <w:rsid w:val="00F77EB8"/>
    <w:rsid w:val="00F90BCD"/>
    <w:rsid w:val="00F9402E"/>
    <w:rsid w:val="00F95382"/>
    <w:rsid w:val="00FA104C"/>
    <w:rsid w:val="00FB536C"/>
    <w:rsid w:val="00FD03F9"/>
    <w:rsid w:val="00FD24AC"/>
    <w:rsid w:val="00FE30C1"/>
    <w:rsid w:val="00FE4ED2"/>
    <w:rsid w:val="00FF23C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5BCDD"/>
  <w14:defaultImageDpi w14:val="0"/>
  <w15:docId w15:val="{2C1D68D8-5F04-47A0-99E4-32777D7A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9C"/>
    <w:rPr>
      <w:rFonts w:asciiTheme="minorHAnsi" w:hAnsiTheme="minorHAnsi"/>
      <w:sz w:val="24"/>
    </w:rPr>
  </w:style>
  <w:style w:type="paragraph" w:styleId="Heading1">
    <w:name w:val="heading 1"/>
    <w:basedOn w:val="Normal"/>
    <w:next w:val="Normal"/>
    <w:link w:val="Heading1Char"/>
    <w:uiPriority w:val="9"/>
    <w:qFormat/>
    <w:rsid w:val="008C6408"/>
    <w:pPr>
      <w:keepNext/>
      <w:jc w:val="center"/>
      <w:outlineLvl w:val="0"/>
    </w:pPr>
    <w:rPr>
      <w:b/>
      <w:bCs/>
    </w:rPr>
  </w:style>
  <w:style w:type="paragraph" w:styleId="Heading2">
    <w:name w:val="heading 2"/>
    <w:basedOn w:val="Normal"/>
    <w:next w:val="Normal"/>
    <w:link w:val="Heading2Char"/>
    <w:uiPriority w:val="9"/>
    <w:qFormat/>
    <w:rsid w:val="008C6408"/>
    <w:pPr>
      <w:keepNext/>
      <w:jc w:val="center"/>
      <w:outlineLvl w:val="1"/>
    </w:pPr>
    <w:rPr>
      <w:b/>
      <w:bCs/>
      <w:sz w:val="28"/>
    </w:rPr>
  </w:style>
  <w:style w:type="paragraph" w:styleId="Heading3">
    <w:name w:val="heading 3"/>
    <w:basedOn w:val="Normal"/>
    <w:next w:val="Normal"/>
    <w:link w:val="Heading3Char"/>
    <w:uiPriority w:val="9"/>
    <w:qFormat/>
    <w:rsid w:val="008C6408"/>
    <w:pPr>
      <w:keepNext/>
      <w:outlineLvl w:val="2"/>
    </w:pPr>
  </w:style>
  <w:style w:type="paragraph" w:styleId="Heading4">
    <w:name w:val="heading 4"/>
    <w:basedOn w:val="Normal"/>
    <w:next w:val="Normal"/>
    <w:link w:val="Heading4Char"/>
    <w:uiPriority w:val="9"/>
    <w:qFormat/>
    <w:rsid w:val="008C6408"/>
    <w:pPr>
      <w:keepNext/>
      <w:outlineLvl w:val="3"/>
    </w:pPr>
    <w:rPr>
      <w:b/>
      <w:bCs/>
      <w:i/>
      <w:iCs/>
    </w:rPr>
  </w:style>
  <w:style w:type="paragraph" w:styleId="Heading5">
    <w:name w:val="heading 5"/>
    <w:basedOn w:val="Normal"/>
    <w:next w:val="Normal"/>
    <w:link w:val="Heading5Char"/>
    <w:uiPriority w:val="9"/>
    <w:qFormat/>
    <w:rsid w:val="008C6408"/>
    <w:pPr>
      <w:keepNext/>
      <w:outlineLvl w:val="4"/>
    </w:pPr>
    <w:rPr>
      <w:b/>
      <w:bCs/>
    </w:rPr>
  </w:style>
  <w:style w:type="paragraph" w:styleId="Heading6">
    <w:name w:val="heading 6"/>
    <w:basedOn w:val="Normal"/>
    <w:next w:val="Normal"/>
    <w:link w:val="Heading6Char"/>
    <w:uiPriority w:val="9"/>
    <w:qFormat/>
    <w:rsid w:val="008C6408"/>
    <w:pPr>
      <w:keepNext/>
      <w:ind w:left="360"/>
      <w:outlineLvl w:val="5"/>
    </w:pPr>
    <w:rPr>
      <w:b/>
      <w:bCs/>
    </w:rPr>
  </w:style>
  <w:style w:type="paragraph" w:styleId="Heading7">
    <w:name w:val="heading 7"/>
    <w:basedOn w:val="Normal"/>
    <w:next w:val="Normal"/>
    <w:link w:val="Heading7Char"/>
    <w:uiPriority w:val="9"/>
    <w:qFormat/>
    <w:rsid w:val="008C6408"/>
    <w:pPr>
      <w:keepNext/>
      <w:outlineLvl w:val="6"/>
    </w:pPr>
    <w:rPr>
      <w:b/>
      <w:bCs/>
      <w:color w:val="FF0000"/>
      <w:sz w:val="32"/>
    </w:rPr>
  </w:style>
  <w:style w:type="paragraph" w:styleId="Heading8">
    <w:name w:val="heading 8"/>
    <w:basedOn w:val="Normal"/>
    <w:next w:val="Normal"/>
    <w:link w:val="Heading8Char"/>
    <w:uiPriority w:val="9"/>
    <w:unhideWhenUsed/>
    <w:qFormat/>
    <w:rsid w:val="000E149C"/>
    <w:pPr>
      <w:keepNext/>
      <w:keepLines/>
      <w:spacing w:before="200"/>
      <w:outlineLvl w:val="7"/>
    </w:pPr>
    <w:rPr>
      <w:rFonts w:ascii="Calibri" w:eastAsiaTheme="majorEastAsia" w:hAnsi="Calibri"/>
      <w:b/>
      <w:color w:val="E2832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locked/>
    <w:rsid w:val="000E149C"/>
    <w:rPr>
      <w:rFonts w:ascii="Calibri" w:eastAsiaTheme="majorEastAsia" w:hAnsi="Calibri" w:cs="Times New Roman"/>
      <w:b/>
      <w:color w:val="E28325" w:themeColor="accent2"/>
      <w:sz w:val="24"/>
    </w:rPr>
  </w:style>
  <w:style w:type="table" w:styleId="TableGrid">
    <w:name w:val="Table Grid"/>
    <w:basedOn w:val="TableNormal"/>
    <w:uiPriority w:val="39"/>
    <w:rsid w:val="00AD07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8C6408"/>
    <w:pPr>
      <w:tabs>
        <w:tab w:val="center" w:pos="4320"/>
        <w:tab w:val="right" w:pos="8640"/>
      </w:tabs>
    </w:pPr>
  </w:style>
  <w:style w:type="character" w:customStyle="1" w:styleId="HeaderChar">
    <w:name w:val="Header Char"/>
    <w:basedOn w:val="DefaultParagraphFont"/>
    <w:link w:val="Header"/>
    <w:uiPriority w:val="99"/>
    <w:semiHidden/>
    <w:rPr>
      <w:rFonts w:asciiTheme="minorHAnsi" w:hAnsiTheme="minorHAnsi"/>
      <w:sz w:val="24"/>
    </w:rPr>
  </w:style>
  <w:style w:type="paragraph" w:styleId="Footer">
    <w:name w:val="footer"/>
    <w:basedOn w:val="Normal"/>
    <w:link w:val="FooterChar"/>
    <w:uiPriority w:val="99"/>
    <w:semiHidden/>
    <w:rsid w:val="008C6408"/>
    <w:pPr>
      <w:tabs>
        <w:tab w:val="center" w:pos="4320"/>
        <w:tab w:val="right" w:pos="8640"/>
      </w:tabs>
    </w:pPr>
  </w:style>
  <w:style w:type="character" w:customStyle="1" w:styleId="FooterChar">
    <w:name w:val="Footer Char"/>
    <w:basedOn w:val="DefaultParagraphFont"/>
    <w:link w:val="Footer"/>
    <w:uiPriority w:val="99"/>
    <w:semiHidden/>
    <w:rPr>
      <w:rFonts w:asciiTheme="minorHAnsi" w:hAnsiTheme="minorHAnsi"/>
      <w:sz w:val="24"/>
    </w:rPr>
  </w:style>
  <w:style w:type="paragraph" w:styleId="ListParagraph">
    <w:name w:val="List Paragraph"/>
    <w:basedOn w:val="Normal"/>
    <w:uiPriority w:val="34"/>
    <w:qFormat/>
    <w:rsid w:val="003258A8"/>
    <w:pPr>
      <w:ind w:left="720"/>
    </w:pPr>
  </w:style>
  <w:style w:type="paragraph" w:styleId="BalloonText">
    <w:name w:val="Balloon Text"/>
    <w:basedOn w:val="Normal"/>
    <w:link w:val="BalloonTextChar"/>
    <w:uiPriority w:val="99"/>
    <w:semiHidden/>
    <w:unhideWhenUsed/>
    <w:rsid w:val="00D26C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C7A"/>
    <w:rPr>
      <w:rFonts w:ascii="Tahoma" w:hAnsi="Tahoma" w:cs="Tahoma"/>
      <w:sz w:val="16"/>
      <w:szCs w:val="16"/>
    </w:rPr>
  </w:style>
  <w:style w:type="character" w:styleId="Hyperlink">
    <w:name w:val="Hyperlink"/>
    <w:basedOn w:val="DefaultParagraphFont"/>
    <w:uiPriority w:val="99"/>
    <w:unhideWhenUsed/>
    <w:rsid w:val="00010AD3"/>
    <w:rPr>
      <w:rFonts w:cs="Times New Roman"/>
      <w:color w:val="0000FF" w:themeColor="hyperlink"/>
      <w:u w:val="single"/>
    </w:rPr>
  </w:style>
  <w:style w:type="character" w:styleId="FollowedHyperlink">
    <w:name w:val="FollowedHyperlink"/>
    <w:basedOn w:val="DefaultParagraphFont"/>
    <w:uiPriority w:val="99"/>
    <w:semiHidden/>
    <w:unhideWhenUsed/>
    <w:rsid w:val="00010AD3"/>
    <w:rPr>
      <w:rFonts w:cs="Times New Roman"/>
      <w:color w:val="800080" w:themeColor="followedHyperlink"/>
      <w:u w:val="single"/>
    </w:rPr>
  </w:style>
  <w:style w:type="character" w:styleId="CommentReference">
    <w:name w:val="annotation reference"/>
    <w:basedOn w:val="DefaultParagraphFont"/>
    <w:uiPriority w:val="99"/>
    <w:semiHidden/>
    <w:unhideWhenUsed/>
    <w:rsid w:val="00BF69DC"/>
    <w:rPr>
      <w:rFonts w:cs="Times New Roman"/>
      <w:sz w:val="16"/>
      <w:szCs w:val="16"/>
    </w:rPr>
  </w:style>
  <w:style w:type="paragraph" w:styleId="CommentText">
    <w:name w:val="annotation text"/>
    <w:basedOn w:val="Normal"/>
    <w:link w:val="CommentTextChar"/>
    <w:uiPriority w:val="99"/>
    <w:semiHidden/>
    <w:unhideWhenUsed/>
    <w:rsid w:val="00BF69DC"/>
  </w:style>
  <w:style w:type="character" w:customStyle="1" w:styleId="CommentTextChar">
    <w:name w:val="Comment Text Char"/>
    <w:basedOn w:val="DefaultParagraphFont"/>
    <w:link w:val="CommentText"/>
    <w:uiPriority w:val="99"/>
    <w:semiHidden/>
    <w:locked/>
    <w:rsid w:val="00BF69DC"/>
    <w:rPr>
      <w:rFonts w:cs="Times New Roman"/>
    </w:rPr>
  </w:style>
  <w:style w:type="paragraph" w:styleId="CommentSubject">
    <w:name w:val="annotation subject"/>
    <w:basedOn w:val="CommentText"/>
    <w:next w:val="CommentText"/>
    <w:link w:val="CommentSubjectChar"/>
    <w:uiPriority w:val="99"/>
    <w:semiHidden/>
    <w:unhideWhenUsed/>
    <w:rsid w:val="00BF69DC"/>
    <w:rPr>
      <w:b/>
      <w:bCs/>
    </w:rPr>
  </w:style>
  <w:style w:type="character" w:customStyle="1" w:styleId="CommentSubjectChar">
    <w:name w:val="Comment Subject Char"/>
    <w:basedOn w:val="CommentTextChar"/>
    <w:link w:val="CommentSubject"/>
    <w:uiPriority w:val="99"/>
    <w:semiHidden/>
    <w:locked/>
    <w:rsid w:val="00BF69DC"/>
    <w:rPr>
      <w:rFonts w:cs="Times New Roman"/>
      <w:b/>
      <w:bCs/>
    </w:rPr>
  </w:style>
  <w:style w:type="table" w:customStyle="1" w:styleId="TableGrid1">
    <w:name w:val="Table Grid1"/>
    <w:basedOn w:val="TableNormal"/>
    <w:next w:val="TableGrid"/>
    <w:uiPriority w:val="59"/>
    <w:rsid w:val="00F661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E149C"/>
    <w:pPr>
      <w:spacing w:after="300"/>
      <w:contextualSpacing/>
    </w:pPr>
    <w:rPr>
      <w:rFonts w:ascii="Calibri" w:eastAsiaTheme="majorEastAsia" w:hAnsi="Calibri"/>
      <w:color w:val="154786" w:themeColor="text2"/>
      <w:spacing w:val="5"/>
      <w:kern w:val="28"/>
      <w:sz w:val="52"/>
      <w:szCs w:val="52"/>
    </w:rPr>
  </w:style>
  <w:style w:type="character" w:customStyle="1" w:styleId="TitleChar">
    <w:name w:val="Title Char"/>
    <w:basedOn w:val="DefaultParagraphFont"/>
    <w:link w:val="Title"/>
    <w:uiPriority w:val="10"/>
    <w:locked/>
    <w:rsid w:val="000E149C"/>
    <w:rPr>
      <w:rFonts w:ascii="Calibri" w:eastAsiaTheme="majorEastAsia" w:hAnsi="Calibri" w:cs="Times New Roman"/>
      <w:color w:val="154786" w:themeColor="text2"/>
      <w:spacing w:val="5"/>
      <w:kern w:val="28"/>
      <w:sz w:val="52"/>
      <w:szCs w:val="52"/>
    </w:rPr>
  </w:style>
  <w:style w:type="table" w:styleId="GridTable2-Accent1">
    <w:name w:val="Grid Table 2 Accent 1"/>
    <w:basedOn w:val="TableNormal"/>
    <w:uiPriority w:val="47"/>
    <w:rsid w:val="00D73F6D"/>
    <w:rPr>
      <w:rFonts w:asciiTheme="minorHAnsi" w:hAnsiTheme="minorHAnsi" w:cs="Arial"/>
      <w:sz w:val="22"/>
      <w:szCs w:val="22"/>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rFonts w:cs="Arial"/>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rFonts w:cs="Arial"/>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rFonts w:cs="Arial"/>
        <w:b/>
        <w:bCs/>
      </w:rPr>
    </w:tblStylePr>
    <w:tblStylePr w:type="lastCol">
      <w:rPr>
        <w:rFonts w:cs="Arial"/>
        <w:b/>
        <w:bCs/>
      </w:rPr>
    </w:tblStylePr>
    <w:tblStylePr w:type="band1Vert">
      <w:rPr>
        <w:rFonts w:cs="Arial"/>
      </w:rPr>
      <w:tblPr/>
      <w:tcPr>
        <w:shd w:val="clear" w:color="auto" w:fill="DEEAF6" w:themeFill="accent1" w:themeFillTint="33"/>
      </w:tcPr>
    </w:tblStylePr>
    <w:tblStylePr w:type="band1Horz">
      <w:rPr>
        <w:rFonts w:cs="Arial"/>
      </w:rPr>
      <w:tblPr/>
      <w:tcPr>
        <w:shd w:val="clear" w:color="auto" w:fill="DEEAF6" w:themeFill="accent1" w:themeFillTint="33"/>
      </w:tcPr>
    </w:tblStylePr>
  </w:style>
  <w:style w:type="table" w:styleId="GridTable2-Accent5">
    <w:name w:val="Grid Table 2 Accent 5"/>
    <w:basedOn w:val="TableNormal"/>
    <w:uiPriority w:val="47"/>
    <w:rsid w:val="00D73F6D"/>
    <w:rPr>
      <w:rFonts w:asciiTheme="minorHAnsi" w:hAnsiTheme="minorHAnsi" w:cs="Arial"/>
      <w:sz w:val="22"/>
      <w:szCs w:val="22"/>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rFonts w:cs="Arial"/>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rFonts w:cs="Arial"/>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rFonts w:cs="Arial"/>
        <w:b/>
        <w:bCs/>
      </w:rPr>
    </w:tblStylePr>
    <w:tblStylePr w:type="lastCol">
      <w:rPr>
        <w:rFonts w:cs="Arial"/>
        <w:b/>
        <w:bCs/>
      </w:rPr>
    </w:tblStylePr>
    <w:tblStylePr w:type="band1Vert">
      <w:rPr>
        <w:rFonts w:cs="Arial"/>
      </w:rPr>
      <w:tblPr/>
      <w:tcPr>
        <w:shd w:val="clear" w:color="auto" w:fill="D9E2F3" w:themeFill="accent5" w:themeFillTint="33"/>
      </w:tcPr>
    </w:tblStylePr>
    <w:tblStylePr w:type="band1Horz">
      <w:rPr>
        <w:rFonts w:cs="Arial"/>
      </w:rPr>
      <w:tblPr/>
      <w:tcPr>
        <w:shd w:val="clear" w:color="auto" w:fill="D9E2F3" w:themeFill="accent5" w:themeFillTint="33"/>
      </w:tcPr>
    </w:tblStylePr>
  </w:style>
  <w:style w:type="character" w:styleId="PlaceholderText">
    <w:name w:val="Placeholder Text"/>
    <w:basedOn w:val="DefaultParagraphFont"/>
    <w:uiPriority w:val="99"/>
    <w:semiHidden/>
    <w:rsid w:val="0092587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4447">
      <w:marLeft w:val="0"/>
      <w:marRight w:val="0"/>
      <w:marTop w:val="0"/>
      <w:marBottom w:val="0"/>
      <w:divBdr>
        <w:top w:val="none" w:sz="0" w:space="0" w:color="auto"/>
        <w:left w:val="none" w:sz="0" w:space="0" w:color="auto"/>
        <w:bottom w:val="none" w:sz="0" w:space="0" w:color="auto"/>
        <w:right w:val="none" w:sz="0" w:space="0" w:color="auto"/>
      </w:divBdr>
    </w:div>
    <w:div w:id="353384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PPL">
      <a:dk1>
        <a:sysClr val="windowText" lastClr="000000"/>
      </a:dk1>
      <a:lt1>
        <a:sysClr val="window" lastClr="FFFFFF"/>
      </a:lt1>
      <a:dk2>
        <a:srgbClr val="154786"/>
      </a:dk2>
      <a:lt2>
        <a:srgbClr val="EEECE1"/>
      </a:lt2>
      <a:accent1>
        <a:srgbClr val="5B9BD5"/>
      </a:accent1>
      <a:accent2>
        <a:srgbClr val="E28325"/>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 xsi:nil="true"/>
    <_dlc_DocId xmlns="733efe1c-5bbe-4968-87dc-d400e65c879f" xsi:nil="true"/>
    <_dlc_DocIdUrl xmlns="733efe1c-5bbe-4968-87dc-d400e65c879f">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055D6-E848-4312-B22D-2AF25E930CB5}">
  <ds:schemaRefs>
    <ds:schemaRef ds:uri="http://schemas.microsoft.com/sharepoint/events"/>
  </ds:schemaRefs>
</ds:datastoreItem>
</file>

<file path=customXml/itemProps2.xml><?xml version="1.0" encoding="utf-8"?>
<ds:datastoreItem xmlns:ds="http://schemas.openxmlformats.org/officeDocument/2006/customXml" ds:itemID="{04BDFCC3-533A-4878-ADC4-9BE1814CAA2B}">
  <ds:schemaRefs>
    <ds:schemaRef ds:uri="http://schemas.microsoft.com/sharepoint/v3/contenttype/forms"/>
  </ds:schemaRefs>
</ds:datastoreItem>
</file>

<file path=customXml/itemProps3.xml><?xml version="1.0" encoding="utf-8"?>
<ds:datastoreItem xmlns:ds="http://schemas.openxmlformats.org/officeDocument/2006/customXml" ds:itemID="{492448B2-8895-46F3-B830-9CB49AA9A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5D0AA-B892-42D6-AB68-48E84F5B97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C5A5F9C-E838-419D-BB85-4A6F5830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MTEL Online Testing Advisory July 2020</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MTEL Online Testing Advisory July 2020</dc:title>
  <dc:subject/>
  <dc:creator>DESE</dc:creator>
  <cp:keywords/>
  <dc:description/>
  <cp:lastModifiedBy>Zou, Dong (EOE)</cp:lastModifiedBy>
  <cp:revision>4</cp:revision>
  <cp:lastPrinted>2014-09-12T19:14:00Z</cp:lastPrinted>
  <dcterms:created xsi:type="dcterms:W3CDTF">2020-08-19T16:43:00Z</dcterms:created>
  <dcterms:modified xsi:type="dcterms:W3CDTF">2020-08-19T16:56:00Z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