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0B10C" w14:textId="77777777" w:rsidR="00FD23FE" w:rsidRPr="0070520D" w:rsidRDefault="00CC0E1C">
      <w:pPr>
        <w:spacing w:line="192" w:lineRule="auto"/>
        <w:outlineLvl w:val="0"/>
        <w:rPr>
          <w:b/>
          <w:i/>
          <w:szCs w:val="24"/>
        </w:rPr>
      </w:pPr>
      <w:r w:rsidRPr="0070520D">
        <w:rPr>
          <w:i/>
          <w:noProof/>
          <w:snapToGrid/>
          <w:szCs w:val="24"/>
        </w:rPr>
        <w:drawing>
          <wp:anchor distT="0" distB="0" distL="114300" distR="274320" simplePos="0" relativeHeight="251658240" behindDoc="0" locked="0" layoutInCell="0" allowOverlap="1" wp14:anchorId="2507B2EC" wp14:editId="5644DEE4">
            <wp:simplePos x="0" y="0"/>
            <wp:positionH relativeFrom="column">
              <wp:posOffset>-457200</wp:posOffset>
            </wp:positionH>
            <wp:positionV relativeFrom="page">
              <wp:posOffset>304800</wp:posOffset>
            </wp:positionV>
            <wp:extent cx="1090930" cy="1371600"/>
            <wp:effectExtent l="0" t="0" r="0" b="0"/>
            <wp:wrapThrough wrapText="right">
              <wp:wrapPolygon edited="0">
                <wp:start x="0" y="0"/>
                <wp:lineTo x="0" y="21300"/>
                <wp:lineTo x="21122" y="21300"/>
                <wp:lineTo x="2112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00FD23FE" w:rsidRPr="0070520D">
        <w:rPr>
          <w:b/>
          <w:i/>
          <w:szCs w:val="24"/>
        </w:rPr>
        <w:t>Massachusetts Department of</w:t>
      </w:r>
    </w:p>
    <w:p w14:paraId="51950089" w14:textId="77777777" w:rsidR="00FD23FE" w:rsidRPr="0070520D" w:rsidRDefault="00FD23FE">
      <w:pPr>
        <w:outlineLvl w:val="0"/>
        <w:rPr>
          <w:b/>
          <w:i/>
          <w:szCs w:val="24"/>
        </w:rPr>
      </w:pPr>
      <w:r w:rsidRPr="0070520D">
        <w:rPr>
          <w:b/>
          <w:i/>
          <w:szCs w:val="24"/>
        </w:rPr>
        <w:t>Elementary and Secondary Education</w:t>
      </w:r>
    </w:p>
    <w:p w14:paraId="5C42662E" w14:textId="77777777" w:rsidR="00FD23FE" w:rsidRPr="0070520D" w:rsidRDefault="0039536F">
      <w:pPr>
        <w:rPr>
          <w:i/>
          <w:szCs w:val="24"/>
        </w:rPr>
      </w:pPr>
      <w:r w:rsidRPr="0070520D">
        <w:rPr>
          <w:i/>
          <w:noProof/>
          <w:snapToGrid/>
          <w:szCs w:val="24"/>
        </w:rPr>
        <mc:AlternateContent>
          <mc:Choice Requires="wps">
            <w:drawing>
              <wp:anchor distT="4294967295" distB="4294967295" distL="114300" distR="114300" simplePos="0" relativeHeight="251658241" behindDoc="0" locked="0" layoutInCell="0" allowOverlap="1" wp14:anchorId="30741689" wp14:editId="0385AFB6">
                <wp:simplePos x="0" y="0"/>
                <wp:positionH relativeFrom="column">
                  <wp:posOffset>885825</wp:posOffset>
                </wp:positionH>
                <wp:positionV relativeFrom="paragraph">
                  <wp:posOffset>68580</wp:posOffset>
                </wp:positionV>
                <wp:extent cx="4838700" cy="0"/>
                <wp:effectExtent l="0" t="0" r="19050" b="1905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7330559" id="Line 3" o:spid="_x0000_s1026" alt="&quot;&quot;"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75pt,5.4pt" to="450.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7UvAEAAGoDAAAOAAAAZHJzL2Uyb0RvYy54bWysU02P2yAQvVfqf0DcGzvZqo2sOHvI7vaS&#10;tpF2+wMmgG20wCAgsfPvO5CPtttbVR8Qw8w83ryHV/eTNeyoQtToWj6f1ZwpJ1Bq17f8x8vThyVn&#10;MYGTYNCplp9U5Pfr9+9Wo2/UAgc0UgVGIC42o2/5kJJvqiqKQVmIM/TKUbLDYCFRGPpKBhgJ3Zpq&#10;UdefqhGD9AGFipFOH85Jvi74XadE+t51USVmWk7cUllDWfd5rdYraPoAftDiQgP+gYUF7ejSG9QD&#10;JGCHoP+CsloEjNilmUBbYddpocoMNM28fjPN8wBelVlInOhvMsX/Byu+HXeBaUnecebAkkVb7RS7&#10;y8qMPjZUsHG7kGcTk3v2WxSvkTncDOB6VRi+nDy1zXNH9UdLDqIn/P34FSXVwCFhkWnqgs2QJACb&#10;ihunmxtqSkzQ4cfl3fJzTaaJa66C5troQ0xfFFqWNy03xLkAw3EbUyYCzbUk3+PwSRtTzDaOjcR2&#10;kaFzKqLRMmdLEPr9xgR2hPxeylfGelMW8OBkQRsUyMfLPoE25z3dbtxFjSzAWco9ytMuXFUiQwvN&#10;y+PLL+b3uHT/+kXWPwEAAP//AwBQSwMEFAAGAAgAAAAhACb54cTcAAAACQEAAA8AAABkcnMvZG93&#10;bnJldi54bWxMT8tOwzAQvCPxD9YicaN2i4A0jVMhUFWBemmL1KsbL3EgXqex24a/ZxEHuO08NDtT&#10;zAffihP2sQmkYTxSIJCqYBuqNbxtFzcZiJgMWdMGQg1fGGFeXl4UJrfhTGs8bVItOIRibjS4lLpc&#10;ylg59CaOQofE2nvovUkM+1ra3pw53LdyotS99KYh/uBMh08Oq8/N0Wswz8t12mWT14fmxa0+tovD&#10;0mUHra+vhscZiIRD+jPDT32uDiV32ocj2ShaxrfTO7byoXgCG6ZqzMT+l5BlIf8vKL8BAAD//wMA&#10;UEsBAi0AFAAGAAgAAAAhALaDOJL+AAAA4QEAABMAAAAAAAAAAAAAAAAAAAAAAFtDb250ZW50X1R5&#10;cGVzXS54bWxQSwECLQAUAAYACAAAACEAOP0h/9YAAACUAQAACwAAAAAAAAAAAAAAAAAvAQAAX3Jl&#10;bHMvLnJlbHNQSwECLQAUAAYACAAAACEA8xne1LwBAABqAwAADgAAAAAAAAAAAAAAAAAuAgAAZHJz&#10;L2Uyb0RvYy54bWxQSwECLQAUAAYACAAAACEAJvnhxNwAAAAJAQAADwAAAAAAAAAAAAAAAAAWBAAA&#10;ZHJzL2Rvd25yZXYueG1sUEsFBgAAAAAEAAQA8wAAAB8FAAAAAA==&#10;" o:allowincell="f" strokeweight="1pt"/>
            </w:pict>
          </mc:Fallback>
        </mc:AlternateContent>
      </w:r>
    </w:p>
    <w:p w14:paraId="7A56C774" w14:textId="77777777" w:rsidR="00FD23FE" w:rsidRPr="0070520D" w:rsidRDefault="00FD23FE" w:rsidP="00CC0E1C">
      <w:pPr>
        <w:pStyle w:val="Heading3"/>
        <w:tabs>
          <w:tab w:val="right" w:pos="9090"/>
        </w:tabs>
        <w:ind w:right="360"/>
        <w:rPr>
          <w:rFonts w:ascii="Times New Roman" w:hAnsi="Times New Roman"/>
          <w:sz w:val="24"/>
          <w:szCs w:val="24"/>
        </w:rPr>
      </w:pPr>
      <w:r w:rsidRPr="0070520D">
        <w:rPr>
          <w:rFonts w:ascii="Times New Roman" w:hAnsi="Times New Roman"/>
          <w:sz w:val="24"/>
          <w:szCs w:val="24"/>
        </w:rPr>
        <w:t xml:space="preserve">75 Pleasant Street, Malden, Massachusetts 02148-4906 </w:t>
      </w:r>
      <w:r w:rsidRPr="0070520D">
        <w:rPr>
          <w:rFonts w:ascii="Times New Roman" w:hAnsi="Times New Roman"/>
          <w:sz w:val="24"/>
          <w:szCs w:val="24"/>
        </w:rPr>
        <w:tab/>
        <w:t>Telephone: (781) 338-3000</w:t>
      </w:r>
    </w:p>
    <w:p w14:paraId="6E2E97B0" w14:textId="77777777" w:rsidR="00FD23FE" w:rsidRPr="0070520D" w:rsidRDefault="00FD23FE" w:rsidP="00CC0E1C">
      <w:pPr>
        <w:pStyle w:val="Heading2"/>
        <w:tabs>
          <w:tab w:val="right" w:pos="9000"/>
        </w:tabs>
        <w:ind w:right="360"/>
        <w:rPr>
          <w:rFonts w:ascii="Times New Roman" w:hAnsi="Times New Roman"/>
          <w:sz w:val="24"/>
          <w:szCs w:val="24"/>
        </w:rPr>
      </w:pPr>
      <w:r w:rsidRPr="0070520D">
        <w:rPr>
          <w:rFonts w:ascii="Times New Roman" w:hAnsi="Times New Roman"/>
          <w:sz w:val="24"/>
          <w:szCs w:val="24"/>
        </w:rPr>
        <w:t xml:space="preserve">                                                                                                                 TTY: N.E.T. Relay 1-800-439-2370</w:t>
      </w:r>
    </w:p>
    <w:p w14:paraId="0C7E202B" w14:textId="77777777" w:rsidR="00FD23FE" w:rsidRPr="0070520D" w:rsidRDefault="00FD23FE">
      <w:pPr>
        <w:ind w:left="720"/>
        <w:rPr>
          <w:i/>
          <w:szCs w:val="24"/>
        </w:rPr>
      </w:pPr>
    </w:p>
    <w:p w14:paraId="5DA4D461" w14:textId="77777777" w:rsidR="00FD23FE" w:rsidRPr="0070520D" w:rsidRDefault="00FD23FE">
      <w:pPr>
        <w:ind w:left="720"/>
        <w:rPr>
          <w:i/>
          <w:szCs w:val="24"/>
        </w:rPr>
        <w:sectPr w:rsidR="00FD23FE" w:rsidRPr="0070520D">
          <w:headerReference w:type="default" r:id="rId13"/>
          <w:footerReference w:type="even" r:id="rId14"/>
          <w:footerReference w:type="default" r:id="rId15"/>
          <w:headerReference w:type="first" r:id="rId16"/>
          <w:footerReference w:type="first" r:id="rId17"/>
          <w:endnotePr>
            <w:numFmt w:val="decimal"/>
          </w:endnotePr>
          <w:pgSz w:w="12240" w:h="15840"/>
          <w:pgMar w:top="864" w:right="1080" w:bottom="1440" w:left="1800" w:header="1440" w:footer="1440" w:gutter="0"/>
          <w:cols w:space="720"/>
          <w:noEndnote/>
          <w:titlePg/>
        </w:sectPr>
      </w:pPr>
    </w:p>
    <w:p w14:paraId="17748760" w14:textId="77777777" w:rsidR="00FD23FE" w:rsidRPr="0070520D" w:rsidRDefault="00FD23FE">
      <w:pPr>
        <w:ind w:left="720"/>
        <w:jc w:val="center"/>
        <w:rPr>
          <w:i/>
          <w:szCs w:val="24"/>
        </w:rPr>
      </w:pPr>
    </w:p>
    <w:tbl>
      <w:tblPr>
        <w:tblW w:w="0" w:type="auto"/>
        <w:tblLook w:val="01E0" w:firstRow="1" w:lastRow="1" w:firstColumn="1" w:lastColumn="1" w:noHBand="0" w:noVBand="0"/>
      </w:tblPr>
      <w:tblGrid>
        <w:gridCol w:w="2957"/>
        <w:gridCol w:w="8419"/>
      </w:tblGrid>
      <w:tr w:rsidR="00FD23FE" w:rsidRPr="0070520D" w14:paraId="11201A11" w14:textId="77777777">
        <w:tc>
          <w:tcPr>
            <w:tcW w:w="2988" w:type="dxa"/>
          </w:tcPr>
          <w:p w14:paraId="6C7A2432" w14:textId="77777777" w:rsidR="00FD23FE" w:rsidRPr="0070520D" w:rsidRDefault="00814D48">
            <w:pPr>
              <w:jc w:val="center"/>
              <w:rPr>
                <w:szCs w:val="24"/>
              </w:rPr>
            </w:pPr>
            <w:r w:rsidRPr="0070520D">
              <w:rPr>
                <w:szCs w:val="24"/>
              </w:rPr>
              <w:t>Jeffrey C. Riley</w:t>
            </w:r>
          </w:p>
          <w:p w14:paraId="24CB8674" w14:textId="77777777" w:rsidR="00FD23FE" w:rsidRPr="0070520D" w:rsidRDefault="00FD23FE">
            <w:pPr>
              <w:jc w:val="center"/>
              <w:rPr>
                <w:i/>
                <w:szCs w:val="24"/>
              </w:rPr>
            </w:pPr>
            <w:r w:rsidRPr="0070520D">
              <w:rPr>
                <w:i/>
                <w:szCs w:val="24"/>
              </w:rPr>
              <w:t>Commissioner</w:t>
            </w:r>
          </w:p>
        </w:tc>
        <w:tc>
          <w:tcPr>
            <w:tcW w:w="8604" w:type="dxa"/>
          </w:tcPr>
          <w:p w14:paraId="2EF1E662" w14:textId="77777777" w:rsidR="00FD23FE" w:rsidRPr="0070520D" w:rsidRDefault="00FD23FE">
            <w:pPr>
              <w:jc w:val="center"/>
              <w:rPr>
                <w:i/>
                <w:szCs w:val="24"/>
              </w:rPr>
            </w:pPr>
          </w:p>
        </w:tc>
      </w:tr>
    </w:tbl>
    <w:p w14:paraId="1794B733" w14:textId="77777777" w:rsidR="00FD23FE" w:rsidRPr="0070520D" w:rsidRDefault="00FD23FE">
      <w:pPr>
        <w:rPr>
          <w:i/>
          <w:szCs w:val="24"/>
        </w:rPr>
      </w:pPr>
    </w:p>
    <w:p w14:paraId="3F44DBC5" w14:textId="77777777" w:rsidR="00FD23FE" w:rsidRPr="0070520D" w:rsidRDefault="00FD23FE">
      <w:pPr>
        <w:rPr>
          <w:szCs w:val="24"/>
        </w:rPr>
        <w:sectPr w:rsidR="00FD23FE" w:rsidRPr="0070520D">
          <w:headerReference w:type="default" r:id="rId18"/>
          <w:headerReference w:type="first" r:id="rId19"/>
          <w:footerReference w:type="first" r:id="rId20"/>
          <w:endnotePr>
            <w:numFmt w:val="decimal"/>
          </w:endnotePr>
          <w:type w:val="continuous"/>
          <w:pgSz w:w="12240" w:h="15840"/>
          <w:pgMar w:top="864" w:right="432" w:bottom="1440" w:left="432" w:header="1440" w:footer="1440" w:gutter="0"/>
          <w:cols w:space="720"/>
          <w:noEndnote/>
        </w:sectPr>
      </w:pPr>
    </w:p>
    <w:p w14:paraId="4FAFEFE7" w14:textId="77777777" w:rsidR="00FD23FE" w:rsidRPr="0070520D" w:rsidRDefault="00FD23FE">
      <w:pPr>
        <w:pStyle w:val="Heading1"/>
        <w:tabs>
          <w:tab w:val="clear" w:pos="4680"/>
        </w:tabs>
        <w:rPr>
          <w:szCs w:val="24"/>
        </w:rPr>
      </w:pPr>
      <w:r w:rsidRPr="0070520D">
        <w:rPr>
          <w:szCs w:val="24"/>
        </w:rPr>
        <w:t>MEMORANDUM</w:t>
      </w:r>
    </w:p>
    <w:p w14:paraId="2B935ADE" w14:textId="77777777" w:rsidR="00FD23FE" w:rsidRPr="0070520D" w:rsidRDefault="00FD23FE">
      <w:pPr>
        <w:pStyle w:val="Footer"/>
        <w:widowControl w:val="0"/>
        <w:tabs>
          <w:tab w:val="clear" w:pos="4320"/>
          <w:tab w:val="clear" w:pos="8640"/>
        </w:tabs>
        <w:rPr>
          <w:snapToGrid w:val="0"/>
        </w:rPr>
      </w:pPr>
    </w:p>
    <w:p w14:paraId="4F11CA58" w14:textId="77777777" w:rsidR="007A22FF" w:rsidRPr="0070520D" w:rsidRDefault="007A22FF">
      <w:pPr>
        <w:pStyle w:val="Footer"/>
        <w:widowControl w:val="0"/>
        <w:tabs>
          <w:tab w:val="clear" w:pos="4320"/>
          <w:tab w:val="clear" w:pos="8640"/>
        </w:tabs>
        <w:rPr>
          <w:snapToGrid w:val="0"/>
        </w:rPr>
      </w:pPr>
    </w:p>
    <w:tbl>
      <w:tblPr>
        <w:tblW w:w="0" w:type="auto"/>
        <w:tblLook w:val="01E0" w:firstRow="1" w:lastRow="1" w:firstColumn="1" w:lastColumn="1" w:noHBand="0" w:noVBand="0"/>
      </w:tblPr>
      <w:tblGrid>
        <w:gridCol w:w="1184"/>
        <w:gridCol w:w="8176"/>
      </w:tblGrid>
      <w:tr w:rsidR="00223A0F" w:rsidRPr="0070520D" w14:paraId="70FD457D" w14:textId="77777777" w:rsidTr="00223A0F">
        <w:tc>
          <w:tcPr>
            <w:tcW w:w="1184" w:type="dxa"/>
          </w:tcPr>
          <w:p w14:paraId="788C67AF" w14:textId="77777777" w:rsidR="00223A0F" w:rsidRPr="0070520D" w:rsidRDefault="00223A0F" w:rsidP="00223A0F">
            <w:pPr>
              <w:rPr>
                <w:b/>
                <w:szCs w:val="24"/>
              </w:rPr>
            </w:pPr>
            <w:r w:rsidRPr="0070520D">
              <w:rPr>
                <w:b/>
                <w:szCs w:val="24"/>
              </w:rPr>
              <w:t>To:</w:t>
            </w:r>
          </w:p>
        </w:tc>
        <w:tc>
          <w:tcPr>
            <w:tcW w:w="8176" w:type="dxa"/>
          </w:tcPr>
          <w:p w14:paraId="3D729CFC" w14:textId="19814964" w:rsidR="00223A0F" w:rsidRPr="0070520D" w:rsidRDefault="008357A4" w:rsidP="00223A0F">
            <w:pPr>
              <w:rPr>
                <w:b/>
                <w:szCs w:val="24"/>
              </w:rPr>
            </w:pPr>
            <w:r w:rsidRPr="0070520D">
              <w:rPr>
                <w:b/>
                <w:szCs w:val="24"/>
              </w:rPr>
              <w:t>Massachusetts Sponsoring Organizations</w:t>
            </w:r>
          </w:p>
        </w:tc>
      </w:tr>
      <w:tr w:rsidR="00223A0F" w:rsidRPr="0070520D" w14:paraId="619377BB" w14:textId="77777777" w:rsidTr="00223A0F">
        <w:tc>
          <w:tcPr>
            <w:tcW w:w="1184" w:type="dxa"/>
          </w:tcPr>
          <w:p w14:paraId="3F5FB35D" w14:textId="77777777" w:rsidR="00223A0F" w:rsidRPr="0070520D" w:rsidRDefault="00223A0F" w:rsidP="00223A0F">
            <w:pPr>
              <w:rPr>
                <w:b/>
                <w:szCs w:val="24"/>
              </w:rPr>
            </w:pPr>
            <w:r w:rsidRPr="0070520D">
              <w:rPr>
                <w:b/>
                <w:szCs w:val="24"/>
              </w:rPr>
              <w:t>From:</w:t>
            </w:r>
            <w:r w:rsidRPr="0070520D">
              <w:rPr>
                <w:szCs w:val="24"/>
              </w:rPr>
              <w:tab/>
            </w:r>
          </w:p>
        </w:tc>
        <w:tc>
          <w:tcPr>
            <w:tcW w:w="8176" w:type="dxa"/>
          </w:tcPr>
          <w:p w14:paraId="5570C070" w14:textId="75B08CB1" w:rsidR="00223A0F" w:rsidRPr="0070520D" w:rsidRDefault="008357A4" w:rsidP="00223A0F">
            <w:pPr>
              <w:rPr>
                <w:b/>
                <w:szCs w:val="24"/>
              </w:rPr>
            </w:pPr>
            <w:r w:rsidRPr="0070520D">
              <w:rPr>
                <w:b/>
                <w:szCs w:val="24"/>
              </w:rPr>
              <w:t>Educator Effectiveness Team</w:t>
            </w:r>
          </w:p>
        </w:tc>
      </w:tr>
      <w:tr w:rsidR="00223A0F" w:rsidRPr="0070520D" w14:paraId="11A9499F" w14:textId="77777777" w:rsidTr="00223A0F">
        <w:tc>
          <w:tcPr>
            <w:tcW w:w="1184" w:type="dxa"/>
          </w:tcPr>
          <w:p w14:paraId="7165221D" w14:textId="77777777" w:rsidR="00223A0F" w:rsidRPr="0070520D" w:rsidRDefault="00223A0F" w:rsidP="00223A0F">
            <w:pPr>
              <w:rPr>
                <w:b/>
                <w:szCs w:val="24"/>
              </w:rPr>
            </w:pPr>
            <w:r w:rsidRPr="0070520D">
              <w:rPr>
                <w:b/>
                <w:szCs w:val="24"/>
              </w:rPr>
              <w:t>Date:</w:t>
            </w:r>
            <w:r w:rsidRPr="0070520D">
              <w:rPr>
                <w:szCs w:val="24"/>
              </w:rPr>
              <w:tab/>
            </w:r>
          </w:p>
        </w:tc>
        <w:tc>
          <w:tcPr>
            <w:tcW w:w="8176" w:type="dxa"/>
          </w:tcPr>
          <w:p w14:paraId="4FDAA2ED" w14:textId="531C1E37" w:rsidR="00223A0F" w:rsidRPr="0070520D" w:rsidRDefault="00E4543B" w:rsidP="00223A0F">
            <w:pPr>
              <w:rPr>
                <w:b/>
                <w:szCs w:val="24"/>
              </w:rPr>
            </w:pPr>
            <w:r w:rsidRPr="00E4543B">
              <w:rPr>
                <w:b/>
                <w:szCs w:val="24"/>
              </w:rPr>
              <w:t>December 2</w:t>
            </w:r>
            <w:r>
              <w:rPr>
                <w:b/>
                <w:szCs w:val="24"/>
              </w:rPr>
              <w:t>1,</w:t>
            </w:r>
            <w:r w:rsidRPr="00E4543B">
              <w:rPr>
                <w:b/>
                <w:szCs w:val="24"/>
              </w:rPr>
              <w:t xml:space="preserve"> 2021</w:t>
            </w:r>
          </w:p>
        </w:tc>
      </w:tr>
      <w:tr w:rsidR="00223A0F" w:rsidRPr="0070520D" w14:paraId="4758C324" w14:textId="77777777" w:rsidTr="00223A0F">
        <w:tc>
          <w:tcPr>
            <w:tcW w:w="1184" w:type="dxa"/>
          </w:tcPr>
          <w:p w14:paraId="267A2557" w14:textId="77777777" w:rsidR="00223A0F" w:rsidRPr="0070520D" w:rsidRDefault="00223A0F" w:rsidP="00223A0F">
            <w:pPr>
              <w:rPr>
                <w:b/>
                <w:szCs w:val="24"/>
              </w:rPr>
            </w:pPr>
            <w:r w:rsidRPr="0070520D">
              <w:rPr>
                <w:b/>
                <w:szCs w:val="24"/>
              </w:rPr>
              <w:t>Subject:</w:t>
            </w:r>
          </w:p>
        </w:tc>
        <w:tc>
          <w:tcPr>
            <w:tcW w:w="8176" w:type="dxa"/>
          </w:tcPr>
          <w:p w14:paraId="36F74682" w14:textId="49F3F0AE" w:rsidR="00223A0F" w:rsidRPr="0070520D" w:rsidRDefault="008357A4" w:rsidP="00223A0F">
            <w:pPr>
              <w:rPr>
                <w:b/>
                <w:szCs w:val="24"/>
              </w:rPr>
            </w:pPr>
            <w:r w:rsidRPr="0070520D">
              <w:rPr>
                <w:b/>
                <w:szCs w:val="24"/>
              </w:rPr>
              <w:t>Update Regarding the Revisions to the Guidelines for Educator Preparation Program Approval</w:t>
            </w:r>
          </w:p>
        </w:tc>
      </w:tr>
    </w:tbl>
    <w:p w14:paraId="334314B8" w14:textId="77777777" w:rsidR="00FD23FE" w:rsidRPr="0070520D" w:rsidRDefault="00FD23FE">
      <w:pPr>
        <w:pBdr>
          <w:bottom w:val="single" w:sz="4" w:space="1" w:color="auto"/>
        </w:pBdr>
        <w:rPr>
          <w:szCs w:val="24"/>
        </w:rPr>
      </w:pPr>
      <w:bookmarkStart w:id="0" w:name="TO"/>
      <w:bookmarkStart w:id="1" w:name="FROM"/>
      <w:bookmarkStart w:id="2" w:name="DATE"/>
      <w:bookmarkStart w:id="3" w:name="RE"/>
      <w:bookmarkEnd w:id="0"/>
      <w:bookmarkEnd w:id="1"/>
      <w:bookmarkEnd w:id="2"/>
      <w:bookmarkEnd w:id="3"/>
    </w:p>
    <w:p w14:paraId="2F7EAC1D" w14:textId="77777777" w:rsidR="00FD23FE" w:rsidRPr="0070520D" w:rsidRDefault="00FD23FE">
      <w:pPr>
        <w:rPr>
          <w:szCs w:val="24"/>
        </w:rPr>
        <w:sectPr w:rsidR="00FD23FE" w:rsidRPr="0070520D">
          <w:headerReference w:type="default" r:id="rId21"/>
          <w:headerReference w:type="first" r:id="rId22"/>
          <w:footerReference w:type="first" r:id="rId23"/>
          <w:endnotePr>
            <w:numFmt w:val="decimal"/>
          </w:endnotePr>
          <w:type w:val="continuous"/>
          <w:pgSz w:w="12240" w:h="15840"/>
          <w:pgMar w:top="1440" w:right="1440" w:bottom="1440" w:left="1440" w:header="1440" w:footer="1440" w:gutter="0"/>
          <w:cols w:space="720"/>
          <w:noEndnote/>
        </w:sectPr>
      </w:pPr>
    </w:p>
    <w:p w14:paraId="299DA323" w14:textId="77777777" w:rsidR="00FD23FE" w:rsidRPr="0070520D" w:rsidRDefault="00FD23FE">
      <w:pPr>
        <w:rPr>
          <w:szCs w:val="24"/>
        </w:rPr>
      </w:pPr>
    </w:p>
    <w:p w14:paraId="350536AA" w14:textId="5BCCC8B0" w:rsidR="0070520D" w:rsidRPr="001B14FD" w:rsidRDefault="0070520D" w:rsidP="0070520D">
      <w:pPr>
        <w:rPr>
          <w:rFonts w:asciiTheme="minorHAnsi" w:hAnsiTheme="minorHAnsi" w:cstheme="minorHAnsi"/>
          <w:sz w:val="22"/>
          <w:szCs w:val="22"/>
        </w:rPr>
      </w:pPr>
      <w:r w:rsidRPr="001B14FD">
        <w:rPr>
          <w:rFonts w:asciiTheme="minorHAnsi" w:hAnsiTheme="minorHAnsi" w:cstheme="minorHAnsi"/>
          <w:sz w:val="22"/>
          <w:szCs w:val="22"/>
        </w:rPr>
        <w:t xml:space="preserve">In </w:t>
      </w:r>
      <w:r w:rsidR="00F50673" w:rsidRPr="001B14FD">
        <w:rPr>
          <w:rFonts w:asciiTheme="minorHAnsi" w:hAnsiTheme="minorHAnsi" w:cstheme="minorHAnsi"/>
          <w:sz w:val="22"/>
          <w:szCs w:val="22"/>
        </w:rPr>
        <w:t>January</w:t>
      </w:r>
      <w:r w:rsidRPr="001B14FD">
        <w:rPr>
          <w:rFonts w:asciiTheme="minorHAnsi" w:hAnsiTheme="minorHAnsi" w:cstheme="minorHAnsi"/>
          <w:sz w:val="22"/>
          <w:szCs w:val="22"/>
        </w:rPr>
        <w:t xml:space="preserve"> and </w:t>
      </w:r>
      <w:hyperlink r:id="rId24" w:history="1">
        <w:r w:rsidRPr="001917CC">
          <w:rPr>
            <w:rStyle w:val="Hyperlink"/>
            <w:rFonts w:asciiTheme="minorHAnsi" w:hAnsiTheme="minorHAnsi" w:cstheme="minorHAnsi"/>
            <w:sz w:val="22"/>
            <w:szCs w:val="22"/>
          </w:rPr>
          <w:t>June 2021</w:t>
        </w:r>
      </w:hyperlink>
      <w:r w:rsidRPr="001B14FD">
        <w:rPr>
          <w:rFonts w:asciiTheme="minorHAnsi" w:hAnsiTheme="minorHAnsi" w:cstheme="minorHAnsi"/>
          <w:sz w:val="22"/>
          <w:szCs w:val="22"/>
        </w:rPr>
        <w:t xml:space="preserve">, we shared information with you regarding updates to the program approval guidelines and the development timeline. We are writing now with updates about the program approval process and what guides our decision-making in this work. </w:t>
      </w:r>
    </w:p>
    <w:p w14:paraId="72C56FC4" w14:textId="77777777" w:rsidR="0070520D" w:rsidRPr="001B14FD" w:rsidRDefault="0070520D" w:rsidP="0070520D">
      <w:pPr>
        <w:rPr>
          <w:rFonts w:asciiTheme="minorHAnsi" w:hAnsiTheme="minorHAnsi" w:cstheme="minorHAnsi"/>
          <w:b/>
          <w:bCs/>
          <w:sz w:val="22"/>
          <w:szCs w:val="22"/>
        </w:rPr>
      </w:pPr>
    </w:p>
    <w:p w14:paraId="240EF5DF" w14:textId="1B5DB76E" w:rsidR="0070520D" w:rsidRPr="001B14FD" w:rsidRDefault="0070520D" w:rsidP="0070520D">
      <w:pPr>
        <w:rPr>
          <w:rFonts w:asciiTheme="minorHAnsi" w:hAnsiTheme="minorHAnsi" w:cstheme="minorHAnsi"/>
          <w:sz w:val="22"/>
          <w:szCs w:val="22"/>
        </w:rPr>
      </w:pPr>
      <w:r w:rsidRPr="001B14FD">
        <w:rPr>
          <w:rFonts w:asciiTheme="minorHAnsi" w:hAnsiTheme="minorHAnsi" w:cstheme="minorHAnsi"/>
          <w:b/>
          <w:bCs/>
          <w:sz w:val="22"/>
          <w:szCs w:val="22"/>
        </w:rPr>
        <w:t xml:space="preserve">What guides our work. </w:t>
      </w:r>
      <w:r w:rsidRPr="001B14FD">
        <w:rPr>
          <w:rFonts w:asciiTheme="minorHAnsi" w:hAnsiTheme="minorHAnsi" w:cstheme="minorHAnsi"/>
          <w:sz w:val="22"/>
          <w:szCs w:val="22"/>
        </w:rPr>
        <w:t xml:space="preserve">As you may have seen in communications earlier this fall, the Office of Educator Effectiveness finalized a new mission statement in August: </w:t>
      </w:r>
    </w:p>
    <w:p w14:paraId="7552A8EF" w14:textId="77777777" w:rsidR="0070520D" w:rsidRPr="001B14FD" w:rsidRDefault="0070520D" w:rsidP="0070520D">
      <w:pPr>
        <w:rPr>
          <w:rFonts w:asciiTheme="minorHAnsi" w:hAnsiTheme="minorHAnsi" w:cstheme="minorHAnsi"/>
          <w:sz w:val="22"/>
          <w:szCs w:val="22"/>
        </w:rPr>
      </w:pPr>
    </w:p>
    <w:p w14:paraId="6CFB24E1" w14:textId="7D0C7370" w:rsidR="0070520D" w:rsidRPr="001B14FD" w:rsidRDefault="0070520D" w:rsidP="0070520D">
      <w:pPr>
        <w:ind w:left="720"/>
        <w:rPr>
          <w:rFonts w:asciiTheme="minorHAnsi" w:hAnsiTheme="minorHAnsi" w:cstheme="minorHAnsi"/>
          <w:sz w:val="22"/>
          <w:szCs w:val="22"/>
        </w:rPr>
      </w:pPr>
      <w:r w:rsidRPr="001B14FD">
        <w:rPr>
          <w:rFonts w:asciiTheme="minorHAnsi" w:hAnsiTheme="minorHAnsi" w:cstheme="minorHAnsi"/>
          <w:sz w:val="22"/>
          <w:szCs w:val="22"/>
        </w:rPr>
        <w:t xml:space="preserve">We work to create the conditions that support the preparation, development, and retention of a diverse and effective educator workforce so that all of our students thrive. </w:t>
      </w:r>
    </w:p>
    <w:p w14:paraId="61B59129" w14:textId="77777777" w:rsidR="0070520D" w:rsidRPr="001B14FD" w:rsidRDefault="0070520D" w:rsidP="0070520D">
      <w:pPr>
        <w:ind w:left="720"/>
        <w:rPr>
          <w:rFonts w:asciiTheme="minorHAnsi" w:hAnsiTheme="minorHAnsi" w:cstheme="minorHAnsi"/>
          <w:sz w:val="22"/>
          <w:szCs w:val="22"/>
        </w:rPr>
      </w:pPr>
    </w:p>
    <w:p w14:paraId="520BAA71" w14:textId="5A5B16CB" w:rsidR="0070520D" w:rsidRPr="001B14FD" w:rsidRDefault="0070520D" w:rsidP="0070520D">
      <w:pPr>
        <w:rPr>
          <w:rFonts w:asciiTheme="minorHAnsi" w:hAnsiTheme="minorHAnsi" w:cstheme="minorHAnsi"/>
          <w:sz w:val="22"/>
          <w:szCs w:val="22"/>
        </w:rPr>
      </w:pPr>
      <w:r w:rsidRPr="001B14FD">
        <w:rPr>
          <w:rFonts w:asciiTheme="minorHAnsi" w:hAnsiTheme="minorHAnsi" w:cstheme="minorHAnsi"/>
          <w:sz w:val="22"/>
          <w:szCs w:val="22"/>
        </w:rPr>
        <w:t xml:space="preserve">We define effective educators as educators who nurture and cultivate academic achievement, cultural and linguistic competence, sociopolitical awareness, and emotional intelligence. In partnership with you, our colleagues in educator preparation, we believe that if we are consistent over time in adhering to this mission, we can work together to contribute to disrupting systemic inequities, in particular for Black, Latinx, Asian, Indigenous, and Multiracial students and educators who have been most harmed through existing and historical policies and practices. This mission has guided, and will continue to guide, decision-making regarding the program approval process. </w:t>
      </w:r>
    </w:p>
    <w:p w14:paraId="3E1061DD" w14:textId="77777777" w:rsidR="0070520D" w:rsidRPr="001B14FD" w:rsidRDefault="0070520D" w:rsidP="0070520D">
      <w:pPr>
        <w:rPr>
          <w:rFonts w:asciiTheme="minorHAnsi" w:hAnsiTheme="minorHAnsi" w:cstheme="minorHAnsi"/>
          <w:sz w:val="22"/>
          <w:szCs w:val="22"/>
        </w:rPr>
      </w:pPr>
    </w:p>
    <w:p w14:paraId="79C2C6C4" w14:textId="186CA23E" w:rsidR="0070520D" w:rsidRPr="001B14FD" w:rsidRDefault="00936FC7" w:rsidP="0070520D">
      <w:pPr>
        <w:rPr>
          <w:rFonts w:asciiTheme="minorHAnsi" w:hAnsiTheme="minorHAnsi" w:cstheme="minorHAnsi"/>
          <w:sz w:val="22"/>
          <w:szCs w:val="22"/>
        </w:rPr>
      </w:pPr>
      <w:r w:rsidRPr="001B14FD">
        <w:rPr>
          <w:rFonts w:asciiTheme="minorHAnsi" w:hAnsiTheme="minorHAnsi" w:cstheme="minorHAnsi"/>
          <w:sz w:val="22"/>
          <w:szCs w:val="22"/>
        </w:rPr>
        <w:t>In accordance with this mission</w:t>
      </w:r>
      <w:r w:rsidR="0070520D" w:rsidRPr="001B14FD">
        <w:rPr>
          <w:rFonts w:asciiTheme="minorHAnsi" w:hAnsiTheme="minorHAnsi" w:cstheme="minorHAnsi"/>
          <w:sz w:val="22"/>
          <w:szCs w:val="22"/>
        </w:rPr>
        <w:t xml:space="preserve">, we </w:t>
      </w:r>
      <w:r w:rsidRPr="001B14FD">
        <w:rPr>
          <w:rFonts w:asciiTheme="minorHAnsi" w:hAnsiTheme="minorHAnsi" w:cstheme="minorHAnsi"/>
          <w:sz w:val="22"/>
          <w:szCs w:val="22"/>
        </w:rPr>
        <w:t>are working</w:t>
      </w:r>
      <w:r w:rsidR="0070520D" w:rsidRPr="001B14FD">
        <w:rPr>
          <w:rFonts w:asciiTheme="minorHAnsi" w:hAnsiTheme="minorHAnsi" w:cstheme="minorHAnsi"/>
          <w:sz w:val="22"/>
          <w:szCs w:val="22"/>
        </w:rPr>
        <w:t xml:space="preserve"> to revise the program approval process to ensure that it is increasingly effective, efficient, and consistent. </w:t>
      </w:r>
      <w:r w:rsidR="009E1776" w:rsidRPr="001B14FD">
        <w:rPr>
          <w:rFonts w:asciiTheme="minorHAnsi" w:hAnsiTheme="minorHAnsi" w:cstheme="minorHAnsi"/>
          <w:sz w:val="22"/>
          <w:szCs w:val="22"/>
        </w:rPr>
        <w:t>This memo includes</w:t>
      </w:r>
      <w:r w:rsidR="0070520D" w:rsidRPr="001B14FD">
        <w:rPr>
          <w:rFonts w:asciiTheme="minorHAnsi" w:hAnsiTheme="minorHAnsi" w:cstheme="minorHAnsi"/>
          <w:sz w:val="22"/>
          <w:szCs w:val="22"/>
        </w:rPr>
        <w:t xml:space="preserve"> key decisions that have been made since June </w:t>
      </w:r>
      <w:r w:rsidR="00CC4378" w:rsidRPr="001B14FD">
        <w:rPr>
          <w:rFonts w:asciiTheme="minorHAnsi" w:hAnsiTheme="minorHAnsi" w:cstheme="minorHAnsi"/>
          <w:sz w:val="22"/>
          <w:szCs w:val="22"/>
        </w:rPr>
        <w:t>2021</w:t>
      </w:r>
      <w:r w:rsidR="0070520D" w:rsidRPr="001B14FD">
        <w:rPr>
          <w:rFonts w:asciiTheme="minorHAnsi" w:hAnsiTheme="minorHAnsi" w:cstheme="minorHAnsi"/>
          <w:sz w:val="22"/>
          <w:szCs w:val="22"/>
        </w:rPr>
        <w:t>, work that is still underway, and opportunities for further stakeholder engagement.</w:t>
      </w:r>
    </w:p>
    <w:p w14:paraId="711846C9" w14:textId="77777777" w:rsidR="006C20CB" w:rsidRPr="001B14FD" w:rsidRDefault="0070520D" w:rsidP="0070520D">
      <w:pPr>
        <w:rPr>
          <w:rFonts w:asciiTheme="minorHAnsi" w:hAnsiTheme="minorHAnsi" w:cstheme="minorHAnsi"/>
          <w:b/>
          <w:bCs/>
          <w:szCs w:val="24"/>
        </w:rPr>
      </w:pPr>
      <w:r w:rsidRPr="001B14FD">
        <w:rPr>
          <w:rFonts w:asciiTheme="minorHAnsi" w:hAnsiTheme="minorHAnsi" w:cstheme="minorHAnsi"/>
          <w:b/>
          <w:bCs/>
          <w:szCs w:val="24"/>
        </w:rPr>
        <w:lastRenderedPageBreak/>
        <w:t xml:space="preserve">Key </w:t>
      </w:r>
      <w:r w:rsidR="008D597C" w:rsidRPr="001B14FD">
        <w:rPr>
          <w:rFonts w:asciiTheme="minorHAnsi" w:hAnsiTheme="minorHAnsi" w:cstheme="minorHAnsi"/>
          <w:b/>
          <w:bCs/>
          <w:szCs w:val="24"/>
        </w:rPr>
        <w:t>Decision</w:t>
      </w:r>
      <w:r w:rsidR="008341A4" w:rsidRPr="001B14FD">
        <w:rPr>
          <w:rFonts w:asciiTheme="minorHAnsi" w:hAnsiTheme="minorHAnsi" w:cstheme="minorHAnsi"/>
          <w:b/>
          <w:bCs/>
          <w:szCs w:val="24"/>
        </w:rPr>
        <w:t>s</w:t>
      </w:r>
    </w:p>
    <w:p w14:paraId="01BCC3A3" w14:textId="77777777" w:rsidR="006C20CB" w:rsidRPr="001B14FD" w:rsidRDefault="006C20CB" w:rsidP="0070520D">
      <w:pPr>
        <w:rPr>
          <w:rFonts w:asciiTheme="minorHAnsi" w:hAnsiTheme="minorHAnsi" w:cstheme="minorHAnsi"/>
          <w:b/>
          <w:bCs/>
          <w:sz w:val="22"/>
          <w:szCs w:val="22"/>
        </w:rPr>
      </w:pPr>
    </w:p>
    <w:p w14:paraId="4050574C" w14:textId="7A1D1EE7" w:rsidR="0070520D" w:rsidRPr="001B14FD" w:rsidRDefault="006C20CB" w:rsidP="0070520D">
      <w:pPr>
        <w:rPr>
          <w:rFonts w:asciiTheme="minorHAnsi" w:hAnsiTheme="minorHAnsi" w:cstheme="minorHAnsi"/>
          <w:sz w:val="22"/>
          <w:szCs w:val="22"/>
        </w:rPr>
      </w:pPr>
      <w:r w:rsidRPr="001B14FD">
        <w:rPr>
          <w:rFonts w:asciiTheme="minorHAnsi" w:hAnsiTheme="minorHAnsi" w:cstheme="minorHAnsi"/>
          <w:sz w:val="22"/>
          <w:szCs w:val="22"/>
        </w:rPr>
        <w:t>Timeline</w:t>
      </w:r>
    </w:p>
    <w:p w14:paraId="55003C14" w14:textId="4E2AC13B" w:rsidR="005C3BB0" w:rsidRPr="001B14FD" w:rsidRDefault="008B11FB" w:rsidP="0070520D">
      <w:pPr>
        <w:pStyle w:val="ListParagraph"/>
        <w:numPr>
          <w:ilvl w:val="0"/>
          <w:numId w:val="17"/>
        </w:numPr>
        <w:rPr>
          <w:rFonts w:asciiTheme="minorHAnsi" w:hAnsiTheme="minorHAnsi" w:cstheme="minorHAnsi"/>
        </w:rPr>
      </w:pPr>
      <w:r w:rsidRPr="001B14FD">
        <w:rPr>
          <w:rFonts w:asciiTheme="minorHAnsi" w:hAnsiTheme="minorHAnsi" w:cstheme="minorHAnsi"/>
        </w:rPr>
        <w:t xml:space="preserve">As </w:t>
      </w:r>
      <w:r w:rsidR="00D1154F">
        <w:rPr>
          <w:rFonts w:asciiTheme="minorHAnsi" w:hAnsiTheme="minorHAnsi" w:cstheme="minorHAnsi"/>
        </w:rPr>
        <w:t xml:space="preserve">we </w:t>
      </w:r>
      <w:r w:rsidRPr="001B14FD">
        <w:rPr>
          <w:rFonts w:asciiTheme="minorHAnsi" w:hAnsiTheme="minorHAnsi" w:cstheme="minorHAnsi"/>
        </w:rPr>
        <w:t xml:space="preserve">communicated in the June 2021 memorandum, </w:t>
      </w:r>
      <w:r w:rsidRPr="001B14FD">
        <w:rPr>
          <w:rFonts w:asciiTheme="minorHAnsi" w:hAnsiTheme="minorHAnsi" w:cstheme="minorHAnsi"/>
          <w:b/>
          <w:bCs/>
        </w:rPr>
        <w:t>the new formal approval cycle will launch in Fall 2024.</w:t>
      </w:r>
      <w:r w:rsidRPr="001B14FD">
        <w:rPr>
          <w:rFonts w:asciiTheme="minorHAnsi" w:hAnsiTheme="minorHAnsi" w:cstheme="minorHAnsi"/>
        </w:rPr>
        <w:t xml:space="preserve"> </w:t>
      </w:r>
    </w:p>
    <w:p w14:paraId="5F91065E" w14:textId="33FC5FE0" w:rsidR="00206FF6" w:rsidRPr="001B14FD" w:rsidRDefault="00AB70CD" w:rsidP="00206FF6">
      <w:pPr>
        <w:pStyle w:val="ListParagraph"/>
        <w:numPr>
          <w:ilvl w:val="0"/>
          <w:numId w:val="17"/>
        </w:numPr>
        <w:rPr>
          <w:rFonts w:asciiTheme="minorHAnsi" w:hAnsiTheme="minorHAnsi" w:cstheme="minorHAnsi"/>
        </w:rPr>
      </w:pPr>
      <w:r w:rsidRPr="001B14FD">
        <w:rPr>
          <w:rFonts w:asciiTheme="minorHAnsi" w:hAnsiTheme="minorHAnsi" w:cstheme="minorHAnsi"/>
          <w:b/>
        </w:rPr>
        <w:t>The</w:t>
      </w:r>
      <w:r w:rsidRPr="001B14FD">
        <w:rPr>
          <w:rFonts w:asciiTheme="minorHAnsi" w:hAnsiTheme="minorHAnsi" w:cstheme="minorHAnsi"/>
          <w:b/>
          <w:bCs/>
        </w:rPr>
        <w:t xml:space="preserve"> </w:t>
      </w:r>
      <w:r w:rsidR="00F53500" w:rsidRPr="001B14FD">
        <w:rPr>
          <w:rFonts w:asciiTheme="minorHAnsi" w:hAnsiTheme="minorHAnsi" w:cstheme="minorHAnsi"/>
          <w:b/>
          <w:bCs/>
        </w:rPr>
        <w:t>A-G</w:t>
      </w:r>
      <w:r w:rsidRPr="001B14FD">
        <w:rPr>
          <w:rFonts w:asciiTheme="minorHAnsi" w:hAnsiTheme="minorHAnsi" w:cstheme="minorHAnsi"/>
          <w:b/>
          <w:bCs/>
        </w:rPr>
        <w:t xml:space="preserve"> </w:t>
      </w:r>
      <w:r w:rsidRPr="001B14FD">
        <w:rPr>
          <w:rFonts w:asciiTheme="minorHAnsi" w:hAnsiTheme="minorHAnsi" w:cstheme="minorHAnsi"/>
          <w:b/>
        </w:rPr>
        <w:t xml:space="preserve">cohort model for formal reviews will remain the same, with potential for </w:t>
      </w:r>
      <w:r w:rsidR="00512A8B" w:rsidRPr="001B14FD">
        <w:rPr>
          <w:rFonts w:asciiTheme="minorHAnsi" w:hAnsiTheme="minorHAnsi" w:cstheme="minorHAnsi"/>
          <w:b/>
        </w:rPr>
        <w:t xml:space="preserve">some </w:t>
      </w:r>
      <w:r w:rsidRPr="001B14FD">
        <w:rPr>
          <w:rFonts w:asciiTheme="minorHAnsi" w:hAnsiTheme="minorHAnsi" w:cstheme="minorHAnsi"/>
          <w:b/>
        </w:rPr>
        <w:t>adjustments.</w:t>
      </w:r>
      <w:r w:rsidRPr="001B14FD">
        <w:rPr>
          <w:rFonts w:asciiTheme="minorHAnsi" w:hAnsiTheme="minorHAnsi" w:cstheme="minorHAnsi"/>
        </w:rPr>
        <w:t xml:space="preserve"> </w:t>
      </w:r>
      <w:r w:rsidR="00206FF6" w:rsidRPr="001B14FD">
        <w:rPr>
          <w:rFonts w:asciiTheme="minorHAnsi" w:hAnsiTheme="minorHAnsi" w:cstheme="minorHAnsi"/>
        </w:rPr>
        <w:t>Exceptions include SOs on informal approval or probationary approval, or SOs on conditional approval not making sufficient progress</w:t>
      </w:r>
      <w:r w:rsidR="00412AFD" w:rsidRPr="001B14FD">
        <w:rPr>
          <w:rFonts w:asciiTheme="minorHAnsi" w:hAnsiTheme="minorHAnsi" w:cstheme="minorHAnsi"/>
        </w:rPr>
        <w:t>.</w:t>
      </w:r>
    </w:p>
    <w:p w14:paraId="1D4D726A" w14:textId="4ACF81F1" w:rsidR="00DA22C9" w:rsidRPr="001B14FD" w:rsidRDefault="00AB70CD" w:rsidP="00F86C6A">
      <w:pPr>
        <w:pStyle w:val="ListParagraph"/>
        <w:numPr>
          <w:ilvl w:val="0"/>
          <w:numId w:val="17"/>
        </w:numPr>
        <w:rPr>
          <w:rFonts w:asciiTheme="minorHAnsi" w:hAnsiTheme="minorHAnsi" w:cstheme="minorHAnsi"/>
        </w:rPr>
      </w:pPr>
      <w:r w:rsidRPr="001B14FD">
        <w:rPr>
          <w:rFonts w:asciiTheme="minorHAnsi" w:hAnsiTheme="minorHAnsi" w:cstheme="minorHAnsi"/>
          <w:b/>
        </w:rPr>
        <w:t>We will share the final cohorts and years for review by June 2022.</w:t>
      </w:r>
      <w:r w:rsidRPr="001B14FD">
        <w:rPr>
          <w:rFonts w:asciiTheme="minorHAnsi" w:hAnsiTheme="minorHAnsi" w:cstheme="minorHAnsi"/>
        </w:rPr>
        <w:t xml:space="preserve"> </w:t>
      </w:r>
      <w:r w:rsidR="0055037B">
        <w:rPr>
          <w:rFonts w:asciiTheme="minorHAnsi" w:hAnsiTheme="minorHAnsi" w:cstheme="minorHAnsi"/>
        </w:rPr>
        <w:t>This</w:t>
      </w:r>
      <w:r w:rsidRPr="001B14FD">
        <w:rPr>
          <w:rFonts w:asciiTheme="minorHAnsi" w:hAnsiTheme="minorHAnsi" w:cstheme="minorHAnsi"/>
        </w:rPr>
        <w:t xml:space="preserve"> will provide organizations with ample time to prepare.</w:t>
      </w:r>
    </w:p>
    <w:p w14:paraId="6D7EA9B2" w14:textId="77777777" w:rsidR="006C20CB" w:rsidRPr="001B14FD" w:rsidRDefault="006C20CB" w:rsidP="006C20CB">
      <w:pPr>
        <w:rPr>
          <w:rFonts w:asciiTheme="minorHAnsi" w:hAnsiTheme="minorHAnsi" w:cstheme="minorHAnsi"/>
          <w:b/>
          <w:bCs/>
          <w:sz w:val="22"/>
          <w:szCs w:val="22"/>
        </w:rPr>
      </w:pPr>
    </w:p>
    <w:p w14:paraId="75F28495" w14:textId="5210028D" w:rsidR="006C20CB" w:rsidRPr="001B14FD" w:rsidRDefault="006C20CB" w:rsidP="00F86C6A">
      <w:pPr>
        <w:rPr>
          <w:rFonts w:asciiTheme="minorHAnsi" w:hAnsiTheme="minorHAnsi" w:cstheme="minorHAnsi"/>
          <w:sz w:val="22"/>
          <w:szCs w:val="22"/>
          <w:u w:val="single"/>
        </w:rPr>
      </w:pPr>
      <w:r w:rsidRPr="001B14FD">
        <w:rPr>
          <w:rFonts w:asciiTheme="minorHAnsi" w:hAnsiTheme="minorHAnsi" w:cstheme="minorHAnsi"/>
          <w:sz w:val="22"/>
          <w:szCs w:val="22"/>
        </w:rPr>
        <w:t>Process</w:t>
      </w:r>
    </w:p>
    <w:p w14:paraId="26963D13" w14:textId="3AAC4165" w:rsidR="008D597C" w:rsidRPr="001B14FD" w:rsidRDefault="008D597C">
      <w:pPr>
        <w:pStyle w:val="ListParagraph"/>
        <w:numPr>
          <w:ilvl w:val="0"/>
          <w:numId w:val="28"/>
        </w:numPr>
        <w:rPr>
          <w:rFonts w:asciiTheme="minorHAnsi" w:hAnsiTheme="minorHAnsi" w:cstheme="minorHAnsi"/>
        </w:rPr>
      </w:pPr>
      <w:r w:rsidRPr="001B14FD">
        <w:rPr>
          <w:rFonts w:asciiTheme="minorHAnsi" w:hAnsiTheme="minorHAnsi" w:cstheme="minorHAnsi"/>
          <w:b/>
        </w:rPr>
        <w:t>External reviewers will continue to play a critical r</w:t>
      </w:r>
      <w:r w:rsidR="03BBEA66" w:rsidRPr="001B14FD">
        <w:rPr>
          <w:rFonts w:asciiTheme="minorHAnsi" w:hAnsiTheme="minorHAnsi" w:cstheme="minorHAnsi"/>
          <w:b/>
        </w:rPr>
        <w:t>ole</w:t>
      </w:r>
      <w:r w:rsidRPr="001B14FD">
        <w:rPr>
          <w:rFonts w:asciiTheme="minorHAnsi" w:hAnsiTheme="minorHAnsi" w:cstheme="minorHAnsi"/>
          <w:b/>
        </w:rPr>
        <w:t xml:space="preserve"> in the formal review process.</w:t>
      </w:r>
      <w:r w:rsidRPr="001B14FD">
        <w:rPr>
          <w:rFonts w:asciiTheme="minorHAnsi" w:hAnsiTheme="minorHAnsi" w:cstheme="minorHAnsi"/>
        </w:rPr>
        <w:t xml:space="preserve"> </w:t>
      </w:r>
      <w:r w:rsidR="000278AA" w:rsidRPr="001B14FD">
        <w:rPr>
          <w:rFonts w:asciiTheme="minorHAnsi" w:hAnsiTheme="minorHAnsi" w:cstheme="minorHAnsi"/>
        </w:rPr>
        <w:t>We believe</w:t>
      </w:r>
      <w:r w:rsidRPr="001B14FD">
        <w:rPr>
          <w:rFonts w:asciiTheme="minorHAnsi" w:hAnsiTheme="minorHAnsi" w:cstheme="minorHAnsi"/>
        </w:rPr>
        <w:t xml:space="preserve"> that our colleagues from both educator preparation and the PreK-12 space are crucial to maintaining an effective</w:t>
      </w:r>
      <w:r w:rsidR="007972F7" w:rsidRPr="001B14FD">
        <w:rPr>
          <w:rFonts w:asciiTheme="minorHAnsi" w:hAnsiTheme="minorHAnsi" w:cstheme="minorHAnsi"/>
        </w:rPr>
        <w:t xml:space="preserve"> and consistent</w:t>
      </w:r>
      <w:r w:rsidRPr="001B14FD">
        <w:rPr>
          <w:rFonts w:asciiTheme="minorHAnsi" w:hAnsiTheme="minorHAnsi" w:cstheme="minorHAnsi"/>
        </w:rPr>
        <w:t xml:space="preserve"> program approval process. </w:t>
      </w:r>
    </w:p>
    <w:p w14:paraId="1CBAAC54" w14:textId="7D5599FA" w:rsidR="00A50E81" w:rsidRPr="001B14FD" w:rsidRDefault="00A50E81" w:rsidP="00A50E81">
      <w:pPr>
        <w:pStyle w:val="ListParagraph"/>
        <w:numPr>
          <w:ilvl w:val="0"/>
          <w:numId w:val="28"/>
        </w:numPr>
        <w:rPr>
          <w:rFonts w:asciiTheme="minorHAnsi" w:hAnsiTheme="minorHAnsi" w:cstheme="minorHAnsi"/>
        </w:rPr>
      </w:pPr>
      <w:r w:rsidRPr="001B14FD">
        <w:rPr>
          <w:rFonts w:asciiTheme="minorHAnsi" w:hAnsiTheme="minorHAnsi" w:cstheme="minorHAnsi"/>
        </w:rPr>
        <w:t xml:space="preserve">Based on feedback on the current process and our commitment to ensuring that the revised program approval process is more efficient, DESE is exploring a formal review model that will </w:t>
      </w:r>
      <w:r w:rsidRPr="001B14FD">
        <w:rPr>
          <w:rFonts w:asciiTheme="minorHAnsi" w:hAnsiTheme="minorHAnsi" w:cstheme="minorHAnsi"/>
          <w:b/>
          <w:bCs/>
        </w:rPr>
        <w:t>streamline the offsite submission process, particularly in advance of an onsite visit</w:t>
      </w:r>
      <w:r w:rsidRPr="001B14FD">
        <w:rPr>
          <w:rFonts w:asciiTheme="minorHAnsi" w:hAnsiTheme="minorHAnsi" w:cstheme="minorHAnsi"/>
        </w:rPr>
        <w:t xml:space="preserve">. While details related to this shift are still to be determined, we will be studying one potential model this spring, in which two </w:t>
      </w:r>
      <w:r w:rsidR="006720A2" w:rsidRPr="001B14FD">
        <w:rPr>
          <w:rFonts w:asciiTheme="minorHAnsi" w:hAnsiTheme="minorHAnsi" w:cstheme="minorHAnsi"/>
        </w:rPr>
        <w:t>SOs</w:t>
      </w:r>
      <w:r w:rsidRPr="001B14FD">
        <w:rPr>
          <w:rFonts w:asciiTheme="minorHAnsi" w:hAnsiTheme="minorHAnsi" w:cstheme="minorHAnsi"/>
        </w:rPr>
        <w:t xml:space="preserve"> under review will engage in an onsite visit followed by a targeted offsite submission (i.e., a “flipped review”).</w:t>
      </w:r>
    </w:p>
    <w:p w14:paraId="3C740864" w14:textId="2ADE713B" w:rsidR="00DC110A" w:rsidRPr="001B14FD" w:rsidRDefault="00A50E81" w:rsidP="00D652C9">
      <w:pPr>
        <w:pStyle w:val="ListParagraph"/>
        <w:numPr>
          <w:ilvl w:val="0"/>
          <w:numId w:val="28"/>
        </w:numPr>
        <w:rPr>
          <w:rFonts w:asciiTheme="minorHAnsi" w:hAnsiTheme="minorHAnsi" w:cstheme="minorHAnsi"/>
        </w:rPr>
      </w:pPr>
      <w:r w:rsidRPr="001B14FD">
        <w:rPr>
          <w:rFonts w:asciiTheme="minorHAnsi" w:hAnsiTheme="minorHAnsi" w:cstheme="minorHAnsi"/>
          <w:b/>
          <w:bCs/>
        </w:rPr>
        <w:t>The emphasis will remain on outputs and impact over inputs and process.</w:t>
      </w:r>
      <w:r w:rsidRPr="001B14FD">
        <w:rPr>
          <w:rFonts w:asciiTheme="minorHAnsi" w:hAnsiTheme="minorHAnsi" w:cstheme="minorHAnsi"/>
        </w:rPr>
        <w:t xml:space="preserve"> We believe that this continues to place the focus on the right place – </w:t>
      </w:r>
      <w:proofErr w:type="gramStart"/>
      <w:r w:rsidRPr="001B14FD">
        <w:rPr>
          <w:rFonts w:asciiTheme="minorHAnsi" w:hAnsiTheme="minorHAnsi" w:cstheme="minorHAnsi"/>
        </w:rPr>
        <w:t>what’s</w:t>
      </w:r>
      <w:proofErr w:type="gramEnd"/>
      <w:r w:rsidRPr="001B14FD">
        <w:rPr>
          <w:rFonts w:asciiTheme="minorHAnsi" w:hAnsiTheme="minorHAnsi" w:cstheme="minorHAnsi"/>
        </w:rPr>
        <w:t xml:space="preserve"> happening in schools and classrooms as a result of an effective preparation experience – while giving preparation providers the space and flexibility to design ways to best meet those outcomes.</w:t>
      </w:r>
    </w:p>
    <w:p w14:paraId="276BCD78" w14:textId="77777777" w:rsidR="003F5416" w:rsidRPr="001B14FD" w:rsidRDefault="003F5416" w:rsidP="003F5416">
      <w:pPr>
        <w:rPr>
          <w:rFonts w:asciiTheme="minorHAnsi" w:hAnsiTheme="minorHAnsi" w:cstheme="minorHAnsi"/>
          <w:sz w:val="22"/>
          <w:szCs w:val="22"/>
        </w:rPr>
      </w:pPr>
    </w:p>
    <w:p w14:paraId="7D4C5B74" w14:textId="01D8A2B5" w:rsidR="003F5416" w:rsidRPr="001B14FD" w:rsidRDefault="003F5416" w:rsidP="00F86C6A">
      <w:pPr>
        <w:rPr>
          <w:rFonts w:asciiTheme="minorHAnsi" w:hAnsiTheme="minorHAnsi" w:cstheme="minorHAnsi"/>
          <w:sz w:val="22"/>
          <w:szCs w:val="22"/>
        </w:rPr>
      </w:pPr>
      <w:r w:rsidRPr="001B14FD">
        <w:rPr>
          <w:rFonts w:asciiTheme="minorHAnsi" w:hAnsiTheme="minorHAnsi" w:cstheme="minorHAnsi"/>
          <w:sz w:val="22"/>
          <w:szCs w:val="22"/>
        </w:rPr>
        <w:t>Content</w:t>
      </w:r>
    </w:p>
    <w:p w14:paraId="6531CF74" w14:textId="7F3C1FF8" w:rsidR="0070520D" w:rsidRPr="001B14FD" w:rsidRDefault="008B11FB" w:rsidP="0070520D">
      <w:pPr>
        <w:pStyle w:val="ListParagraph"/>
        <w:numPr>
          <w:ilvl w:val="0"/>
          <w:numId w:val="17"/>
        </w:numPr>
        <w:rPr>
          <w:rFonts w:asciiTheme="minorHAnsi" w:hAnsiTheme="minorHAnsi" w:cstheme="minorHAnsi"/>
        </w:rPr>
      </w:pPr>
      <w:r w:rsidRPr="001B14FD">
        <w:rPr>
          <w:rFonts w:asciiTheme="minorHAnsi" w:hAnsiTheme="minorHAnsi" w:cstheme="minorHAnsi"/>
        </w:rPr>
        <w:t>Per</w:t>
      </w:r>
      <w:r w:rsidR="0070520D" w:rsidRPr="001B14FD">
        <w:rPr>
          <w:rFonts w:asciiTheme="minorHAnsi" w:hAnsiTheme="minorHAnsi" w:cstheme="minorHAnsi"/>
        </w:rPr>
        <w:t xml:space="preserve"> </w:t>
      </w:r>
      <w:r w:rsidRPr="001B14FD">
        <w:rPr>
          <w:rFonts w:asciiTheme="minorHAnsi" w:hAnsiTheme="minorHAnsi" w:cstheme="minorHAnsi"/>
        </w:rPr>
        <w:t>both prior</w:t>
      </w:r>
      <w:r w:rsidR="0070520D" w:rsidRPr="001B14FD">
        <w:rPr>
          <w:rFonts w:asciiTheme="minorHAnsi" w:hAnsiTheme="minorHAnsi" w:cstheme="minorHAnsi"/>
        </w:rPr>
        <w:t xml:space="preserve"> </w:t>
      </w:r>
      <w:r w:rsidR="00A36B05" w:rsidRPr="001B14FD">
        <w:rPr>
          <w:rFonts w:asciiTheme="minorHAnsi" w:hAnsiTheme="minorHAnsi" w:cstheme="minorHAnsi"/>
        </w:rPr>
        <w:t>memoranda</w:t>
      </w:r>
      <w:r w:rsidR="0070520D" w:rsidRPr="001B14FD">
        <w:rPr>
          <w:rFonts w:asciiTheme="minorHAnsi" w:hAnsiTheme="minorHAnsi" w:cstheme="minorHAnsi"/>
        </w:rPr>
        <w:t xml:space="preserve">, the revisions to the program approval expectations and processes will have two </w:t>
      </w:r>
      <w:r w:rsidR="00CD546F" w:rsidRPr="001B14FD">
        <w:rPr>
          <w:rFonts w:asciiTheme="minorHAnsi" w:hAnsiTheme="minorHAnsi" w:cstheme="minorHAnsi"/>
        </w:rPr>
        <w:t>foci</w:t>
      </w:r>
      <w:r w:rsidR="0070520D" w:rsidRPr="001B14FD">
        <w:rPr>
          <w:rFonts w:asciiTheme="minorHAnsi" w:hAnsiTheme="minorHAnsi" w:cstheme="minorHAnsi"/>
        </w:rPr>
        <w:t>:</w:t>
      </w:r>
    </w:p>
    <w:p w14:paraId="42F094F8" w14:textId="55DECE39" w:rsidR="0070520D" w:rsidRPr="001B14FD" w:rsidRDefault="0070520D" w:rsidP="0070520D">
      <w:pPr>
        <w:pStyle w:val="ListParagraph"/>
        <w:numPr>
          <w:ilvl w:val="1"/>
          <w:numId w:val="17"/>
        </w:numPr>
        <w:rPr>
          <w:rFonts w:asciiTheme="minorHAnsi" w:hAnsiTheme="minorHAnsi" w:cstheme="minorHAnsi"/>
        </w:rPr>
      </w:pPr>
      <w:r w:rsidRPr="001B14FD">
        <w:rPr>
          <w:rFonts w:asciiTheme="minorHAnsi" w:hAnsiTheme="minorHAnsi" w:cstheme="minorHAnsi"/>
          <w:b/>
          <w:bCs/>
        </w:rPr>
        <w:t xml:space="preserve">Building a foundation of anti-racist practice. </w:t>
      </w:r>
      <w:r w:rsidRPr="001B14FD">
        <w:rPr>
          <w:rFonts w:asciiTheme="minorHAnsi" w:hAnsiTheme="minorHAnsi" w:cstheme="minorHAnsi"/>
        </w:rPr>
        <w:t>In alignment with our mission statement,</w:t>
      </w:r>
      <w:r w:rsidRPr="001B14FD">
        <w:rPr>
          <w:rFonts w:asciiTheme="minorHAnsi" w:hAnsiTheme="minorHAnsi" w:cstheme="minorHAnsi"/>
          <w:b/>
          <w:bCs/>
        </w:rPr>
        <w:t xml:space="preserve"> </w:t>
      </w:r>
      <w:r w:rsidRPr="001B14FD">
        <w:rPr>
          <w:rFonts w:asciiTheme="minorHAnsi" w:hAnsiTheme="minorHAnsi" w:cstheme="minorHAnsi"/>
        </w:rPr>
        <w:t xml:space="preserve">our work continues to be driven by the question, “How are educator preparation efforts designed to break historical patterns of racial inequity, not by accident but by design?” Updated program approval expectations and processes will support our collective work toward this goal. An example of this focus can be found in the revised </w:t>
      </w:r>
      <w:hyperlink r:id="rId25" w:history="1">
        <w:r w:rsidRPr="001B14FD">
          <w:rPr>
            <w:rStyle w:val="Hyperlink"/>
            <w:rFonts w:asciiTheme="minorHAnsi" w:hAnsiTheme="minorHAnsi" w:cstheme="minorHAnsi"/>
          </w:rPr>
          <w:t>Guidelines for the Preparation of Administrative Leaders</w:t>
        </w:r>
      </w:hyperlink>
      <w:r w:rsidRPr="001B14FD">
        <w:rPr>
          <w:rFonts w:asciiTheme="minorHAnsi" w:hAnsiTheme="minorHAnsi" w:cstheme="minorHAnsi"/>
        </w:rPr>
        <w:t xml:space="preserve"> that were finalized in September 2021.  </w:t>
      </w:r>
    </w:p>
    <w:p w14:paraId="228FC34A" w14:textId="23344CDC" w:rsidR="0070520D" w:rsidRPr="001B14FD" w:rsidRDefault="0070520D" w:rsidP="0070520D">
      <w:pPr>
        <w:pStyle w:val="ListParagraph"/>
        <w:numPr>
          <w:ilvl w:val="1"/>
          <w:numId w:val="17"/>
        </w:numPr>
        <w:rPr>
          <w:rFonts w:asciiTheme="minorHAnsi" w:hAnsiTheme="minorHAnsi" w:cstheme="minorHAnsi"/>
        </w:rPr>
      </w:pPr>
      <w:r w:rsidRPr="001B14FD">
        <w:rPr>
          <w:rFonts w:asciiTheme="minorHAnsi" w:hAnsiTheme="minorHAnsi" w:cstheme="minorHAnsi"/>
          <w:b/>
          <w:bCs/>
        </w:rPr>
        <w:t>Deepening instruction and program level-expectations</w:t>
      </w:r>
      <w:r w:rsidRPr="001B14FD">
        <w:rPr>
          <w:rFonts w:asciiTheme="minorHAnsi" w:hAnsiTheme="minorHAnsi" w:cstheme="minorHAnsi"/>
        </w:rPr>
        <w:t>. With the updates to program approval, we are committed to a more explicit</w:t>
      </w:r>
      <w:r w:rsidR="008C2572">
        <w:rPr>
          <w:rFonts w:asciiTheme="minorHAnsi" w:hAnsiTheme="minorHAnsi" w:cstheme="minorHAnsi"/>
        </w:rPr>
        <w:t xml:space="preserve"> </w:t>
      </w:r>
      <w:r w:rsidR="00013EFB">
        <w:rPr>
          <w:rFonts w:asciiTheme="minorHAnsi" w:hAnsiTheme="minorHAnsi" w:cstheme="minorHAnsi"/>
        </w:rPr>
        <w:t>review</w:t>
      </w:r>
      <w:r w:rsidRPr="001B14FD">
        <w:rPr>
          <w:rFonts w:asciiTheme="minorHAnsi" w:hAnsiTheme="minorHAnsi" w:cstheme="minorHAnsi"/>
        </w:rPr>
        <w:t xml:space="preserve"> of instructional programming with a specific emphasis on the development of curricular literacy</w:t>
      </w:r>
      <w:r w:rsidR="2835B8A7" w:rsidRPr="001B14FD">
        <w:rPr>
          <w:rFonts w:asciiTheme="minorHAnsi" w:hAnsiTheme="minorHAnsi" w:cstheme="minorHAnsi"/>
        </w:rPr>
        <w:t>,</w:t>
      </w:r>
      <w:r w:rsidRPr="001B14FD">
        <w:rPr>
          <w:rFonts w:asciiTheme="minorHAnsi" w:hAnsiTheme="minorHAnsi" w:cstheme="minorHAnsi"/>
        </w:rPr>
        <w:t xml:space="preserve"> evidence-based practices (</w:t>
      </w:r>
      <w:r w:rsidR="00640CC1" w:rsidRPr="001B14FD">
        <w:rPr>
          <w:rFonts w:asciiTheme="minorHAnsi" w:hAnsiTheme="minorHAnsi" w:cstheme="minorHAnsi"/>
        </w:rPr>
        <w:t>e.g.,</w:t>
      </w:r>
      <w:r w:rsidR="08C82086" w:rsidRPr="001B14FD">
        <w:rPr>
          <w:rFonts w:asciiTheme="minorHAnsi" w:hAnsiTheme="minorHAnsi" w:cstheme="minorHAnsi"/>
        </w:rPr>
        <w:t xml:space="preserve"> evidence-based early literacy</w:t>
      </w:r>
      <w:r w:rsidR="73995914" w:rsidRPr="001B14FD">
        <w:rPr>
          <w:rFonts w:asciiTheme="minorHAnsi" w:hAnsiTheme="minorHAnsi" w:cstheme="minorHAnsi"/>
        </w:rPr>
        <w:t>),</w:t>
      </w:r>
      <w:r w:rsidRPr="001B14FD">
        <w:rPr>
          <w:rFonts w:asciiTheme="minorHAnsi" w:hAnsiTheme="minorHAnsi" w:cstheme="minorHAnsi"/>
        </w:rPr>
        <w:t xml:space="preserve"> and </w:t>
      </w:r>
      <w:r w:rsidR="3AE549B1" w:rsidRPr="001B14FD">
        <w:rPr>
          <w:rFonts w:asciiTheme="minorHAnsi" w:hAnsiTheme="minorHAnsi" w:cstheme="minorHAnsi"/>
        </w:rPr>
        <w:t>a</w:t>
      </w:r>
      <w:r w:rsidRPr="001B14FD">
        <w:rPr>
          <w:rFonts w:asciiTheme="minorHAnsi" w:hAnsiTheme="minorHAnsi" w:cstheme="minorHAnsi"/>
        </w:rPr>
        <w:t xml:space="preserve">dministrator </w:t>
      </w:r>
      <w:r w:rsidR="09599539" w:rsidRPr="001B14FD">
        <w:rPr>
          <w:rFonts w:asciiTheme="minorHAnsi" w:hAnsiTheme="minorHAnsi" w:cstheme="minorHAnsi"/>
        </w:rPr>
        <w:t>p</w:t>
      </w:r>
      <w:r w:rsidRPr="001B14FD">
        <w:rPr>
          <w:rFonts w:asciiTheme="minorHAnsi" w:hAnsiTheme="minorHAnsi" w:cstheme="minorHAnsi"/>
        </w:rPr>
        <w:t xml:space="preserve">reparation. </w:t>
      </w:r>
    </w:p>
    <w:p w14:paraId="4CA823FF" w14:textId="5801074D" w:rsidR="00126186" w:rsidRPr="001B14FD" w:rsidRDefault="0070520D" w:rsidP="005714F8">
      <w:pPr>
        <w:pStyle w:val="ListParagraph"/>
        <w:numPr>
          <w:ilvl w:val="0"/>
          <w:numId w:val="17"/>
        </w:numPr>
        <w:rPr>
          <w:rFonts w:asciiTheme="minorHAnsi" w:hAnsiTheme="minorHAnsi" w:cstheme="minorHAnsi"/>
        </w:rPr>
      </w:pPr>
      <w:r w:rsidRPr="001B14FD">
        <w:rPr>
          <w:rFonts w:asciiTheme="minorHAnsi" w:hAnsiTheme="minorHAnsi" w:cstheme="minorHAnsi"/>
          <w:b/>
          <w:bCs/>
        </w:rPr>
        <w:t xml:space="preserve">The </w:t>
      </w:r>
      <w:hyperlink r:id="rId26" w:history="1">
        <w:r w:rsidRPr="001B14FD">
          <w:rPr>
            <w:rStyle w:val="Hyperlink"/>
            <w:rFonts w:asciiTheme="minorHAnsi" w:hAnsiTheme="minorHAnsi" w:cstheme="minorHAnsi"/>
            <w:b/>
            <w:bCs/>
          </w:rPr>
          <w:t>Educator Preparation Domains</w:t>
        </w:r>
      </w:hyperlink>
      <w:r w:rsidRPr="001B14FD">
        <w:rPr>
          <w:rFonts w:asciiTheme="minorHAnsi" w:hAnsiTheme="minorHAnsi" w:cstheme="minorHAnsi"/>
          <w:b/>
          <w:bCs/>
        </w:rPr>
        <w:t xml:space="preserve"> will not change, but the criteria will be revised. </w:t>
      </w:r>
      <w:r w:rsidRPr="001B14FD">
        <w:rPr>
          <w:rFonts w:asciiTheme="minorHAnsi" w:hAnsiTheme="minorHAnsi" w:cstheme="minorHAnsi"/>
        </w:rPr>
        <w:t xml:space="preserve">The six Educator Preparation Domains are derived from the </w:t>
      </w:r>
      <w:hyperlink r:id="rId27" w:history="1">
        <w:r w:rsidRPr="001B14FD">
          <w:rPr>
            <w:rStyle w:val="Hyperlink"/>
            <w:rFonts w:asciiTheme="minorHAnsi" w:hAnsiTheme="minorHAnsi" w:cstheme="minorHAnsi"/>
          </w:rPr>
          <w:t>program approval standards</w:t>
        </w:r>
      </w:hyperlink>
      <w:r w:rsidRPr="001B14FD">
        <w:rPr>
          <w:rFonts w:asciiTheme="minorHAnsi" w:hAnsiTheme="minorHAnsi" w:cstheme="minorHAnsi"/>
        </w:rPr>
        <w:t xml:space="preserve"> which are codified in regulations (603 CMR 7.03(2)). The program approval criteria will continue to be organized through the six domains: the Organization, Partnerships, Continuous Improvement, </w:t>
      </w:r>
      <w:r w:rsidRPr="001B14FD">
        <w:rPr>
          <w:rFonts w:asciiTheme="minorHAnsi" w:hAnsiTheme="minorHAnsi" w:cstheme="minorHAnsi"/>
        </w:rPr>
        <w:lastRenderedPageBreak/>
        <w:t xml:space="preserve">the Candidate, Field-Based Experiences, and Instruction; however, the criteria within each domain will be revised to reflect </w:t>
      </w:r>
      <w:r w:rsidR="0070326F" w:rsidRPr="001B14FD">
        <w:rPr>
          <w:rFonts w:asciiTheme="minorHAnsi" w:hAnsiTheme="minorHAnsi" w:cstheme="minorHAnsi"/>
        </w:rPr>
        <w:t xml:space="preserve">the </w:t>
      </w:r>
      <w:r w:rsidRPr="001B14FD">
        <w:rPr>
          <w:rFonts w:asciiTheme="minorHAnsi" w:hAnsiTheme="minorHAnsi" w:cstheme="minorHAnsi"/>
        </w:rPr>
        <w:t>focus on racial equity and deepening instruction and program level expectations as described above.</w:t>
      </w:r>
      <w:r w:rsidRPr="001B14FD">
        <w:rPr>
          <w:rStyle w:val="FootnoteReference"/>
          <w:rFonts w:asciiTheme="minorHAnsi" w:hAnsiTheme="minorHAnsi" w:cstheme="minorHAnsi"/>
          <w:vertAlign w:val="superscript"/>
        </w:rPr>
        <w:footnoteReference w:id="2"/>
      </w:r>
      <w:r w:rsidRPr="001B14FD">
        <w:rPr>
          <w:rFonts w:asciiTheme="minorHAnsi" w:hAnsiTheme="minorHAnsi" w:cstheme="minorHAnsi"/>
          <w:vertAlign w:val="superscript"/>
        </w:rPr>
        <w:t xml:space="preserve"> </w:t>
      </w:r>
    </w:p>
    <w:p w14:paraId="4097554E" w14:textId="3C873A06" w:rsidR="0070520D" w:rsidRPr="001B14FD" w:rsidRDefault="00126186" w:rsidP="005714F8">
      <w:pPr>
        <w:pStyle w:val="ListParagraph"/>
        <w:numPr>
          <w:ilvl w:val="0"/>
          <w:numId w:val="17"/>
        </w:numPr>
        <w:rPr>
          <w:rFonts w:asciiTheme="minorHAnsi" w:hAnsiTheme="minorHAnsi" w:cstheme="minorHAnsi"/>
        </w:rPr>
      </w:pPr>
      <w:r w:rsidRPr="001B14FD">
        <w:rPr>
          <w:rFonts w:asciiTheme="minorHAnsi" w:hAnsiTheme="minorHAnsi" w:cstheme="minorHAnsi"/>
          <w:b/>
          <w:bCs/>
        </w:rPr>
        <w:t>T</w:t>
      </w:r>
      <w:r w:rsidR="0070520D" w:rsidRPr="001B14FD">
        <w:rPr>
          <w:rFonts w:asciiTheme="minorHAnsi" w:hAnsiTheme="minorHAnsi" w:cstheme="minorHAnsi"/>
          <w:b/>
          <w:bCs/>
        </w:rPr>
        <w:t xml:space="preserve">he current timeline for the release of the revised criteria is early 2023. </w:t>
      </w:r>
      <w:r w:rsidR="008045E6" w:rsidRPr="001B14FD">
        <w:rPr>
          <w:rFonts w:asciiTheme="minorHAnsi" w:hAnsiTheme="minorHAnsi" w:cstheme="minorHAnsi"/>
        </w:rPr>
        <w:t>S</w:t>
      </w:r>
      <w:r w:rsidR="0070520D" w:rsidRPr="001B14FD">
        <w:rPr>
          <w:rFonts w:asciiTheme="minorHAnsi" w:hAnsiTheme="minorHAnsi" w:cstheme="minorHAnsi"/>
        </w:rPr>
        <w:t xml:space="preserve">takeholders </w:t>
      </w:r>
      <w:r w:rsidR="008045E6" w:rsidRPr="001B14FD">
        <w:rPr>
          <w:rFonts w:asciiTheme="minorHAnsi" w:hAnsiTheme="minorHAnsi" w:cstheme="minorHAnsi"/>
        </w:rPr>
        <w:t xml:space="preserve">will have multiple opportunities to </w:t>
      </w:r>
      <w:r w:rsidR="0070520D" w:rsidRPr="001B14FD">
        <w:rPr>
          <w:rFonts w:asciiTheme="minorHAnsi" w:hAnsiTheme="minorHAnsi" w:cstheme="minorHAnsi"/>
        </w:rPr>
        <w:t xml:space="preserve">engage with the process to revise these criteria. Please see below for more information about future stakeholder engagement. </w:t>
      </w:r>
    </w:p>
    <w:p w14:paraId="0F8E7447" w14:textId="06B05519" w:rsidR="0070520D" w:rsidRPr="001B14FD" w:rsidRDefault="00CC0C48" w:rsidP="005714F8">
      <w:pPr>
        <w:pStyle w:val="ListParagraph"/>
        <w:numPr>
          <w:ilvl w:val="0"/>
          <w:numId w:val="17"/>
        </w:numPr>
        <w:rPr>
          <w:rFonts w:asciiTheme="minorHAnsi" w:hAnsiTheme="minorHAnsi" w:cstheme="minorHAnsi"/>
        </w:rPr>
      </w:pPr>
      <w:r w:rsidRPr="001B14FD">
        <w:rPr>
          <w:rFonts w:asciiTheme="minorHAnsi" w:hAnsiTheme="minorHAnsi" w:cstheme="minorHAnsi"/>
          <w:b/>
          <w:bCs/>
        </w:rPr>
        <w:t>Revisions to</w:t>
      </w:r>
      <w:r w:rsidR="0070520D" w:rsidRPr="001B14FD">
        <w:rPr>
          <w:rFonts w:asciiTheme="minorHAnsi" w:hAnsiTheme="minorHAnsi" w:cstheme="minorHAnsi"/>
          <w:b/>
          <w:bCs/>
        </w:rPr>
        <w:t xml:space="preserve"> the </w:t>
      </w:r>
      <w:hyperlink r:id="rId28">
        <w:r w:rsidR="0070520D" w:rsidRPr="001B14FD">
          <w:rPr>
            <w:rStyle w:val="Hyperlink"/>
            <w:rFonts w:asciiTheme="minorHAnsi" w:hAnsiTheme="minorHAnsi" w:cstheme="minorHAnsi"/>
            <w:b/>
            <w:bCs/>
          </w:rPr>
          <w:t>Professional Standards for Teacher Guidelines</w:t>
        </w:r>
      </w:hyperlink>
      <w:r w:rsidRPr="001B14FD">
        <w:rPr>
          <w:rFonts w:asciiTheme="minorHAnsi" w:hAnsiTheme="minorHAnsi" w:cstheme="minorHAnsi"/>
          <w:b/>
          <w:bCs/>
        </w:rPr>
        <w:t xml:space="preserve"> (PSTs)</w:t>
      </w:r>
      <w:r w:rsidR="0070520D" w:rsidRPr="001B14FD">
        <w:rPr>
          <w:rFonts w:asciiTheme="minorHAnsi" w:hAnsiTheme="minorHAnsi" w:cstheme="minorHAnsi"/>
          <w:b/>
          <w:bCs/>
        </w:rPr>
        <w:t xml:space="preserve"> </w:t>
      </w:r>
      <w:r w:rsidRPr="001B14FD">
        <w:rPr>
          <w:rFonts w:asciiTheme="minorHAnsi" w:hAnsiTheme="minorHAnsi" w:cstheme="minorHAnsi"/>
          <w:b/>
          <w:bCs/>
        </w:rPr>
        <w:t xml:space="preserve">will made after the </w:t>
      </w:r>
      <w:hyperlink r:id="rId29" w:history="1">
        <w:r w:rsidRPr="001B14FD">
          <w:rPr>
            <w:rStyle w:val="Hyperlink"/>
            <w:rFonts w:asciiTheme="minorHAnsi" w:hAnsiTheme="minorHAnsi" w:cstheme="minorHAnsi"/>
            <w:b/>
            <w:bCs/>
          </w:rPr>
          <w:t>educator evaluation rubric updates</w:t>
        </w:r>
      </w:hyperlink>
      <w:r w:rsidRPr="001B14FD">
        <w:rPr>
          <w:rFonts w:asciiTheme="minorHAnsi" w:hAnsiTheme="minorHAnsi" w:cstheme="minorHAnsi"/>
          <w:b/>
          <w:bCs/>
        </w:rPr>
        <w:t xml:space="preserve"> are finalized</w:t>
      </w:r>
      <w:r w:rsidR="0070520D" w:rsidRPr="001B14FD">
        <w:rPr>
          <w:rFonts w:asciiTheme="minorHAnsi" w:hAnsiTheme="minorHAnsi" w:cstheme="minorHAnsi"/>
          <w:b/>
          <w:bCs/>
        </w:rPr>
        <w:t>.</w:t>
      </w:r>
      <w:r w:rsidRPr="001B14FD">
        <w:rPr>
          <w:rFonts w:asciiTheme="minorHAnsi" w:hAnsiTheme="minorHAnsi" w:cstheme="minorHAnsi"/>
          <w:b/>
          <w:bCs/>
        </w:rPr>
        <w:t xml:space="preserve"> </w:t>
      </w:r>
      <w:r w:rsidRPr="001B14FD">
        <w:rPr>
          <w:rFonts w:asciiTheme="minorHAnsi" w:hAnsiTheme="minorHAnsi" w:cstheme="minorHAnsi"/>
        </w:rPr>
        <w:t>We are taking this approach to the revisions process for the PSTs</w:t>
      </w:r>
      <w:r w:rsidRPr="001B14FD">
        <w:rPr>
          <w:rFonts w:asciiTheme="minorHAnsi" w:hAnsiTheme="minorHAnsi" w:cstheme="minorHAnsi"/>
          <w:b/>
          <w:bCs/>
        </w:rPr>
        <w:t xml:space="preserve"> </w:t>
      </w:r>
      <w:r w:rsidRPr="001B14FD">
        <w:rPr>
          <w:rFonts w:asciiTheme="minorHAnsi" w:hAnsiTheme="minorHAnsi" w:cstheme="minorHAnsi"/>
        </w:rPr>
        <w:t xml:space="preserve">in order to maintain alignment across all of </w:t>
      </w:r>
      <w:r w:rsidR="000278AA" w:rsidRPr="001B14FD">
        <w:rPr>
          <w:rFonts w:asciiTheme="minorHAnsi" w:hAnsiTheme="minorHAnsi" w:cstheme="minorHAnsi"/>
        </w:rPr>
        <w:t>DESE</w:t>
      </w:r>
      <w:r w:rsidRPr="001B14FD">
        <w:rPr>
          <w:rFonts w:asciiTheme="minorHAnsi" w:hAnsiTheme="minorHAnsi" w:cstheme="minorHAnsi"/>
        </w:rPr>
        <w:t xml:space="preserve">’s documents that reflect expectations regarding educator effectiveness. As a result, </w:t>
      </w:r>
      <w:r w:rsidR="1454489B" w:rsidRPr="001B14FD">
        <w:rPr>
          <w:rFonts w:asciiTheme="minorHAnsi" w:hAnsiTheme="minorHAnsi" w:cstheme="minorHAnsi"/>
        </w:rPr>
        <w:t xml:space="preserve">implementation of </w:t>
      </w:r>
      <w:r w:rsidRPr="001B14FD">
        <w:rPr>
          <w:rFonts w:asciiTheme="minorHAnsi" w:hAnsiTheme="minorHAnsi" w:cstheme="minorHAnsi"/>
        </w:rPr>
        <w:t xml:space="preserve">the revised PSTs will </w:t>
      </w:r>
      <w:r w:rsidR="00D50B53" w:rsidRPr="001B14FD">
        <w:rPr>
          <w:rFonts w:asciiTheme="minorHAnsi" w:hAnsiTheme="minorHAnsi" w:cstheme="minorHAnsi"/>
        </w:rPr>
        <w:t xml:space="preserve">not </w:t>
      </w:r>
      <w:r w:rsidRPr="001B14FD">
        <w:rPr>
          <w:rFonts w:asciiTheme="minorHAnsi" w:hAnsiTheme="minorHAnsi" w:cstheme="minorHAnsi"/>
        </w:rPr>
        <w:t>be</w:t>
      </w:r>
      <w:r w:rsidR="79F26BB2" w:rsidRPr="001B14FD">
        <w:rPr>
          <w:rFonts w:asciiTheme="minorHAnsi" w:hAnsiTheme="minorHAnsi" w:cstheme="minorHAnsi"/>
        </w:rPr>
        <w:t xml:space="preserve"> expected</w:t>
      </w:r>
      <w:r w:rsidRPr="001B14FD">
        <w:rPr>
          <w:rFonts w:asciiTheme="minorHAnsi" w:hAnsiTheme="minorHAnsi" w:cstheme="minorHAnsi"/>
        </w:rPr>
        <w:t xml:space="preserve"> </w:t>
      </w:r>
      <w:r w:rsidR="00D50B53" w:rsidRPr="001B14FD">
        <w:rPr>
          <w:rFonts w:asciiTheme="minorHAnsi" w:hAnsiTheme="minorHAnsi" w:cstheme="minorHAnsi"/>
        </w:rPr>
        <w:t xml:space="preserve">until </w:t>
      </w:r>
      <w:r w:rsidRPr="001B14FD">
        <w:rPr>
          <w:rFonts w:asciiTheme="minorHAnsi" w:hAnsiTheme="minorHAnsi" w:cstheme="minorHAnsi"/>
        </w:rPr>
        <w:t>after the launch of the revised program approval process</w:t>
      </w:r>
      <w:r w:rsidR="5D974D16" w:rsidRPr="001B14FD">
        <w:rPr>
          <w:rFonts w:asciiTheme="minorHAnsi" w:hAnsiTheme="minorHAnsi" w:cstheme="minorHAnsi"/>
        </w:rPr>
        <w:t>.</w:t>
      </w:r>
      <w:r w:rsidRPr="001B14FD">
        <w:rPr>
          <w:rFonts w:asciiTheme="minorHAnsi" w:hAnsiTheme="minorHAnsi" w:cstheme="minorHAnsi"/>
        </w:rPr>
        <w:t xml:space="preserve"> Our hope is that this timeline provides organizations with the space to focus on the revisions to the program approval criteria over the next few years. </w:t>
      </w:r>
    </w:p>
    <w:p w14:paraId="7573F11B" w14:textId="77777777" w:rsidR="0070520D" w:rsidRPr="001B14FD" w:rsidRDefault="0070520D" w:rsidP="0070520D">
      <w:pPr>
        <w:rPr>
          <w:rFonts w:asciiTheme="minorHAnsi" w:hAnsiTheme="minorHAnsi" w:cstheme="minorHAnsi"/>
          <w:sz w:val="22"/>
          <w:szCs w:val="22"/>
        </w:rPr>
      </w:pPr>
    </w:p>
    <w:p w14:paraId="41BD3565" w14:textId="77777777" w:rsidR="0070520D" w:rsidRPr="001B14FD" w:rsidRDefault="0070520D" w:rsidP="0070520D">
      <w:pPr>
        <w:rPr>
          <w:rFonts w:asciiTheme="minorHAnsi" w:hAnsiTheme="minorHAnsi" w:cstheme="minorHAnsi"/>
          <w:sz w:val="22"/>
          <w:szCs w:val="22"/>
        </w:rPr>
      </w:pPr>
    </w:p>
    <w:p w14:paraId="12B62C86" w14:textId="298E7A17" w:rsidR="0070520D" w:rsidRPr="001B14FD" w:rsidRDefault="0070520D" w:rsidP="00F86C6A">
      <w:pPr>
        <w:widowControl/>
        <w:rPr>
          <w:rFonts w:asciiTheme="minorHAnsi" w:eastAsiaTheme="minorHAnsi" w:hAnsiTheme="minorHAnsi" w:cstheme="minorHAnsi"/>
          <w:b/>
          <w:bCs/>
          <w:szCs w:val="24"/>
        </w:rPr>
      </w:pPr>
      <w:r w:rsidRPr="001B14FD">
        <w:rPr>
          <w:rFonts w:asciiTheme="minorHAnsi" w:hAnsiTheme="minorHAnsi" w:cstheme="minorHAnsi"/>
          <w:b/>
          <w:bCs/>
          <w:szCs w:val="24"/>
        </w:rPr>
        <w:t xml:space="preserve">Decisions </w:t>
      </w:r>
      <w:r w:rsidR="007F3DA2" w:rsidRPr="001B14FD">
        <w:rPr>
          <w:rFonts w:asciiTheme="minorHAnsi" w:hAnsiTheme="minorHAnsi" w:cstheme="minorHAnsi"/>
          <w:b/>
          <w:bCs/>
          <w:szCs w:val="24"/>
        </w:rPr>
        <w:t>Under C</w:t>
      </w:r>
      <w:r w:rsidRPr="001B14FD">
        <w:rPr>
          <w:rFonts w:asciiTheme="minorHAnsi" w:hAnsiTheme="minorHAnsi" w:cstheme="minorHAnsi"/>
          <w:b/>
          <w:bCs/>
          <w:szCs w:val="24"/>
        </w:rPr>
        <w:t xml:space="preserve">onsideration </w:t>
      </w:r>
    </w:p>
    <w:p w14:paraId="7280D92D" w14:textId="51CE0187" w:rsidR="006E12A8" w:rsidRPr="001B14FD" w:rsidRDefault="006E12A8" w:rsidP="006E12A8">
      <w:pPr>
        <w:rPr>
          <w:rFonts w:asciiTheme="minorHAnsi" w:hAnsiTheme="minorHAnsi" w:cstheme="minorHAnsi"/>
          <w:sz w:val="22"/>
          <w:szCs w:val="22"/>
        </w:rPr>
      </w:pPr>
    </w:p>
    <w:p w14:paraId="459F9049" w14:textId="04B69381" w:rsidR="006E12A8" w:rsidRPr="001B14FD" w:rsidRDefault="005714F8" w:rsidP="006E12A8">
      <w:pPr>
        <w:rPr>
          <w:rFonts w:asciiTheme="minorHAnsi" w:hAnsiTheme="minorHAnsi" w:cstheme="minorHAnsi"/>
          <w:sz w:val="22"/>
          <w:szCs w:val="22"/>
        </w:rPr>
      </w:pPr>
      <w:r w:rsidRPr="001B14FD">
        <w:rPr>
          <w:rFonts w:asciiTheme="minorHAnsi" w:hAnsiTheme="minorHAnsi" w:cstheme="minorHAnsi"/>
          <w:sz w:val="22"/>
          <w:szCs w:val="22"/>
        </w:rPr>
        <w:t xml:space="preserve">We believe that </w:t>
      </w:r>
      <w:r w:rsidR="00C12281" w:rsidRPr="001B14FD">
        <w:rPr>
          <w:rFonts w:asciiTheme="minorHAnsi" w:hAnsiTheme="minorHAnsi" w:cstheme="minorHAnsi"/>
          <w:sz w:val="22"/>
          <w:szCs w:val="22"/>
        </w:rPr>
        <w:t xml:space="preserve">it </w:t>
      </w:r>
      <w:r w:rsidRPr="001B14FD">
        <w:rPr>
          <w:rFonts w:asciiTheme="minorHAnsi" w:hAnsiTheme="minorHAnsi" w:cstheme="minorHAnsi"/>
          <w:sz w:val="22"/>
          <w:szCs w:val="22"/>
        </w:rPr>
        <w:t xml:space="preserve">is important to remain transparent with you about </w:t>
      </w:r>
      <w:r w:rsidR="0007625B" w:rsidRPr="001B14FD">
        <w:rPr>
          <w:rFonts w:asciiTheme="minorHAnsi" w:hAnsiTheme="minorHAnsi" w:cstheme="minorHAnsi"/>
          <w:sz w:val="22"/>
          <w:szCs w:val="22"/>
        </w:rPr>
        <w:t xml:space="preserve">the revisions to the development of the </w:t>
      </w:r>
      <w:r w:rsidRPr="001B14FD">
        <w:rPr>
          <w:rFonts w:asciiTheme="minorHAnsi" w:hAnsiTheme="minorHAnsi" w:cstheme="minorHAnsi"/>
          <w:sz w:val="22"/>
          <w:szCs w:val="22"/>
        </w:rPr>
        <w:t xml:space="preserve">program approval process. Like many organizations, the pandemic has impacted our decision-making timelines. However, it has also given us an opportunity to </w:t>
      </w:r>
      <w:r w:rsidR="00E64EE4" w:rsidRPr="001B14FD">
        <w:rPr>
          <w:rFonts w:asciiTheme="minorHAnsi" w:hAnsiTheme="minorHAnsi" w:cstheme="minorHAnsi"/>
          <w:sz w:val="22"/>
          <w:szCs w:val="22"/>
        </w:rPr>
        <w:t>balance</w:t>
      </w:r>
      <w:r w:rsidRPr="001B14FD">
        <w:rPr>
          <w:rFonts w:asciiTheme="minorHAnsi" w:hAnsiTheme="minorHAnsi" w:cstheme="minorHAnsi"/>
          <w:sz w:val="22"/>
          <w:szCs w:val="22"/>
        </w:rPr>
        <w:t xml:space="preserve"> our sense of urgency in providing you with information</w:t>
      </w:r>
      <w:r w:rsidR="00505FD1" w:rsidRPr="001B14FD">
        <w:rPr>
          <w:rFonts w:asciiTheme="minorHAnsi" w:hAnsiTheme="minorHAnsi" w:cstheme="minorHAnsi"/>
          <w:sz w:val="22"/>
          <w:szCs w:val="22"/>
        </w:rPr>
        <w:t xml:space="preserve"> </w:t>
      </w:r>
      <w:r w:rsidR="00407841" w:rsidRPr="001B14FD">
        <w:rPr>
          <w:rFonts w:asciiTheme="minorHAnsi" w:hAnsiTheme="minorHAnsi" w:cstheme="minorHAnsi"/>
          <w:sz w:val="22"/>
          <w:szCs w:val="22"/>
        </w:rPr>
        <w:t>to make</w:t>
      </w:r>
      <w:r w:rsidR="00505FD1" w:rsidRPr="001B14FD">
        <w:rPr>
          <w:rFonts w:asciiTheme="minorHAnsi" w:hAnsiTheme="minorHAnsi" w:cstheme="minorHAnsi"/>
          <w:sz w:val="22"/>
          <w:szCs w:val="22"/>
        </w:rPr>
        <w:t xml:space="preserve"> concrete decisions</w:t>
      </w:r>
      <w:r w:rsidR="00674B50" w:rsidRPr="001B14FD">
        <w:rPr>
          <w:rFonts w:asciiTheme="minorHAnsi" w:hAnsiTheme="minorHAnsi" w:cstheme="minorHAnsi"/>
          <w:sz w:val="22"/>
          <w:szCs w:val="22"/>
        </w:rPr>
        <w:t xml:space="preserve"> with our responsibility to take</w:t>
      </w:r>
      <w:r w:rsidR="00505FD1" w:rsidRPr="001B14FD">
        <w:rPr>
          <w:rFonts w:asciiTheme="minorHAnsi" w:hAnsiTheme="minorHAnsi" w:cstheme="minorHAnsi"/>
          <w:sz w:val="22"/>
          <w:szCs w:val="22"/>
        </w:rPr>
        <w:t xml:space="preserve"> critical and self-reflective</w:t>
      </w:r>
      <w:r w:rsidRPr="001B14FD">
        <w:rPr>
          <w:rFonts w:asciiTheme="minorHAnsi" w:hAnsiTheme="minorHAnsi" w:cstheme="minorHAnsi"/>
          <w:sz w:val="22"/>
          <w:szCs w:val="22"/>
        </w:rPr>
        <w:t xml:space="preserve"> pauses to ensure that we are centering racial equity </w:t>
      </w:r>
      <w:r w:rsidR="0007625B" w:rsidRPr="001B14FD">
        <w:rPr>
          <w:rFonts w:asciiTheme="minorHAnsi" w:hAnsiTheme="minorHAnsi" w:cstheme="minorHAnsi"/>
          <w:sz w:val="22"/>
          <w:szCs w:val="22"/>
        </w:rPr>
        <w:t xml:space="preserve">and are in alignment with our mission </w:t>
      </w:r>
      <w:r w:rsidRPr="001B14FD">
        <w:rPr>
          <w:rFonts w:asciiTheme="minorHAnsi" w:hAnsiTheme="minorHAnsi" w:cstheme="minorHAnsi"/>
          <w:sz w:val="22"/>
          <w:szCs w:val="22"/>
        </w:rPr>
        <w:t xml:space="preserve">in every decision </w:t>
      </w:r>
      <w:r w:rsidR="00674B50" w:rsidRPr="001B14FD">
        <w:rPr>
          <w:rFonts w:asciiTheme="minorHAnsi" w:hAnsiTheme="minorHAnsi" w:cstheme="minorHAnsi"/>
          <w:sz w:val="22"/>
          <w:szCs w:val="22"/>
        </w:rPr>
        <w:t xml:space="preserve">that </w:t>
      </w:r>
      <w:r w:rsidRPr="001B14FD">
        <w:rPr>
          <w:rFonts w:asciiTheme="minorHAnsi" w:hAnsiTheme="minorHAnsi" w:cstheme="minorHAnsi"/>
          <w:sz w:val="22"/>
          <w:szCs w:val="22"/>
        </w:rPr>
        <w:t xml:space="preserve">we make. As a result, we want to share </w:t>
      </w:r>
      <w:r w:rsidR="00505FD1" w:rsidRPr="001B14FD">
        <w:rPr>
          <w:rFonts w:asciiTheme="minorHAnsi" w:hAnsiTheme="minorHAnsi" w:cstheme="minorHAnsi"/>
          <w:sz w:val="22"/>
          <w:szCs w:val="22"/>
        </w:rPr>
        <w:t xml:space="preserve">that </w:t>
      </w:r>
      <w:r w:rsidRPr="001B14FD">
        <w:rPr>
          <w:rFonts w:asciiTheme="minorHAnsi" w:hAnsiTheme="minorHAnsi" w:cstheme="minorHAnsi"/>
          <w:sz w:val="22"/>
          <w:szCs w:val="22"/>
        </w:rPr>
        <w:t>t</w:t>
      </w:r>
      <w:r w:rsidR="00EF3768" w:rsidRPr="001B14FD">
        <w:rPr>
          <w:rFonts w:asciiTheme="minorHAnsi" w:hAnsiTheme="minorHAnsi" w:cstheme="minorHAnsi"/>
          <w:sz w:val="22"/>
          <w:szCs w:val="22"/>
        </w:rPr>
        <w:t xml:space="preserve">he following elements of the program approval process are still being determined: </w:t>
      </w:r>
    </w:p>
    <w:p w14:paraId="55F357E0" w14:textId="44C29D40" w:rsidR="006E12A8" w:rsidRPr="001B14FD" w:rsidRDefault="006E12A8" w:rsidP="0070520D">
      <w:pPr>
        <w:pStyle w:val="ListParagraph"/>
        <w:numPr>
          <w:ilvl w:val="0"/>
          <w:numId w:val="15"/>
        </w:numPr>
        <w:rPr>
          <w:rFonts w:asciiTheme="minorHAnsi" w:eastAsia="Times New Roman" w:hAnsiTheme="minorHAnsi" w:cstheme="minorHAnsi"/>
        </w:rPr>
      </w:pPr>
      <w:r w:rsidRPr="001B14FD">
        <w:rPr>
          <w:rFonts w:asciiTheme="minorHAnsi" w:eastAsia="Times New Roman" w:hAnsiTheme="minorHAnsi" w:cstheme="minorHAnsi"/>
        </w:rPr>
        <w:t xml:space="preserve">As noted above, </w:t>
      </w:r>
      <w:r w:rsidR="000278AA" w:rsidRPr="001B14FD">
        <w:rPr>
          <w:rFonts w:asciiTheme="minorHAnsi" w:eastAsia="Times New Roman" w:hAnsiTheme="minorHAnsi" w:cstheme="minorHAnsi"/>
        </w:rPr>
        <w:t>we are</w:t>
      </w:r>
      <w:r w:rsidRPr="001B14FD">
        <w:rPr>
          <w:rFonts w:asciiTheme="minorHAnsi" w:eastAsia="Times New Roman" w:hAnsiTheme="minorHAnsi" w:cstheme="minorHAnsi"/>
        </w:rPr>
        <w:t xml:space="preserve"> in the process of developing the specific revised criteria language that will guide the program approval process for each existing Domain. We are committed to centering racial equity and deepening instruction and program level-expectations through these revisions. </w:t>
      </w:r>
      <w:r w:rsidR="00C53F64" w:rsidRPr="001B14FD">
        <w:rPr>
          <w:rFonts w:asciiTheme="minorHAnsi" w:eastAsia="Times New Roman" w:hAnsiTheme="minorHAnsi" w:cstheme="minorHAnsi"/>
        </w:rPr>
        <w:t xml:space="preserve">This work will unfold in close partnership with advisory groups </w:t>
      </w:r>
      <w:r w:rsidR="00F34EE5" w:rsidRPr="001B14FD">
        <w:rPr>
          <w:rFonts w:asciiTheme="minorHAnsi" w:eastAsia="Times New Roman" w:hAnsiTheme="minorHAnsi" w:cstheme="minorHAnsi"/>
        </w:rPr>
        <w:t>in</w:t>
      </w:r>
      <w:r w:rsidR="00C53F64" w:rsidRPr="001B14FD">
        <w:rPr>
          <w:rFonts w:asciiTheme="minorHAnsi" w:eastAsia="Times New Roman" w:hAnsiTheme="minorHAnsi" w:cstheme="minorHAnsi"/>
        </w:rPr>
        <w:t xml:space="preserve"> 2022 and 2023.</w:t>
      </w:r>
    </w:p>
    <w:p w14:paraId="06C3463B" w14:textId="2D501BA9" w:rsidR="006E12A8" w:rsidRPr="001B14FD" w:rsidRDefault="000278AA" w:rsidP="000278AA">
      <w:pPr>
        <w:pStyle w:val="ListParagraph"/>
        <w:numPr>
          <w:ilvl w:val="0"/>
          <w:numId w:val="15"/>
        </w:numPr>
        <w:rPr>
          <w:rFonts w:asciiTheme="minorHAnsi" w:eastAsia="Times New Roman" w:hAnsiTheme="minorHAnsi" w:cstheme="minorHAnsi"/>
        </w:rPr>
      </w:pPr>
      <w:r w:rsidRPr="001B14FD">
        <w:rPr>
          <w:rFonts w:asciiTheme="minorHAnsi" w:eastAsia="Times New Roman" w:hAnsiTheme="minorHAnsi" w:cstheme="minorHAnsi"/>
        </w:rPr>
        <w:t>DESE</w:t>
      </w:r>
      <w:r w:rsidR="006E12A8" w:rsidRPr="001B14FD">
        <w:rPr>
          <w:rFonts w:asciiTheme="minorHAnsi" w:eastAsia="Times New Roman" w:hAnsiTheme="minorHAnsi" w:cstheme="minorHAnsi"/>
        </w:rPr>
        <w:t xml:space="preserve"> is engaging in a review of the current measures that are considered during the formal review process. </w:t>
      </w:r>
      <w:r w:rsidR="00263739" w:rsidRPr="001B14FD">
        <w:rPr>
          <w:rFonts w:asciiTheme="minorHAnsi" w:eastAsia="Times New Roman" w:hAnsiTheme="minorHAnsi" w:cstheme="minorHAnsi"/>
        </w:rPr>
        <w:t>As you may be aware,</w:t>
      </w:r>
      <w:r w:rsidRPr="001B14FD">
        <w:rPr>
          <w:rFonts w:asciiTheme="minorHAnsi" w:eastAsia="Times New Roman" w:hAnsiTheme="minorHAnsi" w:cstheme="minorHAnsi"/>
        </w:rPr>
        <w:t xml:space="preserve"> </w:t>
      </w:r>
      <w:r w:rsidR="00A22C3D" w:rsidRPr="001B14FD">
        <w:rPr>
          <w:rFonts w:asciiTheme="minorHAnsi" w:eastAsia="Times New Roman" w:hAnsiTheme="minorHAnsi" w:cstheme="minorHAnsi"/>
        </w:rPr>
        <w:t xml:space="preserve">we are </w:t>
      </w:r>
      <w:r w:rsidRPr="001B14FD">
        <w:rPr>
          <w:rFonts w:asciiTheme="minorHAnsi" w:eastAsia="Times New Roman" w:hAnsiTheme="minorHAnsi" w:cstheme="minorHAnsi"/>
        </w:rPr>
        <w:t xml:space="preserve">examining the extent to which Massachusetts' teacher preparation and licensing systems produce educators who are effective in improving outcomes for students of color. With support from USED's Institute of Education Sciences, this </w:t>
      </w:r>
      <w:hyperlink r:id="rId30">
        <w:r w:rsidRPr="001B14FD">
          <w:rPr>
            <w:rStyle w:val="Hyperlink"/>
            <w:rFonts w:asciiTheme="minorHAnsi" w:eastAsia="Times New Roman" w:hAnsiTheme="minorHAnsi" w:cstheme="minorHAnsi"/>
          </w:rPr>
          <w:t>3-year research study</w:t>
        </w:r>
      </w:hyperlink>
      <w:r w:rsidRPr="001B14FD">
        <w:rPr>
          <w:rFonts w:asciiTheme="minorHAnsi" w:eastAsia="Times New Roman" w:hAnsiTheme="minorHAnsi" w:cstheme="minorHAnsi"/>
        </w:rPr>
        <w:t xml:space="preserve"> centers the experiences of students of color, defines outcomes beyond standardized test scores, and identifies characteristics of educators who have the greatest impact. Work such as this </w:t>
      </w:r>
      <w:r w:rsidR="0096558A" w:rsidRPr="001B14FD">
        <w:rPr>
          <w:rFonts w:asciiTheme="minorHAnsi" w:eastAsia="Times New Roman" w:hAnsiTheme="minorHAnsi" w:cstheme="minorHAnsi"/>
        </w:rPr>
        <w:t>will also</w:t>
      </w:r>
      <w:r w:rsidRPr="001B14FD">
        <w:rPr>
          <w:rFonts w:asciiTheme="minorHAnsi" w:eastAsia="Times New Roman" w:hAnsiTheme="minorHAnsi" w:cstheme="minorHAnsi"/>
        </w:rPr>
        <w:t xml:space="preserve"> inform our revised program approval process and may impact when we are able to</w:t>
      </w:r>
      <w:r w:rsidR="000773F3" w:rsidRPr="001B14FD">
        <w:rPr>
          <w:rFonts w:asciiTheme="minorHAnsi" w:eastAsia="Times New Roman" w:hAnsiTheme="minorHAnsi" w:cstheme="minorHAnsi"/>
        </w:rPr>
        <w:t xml:space="preserve"> identify </w:t>
      </w:r>
      <w:r w:rsidRPr="001B14FD">
        <w:rPr>
          <w:rFonts w:asciiTheme="minorHAnsi" w:eastAsia="Times New Roman" w:hAnsiTheme="minorHAnsi" w:cstheme="minorHAnsi"/>
        </w:rPr>
        <w:t xml:space="preserve">measures </w:t>
      </w:r>
      <w:r w:rsidR="000773F3" w:rsidRPr="001B14FD">
        <w:rPr>
          <w:rFonts w:asciiTheme="minorHAnsi" w:eastAsia="Times New Roman" w:hAnsiTheme="minorHAnsi" w:cstheme="minorHAnsi"/>
        </w:rPr>
        <w:t xml:space="preserve">that </w:t>
      </w:r>
      <w:r w:rsidR="00E73428" w:rsidRPr="001B14FD">
        <w:rPr>
          <w:rFonts w:asciiTheme="minorHAnsi" w:eastAsia="Times New Roman" w:hAnsiTheme="minorHAnsi" w:cstheme="minorHAnsi"/>
        </w:rPr>
        <w:t>c</w:t>
      </w:r>
      <w:r w:rsidR="000773F3" w:rsidRPr="001B14FD">
        <w:rPr>
          <w:rFonts w:asciiTheme="minorHAnsi" w:eastAsia="Times New Roman" w:hAnsiTheme="minorHAnsi" w:cstheme="minorHAnsi"/>
        </w:rPr>
        <w:t>ould</w:t>
      </w:r>
      <w:r w:rsidRPr="001B14FD">
        <w:rPr>
          <w:rFonts w:asciiTheme="minorHAnsi" w:eastAsia="Times New Roman" w:hAnsiTheme="minorHAnsi" w:cstheme="minorHAnsi"/>
        </w:rPr>
        <w:t xml:space="preserve"> be considered for formal review. </w:t>
      </w:r>
    </w:p>
    <w:p w14:paraId="3E3B9161" w14:textId="528CBBB4" w:rsidR="0070520D" w:rsidRPr="001B14FD" w:rsidRDefault="0009529C" w:rsidP="0070520D">
      <w:pPr>
        <w:pStyle w:val="ListParagraph"/>
        <w:numPr>
          <w:ilvl w:val="0"/>
          <w:numId w:val="15"/>
        </w:numPr>
        <w:rPr>
          <w:rFonts w:asciiTheme="minorHAnsi" w:eastAsia="Times New Roman" w:hAnsiTheme="minorHAnsi" w:cstheme="minorHAnsi"/>
        </w:rPr>
      </w:pPr>
      <w:r w:rsidRPr="001B14FD">
        <w:rPr>
          <w:rFonts w:asciiTheme="minorHAnsi" w:eastAsia="Times New Roman" w:hAnsiTheme="minorHAnsi" w:cstheme="minorHAnsi"/>
        </w:rPr>
        <w:t>O</w:t>
      </w:r>
      <w:r w:rsidR="00EF3768" w:rsidRPr="001B14FD">
        <w:rPr>
          <w:rFonts w:asciiTheme="minorHAnsi" w:eastAsia="Times New Roman" w:hAnsiTheme="minorHAnsi" w:cstheme="minorHAnsi"/>
        </w:rPr>
        <w:t xml:space="preserve">ther </w:t>
      </w:r>
      <w:r w:rsidR="00C93B81" w:rsidRPr="001B14FD">
        <w:rPr>
          <w:rFonts w:asciiTheme="minorHAnsi" w:eastAsia="Times New Roman" w:hAnsiTheme="minorHAnsi" w:cstheme="minorHAnsi"/>
        </w:rPr>
        <w:t>aspect</w:t>
      </w:r>
      <w:r w:rsidR="00EF3768" w:rsidRPr="001B14FD">
        <w:rPr>
          <w:rFonts w:asciiTheme="minorHAnsi" w:eastAsia="Times New Roman" w:hAnsiTheme="minorHAnsi" w:cstheme="minorHAnsi"/>
        </w:rPr>
        <w:t xml:space="preserve">s for the formal review process are still under consideration. These include which stakeholders will be </w:t>
      </w:r>
      <w:r w:rsidR="00B40683" w:rsidRPr="001B14FD">
        <w:rPr>
          <w:rFonts w:asciiTheme="minorHAnsi" w:eastAsia="Times New Roman" w:hAnsiTheme="minorHAnsi" w:cstheme="minorHAnsi"/>
        </w:rPr>
        <w:t xml:space="preserve">convened </w:t>
      </w:r>
      <w:r w:rsidR="00EF3768" w:rsidRPr="001B14FD">
        <w:rPr>
          <w:rFonts w:asciiTheme="minorHAnsi" w:eastAsia="Times New Roman" w:hAnsiTheme="minorHAnsi" w:cstheme="minorHAnsi"/>
        </w:rPr>
        <w:t>for focus groups,</w:t>
      </w:r>
      <w:r w:rsidR="00B40683" w:rsidRPr="001B14FD">
        <w:rPr>
          <w:rFonts w:asciiTheme="minorHAnsi" w:eastAsia="Times New Roman" w:hAnsiTheme="minorHAnsi" w:cstheme="minorHAnsi"/>
        </w:rPr>
        <w:t xml:space="preserve"> focus group questions that will need to be </w:t>
      </w:r>
      <w:r w:rsidR="00B40683" w:rsidRPr="001B14FD">
        <w:rPr>
          <w:rFonts w:asciiTheme="minorHAnsi" w:eastAsia="Times New Roman" w:hAnsiTheme="minorHAnsi" w:cstheme="minorHAnsi"/>
        </w:rPr>
        <w:lastRenderedPageBreak/>
        <w:t>developed to align to the revised program approval criteria,</w:t>
      </w:r>
      <w:r w:rsidR="00EF3768" w:rsidRPr="001B14FD">
        <w:rPr>
          <w:rFonts w:asciiTheme="minorHAnsi" w:eastAsia="Times New Roman" w:hAnsiTheme="minorHAnsi" w:cstheme="minorHAnsi"/>
        </w:rPr>
        <w:t xml:space="preserve"> worksheets</w:t>
      </w:r>
      <w:r w:rsidR="1E09652C" w:rsidRPr="001B14FD">
        <w:rPr>
          <w:rFonts w:asciiTheme="minorHAnsi" w:eastAsia="Times New Roman" w:hAnsiTheme="minorHAnsi" w:cstheme="minorHAnsi"/>
        </w:rPr>
        <w:t xml:space="preserve"> to </w:t>
      </w:r>
      <w:r w:rsidR="00AB0F8C" w:rsidRPr="001B14FD">
        <w:rPr>
          <w:rFonts w:asciiTheme="minorHAnsi" w:eastAsia="Times New Roman" w:hAnsiTheme="minorHAnsi" w:cstheme="minorHAnsi"/>
        </w:rPr>
        <w:t xml:space="preserve">communicate </w:t>
      </w:r>
      <w:r w:rsidR="1E09652C" w:rsidRPr="001B14FD">
        <w:rPr>
          <w:rFonts w:asciiTheme="minorHAnsi" w:eastAsia="Times New Roman" w:hAnsiTheme="minorHAnsi" w:cstheme="minorHAnsi"/>
        </w:rPr>
        <w:t>additional, targeted information</w:t>
      </w:r>
      <w:r w:rsidR="00EF3768" w:rsidRPr="001B14FD">
        <w:rPr>
          <w:rFonts w:asciiTheme="minorHAnsi" w:eastAsia="Times New Roman" w:hAnsiTheme="minorHAnsi" w:cstheme="minorHAnsi"/>
        </w:rPr>
        <w:t xml:space="preserve">, </w:t>
      </w:r>
      <w:r w:rsidR="00B40683" w:rsidRPr="001B14FD">
        <w:rPr>
          <w:rFonts w:asciiTheme="minorHAnsi" w:eastAsia="Times New Roman" w:hAnsiTheme="minorHAnsi" w:cstheme="minorHAnsi"/>
        </w:rPr>
        <w:t xml:space="preserve">and other logistical components of formal review visits. </w:t>
      </w:r>
    </w:p>
    <w:p w14:paraId="2A3B8AC2" w14:textId="77777777" w:rsidR="0070520D" w:rsidRPr="001B14FD" w:rsidRDefault="0070520D" w:rsidP="0070520D">
      <w:pPr>
        <w:rPr>
          <w:rFonts w:asciiTheme="minorHAnsi" w:eastAsiaTheme="minorHAnsi" w:hAnsiTheme="minorHAnsi" w:cstheme="minorHAnsi"/>
          <w:sz w:val="22"/>
          <w:szCs w:val="22"/>
        </w:rPr>
      </w:pPr>
    </w:p>
    <w:p w14:paraId="71FD41A8" w14:textId="7C09D5A2" w:rsidR="008D597C" w:rsidRPr="001B14FD" w:rsidRDefault="008D597C" w:rsidP="0070520D">
      <w:pPr>
        <w:rPr>
          <w:rFonts w:asciiTheme="minorHAnsi" w:hAnsiTheme="minorHAnsi" w:cstheme="minorHAnsi"/>
          <w:sz w:val="22"/>
          <w:szCs w:val="22"/>
        </w:rPr>
      </w:pPr>
      <w:r w:rsidRPr="001B14FD">
        <w:rPr>
          <w:rFonts w:asciiTheme="minorHAnsi" w:hAnsiTheme="minorHAnsi" w:cstheme="minorHAnsi"/>
          <w:b/>
          <w:bCs/>
          <w:szCs w:val="24"/>
        </w:rPr>
        <w:t>Opportunities for Stakeholder Engagement</w:t>
      </w:r>
      <w:r w:rsidRPr="001B14FD">
        <w:rPr>
          <w:rFonts w:asciiTheme="minorHAnsi" w:hAnsiTheme="minorHAnsi" w:cstheme="minorHAnsi"/>
          <w:sz w:val="22"/>
          <w:szCs w:val="22"/>
        </w:rPr>
        <w:t xml:space="preserve"> </w:t>
      </w:r>
    </w:p>
    <w:p w14:paraId="79886DD3" w14:textId="77777777" w:rsidR="008D597C" w:rsidRPr="001B14FD" w:rsidRDefault="008D597C" w:rsidP="008D597C">
      <w:pPr>
        <w:rPr>
          <w:rFonts w:asciiTheme="minorHAnsi" w:hAnsiTheme="minorHAnsi" w:cstheme="minorHAnsi"/>
          <w:sz w:val="22"/>
          <w:szCs w:val="22"/>
        </w:rPr>
      </w:pPr>
    </w:p>
    <w:p w14:paraId="101110D5" w14:textId="78791090" w:rsidR="008D597C" w:rsidRPr="001B14FD" w:rsidRDefault="008D597C" w:rsidP="008D597C">
      <w:pPr>
        <w:rPr>
          <w:rFonts w:asciiTheme="minorHAnsi" w:hAnsiTheme="minorHAnsi" w:cstheme="minorHAnsi"/>
          <w:sz w:val="22"/>
          <w:szCs w:val="22"/>
        </w:rPr>
      </w:pPr>
      <w:r w:rsidRPr="001B14FD">
        <w:rPr>
          <w:rFonts w:asciiTheme="minorHAnsi" w:hAnsiTheme="minorHAnsi" w:cstheme="minorHAnsi"/>
          <w:sz w:val="22"/>
          <w:szCs w:val="22"/>
        </w:rPr>
        <w:t>We believe that stakeholder engagement is the bedrock of developing a more</w:t>
      </w:r>
      <w:r w:rsidR="00C93B81" w:rsidRPr="001B14FD">
        <w:rPr>
          <w:rFonts w:asciiTheme="minorHAnsi" w:hAnsiTheme="minorHAnsi" w:cstheme="minorHAnsi"/>
          <w:sz w:val="22"/>
          <w:szCs w:val="22"/>
        </w:rPr>
        <w:t xml:space="preserve"> </w:t>
      </w:r>
      <w:r w:rsidR="00AF241C">
        <w:rPr>
          <w:rFonts w:asciiTheme="minorHAnsi" w:hAnsiTheme="minorHAnsi" w:cstheme="minorHAnsi"/>
          <w:sz w:val="22"/>
          <w:szCs w:val="22"/>
        </w:rPr>
        <w:t xml:space="preserve">effective, </w:t>
      </w:r>
      <w:r w:rsidR="00C93B81" w:rsidRPr="001B14FD">
        <w:rPr>
          <w:rFonts w:asciiTheme="minorHAnsi" w:hAnsiTheme="minorHAnsi" w:cstheme="minorHAnsi"/>
          <w:sz w:val="22"/>
          <w:szCs w:val="22"/>
        </w:rPr>
        <w:t>efficient, consistent, and</w:t>
      </w:r>
      <w:r w:rsidRPr="001B14FD">
        <w:rPr>
          <w:rFonts w:asciiTheme="minorHAnsi" w:hAnsiTheme="minorHAnsi" w:cstheme="minorHAnsi"/>
          <w:sz w:val="22"/>
          <w:szCs w:val="22"/>
        </w:rPr>
        <w:t xml:space="preserve"> </w:t>
      </w:r>
      <w:r w:rsidR="00403729" w:rsidRPr="001B14FD">
        <w:rPr>
          <w:rFonts w:asciiTheme="minorHAnsi" w:hAnsiTheme="minorHAnsi" w:cstheme="minorHAnsi"/>
          <w:sz w:val="22"/>
          <w:szCs w:val="22"/>
        </w:rPr>
        <w:t xml:space="preserve">equity-driven </w:t>
      </w:r>
      <w:r w:rsidRPr="001B14FD">
        <w:rPr>
          <w:rFonts w:asciiTheme="minorHAnsi" w:hAnsiTheme="minorHAnsi" w:cstheme="minorHAnsi"/>
          <w:sz w:val="22"/>
          <w:szCs w:val="22"/>
        </w:rPr>
        <w:t xml:space="preserve">program approval process, </w:t>
      </w:r>
      <w:r w:rsidR="00C62443" w:rsidRPr="001B14FD">
        <w:rPr>
          <w:rFonts w:asciiTheme="minorHAnsi" w:hAnsiTheme="minorHAnsi" w:cstheme="minorHAnsi"/>
          <w:sz w:val="22"/>
          <w:szCs w:val="22"/>
        </w:rPr>
        <w:t xml:space="preserve">and </w:t>
      </w:r>
      <w:r w:rsidRPr="001B14FD">
        <w:rPr>
          <w:rFonts w:asciiTheme="minorHAnsi" w:hAnsiTheme="minorHAnsi" w:cstheme="minorHAnsi"/>
          <w:sz w:val="22"/>
          <w:szCs w:val="22"/>
        </w:rPr>
        <w:t xml:space="preserve">we are committed to the following activities: </w:t>
      </w:r>
    </w:p>
    <w:p w14:paraId="299AB152" w14:textId="77777777" w:rsidR="00EF3768" w:rsidRPr="001B14FD" w:rsidRDefault="00EF3768" w:rsidP="008D597C">
      <w:pPr>
        <w:rPr>
          <w:rFonts w:asciiTheme="minorHAnsi" w:hAnsiTheme="minorHAnsi" w:cstheme="minorHAnsi"/>
          <w:sz w:val="22"/>
          <w:szCs w:val="22"/>
        </w:rPr>
      </w:pPr>
    </w:p>
    <w:p w14:paraId="321E3FB4" w14:textId="07CC672E" w:rsidR="008D597C" w:rsidRPr="001B14FD" w:rsidRDefault="00FF0784" w:rsidP="008D597C">
      <w:pPr>
        <w:pStyle w:val="ListParagraph"/>
        <w:numPr>
          <w:ilvl w:val="0"/>
          <w:numId w:val="27"/>
        </w:numPr>
        <w:rPr>
          <w:rFonts w:asciiTheme="minorHAnsi" w:hAnsiTheme="minorHAnsi" w:cstheme="minorHAnsi"/>
        </w:rPr>
      </w:pPr>
      <w:r w:rsidRPr="001B14FD">
        <w:rPr>
          <w:rFonts w:asciiTheme="minorHAnsi" w:hAnsiTheme="minorHAnsi" w:cstheme="minorHAnsi"/>
        </w:rPr>
        <w:t xml:space="preserve">We </w:t>
      </w:r>
      <w:r w:rsidR="008D597C" w:rsidRPr="001B14FD">
        <w:rPr>
          <w:rFonts w:asciiTheme="minorHAnsi" w:hAnsiTheme="minorHAnsi" w:cstheme="minorHAnsi"/>
        </w:rPr>
        <w:t xml:space="preserve">will engage in a </w:t>
      </w:r>
      <w:r w:rsidR="008D597C" w:rsidRPr="001B14FD">
        <w:rPr>
          <w:rFonts w:asciiTheme="minorHAnsi" w:hAnsiTheme="minorHAnsi" w:cstheme="minorHAnsi"/>
          <w:b/>
          <w:bCs/>
        </w:rPr>
        <w:t>“listening tour” in Spring 2022</w:t>
      </w:r>
      <w:r w:rsidR="008D597C" w:rsidRPr="001B14FD">
        <w:rPr>
          <w:rFonts w:asciiTheme="minorHAnsi" w:hAnsiTheme="minorHAnsi" w:cstheme="minorHAnsi"/>
        </w:rPr>
        <w:t xml:space="preserve"> to inform </w:t>
      </w:r>
      <w:r w:rsidR="002B1A4C" w:rsidRPr="001B14FD">
        <w:rPr>
          <w:rFonts w:asciiTheme="minorHAnsi" w:hAnsiTheme="minorHAnsi" w:cstheme="minorHAnsi"/>
        </w:rPr>
        <w:t xml:space="preserve">changes to the program approval process and expectations. This listening tour will include opportunities for you and other faculty to share as educator preparation representatives. We also hope to hear from district leadership and hiring principals, supervising practitioners, recent candidates and completers, paraprofessionals, family members, and other stakeholders. We are </w:t>
      </w:r>
      <w:r w:rsidR="004E6957" w:rsidRPr="001B14FD">
        <w:rPr>
          <w:rFonts w:asciiTheme="minorHAnsi" w:hAnsiTheme="minorHAnsi" w:cstheme="minorHAnsi"/>
        </w:rPr>
        <w:t>working to</w:t>
      </w:r>
      <w:r w:rsidR="002B1A4C" w:rsidRPr="001B14FD">
        <w:rPr>
          <w:rFonts w:asciiTheme="minorHAnsi" w:hAnsiTheme="minorHAnsi" w:cstheme="minorHAnsi"/>
        </w:rPr>
        <w:t xml:space="preserve"> bring on an external vendor to lend additional capacity for this work</w:t>
      </w:r>
      <w:r w:rsidR="00E82A03" w:rsidRPr="001B14FD">
        <w:rPr>
          <w:rFonts w:asciiTheme="minorHAnsi" w:hAnsiTheme="minorHAnsi" w:cstheme="minorHAnsi"/>
        </w:rPr>
        <w:t xml:space="preserve"> and will</w:t>
      </w:r>
      <w:r w:rsidR="00FD6699" w:rsidRPr="001B14FD">
        <w:rPr>
          <w:rFonts w:asciiTheme="minorHAnsi" w:hAnsiTheme="minorHAnsi" w:cstheme="minorHAnsi"/>
        </w:rPr>
        <w:t xml:space="preserve"> share</w:t>
      </w:r>
      <w:r w:rsidR="002B1A4C" w:rsidRPr="001B14FD">
        <w:rPr>
          <w:rFonts w:asciiTheme="minorHAnsi" w:hAnsiTheme="minorHAnsi" w:cstheme="minorHAnsi"/>
        </w:rPr>
        <w:t xml:space="preserve"> invitations to these upcoming engagement opportunities</w:t>
      </w:r>
      <w:r w:rsidR="00FD6699" w:rsidRPr="001B14FD">
        <w:rPr>
          <w:rFonts w:asciiTheme="minorHAnsi" w:hAnsiTheme="minorHAnsi" w:cstheme="minorHAnsi"/>
        </w:rPr>
        <w:t xml:space="preserve"> as they </w:t>
      </w:r>
      <w:r w:rsidR="00FD420A" w:rsidRPr="001B14FD">
        <w:rPr>
          <w:rFonts w:asciiTheme="minorHAnsi" w:hAnsiTheme="minorHAnsi" w:cstheme="minorHAnsi"/>
        </w:rPr>
        <w:t>become available</w:t>
      </w:r>
      <w:r w:rsidR="002B1A4C" w:rsidRPr="001B14FD">
        <w:rPr>
          <w:rFonts w:asciiTheme="minorHAnsi" w:hAnsiTheme="minorHAnsi" w:cstheme="minorHAnsi"/>
        </w:rPr>
        <w:t xml:space="preserve">. </w:t>
      </w:r>
    </w:p>
    <w:p w14:paraId="55BE116D" w14:textId="3B9FD801" w:rsidR="002B1A4C" w:rsidRPr="001B14FD" w:rsidRDefault="007378AA" w:rsidP="008D597C">
      <w:pPr>
        <w:pStyle w:val="ListParagraph"/>
        <w:numPr>
          <w:ilvl w:val="0"/>
          <w:numId w:val="27"/>
        </w:numPr>
        <w:rPr>
          <w:rFonts w:asciiTheme="minorHAnsi" w:hAnsiTheme="minorHAnsi" w:cstheme="minorHAnsi"/>
        </w:rPr>
      </w:pPr>
      <w:r w:rsidRPr="001B14FD">
        <w:rPr>
          <w:rFonts w:asciiTheme="minorHAnsi" w:hAnsiTheme="minorHAnsi" w:cstheme="minorHAnsi"/>
        </w:rPr>
        <w:t xml:space="preserve">In </w:t>
      </w:r>
      <w:r w:rsidR="002B1A4C" w:rsidRPr="001B14FD">
        <w:rPr>
          <w:rFonts w:asciiTheme="minorHAnsi" w:hAnsiTheme="minorHAnsi" w:cstheme="minorHAnsi"/>
        </w:rPr>
        <w:t>2022</w:t>
      </w:r>
      <w:r w:rsidR="00171300" w:rsidRPr="001B14FD">
        <w:rPr>
          <w:rFonts w:asciiTheme="minorHAnsi" w:hAnsiTheme="minorHAnsi" w:cstheme="minorHAnsi"/>
        </w:rPr>
        <w:t xml:space="preserve"> and </w:t>
      </w:r>
      <w:r w:rsidR="002B1A4C" w:rsidRPr="001B14FD">
        <w:rPr>
          <w:rFonts w:asciiTheme="minorHAnsi" w:hAnsiTheme="minorHAnsi" w:cstheme="minorHAnsi"/>
        </w:rPr>
        <w:t>2023, we will engag</w:t>
      </w:r>
      <w:r w:rsidR="00E12DF4" w:rsidRPr="001B14FD">
        <w:rPr>
          <w:rFonts w:asciiTheme="minorHAnsi" w:hAnsiTheme="minorHAnsi" w:cstheme="minorHAnsi"/>
        </w:rPr>
        <w:t>e</w:t>
      </w:r>
      <w:r w:rsidR="002B1A4C" w:rsidRPr="001B14FD">
        <w:rPr>
          <w:rFonts w:asciiTheme="minorHAnsi" w:hAnsiTheme="minorHAnsi" w:cstheme="minorHAnsi"/>
        </w:rPr>
        <w:t xml:space="preserve"> with </w:t>
      </w:r>
      <w:r w:rsidR="002B1A4C" w:rsidRPr="001B14FD">
        <w:rPr>
          <w:rFonts w:asciiTheme="minorHAnsi" w:hAnsiTheme="minorHAnsi" w:cstheme="minorHAnsi"/>
          <w:b/>
          <w:bCs/>
        </w:rPr>
        <w:t>advisory groups</w:t>
      </w:r>
      <w:r w:rsidR="002B1A4C" w:rsidRPr="001B14FD">
        <w:rPr>
          <w:rFonts w:asciiTheme="minorHAnsi" w:hAnsiTheme="minorHAnsi" w:cstheme="minorHAnsi"/>
        </w:rPr>
        <w:t xml:space="preserve"> </w:t>
      </w:r>
      <w:r w:rsidR="00171300" w:rsidRPr="001B14FD">
        <w:rPr>
          <w:rFonts w:asciiTheme="minorHAnsi" w:hAnsiTheme="minorHAnsi" w:cstheme="minorHAnsi"/>
        </w:rPr>
        <w:t xml:space="preserve">around </w:t>
      </w:r>
      <w:r w:rsidR="002B1A4C" w:rsidRPr="001B14FD">
        <w:rPr>
          <w:rFonts w:asciiTheme="minorHAnsi" w:hAnsiTheme="minorHAnsi" w:cstheme="minorHAnsi"/>
        </w:rPr>
        <w:t xml:space="preserve">developing criteria </w:t>
      </w:r>
      <w:r w:rsidR="560925DA" w:rsidRPr="001B14FD">
        <w:rPr>
          <w:rFonts w:asciiTheme="minorHAnsi" w:hAnsiTheme="minorHAnsi" w:cstheme="minorHAnsi"/>
        </w:rPr>
        <w:t>and</w:t>
      </w:r>
      <w:r w:rsidR="002B1A4C" w:rsidRPr="001B14FD">
        <w:rPr>
          <w:rFonts w:asciiTheme="minorHAnsi" w:hAnsiTheme="minorHAnsi" w:cstheme="minorHAnsi"/>
        </w:rPr>
        <w:t xml:space="preserve"> deepening instruction and program-level expectations. </w:t>
      </w:r>
    </w:p>
    <w:p w14:paraId="1D3A3B9B" w14:textId="741E5F20" w:rsidR="002B1A4C" w:rsidRPr="001B14FD" w:rsidRDefault="002B1A4C" w:rsidP="008D597C">
      <w:pPr>
        <w:pStyle w:val="ListParagraph"/>
        <w:numPr>
          <w:ilvl w:val="0"/>
          <w:numId w:val="27"/>
        </w:numPr>
        <w:rPr>
          <w:rFonts w:asciiTheme="minorHAnsi" w:hAnsiTheme="minorHAnsi" w:cstheme="minorHAnsi"/>
        </w:rPr>
      </w:pPr>
      <w:r w:rsidRPr="001B14FD">
        <w:rPr>
          <w:rFonts w:asciiTheme="minorHAnsi" w:hAnsiTheme="minorHAnsi" w:cstheme="minorHAnsi"/>
        </w:rPr>
        <w:t xml:space="preserve">In addition to what is noted above, </w:t>
      </w:r>
      <w:r w:rsidRPr="001B14FD">
        <w:rPr>
          <w:rFonts w:asciiTheme="minorHAnsi" w:hAnsiTheme="minorHAnsi" w:cstheme="minorHAnsi"/>
          <w:b/>
          <w:bCs/>
        </w:rPr>
        <w:t xml:space="preserve">we </w:t>
      </w:r>
      <w:r w:rsidR="00F52033" w:rsidRPr="001B14FD">
        <w:rPr>
          <w:rFonts w:asciiTheme="minorHAnsi" w:hAnsiTheme="minorHAnsi" w:cstheme="minorHAnsi"/>
          <w:b/>
          <w:bCs/>
        </w:rPr>
        <w:t>are open to including additional</w:t>
      </w:r>
      <w:r w:rsidRPr="001B14FD">
        <w:rPr>
          <w:rFonts w:asciiTheme="minorHAnsi" w:hAnsiTheme="minorHAnsi" w:cstheme="minorHAnsi"/>
          <w:b/>
          <w:bCs/>
        </w:rPr>
        <w:t xml:space="preserve"> types of engagement </w:t>
      </w:r>
      <w:r w:rsidR="00F52033" w:rsidRPr="001B14FD">
        <w:rPr>
          <w:rFonts w:asciiTheme="minorHAnsi" w:hAnsiTheme="minorHAnsi" w:cstheme="minorHAnsi"/>
          <w:b/>
          <w:bCs/>
        </w:rPr>
        <w:t xml:space="preserve">that </w:t>
      </w:r>
      <w:r w:rsidRPr="001B14FD">
        <w:rPr>
          <w:rFonts w:asciiTheme="minorHAnsi" w:hAnsiTheme="minorHAnsi" w:cstheme="minorHAnsi"/>
          <w:b/>
          <w:bCs/>
        </w:rPr>
        <w:t>you would like to see made available.</w:t>
      </w:r>
      <w:r w:rsidRPr="001B14FD">
        <w:rPr>
          <w:rFonts w:asciiTheme="minorHAnsi" w:hAnsiTheme="minorHAnsi" w:cstheme="minorHAnsi"/>
        </w:rPr>
        <w:t xml:space="preserve"> Please complete this brief </w:t>
      </w:r>
      <w:hyperlink r:id="rId31" w:history="1">
        <w:r w:rsidRPr="001B14FD">
          <w:rPr>
            <w:rStyle w:val="Hyperlink"/>
            <w:rFonts w:asciiTheme="minorHAnsi" w:hAnsiTheme="minorHAnsi" w:cstheme="minorHAnsi"/>
          </w:rPr>
          <w:t>form</w:t>
        </w:r>
      </w:hyperlink>
      <w:r w:rsidRPr="001B14FD">
        <w:rPr>
          <w:rFonts w:asciiTheme="minorHAnsi" w:hAnsiTheme="minorHAnsi" w:cstheme="minorHAnsi"/>
        </w:rPr>
        <w:t xml:space="preserve"> to share your thoughts. </w:t>
      </w:r>
    </w:p>
    <w:p w14:paraId="32896804" w14:textId="77777777" w:rsidR="008D597C" w:rsidRPr="001B14FD" w:rsidRDefault="008D597C" w:rsidP="008D597C">
      <w:pPr>
        <w:rPr>
          <w:rFonts w:asciiTheme="minorHAnsi" w:hAnsiTheme="minorHAnsi" w:cstheme="minorHAnsi"/>
          <w:sz w:val="22"/>
          <w:szCs w:val="22"/>
        </w:rPr>
      </w:pPr>
    </w:p>
    <w:p w14:paraId="19F285FC" w14:textId="5895B971" w:rsidR="009F4DA3" w:rsidRPr="001B14FD" w:rsidRDefault="002B1A4C" w:rsidP="004E02B6">
      <w:pPr>
        <w:widowControl/>
        <w:autoSpaceDE w:val="0"/>
        <w:autoSpaceDN w:val="0"/>
        <w:adjustRightInd w:val="0"/>
        <w:rPr>
          <w:rFonts w:asciiTheme="minorHAnsi" w:hAnsiTheme="minorHAnsi" w:cstheme="minorHAnsi"/>
          <w:sz w:val="22"/>
          <w:szCs w:val="22"/>
        </w:rPr>
      </w:pPr>
      <w:r w:rsidRPr="001B14FD">
        <w:rPr>
          <w:rFonts w:asciiTheme="minorHAnsi" w:hAnsiTheme="minorHAnsi" w:cstheme="minorHAnsi"/>
          <w:sz w:val="22"/>
          <w:szCs w:val="22"/>
        </w:rPr>
        <w:t xml:space="preserve">We understand that change can bring feelings of uncertainty and upheaval, especially in the context of the ongoing pandemic. </w:t>
      </w:r>
      <w:r w:rsidR="00802B12" w:rsidRPr="001B14FD">
        <w:rPr>
          <w:rFonts w:asciiTheme="minorHAnsi" w:hAnsiTheme="minorHAnsi" w:cstheme="minorHAnsi"/>
          <w:sz w:val="22"/>
          <w:szCs w:val="22"/>
        </w:rPr>
        <w:t>We hope that the above information</w:t>
      </w:r>
      <w:r w:rsidR="00DB58F8" w:rsidRPr="001B14FD">
        <w:rPr>
          <w:rFonts w:asciiTheme="minorHAnsi" w:hAnsiTheme="minorHAnsi" w:cstheme="minorHAnsi"/>
          <w:sz w:val="22"/>
          <w:szCs w:val="22"/>
        </w:rPr>
        <w:t xml:space="preserve"> and timelines</w:t>
      </w:r>
      <w:r w:rsidR="00802B12" w:rsidRPr="001B14FD">
        <w:rPr>
          <w:rFonts w:asciiTheme="minorHAnsi" w:hAnsiTheme="minorHAnsi" w:cstheme="minorHAnsi"/>
          <w:sz w:val="22"/>
          <w:szCs w:val="22"/>
        </w:rPr>
        <w:t xml:space="preserve">, as well as our commitment to ongoing transparency and stakeholder engagement related to these updates, is helpful to you in planning for </w:t>
      </w:r>
      <w:r w:rsidR="00DB58F8" w:rsidRPr="001B14FD">
        <w:rPr>
          <w:rFonts w:asciiTheme="minorHAnsi" w:hAnsiTheme="minorHAnsi" w:cstheme="minorHAnsi"/>
          <w:sz w:val="22"/>
          <w:szCs w:val="22"/>
        </w:rPr>
        <w:t>the revised</w:t>
      </w:r>
      <w:r w:rsidR="00802B12" w:rsidRPr="001B14FD">
        <w:rPr>
          <w:rFonts w:asciiTheme="minorHAnsi" w:hAnsiTheme="minorHAnsi" w:cstheme="minorHAnsi"/>
          <w:sz w:val="22"/>
          <w:szCs w:val="22"/>
        </w:rPr>
        <w:t xml:space="preserve"> formal review visits. </w:t>
      </w:r>
      <w:r w:rsidR="009F4DA3" w:rsidRPr="001B14FD">
        <w:rPr>
          <w:rFonts w:asciiTheme="minorHAnsi" w:hAnsiTheme="minorHAnsi" w:cstheme="minorHAnsi"/>
          <w:sz w:val="22"/>
          <w:szCs w:val="22"/>
        </w:rPr>
        <w:t xml:space="preserve">In addition to the stakeholder engagement opportunities described above, </w:t>
      </w:r>
      <w:r w:rsidR="00621726" w:rsidRPr="001B14FD">
        <w:rPr>
          <w:rFonts w:asciiTheme="minorHAnsi" w:hAnsiTheme="minorHAnsi" w:cstheme="minorHAnsi"/>
          <w:sz w:val="22"/>
          <w:szCs w:val="22"/>
        </w:rPr>
        <w:t xml:space="preserve">we </w:t>
      </w:r>
      <w:r w:rsidR="009F4DA3" w:rsidRPr="001B14FD">
        <w:rPr>
          <w:rFonts w:asciiTheme="minorHAnsi" w:hAnsiTheme="minorHAnsi" w:cstheme="minorHAnsi"/>
          <w:sz w:val="22"/>
          <w:szCs w:val="22"/>
        </w:rPr>
        <w:t xml:space="preserve">will be providing technical assistance regarding the changes to the program approval process. The specific content and timelines for this assistance will be provided at a later date. </w:t>
      </w:r>
    </w:p>
    <w:p w14:paraId="24967297" w14:textId="77777777" w:rsidR="009F4DA3" w:rsidRPr="001B14FD" w:rsidRDefault="009F4DA3" w:rsidP="004E02B6">
      <w:pPr>
        <w:widowControl/>
        <w:autoSpaceDE w:val="0"/>
        <w:autoSpaceDN w:val="0"/>
        <w:adjustRightInd w:val="0"/>
        <w:rPr>
          <w:rFonts w:asciiTheme="minorHAnsi" w:hAnsiTheme="minorHAnsi" w:cstheme="minorHAnsi"/>
          <w:sz w:val="22"/>
          <w:szCs w:val="22"/>
        </w:rPr>
      </w:pPr>
    </w:p>
    <w:p w14:paraId="48BD4AA6" w14:textId="0A552869" w:rsidR="007379AC" w:rsidRPr="001B14FD" w:rsidRDefault="00802B12" w:rsidP="004E02B6">
      <w:pPr>
        <w:widowControl/>
        <w:autoSpaceDE w:val="0"/>
        <w:autoSpaceDN w:val="0"/>
        <w:adjustRightInd w:val="0"/>
        <w:rPr>
          <w:rFonts w:asciiTheme="minorHAnsi" w:hAnsiTheme="minorHAnsi" w:cstheme="minorHAnsi"/>
          <w:sz w:val="22"/>
          <w:szCs w:val="22"/>
        </w:rPr>
      </w:pPr>
      <w:r w:rsidRPr="001B14FD">
        <w:rPr>
          <w:rFonts w:asciiTheme="minorHAnsi" w:hAnsiTheme="minorHAnsi" w:cstheme="minorHAnsi"/>
          <w:sz w:val="22"/>
          <w:szCs w:val="22"/>
        </w:rPr>
        <w:t xml:space="preserve">We deeply believe that </w:t>
      </w:r>
      <w:r w:rsidR="5351D74F" w:rsidRPr="001B14FD">
        <w:rPr>
          <w:rFonts w:asciiTheme="minorHAnsi" w:hAnsiTheme="minorHAnsi" w:cstheme="minorHAnsi"/>
          <w:sz w:val="22"/>
          <w:szCs w:val="22"/>
        </w:rPr>
        <w:t>by partnering</w:t>
      </w:r>
      <w:r w:rsidRPr="001B14FD">
        <w:rPr>
          <w:rFonts w:asciiTheme="minorHAnsi" w:hAnsiTheme="minorHAnsi" w:cstheme="minorHAnsi"/>
          <w:sz w:val="22"/>
          <w:szCs w:val="22"/>
        </w:rPr>
        <w:t xml:space="preserve"> together</w:t>
      </w:r>
      <w:r w:rsidR="18BC32A7" w:rsidRPr="001B14FD">
        <w:rPr>
          <w:rFonts w:asciiTheme="minorHAnsi" w:hAnsiTheme="minorHAnsi" w:cstheme="minorHAnsi"/>
          <w:sz w:val="22"/>
          <w:szCs w:val="22"/>
        </w:rPr>
        <w:t>, we can</w:t>
      </w:r>
      <w:r w:rsidRPr="001B14FD">
        <w:rPr>
          <w:rFonts w:asciiTheme="minorHAnsi" w:hAnsiTheme="minorHAnsi" w:cstheme="minorHAnsi"/>
          <w:sz w:val="22"/>
          <w:szCs w:val="22"/>
        </w:rPr>
        <w:t xml:space="preserve"> ensure that </w:t>
      </w:r>
      <w:r w:rsidR="00DB58F8" w:rsidRPr="001B14FD">
        <w:rPr>
          <w:rFonts w:asciiTheme="minorHAnsi" w:hAnsiTheme="minorHAnsi" w:cstheme="minorHAnsi"/>
          <w:sz w:val="22"/>
          <w:szCs w:val="22"/>
        </w:rPr>
        <w:t>we develop an effective, efficient, and consistent process</w:t>
      </w:r>
      <w:r w:rsidRPr="001B14FD">
        <w:rPr>
          <w:rFonts w:asciiTheme="minorHAnsi" w:hAnsiTheme="minorHAnsi" w:cstheme="minorHAnsi"/>
          <w:sz w:val="22"/>
          <w:szCs w:val="22"/>
        </w:rPr>
        <w:t xml:space="preserve"> </w:t>
      </w:r>
      <w:r w:rsidR="00DB58F8" w:rsidRPr="001B14FD">
        <w:rPr>
          <w:rFonts w:asciiTheme="minorHAnsi" w:hAnsiTheme="minorHAnsi" w:cstheme="minorHAnsi"/>
          <w:sz w:val="22"/>
          <w:szCs w:val="22"/>
        </w:rPr>
        <w:t>that allows us to center racial equity and deepen program level-expectations</w:t>
      </w:r>
      <w:r w:rsidR="0008584F">
        <w:rPr>
          <w:rFonts w:asciiTheme="minorHAnsi" w:hAnsiTheme="minorHAnsi" w:cstheme="minorHAnsi"/>
          <w:sz w:val="22"/>
          <w:szCs w:val="22"/>
        </w:rPr>
        <w:t xml:space="preserve"> that will most benefit students</w:t>
      </w:r>
      <w:r w:rsidR="00DB58F8" w:rsidRPr="001B14FD">
        <w:rPr>
          <w:rFonts w:asciiTheme="minorHAnsi" w:hAnsiTheme="minorHAnsi" w:cstheme="minorHAnsi"/>
          <w:sz w:val="22"/>
          <w:szCs w:val="22"/>
        </w:rPr>
        <w:t xml:space="preserve">. We </w:t>
      </w:r>
      <w:r w:rsidR="005360ED" w:rsidRPr="001B14FD">
        <w:rPr>
          <w:rFonts w:asciiTheme="minorHAnsi" w:hAnsiTheme="minorHAnsi" w:cstheme="minorHAnsi"/>
          <w:sz w:val="22"/>
          <w:szCs w:val="22"/>
        </w:rPr>
        <w:t>have confidence that</w:t>
      </w:r>
      <w:r w:rsidR="00DB58F8" w:rsidRPr="001B14FD">
        <w:rPr>
          <w:rFonts w:asciiTheme="minorHAnsi" w:hAnsiTheme="minorHAnsi" w:cstheme="minorHAnsi"/>
          <w:sz w:val="22"/>
          <w:szCs w:val="22"/>
        </w:rPr>
        <w:t xml:space="preserve"> this </w:t>
      </w:r>
      <w:r w:rsidR="5BE6E381" w:rsidRPr="001B14FD">
        <w:rPr>
          <w:rFonts w:asciiTheme="minorHAnsi" w:hAnsiTheme="minorHAnsi" w:cstheme="minorHAnsi"/>
          <w:sz w:val="22"/>
          <w:szCs w:val="22"/>
        </w:rPr>
        <w:t xml:space="preserve">revised </w:t>
      </w:r>
      <w:r w:rsidR="00DB58F8" w:rsidRPr="001B14FD">
        <w:rPr>
          <w:rFonts w:asciiTheme="minorHAnsi" w:hAnsiTheme="minorHAnsi" w:cstheme="minorHAnsi"/>
          <w:sz w:val="22"/>
          <w:szCs w:val="22"/>
        </w:rPr>
        <w:t xml:space="preserve">process will also allow us to </w:t>
      </w:r>
      <w:r w:rsidRPr="001B14FD">
        <w:rPr>
          <w:rFonts w:asciiTheme="minorHAnsi" w:hAnsiTheme="minorHAnsi" w:cstheme="minorHAnsi"/>
          <w:sz w:val="22"/>
          <w:szCs w:val="22"/>
        </w:rPr>
        <w:t>elevat</w:t>
      </w:r>
      <w:r w:rsidR="00DB58F8" w:rsidRPr="001B14FD">
        <w:rPr>
          <w:rFonts w:asciiTheme="minorHAnsi" w:hAnsiTheme="minorHAnsi" w:cstheme="minorHAnsi"/>
          <w:sz w:val="22"/>
          <w:szCs w:val="22"/>
        </w:rPr>
        <w:t>e</w:t>
      </w:r>
      <w:r w:rsidRPr="001B14FD">
        <w:rPr>
          <w:rFonts w:asciiTheme="minorHAnsi" w:hAnsiTheme="minorHAnsi" w:cstheme="minorHAnsi"/>
          <w:sz w:val="22"/>
          <w:szCs w:val="22"/>
        </w:rPr>
        <w:t xml:space="preserve"> th</w:t>
      </w:r>
      <w:r w:rsidR="4CEFB0AD" w:rsidRPr="001B14FD">
        <w:rPr>
          <w:rFonts w:asciiTheme="minorHAnsi" w:hAnsiTheme="minorHAnsi" w:cstheme="minorHAnsi"/>
          <w:sz w:val="22"/>
          <w:szCs w:val="22"/>
        </w:rPr>
        <w:t>e</w:t>
      </w:r>
      <w:r w:rsidRPr="001B14FD">
        <w:rPr>
          <w:rFonts w:asciiTheme="minorHAnsi" w:hAnsiTheme="minorHAnsi" w:cstheme="minorHAnsi"/>
          <w:sz w:val="22"/>
          <w:szCs w:val="22"/>
        </w:rPr>
        <w:t xml:space="preserve"> practices your organizations engage in</w:t>
      </w:r>
      <w:r w:rsidR="00DB58F8" w:rsidRPr="001B14FD">
        <w:rPr>
          <w:rFonts w:asciiTheme="minorHAnsi" w:hAnsiTheme="minorHAnsi" w:cstheme="minorHAnsi"/>
          <w:sz w:val="22"/>
          <w:szCs w:val="22"/>
        </w:rPr>
        <w:t xml:space="preserve"> to develop effective, anti-racist educators</w:t>
      </w:r>
      <w:r w:rsidRPr="001B14FD">
        <w:rPr>
          <w:rFonts w:asciiTheme="minorHAnsi" w:hAnsiTheme="minorHAnsi" w:cstheme="minorHAnsi"/>
          <w:sz w:val="22"/>
          <w:szCs w:val="22"/>
        </w:rPr>
        <w:t xml:space="preserve"> while also working towards the systemic changes necessary to benefit students and the future educators of Massachusetts. </w:t>
      </w:r>
    </w:p>
    <w:p w14:paraId="287D9DF7" w14:textId="7621D961" w:rsidR="008341A4" w:rsidRPr="001B14FD" w:rsidRDefault="008341A4" w:rsidP="004E02B6">
      <w:pPr>
        <w:widowControl/>
        <w:autoSpaceDE w:val="0"/>
        <w:autoSpaceDN w:val="0"/>
        <w:adjustRightInd w:val="0"/>
        <w:rPr>
          <w:rFonts w:asciiTheme="minorHAnsi" w:hAnsiTheme="minorHAnsi" w:cstheme="minorHAnsi"/>
          <w:sz w:val="22"/>
          <w:szCs w:val="22"/>
        </w:rPr>
      </w:pPr>
    </w:p>
    <w:p w14:paraId="4D2B3CBB" w14:textId="26FA4AC3" w:rsidR="00B03517" w:rsidRPr="001B14FD" w:rsidRDefault="00F732A9" w:rsidP="004E02B6">
      <w:pPr>
        <w:widowControl/>
        <w:autoSpaceDE w:val="0"/>
        <w:autoSpaceDN w:val="0"/>
        <w:adjustRightInd w:val="0"/>
        <w:rPr>
          <w:rFonts w:asciiTheme="minorHAnsi" w:hAnsiTheme="minorHAnsi" w:cstheme="minorHAnsi"/>
          <w:sz w:val="22"/>
          <w:szCs w:val="22"/>
        </w:rPr>
      </w:pPr>
      <w:r w:rsidRPr="001B14FD">
        <w:rPr>
          <w:rFonts w:asciiTheme="minorHAnsi" w:hAnsiTheme="minorHAnsi" w:cstheme="minorHAnsi"/>
          <w:sz w:val="22"/>
          <w:szCs w:val="22"/>
        </w:rPr>
        <w:t>In partnership</w:t>
      </w:r>
      <w:r w:rsidR="008341A4" w:rsidRPr="001B14FD">
        <w:rPr>
          <w:rFonts w:asciiTheme="minorHAnsi" w:hAnsiTheme="minorHAnsi" w:cstheme="minorHAnsi"/>
          <w:sz w:val="22"/>
          <w:szCs w:val="22"/>
        </w:rPr>
        <w:t>,</w:t>
      </w:r>
      <w:r w:rsidR="00B03517" w:rsidRPr="001B14FD">
        <w:rPr>
          <w:rFonts w:asciiTheme="minorHAnsi" w:hAnsiTheme="minorHAnsi" w:cstheme="minorHAnsi"/>
          <w:sz w:val="22"/>
          <w:szCs w:val="22"/>
        </w:rPr>
        <w:t xml:space="preserve"> </w:t>
      </w:r>
    </w:p>
    <w:p w14:paraId="0B64B656" w14:textId="77777777" w:rsidR="00B03517" w:rsidRPr="001B14FD" w:rsidRDefault="00B03517" w:rsidP="004E02B6">
      <w:pPr>
        <w:widowControl/>
        <w:autoSpaceDE w:val="0"/>
        <w:autoSpaceDN w:val="0"/>
        <w:adjustRightInd w:val="0"/>
        <w:rPr>
          <w:rFonts w:asciiTheme="minorHAnsi" w:hAnsiTheme="minorHAnsi" w:cstheme="minorHAnsi"/>
          <w:sz w:val="22"/>
          <w:szCs w:val="22"/>
        </w:rPr>
      </w:pPr>
    </w:p>
    <w:p w14:paraId="33AA3D8A" w14:textId="4F811D0F" w:rsidR="007379AC" w:rsidRPr="001B14FD" w:rsidRDefault="008341A4" w:rsidP="004E02B6">
      <w:pPr>
        <w:widowControl/>
        <w:autoSpaceDE w:val="0"/>
        <w:autoSpaceDN w:val="0"/>
        <w:adjustRightInd w:val="0"/>
        <w:rPr>
          <w:rFonts w:asciiTheme="minorHAnsi" w:hAnsiTheme="minorHAnsi" w:cstheme="minorHAnsi"/>
          <w:sz w:val="22"/>
          <w:szCs w:val="22"/>
        </w:rPr>
      </w:pPr>
      <w:r w:rsidRPr="001B14FD">
        <w:rPr>
          <w:rFonts w:asciiTheme="minorHAnsi" w:hAnsiTheme="minorHAnsi" w:cstheme="minorHAnsi"/>
          <w:sz w:val="22"/>
          <w:szCs w:val="22"/>
        </w:rPr>
        <w:t>The Ed</w:t>
      </w:r>
      <w:r w:rsidR="005040E5" w:rsidRPr="001B14FD">
        <w:rPr>
          <w:rFonts w:asciiTheme="minorHAnsi" w:hAnsiTheme="minorHAnsi" w:cstheme="minorHAnsi"/>
          <w:sz w:val="22"/>
          <w:szCs w:val="22"/>
        </w:rPr>
        <w:t xml:space="preserve">ucator Effectiveness </w:t>
      </w:r>
      <w:r w:rsidRPr="001B14FD">
        <w:rPr>
          <w:rFonts w:asciiTheme="minorHAnsi" w:hAnsiTheme="minorHAnsi" w:cstheme="minorHAnsi"/>
          <w:sz w:val="22"/>
          <w:szCs w:val="22"/>
        </w:rPr>
        <w:t>Tea</w:t>
      </w:r>
      <w:r w:rsidR="002A7775" w:rsidRPr="001B14FD">
        <w:rPr>
          <w:rFonts w:asciiTheme="minorHAnsi" w:hAnsiTheme="minorHAnsi" w:cstheme="minorHAnsi"/>
          <w:sz w:val="22"/>
          <w:szCs w:val="22"/>
        </w:rPr>
        <w:t>m</w:t>
      </w:r>
    </w:p>
    <w:sectPr w:rsidR="007379AC" w:rsidRPr="001B14FD" w:rsidSect="004E02B6">
      <w:headerReference w:type="default" r:id="rId32"/>
      <w:headerReference w:type="first" r:id="rId33"/>
      <w:footerReference w:type="first" r:id="rId34"/>
      <w:endnotePr>
        <w:numFmt w:val="decimal"/>
      </w:endnotePr>
      <w:type w:val="continuous"/>
      <w:pgSz w:w="12240" w:h="15840"/>
      <w:pgMar w:top="1440" w:right="1440" w:bottom="1440" w:left="1440" w:header="1440" w:footer="1440"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4A527" w14:textId="77777777" w:rsidR="003764E5" w:rsidRDefault="003764E5">
      <w:r>
        <w:separator/>
      </w:r>
    </w:p>
  </w:endnote>
  <w:endnote w:type="continuationSeparator" w:id="0">
    <w:p w14:paraId="575C04C6" w14:textId="77777777" w:rsidR="003764E5" w:rsidRDefault="003764E5">
      <w:r>
        <w:continuationSeparator/>
      </w:r>
    </w:p>
  </w:endnote>
  <w:endnote w:type="continuationNotice" w:id="1">
    <w:p w14:paraId="4C59FA0F" w14:textId="77777777" w:rsidR="003764E5" w:rsidRDefault="00376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DCA78" w14:textId="77777777" w:rsidR="005714F8" w:rsidRDefault="005714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4D1471" w14:textId="77777777" w:rsidR="005714F8" w:rsidRDefault="005714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FDB16" w14:textId="77777777" w:rsidR="005714F8" w:rsidRDefault="005714F8">
    <w:pPr>
      <w:pStyle w:val="Footer"/>
      <w:jc w:val="right"/>
    </w:pPr>
    <w:r>
      <w:fldChar w:fldCharType="begin"/>
    </w:r>
    <w:r>
      <w:instrText xml:space="preserve"> PAGE   \* MERGEFORMAT </w:instrText>
    </w:r>
    <w:r>
      <w:fldChar w:fldCharType="separate"/>
    </w:r>
    <w:r>
      <w:rPr>
        <w:noProof/>
      </w:rPr>
      <w:t>2</w:t>
    </w:r>
    <w:r>
      <w:rPr>
        <w:noProof/>
      </w:rPr>
      <w:fldChar w:fldCharType="end"/>
    </w:r>
  </w:p>
  <w:p w14:paraId="6C44BA13" w14:textId="77777777" w:rsidR="005714F8" w:rsidRDefault="005714F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19C4FED9" w14:paraId="38777E8B" w14:textId="77777777" w:rsidTr="19C4FED9">
      <w:tc>
        <w:tcPr>
          <w:tcW w:w="3120" w:type="dxa"/>
        </w:tcPr>
        <w:p w14:paraId="22F78A8E" w14:textId="29F08467" w:rsidR="19C4FED9" w:rsidRDefault="19C4FED9" w:rsidP="19C4FED9">
          <w:pPr>
            <w:pStyle w:val="Header"/>
            <w:ind w:left="-115"/>
            <w:rPr>
              <w:szCs w:val="24"/>
            </w:rPr>
          </w:pPr>
        </w:p>
      </w:tc>
      <w:tc>
        <w:tcPr>
          <w:tcW w:w="3120" w:type="dxa"/>
        </w:tcPr>
        <w:p w14:paraId="3F5E23B1" w14:textId="5AF97F86" w:rsidR="19C4FED9" w:rsidRDefault="19C4FED9" w:rsidP="19C4FED9">
          <w:pPr>
            <w:pStyle w:val="Header"/>
            <w:jc w:val="center"/>
            <w:rPr>
              <w:szCs w:val="24"/>
            </w:rPr>
          </w:pPr>
        </w:p>
      </w:tc>
      <w:tc>
        <w:tcPr>
          <w:tcW w:w="3120" w:type="dxa"/>
        </w:tcPr>
        <w:p w14:paraId="4CB1121C" w14:textId="1E691593" w:rsidR="19C4FED9" w:rsidRDefault="19C4FED9" w:rsidP="19C4FED9">
          <w:pPr>
            <w:pStyle w:val="Header"/>
            <w:ind w:right="-115"/>
            <w:jc w:val="right"/>
            <w:rPr>
              <w:szCs w:val="24"/>
            </w:rPr>
          </w:pPr>
        </w:p>
      </w:tc>
    </w:tr>
  </w:tbl>
  <w:p w14:paraId="4E0432DC" w14:textId="76ECF30A" w:rsidR="19C4FED9" w:rsidRDefault="19C4FED9" w:rsidP="19C4FE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790"/>
      <w:gridCol w:w="3790"/>
      <w:gridCol w:w="3790"/>
    </w:tblGrid>
    <w:tr w:rsidR="19C4FED9" w14:paraId="2A28A639" w14:textId="77777777" w:rsidTr="19C4FED9">
      <w:tc>
        <w:tcPr>
          <w:tcW w:w="3790" w:type="dxa"/>
        </w:tcPr>
        <w:p w14:paraId="7CE673E7" w14:textId="1006E88E" w:rsidR="19C4FED9" w:rsidRDefault="19C4FED9" w:rsidP="19C4FED9">
          <w:pPr>
            <w:pStyle w:val="Header"/>
            <w:ind w:left="-115"/>
            <w:rPr>
              <w:szCs w:val="24"/>
            </w:rPr>
          </w:pPr>
        </w:p>
      </w:tc>
      <w:tc>
        <w:tcPr>
          <w:tcW w:w="3790" w:type="dxa"/>
        </w:tcPr>
        <w:p w14:paraId="3795E829" w14:textId="05AF5304" w:rsidR="19C4FED9" w:rsidRDefault="19C4FED9" w:rsidP="19C4FED9">
          <w:pPr>
            <w:pStyle w:val="Header"/>
            <w:jc w:val="center"/>
            <w:rPr>
              <w:szCs w:val="24"/>
            </w:rPr>
          </w:pPr>
        </w:p>
      </w:tc>
      <w:tc>
        <w:tcPr>
          <w:tcW w:w="3790" w:type="dxa"/>
        </w:tcPr>
        <w:p w14:paraId="3AF515D1" w14:textId="67CC8615" w:rsidR="19C4FED9" w:rsidRDefault="19C4FED9" w:rsidP="19C4FED9">
          <w:pPr>
            <w:pStyle w:val="Header"/>
            <w:ind w:right="-115"/>
            <w:jc w:val="right"/>
            <w:rPr>
              <w:szCs w:val="24"/>
            </w:rPr>
          </w:pPr>
        </w:p>
      </w:tc>
    </w:tr>
  </w:tbl>
  <w:p w14:paraId="0053902D" w14:textId="42BB0166" w:rsidR="19C4FED9" w:rsidRDefault="19C4FED9" w:rsidP="19C4FE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19C4FED9" w14:paraId="297E9C59" w14:textId="77777777" w:rsidTr="19C4FED9">
      <w:tc>
        <w:tcPr>
          <w:tcW w:w="3120" w:type="dxa"/>
        </w:tcPr>
        <w:p w14:paraId="63023E11" w14:textId="263489D9" w:rsidR="19C4FED9" w:rsidRDefault="19C4FED9" w:rsidP="19C4FED9">
          <w:pPr>
            <w:pStyle w:val="Header"/>
            <w:ind w:left="-115"/>
            <w:rPr>
              <w:szCs w:val="24"/>
            </w:rPr>
          </w:pPr>
        </w:p>
      </w:tc>
      <w:tc>
        <w:tcPr>
          <w:tcW w:w="3120" w:type="dxa"/>
        </w:tcPr>
        <w:p w14:paraId="460DB1D0" w14:textId="630B775A" w:rsidR="19C4FED9" w:rsidRDefault="19C4FED9" w:rsidP="19C4FED9">
          <w:pPr>
            <w:pStyle w:val="Header"/>
            <w:jc w:val="center"/>
            <w:rPr>
              <w:szCs w:val="24"/>
            </w:rPr>
          </w:pPr>
        </w:p>
      </w:tc>
      <w:tc>
        <w:tcPr>
          <w:tcW w:w="3120" w:type="dxa"/>
        </w:tcPr>
        <w:p w14:paraId="3E1AFDF3" w14:textId="73F492D3" w:rsidR="19C4FED9" w:rsidRDefault="19C4FED9" w:rsidP="19C4FED9">
          <w:pPr>
            <w:pStyle w:val="Header"/>
            <w:ind w:right="-115"/>
            <w:jc w:val="right"/>
            <w:rPr>
              <w:szCs w:val="24"/>
            </w:rPr>
          </w:pPr>
        </w:p>
      </w:tc>
    </w:tr>
  </w:tbl>
  <w:p w14:paraId="32370007" w14:textId="72BBCE04" w:rsidR="19C4FED9" w:rsidRDefault="19C4FED9" w:rsidP="19C4FE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19C4FED9" w14:paraId="7C544F62" w14:textId="77777777" w:rsidTr="19C4FED9">
      <w:tc>
        <w:tcPr>
          <w:tcW w:w="3120" w:type="dxa"/>
        </w:tcPr>
        <w:p w14:paraId="251CA51D" w14:textId="62803177" w:rsidR="19C4FED9" w:rsidRDefault="19C4FED9" w:rsidP="19C4FED9">
          <w:pPr>
            <w:pStyle w:val="Header"/>
            <w:ind w:left="-115"/>
            <w:rPr>
              <w:szCs w:val="24"/>
            </w:rPr>
          </w:pPr>
        </w:p>
      </w:tc>
      <w:tc>
        <w:tcPr>
          <w:tcW w:w="3120" w:type="dxa"/>
        </w:tcPr>
        <w:p w14:paraId="7DCEBE49" w14:textId="11F6D8AF" w:rsidR="19C4FED9" w:rsidRDefault="19C4FED9" w:rsidP="19C4FED9">
          <w:pPr>
            <w:pStyle w:val="Header"/>
            <w:jc w:val="center"/>
            <w:rPr>
              <w:szCs w:val="24"/>
            </w:rPr>
          </w:pPr>
        </w:p>
      </w:tc>
      <w:tc>
        <w:tcPr>
          <w:tcW w:w="3120" w:type="dxa"/>
        </w:tcPr>
        <w:p w14:paraId="29B6A684" w14:textId="4D095A3A" w:rsidR="19C4FED9" w:rsidRDefault="19C4FED9" w:rsidP="19C4FED9">
          <w:pPr>
            <w:pStyle w:val="Header"/>
            <w:ind w:right="-115"/>
            <w:jc w:val="right"/>
            <w:rPr>
              <w:szCs w:val="24"/>
            </w:rPr>
          </w:pPr>
        </w:p>
      </w:tc>
    </w:tr>
  </w:tbl>
  <w:p w14:paraId="03556D11" w14:textId="7E234B76" w:rsidR="19C4FED9" w:rsidRDefault="19C4FED9" w:rsidP="19C4F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D7BC0" w14:textId="77777777" w:rsidR="003764E5" w:rsidRDefault="003764E5">
      <w:r>
        <w:separator/>
      </w:r>
    </w:p>
  </w:footnote>
  <w:footnote w:type="continuationSeparator" w:id="0">
    <w:p w14:paraId="62CD7087" w14:textId="77777777" w:rsidR="003764E5" w:rsidRDefault="003764E5">
      <w:r>
        <w:continuationSeparator/>
      </w:r>
    </w:p>
  </w:footnote>
  <w:footnote w:type="continuationNotice" w:id="1">
    <w:p w14:paraId="30E26459" w14:textId="77777777" w:rsidR="003764E5" w:rsidRDefault="003764E5"/>
  </w:footnote>
  <w:footnote w:id="2">
    <w:p w14:paraId="0E6994D6" w14:textId="01B3C466" w:rsidR="005714F8" w:rsidRPr="001B14FD" w:rsidRDefault="005714F8" w:rsidP="0070520D">
      <w:pPr>
        <w:pStyle w:val="FootnoteText"/>
        <w:rPr>
          <w:rFonts w:asciiTheme="minorHAnsi" w:hAnsiTheme="minorHAnsi" w:cstheme="minorHAnsi"/>
        </w:rPr>
      </w:pPr>
      <w:r w:rsidRPr="001B14FD">
        <w:rPr>
          <w:rStyle w:val="FootnoteReference"/>
          <w:rFonts w:asciiTheme="minorHAnsi" w:hAnsiTheme="minorHAnsi" w:cstheme="minorHAnsi"/>
          <w:sz w:val="18"/>
          <w:szCs w:val="18"/>
        </w:rPr>
        <w:footnoteRef/>
      </w:r>
      <w:r w:rsidRPr="001B14FD">
        <w:rPr>
          <w:rFonts w:asciiTheme="minorHAnsi" w:hAnsiTheme="minorHAnsi" w:cstheme="minorHAnsi"/>
          <w:sz w:val="18"/>
          <w:szCs w:val="18"/>
        </w:rPr>
        <w:t xml:space="preserve"> These revisions will mirror the revisions made to the </w:t>
      </w:r>
      <w:hyperlink r:id="rId1" w:history="1">
        <w:r w:rsidRPr="001B14FD">
          <w:rPr>
            <w:rStyle w:val="Hyperlink"/>
            <w:rFonts w:asciiTheme="minorHAnsi" w:hAnsiTheme="minorHAnsi" w:cstheme="minorHAnsi"/>
            <w:sz w:val="18"/>
            <w:szCs w:val="18"/>
          </w:rPr>
          <w:t>Guidelines for the Preparation of Administrative Leaders</w:t>
        </w:r>
      </w:hyperlink>
      <w:r w:rsidRPr="001B14FD">
        <w:rPr>
          <w:rFonts w:asciiTheme="minorHAnsi" w:hAnsiTheme="minorHAnsi" w:cstheme="minorHAnsi"/>
          <w:sz w:val="18"/>
          <w:szCs w:val="18"/>
        </w:rPr>
        <w:t>. The Professional Standards for Administrative Leadership were not revised, but the indicators were updated to reflect the four priority areas for preparing program completers as described on pgs. 9-10 of the Guidelines and specifically incorporate anti-racist competencies for administrative leaders.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19C4FED9" w14:paraId="4F0B61FB" w14:textId="77777777" w:rsidTr="19C4FED9">
      <w:tc>
        <w:tcPr>
          <w:tcW w:w="3120" w:type="dxa"/>
        </w:tcPr>
        <w:p w14:paraId="676CE80F" w14:textId="746D81B8" w:rsidR="19C4FED9" w:rsidRDefault="19C4FED9" w:rsidP="19C4FED9">
          <w:pPr>
            <w:pStyle w:val="Header"/>
            <w:ind w:left="-115"/>
            <w:rPr>
              <w:szCs w:val="24"/>
            </w:rPr>
          </w:pPr>
        </w:p>
      </w:tc>
      <w:tc>
        <w:tcPr>
          <w:tcW w:w="3120" w:type="dxa"/>
        </w:tcPr>
        <w:p w14:paraId="0C0F3737" w14:textId="61DFB71D" w:rsidR="19C4FED9" w:rsidRDefault="19C4FED9" w:rsidP="19C4FED9">
          <w:pPr>
            <w:pStyle w:val="Header"/>
            <w:jc w:val="center"/>
            <w:rPr>
              <w:szCs w:val="24"/>
            </w:rPr>
          </w:pPr>
        </w:p>
      </w:tc>
      <w:tc>
        <w:tcPr>
          <w:tcW w:w="3120" w:type="dxa"/>
        </w:tcPr>
        <w:p w14:paraId="43BED2FA" w14:textId="2687E875" w:rsidR="19C4FED9" w:rsidRDefault="19C4FED9" w:rsidP="19C4FED9">
          <w:pPr>
            <w:pStyle w:val="Header"/>
            <w:ind w:right="-115"/>
            <w:jc w:val="right"/>
            <w:rPr>
              <w:szCs w:val="24"/>
            </w:rPr>
          </w:pPr>
        </w:p>
      </w:tc>
    </w:tr>
  </w:tbl>
  <w:p w14:paraId="5173838C" w14:textId="3A17F7B3" w:rsidR="19C4FED9" w:rsidRDefault="19C4FED9" w:rsidP="19C4FED9">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19C4FED9" w14:paraId="12C4F5B2" w14:textId="77777777" w:rsidTr="19C4FED9">
      <w:tc>
        <w:tcPr>
          <w:tcW w:w="3120" w:type="dxa"/>
        </w:tcPr>
        <w:p w14:paraId="3F8C77BA" w14:textId="2984460A" w:rsidR="19C4FED9" w:rsidRDefault="19C4FED9" w:rsidP="19C4FED9">
          <w:pPr>
            <w:pStyle w:val="Header"/>
            <w:ind w:left="-115"/>
            <w:rPr>
              <w:szCs w:val="24"/>
            </w:rPr>
          </w:pPr>
        </w:p>
      </w:tc>
      <w:tc>
        <w:tcPr>
          <w:tcW w:w="3120" w:type="dxa"/>
        </w:tcPr>
        <w:p w14:paraId="2FB40DF3" w14:textId="7524314A" w:rsidR="19C4FED9" w:rsidRDefault="19C4FED9" w:rsidP="19C4FED9">
          <w:pPr>
            <w:pStyle w:val="Header"/>
            <w:jc w:val="center"/>
            <w:rPr>
              <w:szCs w:val="24"/>
            </w:rPr>
          </w:pPr>
        </w:p>
      </w:tc>
      <w:tc>
        <w:tcPr>
          <w:tcW w:w="3120" w:type="dxa"/>
        </w:tcPr>
        <w:p w14:paraId="6C36070D" w14:textId="48E02B76" w:rsidR="19C4FED9" w:rsidRDefault="19C4FED9" w:rsidP="19C4FED9">
          <w:pPr>
            <w:pStyle w:val="Header"/>
            <w:ind w:right="-115"/>
            <w:jc w:val="right"/>
            <w:rPr>
              <w:szCs w:val="24"/>
            </w:rPr>
          </w:pPr>
        </w:p>
      </w:tc>
    </w:tr>
  </w:tbl>
  <w:p w14:paraId="7CB6FE4F" w14:textId="2176B99D" w:rsidR="19C4FED9" w:rsidRDefault="19C4FED9" w:rsidP="19C4FED9">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790"/>
      <w:gridCol w:w="3790"/>
      <w:gridCol w:w="3790"/>
    </w:tblGrid>
    <w:tr w:rsidR="19C4FED9" w14:paraId="636E2307" w14:textId="77777777" w:rsidTr="19C4FED9">
      <w:tc>
        <w:tcPr>
          <w:tcW w:w="3790" w:type="dxa"/>
        </w:tcPr>
        <w:p w14:paraId="5E8B2356" w14:textId="2E67AD27" w:rsidR="19C4FED9" w:rsidRDefault="19C4FED9" w:rsidP="19C4FED9">
          <w:pPr>
            <w:pStyle w:val="Header"/>
            <w:ind w:left="-115"/>
            <w:rPr>
              <w:szCs w:val="24"/>
            </w:rPr>
          </w:pPr>
        </w:p>
      </w:tc>
      <w:tc>
        <w:tcPr>
          <w:tcW w:w="3790" w:type="dxa"/>
        </w:tcPr>
        <w:p w14:paraId="3B4F0811" w14:textId="65CB9486" w:rsidR="19C4FED9" w:rsidRDefault="19C4FED9" w:rsidP="19C4FED9">
          <w:pPr>
            <w:pStyle w:val="Header"/>
            <w:jc w:val="center"/>
            <w:rPr>
              <w:szCs w:val="24"/>
            </w:rPr>
          </w:pPr>
        </w:p>
      </w:tc>
      <w:tc>
        <w:tcPr>
          <w:tcW w:w="3790" w:type="dxa"/>
        </w:tcPr>
        <w:p w14:paraId="7B9C23FD" w14:textId="7D9207CD" w:rsidR="19C4FED9" w:rsidRDefault="19C4FED9" w:rsidP="19C4FED9">
          <w:pPr>
            <w:pStyle w:val="Header"/>
            <w:ind w:right="-115"/>
            <w:jc w:val="right"/>
            <w:rPr>
              <w:szCs w:val="24"/>
            </w:rPr>
          </w:pPr>
        </w:p>
      </w:tc>
    </w:tr>
  </w:tbl>
  <w:p w14:paraId="5D1491CC" w14:textId="33DBA858" w:rsidR="19C4FED9" w:rsidRDefault="19C4FED9" w:rsidP="19C4FED9">
    <w:pPr>
      <w:pStyle w:val="Header"/>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790"/>
      <w:gridCol w:w="3790"/>
      <w:gridCol w:w="3790"/>
    </w:tblGrid>
    <w:tr w:rsidR="19C4FED9" w14:paraId="31DE0704" w14:textId="77777777" w:rsidTr="19C4FED9">
      <w:tc>
        <w:tcPr>
          <w:tcW w:w="3790" w:type="dxa"/>
        </w:tcPr>
        <w:p w14:paraId="78678E94" w14:textId="5A1C8E27" w:rsidR="19C4FED9" w:rsidRDefault="19C4FED9" w:rsidP="19C4FED9">
          <w:pPr>
            <w:pStyle w:val="Header"/>
            <w:ind w:left="-115"/>
            <w:rPr>
              <w:szCs w:val="24"/>
            </w:rPr>
          </w:pPr>
        </w:p>
      </w:tc>
      <w:tc>
        <w:tcPr>
          <w:tcW w:w="3790" w:type="dxa"/>
        </w:tcPr>
        <w:p w14:paraId="23C691FB" w14:textId="6F23D490" w:rsidR="19C4FED9" w:rsidRDefault="19C4FED9" w:rsidP="19C4FED9">
          <w:pPr>
            <w:pStyle w:val="Header"/>
            <w:jc w:val="center"/>
            <w:rPr>
              <w:szCs w:val="24"/>
            </w:rPr>
          </w:pPr>
        </w:p>
      </w:tc>
      <w:tc>
        <w:tcPr>
          <w:tcW w:w="3790" w:type="dxa"/>
        </w:tcPr>
        <w:p w14:paraId="7F113ABA" w14:textId="119D6548" w:rsidR="19C4FED9" w:rsidRDefault="19C4FED9" w:rsidP="19C4FED9">
          <w:pPr>
            <w:pStyle w:val="Header"/>
            <w:ind w:right="-115"/>
            <w:jc w:val="right"/>
            <w:rPr>
              <w:szCs w:val="24"/>
            </w:rPr>
          </w:pPr>
        </w:p>
      </w:tc>
    </w:tr>
  </w:tbl>
  <w:p w14:paraId="10D8E8C2" w14:textId="13C15EC5" w:rsidR="19C4FED9" w:rsidRDefault="19C4FED9" w:rsidP="19C4FED9">
    <w:pPr>
      <w:pStyle w:val="Header"/>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19C4FED9" w14:paraId="62AA25E1" w14:textId="77777777" w:rsidTr="19C4FED9">
      <w:tc>
        <w:tcPr>
          <w:tcW w:w="3120" w:type="dxa"/>
        </w:tcPr>
        <w:p w14:paraId="7A6B9C90" w14:textId="53496897" w:rsidR="19C4FED9" w:rsidRDefault="19C4FED9" w:rsidP="19C4FED9">
          <w:pPr>
            <w:pStyle w:val="Header"/>
            <w:ind w:left="-115"/>
            <w:rPr>
              <w:szCs w:val="24"/>
            </w:rPr>
          </w:pPr>
        </w:p>
      </w:tc>
      <w:tc>
        <w:tcPr>
          <w:tcW w:w="3120" w:type="dxa"/>
        </w:tcPr>
        <w:p w14:paraId="28857E79" w14:textId="6286171A" w:rsidR="19C4FED9" w:rsidRDefault="19C4FED9" w:rsidP="19C4FED9">
          <w:pPr>
            <w:pStyle w:val="Header"/>
            <w:jc w:val="center"/>
            <w:rPr>
              <w:szCs w:val="24"/>
            </w:rPr>
          </w:pPr>
        </w:p>
      </w:tc>
      <w:tc>
        <w:tcPr>
          <w:tcW w:w="3120" w:type="dxa"/>
        </w:tcPr>
        <w:p w14:paraId="05DECE16" w14:textId="152390FA" w:rsidR="19C4FED9" w:rsidRDefault="19C4FED9" w:rsidP="19C4FED9">
          <w:pPr>
            <w:pStyle w:val="Header"/>
            <w:ind w:right="-115"/>
            <w:jc w:val="right"/>
            <w:rPr>
              <w:szCs w:val="24"/>
            </w:rPr>
          </w:pPr>
        </w:p>
      </w:tc>
    </w:tr>
  </w:tbl>
  <w:p w14:paraId="185F17CC" w14:textId="4F427E79" w:rsidR="19C4FED9" w:rsidRDefault="19C4FED9" w:rsidP="19C4FED9">
    <w:pPr>
      <w:pStyle w:val="Header"/>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19C4FED9" w14:paraId="743BD172" w14:textId="77777777" w:rsidTr="19C4FED9">
      <w:tc>
        <w:tcPr>
          <w:tcW w:w="3120" w:type="dxa"/>
        </w:tcPr>
        <w:p w14:paraId="70BEC50D" w14:textId="5BA7FB1E" w:rsidR="19C4FED9" w:rsidRDefault="19C4FED9" w:rsidP="19C4FED9">
          <w:pPr>
            <w:pStyle w:val="Header"/>
            <w:ind w:left="-115"/>
            <w:rPr>
              <w:szCs w:val="24"/>
            </w:rPr>
          </w:pPr>
        </w:p>
      </w:tc>
      <w:tc>
        <w:tcPr>
          <w:tcW w:w="3120" w:type="dxa"/>
        </w:tcPr>
        <w:p w14:paraId="7771AB10" w14:textId="223BBEE3" w:rsidR="19C4FED9" w:rsidRDefault="19C4FED9" w:rsidP="19C4FED9">
          <w:pPr>
            <w:pStyle w:val="Header"/>
            <w:jc w:val="center"/>
            <w:rPr>
              <w:szCs w:val="24"/>
            </w:rPr>
          </w:pPr>
        </w:p>
      </w:tc>
      <w:tc>
        <w:tcPr>
          <w:tcW w:w="3120" w:type="dxa"/>
        </w:tcPr>
        <w:p w14:paraId="10A7E866" w14:textId="00022322" w:rsidR="19C4FED9" w:rsidRDefault="19C4FED9" w:rsidP="19C4FED9">
          <w:pPr>
            <w:pStyle w:val="Header"/>
            <w:ind w:right="-115"/>
            <w:jc w:val="right"/>
            <w:rPr>
              <w:szCs w:val="24"/>
            </w:rPr>
          </w:pPr>
        </w:p>
      </w:tc>
    </w:tr>
  </w:tbl>
  <w:p w14:paraId="08590F70" w14:textId="47E37BE0" w:rsidR="19C4FED9" w:rsidRDefault="19C4FED9" w:rsidP="19C4FED9">
    <w:pPr>
      <w:pStyle w:val="Header"/>
      <w:rPr>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19C4FED9" w14:paraId="3C38DFC0" w14:textId="77777777" w:rsidTr="19C4FED9">
      <w:tc>
        <w:tcPr>
          <w:tcW w:w="3120" w:type="dxa"/>
        </w:tcPr>
        <w:p w14:paraId="555FE8F0" w14:textId="6E56250E" w:rsidR="19C4FED9" w:rsidRDefault="19C4FED9" w:rsidP="19C4FED9">
          <w:pPr>
            <w:pStyle w:val="Header"/>
            <w:ind w:left="-115"/>
            <w:rPr>
              <w:szCs w:val="24"/>
            </w:rPr>
          </w:pPr>
        </w:p>
      </w:tc>
      <w:tc>
        <w:tcPr>
          <w:tcW w:w="3120" w:type="dxa"/>
        </w:tcPr>
        <w:p w14:paraId="5455522E" w14:textId="6644113E" w:rsidR="19C4FED9" w:rsidRDefault="19C4FED9" w:rsidP="19C4FED9">
          <w:pPr>
            <w:pStyle w:val="Header"/>
            <w:jc w:val="center"/>
            <w:rPr>
              <w:szCs w:val="24"/>
            </w:rPr>
          </w:pPr>
        </w:p>
      </w:tc>
      <w:tc>
        <w:tcPr>
          <w:tcW w:w="3120" w:type="dxa"/>
        </w:tcPr>
        <w:p w14:paraId="7C82061E" w14:textId="05E02ADA" w:rsidR="19C4FED9" w:rsidRDefault="19C4FED9" w:rsidP="19C4FED9">
          <w:pPr>
            <w:pStyle w:val="Header"/>
            <w:ind w:right="-115"/>
            <w:jc w:val="right"/>
            <w:rPr>
              <w:szCs w:val="24"/>
            </w:rPr>
          </w:pPr>
        </w:p>
      </w:tc>
    </w:tr>
  </w:tbl>
  <w:p w14:paraId="4A13D712" w14:textId="3A20E76E" w:rsidR="19C4FED9" w:rsidRDefault="19C4FED9" w:rsidP="19C4FED9">
    <w:pPr>
      <w:pStyle w:val="Header"/>
      <w:rPr>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19C4FED9" w14:paraId="616929BD" w14:textId="77777777" w:rsidTr="19C4FED9">
      <w:tc>
        <w:tcPr>
          <w:tcW w:w="3120" w:type="dxa"/>
        </w:tcPr>
        <w:p w14:paraId="25040584" w14:textId="05058183" w:rsidR="19C4FED9" w:rsidRDefault="19C4FED9" w:rsidP="19C4FED9">
          <w:pPr>
            <w:pStyle w:val="Header"/>
            <w:ind w:left="-115"/>
            <w:rPr>
              <w:szCs w:val="24"/>
            </w:rPr>
          </w:pPr>
        </w:p>
      </w:tc>
      <w:tc>
        <w:tcPr>
          <w:tcW w:w="3120" w:type="dxa"/>
        </w:tcPr>
        <w:p w14:paraId="36E17F0E" w14:textId="7EB902FA" w:rsidR="19C4FED9" w:rsidRDefault="19C4FED9" w:rsidP="19C4FED9">
          <w:pPr>
            <w:pStyle w:val="Header"/>
            <w:jc w:val="center"/>
            <w:rPr>
              <w:szCs w:val="24"/>
            </w:rPr>
          </w:pPr>
        </w:p>
      </w:tc>
      <w:tc>
        <w:tcPr>
          <w:tcW w:w="3120" w:type="dxa"/>
        </w:tcPr>
        <w:p w14:paraId="6AA9A897" w14:textId="056BFC61" w:rsidR="19C4FED9" w:rsidRDefault="19C4FED9" w:rsidP="19C4FED9">
          <w:pPr>
            <w:pStyle w:val="Header"/>
            <w:ind w:right="-115"/>
            <w:jc w:val="right"/>
            <w:rPr>
              <w:szCs w:val="24"/>
            </w:rPr>
          </w:pPr>
        </w:p>
      </w:tc>
    </w:tr>
  </w:tbl>
  <w:p w14:paraId="70077BC2" w14:textId="1A1D81FD" w:rsidR="19C4FED9" w:rsidRDefault="19C4FED9" w:rsidP="19C4FED9">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16D5"/>
    <w:multiLevelType w:val="hybridMultilevel"/>
    <w:tmpl w:val="A53C71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76716B"/>
    <w:multiLevelType w:val="hybridMultilevel"/>
    <w:tmpl w:val="2A36E53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6D5510"/>
    <w:multiLevelType w:val="hybridMultilevel"/>
    <w:tmpl w:val="9F3C61B2"/>
    <w:lvl w:ilvl="0" w:tplc="0409000F">
      <w:start w:val="4"/>
      <w:numFmt w:val="decimal"/>
      <w:lvlText w:val="%1."/>
      <w:lvlJc w:val="left"/>
      <w:pPr>
        <w:tabs>
          <w:tab w:val="num" w:pos="720"/>
        </w:tabs>
        <w:ind w:left="720" w:hanging="360"/>
      </w:pPr>
      <w:rPr>
        <w:rFonts w:hint="default"/>
        <w:b w:val="0"/>
      </w:rPr>
    </w:lvl>
    <w:lvl w:ilvl="1" w:tplc="74E4CF1A">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7820FC"/>
    <w:multiLevelType w:val="hybridMultilevel"/>
    <w:tmpl w:val="1410EAF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CF21E1"/>
    <w:multiLevelType w:val="hybridMultilevel"/>
    <w:tmpl w:val="E9064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6A0C55"/>
    <w:multiLevelType w:val="hybridMultilevel"/>
    <w:tmpl w:val="75CC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E1D79"/>
    <w:multiLevelType w:val="hybridMultilevel"/>
    <w:tmpl w:val="006202F0"/>
    <w:lvl w:ilvl="0" w:tplc="0409000F">
      <w:start w:val="1"/>
      <w:numFmt w:val="decimal"/>
      <w:lvlText w:val="%1."/>
      <w:lvlJc w:val="left"/>
      <w:pPr>
        <w:tabs>
          <w:tab w:val="num" w:pos="720"/>
        </w:tabs>
        <w:ind w:left="720" w:hanging="360"/>
      </w:pPr>
      <w:rPr>
        <w:rFonts w:hint="default"/>
        <w:b w:val="0"/>
      </w:rPr>
    </w:lvl>
    <w:lvl w:ilvl="1" w:tplc="155855E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B466A0"/>
    <w:multiLevelType w:val="hybridMultilevel"/>
    <w:tmpl w:val="C8BA001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FC5246"/>
    <w:multiLevelType w:val="hybridMultilevel"/>
    <w:tmpl w:val="681442A0"/>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D680D7F"/>
    <w:multiLevelType w:val="hybridMultilevel"/>
    <w:tmpl w:val="0130E7E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E015D10"/>
    <w:multiLevelType w:val="hybridMultilevel"/>
    <w:tmpl w:val="F0B2A6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F3A53A3"/>
    <w:multiLevelType w:val="hybridMultilevel"/>
    <w:tmpl w:val="91B8AE1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14EA3"/>
    <w:multiLevelType w:val="singleLevel"/>
    <w:tmpl w:val="784C7184"/>
    <w:lvl w:ilvl="0">
      <w:start w:val="1"/>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40414E6E"/>
    <w:multiLevelType w:val="hybridMultilevel"/>
    <w:tmpl w:val="40CA0E1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1B57141"/>
    <w:multiLevelType w:val="hybridMultilevel"/>
    <w:tmpl w:val="776AAFAA"/>
    <w:lvl w:ilvl="0" w:tplc="C3CA9020">
      <w:start w:val="2"/>
      <w:numFmt w:val="lowerLetter"/>
      <w:lvlText w:val="%1."/>
      <w:lvlJc w:val="left"/>
      <w:pPr>
        <w:tabs>
          <w:tab w:val="num" w:pos="1140"/>
        </w:tabs>
        <w:ind w:left="1140" w:hanging="420"/>
      </w:pPr>
      <w:rPr>
        <w:rFonts w:hint="default"/>
      </w:rPr>
    </w:lvl>
    <w:lvl w:ilvl="1" w:tplc="84449378">
      <w:start w:val="9"/>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34B5B97"/>
    <w:multiLevelType w:val="hybridMultilevel"/>
    <w:tmpl w:val="0B16AA6C"/>
    <w:lvl w:ilvl="0" w:tplc="9BBE3FA4">
      <w:start w:val="1"/>
      <w:numFmt w:val="bullet"/>
      <w:lvlText w:val="•"/>
      <w:lvlJc w:val="left"/>
      <w:pPr>
        <w:tabs>
          <w:tab w:val="num" w:pos="720"/>
        </w:tabs>
        <w:ind w:left="720" w:hanging="360"/>
      </w:pPr>
      <w:rPr>
        <w:rFonts w:ascii="Arial" w:hAnsi="Arial" w:hint="default"/>
      </w:rPr>
    </w:lvl>
    <w:lvl w:ilvl="1" w:tplc="C45ECD98">
      <w:start w:val="1"/>
      <w:numFmt w:val="bullet"/>
      <w:lvlText w:val="•"/>
      <w:lvlJc w:val="left"/>
      <w:pPr>
        <w:tabs>
          <w:tab w:val="num" w:pos="1440"/>
        </w:tabs>
        <w:ind w:left="1440" w:hanging="360"/>
      </w:pPr>
      <w:rPr>
        <w:rFonts w:ascii="Arial" w:hAnsi="Arial" w:hint="default"/>
      </w:rPr>
    </w:lvl>
    <w:lvl w:ilvl="2" w:tplc="BBC06378" w:tentative="1">
      <w:start w:val="1"/>
      <w:numFmt w:val="bullet"/>
      <w:lvlText w:val="•"/>
      <w:lvlJc w:val="left"/>
      <w:pPr>
        <w:tabs>
          <w:tab w:val="num" w:pos="2160"/>
        </w:tabs>
        <w:ind w:left="2160" w:hanging="360"/>
      </w:pPr>
      <w:rPr>
        <w:rFonts w:ascii="Arial" w:hAnsi="Arial" w:hint="default"/>
      </w:rPr>
    </w:lvl>
    <w:lvl w:ilvl="3" w:tplc="73CE217A" w:tentative="1">
      <w:start w:val="1"/>
      <w:numFmt w:val="bullet"/>
      <w:lvlText w:val="•"/>
      <w:lvlJc w:val="left"/>
      <w:pPr>
        <w:tabs>
          <w:tab w:val="num" w:pos="2880"/>
        </w:tabs>
        <w:ind w:left="2880" w:hanging="360"/>
      </w:pPr>
      <w:rPr>
        <w:rFonts w:ascii="Arial" w:hAnsi="Arial" w:hint="default"/>
      </w:rPr>
    </w:lvl>
    <w:lvl w:ilvl="4" w:tplc="CE3C59BA" w:tentative="1">
      <w:start w:val="1"/>
      <w:numFmt w:val="bullet"/>
      <w:lvlText w:val="•"/>
      <w:lvlJc w:val="left"/>
      <w:pPr>
        <w:tabs>
          <w:tab w:val="num" w:pos="3600"/>
        </w:tabs>
        <w:ind w:left="3600" w:hanging="360"/>
      </w:pPr>
      <w:rPr>
        <w:rFonts w:ascii="Arial" w:hAnsi="Arial" w:hint="default"/>
      </w:rPr>
    </w:lvl>
    <w:lvl w:ilvl="5" w:tplc="A57C17CC" w:tentative="1">
      <w:start w:val="1"/>
      <w:numFmt w:val="bullet"/>
      <w:lvlText w:val="•"/>
      <w:lvlJc w:val="left"/>
      <w:pPr>
        <w:tabs>
          <w:tab w:val="num" w:pos="4320"/>
        </w:tabs>
        <w:ind w:left="4320" w:hanging="360"/>
      </w:pPr>
      <w:rPr>
        <w:rFonts w:ascii="Arial" w:hAnsi="Arial" w:hint="default"/>
      </w:rPr>
    </w:lvl>
    <w:lvl w:ilvl="6" w:tplc="4A367952" w:tentative="1">
      <w:start w:val="1"/>
      <w:numFmt w:val="bullet"/>
      <w:lvlText w:val="•"/>
      <w:lvlJc w:val="left"/>
      <w:pPr>
        <w:tabs>
          <w:tab w:val="num" w:pos="5040"/>
        </w:tabs>
        <w:ind w:left="5040" w:hanging="360"/>
      </w:pPr>
      <w:rPr>
        <w:rFonts w:ascii="Arial" w:hAnsi="Arial" w:hint="default"/>
      </w:rPr>
    </w:lvl>
    <w:lvl w:ilvl="7" w:tplc="B16047D0" w:tentative="1">
      <w:start w:val="1"/>
      <w:numFmt w:val="bullet"/>
      <w:lvlText w:val="•"/>
      <w:lvlJc w:val="left"/>
      <w:pPr>
        <w:tabs>
          <w:tab w:val="num" w:pos="5760"/>
        </w:tabs>
        <w:ind w:left="5760" w:hanging="360"/>
      </w:pPr>
      <w:rPr>
        <w:rFonts w:ascii="Arial" w:hAnsi="Arial" w:hint="default"/>
      </w:rPr>
    </w:lvl>
    <w:lvl w:ilvl="8" w:tplc="5380B00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B41829"/>
    <w:multiLevelType w:val="hybridMultilevel"/>
    <w:tmpl w:val="286E6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D7E0EC0"/>
    <w:multiLevelType w:val="hybridMultilevel"/>
    <w:tmpl w:val="0B20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1799E"/>
    <w:multiLevelType w:val="hybridMultilevel"/>
    <w:tmpl w:val="72F45A0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A496E59"/>
    <w:multiLevelType w:val="hybridMultilevel"/>
    <w:tmpl w:val="36722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72324"/>
    <w:multiLevelType w:val="hybridMultilevel"/>
    <w:tmpl w:val="01DA7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677C0"/>
    <w:multiLevelType w:val="hybridMultilevel"/>
    <w:tmpl w:val="82EAA8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D47BCE"/>
    <w:multiLevelType w:val="hybridMultilevel"/>
    <w:tmpl w:val="2D94D344"/>
    <w:lvl w:ilvl="0" w:tplc="0409000F">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65AF2794"/>
    <w:multiLevelType w:val="hybridMultilevel"/>
    <w:tmpl w:val="4F68A2A0"/>
    <w:lvl w:ilvl="0" w:tplc="85EADD4A">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9D1CB8"/>
    <w:multiLevelType w:val="hybridMultilevel"/>
    <w:tmpl w:val="000042B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EDF3C58"/>
    <w:multiLevelType w:val="hybridMultilevel"/>
    <w:tmpl w:val="7638A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F530A51"/>
    <w:multiLevelType w:val="hybridMultilevel"/>
    <w:tmpl w:val="EC9E232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BE3FE0"/>
    <w:multiLevelType w:val="hybridMultilevel"/>
    <w:tmpl w:val="907C6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F53F6D"/>
    <w:multiLevelType w:val="hybridMultilevel"/>
    <w:tmpl w:val="DBBC4B6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8"/>
  </w:num>
  <w:num w:numId="2">
    <w:abstractNumId w:val="14"/>
  </w:num>
  <w:num w:numId="3">
    <w:abstractNumId w:val="0"/>
  </w:num>
  <w:num w:numId="4">
    <w:abstractNumId w:val="22"/>
  </w:num>
  <w:num w:numId="5">
    <w:abstractNumId w:val="21"/>
  </w:num>
  <w:num w:numId="6">
    <w:abstractNumId w:val="1"/>
  </w:num>
  <w:num w:numId="7">
    <w:abstractNumId w:val="12"/>
  </w:num>
  <w:num w:numId="8">
    <w:abstractNumId w:val="18"/>
  </w:num>
  <w:num w:numId="9">
    <w:abstractNumId w:val="6"/>
  </w:num>
  <w:num w:numId="10">
    <w:abstractNumId w:val="23"/>
  </w:num>
  <w:num w:numId="11">
    <w:abstractNumId w:val="2"/>
  </w:num>
  <w:num w:numId="12">
    <w:abstractNumId w:val="8"/>
  </w:num>
  <w:num w:numId="13">
    <w:abstractNumId w:val="7"/>
  </w:num>
  <w:num w:numId="14">
    <w:abstractNumId w:val="16"/>
  </w:num>
  <w:num w:numId="15">
    <w:abstractNumId w:val="25"/>
  </w:num>
  <w:num w:numId="16">
    <w:abstractNumId w:val="4"/>
  </w:num>
  <w:num w:numId="17">
    <w:abstractNumId w:val="19"/>
  </w:num>
  <w:num w:numId="18">
    <w:abstractNumId w:val="3"/>
  </w:num>
  <w:num w:numId="19">
    <w:abstractNumId w:val="10"/>
  </w:num>
  <w:num w:numId="20">
    <w:abstractNumId w:val="24"/>
  </w:num>
  <w:num w:numId="21">
    <w:abstractNumId w:val="9"/>
  </w:num>
  <w:num w:numId="22">
    <w:abstractNumId w:val="26"/>
  </w:num>
  <w:num w:numId="23">
    <w:abstractNumId w:val="11"/>
  </w:num>
  <w:num w:numId="24">
    <w:abstractNumId w:val="13"/>
  </w:num>
  <w:num w:numId="25">
    <w:abstractNumId w:val="20"/>
  </w:num>
  <w:num w:numId="26">
    <w:abstractNumId w:val="27"/>
  </w:num>
  <w:num w:numId="27">
    <w:abstractNumId w:val="17"/>
  </w:num>
  <w:num w:numId="28">
    <w:abstractNumId w:val="5"/>
  </w:num>
  <w:num w:numId="2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A4"/>
    <w:rsid w:val="00001329"/>
    <w:rsid w:val="00002CD3"/>
    <w:rsid w:val="00004F77"/>
    <w:rsid w:val="000063B9"/>
    <w:rsid w:val="000072AA"/>
    <w:rsid w:val="00013EFB"/>
    <w:rsid w:val="0001606C"/>
    <w:rsid w:val="00022A51"/>
    <w:rsid w:val="000234E5"/>
    <w:rsid w:val="00027086"/>
    <w:rsid w:val="000278AA"/>
    <w:rsid w:val="00030DD3"/>
    <w:rsid w:val="00034C92"/>
    <w:rsid w:val="0003516E"/>
    <w:rsid w:val="00043474"/>
    <w:rsid w:val="00043C6B"/>
    <w:rsid w:val="0004693A"/>
    <w:rsid w:val="00053AA3"/>
    <w:rsid w:val="00055A3D"/>
    <w:rsid w:val="00056B96"/>
    <w:rsid w:val="00063782"/>
    <w:rsid w:val="0007158E"/>
    <w:rsid w:val="0007250C"/>
    <w:rsid w:val="0007625B"/>
    <w:rsid w:val="000773F3"/>
    <w:rsid w:val="00077595"/>
    <w:rsid w:val="000853D9"/>
    <w:rsid w:val="0008584F"/>
    <w:rsid w:val="00090BBA"/>
    <w:rsid w:val="00093A24"/>
    <w:rsid w:val="0009529C"/>
    <w:rsid w:val="00097A70"/>
    <w:rsid w:val="000A0B86"/>
    <w:rsid w:val="000A1302"/>
    <w:rsid w:val="000A5AA5"/>
    <w:rsid w:val="000B2C99"/>
    <w:rsid w:val="000B63DE"/>
    <w:rsid w:val="000B6697"/>
    <w:rsid w:val="000D052C"/>
    <w:rsid w:val="000D2DF2"/>
    <w:rsid w:val="000E1B88"/>
    <w:rsid w:val="000E1DFE"/>
    <w:rsid w:val="000E3F4E"/>
    <w:rsid w:val="000E3F88"/>
    <w:rsid w:val="000E63F3"/>
    <w:rsid w:val="000E6832"/>
    <w:rsid w:val="000F5AFD"/>
    <w:rsid w:val="000F7EAB"/>
    <w:rsid w:val="00101A56"/>
    <w:rsid w:val="00102267"/>
    <w:rsid w:val="00102513"/>
    <w:rsid w:val="00103AB9"/>
    <w:rsid w:val="0010437A"/>
    <w:rsid w:val="001160EA"/>
    <w:rsid w:val="00121B6D"/>
    <w:rsid w:val="00126186"/>
    <w:rsid w:val="0012681D"/>
    <w:rsid w:val="00132C9F"/>
    <w:rsid w:val="00132F44"/>
    <w:rsid w:val="00133302"/>
    <w:rsid w:val="001348E1"/>
    <w:rsid w:val="001362F3"/>
    <w:rsid w:val="00137C6E"/>
    <w:rsid w:val="00141A59"/>
    <w:rsid w:val="001457CC"/>
    <w:rsid w:val="00153107"/>
    <w:rsid w:val="00163AEA"/>
    <w:rsid w:val="00171300"/>
    <w:rsid w:val="00171CF8"/>
    <w:rsid w:val="00173F1B"/>
    <w:rsid w:val="0017686B"/>
    <w:rsid w:val="00181784"/>
    <w:rsid w:val="0018208E"/>
    <w:rsid w:val="00183DF0"/>
    <w:rsid w:val="001917CC"/>
    <w:rsid w:val="001925A3"/>
    <w:rsid w:val="00193BBC"/>
    <w:rsid w:val="00195E0F"/>
    <w:rsid w:val="001A4CA9"/>
    <w:rsid w:val="001B14FD"/>
    <w:rsid w:val="001B3A5F"/>
    <w:rsid w:val="001B71EB"/>
    <w:rsid w:val="001C2471"/>
    <w:rsid w:val="001C2712"/>
    <w:rsid w:val="001D53C2"/>
    <w:rsid w:val="001D7ECC"/>
    <w:rsid w:val="001E0FC4"/>
    <w:rsid w:val="001E111C"/>
    <w:rsid w:val="001E4686"/>
    <w:rsid w:val="001F1874"/>
    <w:rsid w:val="001F26EB"/>
    <w:rsid w:val="00202DBD"/>
    <w:rsid w:val="00203A74"/>
    <w:rsid w:val="002049E8"/>
    <w:rsid w:val="00206FF6"/>
    <w:rsid w:val="002123AB"/>
    <w:rsid w:val="002150AA"/>
    <w:rsid w:val="00215989"/>
    <w:rsid w:val="00223A0F"/>
    <w:rsid w:val="00226754"/>
    <w:rsid w:val="0023149B"/>
    <w:rsid w:val="00237924"/>
    <w:rsid w:val="00240E6A"/>
    <w:rsid w:val="002425E3"/>
    <w:rsid w:val="00242CAF"/>
    <w:rsid w:val="00246035"/>
    <w:rsid w:val="0025000B"/>
    <w:rsid w:val="00251096"/>
    <w:rsid w:val="00252BA6"/>
    <w:rsid w:val="00261E31"/>
    <w:rsid w:val="00262458"/>
    <w:rsid w:val="00263739"/>
    <w:rsid w:val="0026627C"/>
    <w:rsid w:val="0026636C"/>
    <w:rsid w:val="002673FE"/>
    <w:rsid w:val="00270CA0"/>
    <w:rsid w:val="0027262E"/>
    <w:rsid w:val="0027294B"/>
    <w:rsid w:val="002845F8"/>
    <w:rsid w:val="00286E73"/>
    <w:rsid w:val="002A70A7"/>
    <w:rsid w:val="002A7775"/>
    <w:rsid w:val="002B014B"/>
    <w:rsid w:val="002B1A4C"/>
    <w:rsid w:val="002B359D"/>
    <w:rsid w:val="002B4E0D"/>
    <w:rsid w:val="002C25FF"/>
    <w:rsid w:val="002C2E4F"/>
    <w:rsid w:val="002C337A"/>
    <w:rsid w:val="002C7591"/>
    <w:rsid w:val="002D1039"/>
    <w:rsid w:val="002D280C"/>
    <w:rsid w:val="002E102C"/>
    <w:rsid w:val="002E2253"/>
    <w:rsid w:val="002E41B2"/>
    <w:rsid w:val="002E51BC"/>
    <w:rsid w:val="002F061C"/>
    <w:rsid w:val="002F213A"/>
    <w:rsid w:val="002F71C2"/>
    <w:rsid w:val="00305463"/>
    <w:rsid w:val="003149DE"/>
    <w:rsid w:val="00317064"/>
    <w:rsid w:val="00324E4C"/>
    <w:rsid w:val="00330A7E"/>
    <w:rsid w:val="00334D40"/>
    <w:rsid w:val="00346B6A"/>
    <w:rsid w:val="00353491"/>
    <w:rsid w:val="00356545"/>
    <w:rsid w:val="00360D93"/>
    <w:rsid w:val="003625A9"/>
    <w:rsid w:val="00362617"/>
    <w:rsid w:val="00363F35"/>
    <w:rsid w:val="003641D0"/>
    <w:rsid w:val="00364FF1"/>
    <w:rsid w:val="003764E5"/>
    <w:rsid w:val="0037790E"/>
    <w:rsid w:val="00387541"/>
    <w:rsid w:val="003906C7"/>
    <w:rsid w:val="00391E0B"/>
    <w:rsid w:val="00392DAE"/>
    <w:rsid w:val="0039536F"/>
    <w:rsid w:val="00396344"/>
    <w:rsid w:val="003A17FE"/>
    <w:rsid w:val="003B31F6"/>
    <w:rsid w:val="003B4529"/>
    <w:rsid w:val="003B7786"/>
    <w:rsid w:val="003C7113"/>
    <w:rsid w:val="003D5981"/>
    <w:rsid w:val="003E2E9E"/>
    <w:rsid w:val="003F2098"/>
    <w:rsid w:val="003F45CB"/>
    <w:rsid w:val="003F5416"/>
    <w:rsid w:val="00403729"/>
    <w:rsid w:val="004066EF"/>
    <w:rsid w:val="00407841"/>
    <w:rsid w:val="004117E5"/>
    <w:rsid w:val="00412AFD"/>
    <w:rsid w:val="0041778C"/>
    <w:rsid w:val="004210DF"/>
    <w:rsid w:val="0042764D"/>
    <w:rsid w:val="00432013"/>
    <w:rsid w:val="004320BB"/>
    <w:rsid w:val="004323E2"/>
    <w:rsid w:val="00434E86"/>
    <w:rsid w:val="004412C3"/>
    <w:rsid w:val="0044226F"/>
    <w:rsid w:val="00445222"/>
    <w:rsid w:val="004528BB"/>
    <w:rsid w:val="00453D15"/>
    <w:rsid w:val="004562C3"/>
    <w:rsid w:val="004628FA"/>
    <w:rsid w:val="00466060"/>
    <w:rsid w:val="00467314"/>
    <w:rsid w:val="00472450"/>
    <w:rsid w:val="00477EEA"/>
    <w:rsid w:val="00483A49"/>
    <w:rsid w:val="00484C8B"/>
    <w:rsid w:val="004864C6"/>
    <w:rsid w:val="00486520"/>
    <w:rsid w:val="00490A2A"/>
    <w:rsid w:val="0049108E"/>
    <w:rsid w:val="0049178A"/>
    <w:rsid w:val="00491797"/>
    <w:rsid w:val="00497E17"/>
    <w:rsid w:val="004A16E4"/>
    <w:rsid w:val="004A2086"/>
    <w:rsid w:val="004A3523"/>
    <w:rsid w:val="004A46FF"/>
    <w:rsid w:val="004A5CA3"/>
    <w:rsid w:val="004B1A61"/>
    <w:rsid w:val="004B504D"/>
    <w:rsid w:val="004C33BC"/>
    <w:rsid w:val="004C3E54"/>
    <w:rsid w:val="004D18E2"/>
    <w:rsid w:val="004D1CC7"/>
    <w:rsid w:val="004D2891"/>
    <w:rsid w:val="004D7E25"/>
    <w:rsid w:val="004E02B6"/>
    <w:rsid w:val="004E099C"/>
    <w:rsid w:val="004E0F83"/>
    <w:rsid w:val="004E295A"/>
    <w:rsid w:val="004E6957"/>
    <w:rsid w:val="004E7FFB"/>
    <w:rsid w:val="004F377F"/>
    <w:rsid w:val="004F4BDC"/>
    <w:rsid w:val="005040E5"/>
    <w:rsid w:val="00505FD1"/>
    <w:rsid w:val="00512093"/>
    <w:rsid w:val="00512A29"/>
    <w:rsid w:val="00512A8B"/>
    <w:rsid w:val="005210AA"/>
    <w:rsid w:val="00522E30"/>
    <w:rsid w:val="00526BBE"/>
    <w:rsid w:val="00531C9F"/>
    <w:rsid w:val="00533006"/>
    <w:rsid w:val="00534010"/>
    <w:rsid w:val="00535846"/>
    <w:rsid w:val="005360ED"/>
    <w:rsid w:val="00540887"/>
    <w:rsid w:val="0055037B"/>
    <w:rsid w:val="00552248"/>
    <w:rsid w:val="00555582"/>
    <w:rsid w:val="005603C5"/>
    <w:rsid w:val="0056124E"/>
    <w:rsid w:val="00561DC6"/>
    <w:rsid w:val="00561F0C"/>
    <w:rsid w:val="00561F32"/>
    <w:rsid w:val="005632C2"/>
    <w:rsid w:val="00564569"/>
    <w:rsid w:val="005714F8"/>
    <w:rsid w:val="0058020F"/>
    <w:rsid w:val="00581828"/>
    <w:rsid w:val="005849A5"/>
    <w:rsid w:val="00585697"/>
    <w:rsid w:val="00594483"/>
    <w:rsid w:val="005A2808"/>
    <w:rsid w:val="005A2BFD"/>
    <w:rsid w:val="005A42B8"/>
    <w:rsid w:val="005A539E"/>
    <w:rsid w:val="005A56AA"/>
    <w:rsid w:val="005B1E54"/>
    <w:rsid w:val="005B269E"/>
    <w:rsid w:val="005B5262"/>
    <w:rsid w:val="005B5614"/>
    <w:rsid w:val="005B6279"/>
    <w:rsid w:val="005B6D5E"/>
    <w:rsid w:val="005B7436"/>
    <w:rsid w:val="005C3BB0"/>
    <w:rsid w:val="005C42DA"/>
    <w:rsid w:val="005C53BE"/>
    <w:rsid w:val="005C568E"/>
    <w:rsid w:val="005E0C15"/>
    <w:rsid w:val="005E2191"/>
    <w:rsid w:val="005E4844"/>
    <w:rsid w:val="005E5D8E"/>
    <w:rsid w:val="005F1874"/>
    <w:rsid w:val="005F2142"/>
    <w:rsid w:val="005F5D54"/>
    <w:rsid w:val="005F7D52"/>
    <w:rsid w:val="00613BF0"/>
    <w:rsid w:val="00621726"/>
    <w:rsid w:val="00624F34"/>
    <w:rsid w:val="006345E9"/>
    <w:rsid w:val="0063563D"/>
    <w:rsid w:val="00636AC7"/>
    <w:rsid w:val="00640849"/>
    <w:rsid w:val="00640CC1"/>
    <w:rsid w:val="00641AB3"/>
    <w:rsid w:val="00641DFD"/>
    <w:rsid w:val="00655C7E"/>
    <w:rsid w:val="0065721A"/>
    <w:rsid w:val="006623A7"/>
    <w:rsid w:val="0066491A"/>
    <w:rsid w:val="0066511D"/>
    <w:rsid w:val="00666BEC"/>
    <w:rsid w:val="00670D0B"/>
    <w:rsid w:val="006720A2"/>
    <w:rsid w:val="00674B50"/>
    <w:rsid w:val="00676217"/>
    <w:rsid w:val="00676769"/>
    <w:rsid w:val="00683D6D"/>
    <w:rsid w:val="00685AD0"/>
    <w:rsid w:val="00690654"/>
    <w:rsid w:val="00692A67"/>
    <w:rsid w:val="00693BC1"/>
    <w:rsid w:val="0069716C"/>
    <w:rsid w:val="006A3BCD"/>
    <w:rsid w:val="006A52F9"/>
    <w:rsid w:val="006A5B5A"/>
    <w:rsid w:val="006B5983"/>
    <w:rsid w:val="006B5DD1"/>
    <w:rsid w:val="006B75F3"/>
    <w:rsid w:val="006C20CB"/>
    <w:rsid w:val="006C60B0"/>
    <w:rsid w:val="006D46B9"/>
    <w:rsid w:val="006D49F4"/>
    <w:rsid w:val="006D4CBC"/>
    <w:rsid w:val="006E12A8"/>
    <w:rsid w:val="006E620A"/>
    <w:rsid w:val="006F4814"/>
    <w:rsid w:val="00702DC6"/>
    <w:rsid w:val="0070326F"/>
    <w:rsid w:val="0070520D"/>
    <w:rsid w:val="00705EED"/>
    <w:rsid w:val="0070733C"/>
    <w:rsid w:val="00707393"/>
    <w:rsid w:val="00717A96"/>
    <w:rsid w:val="0072082D"/>
    <w:rsid w:val="00723057"/>
    <w:rsid w:val="00723D53"/>
    <w:rsid w:val="0072430F"/>
    <w:rsid w:val="00730853"/>
    <w:rsid w:val="00731AF4"/>
    <w:rsid w:val="007350BD"/>
    <w:rsid w:val="007358F4"/>
    <w:rsid w:val="00735907"/>
    <w:rsid w:val="00735D52"/>
    <w:rsid w:val="007378AA"/>
    <w:rsid w:val="00737900"/>
    <w:rsid w:val="007379AC"/>
    <w:rsid w:val="0074184A"/>
    <w:rsid w:val="00743AB6"/>
    <w:rsid w:val="00753271"/>
    <w:rsid w:val="00761D75"/>
    <w:rsid w:val="00766272"/>
    <w:rsid w:val="00766C35"/>
    <w:rsid w:val="007709BB"/>
    <w:rsid w:val="00770F7B"/>
    <w:rsid w:val="007718AD"/>
    <w:rsid w:val="00773FBB"/>
    <w:rsid w:val="0078028D"/>
    <w:rsid w:val="0078359B"/>
    <w:rsid w:val="00785E3D"/>
    <w:rsid w:val="007965D9"/>
    <w:rsid w:val="007966DA"/>
    <w:rsid w:val="007972F7"/>
    <w:rsid w:val="007A22FF"/>
    <w:rsid w:val="007B5B50"/>
    <w:rsid w:val="007B65CB"/>
    <w:rsid w:val="007B7FC8"/>
    <w:rsid w:val="007C5222"/>
    <w:rsid w:val="007C71E4"/>
    <w:rsid w:val="007D0007"/>
    <w:rsid w:val="007D6BF1"/>
    <w:rsid w:val="007E091B"/>
    <w:rsid w:val="007E19B0"/>
    <w:rsid w:val="007E5344"/>
    <w:rsid w:val="007F38DA"/>
    <w:rsid w:val="007F3DA2"/>
    <w:rsid w:val="007F6D30"/>
    <w:rsid w:val="008011DD"/>
    <w:rsid w:val="00802B12"/>
    <w:rsid w:val="008045E6"/>
    <w:rsid w:val="00806779"/>
    <w:rsid w:val="00807214"/>
    <w:rsid w:val="00814B5D"/>
    <w:rsid w:val="00814D48"/>
    <w:rsid w:val="00820F63"/>
    <w:rsid w:val="00821C27"/>
    <w:rsid w:val="008341A4"/>
    <w:rsid w:val="008357A4"/>
    <w:rsid w:val="008417DF"/>
    <w:rsid w:val="00843516"/>
    <w:rsid w:val="0084404F"/>
    <w:rsid w:val="008453A9"/>
    <w:rsid w:val="0084570A"/>
    <w:rsid w:val="00846216"/>
    <w:rsid w:val="0085432C"/>
    <w:rsid w:val="00856A08"/>
    <w:rsid w:val="00861085"/>
    <w:rsid w:val="008640F2"/>
    <w:rsid w:val="008665AC"/>
    <w:rsid w:val="00871C6C"/>
    <w:rsid w:val="00872F38"/>
    <w:rsid w:val="00873E2A"/>
    <w:rsid w:val="0088140A"/>
    <w:rsid w:val="00881B8C"/>
    <w:rsid w:val="00881D9A"/>
    <w:rsid w:val="0088225A"/>
    <w:rsid w:val="00884064"/>
    <w:rsid w:val="00886A99"/>
    <w:rsid w:val="00886E4B"/>
    <w:rsid w:val="008906CF"/>
    <w:rsid w:val="00895CB2"/>
    <w:rsid w:val="008A1373"/>
    <w:rsid w:val="008A2E0F"/>
    <w:rsid w:val="008A3AC4"/>
    <w:rsid w:val="008A6332"/>
    <w:rsid w:val="008B11FB"/>
    <w:rsid w:val="008B4475"/>
    <w:rsid w:val="008B6DCA"/>
    <w:rsid w:val="008B73D8"/>
    <w:rsid w:val="008C1B6E"/>
    <w:rsid w:val="008C1C16"/>
    <w:rsid w:val="008C2572"/>
    <w:rsid w:val="008C2BE1"/>
    <w:rsid w:val="008C327E"/>
    <w:rsid w:val="008C551B"/>
    <w:rsid w:val="008C7DAC"/>
    <w:rsid w:val="008D08BB"/>
    <w:rsid w:val="008D597C"/>
    <w:rsid w:val="008E1431"/>
    <w:rsid w:val="008F2EC4"/>
    <w:rsid w:val="008F7DF3"/>
    <w:rsid w:val="0090311F"/>
    <w:rsid w:val="0090409E"/>
    <w:rsid w:val="009073FC"/>
    <w:rsid w:val="00911054"/>
    <w:rsid w:val="0091782C"/>
    <w:rsid w:val="00920E7C"/>
    <w:rsid w:val="00921189"/>
    <w:rsid w:val="0092272F"/>
    <w:rsid w:val="00927714"/>
    <w:rsid w:val="00930EB6"/>
    <w:rsid w:val="00936FC7"/>
    <w:rsid w:val="00937A15"/>
    <w:rsid w:val="00942697"/>
    <w:rsid w:val="00943163"/>
    <w:rsid w:val="00946642"/>
    <w:rsid w:val="009475FC"/>
    <w:rsid w:val="0095696F"/>
    <w:rsid w:val="00957155"/>
    <w:rsid w:val="00963B70"/>
    <w:rsid w:val="0096558A"/>
    <w:rsid w:val="0096763B"/>
    <w:rsid w:val="00970D92"/>
    <w:rsid w:val="0097243C"/>
    <w:rsid w:val="00973687"/>
    <w:rsid w:val="00980B43"/>
    <w:rsid w:val="00985793"/>
    <w:rsid w:val="00991317"/>
    <w:rsid w:val="00991B9B"/>
    <w:rsid w:val="009A2629"/>
    <w:rsid w:val="009A3651"/>
    <w:rsid w:val="009B4670"/>
    <w:rsid w:val="009B4876"/>
    <w:rsid w:val="009D0E22"/>
    <w:rsid w:val="009D25AD"/>
    <w:rsid w:val="009D2A7A"/>
    <w:rsid w:val="009D4582"/>
    <w:rsid w:val="009D559B"/>
    <w:rsid w:val="009D5A72"/>
    <w:rsid w:val="009D6479"/>
    <w:rsid w:val="009D6BF9"/>
    <w:rsid w:val="009D73AA"/>
    <w:rsid w:val="009E1776"/>
    <w:rsid w:val="009E3257"/>
    <w:rsid w:val="009E74CB"/>
    <w:rsid w:val="009F0450"/>
    <w:rsid w:val="009F1E11"/>
    <w:rsid w:val="009F3C73"/>
    <w:rsid w:val="009F4DA3"/>
    <w:rsid w:val="009F64AE"/>
    <w:rsid w:val="00A00281"/>
    <w:rsid w:val="00A0258F"/>
    <w:rsid w:val="00A15085"/>
    <w:rsid w:val="00A150AB"/>
    <w:rsid w:val="00A17216"/>
    <w:rsid w:val="00A20567"/>
    <w:rsid w:val="00A22C3D"/>
    <w:rsid w:val="00A24C8B"/>
    <w:rsid w:val="00A30C5B"/>
    <w:rsid w:val="00A30EE0"/>
    <w:rsid w:val="00A31947"/>
    <w:rsid w:val="00A36AED"/>
    <w:rsid w:val="00A36B05"/>
    <w:rsid w:val="00A375F5"/>
    <w:rsid w:val="00A40123"/>
    <w:rsid w:val="00A4026B"/>
    <w:rsid w:val="00A40E19"/>
    <w:rsid w:val="00A42F3D"/>
    <w:rsid w:val="00A443D7"/>
    <w:rsid w:val="00A46795"/>
    <w:rsid w:val="00A477B0"/>
    <w:rsid w:val="00A50E81"/>
    <w:rsid w:val="00A54864"/>
    <w:rsid w:val="00A57ACB"/>
    <w:rsid w:val="00A645C5"/>
    <w:rsid w:val="00A65A44"/>
    <w:rsid w:val="00A70BFE"/>
    <w:rsid w:val="00A72D38"/>
    <w:rsid w:val="00A74663"/>
    <w:rsid w:val="00A75214"/>
    <w:rsid w:val="00A76029"/>
    <w:rsid w:val="00A83364"/>
    <w:rsid w:val="00A925E5"/>
    <w:rsid w:val="00A964AC"/>
    <w:rsid w:val="00A96F8B"/>
    <w:rsid w:val="00AA0CC4"/>
    <w:rsid w:val="00AA1067"/>
    <w:rsid w:val="00AA2373"/>
    <w:rsid w:val="00AB0230"/>
    <w:rsid w:val="00AB0F8C"/>
    <w:rsid w:val="00AB5465"/>
    <w:rsid w:val="00AB5DBE"/>
    <w:rsid w:val="00AB61FC"/>
    <w:rsid w:val="00AB70CD"/>
    <w:rsid w:val="00AC07B4"/>
    <w:rsid w:val="00AC1060"/>
    <w:rsid w:val="00AC2B41"/>
    <w:rsid w:val="00AC48C5"/>
    <w:rsid w:val="00AD11C2"/>
    <w:rsid w:val="00AD7FFB"/>
    <w:rsid w:val="00AE1D7A"/>
    <w:rsid w:val="00AE708E"/>
    <w:rsid w:val="00AF12FD"/>
    <w:rsid w:val="00AF241C"/>
    <w:rsid w:val="00AF411A"/>
    <w:rsid w:val="00AF5947"/>
    <w:rsid w:val="00AF6007"/>
    <w:rsid w:val="00B016B5"/>
    <w:rsid w:val="00B01E64"/>
    <w:rsid w:val="00B03517"/>
    <w:rsid w:val="00B04CB4"/>
    <w:rsid w:val="00B10CD1"/>
    <w:rsid w:val="00B12122"/>
    <w:rsid w:val="00B14926"/>
    <w:rsid w:val="00B23F85"/>
    <w:rsid w:val="00B31568"/>
    <w:rsid w:val="00B34436"/>
    <w:rsid w:val="00B346EC"/>
    <w:rsid w:val="00B36CC5"/>
    <w:rsid w:val="00B40683"/>
    <w:rsid w:val="00B406B7"/>
    <w:rsid w:val="00B44875"/>
    <w:rsid w:val="00B4785F"/>
    <w:rsid w:val="00B56AA8"/>
    <w:rsid w:val="00B6078C"/>
    <w:rsid w:val="00B62138"/>
    <w:rsid w:val="00B64E34"/>
    <w:rsid w:val="00B67561"/>
    <w:rsid w:val="00B678F6"/>
    <w:rsid w:val="00B70C76"/>
    <w:rsid w:val="00B714CF"/>
    <w:rsid w:val="00B71DC2"/>
    <w:rsid w:val="00B720CE"/>
    <w:rsid w:val="00B76A63"/>
    <w:rsid w:val="00B82F0A"/>
    <w:rsid w:val="00B86506"/>
    <w:rsid w:val="00B8722C"/>
    <w:rsid w:val="00B87612"/>
    <w:rsid w:val="00B92842"/>
    <w:rsid w:val="00BA3BBC"/>
    <w:rsid w:val="00BA3DED"/>
    <w:rsid w:val="00BA4316"/>
    <w:rsid w:val="00BA5387"/>
    <w:rsid w:val="00BA766E"/>
    <w:rsid w:val="00BB0169"/>
    <w:rsid w:val="00BB0A92"/>
    <w:rsid w:val="00BB5EA5"/>
    <w:rsid w:val="00BB6AB5"/>
    <w:rsid w:val="00BB6D04"/>
    <w:rsid w:val="00BC47EE"/>
    <w:rsid w:val="00BC7C35"/>
    <w:rsid w:val="00BD1FC6"/>
    <w:rsid w:val="00BD412A"/>
    <w:rsid w:val="00BD52B8"/>
    <w:rsid w:val="00BE2AD9"/>
    <w:rsid w:val="00BE6925"/>
    <w:rsid w:val="00BE6A12"/>
    <w:rsid w:val="00BE6F89"/>
    <w:rsid w:val="00BF06B2"/>
    <w:rsid w:val="00BF2171"/>
    <w:rsid w:val="00C02C99"/>
    <w:rsid w:val="00C02E92"/>
    <w:rsid w:val="00C058AD"/>
    <w:rsid w:val="00C0735A"/>
    <w:rsid w:val="00C12281"/>
    <w:rsid w:val="00C12A11"/>
    <w:rsid w:val="00C17ED8"/>
    <w:rsid w:val="00C414E3"/>
    <w:rsid w:val="00C43DA7"/>
    <w:rsid w:val="00C44992"/>
    <w:rsid w:val="00C46D42"/>
    <w:rsid w:val="00C47C96"/>
    <w:rsid w:val="00C521C8"/>
    <w:rsid w:val="00C528BD"/>
    <w:rsid w:val="00C53F64"/>
    <w:rsid w:val="00C566D5"/>
    <w:rsid w:val="00C57231"/>
    <w:rsid w:val="00C62443"/>
    <w:rsid w:val="00C62DE5"/>
    <w:rsid w:val="00C637A2"/>
    <w:rsid w:val="00C63E93"/>
    <w:rsid w:val="00C74B50"/>
    <w:rsid w:val="00C76ED7"/>
    <w:rsid w:val="00C815F6"/>
    <w:rsid w:val="00C827A2"/>
    <w:rsid w:val="00C82914"/>
    <w:rsid w:val="00C876DD"/>
    <w:rsid w:val="00C91411"/>
    <w:rsid w:val="00C9397B"/>
    <w:rsid w:val="00C93B81"/>
    <w:rsid w:val="00CA2D7A"/>
    <w:rsid w:val="00CA3D93"/>
    <w:rsid w:val="00CA46AA"/>
    <w:rsid w:val="00CA57EB"/>
    <w:rsid w:val="00CA7396"/>
    <w:rsid w:val="00CB5098"/>
    <w:rsid w:val="00CB639B"/>
    <w:rsid w:val="00CB6E14"/>
    <w:rsid w:val="00CB7517"/>
    <w:rsid w:val="00CC0C48"/>
    <w:rsid w:val="00CC0E1C"/>
    <w:rsid w:val="00CC4378"/>
    <w:rsid w:val="00CD2E04"/>
    <w:rsid w:val="00CD46A0"/>
    <w:rsid w:val="00CD546F"/>
    <w:rsid w:val="00CE0A55"/>
    <w:rsid w:val="00CE0C2E"/>
    <w:rsid w:val="00CE6879"/>
    <w:rsid w:val="00CE739F"/>
    <w:rsid w:val="00CE7418"/>
    <w:rsid w:val="00CE76B7"/>
    <w:rsid w:val="00CF4B25"/>
    <w:rsid w:val="00CF4F03"/>
    <w:rsid w:val="00D07B9A"/>
    <w:rsid w:val="00D1154F"/>
    <w:rsid w:val="00D1166C"/>
    <w:rsid w:val="00D15B90"/>
    <w:rsid w:val="00D2025C"/>
    <w:rsid w:val="00D20314"/>
    <w:rsid w:val="00D229F5"/>
    <w:rsid w:val="00D22BBA"/>
    <w:rsid w:val="00D2338F"/>
    <w:rsid w:val="00D30764"/>
    <w:rsid w:val="00D32426"/>
    <w:rsid w:val="00D34B7E"/>
    <w:rsid w:val="00D372F5"/>
    <w:rsid w:val="00D40BD2"/>
    <w:rsid w:val="00D5037F"/>
    <w:rsid w:val="00D50B53"/>
    <w:rsid w:val="00D5524E"/>
    <w:rsid w:val="00D652C9"/>
    <w:rsid w:val="00D71AFA"/>
    <w:rsid w:val="00D75475"/>
    <w:rsid w:val="00D8267B"/>
    <w:rsid w:val="00D84D0A"/>
    <w:rsid w:val="00D9231C"/>
    <w:rsid w:val="00DA0850"/>
    <w:rsid w:val="00DA0FF8"/>
    <w:rsid w:val="00DA22C9"/>
    <w:rsid w:val="00DA2496"/>
    <w:rsid w:val="00DA2DDC"/>
    <w:rsid w:val="00DA3D5E"/>
    <w:rsid w:val="00DA738C"/>
    <w:rsid w:val="00DB58F8"/>
    <w:rsid w:val="00DB7F7C"/>
    <w:rsid w:val="00DC110A"/>
    <w:rsid w:val="00DC5246"/>
    <w:rsid w:val="00DC7D75"/>
    <w:rsid w:val="00DD1E8C"/>
    <w:rsid w:val="00DD5420"/>
    <w:rsid w:val="00DD5D41"/>
    <w:rsid w:val="00DE18A3"/>
    <w:rsid w:val="00DF1633"/>
    <w:rsid w:val="00DF74F9"/>
    <w:rsid w:val="00E01EFC"/>
    <w:rsid w:val="00E048A4"/>
    <w:rsid w:val="00E12DF4"/>
    <w:rsid w:val="00E44774"/>
    <w:rsid w:val="00E4543B"/>
    <w:rsid w:val="00E45E92"/>
    <w:rsid w:val="00E45FAB"/>
    <w:rsid w:val="00E4747F"/>
    <w:rsid w:val="00E509C5"/>
    <w:rsid w:val="00E5661A"/>
    <w:rsid w:val="00E56A27"/>
    <w:rsid w:val="00E57A43"/>
    <w:rsid w:val="00E57C07"/>
    <w:rsid w:val="00E641C7"/>
    <w:rsid w:val="00E64372"/>
    <w:rsid w:val="00E6486D"/>
    <w:rsid w:val="00E64EE4"/>
    <w:rsid w:val="00E708B6"/>
    <w:rsid w:val="00E71A11"/>
    <w:rsid w:val="00E72A50"/>
    <w:rsid w:val="00E73428"/>
    <w:rsid w:val="00E8146C"/>
    <w:rsid w:val="00E81529"/>
    <w:rsid w:val="00E82A03"/>
    <w:rsid w:val="00E83D5B"/>
    <w:rsid w:val="00E86C19"/>
    <w:rsid w:val="00E86F08"/>
    <w:rsid w:val="00E90AB5"/>
    <w:rsid w:val="00E90B3D"/>
    <w:rsid w:val="00EA654A"/>
    <w:rsid w:val="00EA761C"/>
    <w:rsid w:val="00EB2107"/>
    <w:rsid w:val="00EB28BB"/>
    <w:rsid w:val="00EB65E2"/>
    <w:rsid w:val="00EC6614"/>
    <w:rsid w:val="00EC6B6F"/>
    <w:rsid w:val="00ED1D14"/>
    <w:rsid w:val="00ED7C97"/>
    <w:rsid w:val="00EE11C8"/>
    <w:rsid w:val="00EE1AA3"/>
    <w:rsid w:val="00EE3A31"/>
    <w:rsid w:val="00EE4119"/>
    <w:rsid w:val="00EE5C4E"/>
    <w:rsid w:val="00EE64FC"/>
    <w:rsid w:val="00EE6A34"/>
    <w:rsid w:val="00EF2EE2"/>
    <w:rsid w:val="00EF2F5D"/>
    <w:rsid w:val="00EF3095"/>
    <w:rsid w:val="00EF3768"/>
    <w:rsid w:val="00EF5DB0"/>
    <w:rsid w:val="00EF7985"/>
    <w:rsid w:val="00EF7A30"/>
    <w:rsid w:val="00F00DD7"/>
    <w:rsid w:val="00F1120A"/>
    <w:rsid w:val="00F11BC7"/>
    <w:rsid w:val="00F1429A"/>
    <w:rsid w:val="00F213FD"/>
    <w:rsid w:val="00F33734"/>
    <w:rsid w:val="00F34EE5"/>
    <w:rsid w:val="00F35281"/>
    <w:rsid w:val="00F35503"/>
    <w:rsid w:val="00F4186B"/>
    <w:rsid w:val="00F47F6A"/>
    <w:rsid w:val="00F502A4"/>
    <w:rsid w:val="00F50673"/>
    <w:rsid w:val="00F52033"/>
    <w:rsid w:val="00F53500"/>
    <w:rsid w:val="00F56E73"/>
    <w:rsid w:val="00F60C57"/>
    <w:rsid w:val="00F61C39"/>
    <w:rsid w:val="00F64B7C"/>
    <w:rsid w:val="00F64DB1"/>
    <w:rsid w:val="00F67BC4"/>
    <w:rsid w:val="00F732A9"/>
    <w:rsid w:val="00F75C76"/>
    <w:rsid w:val="00F8291F"/>
    <w:rsid w:val="00F86C6A"/>
    <w:rsid w:val="00F871B5"/>
    <w:rsid w:val="00F95F6E"/>
    <w:rsid w:val="00F9630B"/>
    <w:rsid w:val="00F96CAB"/>
    <w:rsid w:val="00F97DEE"/>
    <w:rsid w:val="00FA7E0D"/>
    <w:rsid w:val="00FB2801"/>
    <w:rsid w:val="00FB577A"/>
    <w:rsid w:val="00FB6961"/>
    <w:rsid w:val="00FC100E"/>
    <w:rsid w:val="00FC1EF6"/>
    <w:rsid w:val="00FC2278"/>
    <w:rsid w:val="00FC4F84"/>
    <w:rsid w:val="00FD23FE"/>
    <w:rsid w:val="00FD420A"/>
    <w:rsid w:val="00FD6699"/>
    <w:rsid w:val="00FE1348"/>
    <w:rsid w:val="00FE2208"/>
    <w:rsid w:val="00FE323D"/>
    <w:rsid w:val="00FE33D3"/>
    <w:rsid w:val="00FF0784"/>
    <w:rsid w:val="00FF1D4C"/>
    <w:rsid w:val="00FF200D"/>
    <w:rsid w:val="00FF4137"/>
    <w:rsid w:val="00FF4791"/>
    <w:rsid w:val="03BBEA66"/>
    <w:rsid w:val="08C82086"/>
    <w:rsid w:val="09599539"/>
    <w:rsid w:val="0FFEC957"/>
    <w:rsid w:val="1454489B"/>
    <w:rsid w:val="18BC32A7"/>
    <w:rsid w:val="19C4FED9"/>
    <w:rsid w:val="1DA08500"/>
    <w:rsid w:val="1E09652C"/>
    <w:rsid w:val="1E31FAC2"/>
    <w:rsid w:val="1EC1B9CC"/>
    <w:rsid w:val="2835B8A7"/>
    <w:rsid w:val="2C2BBDED"/>
    <w:rsid w:val="2E181CE9"/>
    <w:rsid w:val="2F22BC62"/>
    <w:rsid w:val="30F63712"/>
    <w:rsid w:val="37ABDF9F"/>
    <w:rsid w:val="3AE549B1"/>
    <w:rsid w:val="3FE2E393"/>
    <w:rsid w:val="416310C7"/>
    <w:rsid w:val="41A7B438"/>
    <w:rsid w:val="436CB5EF"/>
    <w:rsid w:val="4779D5F8"/>
    <w:rsid w:val="4CEFB0AD"/>
    <w:rsid w:val="4D7E9180"/>
    <w:rsid w:val="5351D74F"/>
    <w:rsid w:val="560925DA"/>
    <w:rsid w:val="5BE6E381"/>
    <w:rsid w:val="5D974D16"/>
    <w:rsid w:val="5E6998B0"/>
    <w:rsid w:val="63B40595"/>
    <w:rsid w:val="63CBFF02"/>
    <w:rsid w:val="73995914"/>
    <w:rsid w:val="73CB584F"/>
    <w:rsid w:val="764389AE"/>
    <w:rsid w:val="780E21BA"/>
    <w:rsid w:val="79DD76A6"/>
    <w:rsid w:val="79F26BB2"/>
    <w:rsid w:val="7AF713DE"/>
    <w:rsid w:val="7F1D65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AE056"/>
  <w15:docId w15:val="{B011C6EB-52C4-46AE-9E28-54CDA4EC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F3D"/>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Footer">
    <w:name w:val="footer"/>
    <w:basedOn w:val="Normal"/>
    <w:link w:val="FooterChar"/>
    <w:uiPriority w:val="99"/>
    <w:pPr>
      <w:widowControl/>
      <w:tabs>
        <w:tab w:val="center" w:pos="4320"/>
        <w:tab w:val="right" w:pos="8640"/>
      </w:tabs>
    </w:pPr>
    <w:rPr>
      <w:snapToGrid/>
      <w:szCs w:val="24"/>
    </w:rPr>
  </w:style>
  <w:style w:type="paragraph" w:styleId="BodyText">
    <w:name w:val="Body Text"/>
    <w:basedOn w:val="Normal"/>
    <w:pPr>
      <w:widowControl/>
    </w:pPr>
    <w:rPr>
      <w:rFonts w:ascii="Times" w:hAnsi="Times"/>
      <w:color w:val="000000"/>
    </w:rPr>
  </w:style>
  <w:style w:type="character" w:styleId="Hyperlink">
    <w:name w:val="Hyperlink"/>
    <w:uiPriority w:val="99"/>
    <w:rPr>
      <w:color w:val="0000FF"/>
      <w:u w:val="single"/>
    </w:rPr>
  </w:style>
  <w:style w:type="paragraph" w:styleId="BodyText2">
    <w:name w:val="Body Text 2"/>
    <w:basedOn w:val="Normal"/>
    <w:rPr>
      <w:i/>
      <w:iCs/>
    </w:rPr>
  </w:style>
  <w:style w:type="paragraph" w:styleId="BodyTextIndent">
    <w:name w:val="Body Text Indent"/>
    <w:basedOn w:val="Normal"/>
    <w:pPr>
      <w:autoSpaceDE w:val="0"/>
      <w:autoSpaceDN w:val="0"/>
      <w:adjustRightInd w:val="0"/>
      <w:ind w:left="-360"/>
    </w:pPr>
    <w:rPr>
      <w:snapToGrid/>
      <w:szCs w:val="24"/>
    </w:rPr>
  </w:style>
  <w:style w:type="character" w:styleId="PageNumber">
    <w:name w:val="page number"/>
    <w:basedOn w:val="DefaultParagraphFont"/>
  </w:style>
  <w:style w:type="paragraph" w:styleId="BodyTextIndent3">
    <w:name w:val="Body Text Indent 3"/>
    <w:basedOn w:val="Normal"/>
    <w:pPr>
      <w:widowControl/>
      <w:ind w:left="360" w:hanging="360"/>
    </w:pPr>
    <w:rPr>
      <w:szCs w:val="24"/>
    </w:rPr>
  </w:style>
  <w:style w:type="paragraph" w:styleId="BodyText3">
    <w:name w:val="Body Text 3"/>
    <w:basedOn w:val="Normal"/>
    <w:pPr>
      <w:autoSpaceDE w:val="0"/>
      <w:autoSpaceDN w:val="0"/>
      <w:adjustRightInd w:val="0"/>
    </w:pPr>
    <w:rPr>
      <w:b/>
      <w:bCs/>
    </w:rPr>
  </w:style>
  <w:style w:type="character" w:styleId="FollowedHyperlink">
    <w:name w:val="FollowedHyperlink"/>
    <w:rPr>
      <w:color w:val="800080"/>
      <w:u w:val="single"/>
    </w:rPr>
  </w:style>
  <w:style w:type="character" w:styleId="Strong">
    <w:name w:val="Strong"/>
    <w:qFormat/>
    <w:rPr>
      <w:b/>
      <w:bCs/>
    </w:rPr>
  </w:style>
  <w:style w:type="paragraph" w:styleId="NormalWeb">
    <w:name w:val="Normal (Web)"/>
    <w:basedOn w:val="Normal"/>
    <w:rsid w:val="00305463"/>
    <w:pPr>
      <w:widowControl/>
      <w:spacing w:before="100" w:beforeAutospacing="1" w:after="100" w:afterAutospacing="1"/>
    </w:pPr>
    <w:rPr>
      <w:snapToGrid/>
      <w:szCs w:val="24"/>
    </w:rPr>
  </w:style>
  <w:style w:type="character" w:styleId="Emphasis">
    <w:name w:val="Emphasis"/>
    <w:qFormat/>
    <w:rsid w:val="009D6479"/>
    <w:rPr>
      <w:i/>
      <w:iCs/>
    </w:rPr>
  </w:style>
  <w:style w:type="paragraph" w:customStyle="1" w:styleId="WPDefaults">
    <w:name w:val="WP Defaults"/>
    <w:rsid w:val="00AD7F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sz w:val="24"/>
    </w:rPr>
  </w:style>
  <w:style w:type="paragraph" w:styleId="PlainText">
    <w:name w:val="Plain Text"/>
    <w:basedOn w:val="Normal"/>
    <w:rsid w:val="006B5DD1"/>
    <w:pPr>
      <w:widowControl/>
    </w:pPr>
    <w:rPr>
      <w:rFonts w:ascii="Courier New" w:hAnsi="Courier New" w:cs="Courier New"/>
      <w:snapToGrid/>
      <w:sz w:val="20"/>
    </w:rPr>
  </w:style>
  <w:style w:type="paragraph" w:styleId="BalloonText">
    <w:name w:val="Balloon Text"/>
    <w:basedOn w:val="Normal"/>
    <w:semiHidden/>
    <w:rsid w:val="00B70C76"/>
    <w:rPr>
      <w:rFonts w:ascii="Tahoma" w:hAnsi="Tahoma" w:cs="Tahoma"/>
      <w:sz w:val="16"/>
      <w:szCs w:val="16"/>
    </w:rPr>
  </w:style>
  <w:style w:type="character" w:customStyle="1" w:styleId="bold1">
    <w:name w:val="bold1"/>
    <w:rsid w:val="00D07B9A"/>
    <w:rPr>
      <w:b/>
      <w:bCs/>
    </w:rPr>
  </w:style>
  <w:style w:type="paragraph" w:customStyle="1" w:styleId="nav">
    <w:name w:val="nav"/>
    <w:basedOn w:val="Normal"/>
    <w:rsid w:val="00F61C39"/>
    <w:pPr>
      <w:widowControl/>
      <w:spacing w:before="100" w:beforeAutospacing="1" w:after="100" w:afterAutospacing="1"/>
    </w:pPr>
    <w:rPr>
      <w:rFonts w:ascii="Verdana" w:hAnsi="Verdana"/>
      <w:snapToGrid/>
      <w:sz w:val="13"/>
      <w:szCs w:val="13"/>
    </w:rPr>
  </w:style>
  <w:style w:type="character" w:customStyle="1" w:styleId="em1">
    <w:name w:val="em1"/>
    <w:rsid w:val="007F38DA"/>
    <w:rPr>
      <w:i/>
      <w:iCs/>
    </w:rPr>
  </w:style>
  <w:style w:type="paragraph" w:customStyle="1" w:styleId="default">
    <w:name w:val="default"/>
    <w:basedOn w:val="Normal"/>
    <w:rsid w:val="000E6832"/>
    <w:pPr>
      <w:widowControl/>
      <w:autoSpaceDE w:val="0"/>
      <w:autoSpaceDN w:val="0"/>
    </w:pPr>
    <w:rPr>
      <w:snapToGrid/>
      <w:color w:val="000000"/>
      <w:szCs w:val="24"/>
    </w:rPr>
  </w:style>
  <w:style w:type="character" w:customStyle="1" w:styleId="subcontent1">
    <w:name w:val="subcontent1"/>
    <w:rsid w:val="0078028D"/>
    <w:rPr>
      <w:b/>
      <w:bCs/>
      <w:color w:val="443718"/>
      <w:sz w:val="20"/>
      <w:szCs w:val="20"/>
    </w:rPr>
  </w:style>
  <w:style w:type="table" w:styleId="TableGrid">
    <w:name w:val="Table Grid"/>
    <w:basedOn w:val="TableNormal"/>
    <w:rsid w:val="00963B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5B269E"/>
    <w:pPr>
      <w:widowControl/>
    </w:pPr>
    <w:rPr>
      <w:snapToGrid/>
      <w:sz w:val="20"/>
    </w:rPr>
  </w:style>
  <w:style w:type="character" w:styleId="HTMLCite">
    <w:name w:val="HTML Cite"/>
    <w:rsid w:val="005B269E"/>
    <w:rPr>
      <w:i/>
      <w:iCs/>
    </w:rPr>
  </w:style>
  <w:style w:type="paragraph" w:customStyle="1" w:styleId="margin40em">
    <w:name w:val="margin40 em"/>
    <w:basedOn w:val="Normal"/>
    <w:rsid w:val="003F45CB"/>
    <w:pPr>
      <w:widowControl/>
      <w:spacing w:before="100" w:beforeAutospacing="1" w:after="100" w:afterAutospacing="1"/>
    </w:pPr>
    <w:rPr>
      <w:rFonts w:ascii="Georgia" w:hAnsi="Georgia"/>
      <w:snapToGrid/>
      <w:sz w:val="23"/>
      <w:szCs w:val="23"/>
    </w:rPr>
  </w:style>
  <w:style w:type="paragraph" w:styleId="Header">
    <w:name w:val="header"/>
    <w:basedOn w:val="Normal"/>
    <w:link w:val="HeaderChar"/>
    <w:rsid w:val="004E02B6"/>
    <w:pPr>
      <w:tabs>
        <w:tab w:val="center" w:pos="4680"/>
        <w:tab w:val="right" w:pos="9360"/>
      </w:tabs>
    </w:pPr>
  </w:style>
  <w:style w:type="character" w:customStyle="1" w:styleId="HeaderChar">
    <w:name w:val="Header Char"/>
    <w:link w:val="Header"/>
    <w:rsid w:val="004E02B6"/>
    <w:rPr>
      <w:snapToGrid w:val="0"/>
      <w:sz w:val="24"/>
    </w:rPr>
  </w:style>
  <w:style w:type="character" w:customStyle="1" w:styleId="FooterChar">
    <w:name w:val="Footer Char"/>
    <w:link w:val="Footer"/>
    <w:uiPriority w:val="99"/>
    <w:rsid w:val="004E02B6"/>
    <w:rPr>
      <w:sz w:val="24"/>
      <w:szCs w:val="24"/>
    </w:rPr>
  </w:style>
  <w:style w:type="paragraph" w:styleId="ListParagraph">
    <w:name w:val="List Paragraph"/>
    <w:basedOn w:val="Normal"/>
    <w:uiPriority w:val="34"/>
    <w:qFormat/>
    <w:rsid w:val="0070520D"/>
    <w:pPr>
      <w:widowControl/>
      <w:ind w:left="720"/>
    </w:pPr>
    <w:rPr>
      <w:rFonts w:ascii="Calibri" w:eastAsiaTheme="minorHAnsi" w:hAnsi="Calibri" w:cs="Calibri"/>
      <w:snapToGrid/>
      <w:sz w:val="22"/>
      <w:szCs w:val="22"/>
    </w:rPr>
  </w:style>
  <w:style w:type="character" w:styleId="CommentReference">
    <w:name w:val="annotation reference"/>
    <w:basedOn w:val="DefaultParagraphFont"/>
    <w:uiPriority w:val="99"/>
    <w:semiHidden/>
    <w:unhideWhenUsed/>
    <w:rsid w:val="0070520D"/>
    <w:rPr>
      <w:sz w:val="16"/>
      <w:szCs w:val="16"/>
    </w:rPr>
  </w:style>
  <w:style w:type="paragraph" w:styleId="CommentText">
    <w:name w:val="annotation text"/>
    <w:basedOn w:val="Normal"/>
    <w:link w:val="CommentTextChar"/>
    <w:uiPriority w:val="99"/>
    <w:semiHidden/>
    <w:unhideWhenUsed/>
    <w:rsid w:val="0070520D"/>
    <w:pPr>
      <w:widowControl/>
      <w:spacing w:after="160"/>
    </w:pPr>
    <w:rPr>
      <w:rFonts w:asciiTheme="minorHAnsi" w:eastAsiaTheme="minorHAnsi" w:hAnsiTheme="minorHAnsi" w:cstheme="minorBidi"/>
      <w:snapToGrid/>
      <w:sz w:val="20"/>
    </w:rPr>
  </w:style>
  <w:style w:type="character" w:customStyle="1" w:styleId="CommentTextChar">
    <w:name w:val="Comment Text Char"/>
    <w:basedOn w:val="DefaultParagraphFont"/>
    <w:link w:val="CommentText"/>
    <w:uiPriority w:val="99"/>
    <w:semiHidden/>
    <w:rsid w:val="0070520D"/>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70520D"/>
  </w:style>
  <w:style w:type="paragraph" w:styleId="CommentSubject">
    <w:name w:val="annotation subject"/>
    <w:basedOn w:val="CommentText"/>
    <w:next w:val="CommentText"/>
    <w:link w:val="CommentSubjectChar"/>
    <w:semiHidden/>
    <w:unhideWhenUsed/>
    <w:rsid w:val="0070520D"/>
    <w:pPr>
      <w:widowControl w:val="0"/>
      <w:spacing w:after="0"/>
    </w:pPr>
    <w:rPr>
      <w:rFonts w:ascii="Times New Roman" w:eastAsia="Times New Roman" w:hAnsi="Times New Roman" w:cs="Times New Roman"/>
      <w:b/>
      <w:bCs/>
      <w:snapToGrid w:val="0"/>
    </w:rPr>
  </w:style>
  <w:style w:type="character" w:customStyle="1" w:styleId="CommentSubjectChar">
    <w:name w:val="Comment Subject Char"/>
    <w:basedOn w:val="CommentTextChar"/>
    <w:link w:val="CommentSubject"/>
    <w:semiHidden/>
    <w:rsid w:val="0070520D"/>
    <w:rPr>
      <w:rFonts w:asciiTheme="minorHAnsi" w:eastAsiaTheme="minorHAnsi" w:hAnsiTheme="minorHAnsi" w:cstheme="minorBidi"/>
      <w:b/>
      <w:bCs/>
      <w:snapToGrid w:val="0"/>
    </w:rPr>
  </w:style>
  <w:style w:type="character" w:styleId="UnresolvedMention">
    <w:name w:val="Unresolved Mention"/>
    <w:basedOn w:val="DefaultParagraphFont"/>
    <w:uiPriority w:val="99"/>
    <w:semiHidden/>
    <w:unhideWhenUsed/>
    <w:rsid w:val="0070520D"/>
    <w:rPr>
      <w:color w:val="605E5C"/>
      <w:shd w:val="clear" w:color="auto" w:fill="E1DFDD"/>
    </w:rPr>
  </w:style>
  <w:style w:type="paragraph" w:styleId="Revision">
    <w:name w:val="Revision"/>
    <w:hidden/>
    <w:uiPriority w:val="99"/>
    <w:semiHidden/>
    <w:rsid w:val="00B406B7"/>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29952">
      <w:bodyDiv w:val="1"/>
      <w:marLeft w:val="0"/>
      <w:marRight w:val="0"/>
      <w:marTop w:val="0"/>
      <w:marBottom w:val="0"/>
      <w:divBdr>
        <w:top w:val="none" w:sz="0" w:space="0" w:color="auto"/>
        <w:left w:val="none" w:sz="0" w:space="0" w:color="auto"/>
        <w:bottom w:val="none" w:sz="0" w:space="0" w:color="auto"/>
        <w:right w:val="none" w:sz="0" w:space="0" w:color="auto"/>
      </w:divBdr>
    </w:div>
    <w:div w:id="74713320">
      <w:bodyDiv w:val="1"/>
      <w:marLeft w:val="0"/>
      <w:marRight w:val="0"/>
      <w:marTop w:val="0"/>
      <w:marBottom w:val="0"/>
      <w:divBdr>
        <w:top w:val="none" w:sz="0" w:space="0" w:color="auto"/>
        <w:left w:val="none" w:sz="0" w:space="0" w:color="auto"/>
        <w:bottom w:val="none" w:sz="0" w:space="0" w:color="auto"/>
        <w:right w:val="none" w:sz="0" w:space="0" w:color="auto"/>
      </w:divBdr>
      <w:divsChild>
        <w:div w:id="1717387002">
          <w:marLeft w:val="1440"/>
          <w:marRight w:val="0"/>
          <w:marTop w:val="80"/>
          <w:marBottom w:val="0"/>
          <w:divBdr>
            <w:top w:val="none" w:sz="0" w:space="0" w:color="auto"/>
            <w:left w:val="none" w:sz="0" w:space="0" w:color="auto"/>
            <w:bottom w:val="none" w:sz="0" w:space="0" w:color="auto"/>
            <w:right w:val="none" w:sz="0" w:space="0" w:color="auto"/>
          </w:divBdr>
        </w:div>
      </w:divsChild>
    </w:div>
    <w:div w:id="79304061">
      <w:bodyDiv w:val="1"/>
      <w:marLeft w:val="0"/>
      <w:marRight w:val="0"/>
      <w:marTop w:val="0"/>
      <w:marBottom w:val="0"/>
      <w:divBdr>
        <w:top w:val="none" w:sz="0" w:space="0" w:color="auto"/>
        <w:left w:val="none" w:sz="0" w:space="0" w:color="auto"/>
        <w:bottom w:val="none" w:sz="0" w:space="0" w:color="auto"/>
        <w:right w:val="none" w:sz="0" w:space="0" w:color="auto"/>
      </w:divBdr>
    </w:div>
    <w:div w:id="80025473">
      <w:bodyDiv w:val="1"/>
      <w:marLeft w:val="0"/>
      <w:marRight w:val="0"/>
      <w:marTop w:val="0"/>
      <w:marBottom w:val="0"/>
      <w:divBdr>
        <w:top w:val="none" w:sz="0" w:space="0" w:color="auto"/>
        <w:left w:val="none" w:sz="0" w:space="0" w:color="auto"/>
        <w:bottom w:val="none" w:sz="0" w:space="0" w:color="auto"/>
        <w:right w:val="none" w:sz="0" w:space="0" w:color="auto"/>
      </w:divBdr>
    </w:div>
    <w:div w:id="98643092">
      <w:bodyDiv w:val="1"/>
      <w:marLeft w:val="0"/>
      <w:marRight w:val="0"/>
      <w:marTop w:val="0"/>
      <w:marBottom w:val="0"/>
      <w:divBdr>
        <w:top w:val="none" w:sz="0" w:space="0" w:color="auto"/>
        <w:left w:val="none" w:sz="0" w:space="0" w:color="auto"/>
        <w:bottom w:val="none" w:sz="0" w:space="0" w:color="auto"/>
        <w:right w:val="none" w:sz="0" w:space="0" w:color="auto"/>
      </w:divBdr>
    </w:div>
    <w:div w:id="118688600">
      <w:bodyDiv w:val="1"/>
      <w:marLeft w:val="0"/>
      <w:marRight w:val="0"/>
      <w:marTop w:val="0"/>
      <w:marBottom w:val="0"/>
      <w:divBdr>
        <w:top w:val="none" w:sz="0" w:space="0" w:color="auto"/>
        <w:left w:val="none" w:sz="0" w:space="0" w:color="auto"/>
        <w:bottom w:val="none" w:sz="0" w:space="0" w:color="auto"/>
        <w:right w:val="none" w:sz="0" w:space="0" w:color="auto"/>
      </w:divBdr>
    </w:div>
    <w:div w:id="377898932">
      <w:bodyDiv w:val="1"/>
      <w:marLeft w:val="0"/>
      <w:marRight w:val="0"/>
      <w:marTop w:val="0"/>
      <w:marBottom w:val="0"/>
      <w:divBdr>
        <w:top w:val="none" w:sz="0" w:space="0" w:color="auto"/>
        <w:left w:val="none" w:sz="0" w:space="0" w:color="auto"/>
        <w:bottom w:val="none" w:sz="0" w:space="0" w:color="auto"/>
        <w:right w:val="none" w:sz="0" w:space="0" w:color="auto"/>
      </w:divBdr>
    </w:div>
    <w:div w:id="382407542">
      <w:bodyDiv w:val="1"/>
      <w:marLeft w:val="0"/>
      <w:marRight w:val="0"/>
      <w:marTop w:val="0"/>
      <w:marBottom w:val="0"/>
      <w:divBdr>
        <w:top w:val="none" w:sz="0" w:space="0" w:color="auto"/>
        <w:left w:val="none" w:sz="0" w:space="0" w:color="auto"/>
        <w:bottom w:val="none" w:sz="0" w:space="0" w:color="auto"/>
        <w:right w:val="none" w:sz="0" w:space="0" w:color="auto"/>
      </w:divBdr>
      <w:divsChild>
        <w:div w:id="85001904">
          <w:marLeft w:val="0"/>
          <w:marRight w:val="0"/>
          <w:marTop w:val="0"/>
          <w:marBottom w:val="0"/>
          <w:divBdr>
            <w:top w:val="none" w:sz="0" w:space="0" w:color="auto"/>
            <w:left w:val="none" w:sz="0" w:space="0" w:color="auto"/>
            <w:bottom w:val="none" w:sz="0" w:space="0" w:color="auto"/>
            <w:right w:val="none" w:sz="0" w:space="0" w:color="auto"/>
          </w:divBdr>
        </w:div>
        <w:div w:id="705788341">
          <w:marLeft w:val="0"/>
          <w:marRight w:val="0"/>
          <w:marTop w:val="0"/>
          <w:marBottom w:val="0"/>
          <w:divBdr>
            <w:top w:val="none" w:sz="0" w:space="0" w:color="auto"/>
            <w:left w:val="none" w:sz="0" w:space="0" w:color="auto"/>
            <w:bottom w:val="none" w:sz="0" w:space="0" w:color="auto"/>
            <w:right w:val="none" w:sz="0" w:space="0" w:color="auto"/>
          </w:divBdr>
        </w:div>
        <w:div w:id="1133207135">
          <w:marLeft w:val="0"/>
          <w:marRight w:val="0"/>
          <w:marTop w:val="0"/>
          <w:marBottom w:val="0"/>
          <w:divBdr>
            <w:top w:val="none" w:sz="0" w:space="0" w:color="auto"/>
            <w:left w:val="none" w:sz="0" w:space="0" w:color="auto"/>
            <w:bottom w:val="none" w:sz="0" w:space="0" w:color="auto"/>
            <w:right w:val="none" w:sz="0" w:space="0" w:color="auto"/>
          </w:divBdr>
        </w:div>
        <w:div w:id="1202087334">
          <w:marLeft w:val="0"/>
          <w:marRight w:val="0"/>
          <w:marTop w:val="0"/>
          <w:marBottom w:val="0"/>
          <w:divBdr>
            <w:top w:val="none" w:sz="0" w:space="0" w:color="auto"/>
            <w:left w:val="none" w:sz="0" w:space="0" w:color="auto"/>
            <w:bottom w:val="none" w:sz="0" w:space="0" w:color="auto"/>
            <w:right w:val="none" w:sz="0" w:space="0" w:color="auto"/>
          </w:divBdr>
        </w:div>
        <w:div w:id="1792897359">
          <w:marLeft w:val="0"/>
          <w:marRight w:val="0"/>
          <w:marTop w:val="0"/>
          <w:marBottom w:val="0"/>
          <w:divBdr>
            <w:top w:val="none" w:sz="0" w:space="0" w:color="auto"/>
            <w:left w:val="none" w:sz="0" w:space="0" w:color="auto"/>
            <w:bottom w:val="none" w:sz="0" w:space="0" w:color="auto"/>
            <w:right w:val="none" w:sz="0" w:space="0" w:color="auto"/>
          </w:divBdr>
        </w:div>
      </w:divsChild>
    </w:div>
    <w:div w:id="419059312">
      <w:bodyDiv w:val="1"/>
      <w:marLeft w:val="0"/>
      <w:marRight w:val="0"/>
      <w:marTop w:val="0"/>
      <w:marBottom w:val="0"/>
      <w:divBdr>
        <w:top w:val="none" w:sz="0" w:space="0" w:color="auto"/>
        <w:left w:val="none" w:sz="0" w:space="0" w:color="auto"/>
        <w:bottom w:val="none" w:sz="0" w:space="0" w:color="auto"/>
        <w:right w:val="none" w:sz="0" w:space="0" w:color="auto"/>
      </w:divBdr>
    </w:div>
    <w:div w:id="446700476">
      <w:bodyDiv w:val="1"/>
      <w:marLeft w:val="0"/>
      <w:marRight w:val="0"/>
      <w:marTop w:val="0"/>
      <w:marBottom w:val="0"/>
      <w:divBdr>
        <w:top w:val="none" w:sz="0" w:space="0" w:color="auto"/>
        <w:left w:val="none" w:sz="0" w:space="0" w:color="auto"/>
        <w:bottom w:val="none" w:sz="0" w:space="0" w:color="auto"/>
        <w:right w:val="none" w:sz="0" w:space="0" w:color="auto"/>
      </w:divBdr>
      <w:divsChild>
        <w:div w:id="1535384632">
          <w:marLeft w:val="0"/>
          <w:marRight w:val="0"/>
          <w:marTop w:val="0"/>
          <w:marBottom w:val="0"/>
          <w:divBdr>
            <w:top w:val="none" w:sz="0" w:space="0" w:color="auto"/>
            <w:left w:val="none" w:sz="0" w:space="0" w:color="auto"/>
            <w:bottom w:val="none" w:sz="0" w:space="0" w:color="auto"/>
            <w:right w:val="none" w:sz="0" w:space="0" w:color="auto"/>
          </w:divBdr>
        </w:div>
      </w:divsChild>
    </w:div>
    <w:div w:id="773013821">
      <w:bodyDiv w:val="1"/>
      <w:marLeft w:val="0"/>
      <w:marRight w:val="0"/>
      <w:marTop w:val="0"/>
      <w:marBottom w:val="0"/>
      <w:divBdr>
        <w:top w:val="none" w:sz="0" w:space="0" w:color="auto"/>
        <w:left w:val="none" w:sz="0" w:space="0" w:color="auto"/>
        <w:bottom w:val="none" w:sz="0" w:space="0" w:color="auto"/>
        <w:right w:val="none" w:sz="0" w:space="0" w:color="auto"/>
      </w:divBdr>
    </w:div>
    <w:div w:id="840702849">
      <w:bodyDiv w:val="1"/>
      <w:marLeft w:val="0"/>
      <w:marRight w:val="0"/>
      <w:marTop w:val="0"/>
      <w:marBottom w:val="0"/>
      <w:divBdr>
        <w:top w:val="none" w:sz="0" w:space="0" w:color="auto"/>
        <w:left w:val="none" w:sz="0" w:space="0" w:color="auto"/>
        <w:bottom w:val="none" w:sz="0" w:space="0" w:color="auto"/>
        <w:right w:val="none" w:sz="0" w:space="0" w:color="auto"/>
      </w:divBdr>
    </w:div>
    <w:div w:id="855654835">
      <w:bodyDiv w:val="1"/>
      <w:marLeft w:val="0"/>
      <w:marRight w:val="0"/>
      <w:marTop w:val="0"/>
      <w:marBottom w:val="0"/>
      <w:divBdr>
        <w:top w:val="none" w:sz="0" w:space="0" w:color="auto"/>
        <w:left w:val="none" w:sz="0" w:space="0" w:color="auto"/>
        <w:bottom w:val="none" w:sz="0" w:space="0" w:color="auto"/>
        <w:right w:val="none" w:sz="0" w:space="0" w:color="auto"/>
      </w:divBdr>
    </w:div>
    <w:div w:id="889153957">
      <w:bodyDiv w:val="1"/>
      <w:marLeft w:val="0"/>
      <w:marRight w:val="0"/>
      <w:marTop w:val="0"/>
      <w:marBottom w:val="0"/>
      <w:divBdr>
        <w:top w:val="none" w:sz="0" w:space="0" w:color="auto"/>
        <w:left w:val="none" w:sz="0" w:space="0" w:color="auto"/>
        <w:bottom w:val="none" w:sz="0" w:space="0" w:color="auto"/>
        <w:right w:val="none" w:sz="0" w:space="0" w:color="auto"/>
      </w:divBdr>
    </w:div>
    <w:div w:id="960108891">
      <w:bodyDiv w:val="1"/>
      <w:marLeft w:val="0"/>
      <w:marRight w:val="0"/>
      <w:marTop w:val="0"/>
      <w:marBottom w:val="0"/>
      <w:divBdr>
        <w:top w:val="none" w:sz="0" w:space="0" w:color="auto"/>
        <w:left w:val="none" w:sz="0" w:space="0" w:color="auto"/>
        <w:bottom w:val="none" w:sz="0" w:space="0" w:color="auto"/>
        <w:right w:val="none" w:sz="0" w:space="0" w:color="auto"/>
      </w:divBdr>
      <w:divsChild>
        <w:div w:id="1211069106">
          <w:marLeft w:val="0"/>
          <w:marRight w:val="0"/>
          <w:marTop w:val="0"/>
          <w:marBottom w:val="0"/>
          <w:divBdr>
            <w:top w:val="none" w:sz="0" w:space="0" w:color="auto"/>
            <w:left w:val="none" w:sz="0" w:space="0" w:color="auto"/>
            <w:bottom w:val="none" w:sz="0" w:space="0" w:color="auto"/>
            <w:right w:val="none" w:sz="0" w:space="0" w:color="auto"/>
          </w:divBdr>
        </w:div>
      </w:divsChild>
    </w:div>
    <w:div w:id="973096235">
      <w:bodyDiv w:val="1"/>
      <w:marLeft w:val="0"/>
      <w:marRight w:val="0"/>
      <w:marTop w:val="0"/>
      <w:marBottom w:val="0"/>
      <w:divBdr>
        <w:top w:val="none" w:sz="0" w:space="0" w:color="auto"/>
        <w:left w:val="none" w:sz="0" w:space="0" w:color="auto"/>
        <w:bottom w:val="none" w:sz="0" w:space="0" w:color="auto"/>
        <w:right w:val="none" w:sz="0" w:space="0" w:color="auto"/>
      </w:divBdr>
      <w:divsChild>
        <w:div w:id="917136916">
          <w:marLeft w:val="0"/>
          <w:marRight w:val="0"/>
          <w:marTop w:val="0"/>
          <w:marBottom w:val="0"/>
          <w:divBdr>
            <w:top w:val="none" w:sz="0" w:space="0" w:color="auto"/>
            <w:left w:val="none" w:sz="0" w:space="0" w:color="auto"/>
            <w:bottom w:val="none" w:sz="0" w:space="0" w:color="auto"/>
            <w:right w:val="none" w:sz="0" w:space="0" w:color="auto"/>
          </w:divBdr>
        </w:div>
      </w:divsChild>
    </w:div>
    <w:div w:id="1163813592">
      <w:bodyDiv w:val="1"/>
      <w:marLeft w:val="0"/>
      <w:marRight w:val="0"/>
      <w:marTop w:val="0"/>
      <w:marBottom w:val="0"/>
      <w:divBdr>
        <w:top w:val="none" w:sz="0" w:space="0" w:color="auto"/>
        <w:left w:val="none" w:sz="0" w:space="0" w:color="auto"/>
        <w:bottom w:val="none" w:sz="0" w:space="0" w:color="auto"/>
        <w:right w:val="none" w:sz="0" w:space="0" w:color="auto"/>
      </w:divBdr>
    </w:div>
    <w:div w:id="1209879328">
      <w:bodyDiv w:val="1"/>
      <w:marLeft w:val="0"/>
      <w:marRight w:val="0"/>
      <w:marTop w:val="0"/>
      <w:marBottom w:val="0"/>
      <w:divBdr>
        <w:top w:val="none" w:sz="0" w:space="0" w:color="auto"/>
        <w:left w:val="none" w:sz="0" w:space="0" w:color="auto"/>
        <w:bottom w:val="none" w:sz="0" w:space="0" w:color="auto"/>
        <w:right w:val="none" w:sz="0" w:space="0" w:color="auto"/>
      </w:divBdr>
      <w:divsChild>
        <w:div w:id="843323322">
          <w:marLeft w:val="0"/>
          <w:marRight w:val="0"/>
          <w:marTop w:val="0"/>
          <w:marBottom w:val="0"/>
          <w:divBdr>
            <w:top w:val="none" w:sz="0" w:space="0" w:color="auto"/>
            <w:left w:val="none" w:sz="0" w:space="0" w:color="auto"/>
            <w:bottom w:val="none" w:sz="0" w:space="0" w:color="auto"/>
            <w:right w:val="none" w:sz="0" w:space="0" w:color="auto"/>
          </w:divBdr>
        </w:div>
        <w:div w:id="1439645288">
          <w:marLeft w:val="0"/>
          <w:marRight w:val="0"/>
          <w:marTop w:val="0"/>
          <w:marBottom w:val="0"/>
          <w:divBdr>
            <w:top w:val="none" w:sz="0" w:space="0" w:color="auto"/>
            <w:left w:val="none" w:sz="0" w:space="0" w:color="auto"/>
            <w:bottom w:val="none" w:sz="0" w:space="0" w:color="auto"/>
            <w:right w:val="none" w:sz="0" w:space="0" w:color="auto"/>
          </w:divBdr>
        </w:div>
      </w:divsChild>
    </w:div>
    <w:div w:id="1367372224">
      <w:bodyDiv w:val="1"/>
      <w:marLeft w:val="0"/>
      <w:marRight w:val="0"/>
      <w:marTop w:val="0"/>
      <w:marBottom w:val="0"/>
      <w:divBdr>
        <w:top w:val="none" w:sz="0" w:space="0" w:color="auto"/>
        <w:left w:val="none" w:sz="0" w:space="0" w:color="auto"/>
        <w:bottom w:val="none" w:sz="0" w:space="0" w:color="auto"/>
        <w:right w:val="none" w:sz="0" w:space="0" w:color="auto"/>
      </w:divBdr>
    </w:div>
    <w:div w:id="1491797933">
      <w:bodyDiv w:val="1"/>
      <w:marLeft w:val="0"/>
      <w:marRight w:val="0"/>
      <w:marTop w:val="0"/>
      <w:marBottom w:val="0"/>
      <w:divBdr>
        <w:top w:val="none" w:sz="0" w:space="0" w:color="auto"/>
        <w:left w:val="none" w:sz="0" w:space="0" w:color="auto"/>
        <w:bottom w:val="none" w:sz="0" w:space="0" w:color="auto"/>
        <w:right w:val="none" w:sz="0" w:space="0" w:color="auto"/>
      </w:divBdr>
    </w:div>
    <w:div w:id="1600675101">
      <w:bodyDiv w:val="1"/>
      <w:marLeft w:val="0"/>
      <w:marRight w:val="0"/>
      <w:marTop w:val="0"/>
      <w:marBottom w:val="0"/>
      <w:divBdr>
        <w:top w:val="none" w:sz="0" w:space="0" w:color="auto"/>
        <w:left w:val="none" w:sz="0" w:space="0" w:color="auto"/>
        <w:bottom w:val="none" w:sz="0" w:space="0" w:color="auto"/>
        <w:right w:val="none" w:sz="0" w:space="0" w:color="auto"/>
      </w:divBdr>
    </w:div>
    <w:div w:id="1654676834">
      <w:bodyDiv w:val="1"/>
      <w:marLeft w:val="0"/>
      <w:marRight w:val="0"/>
      <w:marTop w:val="0"/>
      <w:marBottom w:val="0"/>
      <w:divBdr>
        <w:top w:val="none" w:sz="0" w:space="0" w:color="auto"/>
        <w:left w:val="none" w:sz="0" w:space="0" w:color="auto"/>
        <w:bottom w:val="none" w:sz="0" w:space="0" w:color="auto"/>
        <w:right w:val="none" w:sz="0" w:space="0" w:color="auto"/>
      </w:divBdr>
      <w:divsChild>
        <w:div w:id="567224552">
          <w:marLeft w:val="547"/>
          <w:marRight w:val="0"/>
          <w:marTop w:val="0"/>
          <w:marBottom w:val="0"/>
          <w:divBdr>
            <w:top w:val="none" w:sz="0" w:space="0" w:color="auto"/>
            <w:left w:val="none" w:sz="0" w:space="0" w:color="auto"/>
            <w:bottom w:val="none" w:sz="0" w:space="0" w:color="auto"/>
            <w:right w:val="none" w:sz="0" w:space="0" w:color="auto"/>
          </w:divBdr>
        </w:div>
      </w:divsChild>
    </w:div>
    <w:div w:id="2002082136">
      <w:bodyDiv w:val="1"/>
      <w:marLeft w:val="0"/>
      <w:marRight w:val="0"/>
      <w:marTop w:val="0"/>
      <w:marBottom w:val="0"/>
      <w:divBdr>
        <w:top w:val="none" w:sz="0" w:space="0" w:color="auto"/>
        <w:left w:val="none" w:sz="0" w:space="0" w:color="auto"/>
        <w:bottom w:val="none" w:sz="0" w:space="0" w:color="auto"/>
        <w:right w:val="none" w:sz="0" w:space="0" w:color="auto"/>
      </w:divBdr>
    </w:div>
    <w:div w:id="2145267172">
      <w:bodyDiv w:val="1"/>
      <w:marLeft w:val="0"/>
      <w:marRight w:val="0"/>
      <w:marTop w:val="0"/>
      <w:marBottom w:val="0"/>
      <w:divBdr>
        <w:top w:val="none" w:sz="0" w:space="0" w:color="auto"/>
        <w:left w:val="none" w:sz="0" w:space="0" w:color="auto"/>
        <w:bottom w:val="none" w:sz="0" w:space="0" w:color="auto"/>
        <w:right w:val="none" w:sz="0" w:space="0" w:color="auto"/>
      </w:divBdr>
      <w:divsChild>
        <w:div w:id="280192290">
          <w:marLeft w:val="150"/>
          <w:marRight w:val="150"/>
          <w:marTop w:val="240"/>
          <w:marBottom w:val="240"/>
          <w:divBdr>
            <w:top w:val="single" w:sz="6" w:space="0" w:color="B4C4D3"/>
            <w:left w:val="none" w:sz="0" w:space="0" w:color="auto"/>
            <w:bottom w:val="none" w:sz="0" w:space="0" w:color="auto"/>
            <w:right w:val="none" w:sz="0" w:space="0" w:color="auto"/>
          </w:divBdr>
          <w:divsChild>
            <w:div w:id="363480293">
              <w:marLeft w:val="0"/>
              <w:marRight w:val="150"/>
              <w:marTop w:val="0"/>
              <w:marBottom w:val="0"/>
              <w:divBdr>
                <w:top w:val="none" w:sz="0" w:space="0" w:color="auto"/>
                <w:left w:val="none" w:sz="0" w:space="0" w:color="auto"/>
                <w:bottom w:val="none" w:sz="0" w:space="0" w:color="auto"/>
                <w:right w:val="none" w:sz="0" w:space="0" w:color="auto"/>
              </w:divBdr>
              <w:divsChild>
                <w:div w:id="1672442668">
                  <w:marLeft w:val="300"/>
                  <w:marRight w:val="0"/>
                  <w:marTop w:val="0"/>
                  <w:marBottom w:val="0"/>
                  <w:divBdr>
                    <w:top w:val="none" w:sz="0" w:space="0" w:color="auto"/>
                    <w:left w:val="none" w:sz="0" w:space="0" w:color="auto"/>
                    <w:bottom w:val="none" w:sz="0" w:space="0" w:color="auto"/>
                    <w:right w:val="none" w:sz="0" w:space="0" w:color="auto"/>
                  </w:divBdr>
                  <w:divsChild>
                    <w:div w:id="801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www.doe.mass.edu/edprep/domains/"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yperlink" Target="https://www.doe.mass.edu/edprep/resources/guidelines-advisories/leadership-guide.pdf"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yperlink" Target="https://www.doe.mass.edu/edeval/rubrics/updat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oe.mass.edu/edprep/resources/guidelines-advisories/program-approval/2021-0623revised-timeline.pdf" TargetMode="Externa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s://www.doe.mass.edu/edprep/resources/guidelines-advisories/teachers-guide.docx"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survey.alchemer.com/s3/6672566/Formal-Review-Process-Stakeholder-Engag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doe.mass.edu/lawsregs/603cmr7.html?section=03" TargetMode="External"/><Relationship Id="rId30" Type="http://schemas.openxmlformats.org/officeDocument/2006/relationships/hyperlink" Target="https://ies.ed.gov/funding/grantsearch/details.asp?ID=4537"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oe.mass.edu/edprep/resources/guidelines-advisories/leadership-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DESE-231-75631</_dlc_DocId>
    <_dlc_DocIdUrl xmlns="733efe1c-5bbe-4968-87dc-d400e65c879f">
      <Url>https://sharepoint.doemass.org/ese/webteam/cps/_layouts/DocIdRedir.aspx?ID=DESE-231-75631</Url>
      <Description>DESE-231-75631</Description>
    </_dlc_DocIdUrl>
  </documentManagement>
</p:properties>
</file>

<file path=customXml/itemProps1.xml><?xml version="1.0" encoding="utf-8"?>
<ds:datastoreItem xmlns:ds="http://schemas.openxmlformats.org/officeDocument/2006/customXml" ds:itemID="{BC23F896-659E-4844-847B-AAC93054B01A}">
  <ds:schemaRefs>
    <ds:schemaRef ds:uri="http://schemas.microsoft.com/sharepoint/v3/contenttype/forms"/>
  </ds:schemaRefs>
</ds:datastoreItem>
</file>

<file path=customXml/itemProps2.xml><?xml version="1.0" encoding="utf-8"?>
<ds:datastoreItem xmlns:ds="http://schemas.openxmlformats.org/officeDocument/2006/customXml" ds:itemID="{E5D17CBD-DFBF-4FC7-B02F-F4477F246147}">
  <ds:schemaRefs>
    <ds:schemaRef ds:uri="http://schemas.openxmlformats.org/officeDocument/2006/bibliography"/>
  </ds:schemaRefs>
</ds:datastoreItem>
</file>

<file path=customXml/itemProps3.xml><?xml version="1.0" encoding="utf-8"?>
<ds:datastoreItem xmlns:ds="http://schemas.openxmlformats.org/officeDocument/2006/customXml" ds:itemID="{26DCAF6D-B58E-4B83-9CAA-D0F1E2E92F4E}">
  <ds:schemaRefs>
    <ds:schemaRef ds:uri="http://schemas.microsoft.com/sharepoint/events"/>
  </ds:schemaRefs>
</ds:datastoreItem>
</file>

<file path=customXml/itemProps4.xml><?xml version="1.0" encoding="utf-8"?>
<ds:datastoreItem xmlns:ds="http://schemas.openxmlformats.org/officeDocument/2006/customXml" ds:itemID="{3A08CFEA-B6BD-4F1D-94EB-67F039296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F171AF-22C1-4524-9E18-EB7D1EC9E39F}">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Memo: Revisions to the Guidelines for Educator Preparation Program Approval</vt:lpstr>
    </vt:vector>
  </TitlesOfParts>
  <Company/>
  <LinksUpToDate>false</LinksUpToDate>
  <CharactersWithSpaces>11390</CharactersWithSpaces>
  <SharedDoc>false</SharedDoc>
  <HLinks>
    <vt:vector size="48" baseType="variant">
      <vt:variant>
        <vt:i4>7602287</vt:i4>
      </vt:variant>
      <vt:variant>
        <vt:i4>24</vt:i4>
      </vt:variant>
      <vt:variant>
        <vt:i4>0</vt:i4>
      </vt:variant>
      <vt:variant>
        <vt:i4>5</vt:i4>
      </vt:variant>
      <vt:variant>
        <vt:lpwstr>https://survey.alchemer.com/s3/6672566/Formal-Review-Process-Stakeholder-Engagement</vt:lpwstr>
      </vt:variant>
      <vt:variant>
        <vt:lpwstr/>
      </vt:variant>
      <vt:variant>
        <vt:i4>6881322</vt:i4>
      </vt:variant>
      <vt:variant>
        <vt:i4>21</vt:i4>
      </vt:variant>
      <vt:variant>
        <vt:i4>0</vt:i4>
      </vt:variant>
      <vt:variant>
        <vt:i4>5</vt:i4>
      </vt:variant>
      <vt:variant>
        <vt:lpwstr>https://ies.ed.gov/funding/grantsearch/details.asp?ID=4537</vt:lpwstr>
      </vt:variant>
      <vt:variant>
        <vt:lpwstr/>
      </vt:variant>
      <vt:variant>
        <vt:i4>5570648</vt:i4>
      </vt:variant>
      <vt:variant>
        <vt:i4>18</vt:i4>
      </vt:variant>
      <vt:variant>
        <vt:i4>0</vt:i4>
      </vt:variant>
      <vt:variant>
        <vt:i4>5</vt:i4>
      </vt:variant>
      <vt:variant>
        <vt:lpwstr>https://www.doe.mass.edu/edeval/rubrics/updates/</vt:lpwstr>
      </vt:variant>
      <vt:variant>
        <vt:lpwstr/>
      </vt:variant>
      <vt:variant>
        <vt:i4>2490488</vt:i4>
      </vt:variant>
      <vt:variant>
        <vt:i4>15</vt:i4>
      </vt:variant>
      <vt:variant>
        <vt:i4>0</vt:i4>
      </vt:variant>
      <vt:variant>
        <vt:i4>5</vt:i4>
      </vt:variant>
      <vt:variant>
        <vt:lpwstr>https://www.doe.mass.edu/edprep/resources/guidelines-advisories/teachers-guide.docx</vt:lpwstr>
      </vt:variant>
      <vt:variant>
        <vt:lpwstr/>
      </vt:variant>
      <vt:variant>
        <vt:i4>1703960</vt:i4>
      </vt:variant>
      <vt:variant>
        <vt:i4>12</vt:i4>
      </vt:variant>
      <vt:variant>
        <vt:i4>0</vt:i4>
      </vt:variant>
      <vt:variant>
        <vt:i4>5</vt:i4>
      </vt:variant>
      <vt:variant>
        <vt:lpwstr>https://www.doe.mass.edu/lawsregs/603cmr7.html?section=03</vt:lpwstr>
      </vt:variant>
      <vt:variant>
        <vt:lpwstr/>
      </vt:variant>
      <vt:variant>
        <vt:i4>1769551</vt:i4>
      </vt:variant>
      <vt:variant>
        <vt:i4>9</vt:i4>
      </vt:variant>
      <vt:variant>
        <vt:i4>0</vt:i4>
      </vt:variant>
      <vt:variant>
        <vt:i4>5</vt:i4>
      </vt:variant>
      <vt:variant>
        <vt:lpwstr>https://www.doe.mass.edu/edprep/domains/</vt:lpwstr>
      </vt:variant>
      <vt:variant>
        <vt:lpwstr/>
      </vt:variant>
      <vt:variant>
        <vt:i4>4980750</vt:i4>
      </vt:variant>
      <vt:variant>
        <vt:i4>6</vt:i4>
      </vt:variant>
      <vt:variant>
        <vt:i4>0</vt:i4>
      </vt:variant>
      <vt:variant>
        <vt:i4>5</vt:i4>
      </vt:variant>
      <vt:variant>
        <vt:lpwstr>https://www.doe.mass.edu/edprep/resources/guidelines-advisories/leadership-guide.pdf</vt:lpwstr>
      </vt:variant>
      <vt:variant>
        <vt:lpwstr/>
      </vt:variant>
      <vt:variant>
        <vt:i4>4980750</vt:i4>
      </vt:variant>
      <vt:variant>
        <vt:i4>0</vt:i4>
      </vt:variant>
      <vt:variant>
        <vt:i4>0</vt:i4>
      </vt:variant>
      <vt:variant>
        <vt:i4>5</vt:i4>
      </vt:variant>
      <vt:variant>
        <vt:lpwstr>https://www.doe.mass.edu/edprep/resources/guidelines-advisories/leadership-guide.pdf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Revisions to the Guidelines for Educator Preparation Program Approval</dc:title>
  <dc:subject/>
  <dc:creator>DESE</dc:creator>
  <cp:keywords/>
  <cp:lastModifiedBy>Zou, Dong (EOE)</cp:lastModifiedBy>
  <cp:revision>4</cp:revision>
  <cp:lastPrinted>2011-01-15T01:54:00Z</cp:lastPrinted>
  <dcterms:created xsi:type="dcterms:W3CDTF">2021-12-22T15:12:00Z</dcterms:created>
  <dcterms:modified xsi:type="dcterms:W3CDTF">2021-12-23T15:48:00Z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23 2021</vt:lpwstr>
  </property>
</Properties>
</file>