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1" w:name="_Hlk126057664" w:displacedByCustomXml="next"/>
    <w:bookmarkEnd w:id="1" w:displacedByCustomXml="next"/>
    <w:sdt>
      <w:sdtPr>
        <w:id w:val="193122765"/>
        <w:docPartObj>
          <w:docPartGallery w:val="Cover Pages"/>
          <w:docPartUnique/>
        </w:docPartObj>
      </w:sdtPr>
      <w:sdtEndPr/>
      <w:sdtContent>
        <w:p w14:paraId="298AE302" w14:textId="6BED32C4" w:rsidR="00442DDC" w:rsidRDefault="00442DDC"/>
        <w:tbl>
          <w:tblPr>
            <w:tblW w:w="9568" w:type="dxa"/>
            <w:tblInd w:w="-335" w:type="dxa"/>
            <w:tblLayout w:type="fixed"/>
            <w:tblCellMar>
              <w:left w:w="115" w:type="dxa"/>
              <w:right w:w="115" w:type="dxa"/>
            </w:tblCellMar>
            <w:tblLook w:val="00A0" w:firstRow="1" w:lastRow="0" w:firstColumn="1" w:lastColumn="0" w:noHBand="0" w:noVBand="0"/>
          </w:tblPr>
          <w:tblGrid>
            <w:gridCol w:w="938"/>
            <w:gridCol w:w="3845"/>
            <w:gridCol w:w="2820"/>
            <w:gridCol w:w="1965"/>
          </w:tblGrid>
          <w:tr w:rsidR="00835AF2" w14:paraId="0AA0587A" w14:textId="77777777" w:rsidTr="00442DDC">
            <w:trPr>
              <w:gridAfter w:val="1"/>
              <w:wAfter w:w="1964" w:type="dxa"/>
              <w:trHeight w:val="4673"/>
            </w:trPr>
            <w:tc>
              <w:tcPr>
                <w:tcW w:w="7604" w:type="dxa"/>
                <w:gridSpan w:val="3"/>
              </w:tcPr>
              <w:p w14:paraId="4345DD13" w14:textId="77777777" w:rsidR="00442DDC" w:rsidRDefault="00442DDC" w:rsidP="007A1DE4">
                <w:pPr>
                  <w:keepNext/>
                </w:pPr>
              </w:p>
              <w:p w14:paraId="6A3EE9E8" w14:textId="77777777" w:rsidR="00442DDC" w:rsidRDefault="00442DDC" w:rsidP="007A1DE4">
                <w:r>
                  <w:rPr>
                    <w:noProof/>
                  </w:rPr>
                  <w:drawing>
                    <wp:inline distT="0" distB="0" distL="0" distR="0" wp14:anchorId="1DFB629C" wp14:editId="2B08DA7A">
                      <wp:extent cx="2867025" cy="1971675"/>
                      <wp:effectExtent l="0" t="0" r="0" b="0"/>
                      <wp:docPr id="1960397964" name="Picture 1960397964"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397964" name="Picture 1960397964" descr="DESE logo"/>
                              <pic:cNvPicPr/>
                            </pic:nvPicPr>
                            <pic:blipFill>
                              <a:blip r:embed="rId11">
                                <a:extLst>
                                  <a:ext uri="{28A0092B-C50C-407E-A947-70E740481C1C}">
                                    <a14:useLocalDpi xmlns:a14="http://schemas.microsoft.com/office/drawing/2010/main" val="0"/>
                                  </a:ext>
                                </a:extLst>
                              </a:blip>
                              <a:stretch>
                                <a:fillRect/>
                              </a:stretch>
                            </pic:blipFill>
                            <pic:spPr>
                              <a:xfrm>
                                <a:off x="0" y="0"/>
                                <a:ext cx="2867025" cy="1971675"/>
                              </a:xfrm>
                              <a:prstGeom prst="rect">
                                <a:avLst/>
                              </a:prstGeom>
                            </pic:spPr>
                          </pic:pic>
                        </a:graphicData>
                      </a:graphic>
                    </wp:inline>
                  </w:drawing>
                </w:r>
              </w:p>
            </w:tc>
          </w:tr>
          <w:tr w:rsidR="00D2247E" w:rsidRPr="00F66EB7" w14:paraId="32410CFF" w14:textId="77777777" w:rsidTr="00442DDC">
            <w:trPr>
              <w:gridAfter w:val="1"/>
              <w:wAfter w:w="1965" w:type="dxa"/>
              <w:cantSplit/>
              <w:trHeight w:val="185"/>
            </w:trPr>
            <w:tc>
              <w:tcPr>
                <w:tcW w:w="939" w:type="dxa"/>
                <w:vMerge w:val="restart"/>
                <w:vAlign w:val="bottom"/>
              </w:tcPr>
              <w:p w14:paraId="446F0913" w14:textId="77777777" w:rsidR="00442DDC" w:rsidRPr="00274356" w:rsidRDefault="00442DDC" w:rsidP="007A1DE4"/>
            </w:tc>
            <w:tc>
              <w:tcPr>
                <w:tcW w:w="6664" w:type="dxa"/>
                <w:gridSpan w:val="2"/>
                <w:vAlign w:val="bottom"/>
              </w:tcPr>
              <w:p w14:paraId="72BC060D" w14:textId="241C6E6B" w:rsidR="00442DDC" w:rsidRPr="00442DDC" w:rsidRDefault="00442DDC" w:rsidP="007A1DE4">
                <w:pPr>
                  <w:pStyle w:val="ESEReportName"/>
                  <w:rPr>
                    <w:rFonts w:asciiTheme="majorHAnsi" w:hAnsiTheme="majorHAnsi" w:cstheme="majorHAnsi"/>
                  </w:rPr>
                </w:pPr>
                <w:r w:rsidRPr="00442DDC">
                  <w:rPr>
                    <w:rFonts w:asciiTheme="majorHAnsi" w:hAnsiTheme="majorHAnsi" w:cstheme="majorHAnsi"/>
                  </w:rPr>
                  <w:t>Guidelines for Educator Preparation Program Approval</w:t>
                </w:r>
              </w:p>
            </w:tc>
          </w:tr>
          <w:tr w:rsidR="00D2247E" w:rsidRPr="00EB1F6F" w14:paraId="737E1C2E" w14:textId="77777777" w:rsidTr="00442DDC">
            <w:trPr>
              <w:gridAfter w:val="1"/>
              <w:wAfter w:w="1965" w:type="dxa"/>
              <w:cantSplit/>
              <w:trHeight w:val="222"/>
            </w:trPr>
            <w:tc>
              <w:tcPr>
                <w:tcW w:w="939" w:type="dxa"/>
                <w:vMerge/>
                <w:vAlign w:val="bottom"/>
              </w:tcPr>
              <w:p w14:paraId="049C5840" w14:textId="77777777" w:rsidR="00442DDC" w:rsidRDefault="00442DDC" w:rsidP="007A1DE4">
                <w:pPr>
                  <w:spacing w:line="400" w:lineRule="exact"/>
                  <w:rPr>
                    <w:rFonts w:ascii="Arial" w:hAnsi="Arial"/>
                    <w:color w:val="000000"/>
                  </w:rPr>
                </w:pPr>
              </w:p>
            </w:tc>
            <w:tc>
              <w:tcPr>
                <w:tcW w:w="6664" w:type="dxa"/>
                <w:gridSpan w:val="2"/>
              </w:tcPr>
              <w:p w14:paraId="7CF238E8" w14:textId="77777777" w:rsidR="00442DDC" w:rsidRPr="00442DDC" w:rsidRDefault="002E69EF" w:rsidP="007A1DE4">
                <w:pPr>
                  <w:rPr>
                    <w:rFonts w:cstheme="majorHAnsi"/>
                  </w:rPr>
                </w:pPr>
                <w:r>
                  <w:rPr>
                    <w:rFonts w:cstheme="majorHAnsi"/>
                  </w:rPr>
                  <w:pict w14:anchorId="49F47C00">
                    <v:rect id="_x0000_i1025" style="width:0;height:1.5pt" o:hrstd="t" o:hr="t" fillcolor="#aaa" stroked="f"/>
                  </w:pict>
                </w:r>
              </w:p>
            </w:tc>
          </w:tr>
          <w:tr w:rsidR="00D2247E" w14:paraId="6C4ED08C" w14:textId="77777777" w:rsidTr="00442DDC">
            <w:trPr>
              <w:gridAfter w:val="1"/>
              <w:wAfter w:w="1965" w:type="dxa"/>
              <w:cantSplit/>
              <w:trHeight w:val="704"/>
            </w:trPr>
            <w:tc>
              <w:tcPr>
                <w:tcW w:w="939" w:type="dxa"/>
                <w:vMerge/>
                <w:vAlign w:val="bottom"/>
              </w:tcPr>
              <w:p w14:paraId="480C1350" w14:textId="77777777" w:rsidR="00442DDC" w:rsidRDefault="00442DDC" w:rsidP="007A1DE4">
                <w:pPr>
                  <w:spacing w:line="400" w:lineRule="exact"/>
                  <w:rPr>
                    <w:rFonts w:ascii="Arial" w:hAnsi="Arial"/>
                    <w:color w:val="000000"/>
                  </w:rPr>
                </w:pPr>
              </w:p>
            </w:tc>
            <w:tc>
              <w:tcPr>
                <w:tcW w:w="6664" w:type="dxa"/>
                <w:gridSpan w:val="2"/>
              </w:tcPr>
              <w:p w14:paraId="4930B2F9" w14:textId="6E475A52" w:rsidR="00442DDC" w:rsidRPr="00442DDC" w:rsidRDefault="00442DDC" w:rsidP="007A1DE4">
                <w:pPr>
                  <w:pStyle w:val="arial9"/>
                  <w:rPr>
                    <w:rFonts w:asciiTheme="majorHAnsi" w:hAnsiTheme="majorHAnsi" w:cstheme="majorHAnsi"/>
                  </w:rPr>
                </w:pPr>
                <w:r w:rsidRPr="00442DDC">
                  <w:rPr>
                    <w:rFonts w:asciiTheme="majorHAnsi" w:hAnsiTheme="majorHAnsi" w:cstheme="majorHAnsi"/>
                  </w:rPr>
                  <w:t>Draft for Public Comment, Winter 2023</w:t>
                </w:r>
              </w:p>
            </w:tc>
          </w:tr>
          <w:tr w:rsidR="00D2247E" w14:paraId="1D74DBD1" w14:textId="77777777" w:rsidTr="00442DDC">
            <w:trPr>
              <w:gridAfter w:val="1"/>
              <w:wAfter w:w="1965" w:type="dxa"/>
              <w:cantSplit/>
              <w:trHeight w:val="5791"/>
            </w:trPr>
            <w:tc>
              <w:tcPr>
                <w:tcW w:w="939" w:type="dxa"/>
                <w:vMerge/>
                <w:vAlign w:val="bottom"/>
              </w:tcPr>
              <w:p w14:paraId="26A37FC0" w14:textId="77777777" w:rsidR="00442DDC" w:rsidRDefault="00442DDC" w:rsidP="007A1DE4">
                <w:pPr>
                  <w:spacing w:line="400" w:lineRule="exact"/>
                  <w:rPr>
                    <w:rFonts w:ascii="Arial" w:hAnsi="Arial"/>
                    <w:color w:val="000000"/>
                  </w:rPr>
                </w:pPr>
              </w:p>
            </w:tc>
            <w:tc>
              <w:tcPr>
                <w:tcW w:w="6664" w:type="dxa"/>
                <w:gridSpan w:val="2"/>
                <w:vAlign w:val="bottom"/>
              </w:tcPr>
              <w:p w14:paraId="6968AA03" w14:textId="77777777" w:rsidR="00442DDC" w:rsidRPr="00442DDC" w:rsidRDefault="00442DDC" w:rsidP="007A1DE4">
                <w:pPr>
                  <w:pStyle w:val="AgencyTitle"/>
                  <w:rPr>
                    <w:rFonts w:asciiTheme="majorHAnsi" w:hAnsiTheme="majorHAnsi" w:cstheme="majorHAnsi"/>
                  </w:rPr>
                </w:pPr>
                <w:r w:rsidRPr="00442DDC">
                  <w:rPr>
                    <w:rFonts w:asciiTheme="majorHAnsi" w:hAnsiTheme="majorHAnsi" w:cstheme="majorHAnsi"/>
                  </w:rPr>
                  <w:t>Massachusetts Department of Elementary and Secondary Education</w:t>
                </w:r>
              </w:p>
              <w:p w14:paraId="6F4F16F2" w14:textId="77777777" w:rsidR="00442DDC" w:rsidRPr="00442DDC" w:rsidRDefault="00442DDC" w:rsidP="007A1DE4">
                <w:pPr>
                  <w:pStyle w:val="arial9"/>
                  <w:rPr>
                    <w:rFonts w:asciiTheme="majorHAnsi" w:hAnsiTheme="majorHAnsi" w:cstheme="majorHAnsi"/>
                    <w:snapToGrid w:val="0"/>
                  </w:rPr>
                </w:pPr>
                <w:r w:rsidRPr="00442DDC">
                  <w:rPr>
                    <w:rFonts w:asciiTheme="majorHAnsi" w:hAnsiTheme="majorHAnsi" w:cstheme="majorHAnsi"/>
                    <w:snapToGrid w:val="0"/>
                  </w:rPr>
                  <w:t xml:space="preserve">75 Pleasant Street, </w:t>
                </w:r>
                <w:smartTag w:uri="urn:schemas-microsoft-com:office:smarttags" w:element="place">
                  <w:smartTag w:uri="urn:schemas-microsoft-com:office:smarttags" w:element="City">
                    <w:r w:rsidRPr="00442DDC">
                      <w:rPr>
                        <w:rFonts w:asciiTheme="majorHAnsi" w:hAnsiTheme="majorHAnsi" w:cstheme="majorHAnsi"/>
                        <w:snapToGrid w:val="0"/>
                      </w:rPr>
                      <w:t>Malden</w:t>
                    </w:r>
                  </w:smartTag>
                  <w:r w:rsidRPr="00442DDC">
                    <w:rPr>
                      <w:rFonts w:asciiTheme="majorHAnsi" w:hAnsiTheme="majorHAnsi" w:cstheme="majorHAnsi"/>
                      <w:snapToGrid w:val="0"/>
                    </w:rPr>
                    <w:t xml:space="preserve">, </w:t>
                  </w:r>
                  <w:smartTag w:uri="urn:schemas-microsoft-com:office:smarttags" w:element="State">
                    <w:r w:rsidRPr="00442DDC">
                      <w:rPr>
                        <w:rFonts w:asciiTheme="majorHAnsi" w:hAnsiTheme="majorHAnsi" w:cstheme="majorHAnsi"/>
                        <w:snapToGrid w:val="0"/>
                      </w:rPr>
                      <w:t>MA</w:t>
                    </w:r>
                  </w:smartTag>
                  <w:r w:rsidRPr="00442DDC">
                    <w:rPr>
                      <w:rFonts w:asciiTheme="majorHAnsi" w:hAnsiTheme="majorHAnsi" w:cstheme="majorHAnsi"/>
                      <w:snapToGrid w:val="0"/>
                    </w:rPr>
                    <w:t xml:space="preserve"> </w:t>
                  </w:r>
                  <w:smartTag w:uri="urn:schemas-microsoft-com:office:smarttags" w:element="PostalCode">
                    <w:r w:rsidRPr="00442DDC">
                      <w:rPr>
                        <w:rFonts w:asciiTheme="majorHAnsi" w:hAnsiTheme="majorHAnsi" w:cstheme="majorHAnsi"/>
                        <w:snapToGrid w:val="0"/>
                      </w:rPr>
                      <w:t>02148</w:t>
                    </w:r>
                  </w:smartTag>
                </w:smartTag>
                <w:r w:rsidRPr="00442DDC">
                  <w:rPr>
                    <w:rFonts w:asciiTheme="majorHAnsi" w:hAnsiTheme="majorHAnsi" w:cstheme="majorHAnsi"/>
                    <w:snapToGrid w:val="0"/>
                  </w:rPr>
                  <w:t>-4906</w:t>
                </w:r>
              </w:p>
              <w:p w14:paraId="4830244B" w14:textId="77777777" w:rsidR="00442DDC" w:rsidRPr="00442DDC" w:rsidRDefault="00442DDC" w:rsidP="007A1DE4">
                <w:pPr>
                  <w:pStyle w:val="arial9"/>
                  <w:rPr>
                    <w:rFonts w:asciiTheme="majorHAnsi" w:hAnsiTheme="majorHAnsi" w:cstheme="majorHAnsi"/>
                    <w:snapToGrid w:val="0"/>
                  </w:rPr>
                </w:pPr>
                <w:r w:rsidRPr="00442DDC">
                  <w:rPr>
                    <w:rFonts w:asciiTheme="majorHAnsi" w:hAnsiTheme="majorHAnsi" w:cstheme="majorHAnsi"/>
                    <w:snapToGrid w:val="0"/>
                  </w:rPr>
                  <w:t>Phone 781-338-3000  TTY: N.E.T. Relay 800-439-2370</w:t>
                </w:r>
              </w:p>
              <w:p w14:paraId="79ED3E1D" w14:textId="77777777" w:rsidR="00442DDC" w:rsidRDefault="00442DDC" w:rsidP="007A1DE4">
                <w:pPr>
                  <w:pStyle w:val="arial9"/>
                </w:pPr>
                <w:r w:rsidRPr="00442DDC">
                  <w:rPr>
                    <w:rFonts w:asciiTheme="majorHAnsi" w:hAnsiTheme="majorHAnsi" w:cstheme="majorHAnsi"/>
                    <w:snapToGrid w:val="0"/>
                  </w:rPr>
                  <w:t>www.doe.mass.edu</w:t>
                </w:r>
              </w:p>
            </w:tc>
          </w:tr>
          <w:tr w:rsidR="00442DDC" w14:paraId="28A00563" w14:textId="77777777" w:rsidTr="00442DDC">
            <w:tblPrEx>
              <w:tblCellMar>
                <w:left w:w="108" w:type="dxa"/>
                <w:right w:w="108" w:type="dxa"/>
              </w:tblCellMar>
            </w:tblPrEx>
            <w:trPr>
              <w:trHeight w:val="74"/>
            </w:trPr>
            <w:tc>
              <w:tcPr>
                <w:tcW w:w="4784" w:type="dxa"/>
                <w:gridSpan w:val="2"/>
              </w:tcPr>
              <w:p w14:paraId="2721AF61" w14:textId="77777777" w:rsidR="00442DDC" w:rsidRDefault="00442DDC" w:rsidP="007A1DE4"/>
            </w:tc>
            <w:tc>
              <w:tcPr>
                <w:tcW w:w="4784" w:type="dxa"/>
                <w:gridSpan w:val="2"/>
              </w:tcPr>
              <w:p w14:paraId="5251D688" w14:textId="77777777" w:rsidR="00442DDC" w:rsidRDefault="00442DDC" w:rsidP="007A1DE4"/>
            </w:tc>
          </w:tr>
        </w:tbl>
        <w:p w14:paraId="6152AE96" w14:textId="153E12AF" w:rsidR="00442DDC" w:rsidRDefault="002E69EF">
          <w:pPr>
            <w:rPr>
              <w:rFonts w:eastAsiaTheme="majorEastAsia" w:cstheme="majorBidi"/>
              <w:color w:val="365F91" w:themeColor="accent1" w:themeShade="BF"/>
              <w:sz w:val="32"/>
              <w:szCs w:val="32"/>
            </w:rPr>
          </w:pPr>
        </w:p>
      </w:sdtContent>
    </w:sdt>
    <w:sdt>
      <w:sdtPr>
        <w:rPr>
          <w:rFonts w:ascii="Arial" w:eastAsia="Arial" w:hAnsi="Arial" w:cs="Arial"/>
          <w:color w:val="auto"/>
          <w:sz w:val="22"/>
          <w:szCs w:val="22"/>
        </w:rPr>
        <w:id w:val="-81072408"/>
        <w:docPartObj>
          <w:docPartGallery w:val="Table of Contents"/>
          <w:docPartUnique/>
        </w:docPartObj>
      </w:sdtPr>
      <w:sdtEndPr>
        <w:rPr>
          <w:rFonts w:asciiTheme="majorHAnsi" w:hAnsiTheme="majorHAnsi"/>
          <w:b/>
          <w:bCs/>
          <w:noProof/>
        </w:rPr>
      </w:sdtEndPr>
      <w:sdtContent>
        <w:p w14:paraId="36D46FC5" w14:textId="39F40438" w:rsidR="00966ADF" w:rsidRDefault="00BB0398">
          <w:pPr>
            <w:pStyle w:val="TOCHeading"/>
          </w:pPr>
          <w:r>
            <w:t xml:space="preserve">Table of </w:t>
          </w:r>
          <w:r w:rsidR="00966ADF">
            <w:t>Contents</w:t>
          </w:r>
        </w:p>
        <w:p w14:paraId="4404ACFD" w14:textId="3C7F06D1" w:rsidR="00442DDC" w:rsidRDefault="00966ADF">
          <w:pPr>
            <w:pStyle w:val="TOC1"/>
            <w:tabs>
              <w:tab w:val="right" w:leader="dot" w:pos="9362"/>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25575601" w:history="1">
            <w:r w:rsidR="00442DDC" w:rsidRPr="009C6BD3">
              <w:rPr>
                <w:rStyle w:val="Hyperlink"/>
                <w:noProof/>
                <w:highlight w:val="white"/>
              </w:rPr>
              <w:t>Context and Purpose</w:t>
            </w:r>
            <w:r w:rsidR="00442DDC">
              <w:rPr>
                <w:noProof/>
                <w:webHidden/>
              </w:rPr>
              <w:tab/>
              <w:t>2</w:t>
            </w:r>
          </w:hyperlink>
        </w:p>
        <w:p w14:paraId="026D51BC" w14:textId="4C4F2A27" w:rsidR="00442DDC" w:rsidRPr="00442DDC" w:rsidRDefault="002E69EF">
          <w:pPr>
            <w:pStyle w:val="TOC1"/>
            <w:tabs>
              <w:tab w:val="right" w:leader="dot" w:pos="9362"/>
            </w:tabs>
            <w:rPr>
              <w:rFonts w:asciiTheme="minorHAnsi" w:eastAsiaTheme="minorEastAsia" w:hAnsiTheme="minorHAnsi" w:cstheme="minorBidi"/>
              <w:noProof/>
              <w:color w:val="000000" w:themeColor="text1"/>
            </w:rPr>
          </w:pPr>
          <w:hyperlink w:anchor="_Toc125575602" w:history="1">
            <w:r w:rsidR="00442DDC" w:rsidRPr="00442DDC">
              <w:rPr>
                <w:rStyle w:val="Hyperlink"/>
                <w:noProof/>
                <w:color w:val="000000" w:themeColor="text1"/>
              </w:rPr>
              <w:t>Program Approval Standards and Review Criteria</w:t>
            </w:r>
            <w:r w:rsidR="00442DDC" w:rsidRPr="00442DDC">
              <w:rPr>
                <w:noProof/>
                <w:webHidden/>
                <w:color w:val="000000" w:themeColor="text1"/>
              </w:rPr>
              <w:tab/>
            </w:r>
            <w:r w:rsidR="00442DDC" w:rsidRPr="00442DDC">
              <w:rPr>
                <w:noProof/>
                <w:webHidden/>
                <w:color w:val="000000" w:themeColor="text1"/>
              </w:rPr>
              <w:fldChar w:fldCharType="begin"/>
            </w:r>
            <w:r w:rsidR="00442DDC" w:rsidRPr="00442DDC">
              <w:rPr>
                <w:noProof/>
                <w:webHidden/>
                <w:color w:val="000000" w:themeColor="text1"/>
              </w:rPr>
              <w:instrText xml:space="preserve"> PAGEREF _Toc125575602 \h </w:instrText>
            </w:r>
            <w:r w:rsidR="00442DDC" w:rsidRPr="00442DDC">
              <w:rPr>
                <w:noProof/>
                <w:webHidden/>
                <w:color w:val="000000" w:themeColor="text1"/>
              </w:rPr>
            </w:r>
            <w:r w:rsidR="00442DDC" w:rsidRPr="00442DDC">
              <w:rPr>
                <w:noProof/>
                <w:webHidden/>
                <w:color w:val="000000" w:themeColor="text1"/>
              </w:rPr>
              <w:fldChar w:fldCharType="separate"/>
            </w:r>
            <w:r w:rsidR="004103E0">
              <w:rPr>
                <w:noProof/>
                <w:webHidden/>
                <w:color w:val="000000" w:themeColor="text1"/>
              </w:rPr>
              <w:t>5</w:t>
            </w:r>
            <w:r w:rsidR="00442DDC" w:rsidRPr="00442DDC">
              <w:rPr>
                <w:noProof/>
                <w:webHidden/>
                <w:color w:val="000000" w:themeColor="text1"/>
              </w:rPr>
              <w:fldChar w:fldCharType="end"/>
            </w:r>
          </w:hyperlink>
        </w:p>
        <w:p w14:paraId="36E55B62" w14:textId="4C63AFDD" w:rsidR="00442DDC" w:rsidRPr="00442DDC" w:rsidRDefault="002E69EF">
          <w:pPr>
            <w:pStyle w:val="TOC1"/>
            <w:tabs>
              <w:tab w:val="right" w:leader="dot" w:pos="9362"/>
            </w:tabs>
            <w:rPr>
              <w:rFonts w:asciiTheme="minorHAnsi" w:eastAsiaTheme="minorEastAsia" w:hAnsiTheme="minorHAnsi" w:cstheme="minorBidi"/>
              <w:noProof/>
              <w:color w:val="000000" w:themeColor="text1"/>
            </w:rPr>
          </w:pPr>
          <w:hyperlink w:anchor="_Toc125575603" w:history="1">
            <w:r w:rsidR="00442DDC" w:rsidRPr="00442DDC">
              <w:rPr>
                <w:rStyle w:val="Hyperlink"/>
                <w:noProof/>
                <w:color w:val="000000" w:themeColor="text1"/>
              </w:rPr>
              <w:t>The Organization Domain</w:t>
            </w:r>
            <w:r w:rsidR="00442DDC" w:rsidRPr="00442DDC">
              <w:rPr>
                <w:noProof/>
                <w:webHidden/>
                <w:color w:val="000000" w:themeColor="text1"/>
              </w:rPr>
              <w:tab/>
            </w:r>
            <w:r w:rsidR="00442DDC" w:rsidRPr="00442DDC">
              <w:rPr>
                <w:noProof/>
                <w:webHidden/>
                <w:color w:val="000000" w:themeColor="text1"/>
              </w:rPr>
              <w:fldChar w:fldCharType="begin"/>
            </w:r>
            <w:r w:rsidR="00442DDC" w:rsidRPr="00442DDC">
              <w:rPr>
                <w:noProof/>
                <w:webHidden/>
                <w:color w:val="000000" w:themeColor="text1"/>
              </w:rPr>
              <w:instrText xml:space="preserve"> PAGEREF _Toc125575603 \h </w:instrText>
            </w:r>
            <w:r w:rsidR="00442DDC" w:rsidRPr="00442DDC">
              <w:rPr>
                <w:noProof/>
                <w:webHidden/>
                <w:color w:val="000000" w:themeColor="text1"/>
              </w:rPr>
            </w:r>
            <w:r w:rsidR="00442DDC" w:rsidRPr="00442DDC">
              <w:rPr>
                <w:noProof/>
                <w:webHidden/>
                <w:color w:val="000000" w:themeColor="text1"/>
              </w:rPr>
              <w:fldChar w:fldCharType="separate"/>
            </w:r>
            <w:r w:rsidR="004103E0">
              <w:rPr>
                <w:noProof/>
                <w:webHidden/>
                <w:color w:val="000000" w:themeColor="text1"/>
              </w:rPr>
              <w:t>7</w:t>
            </w:r>
            <w:r w:rsidR="00442DDC" w:rsidRPr="00442DDC">
              <w:rPr>
                <w:noProof/>
                <w:webHidden/>
                <w:color w:val="000000" w:themeColor="text1"/>
              </w:rPr>
              <w:fldChar w:fldCharType="end"/>
            </w:r>
          </w:hyperlink>
        </w:p>
        <w:p w14:paraId="5EE8C204" w14:textId="6F966D1B" w:rsidR="00442DDC" w:rsidRPr="00442DDC" w:rsidRDefault="002E69EF">
          <w:pPr>
            <w:pStyle w:val="TOC1"/>
            <w:tabs>
              <w:tab w:val="right" w:leader="dot" w:pos="9362"/>
            </w:tabs>
            <w:rPr>
              <w:rFonts w:asciiTheme="minorHAnsi" w:eastAsiaTheme="minorEastAsia" w:hAnsiTheme="minorHAnsi" w:cstheme="minorBidi"/>
              <w:noProof/>
              <w:color w:val="000000" w:themeColor="text1"/>
            </w:rPr>
          </w:pPr>
          <w:hyperlink w:anchor="_Toc125575605" w:history="1">
            <w:r w:rsidR="00442DDC" w:rsidRPr="00442DDC">
              <w:rPr>
                <w:rStyle w:val="Hyperlink"/>
                <w:noProof/>
                <w:color w:val="000000" w:themeColor="text1"/>
              </w:rPr>
              <w:t>The Continuous Improvement Domain</w:t>
            </w:r>
            <w:r w:rsidR="00442DDC" w:rsidRPr="00442DDC">
              <w:rPr>
                <w:noProof/>
                <w:webHidden/>
                <w:color w:val="000000" w:themeColor="text1"/>
              </w:rPr>
              <w:tab/>
            </w:r>
            <w:r w:rsidR="00442DDC" w:rsidRPr="00442DDC">
              <w:rPr>
                <w:noProof/>
                <w:webHidden/>
                <w:color w:val="000000" w:themeColor="text1"/>
              </w:rPr>
              <w:fldChar w:fldCharType="begin"/>
            </w:r>
            <w:r w:rsidR="00442DDC" w:rsidRPr="00442DDC">
              <w:rPr>
                <w:noProof/>
                <w:webHidden/>
                <w:color w:val="000000" w:themeColor="text1"/>
              </w:rPr>
              <w:instrText xml:space="preserve"> PAGEREF _Toc125575605 \h </w:instrText>
            </w:r>
            <w:r w:rsidR="00442DDC" w:rsidRPr="00442DDC">
              <w:rPr>
                <w:noProof/>
                <w:webHidden/>
                <w:color w:val="000000" w:themeColor="text1"/>
              </w:rPr>
            </w:r>
            <w:r w:rsidR="00442DDC" w:rsidRPr="00442DDC">
              <w:rPr>
                <w:noProof/>
                <w:webHidden/>
                <w:color w:val="000000" w:themeColor="text1"/>
              </w:rPr>
              <w:fldChar w:fldCharType="separate"/>
            </w:r>
            <w:r w:rsidR="004103E0">
              <w:rPr>
                <w:noProof/>
                <w:webHidden/>
                <w:color w:val="000000" w:themeColor="text1"/>
              </w:rPr>
              <w:t>8</w:t>
            </w:r>
            <w:r w:rsidR="00442DDC" w:rsidRPr="00442DDC">
              <w:rPr>
                <w:noProof/>
                <w:webHidden/>
                <w:color w:val="000000" w:themeColor="text1"/>
              </w:rPr>
              <w:fldChar w:fldCharType="end"/>
            </w:r>
          </w:hyperlink>
        </w:p>
        <w:p w14:paraId="0A20AFBD" w14:textId="765638F0" w:rsidR="00442DDC" w:rsidRPr="00442DDC" w:rsidRDefault="002E69EF">
          <w:pPr>
            <w:pStyle w:val="TOC1"/>
            <w:tabs>
              <w:tab w:val="right" w:leader="dot" w:pos="9362"/>
            </w:tabs>
            <w:rPr>
              <w:rFonts w:asciiTheme="minorHAnsi" w:eastAsiaTheme="minorEastAsia" w:hAnsiTheme="minorHAnsi" w:cstheme="minorBidi"/>
              <w:noProof/>
              <w:color w:val="000000" w:themeColor="text1"/>
            </w:rPr>
          </w:pPr>
          <w:hyperlink w:anchor="_Toc125575607" w:history="1">
            <w:r w:rsidR="00442DDC" w:rsidRPr="00442DDC">
              <w:rPr>
                <w:rStyle w:val="Hyperlink"/>
                <w:noProof/>
                <w:color w:val="000000" w:themeColor="text1"/>
              </w:rPr>
              <w:t>The Candidate Domain</w:t>
            </w:r>
            <w:r w:rsidR="00442DDC" w:rsidRPr="00442DDC">
              <w:rPr>
                <w:noProof/>
                <w:webHidden/>
                <w:color w:val="000000" w:themeColor="text1"/>
              </w:rPr>
              <w:tab/>
            </w:r>
            <w:r w:rsidR="00442DDC" w:rsidRPr="00442DDC">
              <w:rPr>
                <w:noProof/>
                <w:webHidden/>
                <w:color w:val="000000" w:themeColor="text1"/>
              </w:rPr>
              <w:fldChar w:fldCharType="begin"/>
            </w:r>
            <w:r w:rsidR="00442DDC" w:rsidRPr="00442DDC">
              <w:rPr>
                <w:noProof/>
                <w:webHidden/>
                <w:color w:val="000000" w:themeColor="text1"/>
              </w:rPr>
              <w:instrText xml:space="preserve"> PAGEREF _Toc125575607 \h </w:instrText>
            </w:r>
            <w:r w:rsidR="00442DDC" w:rsidRPr="00442DDC">
              <w:rPr>
                <w:noProof/>
                <w:webHidden/>
                <w:color w:val="000000" w:themeColor="text1"/>
              </w:rPr>
            </w:r>
            <w:r w:rsidR="00442DDC" w:rsidRPr="00442DDC">
              <w:rPr>
                <w:noProof/>
                <w:webHidden/>
                <w:color w:val="000000" w:themeColor="text1"/>
              </w:rPr>
              <w:fldChar w:fldCharType="separate"/>
            </w:r>
            <w:r w:rsidR="004103E0">
              <w:rPr>
                <w:noProof/>
                <w:webHidden/>
                <w:color w:val="000000" w:themeColor="text1"/>
              </w:rPr>
              <w:t>10</w:t>
            </w:r>
            <w:r w:rsidR="00442DDC" w:rsidRPr="00442DDC">
              <w:rPr>
                <w:noProof/>
                <w:webHidden/>
                <w:color w:val="000000" w:themeColor="text1"/>
              </w:rPr>
              <w:fldChar w:fldCharType="end"/>
            </w:r>
          </w:hyperlink>
        </w:p>
        <w:p w14:paraId="35270BFC" w14:textId="182991A2" w:rsidR="00442DDC" w:rsidRPr="00442DDC" w:rsidRDefault="002E69EF">
          <w:pPr>
            <w:pStyle w:val="TOC2"/>
            <w:tabs>
              <w:tab w:val="right" w:leader="dot" w:pos="9362"/>
            </w:tabs>
            <w:rPr>
              <w:rFonts w:asciiTheme="minorHAnsi" w:eastAsiaTheme="minorEastAsia" w:hAnsiTheme="minorHAnsi" w:cstheme="minorBidi"/>
              <w:noProof/>
              <w:color w:val="000000" w:themeColor="text1"/>
            </w:rPr>
          </w:pPr>
          <w:hyperlink w:anchor="_Toc125575609" w:history="1">
            <w:r w:rsidR="00442DDC" w:rsidRPr="00442DDC">
              <w:rPr>
                <w:rStyle w:val="Hyperlink"/>
                <w:noProof/>
                <w:color w:val="000000" w:themeColor="text1"/>
              </w:rPr>
              <w:t>Implementation of Waivers in Approved Programs</w:t>
            </w:r>
            <w:r w:rsidR="00442DDC" w:rsidRPr="00442DDC">
              <w:rPr>
                <w:noProof/>
                <w:webHidden/>
                <w:color w:val="000000" w:themeColor="text1"/>
              </w:rPr>
              <w:tab/>
            </w:r>
            <w:r w:rsidR="00442DDC" w:rsidRPr="00442DDC">
              <w:rPr>
                <w:noProof/>
                <w:webHidden/>
                <w:color w:val="000000" w:themeColor="text1"/>
              </w:rPr>
              <w:fldChar w:fldCharType="begin"/>
            </w:r>
            <w:r w:rsidR="00442DDC" w:rsidRPr="00442DDC">
              <w:rPr>
                <w:noProof/>
                <w:webHidden/>
                <w:color w:val="000000" w:themeColor="text1"/>
              </w:rPr>
              <w:instrText xml:space="preserve"> PAGEREF _Toc125575609 \h </w:instrText>
            </w:r>
            <w:r w:rsidR="00442DDC" w:rsidRPr="00442DDC">
              <w:rPr>
                <w:noProof/>
                <w:webHidden/>
                <w:color w:val="000000" w:themeColor="text1"/>
              </w:rPr>
            </w:r>
            <w:r w:rsidR="00442DDC" w:rsidRPr="00442DDC">
              <w:rPr>
                <w:noProof/>
                <w:webHidden/>
                <w:color w:val="000000" w:themeColor="text1"/>
              </w:rPr>
              <w:fldChar w:fldCharType="separate"/>
            </w:r>
            <w:r w:rsidR="004103E0">
              <w:rPr>
                <w:noProof/>
                <w:webHidden/>
                <w:color w:val="000000" w:themeColor="text1"/>
              </w:rPr>
              <w:t>11</w:t>
            </w:r>
            <w:r w:rsidR="00442DDC" w:rsidRPr="00442DDC">
              <w:rPr>
                <w:noProof/>
                <w:webHidden/>
                <w:color w:val="000000" w:themeColor="text1"/>
              </w:rPr>
              <w:fldChar w:fldCharType="end"/>
            </w:r>
          </w:hyperlink>
        </w:p>
        <w:p w14:paraId="360387EE" w14:textId="4BDE387D" w:rsidR="00442DDC" w:rsidRPr="00442DDC" w:rsidRDefault="002E69EF">
          <w:pPr>
            <w:pStyle w:val="TOC1"/>
            <w:tabs>
              <w:tab w:val="right" w:leader="dot" w:pos="9362"/>
            </w:tabs>
            <w:rPr>
              <w:rFonts w:asciiTheme="minorHAnsi" w:eastAsiaTheme="minorEastAsia" w:hAnsiTheme="minorHAnsi" w:cstheme="minorBidi"/>
              <w:noProof/>
              <w:color w:val="000000" w:themeColor="text1"/>
            </w:rPr>
          </w:pPr>
          <w:hyperlink w:anchor="_Toc125575610" w:history="1">
            <w:r w:rsidR="00442DDC" w:rsidRPr="00442DDC">
              <w:rPr>
                <w:rStyle w:val="Hyperlink"/>
                <w:noProof/>
                <w:color w:val="000000" w:themeColor="text1"/>
              </w:rPr>
              <w:t>The Partnerships Domain</w:t>
            </w:r>
            <w:r w:rsidR="00442DDC" w:rsidRPr="00442DDC">
              <w:rPr>
                <w:noProof/>
                <w:webHidden/>
                <w:color w:val="000000" w:themeColor="text1"/>
              </w:rPr>
              <w:tab/>
            </w:r>
            <w:r w:rsidR="00442DDC" w:rsidRPr="00442DDC">
              <w:rPr>
                <w:noProof/>
                <w:webHidden/>
                <w:color w:val="000000" w:themeColor="text1"/>
              </w:rPr>
              <w:fldChar w:fldCharType="begin"/>
            </w:r>
            <w:r w:rsidR="00442DDC" w:rsidRPr="00442DDC">
              <w:rPr>
                <w:noProof/>
                <w:webHidden/>
                <w:color w:val="000000" w:themeColor="text1"/>
              </w:rPr>
              <w:instrText xml:space="preserve"> PAGEREF _Toc125575610 \h </w:instrText>
            </w:r>
            <w:r w:rsidR="00442DDC" w:rsidRPr="00442DDC">
              <w:rPr>
                <w:noProof/>
                <w:webHidden/>
                <w:color w:val="000000" w:themeColor="text1"/>
              </w:rPr>
            </w:r>
            <w:r w:rsidR="00442DDC" w:rsidRPr="00442DDC">
              <w:rPr>
                <w:noProof/>
                <w:webHidden/>
                <w:color w:val="000000" w:themeColor="text1"/>
              </w:rPr>
              <w:fldChar w:fldCharType="separate"/>
            </w:r>
            <w:r w:rsidR="004103E0">
              <w:rPr>
                <w:noProof/>
                <w:webHidden/>
                <w:color w:val="000000" w:themeColor="text1"/>
              </w:rPr>
              <w:t>13</w:t>
            </w:r>
            <w:r w:rsidR="00442DDC" w:rsidRPr="00442DDC">
              <w:rPr>
                <w:noProof/>
                <w:webHidden/>
                <w:color w:val="000000" w:themeColor="text1"/>
              </w:rPr>
              <w:fldChar w:fldCharType="end"/>
            </w:r>
          </w:hyperlink>
        </w:p>
        <w:p w14:paraId="3BA41A2E" w14:textId="10C147EE" w:rsidR="00442DDC" w:rsidRPr="00442DDC" w:rsidRDefault="002E69EF">
          <w:pPr>
            <w:pStyle w:val="TOC1"/>
            <w:tabs>
              <w:tab w:val="right" w:leader="dot" w:pos="9362"/>
            </w:tabs>
            <w:rPr>
              <w:rFonts w:asciiTheme="minorHAnsi" w:eastAsiaTheme="minorEastAsia" w:hAnsiTheme="minorHAnsi" w:cstheme="minorBidi"/>
              <w:noProof/>
              <w:color w:val="000000" w:themeColor="text1"/>
            </w:rPr>
          </w:pPr>
          <w:hyperlink w:anchor="_Toc125575613" w:history="1">
            <w:r w:rsidR="00442DDC" w:rsidRPr="00442DDC">
              <w:rPr>
                <w:rStyle w:val="Hyperlink"/>
                <w:noProof/>
                <w:color w:val="000000" w:themeColor="text1"/>
              </w:rPr>
              <w:t>The Field-Based Experiences Domain</w:t>
            </w:r>
            <w:r w:rsidR="00442DDC" w:rsidRPr="00442DDC">
              <w:rPr>
                <w:noProof/>
                <w:webHidden/>
                <w:color w:val="000000" w:themeColor="text1"/>
              </w:rPr>
              <w:tab/>
            </w:r>
            <w:r w:rsidR="00442DDC" w:rsidRPr="00442DDC">
              <w:rPr>
                <w:noProof/>
                <w:webHidden/>
                <w:color w:val="000000" w:themeColor="text1"/>
              </w:rPr>
              <w:fldChar w:fldCharType="begin"/>
            </w:r>
            <w:r w:rsidR="00442DDC" w:rsidRPr="00442DDC">
              <w:rPr>
                <w:noProof/>
                <w:webHidden/>
                <w:color w:val="000000" w:themeColor="text1"/>
              </w:rPr>
              <w:instrText xml:space="preserve"> PAGEREF _Toc125575613 \h </w:instrText>
            </w:r>
            <w:r w:rsidR="00442DDC" w:rsidRPr="00442DDC">
              <w:rPr>
                <w:noProof/>
                <w:webHidden/>
                <w:color w:val="000000" w:themeColor="text1"/>
              </w:rPr>
            </w:r>
            <w:r w:rsidR="00442DDC" w:rsidRPr="00442DDC">
              <w:rPr>
                <w:noProof/>
                <w:webHidden/>
                <w:color w:val="000000" w:themeColor="text1"/>
              </w:rPr>
              <w:fldChar w:fldCharType="separate"/>
            </w:r>
            <w:r w:rsidR="004103E0">
              <w:rPr>
                <w:noProof/>
                <w:webHidden/>
                <w:color w:val="000000" w:themeColor="text1"/>
              </w:rPr>
              <w:t>16</w:t>
            </w:r>
            <w:r w:rsidR="00442DDC" w:rsidRPr="00442DDC">
              <w:rPr>
                <w:noProof/>
                <w:webHidden/>
                <w:color w:val="000000" w:themeColor="text1"/>
              </w:rPr>
              <w:fldChar w:fldCharType="end"/>
            </w:r>
          </w:hyperlink>
        </w:p>
        <w:p w14:paraId="699376B8" w14:textId="7E03D69A" w:rsidR="00442DDC" w:rsidRPr="00442DDC" w:rsidRDefault="002E69EF">
          <w:pPr>
            <w:pStyle w:val="TOC2"/>
            <w:tabs>
              <w:tab w:val="right" w:leader="dot" w:pos="9362"/>
            </w:tabs>
            <w:rPr>
              <w:rFonts w:asciiTheme="minorHAnsi" w:eastAsiaTheme="minorEastAsia" w:hAnsiTheme="minorHAnsi" w:cstheme="minorBidi"/>
              <w:noProof/>
              <w:color w:val="000000" w:themeColor="text1"/>
            </w:rPr>
          </w:pPr>
          <w:hyperlink w:anchor="_Toc125575617" w:history="1">
            <w:r w:rsidR="00442DDC" w:rsidRPr="00442DDC">
              <w:rPr>
                <w:rStyle w:val="Hyperlink"/>
                <w:noProof/>
                <w:color w:val="000000" w:themeColor="text1"/>
              </w:rPr>
              <w:t>Performance Assessments during Practicum/Practicum Equivalent Experiences</w:t>
            </w:r>
            <w:r w:rsidR="00442DDC" w:rsidRPr="00442DDC">
              <w:rPr>
                <w:noProof/>
                <w:webHidden/>
                <w:color w:val="000000" w:themeColor="text1"/>
              </w:rPr>
              <w:tab/>
            </w:r>
            <w:r w:rsidR="00442DDC" w:rsidRPr="00442DDC">
              <w:rPr>
                <w:noProof/>
                <w:webHidden/>
                <w:color w:val="000000" w:themeColor="text1"/>
              </w:rPr>
              <w:fldChar w:fldCharType="begin"/>
            </w:r>
            <w:r w:rsidR="00442DDC" w:rsidRPr="00442DDC">
              <w:rPr>
                <w:noProof/>
                <w:webHidden/>
                <w:color w:val="000000" w:themeColor="text1"/>
              </w:rPr>
              <w:instrText xml:space="preserve"> PAGEREF _Toc125575617 \h </w:instrText>
            </w:r>
            <w:r w:rsidR="00442DDC" w:rsidRPr="00442DDC">
              <w:rPr>
                <w:noProof/>
                <w:webHidden/>
                <w:color w:val="000000" w:themeColor="text1"/>
              </w:rPr>
            </w:r>
            <w:r w:rsidR="00442DDC" w:rsidRPr="00442DDC">
              <w:rPr>
                <w:noProof/>
                <w:webHidden/>
                <w:color w:val="000000" w:themeColor="text1"/>
              </w:rPr>
              <w:fldChar w:fldCharType="separate"/>
            </w:r>
            <w:r w:rsidR="004103E0">
              <w:rPr>
                <w:noProof/>
                <w:webHidden/>
                <w:color w:val="000000" w:themeColor="text1"/>
              </w:rPr>
              <w:t>19</w:t>
            </w:r>
            <w:r w:rsidR="00442DDC" w:rsidRPr="00442DDC">
              <w:rPr>
                <w:noProof/>
                <w:webHidden/>
                <w:color w:val="000000" w:themeColor="text1"/>
              </w:rPr>
              <w:fldChar w:fldCharType="end"/>
            </w:r>
          </w:hyperlink>
        </w:p>
        <w:p w14:paraId="4A734BF8" w14:textId="43322173" w:rsidR="00442DDC" w:rsidRPr="00442DDC" w:rsidRDefault="002E69EF">
          <w:pPr>
            <w:pStyle w:val="TOC1"/>
            <w:tabs>
              <w:tab w:val="right" w:leader="dot" w:pos="9362"/>
            </w:tabs>
            <w:rPr>
              <w:rFonts w:asciiTheme="minorHAnsi" w:eastAsiaTheme="minorEastAsia" w:hAnsiTheme="minorHAnsi" w:cstheme="minorBidi"/>
              <w:noProof/>
              <w:color w:val="000000" w:themeColor="text1"/>
            </w:rPr>
          </w:pPr>
          <w:hyperlink w:anchor="_Toc125575621" w:history="1">
            <w:r w:rsidR="00442DDC" w:rsidRPr="00442DDC">
              <w:rPr>
                <w:rStyle w:val="Hyperlink"/>
                <w:noProof/>
                <w:color w:val="000000" w:themeColor="text1"/>
              </w:rPr>
              <w:t>The Instruction Domain</w:t>
            </w:r>
            <w:r w:rsidR="00442DDC" w:rsidRPr="00442DDC">
              <w:rPr>
                <w:noProof/>
                <w:webHidden/>
                <w:color w:val="000000" w:themeColor="text1"/>
              </w:rPr>
              <w:tab/>
            </w:r>
            <w:r w:rsidR="00442DDC" w:rsidRPr="00442DDC">
              <w:rPr>
                <w:noProof/>
                <w:webHidden/>
                <w:color w:val="000000" w:themeColor="text1"/>
              </w:rPr>
              <w:fldChar w:fldCharType="begin"/>
            </w:r>
            <w:r w:rsidR="00442DDC" w:rsidRPr="00442DDC">
              <w:rPr>
                <w:noProof/>
                <w:webHidden/>
                <w:color w:val="000000" w:themeColor="text1"/>
              </w:rPr>
              <w:instrText xml:space="preserve"> PAGEREF _Toc125575621 \h </w:instrText>
            </w:r>
            <w:r w:rsidR="00442DDC" w:rsidRPr="00442DDC">
              <w:rPr>
                <w:noProof/>
                <w:webHidden/>
                <w:color w:val="000000" w:themeColor="text1"/>
              </w:rPr>
            </w:r>
            <w:r w:rsidR="00442DDC" w:rsidRPr="00442DDC">
              <w:rPr>
                <w:noProof/>
                <w:webHidden/>
                <w:color w:val="000000" w:themeColor="text1"/>
              </w:rPr>
              <w:fldChar w:fldCharType="separate"/>
            </w:r>
            <w:r w:rsidR="004103E0">
              <w:rPr>
                <w:noProof/>
                <w:webHidden/>
                <w:color w:val="000000" w:themeColor="text1"/>
              </w:rPr>
              <w:t>22</w:t>
            </w:r>
            <w:r w:rsidR="00442DDC" w:rsidRPr="00442DDC">
              <w:rPr>
                <w:noProof/>
                <w:webHidden/>
                <w:color w:val="000000" w:themeColor="text1"/>
              </w:rPr>
              <w:fldChar w:fldCharType="end"/>
            </w:r>
          </w:hyperlink>
        </w:p>
        <w:p w14:paraId="36E9E604" w14:textId="4FE90912" w:rsidR="00442DDC" w:rsidRPr="00442DDC" w:rsidRDefault="002E69EF">
          <w:pPr>
            <w:pStyle w:val="TOC1"/>
            <w:tabs>
              <w:tab w:val="right" w:leader="dot" w:pos="9362"/>
            </w:tabs>
            <w:rPr>
              <w:rFonts w:asciiTheme="minorHAnsi" w:eastAsiaTheme="minorEastAsia" w:hAnsiTheme="minorHAnsi" w:cstheme="minorBidi"/>
              <w:noProof/>
              <w:color w:val="000000" w:themeColor="text1"/>
            </w:rPr>
          </w:pPr>
          <w:hyperlink w:anchor="_Toc125575627" w:history="1">
            <w:r w:rsidR="00442DDC" w:rsidRPr="00442DDC">
              <w:rPr>
                <w:rStyle w:val="Hyperlink"/>
                <w:noProof/>
                <w:color w:val="000000" w:themeColor="text1"/>
              </w:rPr>
              <w:t>Program Approval Overview and DESE Role</w:t>
            </w:r>
            <w:r w:rsidR="00442DDC" w:rsidRPr="00442DDC">
              <w:rPr>
                <w:noProof/>
                <w:webHidden/>
                <w:color w:val="000000" w:themeColor="text1"/>
              </w:rPr>
              <w:tab/>
            </w:r>
            <w:r w:rsidR="00442DDC" w:rsidRPr="00442DDC">
              <w:rPr>
                <w:noProof/>
                <w:webHidden/>
                <w:color w:val="000000" w:themeColor="text1"/>
              </w:rPr>
              <w:fldChar w:fldCharType="begin"/>
            </w:r>
            <w:r w:rsidR="00442DDC" w:rsidRPr="00442DDC">
              <w:rPr>
                <w:noProof/>
                <w:webHidden/>
                <w:color w:val="000000" w:themeColor="text1"/>
              </w:rPr>
              <w:instrText xml:space="preserve"> PAGEREF _Toc125575627 \h </w:instrText>
            </w:r>
            <w:r w:rsidR="00442DDC" w:rsidRPr="00442DDC">
              <w:rPr>
                <w:noProof/>
                <w:webHidden/>
                <w:color w:val="000000" w:themeColor="text1"/>
              </w:rPr>
            </w:r>
            <w:r w:rsidR="00442DDC" w:rsidRPr="00442DDC">
              <w:rPr>
                <w:noProof/>
                <w:webHidden/>
                <w:color w:val="000000" w:themeColor="text1"/>
              </w:rPr>
              <w:fldChar w:fldCharType="separate"/>
            </w:r>
            <w:r w:rsidR="004103E0">
              <w:rPr>
                <w:noProof/>
                <w:webHidden/>
                <w:color w:val="000000" w:themeColor="text1"/>
              </w:rPr>
              <w:t>26</w:t>
            </w:r>
            <w:r w:rsidR="00442DDC" w:rsidRPr="00442DDC">
              <w:rPr>
                <w:noProof/>
                <w:webHidden/>
                <w:color w:val="000000" w:themeColor="text1"/>
              </w:rPr>
              <w:fldChar w:fldCharType="end"/>
            </w:r>
          </w:hyperlink>
        </w:p>
        <w:p w14:paraId="1CA660A0" w14:textId="3F1AC86E" w:rsidR="00442DDC" w:rsidRPr="00442DDC" w:rsidRDefault="002E69EF">
          <w:pPr>
            <w:pStyle w:val="TOC1"/>
            <w:tabs>
              <w:tab w:val="right" w:leader="dot" w:pos="9362"/>
            </w:tabs>
            <w:rPr>
              <w:rFonts w:asciiTheme="minorHAnsi" w:eastAsiaTheme="minorEastAsia" w:hAnsiTheme="minorHAnsi" w:cstheme="minorBidi"/>
              <w:noProof/>
              <w:color w:val="000000" w:themeColor="text1"/>
            </w:rPr>
          </w:pPr>
          <w:hyperlink w:anchor="_Toc125575630" w:history="1">
            <w:r w:rsidR="00442DDC" w:rsidRPr="00442DDC">
              <w:rPr>
                <w:rStyle w:val="Hyperlink"/>
                <w:noProof/>
                <w:color w:val="000000" w:themeColor="text1"/>
              </w:rPr>
              <w:t>The Review Process</w:t>
            </w:r>
            <w:r w:rsidR="00442DDC" w:rsidRPr="00442DDC">
              <w:rPr>
                <w:noProof/>
                <w:webHidden/>
                <w:color w:val="000000" w:themeColor="text1"/>
              </w:rPr>
              <w:tab/>
            </w:r>
            <w:r w:rsidR="00442DDC" w:rsidRPr="00442DDC">
              <w:rPr>
                <w:noProof/>
                <w:webHidden/>
                <w:color w:val="000000" w:themeColor="text1"/>
              </w:rPr>
              <w:fldChar w:fldCharType="begin"/>
            </w:r>
            <w:r w:rsidR="00442DDC" w:rsidRPr="00442DDC">
              <w:rPr>
                <w:noProof/>
                <w:webHidden/>
                <w:color w:val="000000" w:themeColor="text1"/>
              </w:rPr>
              <w:instrText xml:space="preserve"> PAGEREF _Toc125575630 \h </w:instrText>
            </w:r>
            <w:r w:rsidR="00442DDC" w:rsidRPr="00442DDC">
              <w:rPr>
                <w:noProof/>
                <w:webHidden/>
                <w:color w:val="000000" w:themeColor="text1"/>
              </w:rPr>
            </w:r>
            <w:r w:rsidR="00442DDC" w:rsidRPr="00442DDC">
              <w:rPr>
                <w:noProof/>
                <w:webHidden/>
                <w:color w:val="000000" w:themeColor="text1"/>
              </w:rPr>
              <w:fldChar w:fldCharType="separate"/>
            </w:r>
            <w:r w:rsidR="004103E0">
              <w:rPr>
                <w:noProof/>
                <w:webHidden/>
                <w:color w:val="000000" w:themeColor="text1"/>
              </w:rPr>
              <w:t>28</w:t>
            </w:r>
            <w:r w:rsidR="00442DDC" w:rsidRPr="00442DDC">
              <w:rPr>
                <w:noProof/>
                <w:webHidden/>
                <w:color w:val="000000" w:themeColor="text1"/>
              </w:rPr>
              <w:fldChar w:fldCharType="end"/>
            </w:r>
          </w:hyperlink>
        </w:p>
        <w:p w14:paraId="35D59399" w14:textId="55C7D9AF" w:rsidR="00442DDC" w:rsidRPr="00442DDC" w:rsidRDefault="002E69EF">
          <w:pPr>
            <w:pStyle w:val="TOC2"/>
            <w:tabs>
              <w:tab w:val="right" w:leader="dot" w:pos="9362"/>
            </w:tabs>
            <w:rPr>
              <w:rFonts w:asciiTheme="minorHAnsi" w:eastAsiaTheme="minorEastAsia" w:hAnsiTheme="minorHAnsi" w:cstheme="minorBidi"/>
              <w:noProof/>
              <w:color w:val="000000" w:themeColor="text1"/>
            </w:rPr>
          </w:pPr>
          <w:hyperlink w:anchor="_Toc125575631" w:history="1">
            <w:r w:rsidR="00442DDC" w:rsidRPr="00442DDC">
              <w:rPr>
                <w:rStyle w:val="Hyperlink"/>
                <w:noProof/>
                <w:color w:val="000000" w:themeColor="text1"/>
              </w:rPr>
              <w:t>Informal Review</w:t>
            </w:r>
            <w:r w:rsidR="00442DDC" w:rsidRPr="00442DDC">
              <w:rPr>
                <w:noProof/>
                <w:webHidden/>
                <w:color w:val="000000" w:themeColor="text1"/>
              </w:rPr>
              <w:tab/>
            </w:r>
            <w:r w:rsidR="00442DDC" w:rsidRPr="00442DDC">
              <w:rPr>
                <w:noProof/>
                <w:webHidden/>
                <w:color w:val="000000" w:themeColor="text1"/>
              </w:rPr>
              <w:fldChar w:fldCharType="begin"/>
            </w:r>
            <w:r w:rsidR="00442DDC" w:rsidRPr="00442DDC">
              <w:rPr>
                <w:noProof/>
                <w:webHidden/>
                <w:color w:val="000000" w:themeColor="text1"/>
              </w:rPr>
              <w:instrText xml:space="preserve"> PAGEREF _Toc125575631 \h </w:instrText>
            </w:r>
            <w:r w:rsidR="00442DDC" w:rsidRPr="00442DDC">
              <w:rPr>
                <w:noProof/>
                <w:webHidden/>
                <w:color w:val="000000" w:themeColor="text1"/>
              </w:rPr>
            </w:r>
            <w:r w:rsidR="00442DDC" w:rsidRPr="00442DDC">
              <w:rPr>
                <w:noProof/>
                <w:webHidden/>
                <w:color w:val="000000" w:themeColor="text1"/>
              </w:rPr>
              <w:fldChar w:fldCharType="separate"/>
            </w:r>
            <w:r w:rsidR="004103E0">
              <w:rPr>
                <w:noProof/>
                <w:webHidden/>
                <w:color w:val="000000" w:themeColor="text1"/>
              </w:rPr>
              <w:t>28</w:t>
            </w:r>
            <w:r w:rsidR="00442DDC" w:rsidRPr="00442DDC">
              <w:rPr>
                <w:noProof/>
                <w:webHidden/>
                <w:color w:val="000000" w:themeColor="text1"/>
              </w:rPr>
              <w:fldChar w:fldCharType="end"/>
            </w:r>
          </w:hyperlink>
        </w:p>
        <w:p w14:paraId="5D8C1445" w14:textId="113F07A6" w:rsidR="00442DDC" w:rsidRPr="00442DDC" w:rsidRDefault="002E69EF">
          <w:pPr>
            <w:pStyle w:val="TOC2"/>
            <w:tabs>
              <w:tab w:val="right" w:leader="dot" w:pos="9362"/>
            </w:tabs>
            <w:rPr>
              <w:rFonts w:asciiTheme="minorHAnsi" w:eastAsiaTheme="minorEastAsia" w:hAnsiTheme="minorHAnsi" w:cstheme="minorBidi"/>
              <w:noProof/>
              <w:color w:val="000000" w:themeColor="text1"/>
            </w:rPr>
          </w:pPr>
          <w:hyperlink w:anchor="_Toc125575632" w:history="1">
            <w:r w:rsidR="00442DDC" w:rsidRPr="00442DDC">
              <w:rPr>
                <w:rStyle w:val="Hyperlink"/>
                <w:noProof/>
                <w:color w:val="000000" w:themeColor="text1"/>
              </w:rPr>
              <w:t>Interim Review of Approved Programs</w:t>
            </w:r>
            <w:r w:rsidR="00442DDC" w:rsidRPr="00442DDC">
              <w:rPr>
                <w:noProof/>
                <w:webHidden/>
                <w:color w:val="000000" w:themeColor="text1"/>
              </w:rPr>
              <w:tab/>
            </w:r>
            <w:r w:rsidR="00442DDC" w:rsidRPr="00442DDC">
              <w:rPr>
                <w:noProof/>
                <w:webHidden/>
                <w:color w:val="000000" w:themeColor="text1"/>
              </w:rPr>
              <w:fldChar w:fldCharType="begin"/>
            </w:r>
            <w:r w:rsidR="00442DDC" w:rsidRPr="00442DDC">
              <w:rPr>
                <w:noProof/>
                <w:webHidden/>
                <w:color w:val="000000" w:themeColor="text1"/>
              </w:rPr>
              <w:instrText xml:space="preserve"> PAGEREF _Toc125575632 \h </w:instrText>
            </w:r>
            <w:r w:rsidR="00442DDC" w:rsidRPr="00442DDC">
              <w:rPr>
                <w:noProof/>
                <w:webHidden/>
                <w:color w:val="000000" w:themeColor="text1"/>
              </w:rPr>
            </w:r>
            <w:r w:rsidR="00442DDC" w:rsidRPr="00442DDC">
              <w:rPr>
                <w:noProof/>
                <w:webHidden/>
                <w:color w:val="000000" w:themeColor="text1"/>
              </w:rPr>
              <w:fldChar w:fldCharType="separate"/>
            </w:r>
            <w:r w:rsidR="004103E0">
              <w:rPr>
                <w:noProof/>
                <w:webHidden/>
                <w:color w:val="000000" w:themeColor="text1"/>
              </w:rPr>
              <w:t>30</w:t>
            </w:r>
            <w:r w:rsidR="00442DDC" w:rsidRPr="00442DDC">
              <w:rPr>
                <w:noProof/>
                <w:webHidden/>
                <w:color w:val="000000" w:themeColor="text1"/>
              </w:rPr>
              <w:fldChar w:fldCharType="end"/>
            </w:r>
          </w:hyperlink>
        </w:p>
        <w:p w14:paraId="61F2840A" w14:textId="5608BED0" w:rsidR="00442DDC" w:rsidRPr="00442DDC" w:rsidRDefault="002E69EF">
          <w:pPr>
            <w:pStyle w:val="TOC2"/>
            <w:tabs>
              <w:tab w:val="right" w:leader="dot" w:pos="9362"/>
            </w:tabs>
            <w:rPr>
              <w:rFonts w:asciiTheme="minorHAnsi" w:eastAsiaTheme="minorEastAsia" w:hAnsiTheme="minorHAnsi" w:cstheme="minorBidi"/>
              <w:noProof/>
              <w:color w:val="000000" w:themeColor="text1"/>
            </w:rPr>
          </w:pPr>
          <w:hyperlink w:anchor="_Toc125575633" w:history="1">
            <w:r w:rsidR="00442DDC" w:rsidRPr="00442DDC">
              <w:rPr>
                <w:rStyle w:val="Hyperlink"/>
                <w:noProof/>
                <w:color w:val="000000" w:themeColor="text1"/>
              </w:rPr>
              <w:t>Formal Review</w:t>
            </w:r>
            <w:r w:rsidR="00442DDC" w:rsidRPr="00442DDC">
              <w:rPr>
                <w:noProof/>
                <w:webHidden/>
                <w:color w:val="000000" w:themeColor="text1"/>
              </w:rPr>
              <w:tab/>
            </w:r>
            <w:r w:rsidR="00442DDC" w:rsidRPr="00442DDC">
              <w:rPr>
                <w:noProof/>
                <w:webHidden/>
                <w:color w:val="000000" w:themeColor="text1"/>
              </w:rPr>
              <w:fldChar w:fldCharType="begin"/>
            </w:r>
            <w:r w:rsidR="00442DDC" w:rsidRPr="00442DDC">
              <w:rPr>
                <w:noProof/>
                <w:webHidden/>
                <w:color w:val="000000" w:themeColor="text1"/>
              </w:rPr>
              <w:instrText xml:space="preserve"> PAGEREF _Toc125575633 \h </w:instrText>
            </w:r>
            <w:r w:rsidR="00442DDC" w:rsidRPr="00442DDC">
              <w:rPr>
                <w:noProof/>
                <w:webHidden/>
                <w:color w:val="000000" w:themeColor="text1"/>
              </w:rPr>
            </w:r>
            <w:r w:rsidR="00442DDC" w:rsidRPr="00442DDC">
              <w:rPr>
                <w:noProof/>
                <w:webHidden/>
                <w:color w:val="000000" w:themeColor="text1"/>
              </w:rPr>
              <w:fldChar w:fldCharType="separate"/>
            </w:r>
            <w:r w:rsidR="004103E0">
              <w:rPr>
                <w:noProof/>
                <w:webHidden/>
                <w:color w:val="000000" w:themeColor="text1"/>
              </w:rPr>
              <w:t>32</w:t>
            </w:r>
            <w:r w:rsidR="00442DDC" w:rsidRPr="00442DDC">
              <w:rPr>
                <w:noProof/>
                <w:webHidden/>
                <w:color w:val="000000" w:themeColor="text1"/>
              </w:rPr>
              <w:fldChar w:fldCharType="end"/>
            </w:r>
          </w:hyperlink>
        </w:p>
        <w:p w14:paraId="303908A5" w14:textId="4617FECC" w:rsidR="00442DDC" w:rsidRPr="00442DDC" w:rsidRDefault="002E69EF">
          <w:pPr>
            <w:pStyle w:val="TOC1"/>
            <w:tabs>
              <w:tab w:val="right" w:leader="dot" w:pos="9362"/>
            </w:tabs>
            <w:rPr>
              <w:rFonts w:asciiTheme="minorHAnsi" w:eastAsiaTheme="minorEastAsia" w:hAnsiTheme="minorHAnsi" w:cstheme="minorBidi"/>
              <w:noProof/>
              <w:color w:val="000000" w:themeColor="text1"/>
            </w:rPr>
          </w:pPr>
          <w:hyperlink w:anchor="_Toc125575637" w:history="1">
            <w:r w:rsidR="00442DDC" w:rsidRPr="00442DDC">
              <w:rPr>
                <w:rStyle w:val="Hyperlink"/>
                <w:noProof/>
                <w:color w:val="000000" w:themeColor="text1"/>
              </w:rPr>
              <w:t>Approval</w:t>
            </w:r>
            <w:r w:rsidR="00442DDC" w:rsidRPr="00442DDC">
              <w:rPr>
                <w:rStyle w:val="Hyperlink"/>
                <w:noProof/>
                <w:color w:val="000000" w:themeColor="text1"/>
                <w:spacing w:val="-1"/>
              </w:rPr>
              <w:t xml:space="preserve"> </w:t>
            </w:r>
            <w:r w:rsidR="00442DDC" w:rsidRPr="00442DDC">
              <w:rPr>
                <w:rStyle w:val="Hyperlink"/>
                <w:noProof/>
                <w:color w:val="000000" w:themeColor="text1"/>
              </w:rPr>
              <w:t>Determinations</w:t>
            </w:r>
            <w:r w:rsidR="00442DDC" w:rsidRPr="00442DDC">
              <w:rPr>
                <w:noProof/>
                <w:webHidden/>
                <w:color w:val="000000" w:themeColor="text1"/>
              </w:rPr>
              <w:tab/>
            </w:r>
            <w:r w:rsidR="00442DDC" w:rsidRPr="00442DDC">
              <w:rPr>
                <w:noProof/>
                <w:webHidden/>
                <w:color w:val="000000" w:themeColor="text1"/>
              </w:rPr>
              <w:fldChar w:fldCharType="begin"/>
            </w:r>
            <w:r w:rsidR="00442DDC" w:rsidRPr="00442DDC">
              <w:rPr>
                <w:noProof/>
                <w:webHidden/>
                <w:color w:val="000000" w:themeColor="text1"/>
              </w:rPr>
              <w:instrText xml:space="preserve"> PAGEREF _Toc125575637 \h </w:instrText>
            </w:r>
            <w:r w:rsidR="00442DDC" w:rsidRPr="00442DDC">
              <w:rPr>
                <w:noProof/>
                <w:webHidden/>
                <w:color w:val="000000" w:themeColor="text1"/>
              </w:rPr>
            </w:r>
            <w:r w:rsidR="00442DDC" w:rsidRPr="00442DDC">
              <w:rPr>
                <w:noProof/>
                <w:webHidden/>
                <w:color w:val="000000" w:themeColor="text1"/>
              </w:rPr>
              <w:fldChar w:fldCharType="separate"/>
            </w:r>
            <w:r w:rsidR="004103E0">
              <w:rPr>
                <w:noProof/>
                <w:webHidden/>
                <w:color w:val="000000" w:themeColor="text1"/>
              </w:rPr>
              <w:t>39</w:t>
            </w:r>
            <w:r w:rsidR="00442DDC" w:rsidRPr="00442DDC">
              <w:rPr>
                <w:noProof/>
                <w:webHidden/>
                <w:color w:val="000000" w:themeColor="text1"/>
              </w:rPr>
              <w:fldChar w:fldCharType="end"/>
            </w:r>
          </w:hyperlink>
        </w:p>
        <w:p w14:paraId="170D71E3" w14:textId="2CB70EA4" w:rsidR="00442DDC" w:rsidRPr="00442DDC" w:rsidRDefault="002E69EF">
          <w:pPr>
            <w:pStyle w:val="TOC1"/>
            <w:tabs>
              <w:tab w:val="right" w:leader="dot" w:pos="9362"/>
            </w:tabs>
            <w:rPr>
              <w:rFonts w:asciiTheme="minorHAnsi" w:eastAsiaTheme="minorEastAsia" w:hAnsiTheme="minorHAnsi" w:cstheme="minorBidi"/>
              <w:noProof/>
              <w:color w:val="000000" w:themeColor="text1"/>
            </w:rPr>
          </w:pPr>
          <w:hyperlink w:anchor="_Toc125575638" w:history="1">
            <w:r w:rsidR="00442DDC" w:rsidRPr="00442DDC">
              <w:rPr>
                <w:rStyle w:val="Hyperlink"/>
                <w:noProof/>
                <w:color w:val="000000" w:themeColor="text1"/>
              </w:rPr>
              <w:t>Low Performing and At-Risk Status Designations</w:t>
            </w:r>
            <w:r w:rsidR="00442DDC" w:rsidRPr="00442DDC">
              <w:rPr>
                <w:rStyle w:val="Hyperlink"/>
                <w:rFonts w:cstheme="majorHAnsi"/>
                <w:noProof/>
                <w:color w:val="000000" w:themeColor="text1"/>
              </w:rPr>
              <w:t> </w:t>
            </w:r>
            <w:r w:rsidR="00442DDC" w:rsidRPr="00442DDC">
              <w:rPr>
                <w:noProof/>
                <w:webHidden/>
                <w:color w:val="000000" w:themeColor="text1"/>
              </w:rPr>
              <w:tab/>
            </w:r>
            <w:r w:rsidR="00442DDC" w:rsidRPr="00442DDC">
              <w:rPr>
                <w:noProof/>
                <w:webHidden/>
                <w:color w:val="000000" w:themeColor="text1"/>
              </w:rPr>
              <w:fldChar w:fldCharType="begin"/>
            </w:r>
            <w:r w:rsidR="00442DDC" w:rsidRPr="00442DDC">
              <w:rPr>
                <w:noProof/>
                <w:webHidden/>
                <w:color w:val="000000" w:themeColor="text1"/>
              </w:rPr>
              <w:instrText xml:space="preserve"> PAGEREF _Toc125575638 \h </w:instrText>
            </w:r>
            <w:r w:rsidR="00442DDC" w:rsidRPr="00442DDC">
              <w:rPr>
                <w:noProof/>
                <w:webHidden/>
                <w:color w:val="000000" w:themeColor="text1"/>
              </w:rPr>
            </w:r>
            <w:r w:rsidR="00442DDC" w:rsidRPr="00442DDC">
              <w:rPr>
                <w:noProof/>
                <w:webHidden/>
                <w:color w:val="000000" w:themeColor="text1"/>
              </w:rPr>
              <w:fldChar w:fldCharType="separate"/>
            </w:r>
            <w:r w:rsidR="004103E0">
              <w:rPr>
                <w:noProof/>
                <w:webHidden/>
                <w:color w:val="000000" w:themeColor="text1"/>
              </w:rPr>
              <w:t>41</w:t>
            </w:r>
            <w:r w:rsidR="00442DDC" w:rsidRPr="00442DDC">
              <w:rPr>
                <w:noProof/>
                <w:webHidden/>
                <w:color w:val="000000" w:themeColor="text1"/>
              </w:rPr>
              <w:fldChar w:fldCharType="end"/>
            </w:r>
          </w:hyperlink>
        </w:p>
        <w:p w14:paraId="08E172C1" w14:textId="374FC46D" w:rsidR="00442DDC" w:rsidRPr="00442DDC" w:rsidRDefault="002E69EF">
          <w:pPr>
            <w:pStyle w:val="TOC1"/>
            <w:tabs>
              <w:tab w:val="right" w:leader="dot" w:pos="9362"/>
            </w:tabs>
            <w:rPr>
              <w:rFonts w:asciiTheme="minorHAnsi" w:eastAsiaTheme="minorEastAsia" w:hAnsiTheme="minorHAnsi" w:cstheme="minorBidi"/>
              <w:noProof/>
              <w:color w:val="000000" w:themeColor="text1"/>
            </w:rPr>
          </w:pPr>
          <w:hyperlink w:anchor="_Toc125575643" w:history="1">
            <w:r w:rsidR="00442DDC" w:rsidRPr="00442DDC">
              <w:rPr>
                <w:rStyle w:val="Hyperlink"/>
                <w:noProof/>
                <w:color w:val="000000" w:themeColor="text1"/>
              </w:rPr>
              <w:t>Annual Reporting</w:t>
            </w:r>
            <w:r w:rsidR="00442DDC" w:rsidRPr="00442DDC">
              <w:rPr>
                <w:noProof/>
                <w:webHidden/>
                <w:color w:val="000000" w:themeColor="text1"/>
              </w:rPr>
              <w:tab/>
            </w:r>
            <w:r w:rsidR="00442DDC" w:rsidRPr="00442DDC">
              <w:rPr>
                <w:noProof/>
                <w:webHidden/>
                <w:color w:val="000000" w:themeColor="text1"/>
              </w:rPr>
              <w:fldChar w:fldCharType="begin"/>
            </w:r>
            <w:r w:rsidR="00442DDC" w:rsidRPr="00442DDC">
              <w:rPr>
                <w:noProof/>
                <w:webHidden/>
                <w:color w:val="000000" w:themeColor="text1"/>
              </w:rPr>
              <w:instrText xml:space="preserve"> PAGEREF _Toc125575643 \h </w:instrText>
            </w:r>
            <w:r w:rsidR="00442DDC" w:rsidRPr="00442DDC">
              <w:rPr>
                <w:noProof/>
                <w:webHidden/>
                <w:color w:val="000000" w:themeColor="text1"/>
              </w:rPr>
            </w:r>
            <w:r w:rsidR="00442DDC" w:rsidRPr="00442DDC">
              <w:rPr>
                <w:noProof/>
                <w:webHidden/>
                <w:color w:val="000000" w:themeColor="text1"/>
              </w:rPr>
              <w:fldChar w:fldCharType="separate"/>
            </w:r>
            <w:r w:rsidR="004103E0">
              <w:rPr>
                <w:noProof/>
                <w:webHidden/>
                <w:color w:val="000000" w:themeColor="text1"/>
              </w:rPr>
              <w:t>46</w:t>
            </w:r>
            <w:r w:rsidR="00442DDC" w:rsidRPr="00442DDC">
              <w:rPr>
                <w:noProof/>
                <w:webHidden/>
                <w:color w:val="000000" w:themeColor="text1"/>
              </w:rPr>
              <w:fldChar w:fldCharType="end"/>
            </w:r>
          </w:hyperlink>
        </w:p>
        <w:p w14:paraId="4BFC1BDF" w14:textId="5523A716" w:rsidR="00442DDC" w:rsidRPr="00442DDC" w:rsidRDefault="002E69EF">
          <w:pPr>
            <w:pStyle w:val="TOC1"/>
            <w:tabs>
              <w:tab w:val="right" w:leader="dot" w:pos="9362"/>
            </w:tabs>
            <w:rPr>
              <w:rFonts w:asciiTheme="minorHAnsi" w:eastAsiaTheme="minorEastAsia" w:hAnsiTheme="minorHAnsi" w:cstheme="minorBidi"/>
              <w:noProof/>
              <w:color w:val="000000" w:themeColor="text1"/>
            </w:rPr>
          </w:pPr>
          <w:hyperlink w:anchor="_Toc125575644" w:history="1">
            <w:r w:rsidR="00442DDC" w:rsidRPr="00442DDC">
              <w:rPr>
                <w:rStyle w:val="Hyperlink"/>
                <w:noProof/>
                <w:color w:val="000000" w:themeColor="text1"/>
              </w:rPr>
              <w:t>Public Reporting</w:t>
            </w:r>
            <w:r w:rsidR="00442DDC" w:rsidRPr="00442DDC">
              <w:rPr>
                <w:noProof/>
                <w:webHidden/>
                <w:color w:val="000000" w:themeColor="text1"/>
              </w:rPr>
              <w:tab/>
            </w:r>
            <w:r w:rsidR="00442DDC" w:rsidRPr="00442DDC">
              <w:rPr>
                <w:noProof/>
                <w:webHidden/>
                <w:color w:val="000000" w:themeColor="text1"/>
              </w:rPr>
              <w:fldChar w:fldCharType="begin"/>
            </w:r>
            <w:r w:rsidR="00442DDC" w:rsidRPr="00442DDC">
              <w:rPr>
                <w:noProof/>
                <w:webHidden/>
                <w:color w:val="000000" w:themeColor="text1"/>
              </w:rPr>
              <w:instrText xml:space="preserve"> PAGEREF _Toc125575644 \h </w:instrText>
            </w:r>
            <w:r w:rsidR="00442DDC" w:rsidRPr="00442DDC">
              <w:rPr>
                <w:noProof/>
                <w:webHidden/>
                <w:color w:val="000000" w:themeColor="text1"/>
              </w:rPr>
            </w:r>
            <w:r w:rsidR="00442DDC" w:rsidRPr="00442DDC">
              <w:rPr>
                <w:noProof/>
                <w:webHidden/>
                <w:color w:val="000000" w:themeColor="text1"/>
              </w:rPr>
              <w:fldChar w:fldCharType="separate"/>
            </w:r>
            <w:r w:rsidR="004103E0">
              <w:rPr>
                <w:noProof/>
                <w:webHidden/>
                <w:color w:val="000000" w:themeColor="text1"/>
              </w:rPr>
              <w:t>48</w:t>
            </w:r>
            <w:r w:rsidR="00442DDC" w:rsidRPr="00442DDC">
              <w:rPr>
                <w:noProof/>
                <w:webHidden/>
                <w:color w:val="000000" w:themeColor="text1"/>
              </w:rPr>
              <w:fldChar w:fldCharType="end"/>
            </w:r>
          </w:hyperlink>
        </w:p>
        <w:p w14:paraId="21C617F9" w14:textId="1A050ABA" w:rsidR="00442DDC" w:rsidRPr="00442DDC" w:rsidRDefault="002E69EF">
          <w:pPr>
            <w:pStyle w:val="TOC1"/>
            <w:tabs>
              <w:tab w:val="right" w:leader="dot" w:pos="9362"/>
            </w:tabs>
            <w:rPr>
              <w:rFonts w:asciiTheme="minorHAnsi" w:eastAsiaTheme="minorEastAsia" w:hAnsiTheme="minorHAnsi" w:cstheme="minorBidi"/>
              <w:noProof/>
              <w:color w:val="000000" w:themeColor="text1"/>
            </w:rPr>
          </w:pPr>
          <w:hyperlink w:anchor="_Toc125575645" w:history="1">
            <w:r w:rsidR="00442DDC" w:rsidRPr="00442DDC">
              <w:rPr>
                <w:rStyle w:val="Hyperlink"/>
                <w:noProof/>
                <w:color w:val="000000" w:themeColor="text1"/>
              </w:rPr>
              <w:t>National Accreditation &amp; State Program Approval</w:t>
            </w:r>
            <w:r w:rsidR="00442DDC" w:rsidRPr="00442DDC">
              <w:rPr>
                <w:noProof/>
                <w:webHidden/>
                <w:color w:val="000000" w:themeColor="text1"/>
              </w:rPr>
              <w:tab/>
            </w:r>
            <w:r w:rsidR="00442DDC" w:rsidRPr="00442DDC">
              <w:rPr>
                <w:noProof/>
                <w:webHidden/>
                <w:color w:val="000000" w:themeColor="text1"/>
              </w:rPr>
              <w:fldChar w:fldCharType="begin"/>
            </w:r>
            <w:r w:rsidR="00442DDC" w:rsidRPr="00442DDC">
              <w:rPr>
                <w:noProof/>
                <w:webHidden/>
                <w:color w:val="000000" w:themeColor="text1"/>
              </w:rPr>
              <w:instrText xml:space="preserve"> PAGEREF _Toc125575645 \h </w:instrText>
            </w:r>
            <w:r w:rsidR="00442DDC" w:rsidRPr="00442DDC">
              <w:rPr>
                <w:noProof/>
                <w:webHidden/>
                <w:color w:val="000000" w:themeColor="text1"/>
              </w:rPr>
            </w:r>
            <w:r w:rsidR="00442DDC" w:rsidRPr="00442DDC">
              <w:rPr>
                <w:noProof/>
                <w:webHidden/>
                <w:color w:val="000000" w:themeColor="text1"/>
              </w:rPr>
              <w:fldChar w:fldCharType="separate"/>
            </w:r>
            <w:r w:rsidR="004103E0">
              <w:rPr>
                <w:noProof/>
                <w:webHidden/>
                <w:color w:val="000000" w:themeColor="text1"/>
              </w:rPr>
              <w:t>50</w:t>
            </w:r>
            <w:r w:rsidR="00442DDC" w:rsidRPr="00442DDC">
              <w:rPr>
                <w:noProof/>
                <w:webHidden/>
                <w:color w:val="000000" w:themeColor="text1"/>
              </w:rPr>
              <w:fldChar w:fldCharType="end"/>
            </w:r>
          </w:hyperlink>
        </w:p>
        <w:p w14:paraId="47927CC1" w14:textId="1B455B6A" w:rsidR="00442DDC" w:rsidRPr="00442DDC" w:rsidRDefault="002E69EF">
          <w:pPr>
            <w:pStyle w:val="TOC1"/>
            <w:tabs>
              <w:tab w:val="right" w:leader="dot" w:pos="9362"/>
            </w:tabs>
            <w:rPr>
              <w:rFonts w:asciiTheme="minorHAnsi" w:eastAsiaTheme="minorEastAsia" w:hAnsiTheme="minorHAnsi" w:cstheme="minorBidi"/>
              <w:noProof/>
              <w:color w:val="000000" w:themeColor="text1"/>
            </w:rPr>
          </w:pPr>
          <w:hyperlink w:anchor="_Toc125575646" w:history="1">
            <w:r w:rsidR="00442DDC" w:rsidRPr="00442DDC">
              <w:rPr>
                <w:rStyle w:val="Hyperlink"/>
                <w:noProof/>
                <w:color w:val="000000" w:themeColor="text1"/>
              </w:rPr>
              <w:t>Appendix A: Regulations Governing Program Approval</w:t>
            </w:r>
            <w:r w:rsidR="00442DDC" w:rsidRPr="00442DDC">
              <w:rPr>
                <w:noProof/>
                <w:webHidden/>
                <w:color w:val="000000" w:themeColor="text1"/>
              </w:rPr>
              <w:tab/>
            </w:r>
            <w:r w:rsidR="00442DDC" w:rsidRPr="00442DDC">
              <w:rPr>
                <w:noProof/>
                <w:webHidden/>
                <w:color w:val="000000" w:themeColor="text1"/>
              </w:rPr>
              <w:fldChar w:fldCharType="begin"/>
            </w:r>
            <w:r w:rsidR="00442DDC" w:rsidRPr="00442DDC">
              <w:rPr>
                <w:noProof/>
                <w:webHidden/>
                <w:color w:val="000000" w:themeColor="text1"/>
              </w:rPr>
              <w:instrText xml:space="preserve"> PAGEREF _Toc125575646 \h </w:instrText>
            </w:r>
            <w:r w:rsidR="00442DDC" w:rsidRPr="00442DDC">
              <w:rPr>
                <w:noProof/>
                <w:webHidden/>
                <w:color w:val="000000" w:themeColor="text1"/>
              </w:rPr>
            </w:r>
            <w:r w:rsidR="00442DDC" w:rsidRPr="00442DDC">
              <w:rPr>
                <w:noProof/>
                <w:webHidden/>
                <w:color w:val="000000" w:themeColor="text1"/>
              </w:rPr>
              <w:fldChar w:fldCharType="separate"/>
            </w:r>
            <w:r w:rsidR="004103E0">
              <w:rPr>
                <w:noProof/>
                <w:webHidden/>
                <w:color w:val="000000" w:themeColor="text1"/>
              </w:rPr>
              <w:t>51</w:t>
            </w:r>
            <w:r w:rsidR="00442DDC" w:rsidRPr="00442DDC">
              <w:rPr>
                <w:noProof/>
                <w:webHidden/>
                <w:color w:val="000000" w:themeColor="text1"/>
              </w:rPr>
              <w:fldChar w:fldCharType="end"/>
            </w:r>
          </w:hyperlink>
        </w:p>
        <w:p w14:paraId="29D57EF9" w14:textId="35396A83" w:rsidR="00442DDC" w:rsidRPr="00442DDC" w:rsidRDefault="002E69EF">
          <w:pPr>
            <w:pStyle w:val="TOC1"/>
            <w:tabs>
              <w:tab w:val="right" w:leader="dot" w:pos="9362"/>
            </w:tabs>
            <w:rPr>
              <w:rFonts w:asciiTheme="minorHAnsi" w:eastAsiaTheme="minorEastAsia" w:hAnsiTheme="minorHAnsi" w:cstheme="minorBidi"/>
              <w:noProof/>
              <w:color w:val="000000" w:themeColor="text1"/>
            </w:rPr>
          </w:pPr>
          <w:hyperlink w:anchor="_Toc125575649" w:history="1">
            <w:r w:rsidR="00442DDC" w:rsidRPr="00442DDC">
              <w:rPr>
                <w:rStyle w:val="Hyperlink"/>
                <w:noProof/>
                <w:color w:val="000000" w:themeColor="text1"/>
              </w:rPr>
              <w:t>Appendix B: Program Approval Standards and Domain Crosswalk</w:t>
            </w:r>
            <w:r w:rsidR="00442DDC" w:rsidRPr="00442DDC">
              <w:rPr>
                <w:noProof/>
                <w:webHidden/>
                <w:color w:val="000000" w:themeColor="text1"/>
              </w:rPr>
              <w:tab/>
            </w:r>
            <w:r w:rsidR="00442DDC" w:rsidRPr="00442DDC">
              <w:rPr>
                <w:noProof/>
                <w:webHidden/>
                <w:color w:val="000000" w:themeColor="text1"/>
              </w:rPr>
              <w:fldChar w:fldCharType="begin"/>
            </w:r>
            <w:r w:rsidR="00442DDC" w:rsidRPr="00442DDC">
              <w:rPr>
                <w:noProof/>
                <w:webHidden/>
                <w:color w:val="000000" w:themeColor="text1"/>
              </w:rPr>
              <w:instrText xml:space="preserve"> PAGEREF _Toc125575649 \h </w:instrText>
            </w:r>
            <w:r w:rsidR="00442DDC" w:rsidRPr="00442DDC">
              <w:rPr>
                <w:noProof/>
                <w:webHidden/>
                <w:color w:val="000000" w:themeColor="text1"/>
              </w:rPr>
            </w:r>
            <w:r w:rsidR="00442DDC" w:rsidRPr="00442DDC">
              <w:rPr>
                <w:noProof/>
                <w:webHidden/>
                <w:color w:val="000000" w:themeColor="text1"/>
              </w:rPr>
              <w:fldChar w:fldCharType="separate"/>
            </w:r>
            <w:r w:rsidR="004103E0">
              <w:rPr>
                <w:noProof/>
                <w:webHidden/>
                <w:color w:val="000000" w:themeColor="text1"/>
              </w:rPr>
              <w:t>56</w:t>
            </w:r>
            <w:r w:rsidR="00442DDC" w:rsidRPr="00442DDC">
              <w:rPr>
                <w:noProof/>
                <w:webHidden/>
                <w:color w:val="000000" w:themeColor="text1"/>
              </w:rPr>
              <w:fldChar w:fldCharType="end"/>
            </w:r>
          </w:hyperlink>
        </w:p>
        <w:p w14:paraId="7E74CDAD" w14:textId="0BDE327F" w:rsidR="00442DDC" w:rsidRPr="00442DDC" w:rsidRDefault="002E69EF">
          <w:pPr>
            <w:pStyle w:val="TOC1"/>
            <w:tabs>
              <w:tab w:val="right" w:leader="dot" w:pos="9362"/>
            </w:tabs>
            <w:rPr>
              <w:rFonts w:asciiTheme="minorHAnsi" w:eastAsiaTheme="minorEastAsia" w:hAnsiTheme="minorHAnsi" w:cstheme="minorBidi"/>
              <w:noProof/>
              <w:color w:val="000000" w:themeColor="text1"/>
            </w:rPr>
          </w:pPr>
          <w:hyperlink w:anchor="_Toc125575650" w:history="1">
            <w:r w:rsidR="00442DDC" w:rsidRPr="00442DDC">
              <w:rPr>
                <w:rStyle w:val="Hyperlink"/>
                <w:noProof/>
                <w:color w:val="000000" w:themeColor="text1"/>
              </w:rPr>
              <w:t>Appendix C: Program Approval Criteria</w:t>
            </w:r>
            <w:r w:rsidR="00442DDC" w:rsidRPr="00442DDC">
              <w:rPr>
                <w:noProof/>
                <w:webHidden/>
                <w:color w:val="000000" w:themeColor="text1"/>
              </w:rPr>
              <w:tab/>
            </w:r>
            <w:r w:rsidR="00442DDC" w:rsidRPr="00442DDC">
              <w:rPr>
                <w:noProof/>
                <w:webHidden/>
                <w:color w:val="000000" w:themeColor="text1"/>
              </w:rPr>
              <w:fldChar w:fldCharType="begin"/>
            </w:r>
            <w:r w:rsidR="00442DDC" w:rsidRPr="00442DDC">
              <w:rPr>
                <w:noProof/>
                <w:webHidden/>
                <w:color w:val="000000" w:themeColor="text1"/>
              </w:rPr>
              <w:instrText xml:space="preserve"> PAGEREF _Toc125575650 \h </w:instrText>
            </w:r>
            <w:r w:rsidR="00442DDC" w:rsidRPr="00442DDC">
              <w:rPr>
                <w:noProof/>
                <w:webHidden/>
                <w:color w:val="000000" w:themeColor="text1"/>
              </w:rPr>
            </w:r>
            <w:r w:rsidR="00442DDC" w:rsidRPr="00442DDC">
              <w:rPr>
                <w:noProof/>
                <w:webHidden/>
                <w:color w:val="000000" w:themeColor="text1"/>
              </w:rPr>
              <w:fldChar w:fldCharType="separate"/>
            </w:r>
            <w:r w:rsidR="004103E0">
              <w:rPr>
                <w:noProof/>
                <w:webHidden/>
                <w:color w:val="000000" w:themeColor="text1"/>
              </w:rPr>
              <w:t>58</w:t>
            </w:r>
            <w:r w:rsidR="00442DDC" w:rsidRPr="00442DDC">
              <w:rPr>
                <w:noProof/>
                <w:webHidden/>
                <w:color w:val="000000" w:themeColor="text1"/>
              </w:rPr>
              <w:fldChar w:fldCharType="end"/>
            </w:r>
          </w:hyperlink>
        </w:p>
        <w:p w14:paraId="62036107" w14:textId="58FCE4FA" w:rsidR="00442DDC" w:rsidRPr="00442DDC" w:rsidRDefault="002E69EF">
          <w:pPr>
            <w:pStyle w:val="TOC1"/>
            <w:tabs>
              <w:tab w:val="right" w:leader="dot" w:pos="9362"/>
            </w:tabs>
            <w:rPr>
              <w:rFonts w:asciiTheme="minorHAnsi" w:eastAsiaTheme="minorEastAsia" w:hAnsiTheme="minorHAnsi" w:cstheme="minorBidi"/>
              <w:noProof/>
              <w:color w:val="000000" w:themeColor="text1"/>
            </w:rPr>
          </w:pPr>
          <w:hyperlink w:anchor="_Toc125575651" w:history="1">
            <w:r w:rsidR="00442DDC" w:rsidRPr="00442DDC">
              <w:rPr>
                <w:rStyle w:val="Hyperlink"/>
                <w:noProof/>
                <w:color w:val="000000" w:themeColor="text1"/>
              </w:rPr>
              <w:t>Appendix D: Curriculum Literacy</w:t>
            </w:r>
            <w:r w:rsidR="00442DDC" w:rsidRPr="00442DDC">
              <w:rPr>
                <w:noProof/>
                <w:webHidden/>
                <w:color w:val="000000" w:themeColor="text1"/>
              </w:rPr>
              <w:tab/>
            </w:r>
            <w:r w:rsidR="00442DDC" w:rsidRPr="00442DDC">
              <w:rPr>
                <w:noProof/>
                <w:webHidden/>
                <w:color w:val="000000" w:themeColor="text1"/>
              </w:rPr>
              <w:fldChar w:fldCharType="begin"/>
            </w:r>
            <w:r w:rsidR="00442DDC" w:rsidRPr="00442DDC">
              <w:rPr>
                <w:noProof/>
                <w:webHidden/>
                <w:color w:val="000000" w:themeColor="text1"/>
              </w:rPr>
              <w:instrText xml:space="preserve"> PAGEREF _Toc125575651 \h </w:instrText>
            </w:r>
            <w:r w:rsidR="00442DDC" w:rsidRPr="00442DDC">
              <w:rPr>
                <w:noProof/>
                <w:webHidden/>
                <w:color w:val="000000" w:themeColor="text1"/>
              </w:rPr>
            </w:r>
            <w:r w:rsidR="00442DDC" w:rsidRPr="00442DDC">
              <w:rPr>
                <w:noProof/>
                <w:webHidden/>
                <w:color w:val="000000" w:themeColor="text1"/>
              </w:rPr>
              <w:fldChar w:fldCharType="separate"/>
            </w:r>
            <w:r w:rsidR="004103E0">
              <w:rPr>
                <w:noProof/>
                <w:webHidden/>
                <w:color w:val="000000" w:themeColor="text1"/>
              </w:rPr>
              <w:t>64</w:t>
            </w:r>
            <w:r w:rsidR="00442DDC" w:rsidRPr="00442DDC">
              <w:rPr>
                <w:noProof/>
                <w:webHidden/>
                <w:color w:val="000000" w:themeColor="text1"/>
              </w:rPr>
              <w:fldChar w:fldCharType="end"/>
            </w:r>
          </w:hyperlink>
        </w:p>
        <w:p w14:paraId="36AE3B0F" w14:textId="25F35941" w:rsidR="00442DDC" w:rsidRPr="00442DDC" w:rsidRDefault="002E69EF">
          <w:pPr>
            <w:pStyle w:val="TOC1"/>
            <w:tabs>
              <w:tab w:val="right" w:leader="dot" w:pos="9362"/>
            </w:tabs>
            <w:rPr>
              <w:rFonts w:asciiTheme="minorHAnsi" w:eastAsiaTheme="minorEastAsia" w:hAnsiTheme="minorHAnsi" w:cstheme="minorBidi"/>
              <w:noProof/>
              <w:color w:val="000000" w:themeColor="text1"/>
            </w:rPr>
          </w:pPr>
          <w:hyperlink w:anchor="_Toc125575652" w:history="1">
            <w:r w:rsidR="00442DDC" w:rsidRPr="00442DDC">
              <w:rPr>
                <w:rStyle w:val="Hyperlink"/>
                <w:noProof/>
                <w:color w:val="000000" w:themeColor="text1"/>
              </w:rPr>
              <w:t>Appendix E:  Massachusetts-based Off-Campus/Satellite Programs, Hybrid (online and face-to-face) and Online Delivery Models</w:t>
            </w:r>
            <w:r w:rsidR="00442DDC" w:rsidRPr="00442DDC">
              <w:rPr>
                <w:noProof/>
                <w:webHidden/>
                <w:color w:val="000000" w:themeColor="text1"/>
              </w:rPr>
              <w:tab/>
            </w:r>
            <w:r w:rsidR="00442DDC" w:rsidRPr="00442DDC">
              <w:rPr>
                <w:noProof/>
                <w:webHidden/>
                <w:color w:val="000000" w:themeColor="text1"/>
              </w:rPr>
              <w:fldChar w:fldCharType="begin"/>
            </w:r>
            <w:r w:rsidR="00442DDC" w:rsidRPr="00442DDC">
              <w:rPr>
                <w:noProof/>
                <w:webHidden/>
                <w:color w:val="000000" w:themeColor="text1"/>
              </w:rPr>
              <w:instrText xml:space="preserve"> PAGEREF _Toc125575652 \h </w:instrText>
            </w:r>
            <w:r w:rsidR="00442DDC" w:rsidRPr="00442DDC">
              <w:rPr>
                <w:noProof/>
                <w:webHidden/>
                <w:color w:val="000000" w:themeColor="text1"/>
              </w:rPr>
            </w:r>
            <w:r w:rsidR="00442DDC" w:rsidRPr="00442DDC">
              <w:rPr>
                <w:noProof/>
                <w:webHidden/>
                <w:color w:val="000000" w:themeColor="text1"/>
              </w:rPr>
              <w:fldChar w:fldCharType="separate"/>
            </w:r>
            <w:r w:rsidR="004103E0">
              <w:rPr>
                <w:noProof/>
                <w:webHidden/>
                <w:color w:val="000000" w:themeColor="text1"/>
              </w:rPr>
              <w:t>68</w:t>
            </w:r>
            <w:r w:rsidR="00442DDC" w:rsidRPr="00442DDC">
              <w:rPr>
                <w:noProof/>
                <w:webHidden/>
                <w:color w:val="000000" w:themeColor="text1"/>
              </w:rPr>
              <w:fldChar w:fldCharType="end"/>
            </w:r>
          </w:hyperlink>
        </w:p>
        <w:p w14:paraId="551C8F68" w14:textId="25FF0CC9" w:rsidR="00442DDC" w:rsidRPr="00442DDC" w:rsidRDefault="002E69EF">
          <w:pPr>
            <w:pStyle w:val="TOC1"/>
            <w:tabs>
              <w:tab w:val="right" w:leader="dot" w:pos="9362"/>
            </w:tabs>
            <w:rPr>
              <w:rFonts w:asciiTheme="minorHAnsi" w:eastAsiaTheme="minorEastAsia" w:hAnsiTheme="minorHAnsi" w:cstheme="minorBidi"/>
              <w:noProof/>
              <w:color w:val="000000" w:themeColor="text1"/>
            </w:rPr>
          </w:pPr>
          <w:hyperlink w:anchor="_Toc125575653" w:history="1">
            <w:r w:rsidR="00442DDC" w:rsidRPr="00442DDC">
              <w:rPr>
                <w:rStyle w:val="Hyperlink"/>
                <w:noProof/>
                <w:color w:val="000000" w:themeColor="text1"/>
              </w:rPr>
              <w:t>Appendix F: List of Supporting Guidelines</w:t>
            </w:r>
            <w:r w:rsidR="00442DDC" w:rsidRPr="00442DDC">
              <w:rPr>
                <w:noProof/>
                <w:webHidden/>
                <w:color w:val="000000" w:themeColor="text1"/>
              </w:rPr>
              <w:tab/>
            </w:r>
            <w:r w:rsidR="00442DDC" w:rsidRPr="00442DDC">
              <w:rPr>
                <w:noProof/>
                <w:webHidden/>
                <w:color w:val="000000" w:themeColor="text1"/>
              </w:rPr>
              <w:fldChar w:fldCharType="begin"/>
            </w:r>
            <w:r w:rsidR="00442DDC" w:rsidRPr="00442DDC">
              <w:rPr>
                <w:noProof/>
                <w:webHidden/>
                <w:color w:val="000000" w:themeColor="text1"/>
              </w:rPr>
              <w:instrText xml:space="preserve"> PAGEREF _Toc125575653 \h </w:instrText>
            </w:r>
            <w:r w:rsidR="00442DDC" w:rsidRPr="00442DDC">
              <w:rPr>
                <w:noProof/>
                <w:webHidden/>
                <w:color w:val="000000" w:themeColor="text1"/>
              </w:rPr>
            </w:r>
            <w:r w:rsidR="00442DDC" w:rsidRPr="00442DDC">
              <w:rPr>
                <w:noProof/>
                <w:webHidden/>
                <w:color w:val="000000" w:themeColor="text1"/>
              </w:rPr>
              <w:fldChar w:fldCharType="separate"/>
            </w:r>
            <w:r w:rsidR="004103E0">
              <w:rPr>
                <w:noProof/>
                <w:webHidden/>
                <w:color w:val="000000" w:themeColor="text1"/>
              </w:rPr>
              <w:t>69</w:t>
            </w:r>
            <w:r w:rsidR="00442DDC" w:rsidRPr="00442DDC">
              <w:rPr>
                <w:noProof/>
                <w:webHidden/>
                <w:color w:val="000000" w:themeColor="text1"/>
              </w:rPr>
              <w:fldChar w:fldCharType="end"/>
            </w:r>
          </w:hyperlink>
        </w:p>
        <w:p w14:paraId="43B66445" w14:textId="6A414C72" w:rsidR="00442DDC" w:rsidRDefault="002E69EF">
          <w:pPr>
            <w:pStyle w:val="TOC1"/>
            <w:tabs>
              <w:tab w:val="right" w:leader="dot" w:pos="9362"/>
            </w:tabs>
            <w:rPr>
              <w:rFonts w:asciiTheme="minorHAnsi" w:eastAsiaTheme="minorEastAsia" w:hAnsiTheme="minorHAnsi" w:cstheme="minorBidi"/>
              <w:noProof/>
            </w:rPr>
          </w:pPr>
          <w:hyperlink w:anchor="_Toc125575654" w:history="1">
            <w:r w:rsidR="00442DDC" w:rsidRPr="009C6BD3">
              <w:rPr>
                <w:rStyle w:val="Hyperlink"/>
                <w:noProof/>
              </w:rPr>
              <w:t>Appendix H: Glossary of Terms</w:t>
            </w:r>
            <w:r w:rsidR="00442DDC">
              <w:rPr>
                <w:noProof/>
                <w:webHidden/>
              </w:rPr>
              <w:tab/>
            </w:r>
            <w:r w:rsidR="00442DDC">
              <w:rPr>
                <w:noProof/>
                <w:webHidden/>
              </w:rPr>
              <w:fldChar w:fldCharType="begin"/>
            </w:r>
            <w:r w:rsidR="00442DDC">
              <w:rPr>
                <w:noProof/>
                <w:webHidden/>
              </w:rPr>
              <w:instrText xml:space="preserve"> PAGEREF _Toc125575654 \h </w:instrText>
            </w:r>
            <w:r w:rsidR="00442DDC">
              <w:rPr>
                <w:noProof/>
                <w:webHidden/>
              </w:rPr>
            </w:r>
            <w:r w:rsidR="00442DDC">
              <w:rPr>
                <w:noProof/>
                <w:webHidden/>
              </w:rPr>
              <w:fldChar w:fldCharType="separate"/>
            </w:r>
            <w:r w:rsidR="004103E0">
              <w:rPr>
                <w:noProof/>
                <w:webHidden/>
              </w:rPr>
              <w:t>70</w:t>
            </w:r>
            <w:r w:rsidR="00442DDC">
              <w:rPr>
                <w:noProof/>
                <w:webHidden/>
              </w:rPr>
              <w:fldChar w:fldCharType="end"/>
            </w:r>
          </w:hyperlink>
        </w:p>
        <w:p w14:paraId="195F2F53" w14:textId="77777777" w:rsidR="00047453" w:rsidRDefault="00966ADF" w:rsidP="00047453">
          <w:pPr>
            <w:rPr>
              <w:b/>
              <w:bCs/>
              <w:noProof/>
            </w:rPr>
          </w:pPr>
          <w:r>
            <w:rPr>
              <w:b/>
              <w:bCs/>
              <w:noProof/>
            </w:rPr>
            <w:fldChar w:fldCharType="end"/>
          </w:r>
        </w:p>
      </w:sdtContent>
    </w:sdt>
    <w:bookmarkStart w:id="2" w:name="_Context_and_Purpose" w:displacedByCustomXml="prev"/>
    <w:bookmarkEnd w:id="2" w:displacedByCustomXml="prev"/>
    <w:bookmarkStart w:id="3" w:name="ContextAndPurpose" w:displacedByCustomXml="prev"/>
    <w:bookmarkStart w:id="4" w:name="_Toc125575601" w:displacedByCustomXml="prev"/>
    <w:p w14:paraId="364F6C13" w14:textId="4C3B48A8" w:rsidR="00991FB2" w:rsidRPr="00BA67B6" w:rsidRDefault="001413BB" w:rsidP="00BA67B6">
      <w:pPr>
        <w:pStyle w:val="Heading1"/>
      </w:pPr>
      <w:r w:rsidRPr="00BA67B6">
        <w:rPr>
          <w:highlight w:val="white"/>
        </w:rPr>
        <w:lastRenderedPageBreak/>
        <w:t>Context and Purpose</w:t>
      </w:r>
      <w:bookmarkEnd w:id="4"/>
      <w:bookmarkEnd w:id="3"/>
      <w:r w:rsidRPr="00BA67B6">
        <w:t xml:space="preserve"> </w:t>
      </w:r>
    </w:p>
    <w:p w14:paraId="5A682E7A" w14:textId="530A03C9" w:rsidR="00991FB2" w:rsidRPr="00FC74C3" w:rsidRDefault="00904447" w:rsidP="00FD5CE3">
      <w:pPr>
        <w:widowControl w:val="0"/>
        <w:pBdr>
          <w:top w:val="nil"/>
          <w:left w:val="nil"/>
          <w:bottom w:val="nil"/>
          <w:right w:val="nil"/>
          <w:between w:val="nil"/>
        </w:pBdr>
        <w:spacing w:before="12"/>
        <w:ind w:right="26"/>
        <w:rPr>
          <w:rFonts w:cstheme="majorHAnsi"/>
        </w:rPr>
      </w:pPr>
      <w:r w:rsidRPr="00FC74C3">
        <w:rPr>
          <w:rFonts w:cstheme="majorHAnsi"/>
        </w:rPr>
        <w:t>The</w:t>
      </w:r>
      <w:r w:rsidR="001413BB" w:rsidRPr="00FC74C3">
        <w:rPr>
          <w:rFonts w:cstheme="majorHAnsi"/>
        </w:rPr>
        <w:t xml:space="preserve"> </w:t>
      </w:r>
      <w:r w:rsidR="00FF3C94" w:rsidRPr="00FC74C3">
        <w:rPr>
          <w:rFonts w:cstheme="majorHAnsi"/>
        </w:rPr>
        <w:t>Massachusetts</w:t>
      </w:r>
      <w:r w:rsidR="001413BB" w:rsidRPr="00FC74C3">
        <w:rPr>
          <w:rFonts w:cstheme="majorHAnsi"/>
        </w:rPr>
        <w:t xml:space="preserve"> Board of Elementary and Secondary Education (BESE) and the Department of Elementary and Secondary Education (DESE) have made educator effectiveness a priority in order to ensure that all students</w:t>
      </w:r>
      <w:r w:rsidR="008E0A63" w:rsidRPr="00FC74C3">
        <w:rPr>
          <w:rFonts w:cstheme="majorHAnsi"/>
        </w:rPr>
        <w:t xml:space="preserve"> in every school and classroom</w:t>
      </w:r>
      <w:r w:rsidR="001413BB" w:rsidRPr="00FC74C3">
        <w:rPr>
          <w:rFonts w:cstheme="majorHAnsi"/>
        </w:rPr>
        <w:t xml:space="preserve"> have access to excellent educators</w:t>
      </w:r>
      <w:r w:rsidR="16AA5362" w:rsidRPr="00FC74C3">
        <w:rPr>
          <w:rFonts w:cstheme="majorHAnsi"/>
        </w:rPr>
        <w:t>.</w:t>
      </w:r>
      <w:r w:rsidR="001413BB" w:rsidRPr="00FC74C3">
        <w:rPr>
          <w:rFonts w:cstheme="majorHAnsi"/>
        </w:rPr>
        <w:t xml:space="preserve"> </w:t>
      </w:r>
      <w:r w:rsidR="46054303" w:rsidRPr="00FC74C3">
        <w:rPr>
          <w:rFonts w:cstheme="majorHAnsi"/>
        </w:rPr>
        <w:t xml:space="preserve">While the focus on excellent educators has </w:t>
      </w:r>
      <w:r w:rsidR="002B0DF1" w:rsidRPr="00FC74C3">
        <w:rPr>
          <w:rFonts w:cstheme="majorHAnsi"/>
        </w:rPr>
        <w:t>contributed to</w:t>
      </w:r>
      <w:r w:rsidR="46054303" w:rsidRPr="00FC74C3">
        <w:rPr>
          <w:rFonts w:cstheme="majorHAnsi"/>
        </w:rPr>
        <w:t xml:space="preserve"> continued achievement for students in Massachusetts overall, disparities in experiences</w:t>
      </w:r>
      <w:r w:rsidR="272B2523" w:rsidRPr="00FC74C3">
        <w:rPr>
          <w:rFonts w:cstheme="majorHAnsi"/>
        </w:rPr>
        <w:t xml:space="preserve"> and outcomes resulting from existing and historical policies and practices</w:t>
      </w:r>
      <w:r w:rsidR="46054303" w:rsidRPr="00FC74C3">
        <w:rPr>
          <w:rFonts w:cstheme="majorHAnsi"/>
        </w:rPr>
        <w:t xml:space="preserve"> </w:t>
      </w:r>
      <w:hyperlink r:id="rId12">
        <w:r w:rsidR="26A6F301" w:rsidRPr="00FC74C3">
          <w:rPr>
            <w:rFonts w:cstheme="majorHAnsi"/>
          </w:rPr>
          <w:t>persist</w:t>
        </w:r>
      </w:hyperlink>
      <w:r w:rsidR="61A2A7C9" w:rsidRPr="00FC74C3">
        <w:rPr>
          <w:rFonts w:cstheme="majorHAnsi"/>
        </w:rPr>
        <w:t xml:space="preserve">, </w:t>
      </w:r>
      <w:r w:rsidR="26A6F301" w:rsidRPr="00FC74C3">
        <w:rPr>
          <w:rFonts w:cstheme="majorHAnsi"/>
        </w:rPr>
        <w:t xml:space="preserve">in particular </w:t>
      </w:r>
      <w:r w:rsidR="46054303" w:rsidRPr="00FC74C3">
        <w:rPr>
          <w:rFonts w:cstheme="majorHAnsi"/>
        </w:rPr>
        <w:t>for Black, Latinx,</w:t>
      </w:r>
      <w:r w:rsidR="007345B4" w:rsidRPr="00FC74C3">
        <w:rPr>
          <w:rFonts w:cstheme="majorHAnsi"/>
        </w:rPr>
        <w:t xml:space="preserve"> Asian,</w:t>
      </w:r>
      <w:r w:rsidR="46054303" w:rsidRPr="00FC74C3">
        <w:rPr>
          <w:rFonts w:cstheme="majorHAnsi"/>
        </w:rPr>
        <w:t xml:space="preserve"> Indigenous, </w:t>
      </w:r>
      <w:r w:rsidR="007F09F7" w:rsidRPr="00FC74C3">
        <w:rPr>
          <w:rFonts w:cstheme="majorHAnsi"/>
        </w:rPr>
        <w:t>and</w:t>
      </w:r>
      <w:r w:rsidR="00F25965" w:rsidRPr="00FC74C3">
        <w:rPr>
          <w:rFonts w:cstheme="majorHAnsi"/>
        </w:rPr>
        <w:t>/or</w:t>
      </w:r>
      <w:r w:rsidR="007F09F7" w:rsidRPr="00FC74C3">
        <w:rPr>
          <w:rFonts w:cstheme="majorHAnsi"/>
        </w:rPr>
        <w:t xml:space="preserve"> </w:t>
      </w:r>
      <w:r w:rsidR="002D516E" w:rsidRPr="00FC74C3">
        <w:rPr>
          <w:rFonts w:cstheme="majorHAnsi"/>
        </w:rPr>
        <w:t>M</w:t>
      </w:r>
      <w:r w:rsidR="007F09F7" w:rsidRPr="00FC74C3">
        <w:rPr>
          <w:rFonts w:cstheme="majorHAnsi"/>
        </w:rPr>
        <w:t>ultiracial</w:t>
      </w:r>
      <w:r w:rsidR="46054303" w:rsidRPr="00FC74C3">
        <w:rPr>
          <w:rFonts w:cstheme="majorHAnsi"/>
        </w:rPr>
        <w:t xml:space="preserve"> students</w:t>
      </w:r>
      <w:r w:rsidR="008E0A63" w:rsidRPr="00FC74C3">
        <w:rPr>
          <w:rFonts w:cstheme="majorHAnsi"/>
        </w:rPr>
        <w:t>.</w:t>
      </w:r>
      <w:r w:rsidR="46054303" w:rsidRPr="00FC74C3">
        <w:rPr>
          <w:rFonts w:cstheme="majorHAnsi"/>
        </w:rPr>
        <w:t xml:space="preserve">  </w:t>
      </w:r>
    </w:p>
    <w:p w14:paraId="0226A6AB" w14:textId="3501FE7D" w:rsidR="59B7EA5A" w:rsidRPr="00FC74C3" w:rsidRDefault="59B7EA5A" w:rsidP="00FD5CE3">
      <w:pPr>
        <w:widowControl w:val="0"/>
        <w:spacing w:before="12"/>
        <w:ind w:right="26"/>
        <w:rPr>
          <w:rFonts w:eastAsia="Calibri" w:cstheme="majorHAnsi"/>
          <w:color w:val="000000" w:themeColor="text1"/>
        </w:rPr>
      </w:pPr>
    </w:p>
    <w:p w14:paraId="2366EAAF" w14:textId="6C70375F" w:rsidR="00BB6C09" w:rsidRPr="00FC74C3" w:rsidRDefault="46054303" w:rsidP="00FD5CE3">
      <w:pPr>
        <w:widowControl w:val="0"/>
        <w:pBdr>
          <w:top w:val="nil"/>
          <w:left w:val="nil"/>
          <w:bottom w:val="nil"/>
          <w:right w:val="nil"/>
          <w:between w:val="nil"/>
        </w:pBdr>
        <w:spacing w:before="12"/>
        <w:ind w:left="8" w:right="26" w:hanging="6"/>
        <w:rPr>
          <w:rFonts w:eastAsia="Calibri" w:cstheme="majorBidi"/>
          <w:color w:val="000000" w:themeColor="text1"/>
        </w:rPr>
      </w:pPr>
      <w:r w:rsidRPr="751BEF52">
        <w:rPr>
          <w:rFonts w:eastAsia="Calibri" w:cstheme="majorBidi"/>
          <w:color w:val="000000" w:themeColor="text1"/>
        </w:rPr>
        <w:t xml:space="preserve">To disrupt these </w:t>
      </w:r>
      <w:r w:rsidR="009867B3" w:rsidRPr="751BEF52">
        <w:rPr>
          <w:rFonts w:eastAsia="Calibri" w:cstheme="majorBidi"/>
          <w:color w:val="000000" w:themeColor="text1"/>
        </w:rPr>
        <w:t>systemic inequities</w:t>
      </w:r>
      <w:r w:rsidRPr="751BEF52">
        <w:rPr>
          <w:rFonts w:eastAsia="Calibri" w:cstheme="majorBidi"/>
          <w:color w:val="000000" w:themeColor="text1"/>
        </w:rPr>
        <w:t xml:space="preserve"> and provide an </w:t>
      </w:r>
      <w:r w:rsidR="37D3AEEA" w:rsidRPr="751BEF52">
        <w:rPr>
          <w:rFonts w:eastAsia="Calibri" w:cstheme="majorBidi"/>
          <w:color w:val="000000" w:themeColor="text1"/>
        </w:rPr>
        <w:t>equitable</w:t>
      </w:r>
      <w:r w:rsidRPr="751BEF52">
        <w:rPr>
          <w:rStyle w:val="FootnoteReference"/>
          <w:rFonts w:eastAsia="Calibri" w:cstheme="majorBidi"/>
          <w:color w:val="000000" w:themeColor="text1"/>
        </w:rPr>
        <w:footnoteReference w:id="2"/>
      </w:r>
      <w:r w:rsidR="37D3AEEA" w:rsidRPr="751BEF52">
        <w:rPr>
          <w:rFonts w:eastAsia="Calibri" w:cstheme="majorBidi"/>
          <w:color w:val="000000" w:themeColor="text1"/>
        </w:rPr>
        <w:t xml:space="preserve"> </w:t>
      </w:r>
      <w:r w:rsidR="770F1D22" w:rsidRPr="751BEF52">
        <w:rPr>
          <w:rFonts w:eastAsia="Calibri" w:cstheme="majorBidi"/>
          <w:color w:val="000000" w:themeColor="text1"/>
        </w:rPr>
        <w:t xml:space="preserve">and </w:t>
      </w:r>
      <w:r w:rsidRPr="751BEF52">
        <w:rPr>
          <w:rFonts w:eastAsia="Calibri" w:cstheme="majorBidi"/>
          <w:color w:val="000000" w:themeColor="text1"/>
        </w:rPr>
        <w:t xml:space="preserve">effective education for </w:t>
      </w:r>
      <w:r w:rsidR="00C04F5D" w:rsidRPr="751BEF52">
        <w:rPr>
          <w:rFonts w:eastAsia="Calibri" w:cstheme="majorBidi"/>
          <w:color w:val="000000" w:themeColor="text1"/>
        </w:rPr>
        <w:t>all</w:t>
      </w:r>
      <w:r w:rsidR="004E68EB" w:rsidRPr="751BEF52">
        <w:rPr>
          <w:rStyle w:val="FootnoteReference"/>
          <w:rFonts w:eastAsia="Calibri" w:cstheme="majorBidi"/>
          <w:color w:val="000000" w:themeColor="text1"/>
        </w:rPr>
        <w:footnoteReference w:id="3"/>
      </w:r>
      <w:r w:rsidRPr="751BEF52">
        <w:rPr>
          <w:rFonts w:eastAsia="Calibri" w:cstheme="majorBidi"/>
          <w:color w:val="000000" w:themeColor="text1"/>
        </w:rPr>
        <w:t xml:space="preserve"> student</w:t>
      </w:r>
      <w:r w:rsidR="008E0A63" w:rsidRPr="751BEF52">
        <w:rPr>
          <w:rFonts w:eastAsia="Calibri" w:cstheme="majorBidi"/>
          <w:color w:val="000000" w:themeColor="text1"/>
        </w:rPr>
        <w:t>s</w:t>
      </w:r>
      <w:r w:rsidRPr="751BEF52">
        <w:rPr>
          <w:rFonts w:eastAsia="Calibri" w:cstheme="majorBidi"/>
          <w:color w:val="000000" w:themeColor="text1"/>
        </w:rPr>
        <w:t xml:space="preserve"> in the Commonwealth, </w:t>
      </w:r>
      <w:r w:rsidRPr="751BEF52">
        <w:rPr>
          <w:rFonts w:eastAsia="Calibri" w:cstheme="majorBidi"/>
        </w:rPr>
        <w:t xml:space="preserve">DESE </w:t>
      </w:r>
      <w:r w:rsidRPr="751BEF52">
        <w:rPr>
          <w:rFonts w:eastAsia="Calibri" w:cstheme="majorBidi"/>
          <w:color w:val="000000" w:themeColor="text1"/>
        </w:rPr>
        <w:t xml:space="preserve">has committed to strengthening its expectations for educator preparation programs to ensure that all educators are prepared to </w:t>
      </w:r>
      <w:r w:rsidR="00BB6C09" w:rsidRPr="751BEF52">
        <w:rPr>
          <w:rFonts w:eastAsia="Calibri" w:cstheme="majorBidi"/>
          <w:color w:val="000000" w:themeColor="text1"/>
        </w:rPr>
        <w:t>be effective, meaning they</w:t>
      </w:r>
      <w:r w:rsidR="00106F84" w:rsidRPr="751BEF52">
        <w:rPr>
          <w:rFonts w:eastAsia="Calibri" w:cstheme="majorBidi"/>
          <w:color w:val="000000" w:themeColor="text1"/>
        </w:rPr>
        <w:t xml:space="preserve"> support student</w:t>
      </w:r>
      <w:r w:rsidR="00072349" w:rsidRPr="751BEF52">
        <w:rPr>
          <w:rFonts w:eastAsia="Calibri" w:cstheme="majorBidi"/>
          <w:color w:val="000000" w:themeColor="text1"/>
        </w:rPr>
        <w:t>s</w:t>
      </w:r>
      <w:r w:rsidR="00106F84" w:rsidRPr="751BEF52">
        <w:rPr>
          <w:rFonts w:eastAsia="Calibri" w:cstheme="majorBidi"/>
          <w:color w:val="000000" w:themeColor="text1"/>
        </w:rPr>
        <w:t xml:space="preserve"> </w:t>
      </w:r>
      <w:r w:rsidR="00B06061" w:rsidRPr="751BEF52">
        <w:rPr>
          <w:rFonts w:eastAsia="Calibri" w:cstheme="majorBidi"/>
          <w:color w:val="000000" w:themeColor="text1"/>
        </w:rPr>
        <w:t>from all rac</w:t>
      </w:r>
      <w:r w:rsidR="003D65F7" w:rsidRPr="751BEF52">
        <w:rPr>
          <w:rFonts w:eastAsia="Calibri" w:cstheme="majorBidi"/>
          <w:color w:val="000000" w:themeColor="text1"/>
        </w:rPr>
        <w:t xml:space="preserve">es, identity groups, and backgrounds </w:t>
      </w:r>
      <w:r w:rsidR="00106F84" w:rsidRPr="751BEF52">
        <w:rPr>
          <w:rFonts w:eastAsia="Calibri" w:cstheme="majorBidi"/>
          <w:color w:val="000000" w:themeColor="text1"/>
        </w:rPr>
        <w:t>to</w:t>
      </w:r>
      <w:r w:rsidR="00BB6C09" w:rsidRPr="751BEF52">
        <w:rPr>
          <w:rFonts w:eastAsia="Calibri" w:cstheme="majorBidi"/>
          <w:color w:val="000000" w:themeColor="text1"/>
        </w:rPr>
        <w:t>:</w:t>
      </w:r>
    </w:p>
    <w:p w14:paraId="592EAE33" w14:textId="44A9C1F6" w:rsidR="00E53ECA" w:rsidRPr="00753D44" w:rsidRDefault="00106F84" w:rsidP="00FD5CE3">
      <w:pPr>
        <w:pStyle w:val="ListParagraph"/>
        <w:widowControl w:val="0"/>
        <w:numPr>
          <w:ilvl w:val="0"/>
          <w:numId w:val="1"/>
        </w:numPr>
        <w:pBdr>
          <w:top w:val="nil"/>
          <w:left w:val="nil"/>
          <w:bottom w:val="nil"/>
          <w:right w:val="nil"/>
          <w:between w:val="nil"/>
        </w:pBdr>
        <w:spacing w:before="12"/>
        <w:ind w:right="26"/>
        <w:rPr>
          <w:rFonts w:eastAsia="Calibri" w:cstheme="majorHAnsi"/>
          <w:color w:val="000000"/>
        </w:rPr>
      </w:pPr>
      <w:r w:rsidRPr="00FC74C3">
        <w:rPr>
          <w:rFonts w:eastAsia="Calibri" w:cstheme="majorHAnsi"/>
          <w:b/>
          <w:bCs/>
          <w:color w:val="000000" w:themeColor="text1"/>
        </w:rPr>
        <w:t>A</w:t>
      </w:r>
      <w:r w:rsidR="00E53ECA" w:rsidRPr="00FC74C3">
        <w:rPr>
          <w:rFonts w:eastAsia="Calibri" w:cstheme="majorHAnsi"/>
          <w:b/>
          <w:bCs/>
          <w:color w:val="000000" w:themeColor="text1"/>
        </w:rPr>
        <w:t>ttain academic knowledge and skills</w:t>
      </w:r>
      <w:r w:rsidR="007B3231" w:rsidRPr="005A1A36">
        <w:rPr>
          <w:rFonts w:eastAsia="Calibri" w:cstheme="majorHAnsi"/>
          <w:color w:val="000000" w:themeColor="text1"/>
        </w:rPr>
        <w:t xml:space="preserve">: </w:t>
      </w:r>
      <w:r w:rsidR="007B3231" w:rsidRPr="00753D44">
        <w:rPr>
          <w:rFonts w:cstheme="majorHAnsi"/>
        </w:rPr>
        <w:t>achieve in a comprehensive and diverse range of subjects and apply their competencies in relevant, real-world contexts</w:t>
      </w:r>
      <w:r w:rsidR="00E53ECA" w:rsidRPr="00753D44">
        <w:rPr>
          <w:rFonts w:eastAsia="Calibri" w:cstheme="majorHAnsi"/>
          <w:color w:val="000000" w:themeColor="text1"/>
        </w:rPr>
        <w:t>;</w:t>
      </w:r>
    </w:p>
    <w:p w14:paraId="51A56697" w14:textId="1CD31200" w:rsidR="00DA4E9C" w:rsidRPr="00753D44" w:rsidRDefault="00E53ECA" w:rsidP="00FD5CE3">
      <w:pPr>
        <w:pStyle w:val="ListParagraph"/>
        <w:widowControl w:val="0"/>
        <w:numPr>
          <w:ilvl w:val="0"/>
          <w:numId w:val="1"/>
        </w:numPr>
        <w:pBdr>
          <w:top w:val="nil"/>
          <w:left w:val="nil"/>
          <w:bottom w:val="nil"/>
          <w:right w:val="nil"/>
          <w:between w:val="nil"/>
        </w:pBdr>
        <w:spacing w:before="12"/>
        <w:ind w:right="26"/>
        <w:rPr>
          <w:rFonts w:eastAsia="Calibri" w:cstheme="majorHAnsi"/>
          <w:color w:val="000000"/>
        </w:rPr>
      </w:pPr>
      <w:r w:rsidRPr="00753D44">
        <w:rPr>
          <w:rFonts w:eastAsia="Calibri" w:cstheme="majorHAnsi"/>
          <w:b/>
          <w:color w:val="000000" w:themeColor="text1"/>
        </w:rPr>
        <w:t xml:space="preserve">Understand and value </w:t>
      </w:r>
      <w:r w:rsidR="00DA4E9C" w:rsidRPr="00753D44">
        <w:rPr>
          <w:rFonts w:eastAsia="Calibri" w:cstheme="majorHAnsi"/>
          <w:b/>
          <w:color w:val="000000" w:themeColor="text1"/>
        </w:rPr>
        <w:t>themselves</w:t>
      </w:r>
      <w:r w:rsidR="00B23EDB" w:rsidRPr="00753D44">
        <w:rPr>
          <w:rFonts w:eastAsia="Calibri" w:cstheme="majorHAnsi"/>
          <w:color w:val="000000" w:themeColor="text1"/>
        </w:rPr>
        <w:t>:</w:t>
      </w:r>
      <w:r w:rsidR="001B2E01" w:rsidRPr="00753D44">
        <w:rPr>
          <w:rFonts w:eastAsia="Calibri" w:cstheme="majorHAnsi"/>
          <w:color w:val="000000" w:themeColor="text1"/>
        </w:rPr>
        <w:t xml:space="preserve"> </w:t>
      </w:r>
      <w:r w:rsidR="00B23EDB" w:rsidRPr="00753D44">
        <w:rPr>
          <w:rFonts w:cstheme="majorHAnsi"/>
        </w:rPr>
        <w:t>know their own strengths, interests, and areas of growth, be self-aware, be a self-advocate, and make responsible decisions</w:t>
      </w:r>
      <w:r w:rsidR="00DA4E9C" w:rsidRPr="00753D44">
        <w:rPr>
          <w:rFonts w:eastAsia="Calibri" w:cstheme="majorHAnsi"/>
          <w:color w:val="000000" w:themeColor="text1"/>
        </w:rPr>
        <w:t>;</w:t>
      </w:r>
    </w:p>
    <w:p w14:paraId="07CA857C" w14:textId="7D0A3C8C" w:rsidR="00DA4E9C" w:rsidRPr="00753D44" w:rsidRDefault="00DA4E9C" w:rsidP="00FD5CE3">
      <w:pPr>
        <w:pStyle w:val="ListParagraph"/>
        <w:widowControl w:val="0"/>
        <w:numPr>
          <w:ilvl w:val="0"/>
          <w:numId w:val="1"/>
        </w:numPr>
        <w:pBdr>
          <w:top w:val="nil"/>
          <w:left w:val="nil"/>
          <w:bottom w:val="nil"/>
          <w:right w:val="nil"/>
          <w:between w:val="nil"/>
        </w:pBdr>
        <w:spacing w:before="12"/>
        <w:ind w:right="26"/>
        <w:rPr>
          <w:rFonts w:eastAsia="Calibri" w:cstheme="majorHAnsi"/>
          <w:color w:val="000000"/>
        </w:rPr>
      </w:pPr>
      <w:r w:rsidRPr="00753D44">
        <w:rPr>
          <w:rFonts w:eastAsia="Calibri" w:cstheme="majorHAnsi"/>
          <w:b/>
          <w:color w:val="000000" w:themeColor="text1"/>
        </w:rPr>
        <w:t>Understand and value others</w:t>
      </w:r>
      <w:r w:rsidR="006F3AD3" w:rsidRPr="00753D44">
        <w:rPr>
          <w:rFonts w:eastAsia="Calibri" w:cstheme="majorHAnsi"/>
          <w:color w:val="000000" w:themeColor="text1"/>
        </w:rPr>
        <w:t xml:space="preserve">: </w:t>
      </w:r>
      <w:r w:rsidR="006F3AD3" w:rsidRPr="00753D44">
        <w:rPr>
          <w:rFonts w:cstheme="majorHAnsi"/>
        </w:rPr>
        <w:t>understand differences and multiple perspectives, empathize with others, and build connections with peers and adults</w:t>
      </w:r>
      <w:r w:rsidRPr="00753D44">
        <w:rPr>
          <w:rFonts w:eastAsia="Calibri" w:cstheme="majorHAnsi"/>
          <w:color w:val="000000" w:themeColor="text1"/>
        </w:rPr>
        <w:t>;</w:t>
      </w:r>
    </w:p>
    <w:p w14:paraId="6A6394D0" w14:textId="1B2B5309" w:rsidR="00F406CA" w:rsidRPr="00FC74C3" w:rsidRDefault="00DA4E9C" w:rsidP="00FD5CE3">
      <w:pPr>
        <w:pStyle w:val="ListParagraph"/>
        <w:widowControl w:val="0"/>
        <w:numPr>
          <w:ilvl w:val="0"/>
          <w:numId w:val="1"/>
        </w:numPr>
        <w:pBdr>
          <w:top w:val="nil"/>
          <w:left w:val="nil"/>
          <w:bottom w:val="nil"/>
          <w:right w:val="nil"/>
          <w:between w:val="nil"/>
        </w:pBdr>
        <w:spacing w:before="12"/>
        <w:ind w:right="26"/>
        <w:rPr>
          <w:rFonts w:eastAsia="Calibri" w:cstheme="majorHAnsi"/>
          <w:color w:val="000000"/>
        </w:rPr>
      </w:pPr>
      <w:r w:rsidRPr="00753D44">
        <w:rPr>
          <w:rFonts w:eastAsia="Calibri" w:cstheme="majorHAnsi"/>
          <w:b/>
          <w:color w:val="000000" w:themeColor="text1"/>
        </w:rPr>
        <w:t>Engage with the world</w:t>
      </w:r>
      <w:r w:rsidR="008D1F5B" w:rsidRPr="00753D44">
        <w:rPr>
          <w:rFonts w:eastAsia="Calibri" w:cstheme="majorHAnsi"/>
          <w:color w:val="000000" w:themeColor="text1"/>
        </w:rPr>
        <w:t>:</w:t>
      </w:r>
      <w:r w:rsidR="008D1F5B" w:rsidRPr="00753D44">
        <w:rPr>
          <w:rFonts w:cstheme="majorHAnsi"/>
          <w:shd w:val="clear" w:color="auto" w:fill="FAF9F8"/>
        </w:rPr>
        <w:t xml:space="preserve"> </w:t>
      </w:r>
      <w:r w:rsidR="008D1F5B" w:rsidRPr="00753D44">
        <w:rPr>
          <w:rFonts w:cstheme="majorHAnsi"/>
        </w:rPr>
        <w:t>understand and think critically about local, national, and world events and societal systems; and create positive change through civic action</w:t>
      </w:r>
      <w:r w:rsidR="00393866" w:rsidRPr="00753D44">
        <w:rPr>
          <w:rFonts w:cstheme="majorHAnsi"/>
          <w:shd w:val="clear" w:color="auto" w:fill="FAF9F8"/>
        </w:rPr>
        <w:t>;</w:t>
      </w:r>
    </w:p>
    <w:p w14:paraId="7C470BCC" w14:textId="35FD0CFC" w:rsidR="00F82D24" w:rsidRPr="00FC74C3" w:rsidRDefault="00F82D24" w:rsidP="00FD5CE3">
      <w:pPr>
        <w:pStyle w:val="ListParagraph"/>
        <w:widowControl w:val="0"/>
        <w:numPr>
          <w:ilvl w:val="0"/>
          <w:numId w:val="1"/>
        </w:numPr>
        <w:pBdr>
          <w:top w:val="nil"/>
          <w:left w:val="nil"/>
          <w:bottom w:val="nil"/>
          <w:right w:val="nil"/>
          <w:between w:val="nil"/>
        </w:pBdr>
        <w:spacing w:before="12"/>
        <w:ind w:right="26"/>
        <w:rPr>
          <w:rFonts w:eastAsia="Calibri" w:cstheme="majorHAnsi"/>
          <w:color w:val="000000"/>
        </w:rPr>
      </w:pPr>
      <w:r w:rsidRPr="00FC74C3">
        <w:rPr>
          <w:rFonts w:eastAsia="Calibri" w:cstheme="majorHAnsi"/>
          <w:b/>
          <w:bCs/>
          <w:color w:val="000000" w:themeColor="text1"/>
        </w:rPr>
        <w:t>Be curious and creative</w:t>
      </w:r>
      <w:r w:rsidR="009A0603" w:rsidRPr="00FC74C3">
        <w:rPr>
          <w:rFonts w:eastAsia="Calibri" w:cstheme="majorHAnsi"/>
          <w:color w:val="000000" w:themeColor="text1"/>
        </w:rPr>
        <w:t xml:space="preserve">: </w:t>
      </w:r>
      <w:r w:rsidR="009A0603" w:rsidRPr="00FC74C3">
        <w:rPr>
          <w:rFonts w:cstheme="majorHAnsi"/>
        </w:rPr>
        <w:t>find joy in learning and pursue their interests; use innovative thinking to approach opportunities and solve challenges, including those previously unseen</w:t>
      </w:r>
      <w:r w:rsidRPr="00FC74C3">
        <w:rPr>
          <w:rFonts w:eastAsia="Calibri" w:cstheme="majorHAnsi"/>
          <w:color w:val="000000" w:themeColor="text1"/>
        </w:rPr>
        <w:t>;</w:t>
      </w:r>
    </w:p>
    <w:p w14:paraId="351BB790" w14:textId="3CBA88DF" w:rsidR="00F82D24" w:rsidRPr="00FC74C3" w:rsidRDefault="00F82D24" w:rsidP="00FD5CE3">
      <w:pPr>
        <w:pStyle w:val="ListParagraph"/>
        <w:widowControl w:val="0"/>
        <w:numPr>
          <w:ilvl w:val="0"/>
          <w:numId w:val="1"/>
        </w:numPr>
        <w:pBdr>
          <w:top w:val="nil"/>
          <w:left w:val="nil"/>
          <w:bottom w:val="nil"/>
          <w:right w:val="nil"/>
          <w:between w:val="nil"/>
        </w:pBdr>
        <w:spacing w:before="12"/>
        <w:ind w:right="26"/>
        <w:rPr>
          <w:rFonts w:eastAsia="Calibri" w:cstheme="majorBidi"/>
          <w:color w:val="000000"/>
        </w:rPr>
      </w:pPr>
      <w:r w:rsidRPr="19CFB77B">
        <w:rPr>
          <w:rFonts w:eastAsia="Calibri" w:cstheme="majorBidi"/>
          <w:b/>
          <w:color w:val="000000" w:themeColor="text1"/>
        </w:rPr>
        <w:t>Shape their path</w:t>
      </w:r>
      <w:r w:rsidR="0085601D" w:rsidRPr="19CFB77B">
        <w:rPr>
          <w:rFonts w:eastAsia="Calibri" w:cstheme="majorBidi"/>
          <w:color w:val="000000" w:themeColor="text1"/>
        </w:rPr>
        <w:t xml:space="preserve">: </w:t>
      </w:r>
      <w:r w:rsidR="0085601D" w:rsidRPr="19CFB77B">
        <w:rPr>
          <w:rFonts w:cstheme="majorBidi"/>
          <w:shd w:val="clear" w:color="auto" w:fill="FAF9F8"/>
        </w:rPr>
        <w:t>determine and be well</w:t>
      </w:r>
      <w:r w:rsidR="1EB7DBD8" w:rsidRPr="4C2FB7EF">
        <w:rPr>
          <w:rFonts w:cstheme="majorBidi"/>
          <w:shd w:val="clear" w:color="auto" w:fill="FAF9F8"/>
        </w:rPr>
        <w:t>-</w:t>
      </w:r>
      <w:r w:rsidR="0085601D" w:rsidRPr="19CFB77B">
        <w:rPr>
          <w:rFonts w:cstheme="majorBidi"/>
          <w:shd w:val="clear" w:color="auto" w:fill="FAF9F8"/>
        </w:rPr>
        <w:t>prepared to thrive in life, college, and/or career</w:t>
      </w:r>
      <w:r w:rsidRPr="19CFB77B">
        <w:rPr>
          <w:rFonts w:eastAsia="Calibri" w:cstheme="majorBidi"/>
          <w:color w:val="000000" w:themeColor="text1"/>
        </w:rPr>
        <w:t>;</w:t>
      </w:r>
    </w:p>
    <w:p w14:paraId="6639F916" w14:textId="385614D4" w:rsidR="00F82D24" w:rsidRPr="00753D44" w:rsidRDefault="00F82D24" w:rsidP="00FD5CE3">
      <w:pPr>
        <w:pStyle w:val="ListParagraph"/>
        <w:widowControl w:val="0"/>
        <w:numPr>
          <w:ilvl w:val="0"/>
          <w:numId w:val="1"/>
        </w:numPr>
        <w:pBdr>
          <w:top w:val="nil"/>
          <w:left w:val="nil"/>
          <w:bottom w:val="nil"/>
          <w:right w:val="nil"/>
          <w:between w:val="nil"/>
        </w:pBdr>
        <w:spacing w:before="12"/>
        <w:ind w:right="26"/>
        <w:rPr>
          <w:rFonts w:eastAsia="Calibri" w:cstheme="majorHAnsi"/>
          <w:color w:val="000000"/>
        </w:rPr>
      </w:pPr>
      <w:r w:rsidRPr="00FC74C3">
        <w:rPr>
          <w:rFonts w:eastAsia="Calibri" w:cstheme="majorHAnsi"/>
          <w:b/>
          <w:bCs/>
          <w:color w:val="000000" w:themeColor="text1"/>
        </w:rPr>
        <w:t>Feel connected</w:t>
      </w:r>
      <w:r w:rsidR="00E23F46" w:rsidRPr="00FC74C3">
        <w:rPr>
          <w:rFonts w:eastAsia="Calibri" w:cstheme="majorHAnsi"/>
          <w:color w:val="000000" w:themeColor="text1"/>
        </w:rPr>
        <w:t xml:space="preserve">: </w:t>
      </w:r>
      <w:r w:rsidR="00E23F46" w:rsidRPr="00FC74C3">
        <w:rPr>
          <w:rFonts w:cstheme="majorHAnsi"/>
        </w:rPr>
        <w:t>see themselves as valuable and involved members of their communities, and be</w:t>
      </w:r>
      <w:r w:rsidR="00BC41EC" w:rsidRPr="00FC74C3">
        <w:rPr>
          <w:rFonts w:cstheme="majorHAnsi"/>
        </w:rPr>
        <w:t xml:space="preserve"> </w:t>
      </w:r>
      <w:r w:rsidR="00E23F46" w:rsidRPr="00FC74C3">
        <w:rPr>
          <w:rFonts w:cstheme="majorHAnsi"/>
        </w:rPr>
        <w:t>aware of their independence and interdependence</w:t>
      </w:r>
      <w:r w:rsidRPr="005A1A36">
        <w:rPr>
          <w:rFonts w:eastAsia="Calibri" w:cstheme="majorHAnsi"/>
          <w:color w:val="000000" w:themeColor="text1"/>
        </w:rPr>
        <w:t>;</w:t>
      </w:r>
    </w:p>
    <w:p w14:paraId="7C3A4012" w14:textId="32D4B835" w:rsidR="002359FF" w:rsidRPr="00753D44" w:rsidRDefault="00F82D24" w:rsidP="00FD5CE3">
      <w:pPr>
        <w:pStyle w:val="ListParagraph"/>
        <w:widowControl w:val="0"/>
        <w:numPr>
          <w:ilvl w:val="0"/>
          <w:numId w:val="1"/>
        </w:numPr>
        <w:pBdr>
          <w:top w:val="nil"/>
          <w:left w:val="nil"/>
          <w:bottom w:val="nil"/>
          <w:right w:val="nil"/>
          <w:between w:val="nil"/>
        </w:pBdr>
        <w:spacing w:before="12"/>
        <w:ind w:right="26"/>
        <w:rPr>
          <w:rFonts w:eastAsia="Calibri" w:cstheme="majorHAnsi"/>
          <w:color w:val="000000"/>
        </w:rPr>
      </w:pPr>
      <w:r w:rsidRPr="00753D44">
        <w:rPr>
          <w:rFonts w:eastAsia="Calibri" w:cstheme="majorHAnsi"/>
          <w:b/>
          <w:color w:val="000000" w:themeColor="text1"/>
        </w:rPr>
        <w:t>Be empowered</w:t>
      </w:r>
      <w:r w:rsidR="00726677" w:rsidRPr="00753D44">
        <w:rPr>
          <w:rFonts w:eastAsia="Calibri" w:cstheme="majorHAnsi"/>
          <w:color w:val="000000" w:themeColor="text1"/>
        </w:rPr>
        <w:t xml:space="preserve">: </w:t>
      </w:r>
      <w:r w:rsidR="00726677" w:rsidRPr="00753D44">
        <w:rPr>
          <w:rFonts w:cstheme="majorHAnsi"/>
        </w:rPr>
        <w:t>play a role in advocating for</w:t>
      </w:r>
      <w:r w:rsidR="002204DA" w:rsidRPr="00753D44">
        <w:rPr>
          <w:rFonts w:cstheme="majorHAnsi"/>
        </w:rPr>
        <w:t xml:space="preserve"> </w:t>
      </w:r>
      <w:r w:rsidR="00726677" w:rsidRPr="00753D44">
        <w:rPr>
          <w:rFonts w:cstheme="majorHAnsi"/>
        </w:rPr>
        <w:t>equity, justice, and liberty in their communities and beyond</w:t>
      </w:r>
      <w:r w:rsidR="002204DA" w:rsidRPr="00753D44">
        <w:rPr>
          <w:rFonts w:cstheme="majorHAnsi"/>
        </w:rPr>
        <w:t>.</w:t>
      </w:r>
    </w:p>
    <w:p w14:paraId="0E02D40F" w14:textId="621F1000" w:rsidR="00AB1E60" w:rsidRPr="00753D44" w:rsidRDefault="00F342F7" w:rsidP="00FD5CE3">
      <w:pPr>
        <w:widowControl w:val="0"/>
        <w:rPr>
          <w:rFonts w:eastAsia="Calibri" w:cstheme="majorHAnsi"/>
        </w:rPr>
      </w:pPr>
      <w:r w:rsidRPr="00753D44">
        <w:rPr>
          <w:rFonts w:eastAsia="Calibri" w:cstheme="majorHAnsi"/>
          <w:color w:val="000000" w:themeColor="text1"/>
        </w:rPr>
        <w:t xml:space="preserve">Educator preparation programs are a key part of </w:t>
      </w:r>
      <w:r w:rsidR="00C87ADE" w:rsidRPr="00753D44">
        <w:rPr>
          <w:rFonts w:eastAsia="Calibri" w:cstheme="majorHAnsi"/>
          <w:color w:val="000000" w:themeColor="text1"/>
        </w:rPr>
        <w:t>achiev</w:t>
      </w:r>
      <w:r w:rsidRPr="00753D44">
        <w:rPr>
          <w:rFonts w:eastAsia="Calibri" w:cstheme="majorHAnsi"/>
          <w:color w:val="000000" w:themeColor="text1"/>
        </w:rPr>
        <w:t>ing</w:t>
      </w:r>
      <w:r w:rsidR="00C87ADE" w:rsidRPr="00753D44">
        <w:rPr>
          <w:rFonts w:eastAsia="Calibri" w:cstheme="majorHAnsi"/>
          <w:color w:val="000000" w:themeColor="text1"/>
        </w:rPr>
        <w:t xml:space="preserve"> this </w:t>
      </w:r>
      <w:r w:rsidRPr="00753D44">
        <w:rPr>
          <w:rFonts w:eastAsia="Calibri" w:cstheme="majorHAnsi"/>
          <w:color w:val="000000" w:themeColor="text1"/>
        </w:rPr>
        <w:t xml:space="preserve">educational </w:t>
      </w:r>
      <w:r w:rsidR="00623D4C" w:rsidRPr="00753D44">
        <w:rPr>
          <w:rFonts w:eastAsia="Calibri" w:cstheme="majorHAnsi"/>
          <w:color w:val="000000" w:themeColor="text1"/>
        </w:rPr>
        <w:t>vision</w:t>
      </w:r>
      <w:r w:rsidR="00BD0E09" w:rsidRPr="00753D44">
        <w:rPr>
          <w:rFonts w:eastAsia="Calibri" w:cstheme="majorHAnsi"/>
          <w:color w:val="000000" w:themeColor="text1"/>
        </w:rPr>
        <w:t>, with</w:t>
      </w:r>
      <w:r w:rsidR="00C87ADE" w:rsidRPr="00753D44">
        <w:rPr>
          <w:rFonts w:eastAsia="Calibri" w:cstheme="majorHAnsi"/>
          <w:color w:val="000000" w:themeColor="text1"/>
        </w:rPr>
        <w:t xml:space="preserve"> Sponsoring Organizations </w:t>
      </w:r>
      <w:r w:rsidR="19163A35" w:rsidRPr="00753D44">
        <w:rPr>
          <w:rFonts w:eastAsia="Calibri" w:cstheme="majorHAnsi"/>
          <w:color w:val="000000" w:themeColor="text1"/>
        </w:rPr>
        <w:t xml:space="preserve">(SOs) </w:t>
      </w:r>
      <w:r w:rsidR="00BD0E09" w:rsidRPr="00FC74C3">
        <w:rPr>
          <w:rFonts w:eastAsia="Calibri" w:cstheme="majorHAnsi"/>
          <w:color w:val="000000" w:themeColor="text1"/>
        </w:rPr>
        <w:t xml:space="preserve">needing </w:t>
      </w:r>
      <w:r w:rsidR="00C87ADE" w:rsidRPr="00FC74C3">
        <w:rPr>
          <w:rFonts w:eastAsia="Calibri" w:cstheme="majorHAnsi"/>
          <w:color w:val="000000" w:themeColor="text1"/>
        </w:rPr>
        <w:t xml:space="preserve">to </w:t>
      </w:r>
      <w:r w:rsidR="5E6A968E" w:rsidRPr="00FC74C3">
        <w:rPr>
          <w:rFonts w:eastAsia="Calibri" w:cstheme="majorHAnsi"/>
          <w:color w:val="000000" w:themeColor="text1"/>
        </w:rPr>
        <w:t>prepare</w:t>
      </w:r>
      <w:r w:rsidR="00C87ADE" w:rsidRPr="00FC74C3">
        <w:rPr>
          <w:rFonts w:eastAsia="Calibri" w:cstheme="majorHAnsi"/>
          <w:color w:val="000000" w:themeColor="text1"/>
        </w:rPr>
        <w:t xml:space="preserve"> prospective </w:t>
      </w:r>
      <w:r w:rsidR="00C87ADE" w:rsidRPr="00FC74C3">
        <w:rPr>
          <w:rFonts w:eastAsia="Calibri" w:cstheme="majorHAnsi"/>
        </w:rPr>
        <w:t>educators</w:t>
      </w:r>
      <w:r w:rsidR="00496C07" w:rsidRPr="00FC74C3">
        <w:rPr>
          <w:rFonts w:eastAsia="Calibri" w:cstheme="majorHAnsi"/>
        </w:rPr>
        <w:t xml:space="preserve"> to </w:t>
      </w:r>
      <w:r w:rsidR="00BD0E09" w:rsidRPr="00FC74C3">
        <w:rPr>
          <w:rFonts w:eastAsia="Calibri" w:cstheme="majorHAnsi"/>
        </w:rPr>
        <w:t>be</w:t>
      </w:r>
      <w:r w:rsidR="00496C07" w:rsidRPr="00FC74C3">
        <w:rPr>
          <w:rFonts w:eastAsia="Calibri" w:cstheme="majorHAnsi"/>
        </w:rPr>
        <w:t xml:space="preserve"> effective on day one</w:t>
      </w:r>
      <w:r w:rsidR="00C87ADE" w:rsidRPr="00FC74C3">
        <w:rPr>
          <w:rFonts w:eastAsia="Calibri" w:cstheme="majorHAnsi"/>
          <w:color w:val="000000" w:themeColor="text1"/>
        </w:rPr>
        <w:t>.</w:t>
      </w:r>
      <w:r w:rsidR="009867B3" w:rsidRPr="00FC74C3">
        <w:rPr>
          <w:rFonts w:eastAsia="Calibri" w:cstheme="majorHAnsi"/>
          <w:color w:val="000000" w:themeColor="text1"/>
        </w:rPr>
        <w:t xml:space="preserve"> These Guidelines</w:t>
      </w:r>
      <w:r w:rsidR="0053535E" w:rsidRPr="00FC74C3">
        <w:rPr>
          <w:rFonts w:eastAsia="Calibri" w:cstheme="majorHAnsi"/>
          <w:color w:val="000000" w:themeColor="text1"/>
        </w:rPr>
        <w:t xml:space="preserve"> for Educator Preparation Program Approval</w:t>
      </w:r>
      <w:r w:rsidR="009867B3" w:rsidRPr="00FC74C3">
        <w:rPr>
          <w:rFonts w:eastAsia="Calibri" w:cstheme="majorHAnsi"/>
          <w:color w:val="000000" w:themeColor="text1"/>
        </w:rPr>
        <w:t xml:space="preserve"> detail the standards</w:t>
      </w:r>
      <w:r w:rsidR="009867B3" w:rsidRPr="00FC74C3">
        <w:rPr>
          <w:rFonts w:eastAsia="Calibri" w:cstheme="majorHAnsi"/>
        </w:rPr>
        <w:t xml:space="preserve"> for educator preparation </w:t>
      </w:r>
      <w:r w:rsidR="004860E8" w:rsidRPr="005A1A36">
        <w:rPr>
          <w:rFonts w:eastAsia="Calibri" w:cstheme="majorHAnsi"/>
        </w:rPr>
        <w:t>that lead to endorsement for</w:t>
      </w:r>
      <w:r w:rsidR="004860E8" w:rsidRPr="00753D44">
        <w:rPr>
          <w:rFonts w:eastAsia="Calibri" w:cstheme="majorHAnsi"/>
        </w:rPr>
        <w:t xml:space="preserve"> licensure in the Commonwealth</w:t>
      </w:r>
      <w:r w:rsidR="00011C47" w:rsidRPr="00753D44">
        <w:rPr>
          <w:rFonts w:eastAsia="Calibri" w:cstheme="majorHAnsi"/>
        </w:rPr>
        <w:t>, and</w:t>
      </w:r>
      <w:r w:rsidR="001413BB" w:rsidRPr="00753D44">
        <w:rPr>
          <w:rFonts w:eastAsia="Calibri" w:cstheme="majorHAnsi"/>
          <w:i/>
          <w:highlight w:val="white"/>
        </w:rPr>
        <w:t xml:space="preserve"> </w:t>
      </w:r>
      <w:r w:rsidR="009C207E" w:rsidRPr="00753D44">
        <w:rPr>
          <w:rFonts w:eastAsia="Calibri" w:cstheme="majorHAnsi"/>
          <w:highlight w:val="white"/>
        </w:rPr>
        <w:t xml:space="preserve">have been updated to </w:t>
      </w:r>
      <w:r w:rsidR="001413BB" w:rsidRPr="00753D44">
        <w:rPr>
          <w:rFonts w:eastAsia="Calibri" w:cstheme="majorHAnsi"/>
        </w:rPr>
        <w:t>set expectations</w:t>
      </w:r>
      <w:r w:rsidR="00447EE0" w:rsidRPr="00753D44">
        <w:rPr>
          <w:rFonts w:eastAsia="Calibri" w:cstheme="majorHAnsi"/>
        </w:rPr>
        <w:t xml:space="preserve"> and </w:t>
      </w:r>
      <w:r w:rsidR="006E5A3E" w:rsidRPr="00753D44">
        <w:rPr>
          <w:rFonts w:eastAsia="Calibri" w:cstheme="majorHAnsi"/>
        </w:rPr>
        <w:t>create processes</w:t>
      </w:r>
      <w:r w:rsidR="001413BB" w:rsidRPr="00753D44">
        <w:rPr>
          <w:rFonts w:eastAsia="Calibri" w:cstheme="majorHAnsi"/>
        </w:rPr>
        <w:t xml:space="preserve"> </w:t>
      </w:r>
      <w:r w:rsidR="008603E7" w:rsidRPr="00753D44">
        <w:rPr>
          <w:rFonts w:eastAsia="Calibri" w:cstheme="majorHAnsi"/>
        </w:rPr>
        <w:t xml:space="preserve">for educator preparation program approval </w:t>
      </w:r>
      <w:r w:rsidR="00447EE0" w:rsidRPr="00753D44">
        <w:rPr>
          <w:rFonts w:eastAsia="Calibri" w:cstheme="majorHAnsi"/>
        </w:rPr>
        <w:t>grounded in</w:t>
      </w:r>
      <w:r w:rsidR="001413BB" w:rsidRPr="00753D44">
        <w:rPr>
          <w:rFonts w:eastAsia="Calibri" w:cstheme="majorHAnsi"/>
        </w:rPr>
        <w:t xml:space="preserve"> the following </w:t>
      </w:r>
      <w:r w:rsidR="001413BB" w:rsidRPr="00753D44">
        <w:rPr>
          <w:rFonts w:eastAsia="Calibri" w:cstheme="majorHAnsi"/>
        </w:rPr>
        <w:lastRenderedPageBreak/>
        <w:t xml:space="preserve">emphases: </w:t>
      </w:r>
    </w:p>
    <w:p w14:paraId="0BCD5556" w14:textId="77777777" w:rsidR="00991FB2" w:rsidRPr="00D317A3" w:rsidRDefault="00991FB2">
      <w:pPr>
        <w:widowControl w:val="0"/>
        <w:rPr>
          <w:rFonts w:eastAsia="Calibri" w:cstheme="majorHAnsi"/>
        </w:rPr>
      </w:pPr>
    </w:p>
    <w:p w14:paraId="5F4F7FF5" w14:textId="5CB5AABD" w:rsidR="00991FB2" w:rsidRPr="00753D44" w:rsidRDefault="46054303" w:rsidP="00FC74C3">
      <w:pPr>
        <w:widowControl w:val="0"/>
        <w:ind w:left="720"/>
        <w:rPr>
          <w:rFonts w:eastAsia="Calibri" w:cstheme="majorBidi"/>
        </w:rPr>
      </w:pPr>
      <w:r w:rsidRPr="00FC74C3">
        <w:rPr>
          <w:rFonts w:eastAsia="Calibri" w:cstheme="majorBidi"/>
          <w:b/>
        </w:rPr>
        <w:t>Anti-Racism</w:t>
      </w:r>
      <w:r w:rsidRPr="00FC74C3">
        <w:rPr>
          <w:rFonts w:eastAsia="Calibri" w:cstheme="majorBidi"/>
        </w:rPr>
        <w:t xml:space="preserve"> </w:t>
      </w:r>
      <w:r w:rsidR="31B3F550" w:rsidRPr="00FC74C3">
        <w:rPr>
          <w:rFonts w:eastAsia="Calibri" w:cstheme="majorBidi"/>
        </w:rPr>
        <w:t>– Furthering</w:t>
      </w:r>
      <w:r w:rsidR="005B0CE3" w:rsidRPr="00FC74C3">
        <w:rPr>
          <w:rFonts w:eastAsia="Calibri" w:cstheme="majorBidi"/>
        </w:rPr>
        <w:t xml:space="preserve"> DESE’s educational </w:t>
      </w:r>
      <w:r w:rsidRPr="00FC74C3">
        <w:rPr>
          <w:rFonts w:eastAsia="Calibri" w:cstheme="majorBidi"/>
        </w:rPr>
        <w:t>vision</w:t>
      </w:r>
      <w:r w:rsidR="00AA5482" w:rsidRPr="00FC74C3">
        <w:rPr>
          <w:rFonts w:eastAsia="Calibri" w:cstheme="majorBidi"/>
        </w:rPr>
        <w:t xml:space="preserve"> </w:t>
      </w:r>
      <w:r w:rsidR="00BF4D98" w:rsidRPr="00FC74C3">
        <w:rPr>
          <w:rFonts w:eastAsia="Calibri" w:cstheme="majorBidi"/>
        </w:rPr>
        <w:t>requires</w:t>
      </w:r>
      <w:r w:rsidRPr="00FC74C3">
        <w:rPr>
          <w:rFonts w:eastAsia="Calibri" w:cstheme="majorBidi"/>
        </w:rPr>
        <w:t xml:space="preserve"> center</w:t>
      </w:r>
      <w:r w:rsidR="00BF4D98" w:rsidRPr="00FC74C3">
        <w:rPr>
          <w:rFonts w:eastAsia="Calibri" w:cstheme="majorBidi"/>
        </w:rPr>
        <w:t>ing</w:t>
      </w:r>
      <w:r w:rsidRPr="00FC74C3">
        <w:rPr>
          <w:rFonts w:eastAsia="Calibri" w:cstheme="majorBidi"/>
        </w:rPr>
        <w:t xml:space="preserve"> </w:t>
      </w:r>
      <w:r w:rsidRPr="005A1A36">
        <w:rPr>
          <w:rFonts w:eastAsia="Calibri" w:cstheme="majorBidi"/>
        </w:rPr>
        <w:t>anti-racist practices that enable teachers, administrators,</w:t>
      </w:r>
      <w:r w:rsidR="00AA5482" w:rsidRPr="00753D44">
        <w:rPr>
          <w:rFonts w:eastAsia="Calibri" w:cstheme="majorBidi"/>
        </w:rPr>
        <w:t xml:space="preserve"> specialists,</w:t>
      </w:r>
      <w:r w:rsidRPr="00753D44">
        <w:rPr>
          <w:rFonts w:eastAsia="Calibri" w:cstheme="majorBidi"/>
        </w:rPr>
        <w:t xml:space="preserve"> and school support personnel to well-</w:t>
      </w:r>
      <w:r w:rsidR="1FD46830" w:rsidRPr="00753D44">
        <w:rPr>
          <w:rFonts w:eastAsia="Calibri" w:cstheme="majorBidi"/>
        </w:rPr>
        <w:t>serve</w:t>
      </w:r>
      <w:r w:rsidRPr="00753D44">
        <w:rPr>
          <w:rFonts w:eastAsia="Calibri" w:cstheme="majorBidi"/>
        </w:rPr>
        <w:t xml:space="preserve"> </w:t>
      </w:r>
      <w:r w:rsidRPr="00753D44">
        <w:rPr>
          <w:rFonts w:eastAsia="Calibri" w:cstheme="majorBidi"/>
          <w:i/>
        </w:rPr>
        <w:t xml:space="preserve">all </w:t>
      </w:r>
      <w:r w:rsidRPr="00753D44">
        <w:rPr>
          <w:rFonts w:eastAsia="Calibri" w:cstheme="majorBidi"/>
        </w:rPr>
        <w:t>students from day one</w:t>
      </w:r>
      <w:r w:rsidR="001A2953" w:rsidRPr="00753D44">
        <w:rPr>
          <w:rFonts w:eastAsia="Calibri" w:cstheme="majorBidi"/>
        </w:rPr>
        <w:t>.</w:t>
      </w:r>
      <w:r w:rsidR="003F33A8" w:rsidRPr="00753D44">
        <w:rPr>
          <w:rFonts w:eastAsia="Calibri" w:cstheme="majorBidi"/>
        </w:rPr>
        <w:t xml:space="preserve"> </w:t>
      </w:r>
      <w:hyperlink r:id="rId13">
        <w:r w:rsidR="00C57250" w:rsidRPr="00014585">
          <w:rPr>
            <w:rFonts w:eastAsia="Calibri" w:cstheme="majorBidi"/>
            <w:color w:val="0000FF"/>
            <w:u w:val="single"/>
          </w:rPr>
          <w:t>Data show</w:t>
        </w:r>
      </w:hyperlink>
      <w:r w:rsidR="00C57250" w:rsidRPr="00FC74C3">
        <w:rPr>
          <w:rFonts w:eastAsia="Calibri" w:cstheme="majorBidi"/>
        </w:rPr>
        <w:t xml:space="preserve"> that we continue to underserve </w:t>
      </w:r>
      <w:r w:rsidR="0002686D" w:rsidRPr="00FC74C3">
        <w:rPr>
          <w:rFonts w:eastAsia="Calibri" w:cstheme="majorBidi"/>
          <w:color w:val="000000" w:themeColor="text1"/>
        </w:rPr>
        <w:t>Black, Latinx, Asian, Indigenous, and</w:t>
      </w:r>
      <w:r w:rsidR="0082479F" w:rsidRPr="00FC74C3">
        <w:rPr>
          <w:rFonts w:eastAsia="Calibri" w:cstheme="majorBidi"/>
          <w:color w:val="000000" w:themeColor="text1"/>
        </w:rPr>
        <w:t>/or</w:t>
      </w:r>
      <w:r w:rsidR="0002686D" w:rsidRPr="00FC74C3">
        <w:rPr>
          <w:rFonts w:eastAsia="Calibri" w:cstheme="majorBidi"/>
          <w:color w:val="000000" w:themeColor="text1"/>
        </w:rPr>
        <w:t xml:space="preserve"> Multiracial </w:t>
      </w:r>
      <w:r w:rsidR="00C57250" w:rsidRPr="00FC74C3">
        <w:rPr>
          <w:rFonts w:eastAsia="Calibri" w:cstheme="majorBidi"/>
        </w:rPr>
        <w:t>students, as well as English Learners and students with disabilities</w:t>
      </w:r>
      <w:r w:rsidR="00723B5E" w:rsidRPr="00FC74C3">
        <w:rPr>
          <w:rStyle w:val="FootnoteReference"/>
          <w:rFonts w:eastAsia="Calibri" w:cstheme="majorBidi"/>
        </w:rPr>
        <w:footnoteReference w:id="4"/>
      </w:r>
      <w:r w:rsidR="00C57250" w:rsidRPr="00FC74C3">
        <w:rPr>
          <w:rFonts w:eastAsia="Calibri" w:cstheme="majorBidi"/>
        </w:rPr>
        <w:t>. This is especially true for students with intersecting underserved identities</w:t>
      </w:r>
      <w:r w:rsidR="006036E3" w:rsidRPr="00FC74C3">
        <w:rPr>
          <w:rStyle w:val="FootnoteReference"/>
          <w:rFonts w:eastAsia="Calibri" w:cstheme="majorBidi"/>
        </w:rPr>
        <w:footnoteReference w:id="5"/>
      </w:r>
      <w:r w:rsidR="00011184" w:rsidRPr="00FC74C3">
        <w:rPr>
          <w:rFonts w:eastAsia="Calibri" w:cstheme="majorBidi"/>
          <w:vertAlign w:val="superscript"/>
        </w:rPr>
        <w:t>,</w:t>
      </w:r>
      <w:r w:rsidR="00B85EEC" w:rsidRPr="00FC74C3">
        <w:rPr>
          <w:rStyle w:val="FootnoteReference"/>
          <w:rFonts w:eastAsia="Calibri" w:cstheme="majorBidi"/>
        </w:rPr>
        <w:footnoteReference w:id="6"/>
      </w:r>
      <w:r w:rsidR="00011184" w:rsidRPr="00FC74C3">
        <w:rPr>
          <w:rFonts w:eastAsia="Calibri" w:cstheme="majorBidi"/>
        </w:rPr>
        <w:t xml:space="preserve">. </w:t>
      </w:r>
      <w:r w:rsidRPr="00FC74C3">
        <w:rPr>
          <w:rFonts w:eastAsia="Calibri" w:cstheme="majorBidi"/>
        </w:rPr>
        <w:t xml:space="preserve">Enacting steps towards racial equity </w:t>
      </w:r>
      <w:r w:rsidR="00501F68" w:rsidRPr="00FC74C3">
        <w:rPr>
          <w:rFonts w:eastAsia="Calibri" w:cstheme="majorBidi"/>
        </w:rPr>
        <w:t xml:space="preserve">in education </w:t>
      </w:r>
      <w:r w:rsidRPr="00FC74C3">
        <w:rPr>
          <w:rFonts w:eastAsia="Calibri" w:cstheme="majorBidi"/>
        </w:rPr>
        <w:t xml:space="preserve">means </w:t>
      </w:r>
      <w:r w:rsidR="00A0345F" w:rsidRPr="00FC74C3">
        <w:rPr>
          <w:rFonts w:eastAsia="Calibri" w:cstheme="majorBidi"/>
        </w:rPr>
        <w:t xml:space="preserve">(1) </w:t>
      </w:r>
      <w:r w:rsidR="002F0CB5" w:rsidRPr="00FC74C3">
        <w:rPr>
          <w:rFonts w:eastAsia="Calibri" w:cstheme="majorBidi"/>
        </w:rPr>
        <w:t xml:space="preserve">working to </w:t>
      </w:r>
      <w:r w:rsidR="00425FA7" w:rsidRPr="005A1A36">
        <w:rPr>
          <w:rFonts w:eastAsia="Calibri" w:cstheme="majorBidi"/>
        </w:rPr>
        <w:t xml:space="preserve">identify and dismantle educational policies, practices, conditions, and cultures that </w:t>
      </w:r>
      <w:r w:rsidR="00111695" w:rsidRPr="00753D44">
        <w:rPr>
          <w:rFonts w:eastAsia="Calibri" w:cstheme="majorBidi"/>
        </w:rPr>
        <w:t xml:space="preserve">perpetuate inequities </w:t>
      </w:r>
      <w:r w:rsidRPr="00753D44">
        <w:rPr>
          <w:rFonts w:eastAsia="Calibri" w:cstheme="majorBidi"/>
        </w:rPr>
        <w:t xml:space="preserve">at every level of </w:t>
      </w:r>
      <w:r w:rsidR="006B27A6" w:rsidRPr="00753D44">
        <w:rPr>
          <w:rFonts w:eastAsia="Calibri" w:cstheme="majorBidi"/>
        </w:rPr>
        <w:t>public education</w:t>
      </w:r>
      <w:r w:rsidRPr="00753D44" w:rsidDel="00815A19">
        <w:rPr>
          <w:rFonts w:eastAsia="Calibri" w:cstheme="majorBidi"/>
        </w:rPr>
        <w:t>, including within DESE and educator preparation programs,</w:t>
      </w:r>
      <w:r w:rsidR="00815A19" w:rsidRPr="00753D44">
        <w:rPr>
          <w:rFonts w:eastAsia="Calibri" w:cstheme="majorBidi"/>
        </w:rPr>
        <w:t xml:space="preserve"> </w:t>
      </w:r>
      <w:r w:rsidR="00A0345F" w:rsidRPr="00753D44">
        <w:rPr>
          <w:rFonts w:eastAsia="Calibri" w:cstheme="majorBidi"/>
        </w:rPr>
        <w:t>(2)</w:t>
      </w:r>
      <w:r w:rsidR="007E5901" w:rsidRPr="00753D44">
        <w:rPr>
          <w:rFonts w:eastAsia="Calibri" w:cstheme="majorBidi"/>
        </w:rPr>
        <w:t xml:space="preserve"> </w:t>
      </w:r>
      <w:r w:rsidR="00632E9C" w:rsidRPr="00753D44">
        <w:rPr>
          <w:rFonts w:eastAsia="Calibri" w:cstheme="majorBidi"/>
        </w:rPr>
        <w:t>supporting all educators and educator preparation personnel</w:t>
      </w:r>
      <w:r w:rsidR="00A0345F" w:rsidRPr="00753D44">
        <w:rPr>
          <w:rFonts w:eastAsia="Calibri" w:cstheme="majorBidi"/>
        </w:rPr>
        <w:t xml:space="preserve"> </w:t>
      </w:r>
      <w:r w:rsidRPr="00753D44">
        <w:rPr>
          <w:rFonts w:eastAsia="Calibri" w:cstheme="majorBidi"/>
        </w:rPr>
        <w:t>to</w:t>
      </w:r>
      <w:r w:rsidR="003B6856" w:rsidRPr="00753D44">
        <w:rPr>
          <w:rFonts w:eastAsia="Calibri" w:cstheme="majorBidi"/>
        </w:rPr>
        <w:t xml:space="preserve"> </w:t>
      </w:r>
      <w:r w:rsidR="009C0C8C" w:rsidRPr="00753D44">
        <w:rPr>
          <w:rFonts w:eastAsia="Calibri" w:cstheme="majorBidi"/>
        </w:rPr>
        <w:t xml:space="preserve">better understand how their </w:t>
      </w:r>
      <w:r w:rsidR="00EA5A70" w:rsidRPr="00753D44">
        <w:rPr>
          <w:rFonts w:eastAsia="Calibri" w:cstheme="majorBidi"/>
        </w:rPr>
        <w:t>identity influences their practice</w:t>
      </w:r>
      <w:r w:rsidR="00F071AA" w:rsidRPr="00753D44">
        <w:rPr>
          <w:rFonts w:eastAsia="Calibri" w:cstheme="majorBidi"/>
        </w:rPr>
        <w:t xml:space="preserve">, and (3) preparing all educators to enact anti-racist, </w:t>
      </w:r>
      <w:hyperlink r:id="rId14" w:history="1">
        <w:r w:rsidR="2DCC1094" w:rsidRPr="00FC74C3">
          <w:rPr>
            <w:rStyle w:val="Hyperlink"/>
            <w:rFonts w:eastAsia="Calibri" w:cstheme="majorBidi"/>
          </w:rPr>
          <w:t>culturally and linguistically sustaining practices</w:t>
        </w:r>
      </w:hyperlink>
      <w:r w:rsidR="2DCC1094" w:rsidRPr="00FC74C3">
        <w:rPr>
          <w:rFonts w:eastAsia="Calibri" w:cstheme="majorBidi"/>
        </w:rPr>
        <w:t xml:space="preserve"> that </w:t>
      </w:r>
      <w:r w:rsidR="39D5E862" w:rsidRPr="00FC74C3">
        <w:rPr>
          <w:rFonts w:eastAsia="Calibri" w:cstheme="majorBidi"/>
        </w:rPr>
        <w:t>well-serve</w:t>
      </w:r>
      <w:r w:rsidR="418062A5" w:rsidRPr="00FC74C3">
        <w:rPr>
          <w:rFonts w:eastAsia="Calibri" w:cstheme="majorBidi"/>
        </w:rPr>
        <w:t xml:space="preserve"> each and every student</w:t>
      </w:r>
      <w:r w:rsidR="01C456CD" w:rsidRPr="00FC74C3">
        <w:rPr>
          <w:rFonts w:eastAsia="Calibri" w:cstheme="majorBidi"/>
        </w:rPr>
        <w:t xml:space="preserve"> </w:t>
      </w:r>
      <w:r w:rsidR="42C36EA5" w:rsidRPr="00FC74C3">
        <w:rPr>
          <w:rFonts w:eastAsia="Calibri" w:cstheme="majorBidi"/>
        </w:rPr>
        <w:t>in their schools and classrooms.</w:t>
      </w:r>
      <w:r w:rsidR="3AE5B896" w:rsidRPr="00FC74C3">
        <w:rPr>
          <w:rFonts w:eastAsia="Calibri" w:cstheme="majorBidi"/>
        </w:rPr>
        <w:t xml:space="preserve"> </w:t>
      </w:r>
      <w:r w:rsidRPr="00FC74C3">
        <w:rPr>
          <w:rFonts w:eastAsia="Calibri" w:cstheme="majorBidi"/>
        </w:rPr>
        <w:t xml:space="preserve">By centering </w:t>
      </w:r>
      <w:r w:rsidR="46626B89" w:rsidRPr="005A1A36">
        <w:rPr>
          <w:rFonts w:eastAsia="Calibri" w:cstheme="majorBidi"/>
        </w:rPr>
        <w:t>anti-racism</w:t>
      </w:r>
      <w:r w:rsidRPr="00753D44">
        <w:rPr>
          <w:rFonts w:eastAsia="Calibri" w:cstheme="majorBidi"/>
        </w:rPr>
        <w:t xml:space="preserve"> in the work of preparing educators, we establish the foundation upon which all </w:t>
      </w:r>
      <w:r w:rsidR="00A6735A" w:rsidRPr="00753D44">
        <w:rPr>
          <w:rFonts w:eastAsia="Calibri" w:cstheme="majorBidi"/>
        </w:rPr>
        <w:t xml:space="preserve">educators’ </w:t>
      </w:r>
      <w:r w:rsidR="00A94403" w:rsidRPr="00753D44">
        <w:rPr>
          <w:rFonts w:eastAsia="Calibri" w:cstheme="majorBidi"/>
        </w:rPr>
        <w:t xml:space="preserve">anti-racist </w:t>
      </w:r>
      <w:r w:rsidR="00A6735A" w:rsidRPr="00753D44">
        <w:rPr>
          <w:rFonts w:eastAsia="Calibri" w:cstheme="majorBidi"/>
        </w:rPr>
        <w:t>practices are</w:t>
      </w:r>
      <w:r w:rsidRPr="00753D44">
        <w:rPr>
          <w:rFonts w:eastAsia="Calibri" w:cstheme="majorBidi"/>
        </w:rPr>
        <w:t xml:space="preserve"> developed and reinforced.</w:t>
      </w:r>
    </w:p>
    <w:p w14:paraId="07ECD14B" w14:textId="77777777" w:rsidR="00991FB2" w:rsidRPr="00753D44" w:rsidRDefault="00991FB2" w:rsidP="00FC74C3">
      <w:pPr>
        <w:rPr>
          <w:rFonts w:eastAsia="Calibri" w:cstheme="majorHAnsi"/>
        </w:rPr>
      </w:pPr>
    </w:p>
    <w:p w14:paraId="2325E451" w14:textId="4A32473B" w:rsidR="00991FB2" w:rsidRPr="00FC74C3" w:rsidRDefault="001413BB" w:rsidP="00FC74C3">
      <w:pPr>
        <w:widowControl w:val="0"/>
        <w:ind w:left="720"/>
        <w:rPr>
          <w:rFonts w:eastAsia="Calibri" w:cstheme="majorBidi"/>
        </w:rPr>
      </w:pPr>
      <w:r w:rsidRPr="00753D44">
        <w:rPr>
          <w:rFonts w:eastAsia="Calibri" w:cstheme="majorBidi"/>
          <w:b/>
        </w:rPr>
        <w:t xml:space="preserve">Instructional Programming &amp; Evidence-Based Practice - </w:t>
      </w:r>
      <w:r w:rsidR="0054765C" w:rsidRPr="00753D44">
        <w:rPr>
          <w:rFonts w:eastAsia="Calibri" w:cstheme="majorBidi"/>
        </w:rPr>
        <w:t>Building upon expectations for</w:t>
      </w:r>
      <w:r w:rsidR="001430C4" w:rsidRPr="00753D44">
        <w:rPr>
          <w:rFonts w:eastAsia="Calibri" w:cstheme="majorBidi"/>
        </w:rPr>
        <w:t xml:space="preserve"> </w:t>
      </w:r>
      <w:r w:rsidR="00A16845" w:rsidRPr="00753D44">
        <w:rPr>
          <w:rFonts w:eastAsia="Calibri" w:cstheme="majorBidi"/>
        </w:rPr>
        <w:t xml:space="preserve">Sponsoring Organizations </w:t>
      </w:r>
      <w:r w:rsidR="0039280F" w:rsidRPr="00753D44">
        <w:rPr>
          <w:rFonts w:eastAsia="Calibri" w:cstheme="majorBidi"/>
        </w:rPr>
        <w:t xml:space="preserve">to create systems and structures to support effective preparation </w:t>
      </w:r>
      <w:r w:rsidRPr="00753D44">
        <w:rPr>
          <w:rFonts w:eastAsia="Calibri" w:cstheme="majorBidi"/>
        </w:rPr>
        <w:t>at the organization</w:t>
      </w:r>
      <w:r w:rsidR="2978F756" w:rsidRPr="00753D44">
        <w:rPr>
          <w:rFonts w:eastAsia="Calibri" w:cstheme="majorBidi"/>
        </w:rPr>
        <w:t xml:space="preserve"> </w:t>
      </w:r>
      <w:r w:rsidRPr="00753D44">
        <w:rPr>
          <w:rFonts w:eastAsia="Calibri" w:cstheme="majorBidi"/>
        </w:rPr>
        <w:t xml:space="preserve">level, a central approach in the previous </w:t>
      </w:r>
      <w:r w:rsidR="009810BE" w:rsidRPr="00753D44">
        <w:rPr>
          <w:rFonts w:eastAsia="Calibri" w:cstheme="majorBidi"/>
        </w:rPr>
        <w:t>iteration, these</w:t>
      </w:r>
      <w:r w:rsidR="0092010A" w:rsidRPr="00753D44">
        <w:rPr>
          <w:rFonts w:eastAsia="Calibri" w:cstheme="majorBidi"/>
        </w:rPr>
        <w:t xml:space="preserve"> </w:t>
      </w:r>
      <w:r w:rsidRPr="00753D44">
        <w:rPr>
          <w:rFonts w:eastAsia="Calibri" w:cstheme="majorBidi"/>
        </w:rPr>
        <w:t>Guidelines</w:t>
      </w:r>
      <w:r w:rsidR="004F0E25" w:rsidRPr="00753D44">
        <w:rPr>
          <w:rFonts w:eastAsia="Calibri" w:cstheme="majorBidi"/>
        </w:rPr>
        <w:t xml:space="preserve"> </w:t>
      </w:r>
      <w:r w:rsidR="00C6254B" w:rsidRPr="00753D44">
        <w:rPr>
          <w:rFonts w:eastAsia="Calibri" w:cstheme="majorBidi"/>
        </w:rPr>
        <w:t xml:space="preserve">more deeply examine </w:t>
      </w:r>
      <w:r w:rsidR="005D46CC" w:rsidRPr="00753D44">
        <w:rPr>
          <w:rFonts w:eastAsia="Calibri" w:cstheme="majorBidi"/>
        </w:rPr>
        <w:t>individual programs</w:t>
      </w:r>
      <w:r w:rsidR="006E1C34" w:rsidRPr="00753D44">
        <w:rPr>
          <w:rFonts w:eastAsia="Calibri" w:cstheme="majorBidi"/>
        </w:rPr>
        <w:t xml:space="preserve"> within the </w:t>
      </w:r>
      <w:r w:rsidR="00CE1D4E" w:rsidRPr="00753D44">
        <w:rPr>
          <w:rFonts w:eastAsia="Calibri" w:cstheme="majorBidi"/>
        </w:rPr>
        <w:t>Sponsoring Organization</w:t>
      </w:r>
      <w:r w:rsidRPr="00753D44">
        <w:rPr>
          <w:rFonts w:eastAsia="Calibri" w:cstheme="majorBidi"/>
        </w:rPr>
        <w:t xml:space="preserve">. This deeper focus </w:t>
      </w:r>
      <w:r w:rsidR="005D46CC" w:rsidRPr="00753D44">
        <w:rPr>
          <w:rFonts w:eastAsia="Calibri" w:cstheme="majorBidi"/>
        </w:rPr>
        <w:t>at the</w:t>
      </w:r>
      <w:r w:rsidRPr="00753D44">
        <w:rPr>
          <w:rFonts w:eastAsia="Calibri" w:cstheme="majorBidi"/>
        </w:rPr>
        <w:t xml:space="preserve"> program</w:t>
      </w:r>
      <w:r w:rsidR="74E233F9" w:rsidRPr="00753D44">
        <w:rPr>
          <w:rFonts w:eastAsia="Calibri" w:cstheme="majorBidi"/>
        </w:rPr>
        <w:t xml:space="preserve"> </w:t>
      </w:r>
      <w:r w:rsidR="005D46CC" w:rsidRPr="00753D44">
        <w:rPr>
          <w:rFonts w:eastAsia="Calibri" w:cstheme="majorBidi"/>
        </w:rPr>
        <w:t>level</w:t>
      </w:r>
      <w:r w:rsidRPr="00753D44">
        <w:rPr>
          <w:rFonts w:eastAsia="Calibri" w:cstheme="majorBidi"/>
        </w:rPr>
        <w:t xml:space="preserve"> </w:t>
      </w:r>
      <w:r w:rsidR="29FCB4EB" w:rsidRPr="00753D44">
        <w:rPr>
          <w:rFonts w:eastAsia="Calibri" w:cstheme="majorBidi"/>
        </w:rPr>
        <w:t>align</w:t>
      </w:r>
      <w:r w:rsidR="005260D4" w:rsidRPr="00753D44">
        <w:rPr>
          <w:rFonts w:eastAsia="Calibri" w:cstheme="majorBidi"/>
        </w:rPr>
        <w:t>s</w:t>
      </w:r>
      <w:r w:rsidRPr="00753D44">
        <w:rPr>
          <w:rFonts w:eastAsia="Calibri" w:cstheme="majorBidi"/>
        </w:rPr>
        <w:t xml:space="preserve"> with the updated expectations DESE put in place </w:t>
      </w:r>
      <w:r w:rsidR="003D286E" w:rsidRPr="00753D44">
        <w:rPr>
          <w:rFonts w:eastAsia="Calibri" w:cstheme="majorBidi"/>
        </w:rPr>
        <w:t xml:space="preserve">for content knowledge and pedagogical skills </w:t>
      </w:r>
      <w:r w:rsidRPr="00753D44">
        <w:rPr>
          <w:rFonts w:eastAsia="Calibri" w:cstheme="majorBidi"/>
        </w:rPr>
        <w:t xml:space="preserve">over the past eight years, as well as increased </w:t>
      </w:r>
      <w:r w:rsidR="00FE68EE" w:rsidRPr="00753D44">
        <w:rPr>
          <w:rFonts w:eastAsia="Calibri" w:cstheme="majorBidi"/>
        </w:rPr>
        <w:t>prioritization of</w:t>
      </w:r>
      <w:r w:rsidRPr="00753D44">
        <w:rPr>
          <w:rFonts w:eastAsia="Calibri" w:cstheme="majorBidi"/>
        </w:rPr>
        <w:t xml:space="preserve"> evidence-based instructional practices, particularly in the areas of </w:t>
      </w:r>
      <w:hyperlink r:id="rId15">
        <w:r w:rsidRPr="00014585">
          <w:rPr>
            <w:rFonts w:eastAsia="Calibri" w:cstheme="majorBidi"/>
            <w:color w:val="0000FF"/>
            <w:u w:val="single"/>
          </w:rPr>
          <w:t xml:space="preserve">early </w:t>
        </w:r>
      </w:hyperlink>
      <w:hyperlink r:id="rId16">
        <w:r w:rsidRPr="00014585">
          <w:rPr>
            <w:rFonts w:eastAsia="Calibri" w:cstheme="majorBidi"/>
            <w:color w:val="0000FF"/>
            <w:u w:val="single"/>
          </w:rPr>
          <w:t>literacy</w:t>
        </w:r>
      </w:hyperlink>
      <w:r w:rsidRPr="00FC74C3">
        <w:rPr>
          <w:rFonts w:eastAsia="Calibri" w:cstheme="majorBidi"/>
        </w:rPr>
        <w:t xml:space="preserve">, </w:t>
      </w:r>
      <w:hyperlink r:id="rId17">
        <w:r w:rsidRPr="00014585">
          <w:rPr>
            <w:rFonts w:eastAsia="Calibri" w:cstheme="majorBidi"/>
            <w:color w:val="0000FF"/>
            <w:u w:val="single"/>
          </w:rPr>
          <w:t xml:space="preserve">curriculum </w:t>
        </w:r>
      </w:hyperlink>
      <w:hyperlink r:id="rId18">
        <w:r w:rsidRPr="00014585">
          <w:rPr>
            <w:rFonts w:eastAsia="Calibri" w:cstheme="majorBidi"/>
            <w:color w:val="0000FF"/>
            <w:u w:val="single"/>
          </w:rPr>
          <w:t>literacy</w:t>
        </w:r>
      </w:hyperlink>
      <w:r w:rsidRPr="00FC74C3">
        <w:rPr>
          <w:rFonts w:eastAsia="Calibri" w:cstheme="majorBidi"/>
        </w:rPr>
        <w:t xml:space="preserve">, and </w:t>
      </w:r>
      <w:hyperlink r:id="rId19">
        <w:r w:rsidR="29FCB4EB" w:rsidRPr="00FC74C3">
          <w:rPr>
            <w:rStyle w:val="Hyperlink"/>
            <w:rFonts w:eastAsia="Calibri" w:cstheme="majorBidi"/>
          </w:rPr>
          <w:t>administrator preparation.</w:t>
        </w:r>
      </w:hyperlink>
      <w:r w:rsidRPr="00FC74C3">
        <w:rPr>
          <w:rFonts w:eastAsia="Calibri" w:cstheme="majorBidi"/>
        </w:rPr>
        <w:t xml:space="preserve"> </w:t>
      </w:r>
    </w:p>
    <w:p w14:paraId="7FB4C87F" w14:textId="77777777" w:rsidR="00991FB2" w:rsidRPr="00FC74C3" w:rsidRDefault="00991FB2" w:rsidP="00FC74C3">
      <w:pPr>
        <w:widowControl w:val="0"/>
        <w:rPr>
          <w:rFonts w:eastAsia="Calibri" w:cstheme="majorHAnsi"/>
        </w:rPr>
      </w:pPr>
    </w:p>
    <w:p w14:paraId="66B2E5EF" w14:textId="4CD07037" w:rsidR="60AF0697" w:rsidRPr="00753D44" w:rsidRDefault="7414451A" w:rsidP="005A1A36">
      <w:pPr>
        <w:widowControl w:val="0"/>
        <w:rPr>
          <w:rFonts w:eastAsia="Calibri" w:cstheme="majorHAnsi"/>
        </w:rPr>
      </w:pPr>
      <w:r w:rsidRPr="00FC74C3">
        <w:rPr>
          <w:rFonts w:eastAsia="Calibri" w:cstheme="majorHAnsi"/>
        </w:rPr>
        <w:t xml:space="preserve">Building </w:t>
      </w:r>
      <w:r w:rsidR="7D660135" w:rsidRPr="00FC74C3">
        <w:rPr>
          <w:rFonts w:eastAsia="Calibri" w:cstheme="majorHAnsi"/>
        </w:rPr>
        <w:t xml:space="preserve">anti-racist educational systems is critical and urgent to create the experiences and outcomes all </w:t>
      </w:r>
      <w:r w:rsidR="15658B46" w:rsidRPr="00FC74C3">
        <w:rPr>
          <w:rFonts w:eastAsia="Calibri" w:cstheme="majorHAnsi"/>
        </w:rPr>
        <w:t>students</w:t>
      </w:r>
      <w:r w:rsidR="7D660135" w:rsidRPr="00FC74C3">
        <w:rPr>
          <w:rFonts w:eastAsia="Calibri" w:cstheme="majorHAnsi"/>
        </w:rPr>
        <w:t xml:space="preserve"> i</w:t>
      </w:r>
      <w:r w:rsidR="7D660135" w:rsidRPr="005A1A36">
        <w:rPr>
          <w:rFonts w:eastAsia="Calibri" w:cstheme="majorHAnsi"/>
        </w:rPr>
        <w:t xml:space="preserve">n the </w:t>
      </w:r>
      <w:r w:rsidR="465E97F0" w:rsidRPr="00753D44">
        <w:rPr>
          <w:rFonts w:eastAsia="Calibri" w:cstheme="majorHAnsi"/>
        </w:rPr>
        <w:t>Commonwealth</w:t>
      </w:r>
      <w:r w:rsidR="7D660135" w:rsidRPr="00753D44">
        <w:rPr>
          <w:rFonts w:eastAsia="Calibri" w:cstheme="majorHAnsi"/>
        </w:rPr>
        <w:t xml:space="preserve"> </w:t>
      </w:r>
      <w:r w:rsidR="7D660135" w:rsidRPr="00753D44" w:rsidDel="00CC0C41">
        <w:rPr>
          <w:rFonts w:eastAsia="Calibri" w:cstheme="majorHAnsi"/>
        </w:rPr>
        <w:t>deserve</w:t>
      </w:r>
      <w:r w:rsidR="00CC0C41" w:rsidRPr="00753D44">
        <w:rPr>
          <w:rFonts w:eastAsia="Calibri" w:cstheme="majorHAnsi"/>
        </w:rPr>
        <w:t xml:space="preserve"> and</w:t>
      </w:r>
      <w:r w:rsidR="00314CCA" w:rsidRPr="00753D44">
        <w:rPr>
          <w:rFonts w:eastAsia="Calibri" w:cstheme="majorHAnsi"/>
        </w:rPr>
        <w:t xml:space="preserve"> will require a commitment to anti-racism paired with </w:t>
      </w:r>
      <w:r w:rsidR="00975934" w:rsidRPr="00753D44">
        <w:rPr>
          <w:rFonts w:eastAsia="Calibri" w:cstheme="majorHAnsi"/>
        </w:rPr>
        <w:t>effective</w:t>
      </w:r>
      <w:r w:rsidR="00CC0C41" w:rsidRPr="00753D44">
        <w:rPr>
          <w:rFonts w:eastAsia="Calibri" w:cstheme="majorHAnsi"/>
        </w:rPr>
        <w:t xml:space="preserve"> instruction and evidence-based practices</w:t>
      </w:r>
      <w:r w:rsidR="589F6B4E" w:rsidRPr="00753D44">
        <w:rPr>
          <w:rFonts w:eastAsia="Calibri" w:cstheme="majorHAnsi"/>
        </w:rPr>
        <w:t xml:space="preserve">. </w:t>
      </w:r>
      <w:r w:rsidR="00327DA3" w:rsidRPr="00DA77B3">
        <w:rPr>
          <w:rFonts w:eastAsia="Calibri" w:cstheme="majorHAnsi"/>
        </w:rPr>
        <w:t>DESE is committed to collaborat</w:t>
      </w:r>
      <w:r w:rsidR="00327DA3" w:rsidRPr="00753D44">
        <w:rPr>
          <w:rFonts w:eastAsia="Calibri" w:cstheme="majorHAnsi"/>
        </w:rPr>
        <w:t>ing</w:t>
      </w:r>
      <w:r w:rsidR="24EAEA05" w:rsidRPr="00753D44">
        <w:rPr>
          <w:rFonts w:eastAsia="Calibri" w:cstheme="majorHAnsi"/>
        </w:rPr>
        <w:t xml:space="preserve"> </w:t>
      </w:r>
      <w:r w:rsidR="00BB3A1F" w:rsidRPr="00753D44">
        <w:rPr>
          <w:rFonts w:eastAsia="Calibri" w:cstheme="majorHAnsi"/>
        </w:rPr>
        <w:t xml:space="preserve">around how </w:t>
      </w:r>
      <w:r w:rsidR="24EAEA05" w:rsidRPr="00753D44">
        <w:rPr>
          <w:rFonts w:eastAsia="Calibri" w:cstheme="majorHAnsi"/>
        </w:rPr>
        <w:t xml:space="preserve">to </w:t>
      </w:r>
      <w:r w:rsidR="3287FB07" w:rsidRPr="00753D44">
        <w:rPr>
          <w:rFonts w:eastAsia="Calibri" w:cstheme="majorHAnsi"/>
        </w:rPr>
        <w:t>deconstruct</w:t>
      </w:r>
      <w:r w:rsidR="0674941D" w:rsidRPr="00753D44">
        <w:rPr>
          <w:rFonts w:eastAsia="Calibri" w:cstheme="majorHAnsi"/>
        </w:rPr>
        <w:t xml:space="preserve"> generations of policies and practices that have perpetuated systemic racism, and reconstructing </w:t>
      </w:r>
      <w:r w:rsidR="6D6CA5C8" w:rsidRPr="00753D44">
        <w:rPr>
          <w:rFonts w:eastAsia="Calibri" w:cstheme="majorHAnsi"/>
        </w:rPr>
        <w:t>equitable, anti-racist educational system</w:t>
      </w:r>
      <w:r w:rsidR="40589886" w:rsidRPr="00753D44">
        <w:rPr>
          <w:rFonts w:eastAsia="Calibri" w:cstheme="majorHAnsi"/>
        </w:rPr>
        <w:t>s</w:t>
      </w:r>
      <w:r w:rsidR="00327DA3" w:rsidRPr="00753D44">
        <w:rPr>
          <w:rFonts w:eastAsia="Calibri" w:cstheme="majorHAnsi"/>
        </w:rPr>
        <w:t xml:space="preserve"> in partnership with Sponsoring Organizations</w:t>
      </w:r>
      <w:r w:rsidR="59081307" w:rsidRPr="00753D44">
        <w:rPr>
          <w:rFonts w:eastAsia="Calibri" w:cstheme="majorHAnsi"/>
        </w:rPr>
        <w:t>.</w:t>
      </w:r>
      <w:r w:rsidR="5FE4A273" w:rsidRPr="00753D44">
        <w:rPr>
          <w:rFonts w:eastAsia="Calibri" w:cstheme="majorHAnsi"/>
        </w:rPr>
        <w:t xml:space="preserve"> </w:t>
      </w:r>
      <w:r w:rsidR="3037E4C9" w:rsidRPr="00FC74C3">
        <w:rPr>
          <w:rFonts w:eastAsia="Calibri" w:cstheme="majorHAnsi"/>
        </w:rPr>
        <w:t>S</w:t>
      </w:r>
      <w:r w:rsidR="00994FD6" w:rsidRPr="00FC74C3">
        <w:rPr>
          <w:rFonts w:eastAsia="Calibri" w:cstheme="majorHAnsi"/>
        </w:rPr>
        <w:t xml:space="preserve">ponsoring </w:t>
      </w:r>
      <w:r w:rsidR="179419D3" w:rsidRPr="00FC74C3">
        <w:rPr>
          <w:rFonts w:eastAsia="Calibri" w:cstheme="majorHAnsi"/>
        </w:rPr>
        <w:t>O</w:t>
      </w:r>
      <w:r w:rsidR="00994FD6" w:rsidRPr="00FC74C3">
        <w:rPr>
          <w:rFonts w:eastAsia="Calibri" w:cstheme="majorHAnsi"/>
        </w:rPr>
        <w:t>rganization</w:t>
      </w:r>
      <w:r w:rsidR="0D512389" w:rsidRPr="00FC74C3">
        <w:rPr>
          <w:rFonts w:eastAsia="Calibri" w:cstheme="majorHAnsi"/>
        </w:rPr>
        <w:t>s</w:t>
      </w:r>
      <w:r w:rsidR="3037E4C9" w:rsidRPr="00FC74C3">
        <w:rPr>
          <w:rFonts w:eastAsia="Calibri" w:cstheme="majorHAnsi"/>
        </w:rPr>
        <w:t xml:space="preserve"> may not need to completely change the systems and structures put into place to meet previous DESE expectations</w:t>
      </w:r>
      <w:r w:rsidR="00442AB6" w:rsidRPr="00FC74C3">
        <w:rPr>
          <w:rFonts w:eastAsia="Calibri" w:cstheme="majorHAnsi"/>
        </w:rPr>
        <w:t>. Rather</w:t>
      </w:r>
      <w:r w:rsidR="3037E4C9" w:rsidRPr="00FC74C3">
        <w:rPr>
          <w:rFonts w:eastAsia="Calibri" w:cstheme="majorHAnsi"/>
        </w:rPr>
        <w:t>, t</w:t>
      </w:r>
      <w:r w:rsidR="5FE4A273" w:rsidRPr="005A1A36">
        <w:rPr>
          <w:rFonts w:eastAsia="Calibri" w:cstheme="majorHAnsi"/>
        </w:rPr>
        <w:t>here will be opportunities for learning and growth at</w:t>
      </w:r>
      <w:r w:rsidR="5FE4A273" w:rsidRPr="00753D44">
        <w:rPr>
          <w:rFonts w:eastAsia="Calibri" w:cstheme="majorHAnsi"/>
        </w:rPr>
        <w:t xml:space="preserve"> every stage</w:t>
      </w:r>
      <w:r w:rsidR="26328356" w:rsidRPr="00753D44">
        <w:rPr>
          <w:rFonts w:eastAsia="Calibri" w:cstheme="majorHAnsi"/>
        </w:rPr>
        <w:t xml:space="preserve"> as organizations interrogate how those systems have contributed to inequity</w:t>
      </w:r>
      <w:r w:rsidR="00244272" w:rsidRPr="00753D44">
        <w:rPr>
          <w:rFonts w:eastAsia="Calibri" w:cstheme="majorHAnsi"/>
        </w:rPr>
        <w:t xml:space="preserve"> and identify areas of strength upon which to build</w:t>
      </w:r>
      <w:r w:rsidR="5FE4A273" w:rsidRPr="00753D44">
        <w:rPr>
          <w:rFonts w:eastAsia="Calibri" w:cstheme="majorHAnsi"/>
        </w:rPr>
        <w:t xml:space="preserve">. </w:t>
      </w:r>
      <w:r w:rsidR="46BE7E39" w:rsidRPr="00753D44">
        <w:rPr>
          <w:rFonts w:eastAsia="Calibri" w:cstheme="majorHAnsi"/>
        </w:rPr>
        <w:t>S</w:t>
      </w:r>
      <w:r w:rsidR="00994FD6" w:rsidRPr="00753D44">
        <w:rPr>
          <w:rFonts w:eastAsia="Calibri" w:cstheme="majorHAnsi"/>
        </w:rPr>
        <w:t xml:space="preserve">ponsoring </w:t>
      </w:r>
      <w:r w:rsidR="46BE7E39" w:rsidRPr="00753D44">
        <w:rPr>
          <w:rFonts w:eastAsia="Calibri" w:cstheme="majorHAnsi"/>
        </w:rPr>
        <w:t>O</w:t>
      </w:r>
      <w:r w:rsidR="00994FD6" w:rsidRPr="00753D44">
        <w:rPr>
          <w:rFonts w:eastAsia="Calibri" w:cstheme="majorHAnsi"/>
        </w:rPr>
        <w:t>rganization</w:t>
      </w:r>
      <w:r w:rsidR="46BE7E39" w:rsidRPr="00753D44">
        <w:rPr>
          <w:rFonts w:eastAsia="Calibri" w:cstheme="majorHAnsi"/>
        </w:rPr>
        <w:t>s will need to take action to disrupt inequities and repair harm, within a</w:t>
      </w:r>
      <w:r w:rsidR="00B60CC6" w:rsidRPr="00753D44">
        <w:rPr>
          <w:rFonts w:eastAsia="Calibri" w:cstheme="majorHAnsi"/>
        </w:rPr>
        <w:t xml:space="preserve"> program approval </w:t>
      </w:r>
      <w:r w:rsidR="00AC1AEF" w:rsidRPr="00753D44">
        <w:rPr>
          <w:rFonts w:eastAsia="Calibri" w:cstheme="majorHAnsi"/>
        </w:rPr>
        <w:t>process</w:t>
      </w:r>
      <w:r w:rsidR="00C40275" w:rsidRPr="00753D44">
        <w:rPr>
          <w:rFonts w:eastAsia="Calibri" w:cstheme="majorHAnsi"/>
        </w:rPr>
        <w:t xml:space="preserve"> </w:t>
      </w:r>
      <w:r w:rsidR="46BE7E39" w:rsidRPr="00753D44">
        <w:rPr>
          <w:rFonts w:eastAsia="Calibri" w:cstheme="majorHAnsi"/>
        </w:rPr>
        <w:t xml:space="preserve">that </w:t>
      </w:r>
      <w:r w:rsidR="00632E9C" w:rsidRPr="00753D44">
        <w:rPr>
          <w:rFonts w:cstheme="majorHAnsi"/>
        </w:rPr>
        <w:t xml:space="preserve">prioritizes evidence </w:t>
      </w:r>
      <w:r w:rsidR="00321C83" w:rsidRPr="00753D44">
        <w:rPr>
          <w:rFonts w:cstheme="majorHAnsi"/>
        </w:rPr>
        <w:t xml:space="preserve">of </w:t>
      </w:r>
      <w:r w:rsidR="00A93D69" w:rsidRPr="00753D44">
        <w:rPr>
          <w:rFonts w:cstheme="majorHAnsi"/>
        </w:rPr>
        <w:t>i</w:t>
      </w:r>
      <w:r w:rsidR="00A74B1E" w:rsidRPr="00753D44">
        <w:rPr>
          <w:rFonts w:cstheme="majorHAnsi"/>
        </w:rPr>
        <w:t>ncrease</w:t>
      </w:r>
      <w:r w:rsidR="00930C8A" w:rsidRPr="00753D44">
        <w:rPr>
          <w:rFonts w:cstheme="majorHAnsi"/>
        </w:rPr>
        <w:t>d</w:t>
      </w:r>
      <w:r w:rsidR="00A74B1E" w:rsidRPr="00FC74C3">
        <w:rPr>
          <w:rFonts w:cstheme="majorHAnsi"/>
        </w:rPr>
        <w:t xml:space="preserve"> equity in access </w:t>
      </w:r>
      <w:r w:rsidR="00A74B1E" w:rsidRPr="00FC74C3">
        <w:rPr>
          <w:rFonts w:cstheme="majorHAnsi"/>
        </w:rPr>
        <w:lastRenderedPageBreak/>
        <w:t>related to teaching and learning</w:t>
      </w:r>
      <w:r w:rsidR="00A93D69" w:rsidRPr="00FC74C3">
        <w:rPr>
          <w:rFonts w:cstheme="majorHAnsi"/>
        </w:rPr>
        <w:t>,</w:t>
      </w:r>
      <w:r w:rsidR="00A74B1E" w:rsidRPr="00FC74C3">
        <w:rPr>
          <w:rFonts w:cstheme="majorHAnsi"/>
        </w:rPr>
        <w:t xml:space="preserve"> decrease</w:t>
      </w:r>
      <w:r w:rsidR="00930C8A" w:rsidRPr="00FC74C3">
        <w:rPr>
          <w:rFonts w:cstheme="majorHAnsi"/>
        </w:rPr>
        <w:t>d</w:t>
      </w:r>
      <w:r w:rsidR="00A74B1E" w:rsidRPr="00FC74C3">
        <w:rPr>
          <w:rFonts w:cstheme="majorHAnsi"/>
        </w:rPr>
        <w:t xml:space="preserve"> disproportionality</w:t>
      </w:r>
      <w:r w:rsidR="002870B7" w:rsidRPr="00FC74C3">
        <w:rPr>
          <w:rFonts w:cstheme="majorHAnsi"/>
        </w:rPr>
        <w:t>,</w:t>
      </w:r>
      <w:r w:rsidR="00A74B1E" w:rsidRPr="00FC74C3">
        <w:rPr>
          <w:rFonts w:cstheme="majorHAnsi"/>
        </w:rPr>
        <w:t xml:space="preserve"> </w:t>
      </w:r>
      <w:r w:rsidR="00930C8A" w:rsidRPr="00FC74C3">
        <w:rPr>
          <w:rFonts w:cstheme="majorHAnsi"/>
        </w:rPr>
        <w:t>and</w:t>
      </w:r>
      <w:r w:rsidR="00A74B1E" w:rsidRPr="005A1A36">
        <w:rPr>
          <w:rFonts w:cstheme="majorHAnsi"/>
        </w:rPr>
        <w:t xml:space="preserve"> improv</w:t>
      </w:r>
      <w:r w:rsidR="00930C8A" w:rsidRPr="00753D44">
        <w:rPr>
          <w:rFonts w:cstheme="majorHAnsi"/>
        </w:rPr>
        <w:t>ed</w:t>
      </w:r>
      <w:r w:rsidR="00A74B1E" w:rsidRPr="00753D44">
        <w:rPr>
          <w:rFonts w:cstheme="majorHAnsi"/>
        </w:rPr>
        <w:t xml:space="preserve"> learning outcomes for all.</w:t>
      </w:r>
      <w:r w:rsidR="59081307" w:rsidRPr="00753D44">
        <w:rPr>
          <w:rFonts w:eastAsia="Calibri" w:cstheme="majorHAnsi"/>
        </w:rPr>
        <w:t xml:space="preserve"> </w:t>
      </w:r>
    </w:p>
    <w:p w14:paraId="5A4399AA" w14:textId="38771C50" w:rsidR="00991FB2" w:rsidRPr="00753D44" w:rsidRDefault="00991FB2" w:rsidP="60AF0697">
      <w:pPr>
        <w:widowControl w:val="0"/>
        <w:rPr>
          <w:rFonts w:eastAsia="Calibri" w:cstheme="majorHAnsi"/>
        </w:rPr>
      </w:pPr>
    </w:p>
    <w:p w14:paraId="15B6754C" w14:textId="1E5B823D" w:rsidR="00200937" w:rsidRPr="00FC74C3" w:rsidRDefault="008C27CD" w:rsidP="00FC74C3">
      <w:pPr>
        <w:widowControl w:val="0"/>
        <w:rPr>
          <w:rFonts w:eastAsia="Calibri" w:cstheme="majorHAnsi"/>
        </w:rPr>
      </w:pPr>
      <w:r w:rsidRPr="00753D44">
        <w:rPr>
          <w:rFonts w:eastAsia="Calibri" w:cstheme="majorHAnsi"/>
        </w:rPr>
        <w:t>The Office of Educator Effectiveness commits to</w:t>
      </w:r>
      <w:r w:rsidR="00A74867" w:rsidRPr="00753D44">
        <w:rPr>
          <w:rFonts w:eastAsia="Calibri" w:cstheme="majorHAnsi"/>
        </w:rPr>
        <w:t xml:space="preserve"> taking the same approach to</w:t>
      </w:r>
      <w:r w:rsidRPr="00753D44">
        <w:rPr>
          <w:rFonts w:eastAsia="Calibri" w:cstheme="majorHAnsi"/>
        </w:rPr>
        <w:t xml:space="preserve"> </w:t>
      </w:r>
      <w:r w:rsidR="00A74867" w:rsidRPr="00753D44">
        <w:rPr>
          <w:rFonts w:eastAsia="Calibri" w:cstheme="majorHAnsi"/>
        </w:rPr>
        <w:t>continuous learning and improvement driven by</w:t>
      </w:r>
      <w:r w:rsidR="008F2E54" w:rsidRPr="00753D44">
        <w:rPr>
          <w:rFonts w:eastAsia="Calibri" w:cstheme="majorHAnsi"/>
        </w:rPr>
        <w:t xml:space="preserve"> our vision to create the conditions that support the preparation, development, and retention of a diverse and effective educator workforce so that all students thrive.</w:t>
      </w:r>
      <w:r w:rsidR="00F943B4" w:rsidRPr="00753D44">
        <w:rPr>
          <w:rFonts w:eastAsia="Calibri" w:cstheme="majorHAnsi"/>
        </w:rPr>
        <w:t xml:space="preserve"> As such, th</w:t>
      </w:r>
      <w:r w:rsidR="009135F3" w:rsidRPr="00753D44">
        <w:rPr>
          <w:rFonts w:eastAsia="Calibri" w:cstheme="majorHAnsi"/>
        </w:rPr>
        <w:t xml:space="preserve">e Office of Educator Effectiveness </w:t>
      </w:r>
      <w:r w:rsidR="00F943B4" w:rsidRPr="00753D44">
        <w:rPr>
          <w:rFonts w:eastAsia="Calibri" w:cstheme="majorHAnsi"/>
        </w:rPr>
        <w:t xml:space="preserve">will </w:t>
      </w:r>
      <w:r w:rsidR="009135F3" w:rsidRPr="00753D44">
        <w:rPr>
          <w:rFonts w:eastAsia="Calibri" w:cstheme="majorHAnsi"/>
        </w:rPr>
        <w:t>have</w:t>
      </w:r>
      <w:r w:rsidR="00F943B4" w:rsidRPr="00753D44">
        <w:rPr>
          <w:rFonts w:eastAsia="Calibri" w:cstheme="majorHAnsi"/>
        </w:rPr>
        <w:t xml:space="preserve"> ongoing opportunities</w:t>
      </w:r>
      <w:r w:rsidR="008A4F52" w:rsidRPr="00753D44">
        <w:rPr>
          <w:rFonts w:eastAsia="Calibri" w:cstheme="majorHAnsi"/>
        </w:rPr>
        <w:t xml:space="preserve"> for feedback and engagement </w:t>
      </w:r>
      <w:r w:rsidR="007F2165" w:rsidRPr="00753D44">
        <w:rPr>
          <w:rFonts w:eastAsia="Calibri" w:cstheme="majorHAnsi"/>
        </w:rPr>
        <w:t>with the</w:t>
      </w:r>
      <w:r w:rsidR="003C45EC" w:rsidRPr="00753D44">
        <w:rPr>
          <w:rFonts w:eastAsia="Calibri" w:cstheme="majorHAnsi"/>
        </w:rPr>
        <w:t xml:space="preserve"> field, including</w:t>
      </w:r>
      <w:r w:rsidR="00590F48" w:rsidRPr="00753D44">
        <w:rPr>
          <w:rFonts w:eastAsia="Calibri" w:cstheme="majorHAnsi"/>
        </w:rPr>
        <w:t xml:space="preserve"> PK-12</w:t>
      </w:r>
      <w:r w:rsidR="003C45EC" w:rsidRPr="00753D44">
        <w:rPr>
          <w:rFonts w:eastAsia="Calibri" w:cstheme="majorHAnsi"/>
        </w:rPr>
        <w:t xml:space="preserve"> educators, families,</w:t>
      </w:r>
      <w:r w:rsidR="00590F48" w:rsidRPr="00753D44">
        <w:rPr>
          <w:rFonts w:eastAsia="Calibri" w:cstheme="majorHAnsi"/>
        </w:rPr>
        <w:t xml:space="preserve"> and </w:t>
      </w:r>
      <w:r w:rsidR="005E38F3" w:rsidRPr="00753D44">
        <w:rPr>
          <w:rFonts w:eastAsia="Calibri" w:cstheme="majorHAnsi"/>
        </w:rPr>
        <w:t>educ</w:t>
      </w:r>
      <w:r w:rsidR="00740A42" w:rsidRPr="00753D44">
        <w:rPr>
          <w:rFonts w:eastAsia="Calibri" w:cstheme="majorHAnsi"/>
        </w:rPr>
        <w:t>ator preparation programs</w:t>
      </w:r>
      <w:r w:rsidR="00DF42CB" w:rsidRPr="00753D44">
        <w:rPr>
          <w:rFonts w:eastAsia="Calibri" w:cstheme="majorHAnsi"/>
        </w:rPr>
        <w:t xml:space="preserve"> </w:t>
      </w:r>
      <w:r w:rsidR="000A3400" w:rsidRPr="00753D44">
        <w:rPr>
          <w:rFonts w:eastAsia="Calibri" w:cstheme="majorHAnsi"/>
        </w:rPr>
        <w:t>on these topics.</w:t>
      </w:r>
      <w:r w:rsidR="003C45EC" w:rsidRPr="00753D44">
        <w:rPr>
          <w:rFonts w:eastAsia="Calibri" w:cstheme="majorHAnsi"/>
        </w:rPr>
        <w:t xml:space="preserve"> </w:t>
      </w:r>
      <w:r w:rsidR="007F2165" w:rsidRPr="00753D44">
        <w:rPr>
          <w:rFonts w:eastAsia="Calibri" w:cstheme="majorHAnsi"/>
        </w:rPr>
        <w:t xml:space="preserve"> </w:t>
      </w:r>
    </w:p>
    <w:p w14:paraId="793D8DA8" w14:textId="77777777" w:rsidR="00200937" w:rsidRDefault="00200937">
      <w:pPr>
        <w:rPr>
          <w:rFonts w:eastAsia="Calibri" w:cstheme="majorHAnsi"/>
          <w:sz w:val="24"/>
          <w:szCs w:val="24"/>
        </w:rPr>
      </w:pPr>
      <w:r>
        <w:rPr>
          <w:rFonts w:eastAsia="Calibri" w:cstheme="majorHAnsi"/>
          <w:sz w:val="24"/>
          <w:szCs w:val="24"/>
        </w:rPr>
        <w:br w:type="page"/>
      </w:r>
    </w:p>
    <w:p w14:paraId="6E1AC58C" w14:textId="77777777" w:rsidR="00E2666D" w:rsidRPr="00BA67B6" w:rsidRDefault="00E2666D" w:rsidP="00BA67B6">
      <w:pPr>
        <w:pStyle w:val="Heading1"/>
      </w:pPr>
      <w:bookmarkStart w:id="5" w:name="_Program_Approval_Standards"/>
      <w:bookmarkStart w:id="6" w:name="_Toc125575602"/>
      <w:bookmarkEnd w:id="5"/>
      <w:r w:rsidRPr="00BA67B6">
        <w:lastRenderedPageBreak/>
        <w:t>Program Approval Standards and Review Criteria</w:t>
      </w:r>
      <w:bookmarkEnd w:id="6"/>
      <w:r w:rsidRPr="00BA67B6">
        <w:t xml:space="preserve"> </w:t>
      </w:r>
    </w:p>
    <w:p w14:paraId="141986F8" w14:textId="4C6C5ABE" w:rsidR="00E2666D" w:rsidRPr="00753D44" w:rsidRDefault="00E2666D" w:rsidP="00FC74C3">
      <w:pPr>
        <w:rPr>
          <w:rFonts w:eastAsia="Calibri" w:cstheme="majorHAnsi"/>
        </w:rPr>
      </w:pPr>
      <w:r w:rsidRPr="00FC74C3">
        <w:rPr>
          <w:rFonts w:eastAsia="Calibri" w:cstheme="majorHAnsi"/>
        </w:rPr>
        <w:t>DESE’s expectations of Sponsoring Organizations are based in state regulations</w:t>
      </w:r>
      <w:r w:rsidR="008175FD" w:rsidRPr="00FC74C3">
        <w:rPr>
          <w:rFonts w:eastAsia="Calibri" w:cstheme="majorHAnsi"/>
        </w:rPr>
        <w:t xml:space="preserve"> (</w:t>
      </w:r>
      <w:r w:rsidRPr="00FC74C3">
        <w:rPr>
          <w:rFonts w:eastAsia="Calibri" w:cstheme="majorHAnsi"/>
        </w:rPr>
        <w:t xml:space="preserve">found in </w:t>
      </w:r>
      <w:hyperlink w:anchor="_Appendix_A:_Regulations" w:history="1">
        <w:r w:rsidRPr="00FC74C3">
          <w:rPr>
            <w:rStyle w:val="Hyperlink"/>
            <w:rFonts w:eastAsia="Calibri" w:cstheme="majorHAnsi"/>
          </w:rPr>
          <w:t>Appendix A</w:t>
        </w:r>
      </w:hyperlink>
      <w:r w:rsidR="008175FD" w:rsidRPr="00FC74C3">
        <w:rPr>
          <w:rStyle w:val="Hyperlink"/>
          <w:rFonts w:cstheme="majorHAnsi"/>
        </w:rPr>
        <w:t>)</w:t>
      </w:r>
      <w:r w:rsidRPr="00FC74C3">
        <w:rPr>
          <w:rFonts w:eastAsia="Calibri" w:cstheme="majorHAnsi"/>
        </w:rPr>
        <w:t xml:space="preserve">. </w:t>
      </w:r>
      <w:r w:rsidR="001C1522" w:rsidRPr="00FC74C3">
        <w:rPr>
          <w:rFonts w:eastAsia="Calibri" w:cstheme="majorHAnsi"/>
        </w:rPr>
        <w:t>These</w:t>
      </w:r>
      <w:r w:rsidRPr="00FC74C3">
        <w:rPr>
          <w:rFonts w:eastAsia="Calibri" w:cstheme="majorHAnsi"/>
        </w:rPr>
        <w:t xml:space="preserve"> Guidelines </w:t>
      </w:r>
      <w:r w:rsidR="00C72FE4" w:rsidRPr="00FC74C3">
        <w:rPr>
          <w:rFonts w:eastAsia="Calibri" w:cstheme="majorHAnsi"/>
        </w:rPr>
        <w:t>provide</w:t>
      </w:r>
      <w:r w:rsidR="001B5EBD" w:rsidRPr="005A1A36">
        <w:rPr>
          <w:rFonts w:eastAsia="Calibri" w:cstheme="majorHAnsi"/>
        </w:rPr>
        <w:t xml:space="preserve"> information for Sponsoring Organizations on how the</w:t>
      </w:r>
      <w:r w:rsidRPr="005A1A36">
        <w:rPr>
          <w:rFonts w:eastAsia="Calibri" w:cstheme="majorHAnsi"/>
        </w:rPr>
        <w:t xml:space="preserve"> expectations in the regulations </w:t>
      </w:r>
      <w:r w:rsidR="001B5EBD" w:rsidRPr="00753D44">
        <w:rPr>
          <w:rFonts w:eastAsia="Calibri" w:cstheme="majorHAnsi"/>
        </w:rPr>
        <w:t xml:space="preserve">are </w:t>
      </w:r>
      <w:r w:rsidRPr="00753D44">
        <w:rPr>
          <w:rFonts w:eastAsia="Calibri" w:cstheme="majorHAnsi"/>
        </w:rPr>
        <w:t>measur</w:t>
      </w:r>
      <w:r w:rsidR="001B5EBD" w:rsidRPr="00753D44">
        <w:rPr>
          <w:rFonts w:eastAsia="Calibri" w:cstheme="majorHAnsi"/>
        </w:rPr>
        <w:t>ed</w:t>
      </w:r>
      <w:r w:rsidRPr="00753D44">
        <w:rPr>
          <w:rFonts w:eastAsia="Calibri" w:cstheme="majorHAnsi"/>
        </w:rPr>
        <w:t xml:space="preserve"> </w:t>
      </w:r>
      <w:r w:rsidR="001B5EBD" w:rsidRPr="00753D44">
        <w:rPr>
          <w:rFonts w:eastAsia="Calibri" w:cstheme="majorHAnsi"/>
        </w:rPr>
        <w:t>in the DESE</w:t>
      </w:r>
      <w:r w:rsidR="00B179B5" w:rsidRPr="00753D44">
        <w:rPr>
          <w:rFonts w:eastAsia="Calibri" w:cstheme="majorHAnsi"/>
        </w:rPr>
        <w:t xml:space="preserve"> program</w:t>
      </w:r>
      <w:r w:rsidR="001B5EBD" w:rsidRPr="00753D44">
        <w:rPr>
          <w:rFonts w:eastAsia="Calibri" w:cstheme="majorHAnsi"/>
        </w:rPr>
        <w:t xml:space="preserve"> approval process.</w:t>
      </w:r>
    </w:p>
    <w:p w14:paraId="017B1438" w14:textId="545540A2" w:rsidR="001F1ED5" w:rsidRPr="00753D44" w:rsidRDefault="001F1ED5" w:rsidP="00FC74C3">
      <w:pPr>
        <w:rPr>
          <w:rFonts w:eastAsia="Calibri" w:cstheme="majorHAnsi"/>
        </w:rPr>
      </w:pPr>
    </w:p>
    <w:p w14:paraId="325B9C5B" w14:textId="52A929B4" w:rsidR="00E2666D" w:rsidRPr="00753D44" w:rsidRDefault="00E2666D" w:rsidP="00FC74C3">
      <w:pPr>
        <w:rPr>
          <w:rFonts w:eastAsia="Calibri" w:cstheme="majorHAnsi"/>
        </w:rPr>
      </w:pPr>
      <w:r w:rsidRPr="00753D44">
        <w:rPr>
          <w:rFonts w:eastAsia="Calibri" w:cstheme="majorHAnsi"/>
        </w:rPr>
        <w:t xml:space="preserve">Expectations in the Guidelines are organized into six </w:t>
      </w:r>
      <w:r w:rsidR="006D54F5" w:rsidRPr="00753D44">
        <w:rPr>
          <w:rFonts w:eastAsia="Calibri" w:cstheme="majorHAnsi"/>
        </w:rPr>
        <w:t>domains</w:t>
      </w:r>
      <w:r w:rsidRPr="00753D44">
        <w:rPr>
          <w:rFonts w:eastAsia="Calibri" w:cstheme="majorHAnsi"/>
        </w:rPr>
        <w:t xml:space="preserve">, under which similar criteria </w:t>
      </w:r>
      <w:r w:rsidR="00B61898" w:rsidRPr="00753D44">
        <w:rPr>
          <w:rFonts w:eastAsia="Calibri" w:cstheme="majorHAnsi"/>
        </w:rPr>
        <w:t>are</w:t>
      </w:r>
      <w:r w:rsidRPr="00753D44">
        <w:rPr>
          <w:rFonts w:eastAsia="Calibri" w:cstheme="majorHAnsi"/>
        </w:rPr>
        <w:t xml:space="preserve"> grouped together: The Organization, Partnerships, Continuous Improvement, The Candidate, Field-Based Experiences, and Instruction. </w:t>
      </w:r>
    </w:p>
    <w:p w14:paraId="0856F581" w14:textId="77777777" w:rsidR="001F1ED5" w:rsidRPr="00753D44" w:rsidRDefault="001F1ED5" w:rsidP="00FC74C3">
      <w:pPr>
        <w:rPr>
          <w:rFonts w:eastAsia="Calibri" w:cstheme="majorHAnsi"/>
        </w:rPr>
      </w:pPr>
    </w:p>
    <w:p w14:paraId="7F8A14BD" w14:textId="37B44701" w:rsidR="00E2666D" w:rsidRPr="00FC74C3" w:rsidRDefault="00E2666D" w:rsidP="00FC74C3">
      <w:pPr>
        <w:rPr>
          <w:rFonts w:eastAsia="Calibri" w:cstheme="majorHAnsi"/>
        </w:rPr>
      </w:pPr>
      <w:r w:rsidRPr="00FC74C3">
        <w:rPr>
          <w:rFonts w:eastAsia="Calibri" w:cstheme="majorHAnsi"/>
        </w:rPr>
        <w:t xml:space="preserve">Criteria in each domain are derived directly from the </w:t>
      </w:r>
      <w:hyperlink w:anchor="_Appendix_B:_Program" w:history="1">
        <w:r w:rsidRPr="00FC74C3">
          <w:rPr>
            <w:rStyle w:val="Hyperlink"/>
            <w:rFonts w:eastAsia="Calibri" w:cstheme="majorHAnsi"/>
          </w:rPr>
          <w:t>Program Approval Standards</w:t>
        </w:r>
      </w:hyperlink>
      <w:r w:rsidRPr="00FC74C3">
        <w:rPr>
          <w:rFonts w:eastAsia="Calibri" w:cstheme="majorHAnsi"/>
        </w:rPr>
        <w:t xml:space="preserve"> and are designed to distill high-level concepts into a set of concrete, actionable expectations. By grouping these criteria into broader domains, DESE can ensure that criteria that apply to two or more standards (e.g., Standard A – Continuous Improvement and Standard G – Program Impact, which have a significant amount of overlap) are listed, and therefore evaluated, only once. This prov</w:t>
      </w:r>
      <w:r w:rsidRPr="005A1A36">
        <w:rPr>
          <w:rFonts w:eastAsia="Calibri" w:cstheme="majorHAnsi"/>
        </w:rPr>
        <w:t>ides full covera</w:t>
      </w:r>
      <w:r w:rsidRPr="009C6261">
        <w:rPr>
          <w:rFonts w:eastAsia="Calibri" w:cstheme="majorHAnsi"/>
        </w:rPr>
        <w:t>ge of the standards while also ensuring that providers are reviewed and evaluated efficiently without duplication of efforts and findings</w:t>
      </w:r>
      <w:r w:rsidRPr="00FC74C3">
        <w:rPr>
          <w:rFonts w:eastAsia="Calibri" w:cstheme="majorHAnsi"/>
        </w:rPr>
        <w:t>.</w:t>
      </w:r>
      <w:r w:rsidR="00D92464">
        <w:rPr>
          <w:rFonts w:eastAsia="Calibri" w:cstheme="majorHAnsi"/>
        </w:rPr>
        <w:br/>
      </w:r>
    </w:p>
    <w:p w14:paraId="7BB697F9" w14:textId="6ADB799F" w:rsidR="00697771" w:rsidRPr="00D317A3" w:rsidRDefault="00794089" w:rsidP="00794089">
      <w:pPr>
        <w:jc w:val="center"/>
        <w:rPr>
          <w:rFonts w:eastAsia="Calibri" w:cstheme="majorHAnsi"/>
          <w:sz w:val="24"/>
          <w:szCs w:val="24"/>
        </w:rPr>
      </w:pPr>
      <w:r>
        <w:rPr>
          <w:rFonts w:eastAsia="Calibri" w:cstheme="majorHAnsi"/>
          <w:noProof/>
          <w:sz w:val="24"/>
          <w:szCs w:val="24"/>
        </w:rPr>
        <w:drawing>
          <wp:inline distT="0" distB="0" distL="0" distR="0" wp14:anchorId="00D5BAA8" wp14:editId="7A6B0E36">
            <wp:extent cx="5405755" cy="2333625"/>
            <wp:effectExtent l="0" t="0" r="4445" b="9525"/>
            <wp:docPr id="1" name="Picture 1" descr="Diagram that shows connections from standards to domain to cri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hat shows connections from standards to domain to criteria."/>
                    <pic:cNvPicPr/>
                  </pic:nvPicPr>
                  <pic:blipFill rotWithShape="1">
                    <a:blip r:embed="rId20">
                      <a:extLst>
                        <a:ext uri="{28A0092B-C50C-407E-A947-70E740481C1C}">
                          <a14:useLocalDpi xmlns:a14="http://schemas.microsoft.com/office/drawing/2010/main" val="0"/>
                        </a:ext>
                      </a:extLst>
                    </a:blip>
                    <a:srcRect t="7387" b="6423"/>
                    <a:stretch/>
                  </pic:blipFill>
                  <pic:spPr bwMode="auto">
                    <a:xfrm>
                      <a:off x="0" y="0"/>
                      <a:ext cx="5433483" cy="2345595"/>
                    </a:xfrm>
                    <a:prstGeom prst="rect">
                      <a:avLst/>
                    </a:prstGeom>
                    <a:ln>
                      <a:noFill/>
                    </a:ln>
                    <a:extLst>
                      <a:ext uri="{53640926-AAD7-44D8-BBD7-CCE9431645EC}">
                        <a14:shadowObscured xmlns:a14="http://schemas.microsoft.com/office/drawing/2010/main"/>
                      </a:ext>
                    </a:extLst>
                  </pic:spPr>
                </pic:pic>
              </a:graphicData>
            </a:graphic>
          </wp:inline>
        </w:drawing>
      </w:r>
    </w:p>
    <w:p w14:paraId="12F81F50" w14:textId="40F56594" w:rsidR="00697771" w:rsidRPr="00014585" w:rsidRDefault="00D92464" w:rsidP="00FC74C3">
      <w:pPr>
        <w:rPr>
          <w:rFonts w:eastAsia="Calibri" w:cstheme="majorHAnsi"/>
        </w:rPr>
      </w:pPr>
      <w:r>
        <w:rPr>
          <w:rFonts w:eastAsia="Calibri" w:cstheme="majorHAnsi"/>
        </w:rPr>
        <w:br/>
      </w:r>
      <w:r w:rsidR="00A738F7" w:rsidRPr="00FC74C3">
        <w:rPr>
          <w:rFonts w:eastAsia="Calibri" w:cstheme="majorHAnsi"/>
        </w:rPr>
        <w:t xml:space="preserve">While each domain is evaluated </w:t>
      </w:r>
      <w:r w:rsidR="00BA671D" w:rsidRPr="00FC74C3">
        <w:rPr>
          <w:rFonts w:eastAsia="Calibri" w:cstheme="majorHAnsi"/>
        </w:rPr>
        <w:t xml:space="preserve">independently, </w:t>
      </w:r>
      <w:r w:rsidR="00D0388A" w:rsidRPr="00FC74C3">
        <w:rPr>
          <w:rFonts w:eastAsia="Calibri" w:cstheme="majorHAnsi"/>
        </w:rPr>
        <w:t>practices</w:t>
      </w:r>
      <w:r w:rsidR="00B903BE" w:rsidRPr="00FC74C3">
        <w:rPr>
          <w:rFonts w:eastAsia="Calibri" w:cstheme="majorHAnsi"/>
        </w:rPr>
        <w:t xml:space="preserve"> within each Sponsoring Organization may </w:t>
      </w:r>
      <w:r w:rsidR="000C4DB4" w:rsidRPr="00FC74C3">
        <w:rPr>
          <w:rFonts w:eastAsia="Calibri" w:cstheme="majorHAnsi"/>
        </w:rPr>
        <w:t xml:space="preserve">intersect multiple domains. </w:t>
      </w:r>
      <w:r w:rsidR="00461133" w:rsidRPr="00FC74C3">
        <w:rPr>
          <w:rFonts w:eastAsia="Calibri" w:cstheme="majorHAnsi"/>
        </w:rPr>
        <w:t>For example</w:t>
      </w:r>
      <w:r w:rsidR="002E1A83" w:rsidRPr="00FC74C3">
        <w:rPr>
          <w:rFonts w:eastAsia="Calibri" w:cstheme="majorHAnsi"/>
        </w:rPr>
        <w:t xml:space="preserve">, </w:t>
      </w:r>
      <w:r w:rsidR="0025155B" w:rsidRPr="005A1A36">
        <w:rPr>
          <w:rFonts w:eastAsia="Calibri" w:cstheme="majorHAnsi"/>
        </w:rPr>
        <w:t xml:space="preserve">the Partnerships </w:t>
      </w:r>
      <w:r w:rsidR="006A2D06">
        <w:rPr>
          <w:rFonts w:eastAsia="Calibri" w:cstheme="majorHAnsi"/>
        </w:rPr>
        <w:t>d</w:t>
      </w:r>
      <w:r w:rsidR="0025155B" w:rsidRPr="005A1A36">
        <w:rPr>
          <w:rFonts w:eastAsia="Calibri" w:cstheme="majorHAnsi"/>
        </w:rPr>
        <w:t xml:space="preserve">omain sets expectations for </w:t>
      </w:r>
      <w:r w:rsidR="000C4DB4" w:rsidRPr="005A1A36">
        <w:rPr>
          <w:rFonts w:eastAsia="Calibri" w:cstheme="majorHAnsi"/>
        </w:rPr>
        <w:t>strong, collaborative partnerships between Sponsoring Organizations and schools/districts</w:t>
      </w:r>
      <w:r w:rsidR="0054055C" w:rsidRPr="00753D44">
        <w:rPr>
          <w:rFonts w:eastAsia="Calibri" w:cstheme="majorHAnsi"/>
        </w:rPr>
        <w:t xml:space="preserve">. </w:t>
      </w:r>
      <w:r w:rsidR="00215CC8" w:rsidRPr="00753D44">
        <w:rPr>
          <w:rFonts w:eastAsia="Calibri" w:cstheme="majorHAnsi"/>
        </w:rPr>
        <w:t xml:space="preserve">Aspects of effective partnerships </w:t>
      </w:r>
      <w:r w:rsidR="00585857" w:rsidRPr="00753D44">
        <w:rPr>
          <w:rFonts w:eastAsia="Calibri" w:cstheme="majorHAnsi"/>
        </w:rPr>
        <w:t>also</w:t>
      </w:r>
      <w:r w:rsidR="000C4DB4" w:rsidRPr="00753D44">
        <w:rPr>
          <w:rFonts w:eastAsia="Calibri" w:cstheme="majorHAnsi"/>
        </w:rPr>
        <w:t xml:space="preserve"> appear in several </w:t>
      </w:r>
      <w:r w:rsidR="002469C9" w:rsidRPr="00753D44">
        <w:rPr>
          <w:rFonts w:eastAsia="Calibri" w:cstheme="majorHAnsi"/>
        </w:rPr>
        <w:t xml:space="preserve">other </w:t>
      </w:r>
      <w:r w:rsidR="000C4DB4" w:rsidRPr="00753D44">
        <w:rPr>
          <w:rFonts w:eastAsia="Calibri" w:cstheme="majorHAnsi"/>
        </w:rPr>
        <w:t xml:space="preserve">domains throughout these Guidelines, underscoring </w:t>
      </w:r>
      <w:r w:rsidR="00EB7BD1" w:rsidRPr="00753D44">
        <w:rPr>
          <w:rFonts w:eastAsia="Calibri" w:cstheme="majorHAnsi"/>
        </w:rPr>
        <w:t>their</w:t>
      </w:r>
      <w:r w:rsidR="000C4DB4" w:rsidRPr="00753D44">
        <w:rPr>
          <w:rFonts w:eastAsia="Calibri" w:cstheme="majorHAnsi"/>
        </w:rPr>
        <w:t xml:space="preserve"> importance</w:t>
      </w:r>
      <w:r w:rsidR="00EB7BD1" w:rsidRPr="00753D44">
        <w:rPr>
          <w:rFonts w:eastAsia="Calibri" w:cstheme="majorHAnsi"/>
        </w:rPr>
        <w:t xml:space="preserve"> for</w:t>
      </w:r>
      <w:r w:rsidR="000C4DB4" w:rsidRPr="00753D44">
        <w:rPr>
          <w:rFonts w:eastAsia="Calibri" w:cstheme="majorHAnsi"/>
        </w:rPr>
        <w:t xml:space="preserve"> the preparation of effective educators. </w:t>
      </w:r>
      <w:r w:rsidR="00F54447" w:rsidRPr="00753D44">
        <w:rPr>
          <w:rFonts w:eastAsia="Calibri" w:cstheme="majorHAnsi"/>
        </w:rPr>
        <w:t xml:space="preserve">For example, in </w:t>
      </w:r>
      <w:r w:rsidR="000C4DB4" w:rsidRPr="00753D44">
        <w:rPr>
          <w:rFonts w:eastAsia="Calibri" w:cstheme="majorHAnsi"/>
        </w:rPr>
        <w:t xml:space="preserve">the Continuous Improvement domain, partnerships both inform and drive organizational improvements; in the Field-Based Experiences domain, strong partnerships inform the quality and implementation of supportive field-based experiences for candidates and </w:t>
      </w:r>
      <w:r w:rsidR="00B725B0">
        <w:rPr>
          <w:rFonts w:eastAsia="Calibri" w:cstheme="majorHAnsi"/>
        </w:rPr>
        <w:t>S</w:t>
      </w:r>
      <w:r w:rsidR="000C4DB4" w:rsidRPr="00753D44">
        <w:rPr>
          <w:rFonts w:eastAsia="Calibri" w:cstheme="majorHAnsi"/>
        </w:rPr>
        <w:t xml:space="preserve">upervising </w:t>
      </w:r>
      <w:r w:rsidR="00B725B0">
        <w:rPr>
          <w:rFonts w:eastAsia="Calibri" w:cstheme="majorHAnsi"/>
        </w:rPr>
        <w:t>P</w:t>
      </w:r>
      <w:r w:rsidR="000C4DB4" w:rsidRPr="00753D44">
        <w:rPr>
          <w:rFonts w:eastAsia="Calibri" w:cstheme="majorHAnsi"/>
        </w:rPr>
        <w:t xml:space="preserve">ractitioners; and in the Instruction domain, effective </w:t>
      </w:r>
      <w:r w:rsidR="000C4DB4" w:rsidRPr="00753D44">
        <w:rPr>
          <w:rFonts w:eastAsia="Calibri" w:cstheme="majorHAnsi"/>
        </w:rPr>
        <w:lastRenderedPageBreak/>
        <w:t>partnerships shape program development</w:t>
      </w:r>
      <w:r w:rsidR="000C4DB4" w:rsidRPr="00014585">
        <w:rPr>
          <w:rFonts w:eastAsia="Calibri" w:cstheme="majorHAnsi"/>
        </w:rPr>
        <w:t xml:space="preserve">. </w:t>
      </w:r>
      <w:r w:rsidR="00CF26DE" w:rsidRPr="00FC74C3">
        <w:rPr>
          <w:rFonts w:eastAsia="Calibri" w:cstheme="majorHAnsi"/>
        </w:rPr>
        <w:t>For a crosswalk of the standards to domains, see</w:t>
      </w:r>
      <w:r w:rsidR="00F41C72" w:rsidRPr="00FC74C3">
        <w:rPr>
          <w:rFonts w:eastAsia="Calibri" w:cstheme="majorHAnsi"/>
        </w:rPr>
        <w:t xml:space="preserve"> </w:t>
      </w:r>
      <w:hyperlink w:anchor="_Appendix_B:_Program">
        <w:r w:rsidR="00F41C72" w:rsidRPr="00FC74C3">
          <w:rPr>
            <w:rStyle w:val="Hyperlink"/>
            <w:rFonts w:eastAsia="Calibri" w:cstheme="majorHAnsi"/>
          </w:rPr>
          <w:t xml:space="preserve">Appendix B: </w:t>
        </w:r>
        <w:r w:rsidR="00F41C72" w:rsidRPr="00FC74C3">
          <w:rPr>
            <w:rStyle w:val="Hyperlink"/>
            <w:rFonts w:cstheme="majorHAnsi"/>
          </w:rPr>
          <w:t>Program Approval Standards and Domain Crosswalk</w:t>
        </w:r>
      </w:hyperlink>
      <w:r w:rsidR="00F41C72" w:rsidRPr="00FC74C3">
        <w:rPr>
          <w:rStyle w:val="Hyperlink"/>
          <w:rFonts w:cstheme="majorHAnsi"/>
        </w:rPr>
        <w:t>.</w:t>
      </w:r>
    </w:p>
    <w:p w14:paraId="287A2D95" w14:textId="77777777" w:rsidR="00D317A3" w:rsidRPr="00014585" w:rsidRDefault="00D317A3" w:rsidP="00FC74C3">
      <w:pPr>
        <w:rPr>
          <w:rFonts w:eastAsia="Calibri" w:cstheme="majorHAnsi"/>
        </w:rPr>
      </w:pPr>
    </w:p>
    <w:p w14:paraId="2E57CEC8" w14:textId="386F2161" w:rsidR="00E2666D" w:rsidRPr="00753D44" w:rsidRDefault="00CE311E" w:rsidP="00FC74C3">
      <w:pPr>
        <w:rPr>
          <w:rFonts w:cstheme="majorHAnsi"/>
        </w:rPr>
      </w:pPr>
      <w:r w:rsidRPr="00FC74C3">
        <w:rPr>
          <w:rFonts w:eastAsia="Calibri" w:cstheme="majorHAnsi"/>
        </w:rPr>
        <w:t xml:space="preserve">Program criteria drive program reviews and evaluation. Criteria are intentionally crafted to be descriptive of expectations, not prescriptive of approaches or strategies. </w:t>
      </w:r>
      <w:r w:rsidR="00735698" w:rsidRPr="00FC74C3">
        <w:rPr>
          <w:rFonts w:cstheme="majorHAnsi"/>
        </w:rPr>
        <w:t>Updates</w:t>
      </w:r>
      <w:r w:rsidR="008408F2" w:rsidRPr="00FC74C3">
        <w:rPr>
          <w:rFonts w:cstheme="majorHAnsi"/>
        </w:rPr>
        <w:t xml:space="preserve"> to p</w:t>
      </w:r>
      <w:r w:rsidR="008408F2" w:rsidRPr="005A1A36">
        <w:rPr>
          <w:rFonts w:cstheme="majorHAnsi"/>
        </w:rPr>
        <w:t xml:space="preserve">rogram </w:t>
      </w:r>
      <w:r w:rsidR="00E2666D" w:rsidRPr="005A1A36">
        <w:rPr>
          <w:rFonts w:cstheme="majorHAnsi"/>
        </w:rPr>
        <w:t>approval criteria</w:t>
      </w:r>
      <w:r w:rsidR="00735698" w:rsidRPr="00753D44">
        <w:rPr>
          <w:rFonts w:cstheme="majorHAnsi"/>
        </w:rPr>
        <w:t>, as reflected in these Guidelines,</w:t>
      </w:r>
      <w:r w:rsidR="00E2666D" w:rsidRPr="00753D44">
        <w:rPr>
          <w:rFonts w:cstheme="majorHAnsi"/>
        </w:rPr>
        <w:t xml:space="preserve"> </w:t>
      </w:r>
      <w:r w:rsidR="008408F2" w:rsidRPr="00753D44">
        <w:rPr>
          <w:rFonts w:cstheme="majorHAnsi"/>
        </w:rPr>
        <w:t>reflect</w:t>
      </w:r>
      <w:r w:rsidR="00E2666D" w:rsidRPr="00753D44">
        <w:rPr>
          <w:rFonts w:cstheme="majorHAnsi"/>
        </w:rPr>
        <w:t xml:space="preserve"> a multi-step process of initial stakeholder engagement, internal drafting, and multiple rounds of stakeholder feedback</w:t>
      </w:r>
      <w:r w:rsidR="00A61E6A" w:rsidRPr="00753D44">
        <w:rPr>
          <w:rFonts w:cstheme="majorHAnsi"/>
        </w:rPr>
        <w:t xml:space="preserve"> on the drafted language</w:t>
      </w:r>
      <w:r w:rsidR="00E2666D" w:rsidRPr="00753D44">
        <w:rPr>
          <w:rFonts w:cstheme="majorHAnsi"/>
        </w:rPr>
        <w:t>. During the initial stakeholder engagement stage, DESE staff and external vendors engaged with families, students, educators, and educator preparation personnel to learn about their desired outcomes of the program approval criteria. During the internal drafting stage, members of the DESE Educator Preparation team used feedback from initial stakeholder engagement to draft the revised criteria. Finally, after criteria were drafted, stakeholder groups, including the Principal and Teacher Advisory Council, the Educator Preparation Advisory Group, and the Education Personnel Advisory Council provided multiple rounds of feedback.</w:t>
      </w:r>
    </w:p>
    <w:p w14:paraId="79A48BDF" w14:textId="77777777" w:rsidR="00E2666D" w:rsidRPr="00753D44" w:rsidRDefault="00E2666D" w:rsidP="005A1A36">
      <w:pPr>
        <w:rPr>
          <w:rFonts w:eastAsia="Calibri" w:cstheme="majorHAnsi"/>
        </w:rPr>
      </w:pPr>
    </w:p>
    <w:p w14:paraId="0D31995C" w14:textId="61AABA7B" w:rsidR="00E05889" w:rsidRPr="003E2664" w:rsidRDefault="00E2666D" w:rsidP="009C6261">
      <w:pPr>
        <w:rPr>
          <w:rFonts w:eastAsia="Calibri" w:cstheme="majorHAnsi"/>
        </w:rPr>
      </w:pPr>
      <w:r w:rsidRPr="00753D44">
        <w:rPr>
          <w:rFonts w:eastAsia="Calibri" w:cstheme="majorHAnsi"/>
        </w:rPr>
        <w:t xml:space="preserve">For </w:t>
      </w:r>
      <w:r w:rsidR="005A12EE" w:rsidRPr="00753D44">
        <w:rPr>
          <w:rFonts w:eastAsia="Calibri" w:cstheme="majorHAnsi"/>
        </w:rPr>
        <w:t>the complete list of</w:t>
      </w:r>
      <w:r w:rsidRPr="00753D44">
        <w:rPr>
          <w:rFonts w:eastAsia="Calibri" w:cstheme="majorHAnsi"/>
        </w:rPr>
        <w:t xml:space="preserve"> review criteria, see </w:t>
      </w:r>
      <w:hyperlink w:anchor="_Appendix_C:_Program" w:history="1">
        <w:r w:rsidR="00144E1D" w:rsidRPr="00FC74C3">
          <w:rPr>
            <w:rStyle w:val="Hyperlink"/>
            <w:rFonts w:eastAsia="Calibri" w:cstheme="majorHAnsi"/>
          </w:rPr>
          <w:t>Appendix C: Program Approval Criteria</w:t>
        </w:r>
      </w:hyperlink>
      <w:r w:rsidR="00144E1D" w:rsidRPr="00FC74C3">
        <w:rPr>
          <w:rFonts w:eastAsia="Calibri" w:cstheme="majorHAnsi"/>
        </w:rPr>
        <w:t>.</w:t>
      </w:r>
      <w:r w:rsidR="0012565E" w:rsidRPr="00753D44" w:rsidDel="005A12EE">
        <w:fldChar w:fldCharType="begin"/>
      </w:r>
      <w:r w:rsidR="0012565E" w:rsidRPr="00753D44" w:rsidDel="005A12EE">
        <w:fldChar w:fldCharType="separate"/>
      </w:r>
      <w:r w:rsidRPr="00753D44" w:rsidDel="005A12EE">
        <w:rPr>
          <w:rStyle w:val="Hyperlink"/>
          <w:rFonts w:eastAsia="Calibri" w:cstheme="majorHAnsi"/>
        </w:rPr>
        <w:t xml:space="preserve">Appendix C: </w:t>
      </w:r>
      <w:r w:rsidRPr="00753D44" w:rsidDel="005A12EE">
        <w:rPr>
          <w:rStyle w:val="Hyperlink"/>
          <w:rFonts w:cstheme="majorHAnsi"/>
        </w:rPr>
        <w:t>Program Approval Criteria</w:t>
      </w:r>
      <w:r w:rsidR="0012565E" w:rsidRPr="00753D44" w:rsidDel="005A12EE">
        <w:rPr>
          <w:rStyle w:val="Hyperlink"/>
          <w:rFonts w:cstheme="majorHAnsi"/>
        </w:rPr>
        <w:fldChar w:fldCharType="end"/>
      </w:r>
    </w:p>
    <w:p w14:paraId="4957F6E0" w14:textId="77777777" w:rsidR="00E05889" w:rsidRDefault="00E05889">
      <w:pPr>
        <w:rPr>
          <w:rFonts w:eastAsia="Calibri" w:cstheme="majorHAnsi"/>
          <w:sz w:val="24"/>
          <w:szCs w:val="24"/>
        </w:rPr>
      </w:pPr>
      <w:r>
        <w:rPr>
          <w:rFonts w:eastAsia="Calibri" w:cstheme="majorHAnsi"/>
          <w:sz w:val="24"/>
          <w:szCs w:val="24"/>
        </w:rPr>
        <w:br w:type="page"/>
      </w:r>
    </w:p>
    <w:p w14:paraId="3C6A8A58" w14:textId="77777777" w:rsidR="00E133EE" w:rsidRPr="00BA67B6" w:rsidRDefault="00E133EE" w:rsidP="00BA67B6">
      <w:pPr>
        <w:pStyle w:val="Heading1"/>
      </w:pPr>
      <w:bookmarkStart w:id="7" w:name="_The_Organization_Domain"/>
      <w:bookmarkStart w:id="8" w:name="_Toc125575603"/>
      <w:bookmarkEnd w:id="7"/>
      <w:r w:rsidRPr="00BA67B6">
        <w:lastRenderedPageBreak/>
        <w:t>The Organization Domain</w:t>
      </w:r>
      <w:bookmarkEnd w:id="8"/>
    </w:p>
    <w:p w14:paraId="5E4A24FD" w14:textId="79D74F5B" w:rsidR="00E133EE" w:rsidRPr="00FC74C3" w:rsidRDefault="00E133EE" w:rsidP="00FC74C3">
      <w:pPr>
        <w:pStyle w:val="paragraph"/>
        <w:spacing w:before="0" w:beforeAutospacing="0" w:after="0" w:afterAutospacing="0"/>
        <w:textAlignment w:val="baseline"/>
        <w:rPr>
          <w:rFonts w:asciiTheme="majorHAnsi" w:eastAsia="Calibri" w:hAnsiTheme="majorHAnsi" w:cstheme="majorHAnsi"/>
          <w:b/>
          <w:bCs/>
          <w:i/>
          <w:iCs/>
          <w:color w:val="000000"/>
          <w:sz w:val="22"/>
          <w:szCs w:val="22"/>
        </w:rPr>
      </w:pPr>
      <w:r w:rsidRPr="00FC74C3">
        <w:rPr>
          <w:rFonts w:asciiTheme="majorHAnsi" w:eastAsia="Calibri" w:hAnsiTheme="majorHAnsi" w:cstheme="majorHAnsi"/>
          <w:b/>
          <w:bCs/>
          <w:i/>
          <w:iCs/>
          <w:color w:val="000000" w:themeColor="text1"/>
          <w:sz w:val="22"/>
          <w:szCs w:val="22"/>
        </w:rPr>
        <w:t xml:space="preserve">Sponsoring Organizations </w:t>
      </w:r>
      <w:r w:rsidR="005B3EB7" w:rsidRPr="00FC74C3">
        <w:rPr>
          <w:rFonts w:asciiTheme="majorHAnsi" w:eastAsia="Calibri" w:hAnsiTheme="majorHAnsi" w:cstheme="majorHAnsi"/>
          <w:b/>
          <w:bCs/>
          <w:i/>
          <w:iCs/>
          <w:color w:val="000000" w:themeColor="text1"/>
          <w:sz w:val="22"/>
          <w:szCs w:val="22"/>
        </w:rPr>
        <w:t>are</w:t>
      </w:r>
      <w:r w:rsidRPr="00FC74C3">
        <w:rPr>
          <w:rFonts w:asciiTheme="majorHAnsi" w:eastAsia="Calibri" w:hAnsiTheme="majorHAnsi" w:cstheme="majorHAnsi"/>
          <w:b/>
          <w:bCs/>
          <w:i/>
          <w:iCs/>
          <w:color w:val="000000" w:themeColor="text1"/>
          <w:sz w:val="22"/>
          <w:szCs w:val="22"/>
        </w:rPr>
        <w:t xml:space="preserve"> committed to achieving equitable outcomes for candidates and PK-12 students and have systems and structures in place to realize those outcomes. </w:t>
      </w:r>
    </w:p>
    <w:p w14:paraId="5D79E1A3" w14:textId="77777777" w:rsidR="00E133EE" w:rsidRPr="003E2664" w:rsidRDefault="00E133EE" w:rsidP="00E133EE">
      <w:pPr>
        <w:pStyle w:val="paragraph"/>
        <w:spacing w:before="0" w:beforeAutospacing="0" w:after="0" w:afterAutospacing="0"/>
        <w:textAlignment w:val="baseline"/>
        <w:rPr>
          <w:rFonts w:asciiTheme="majorHAnsi" w:eastAsia="Calibri" w:hAnsiTheme="majorHAnsi" w:cstheme="majorHAnsi"/>
          <w:color w:val="000000"/>
          <w:sz w:val="22"/>
          <w:szCs w:val="22"/>
        </w:rPr>
      </w:pPr>
    </w:p>
    <w:p w14:paraId="05F4C94C" w14:textId="76721705" w:rsidR="00A97DCC" w:rsidRPr="00753D44" w:rsidRDefault="00E133EE" w:rsidP="00FC74C3">
      <w:pPr>
        <w:pStyle w:val="paragraph"/>
        <w:spacing w:before="0" w:beforeAutospacing="0" w:after="0" w:afterAutospacing="0" w:line="276" w:lineRule="auto"/>
        <w:textAlignment w:val="baseline"/>
        <w:rPr>
          <w:rStyle w:val="eop"/>
          <w:rFonts w:asciiTheme="majorHAnsi" w:eastAsia="Calibri" w:hAnsiTheme="majorHAnsi" w:cstheme="majorHAnsi"/>
          <w:sz w:val="22"/>
          <w:szCs w:val="22"/>
        </w:rPr>
      </w:pPr>
      <w:r w:rsidRPr="00FC74C3">
        <w:rPr>
          <w:rStyle w:val="normaltextrun"/>
          <w:rFonts w:asciiTheme="majorHAnsi" w:eastAsia="Calibri" w:hAnsiTheme="majorHAnsi" w:cstheme="majorHAnsi"/>
          <w:sz w:val="22"/>
          <w:szCs w:val="22"/>
        </w:rPr>
        <w:t xml:space="preserve">The Organization </w:t>
      </w:r>
      <w:r w:rsidR="00D43AF8">
        <w:rPr>
          <w:rStyle w:val="normaltextrun"/>
          <w:rFonts w:asciiTheme="majorHAnsi" w:eastAsia="Calibri" w:hAnsiTheme="majorHAnsi" w:cstheme="majorHAnsi"/>
          <w:sz w:val="22"/>
          <w:szCs w:val="22"/>
        </w:rPr>
        <w:t>d</w:t>
      </w:r>
      <w:r w:rsidRPr="00FC74C3">
        <w:rPr>
          <w:rStyle w:val="normaltextrun"/>
          <w:rFonts w:asciiTheme="majorHAnsi" w:eastAsia="Calibri" w:hAnsiTheme="majorHAnsi" w:cstheme="majorHAnsi"/>
          <w:sz w:val="22"/>
          <w:szCs w:val="22"/>
        </w:rPr>
        <w:t xml:space="preserve">omain articulates the expectation that a </w:t>
      </w:r>
      <w:r w:rsidR="00852848" w:rsidRPr="00FC74C3">
        <w:rPr>
          <w:rStyle w:val="normaltextrun"/>
          <w:rFonts w:asciiTheme="majorHAnsi" w:eastAsia="Calibri" w:hAnsiTheme="majorHAnsi" w:cstheme="majorHAnsi"/>
          <w:sz w:val="22"/>
          <w:szCs w:val="22"/>
        </w:rPr>
        <w:t>S</w:t>
      </w:r>
      <w:r w:rsidRPr="00FC74C3">
        <w:rPr>
          <w:rStyle w:val="normaltextrun"/>
          <w:rFonts w:asciiTheme="majorHAnsi" w:eastAsia="Calibri" w:hAnsiTheme="majorHAnsi" w:cstheme="majorHAnsi"/>
          <w:sz w:val="22"/>
          <w:szCs w:val="22"/>
        </w:rPr>
        <w:t xml:space="preserve">ponsoring </w:t>
      </w:r>
      <w:r w:rsidR="00852848" w:rsidRPr="00FC74C3">
        <w:rPr>
          <w:rStyle w:val="normaltextrun"/>
          <w:rFonts w:asciiTheme="majorHAnsi" w:eastAsia="Calibri" w:hAnsiTheme="majorHAnsi" w:cstheme="majorHAnsi"/>
          <w:sz w:val="22"/>
          <w:szCs w:val="22"/>
        </w:rPr>
        <w:t>O</w:t>
      </w:r>
      <w:r w:rsidRPr="00FC74C3">
        <w:rPr>
          <w:rStyle w:val="normaltextrun"/>
          <w:rFonts w:asciiTheme="majorHAnsi" w:eastAsia="Calibri" w:hAnsiTheme="majorHAnsi" w:cstheme="majorHAnsi"/>
          <w:sz w:val="22"/>
          <w:szCs w:val="22"/>
        </w:rPr>
        <w:t xml:space="preserve">rganization </w:t>
      </w:r>
      <w:r w:rsidRPr="00FC74C3">
        <w:rPr>
          <w:rFonts w:asciiTheme="majorHAnsi" w:eastAsia="Calibri" w:hAnsiTheme="majorHAnsi" w:cstheme="majorHAnsi"/>
          <w:color w:val="000000" w:themeColor="text1"/>
          <w:sz w:val="22"/>
          <w:szCs w:val="22"/>
        </w:rPr>
        <w:t>ha</w:t>
      </w:r>
      <w:r w:rsidR="404C64C3" w:rsidRPr="00FC74C3">
        <w:rPr>
          <w:rFonts w:asciiTheme="majorHAnsi" w:eastAsia="Calibri" w:hAnsiTheme="majorHAnsi" w:cstheme="majorHAnsi"/>
          <w:color w:val="000000" w:themeColor="text1"/>
          <w:sz w:val="22"/>
          <w:szCs w:val="22"/>
        </w:rPr>
        <w:t xml:space="preserve">s </w:t>
      </w:r>
      <w:r w:rsidRPr="00FC74C3">
        <w:rPr>
          <w:rFonts w:asciiTheme="majorHAnsi" w:eastAsia="Calibri" w:hAnsiTheme="majorHAnsi" w:cstheme="majorHAnsi"/>
          <w:color w:val="000000" w:themeColor="text1"/>
          <w:sz w:val="22"/>
          <w:szCs w:val="22"/>
        </w:rPr>
        <w:t>the capacity and authority to make str</w:t>
      </w:r>
      <w:r w:rsidRPr="005A1A36">
        <w:rPr>
          <w:rFonts w:asciiTheme="majorHAnsi" w:eastAsia="Calibri" w:hAnsiTheme="majorHAnsi" w:cstheme="majorHAnsi"/>
          <w:color w:val="000000" w:themeColor="text1"/>
          <w:sz w:val="22"/>
          <w:szCs w:val="22"/>
        </w:rPr>
        <w:t>ategic data-informed decisions, including budget allocations and staffing decisions, that sustain effective and equitable preparation programs. </w:t>
      </w:r>
      <w:r w:rsidRPr="00753D44">
        <w:rPr>
          <w:rStyle w:val="normaltextrun"/>
          <w:rFonts w:asciiTheme="majorHAnsi" w:eastAsia="Calibri" w:hAnsiTheme="majorHAnsi" w:cstheme="majorHAnsi"/>
          <w:sz w:val="22"/>
          <w:szCs w:val="22"/>
        </w:rPr>
        <w:t xml:space="preserve">The delivery and effectiveness of educator preparation programs should not rest solely on one department or individual in an organization. The equitable experiences of candidates and effectiveness of completers is </w:t>
      </w:r>
      <w:r w:rsidR="00BC1C3E" w:rsidRPr="00753D44">
        <w:rPr>
          <w:rStyle w:val="normaltextrun"/>
          <w:rFonts w:asciiTheme="majorHAnsi" w:eastAsia="Calibri" w:hAnsiTheme="majorHAnsi" w:cstheme="majorHAnsi"/>
          <w:sz w:val="22"/>
          <w:szCs w:val="22"/>
        </w:rPr>
        <w:t xml:space="preserve">the </w:t>
      </w:r>
      <w:r w:rsidRPr="00753D44">
        <w:rPr>
          <w:rStyle w:val="normaltextrun"/>
          <w:rFonts w:asciiTheme="majorHAnsi" w:eastAsia="Calibri" w:hAnsiTheme="majorHAnsi" w:cstheme="majorHAnsi"/>
          <w:sz w:val="22"/>
          <w:szCs w:val="22"/>
        </w:rPr>
        <w:t xml:space="preserve">responsibility </w:t>
      </w:r>
      <w:r w:rsidR="00BC1C3E" w:rsidRPr="00753D44">
        <w:rPr>
          <w:rStyle w:val="normaltextrun"/>
          <w:rFonts w:asciiTheme="majorHAnsi" w:eastAsia="Calibri" w:hAnsiTheme="majorHAnsi" w:cstheme="majorHAnsi"/>
          <w:sz w:val="22"/>
          <w:szCs w:val="22"/>
        </w:rPr>
        <w:t>of</w:t>
      </w:r>
      <w:r w:rsidRPr="00753D44">
        <w:rPr>
          <w:rStyle w:val="normaltextrun"/>
          <w:rFonts w:asciiTheme="majorHAnsi" w:eastAsia="Calibri" w:hAnsiTheme="majorHAnsi" w:cstheme="majorHAnsi"/>
          <w:sz w:val="22"/>
          <w:szCs w:val="22"/>
        </w:rPr>
        <w:t xml:space="preserve"> all who are involved in the recruitment, admission, support, and delivery of educator preparation programs. </w:t>
      </w:r>
      <w:r w:rsidRPr="00753D44">
        <w:rPr>
          <w:rStyle w:val="eop"/>
          <w:rFonts w:asciiTheme="majorHAnsi" w:eastAsia="Calibri" w:hAnsiTheme="majorHAnsi" w:cstheme="majorHAnsi"/>
          <w:sz w:val="22"/>
          <w:szCs w:val="22"/>
        </w:rPr>
        <w:t>To ensure a cohesive and equitable experience for all candidates</w:t>
      </w:r>
      <w:r w:rsidR="00A97DCC" w:rsidRPr="00753D44">
        <w:rPr>
          <w:rStyle w:val="eop"/>
          <w:rFonts w:asciiTheme="majorHAnsi" w:eastAsia="Calibri" w:hAnsiTheme="majorHAnsi" w:cstheme="majorHAnsi"/>
          <w:sz w:val="22"/>
          <w:szCs w:val="22"/>
        </w:rPr>
        <w:t>, it is essential that</w:t>
      </w:r>
      <w:r w:rsidR="005A6E56" w:rsidRPr="00753D44">
        <w:rPr>
          <w:rStyle w:val="eop"/>
          <w:rFonts w:asciiTheme="majorHAnsi" w:eastAsia="Calibri" w:hAnsiTheme="majorHAnsi" w:cstheme="majorHAnsi"/>
          <w:sz w:val="22"/>
          <w:szCs w:val="22"/>
        </w:rPr>
        <w:t xml:space="preserve"> there is ongoing communication and collaboration amongst all personnel </w:t>
      </w:r>
      <w:r w:rsidR="004A71B1" w:rsidRPr="00753D44">
        <w:rPr>
          <w:rStyle w:val="eop"/>
          <w:rFonts w:asciiTheme="majorHAnsi" w:eastAsia="Calibri" w:hAnsiTheme="majorHAnsi" w:cstheme="majorHAnsi"/>
          <w:sz w:val="22"/>
          <w:szCs w:val="22"/>
        </w:rPr>
        <w:t>that</w:t>
      </w:r>
      <w:r w:rsidR="007A312A" w:rsidRPr="00753D44">
        <w:rPr>
          <w:rStyle w:val="eop"/>
          <w:rFonts w:asciiTheme="majorHAnsi" w:eastAsia="Calibri" w:hAnsiTheme="majorHAnsi" w:cstheme="majorHAnsi"/>
          <w:sz w:val="22"/>
          <w:szCs w:val="22"/>
        </w:rPr>
        <w:t xml:space="preserve"> support a candidate’s experience from recruitment through completion and employment. For </w:t>
      </w:r>
      <w:r w:rsidR="00420965">
        <w:rPr>
          <w:rStyle w:val="eop"/>
          <w:rFonts w:asciiTheme="majorHAnsi" w:eastAsia="Calibri" w:hAnsiTheme="majorHAnsi" w:cstheme="majorHAnsi"/>
          <w:sz w:val="22"/>
          <w:szCs w:val="22"/>
        </w:rPr>
        <w:t>i</w:t>
      </w:r>
      <w:r w:rsidR="00115801" w:rsidRPr="00753D44">
        <w:rPr>
          <w:rStyle w:val="eop"/>
          <w:rFonts w:asciiTheme="majorHAnsi" w:eastAsia="Calibri" w:hAnsiTheme="majorHAnsi" w:cstheme="majorHAnsi"/>
          <w:sz w:val="22"/>
          <w:szCs w:val="22"/>
        </w:rPr>
        <w:t xml:space="preserve">nstitutions of </w:t>
      </w:r>
      <w:r w:rsidR="00420965">
        <w:rPr>
          <w:rStyle w:val="eop"/>
          <w:rFonts w:asciiTheme="majorHAnsi" w:eastAsia="Calibri" w:hAnsiTheme="majorHAnsi" w:cstheme="majorHAnsi"/>
          <w:sz w:val="22"/>
          <w:szCs w:val="22"/>
        </w:rPr>
        <w:t>h</w:t>
      </w:r>
      <w:r w:rsidR="00115801" w:rsidRPr="00753D44">
        <w:rPr>
          <w:rStyle w:val="eop"/>
          <w:rFonts w:asciiTheme="majorHAnsi" w:eastAsia="Calibri" w:hAnsiTheme="majorHAnsi" w:cstheme="majorHAnsi"/>
          <w:sz w:val="22"/>
          <w:szCs w:val="22"/>
        </w:rPr>
        <w:t xml:space="preserve">igher </w:t>
      </w:r>
      <w:r w:rsidR="00420965">
        <w:rPr>
          <w:rStyle w:val="eop"/>
          <w:rFonts w:asciiTheme="majorHAnsi" w:eastAsia="Calibri" w:hAnsiTheme="majorHAnsi" w:cstheme="majorHAnsi"/>
          <w:sz w:val="22"/>
          <w:szCs w:val="22"/>
        </w:rPr>
        <w:t>e</w:t>
      </w:r>
      <w:r w:rsidR="00115801" w:rsidRPr="00753D44">
        <w:rPr>
          <w:rStyle w:val="eop"/>
          <w:rFonts w:asciiTheme="majorHAnsi" w:eastAsia="Calibri" w:hAnsiTheme="majorHAnsi" w:cstheme="majorHAnsi"/>
          <w:sz w:val="22"/>
          <w:szCs w:val="22"/>
        </w:rPr>
        <w:t xml:space="preserve">ducation, this would include personnel from admissions, arts and sciences, student services, and other departments, together with personnel from the education department. </w:t>
      </w:r>
    </w:p>
    <w:p w14:paraId="7BCBC353" w14:textId="0F9DF5C5" w:rsidR="001B069A" w:rsidRPr="00753D44" w:rsidRDefault="00E133EE" w:rsidP="00FC74C3">
      <w:pPr>
        <w:rPr>
          <w:rFonts w:eastAsia="Calibri" w:cstheme="majorHAnsi"/>
          <w:color w:val="000000" w:themeColor="text1"/>
        </w:rPr>
      </w:pPr>
      <w:r w:rsidRPr="00753D44">
        <w:rPr>
          <w:rFonts w:cstheme="majorHAnsi"/>
        </w:rPr>
        <w:br/>
      </w:r>
      <w:r w:rsidR="001E6DB9" w:rsidRPr="00753D44">
        <w:rPr>
          <w:rFonts w:eastAsia="Calibri" w:cstheme="majorHAnsi"/>
        </w:rPr>
        <w:t>T</w:t>
      </w:r>
      <w:r w:rsidRPr="00753D44">
        <w:rPr>
          <w:rFonts w:eastAsia="Calibri" w:cstheme="majorHAnsi"/>
        </w:rPr>
        <w:t>he commitment and capacity to prepare effective anti-racist and culturally responsive educators</w:t>
      </w:r>
      <w:r w:rsidR="001E6DB9" w:rsidRPr="00753D44">
        <w:rPr>
          <w:rFonts w:eastAsia="Calibri" w:cstheme="majorHAnsi"/>
        </w:rPr>
        <w:t>, on the part of all personnel,</w:t>
      </w:r>
      <w:r w:rsidRPr="00753D44">
        <w:rPr>
          <w:rFonts w:eastAsia="Calibri" w:cstheme="majorHAnsi"/>
        </w:rPr>
        <w:t xml:space="preserve"> is integral to ensuring candidates’ success. This requires S</w:t>
      </w:r>
      <w:r w:rsidR="00994FD6" w:rsidRPr="00753D44">
        <w:rPr>
          <w:rFonts w:eastAsia="Calibri" w:cstheme="majorHAnsi"/>
        </w:rPr>
        <w:t xml:space="preserve">ponsoring </w:t>
      </w:r>
      <w:r w:rsidRPr="00753D44">
        <w:rPr>
          <w:rFonts w:eastAsia="Calibri" w:cstheme="majorHAnsi"/>
        </w:rPr>
        <w:t>O</w:t>
      </w:r>
      <w:r w:rsidR="00994FD6" w:rsidRPr="00753D44">
        <w:rPr>
          <w:rFonts w:eastAsia="Calibri" w:cstheme="majorHAnsi"/>
        </w:rPr>
        <w:t>rganization</w:t>
      </w:r>
      <w:r w:rsidRPr="00753D44">
        <w:rPr>
          <w:rFonts w:eastAsia="Calibri" w:cstheme="majorHAnsi"/>
        </w:rPr>
        <w:t xml:space="preserve">s to have systems in place to ensure all personnel </w:t>
      </w:r>
      <w:r w:rsidRPr="00753D44">
        <w:rPr>
          <w:rFonts w:eastAsia="Calibri" w:cstheme="majorHAnsi"/>
          <w:color w:val="000000" w:themeColor="text1"/>
        </w:rPr>
        <w:t>continually improve in their ability to prepare candidates from all races, identity groups, and backgrounds</w:t>
      </w:r>
      <w:r w:rsidR="00041AED" w:rsidRPr="00753D44">
        <w:rPr>
          <w:rFonts w:eastAsia="Calibri" w:cstheme="majorHAnsi"/>
          <w:color w:val="000000" w:themeColor="text1"/>
        </w:rPr>
        <w:t xml:space="preserve">, </w:t>
      </w:r>
      <w:r w:rsidR="0018768D" w:rsidRPr="00753D44">
        <w:rPr>
          <w:rFonts w:eastAsia="Calibri" w:cstheme="majorHAnsi"/>
          <w:color w:val="000000" w:themeColor="text1"/>
        </w:rPr>
        <w:t xml:space="preserve">and </w:t>
      </w:r>
      <w:r w:rsidR="001B4272" w:rsidRPr="00753D44">
        <w:rPr>
          <w:rFonts w:eastAsia="Calibri" w:cstheme="majorHAnsi"/>
          <w:color w:val="000000" w:themeColor="text1"/>
        </w:rPr>
        <w:t xml:space="preserve">to prepare their candidates to provide </w:t>
      </w:r>
      <w:r w:rsidR="008A54E1" w:rsidRPr="00753D44">
        <w:rPr>
          <w:rFonts w:eastAsia="Calibri" w:cstheme="majorHAnsi"/>
          <w:color w:val="000000" w:themeColor="text1"/>
        </w:rPr>
        <w:t>equitable learning experiences for their students</w:t>
      </w:r>
      <w:r w:rsidRPr="00753D44">
        <w:rPr>
          <w:rFonts w:eastAsia="Calibri" w:cstheme="majorHAnsi"/>
          <w:color w:val="000000" w:themeColor="text1"/>
        </w:rPr>
        <w:t xml:space="preserve">. </w:t>
      </w:r>
      <w:r w:rsidR="00352351" w:rsidRPr="00753D44">
        <w:rPr>
          <w:rFonts w:eastAsia="Calibri" w:cstheme="majorHAnsi"/>
          <w:color w:val="000000" w:themeColor="text1"/>
        </w:rPr>
        <w:t>It requires S</w:t>
      </w:r>
      <w:r w:rsidR="00994FD6" w:rsidRPr="00753D44">
        <w:rPr>
          <w:rFonts w:eastAsia="Calibri" w:cstheme="majorHAnsi"/>
          <w:color w:val="000000" w:themeColor="text1"/>
        </w:rPr>
        <w:t xml:space="preserve">ponsoring </w:t>
      </w:r>
      <w:r w:rsidR="00352351" w:rsidRPr="00753D44">
        <w:rPr>
          <w:rFonts w:eastAsia="Calibri" w:cstheme="majorHAnsi"/>
          <w:color w:val="000000" w:themeColor="text1"/>
        </w:rPr>
        <w:t>O</w:t>
      </w:r>
      <w:r w:rsidR="00994FD6" w:rsidRPr="00753D44">
        <w:rPr>
          <w:rFonts w:eastAsia="Calibri" w:cstheme="majorHAnsi"/>
          <w:color w:val="000000" w:themeColor="text1"/>
        </w:rPr>
        <w:t>rganization</w:t>
      </w:r>
      <w:r w:rsidR="00352351" w:rsidRPr="00753D44">
        <w:rPr>
          <w:rFonts w:eastAsia="Calibri" w:cstheme="majorHAnsi"/>
          <w:color w:val="000000" w:themeColor="text1"/>
        </w:rPr>
        <w:t>s</w:t>
      </w:r>
      <w:r w:rsidR="00602776" w:rsidRPr="00753D44">
        <w:rPr>
          <w:rFonts w:eastAsia="Calibri" w:cstheme="majorHAnsi"/>
          <w:color w:val="000000" w:themeColor="text1"/>
        </w:rPr>
        <w:t xml:space="preserve"> to have</w:t>
      </w:r>
      <w:r w:rsidRPr="00753D44">
        <w:rPr>
          <w:rFonts w:eastAsia="Calibri" w:cstheme="majorHAnsi"/>
          <w:color w:val="000000" w:themeColor="text1"/>
        </w:rPr>
        <w:t xml:space="preserve"> equitable practices in place to support the recruitment, hiring, evaluation, retention, and advancement of effective and racially diverse personnel</w:t>
      </w:r>
      <w:r w:rsidR="00E05889" w:rsidRPr="00753D44">
        <w:rPr>
          <w:rFonts w:eastAsia="Calibri" w:cstheme="majorHAnsi"/>
          <w:color w:val="000000" w:themeColor="text1"/>
        </w:rPr>
        <w:t>.</w:t>
      </w:r>
    </w:p>
    <w:p w14:paraId="1AD43168" w14:textId="77777777" w:rsidR="00E133EE" w:rsidRPr="00E05889" w:rsidRDefault="00E133EE" w:rsidP="00BA67B6">
      <w:pPr>
        <w:pStyle w:val="Heading2"/>
      </w:pPr>
      <w:bookmarkStart w:id="9" w:name="_Toc125547308"/>
      <w:bookmarkStart w:id="10" w:name="_Toc125574760"/>
      <w:bookmarkStart w:id="11" w:name="_Toc125575604"/>
      <w:r w:rsidRPr="00E05889">
        <w:t>The Organization (ORG) Criteria:</w:t>
      </w:r>
      <w:bookmarkEnd w:id="9"/>
      <w:bookmarkEnd w:id="10"/>
      <w:bookmarkEnd w:id="11"/>
      <w:r w:rsidRPr="00E05889">
        <w:t xml:space="preserve"> </w:t>
      </w:r>
    </w:p>
    <w:p w14:paraId="59782E62" w14:textId="77777777" w:rsidR="00E133EE" w:rsidRPr="00014585" w:rsidRDefault="00E133EE" w:rsidP="00E133EE">
      <w:pPr>
        <w:spacing w:line="240" w:lineRule="auto"/>
        <w:ind w:left="720"/>
        <w:textAlignment w:val="baseline"/>
        <w:rPr>
          <w:rFonts w:eastAsia="Times New Roman" w:cstheme="majorHAnsi"/>
        </w:rPr>
      </w:pPr>
      <w:r w:rsidRPr="00014585">
        <w:rPr>
          <w:rFonts w:eastAsia="Times New Roman" w:cstheme="majorHAnsi"/>
          <w:color w:val="000000"/>
        </w:rPr>
        <w:t>ORG 1: The Sponsoring Organization has the capacity and authority to make strategic decisions that sustain effective and equitable preparation programs. </w:t>
      </w:r>
      <w:r w:rsidRPr="00014585">
        <w:rPr>
          <w:rFonts w:eastAsia="Times New Roman" w:cstheme="majorHAnsi"/>
          <w:color w:val="000000"/>
        </w:rPr>
        <w:br/>
      </w:r>
    </w:p>
    <w:p w14:paraId="72984A01" w14:textId="77777777" w:rsidR="00E133EE" w:rsidRPr="00014585" w:rsidRDefault="00E133EE" w:rsidP="00E133EE">
      <w:pPr>
        <w:spacing w:line="240" w:lineRule="auto"/>
        <w:ind w:left="720"/>
        <w:textAlignment w:val="baseline"/>
        <w:rPr>
          <w:rFonts w:eastAsia="Times New Roman" w:cstheme="majorHAnsi"/>
        </w:rPr>
      </w:pPr>
      <w:r w:rsidRPr="00014585">
        <w:rPr>
          <w:rFonts w:eastAsia="Times New Roman" w:cstheme="majorHAnsi"/>
          <w:color w:val="000000"/>
        </w:rPr>
        <w:t>ORG 2: The Sponsoring Organization’s budget allocation is strategic and data-informed, with a focus on sustainable and equitable program experiences and candidate outcomes. </w:t>
      </w:r>
      <w:r w:rsidRPr="00014585">
        <w:rPr>
          <w:rFonts w:eastAsia="Times New Roman" w:cstheme="majorHAnsi"/>
          <w:color w:val="000000"/>
        </w:rPr>
        <w:br/>
      </w:r>
    </w:p>
    <w:p w14:paraId="575BF17D" w14:textId="77777777" w:rsidR="00E133EE" w:rsidRPr="00014585" w:rsidRDefault="00E133EE" w:rsidP="00E133EE">
      <w:pPr>
        <w:spacing w:line="240" w:lineRule="auto"/>
        <w:ind w:left="720"/>
        <w:textAlignment w:val="baseline"/>
        <w:rPr>
          <w:rFonts w:eastAsia="Times New Roman" w:cstheme="majorHAnsi"/>
        </w:rPr>
      </w:pPr>
      <w:r w:rsidRPr="00014585">
        <w:rPr>
          <w:rFonts w:eastAsia="Times New Roman" w:cstheme="majorHAnsi"/>
          <w:color w:val="000000"/>
        </w:rPr>
        <w:t>ORG 3: The Sponsoring Organization has systems and structures that support clear communication and collaboration across all personnel (including those involved in coursework, fieldwork, and candidate support), leading to cohesive and equitable program experiences. </w:t>
      </w:r>
      <w:r w:rsidRPr="00014585">
        <w:rPr>
          <w:rFonts w:eastAsia="Times New Roman" w:cstheme="majorHAnsi"/>
          <w:color w:val="000000"/>
        </w:rPr>
        <w:br/>
      </w:r>
    </w:p>
    <w:p w14:paraId="7D4C1C40" w14:textId="24A09577" w:rsidR="00E133EE" w:rsidRPr="00014585" w:rsidRDefault="00E133EE" w:rsidP="00E133EE">
      <w:pPr>
        <w:spacing w:line="240" w:lineRule="auto"/>
        <w:ind w:left="720"/>
        <w:textAlignment w:val="baseline"/>
        <w:rPr>
          <w:rFonts w:eastAsia="Times New Roman" w:cstheme="majorHAnsi"/>
        </w:rPr>
      </w:pPr>
      <w:r w:rsidRPr="00014585">
        <w:rPr>
          <w:rFonts w:eastAsia="Times New Roman" w:cstheme="majorHAnsi"/>
          <w:color w:val="000000"/>
        </w:rPr>
        <w:t>ORG 4: The Sponsoring Organization gathers data to inform recruitment, hiring, retention, and advancement practices in order to</w:t>
      </w:r>
      <w:r w:rsidR="00544DE0" w:rsidRPr="00014585">
        <w:rPr>
          <w:rFonts w:eastAsia="Times New Roman" w:cstheme="majorHAnsi"/>
          <w:color w:val="000000"/>
        </w:rPr>
        <w:t xml:space="preserve"> cultivate a racially and ethnically diverse personnel.</w:t>
      </w:r>
      <w:r w:rsidRPr="00014585">
        <w:rPr>
          <w:rFonts w:eastAsia="Times New Roman" w:cstheme="majorHAnsi"/>
          <w:color w:val="000000"/>
        </w:rPr>
        <w:t xml:space="preserve">  </w:t>
      </w:r>
      <w:r w:rsidRPr="00014585">
        <w:rPr>
          <w:rFonts w:eastAsia="Times New Roman" w:cstheme="majorHAnsi"/>
          <w:color w:val="000000"/>
        </w:rPr>
        <w:br/>
      </w:r>
    </w:p>
    <w:p w14:paraId="59D3AA2B" w14:textId="1E94B183" w:rsidR="00E05889" w:rsidRPr="006A48E9" w:rsidRDefault="00E133EE" w:rsidP="006A48E9">
      <w:pPr>
        <w:spacing w:line="240" w:lineRule="auto"/>
        <w:ind w:left="720"/>
        <w:textAlignment w:val="baseline"/>
        <w:rPr>
          <w:rFonts w:eastAsia="Times New Roman" w:cstheme="majorHAnsi"/>
          <w:color w:val="000000"/>
        </w:rPr>
      </w:pPr>
      <w:r w:rsidRPr="00014585">
        <w:rPr>
          <w:rFonts w:eastAsia="Times New Roman" w:cstheme="majorHAnsi"/>
          <w:color w:val="000000"/>
        </w:rPr>
        <w:t xml:space="preserve">ORG 5: The Sponsoring Organization ensures that all personnel are effective and continually improve in their ability to </w:t>
      </w:r>
      <w:r w:rsidR="003E2664" w:rsidRPr="00014585">
        <w:rPr>
          <w:rFonts w:eastAsia="Times New Roman" w:cstheme="majorHAnsi"/>
          <w:color w:val="000000"/>
        </w:rPr>
        <w:t xml:space="preserve">equitably support and </w:t>
      </w:r>
      <w:r w:rsidRPr="00014585">
        <w:rPr>
          <w:rFonts w:eastAsia="Times New Roman" w:cstheme="majorHAnsi"/>
          <w:color w:val="000000"/>
        </w:rPr>
        <w:t>prepare all candidates (including candidates from all races, identity groups, and backgrounds) for full responsibility in the licensure role.  </w:t>
      </w:r>
      <w:r w:rsidR="00E05889">
        <w:rPr>
          <w:rFonts w:eastAsia="Times New Roman" w:cstheme="majorHAnsi"/>
          <w:color w:val="000000"/>
          <w:sz w:val="24"/>
          <w:szCs w:val="24"/>
        </w:rPr>
        <w:br w:type="page"/>
      </w:r>
    </w:p>
    <w:p w14:paraId="2E197450" w14:textId="77777777" w:rsidR="00AC0347" w:rsidRPr="00BA67B6" w:rsidRDefault="00AC0347" w:rsidP="00BA67B6">
      <w:pPr>
        <w:pStyle w:val="Heading1"/>
      </w:pPr>
      <w:bookmarkStart w:id="12" w:name="_The_Continuous_Improvement"/>
      <w:bookmarkStart w:id="13" w:name="_Toc125575605"/>
      <w:bookmarkEnd w:id="12"/>
      <w:r w:rsidRPr="00BA67B6">
        <w:lastRenderedPageBreak/>
        <w:t>The Continuous Improvement Domain</w:t>
      </w:r>
      <w:bookmarkEnd w:id="13"/>
    </w:p>
    <w:p w14:paraId="218FFC41" w14:textId="216414A3" w:rsidR="00AC0347" w:rsidRPr="003E2664" w:rsidRDefault="00AC0347" w:rsidP="00014585">
      <w:pPr>
        <w:spacing w:line="240" w:lineRule="auto"/>
        <w:rPr>
          <w:rFonts w:cstheme="majorHAnsi"/>
          <w:b/>
          <w:bCs/>
          <w:i/>
          <w:iCs/>
        </w:rPr>
      </w:pPr>
      <w:r w:rsidRPr="003E2664">
        <w:rPr>
          <w:rFonts w:cstheme="majorHAnsi"/>
          <w:b/>
          <w:bCs/>
          <w:i/>
          <w:iCs/>
        </w:rPr>
        <w:t>Sponsoring Organizations engage in continuous improvement efforts that drive toward improved experiences and equitable outcomes for all candidates and the PK-12 students they serve.</w:t>
      </w:r>
    </w:p>
    <w:p w14:paraId="666C5958" w14:textId="77777777" w:rsidR="001B069A" w:rsidRPr="003E2664" w:rsidRDefault="001B069A" w:rsidP="00AC0347">
      <w:pPr>
        <w:rPr>
          <w:rFonts w:cstheme="majorHAnsi"/>
          <w:i/>
          <w:iCs/>
        </w:rPr>
      </w:pPr>
    </w:p>
    <w:p w14:paraId="2BCCFF43" w14:textId="49787DC5" w:rsidR="00AC0347" w:rsidRPr="00753D44" w:rsidRDefault="00AC0347" w:rsidP="00FC74C3">
      <w:pPr>
        <w:rPr>
          <w:rStyle w:val="normaltextrun"/>
          <w:rFonts w:cstheme="majorHAnsi"/>
          <w:color w:val="000000"/>
          <w:shd w:val="clear" w:color="auto" w:fill="FFFFFF"/>
        </w:rPr>
      </w:pPr>
      <w:r w:rsidRPr="00FC74C3">
        <w:rPr>
          <w:rStyle w:val="normaltextrun"/>
          <w:rFonts w:cstheme="majorHAnsi"/>
          <w:color w:val="000000"/>
          <w:shd w:val="clear" w:color="auto" w:fill="FFFFFF"/>
        </w:rPr>
        <w:t xml:space="preserve">The Continuous Improvement </w:t>
      </w:r>
      <w:r w:rsidR="00D43AF8">
        <w:rPr>
          <w:rStyle w:val="normaltextrun"/>
          <w:rFonts w:cstheme="majorHAnsi"/>
          <w:color w:val="000000"/>
          <w:shd w:val="clear" w:color="auto" w:fill="FFFFFF"/>
        </w:rPr>
        <w:t>d</w:t>
      </w:r>
      <w:r w:rsidRPr="00FC74C3">
        <w:rPr>
          <w:rStyle w:val="normaltextrun"/>
          <w:rFonts w:cstheme="majorHAnsi"/>
          <w:color w:val="000000"/>
          <w:shd w:val="clear" w:color="auto" w:fill="FFFFFF"/>
        </w:rPr>
        <w:t xml:space="preserve">omain articulates the expectation that a </w:t>
      </w:r>
      <w:r w:rsidR="005313CD" w:rsidRPr="00FC74C3">
        <w:rPr>
          <w:rStyle w:val="normaltextrun"/>
          <w:rFonts w:cstheme="majorHAnsi"/>
          <w:color w:val="000000"/>
          <w:shd w:val="clear" w:color="auto" w:fill="FFFFFF"/>
        </w:rPr>
        <w:t>S</w:t>
      </w:r>
      <w:r w:rsidRPr="005A1A36">
        <w:rPr>
          <w:rStyle w:val="normaltextrun"/>
          <w:rFonts w:cstheme="majorHAnsi"/>
          <w:color w:val="000000"/>
          <w:shd w:val="clear" w:color="auto" w:fill="FFFFFF"/>
        </w:rPr>
        <w:t xml:space="preserve">ponsoring </w:t>
      </w:r>
      <w:r w:rsidR="005313CD" w:rsidRPr="005A1A36">
        <w:rPr>
          <w:rStyle w:val="normaltextrun"/>
          <w:rFonts w:cstheme="majorHAnsi"/>
          <w:color w:val="000000"/>
          <w:shd w:val="clear" w:color="auto" w:fill="FFFFFF"/>
        </w:rPr>
        <w:t>O</w:t>
      </w:r>
      <w:r w:rsidRPr="009C6261">
        <w:rPr>
          <w:rStyle w:val="normaltextrun"/>
          <w:rFonts w:cstheme="majorHAnsi"/>
          <w:color w:val="000000"/>
          <w:shd w:val="clear" w:color="auto" w:fill="FFFFFF"/>
        </w:rPr>
        <w:t xml:space="preserve">rganization </w:t>
      </w:r>
      <w:r w:rsidR="004846CD" w:rsidRPr="009C6261">
        <w:rPr>
          <w:rStyle w:val="normaltextrun"/>
          <w:rFonts w:cstheme="majorHAnsi"/>
          <w:color w:val="000000"/>
          <w:shd w:val="clear" w:color="auto" w:fill="FFFFFF"/>
        </w:rPr>
        <w:t>has</w:t>
      </w:r>
      <w:r w:rsidR="004846CD" w:rsidRPr="00753D44" w:rsidDel="0087056F">
        <w:rPr>
          <w:rStyle w:val="normaltextrun"/>
          <w:rFonts w:cstheme="majorHAnsi"/>
          <w:color w:val="000000"/>
          <w:shd w:val="clear" w:color="auto" w:fill="FFFFFF"/>
        </w:rPr>
        <w:t xml:space="preserve"> </w:t>
      </w:r>
      <w:r w:rsidRPr="00753D44">
        <w:rPr>
          <w:rStyle w:val="normaltextrun"/>
          <w:rFonts w:cstheme="majorHAnsi"/>
          <w:color w:val="000000"/>
          <w:shd w:val="clear" w:color="auto" w:fill="FFFFFF"/>
        </w:rPr>
        <w:t>a comprehensive system for collecting and analyzing data related to program implementation and efficacy on a regular basis in order to ensure equitable experiences that prepare anti-racist and culturally and linguistically sustaining educators. Data should reflect</w:t>
      </w:r>
      <w:r w:rsidR="006222D1" w:rsidRPr="00753D44">
        <w:rPr>
          <w:rStyle w:val="normaltextrun"/>
          <w:rFonts w:cstheme="majorHAnsi"/>
          <w:color w:val="000000"/>
          <w:shd w:val="clear" w:color="auto" w:fill="FFFFFF"/>
        </w:rPr>
        <w:t xml:space="preserve"> the</w:t>
      </w:r>
      <w:r w:rsidRPr="00753D44">
        <w:rPr>
          <w:rStyle w:val="normaltextrun"/>
          <w:rFonts w:cstheme="majorHAnsi"/>
          <w:color w:val="000000"/>
          <w:shd w:val="clear" w:color="auto" w:fill="FFFFFF"/>
        </w:rPr>
        <w:t xml:space="preserve"> multiple viewpoints </w:t>
      </w:r>
      <w:r w:rsidRPr="00FC74C3">
        <w:rPr>
          <w:rStyle w:val="normaltextrun"/>
          <w:rFonts w:cstheme="majorHAnsi"/>
          <w:color w:val="000000"/>
          <w:shd w:val="clear" w:color="auto" w:fill="FFFFFF"/>
        </w:rPr>
        <w:t xml:space="preserve">and experiences across </w:t>
      </w:r>
      <w:r w:rsidRPr="005A1A36">
        <w:rPr>
          <w:rStyle w:val="normaltextrun"/>
          <w:rFonts w:cstheme="majorHAnsi"/>
          <w:color w:val="000000"/>
          <w:shd w:val="clear" w:color="auto" w:fill="FFFFFF"/>
        </w:rPr>
        <w:t xml:space="preserve">all stages of preparation, and the </w:t>
      </w:r>
      <w:r w:rsidR="007E3BCC" w:rsidRPr="005A1A36">
        <w:rPr>
          <w:rStyle w:val="normaltextrun"/>
          <w:rFonts w:cstheme="majorHAnsi"/>
        </w:rPr>
        <w:t>Sponsoring Organization</w:t>
      </w:r>
      <w:r w:rsidRPr="009C6261">
        <w:rPr>
          <w:rStyle w:val="normaltextrun"/>
          <w:rFonts w:cstheme="majorHAnsi"/>
          <w:color w:val="000000"/>
          <w:shd w:val="clear" w:color="auto" w:fill="FFFFFF"/>
        </w:rPr>
        <w:t xml:space="preserve"> should disaggregate data across programs to understand the experiences and outcomes of candidates within and across identity groups</w:t>
      </w:r>
      <w:r w:rsidRPr="00FC74C3">
        <w:rPr>
          <w:rStyle w:val="normaltextrun"/>
          <w:rFonts w:cstheme="majorHAnsi"/>
          <w:color w:val="000000"/>
          <w:shd w:val="clear" w:color="auto" w:fill="FFFFFF"/>
        </w:rPr>
        <w:t>. For many S</w:t>
      </w:r>
      <w:r w:rsidR="00994FD6" w:rsidRPr="005A1A36">
        <w:rPr>
          <w:rStyle w:val="normaltextrun"/>
          <w:rFonts w:cstheme="majorHAnsi"/>
          <w:color w:val="000000"/>
          <w:shd w:val="clear" w:color="auto" w:fill="FFFFFF"/>
        </w:rPr>
        <w:t xml:space="preserve">ponsoring </w:t>
      </w:r>
      <w:r w:rsidRPr="009C6261">
        <w:rPr>
          <w:rStyle w:val="normaltextrun"/>
          <w:rFonts w:cstheme="majorHAnsi"/>
          <w:color w:val="000000"/>
          <w:shd w:val="clear" w:color="auto" w:fill="FFFFFF"/>
        </w:rPr>
        <w:t>O</w:t>
      </w:r>
      <w:r w:rsidR="00994FD6" w:rsidRPr="009C6261">
        <w:rPr>
          <w:rStyle w:val="normaltextrun"/>
          <w:rFonts w:cstheme="majorHAnsi"/>
          <w:color w:val="000000"/>
          <w:shd w:val="clear" w:color="auto" w:fill="FFFFFF"/>
        </w:rPr>
        <w:t>rganization</w:t>
      </w:r>
      <w:r w:rsidRPr="009C6261">
        <w:rPr>
          <w:rStyle w:val="normaltextrun"/>
          <w:rFonts w:cstheme="majorHAnsi"/>
          <w:color w:val="000000"/>
          <w:shd w:val="clear" w:color="auto" w:fill="FFFFFF"/>
        </w:rPr>
        <w:t xml:space="preserve">s, this may not mean collecting </w:t>
      </w:r>
      <w:r w:rsidRPr="00753D44">
        <w:rPr>
          <w:rStyle w:val="normaltextrun"/>
          <w:rFonts w:cstheme="majorHAnsi"/>
          <w:color w:val="000000"/>
          <w:shd w:val="clear" w:color="auto" w:fill="FFFFFF"/>
        </w:rPr>
        <w:t xml:space="preserve">additional data, but rather </w:t>
      </w:r>
      <w:r w:rsidR="002919B2" w:rsidRPr="00753D44">
        <w:rPr>
          <w:rStyle w:val="normaltextrun"/>
          <w:rFonts w:cstheme="majorHAnsi"/>
          <w:color w:val="000000"/>
          <w:shd w:val="clear" w:color="auto" w:fill="FFFFFF"/>
        </w:rPr>
        <w:t xml:space="preserve">analyzing </w:t>
      </w:r>
      <w:r w:rsidRPr="00753D44">
        <w:rPr>
          <w:rStyle w:val="normaltextrun"/>
          <w:rFonts w:cstheme="majorHAnsi"/>
          <w:color w:val="000000"/>
          <w:shd w:val="clear" w:color="auto" w:fill="FFFFFF"/>
        </w:rPr>
        <w:t xml:space="preserve">the data to answer different questions to better identify and understand the source of </w:t>
      </w:r>
      <w:r w:rsidR="00AB1B45" w:rsidRPr="00753D44">
        <w:rPr>
          <w:rStyle w:val="normaltextrun"/>
          <w:rFonts w:cstheme="majorHAnsi"/>
          <w:color w:val="000000"/>
          <w:shd w:val="clear" w:color="auto" w:fill="FFFFFF"/>
        </w:rPr>
        <w:t>variable or</w:t>
      </w:r>
      <w:r w:rsidRPr="00753D44">
        <w:rPr>
          <w:rStyle w:val="normaltextrun"/>
          <w:rFonts w:cstheme="majorHAnsi"/>
          <w:color w:val="000000"/>
          <w:shd w:val="clear" w:color="auto" w:fill="FFFFFF"/>
        </w:rPr>
        <w:t xml:space="preserve"> inequitable experiences.</w:t>
      </w:r>
    </w:p>
    <w:p w14:paraId="24A92FBD" w14:textId="77777777" w:rsidR="001B069A" w:rsidRPr="00753D44" w:rsidRDefault="001B069A" w:rsidP="00FC74C3">
      <w:pPr>
        <w:rPr>
          <w:rStyle w:val="normaltextrun"/>
          <w:rFonts w:cstheme="majorHAnsi"/>
          <w:color w:val="000000"/>
          <w:shd w:val="clear" w:color="auto" w:fill="FFFFFF"/>
        </w:rPr>
      </w:pPr>
    </w:p>
    <w:p w14:paraId="72698946" w14:textId="65EF226D" w:rsidR="00AC0347" w:rsidRPr="00753D44" w:rsidRDefault="00DE7E71" w:rsidP="005A1A36">
      <w:pPr>
        <w:rPr>
          <w:rFonts w:eastAsia="Calibri" w:cstheme="majorHAnsi"/>
          <w:color w:val="000000" w:themeColor="text1"/>
        </w:rPr>
      </w:pPr>
      <w:r w:rsidRPr="00753D44">
        <w:rPr>
          <w:rStyle w:val="normaltextrun"/>
          <w:rFonts w:cstheme="majorHAnsi"/>
          <w:color w:val="000000"/>
          <w:shd w:val="clear" w:color="auto" w:fill="FFFFFF"/>
        </w:rPr>
        <w:t xml:space="preserve">A </w:t>
      </w:r>
      <w:r w:rsidR="00AC0347" w:rsidRPr="00753D44">
        <w:rPr>
          <w:rStyle w:val="normaltextrun"/>
          <w:rFonts w:cstheme="majorHAnsi"/>
          <w:color w:val="000000"/>
          <w:shd w:val="clear" w:color="auto" w:fill="FFFFFF"/>
        </w:rPr>
        <w:t>S</w:t>
      </w:r>
      <w:r w:rsidR="00E05889" w:rsidRPr="00753D44">
        <w:rPr>
          <w:rStyle w:val="normaltextrun"/>
          <w:rFonts w:cstheme="majorHAnsi"/>
          <w:color w:val="000000"/>
          <w:shd w:val="clear" w:color="auto" w:fill="FFFFFF"/>
        </w:rPr>
        <w:t xml:space="preserve">ponsoring </w:t>
      </w:r>
      <w:r w:rsidR="00AC0347" w:rsidRPr="00753D44">
        <w:rPr>
          <w:rStyle w:val="normaltextrun"/>
          <w:rFonts w:cstheme="majorHAnsi"/>
          <w:color w:val="000000"/>
          <w:shd w:val="clear" w:color="auto" w:fill="FFFFFF"/>
        </w:rPr>
        <w:t>O</w:t>
      </w:r>
      <w:r w:rsidR="00E05889" w:rsidRPr="00753D44">
        <w:rPr>
          <w:rStyle w:val="normaltextrun"/>
          <w:rFonts w:cstheme="majorHAnsi"/>
          <w:color w:val="000000"/>
          <w:shd w:val="clear" w:color="auto" w:fill="FFFFFF"/>
        </w:rPr>
        <w:t>rganization</w:t>
      </w:r>
      <w:r w:rsidR="00AC0347" w:rsidRPr="00753D44">
        <w:rPr>
          <w:rStyle w:val="normaltextrun"/>
          <w:rFonts w:cstheme="majorHAnsi"/>
          <w:color w:val="000000"/>
          <w:shd w:val="clear" w:color="auto" w:fill="FFFFFF"/>
        </w:rPr>
        <w:t xml:space="preserve"> </w:t>
      </w:r>
      <w:r w:rsidR="002B794A" w:rsidRPr="00753D44">
        <w:rPr>
          <w:rStyle w:val="normaltextrun"/>
          <w:rFonts w:cstheme="majorHAnsi"/>
          <w:color w:val="000000"/>
          <w:shd w:val="clear" w:color="auto" w:fill="FFFFFF"/>
        </w:rPr>
        <w:t xml:space="preserve">is </w:t>
      </w:r>
      <w:r w:rsidR="00AC0347" w:rsidRPr="00753D44">
        <w:rPr>
          <w:rStyle w:val="normaltextrun"/>
          <w:rFonts w:cstheme="majorHAnsi"/>
          <w:color w:val="000000"/>
          <w:shd w:val="clear" w:color="auto" w:fill="FFFFFF"/>
        </w:rPr>
        <w:t xml:space="preserve">also responsible for ensuring that they are meeting the needs of PK-12 schools and districts through partnerships </w:t>
      </w:r>
      <w:r w:rsidR="00462550" w:rsidRPr="00753D44">
        <w:rPr>
          <w:rStyle w:val="normaltextrun"/>
          <w:rFonts w:cstheme="majorHAnsi"/>
          <w:color w:val="000000"/>
          <w:shd w:val="clear" w:color="auto" w:fill="FFFFFF"/>
        </w:rPr>
        <w:t xml:space="preserve">(See </w:t>
      </w:r>
      <w:hyperlink w:anchor="_The_Partnerships_Domain" w:history="1">
        <w:r w:rsidR="00462550" w:rsidRPr="005A1A36">
          <w:rPr>
            <w:rStyle w:val="Hyperlink"/>
            <w:rFonts w:cstheme="majorHAnsi"/>
            <w:shd w:val="clear" w:color="auto" w:fill="FFFFFF"/>
          </w:rPr>
          <w:t>Partnerships domain</w:t>
        </w:r>
      </w:hyperlink>
      <w:r w:rsidR="00462550" w:rsidRPr="00FC74C3">
        <w:rPr>
          <w:rStyle w:val="normaltextrun"/>
          <w:rFonts w:cstheme="majorHAnsi"/>
          <w:color w:val="000000"/>
          <w:shd w:val="clear" w:color="auto" w:fill="FFFFFF"/>
        </w:rPr>
        <w:t xml:space="preserve">) </w:t>
      </w:r>
      <w:r w:rsidR="00AC0347" w:rsidRPr="005A1A36">
        <w:rPr>
          <w:rStyle w:val="normaltextrun"/>
          <w:rFonts w:cstheme="majorHAnsi"/>
          <w:color w:val="000000"/>
          <w:shd w:val="clear" w:color="auto" w:fill="FFFFFF"/>
        </w:rPr>
        <w:t xml:space="preserve">that support </w:t>
      </w:r>
      <w:r w:rsidR="00AC0347" w:rsidRPr="005A1A36">
        <w:rPr>
          <w:rStyle w:val="normaltextrun"/>
          <w:rFonts w:cstheme="majorHAnsi"/>
          <w:color w:val="000000"/>
          <w:bdr w:val="none" w:sz="0" w:space="0" w:color="auto" w:frame="1"/>
        </w:rPr>
        <w:t>increasingly equitable learning experiences for PK-12</w:t>
      </w:r>
      <w:r w:rsidR="00AC0347" w:rsidRPr="00753D44">
        <w:rPr>
          <w:rStyle w:val="normaltextrun"/>
          <w:rFonts w:cstheme="majorHAnsi"/>
          <w:color w:val="000000"/>
          <w:bdr w:val="none" w:sz="0" w:space="0" w:color="auto" w:frame="1"/>
        </w:rPr>
        <w:t xml:space="preserve"> students and by ensuring </w:t>
      </w:r>
      <w:r w:rsidR="00AC0347" w:rsidRPr="00753D44">
        <w:rPr>
          <w:rStyle w:val="normaltextrun"/>
          <w:rFonts w:cstheme="majorHAnsi"/>
          <w:color w:val="000000"/>
          <w:shd w:val="clear" w:color="auto" w:fill="FFFFFF"/>
        </w:rPr>
        <w:t xml:space="preserve">only those educators ready to have a positive impact on PK-12 student outcomes are endorsed for licensure. </w:t>
      </w:r>
      <w:r w:rsidR="00AC0347" w:rsidRPr="00753D44">
        <w:rPr>
          <w:rFonts w:eastAsia="Calibri" w:cstheme="majorHAnsi"/>
          <w:color w:val="000000" w:themeColor="text1"/>
        </w:rPr>
        <w:t xml:space="preserve">At least annually, the Sponsoring Organization must collect and analyze evidence of completers’ and PK-12 school/district partnerships’ impacts on PK-12 student outcomes. The </w:t>
      </w:r>
      <w:r w:rsidR="007E3BCC" w:rsidRPr="00753D44">
        <w:rPr>
          <w:rStyle w:val="normaltextrun"/>
          <w:rFonts w:cstheme="majorHAnsi"/>
        </w:rPr>
        <w:t xml:space="preserve">Sponsoring Organization </w:t>
      </w:r>
      <w:r w:rsidR="00AC0347" w:rsidRPr="00753D44">
        <w:rPr>
          <w:rFonts w:eastAsia="Calibri" w:cstheme="majorHAnsi"/>
          <w:color w:val="000000" w:themeColor="text1"/>
        </w:rPr>
        <w:t xml:space="preserve">shall use this evidence to take aligned actions, building upon strengths and addressing areas of growth to ensure they are well-serving PK-12 students. </w:t>
      </w:r>
    </w:p>
    <w:p w14:paraId="586CC57F" w14:textId="77777777" w:rsidR="001B069A" w:rsidRPr="00753D44" w:rsidRDefault="001B069A" w:rsidP="00753D44">
      <w:pPr>
        <w:rPr>
          <w:rFonts w:eastAsia="Calibri" w:cstheme="majorHAnsi"/>
          <w:color w:val="000000" w:themeColor="text1"/>
        </w:rPr>
      </w:pPr>
    </w:p>
    <w:p w14:paraId="55C43DC3" w14:textId="2BB60107" w:rsidR="00AC0347" w:rsidRPr="00753D44" w:rsidRDefault="007E7B85" w:rsidP="00753D44">
      <w:pPr>
        <w:rPr>
          <w:rFonts w:eastAsia="Calibri" w:cstheme="majorHAnsi"/>
          <w:color w:val="000000" w:themeColor="text1"/>
        </w:rPr>
      </w:pPr>
      <w:r w:rsidRPr="00753D44">
        <w:rPr>
          <w:rFonts w:eastAsia="Calibri" w:cstheme="majorHAnsi"/>
          <w:color w:val="000000" w:themeColor="text1"/>
        </w:rPr>
        <w:t xml:space="preserve">A </w:t>
      </w:r>
      <w:r w:rsidR="00AC0347" w:rsidRPr="00753D44">
        <w:rPr>
          <w:rFonts w:eastAsia="Calibri" w:cstheme="majorHAnsi"/>
          <w:color w:val="000000" w:themeColor="text1"/>
        </w:rPr>
        <w:t>S</w:t>
      </w:r>
      <w:r w:rsidR="00994FD6" w:rsidRPr="00753D44">
        <w:rPr>
          <w:rFonts w:eastAsia="Calibri" w:cstheme="majorHAnsi"/>
          <w:color w:val="000000" w:themeColor="text1"/>
        </w:rPr>
        <w:t xml:space="preserve">ponsoring </w:t>
      </w:r>
      <w:r w:rsidR="00AC0347" w:rsidRPr="00753D44">
        <w:rPr>
          <w:rFonts w:eastAsia="Calibri" w:cstheme="majorHAnsi"/>
          <w:color w:val="000000" w:themeColor="text1"/>
        </w:rPr>
        <w:t>O</w:t>
      </w:r>
      <w:r w:rsidR="00994FD6" w:rsidRPr="00753D44">
        <w:rPr>
          <w:rFonts w:eastAsia="Calibri" w:cstheme="majorHAnsi"/>
          <w:color w:val="000000" w:themeColor="text1"/>
        </w:rPr>
        <w:t>rganization</w:t>
      </w:r>
      <w:r w:rsidR="00AC0347" w:rsidRPr="00753D44">
        <w:rPr>
          <w:rFonts w:eastAsia="Calibri" w:cstheme="majorHAnsi"/>
          <w:color w:val="000000" w:themeColor="text1"/>
        </w:rPr>
        <w:t xml:space="preserve"> </w:t>
      </w:r>
      <w:r w:rsidRPr="00753D44">
        <w:rPr>
          <w:rFonts w:eastAsia="Calibri" w:cstheme="majorHAnsi"/>
          <w:color w:val="000000" w:themeColor="text1"/>
        </w:rPr>
        <w:t xml:space="preserve">is </w:t>
      </w:r>
      <w:r w:rsidR="00AC0347" w:rsidRPr="00753D44">
        <w:rPr>
          <w:rFonts w:eastAsia="Calibri" w:cstheme="majorHAnsi"/>
          <w:color w:val="000000" w:themeColor="text1"/>
        </w:rPr>
        <w:t>responsible for using a variety of evidence sources, including available state-collected data, stakeholder feedback, and S</w:t>
      </w:r>
      <w:r w:rsidR="00994FD6" w:rsidRPr="00753D44">
        <w:rPr>
          <w:rFonts w:eastAsia="Calibri" w:cstheme="majorHAnsi"/>
          <w:color w:val="000000" w:themeColor="text1"/>
        </w:rPr>
        <w:t xml:space="preserve">ponsoring </w:t>
      </w:r>
      <w:r w:rsidR="00AC0347" w:rsidRPr="00753D44">
        <w:rPr>
          <w:rFonts w:eastAsia="Calibri" w:cstheme="majorHAnsi"/>
          <w:color w:val="000000" w:themeColor="text1"/>
        </w:rPr>
        <w:t>O</w:t>
      </w:r>
      <w:r w:rsidR="00994FD6" w:rsidRPr="00753D44">
        <w:rPr>
          <w:rFonts w:eastAsia="Calibri" w:cstheme="majorHAnsi"/>
          <w:color w:val="000000" w:themeColor="text1"/>
        </w:rPr>
        <w:t>rganization</w:t>
      </w:r>
      <w:r w:rsidR="00AC0347" w:rsidRPr="00753D44">
        <w:rPr>
          <w:rFonts w:eastAsia="Calibri" w:cstheme="majorHAnsi"/>
          <w:color w:val="000000" w:themeColor="text1"/>
        </w:rPr>
        <w:t xml:space="preserve">-collected evidence of impact on PK-12 students, to target areas for additional focus. </w:t>
      </w:r>
      <w:r w:rsidRPr="00753D44">
        <w:rPr>
          <w:rFonts w:eastAsia="Calibri" w:cstheme="majorHAnsi"/>
          <w:color w:val="000000" w:themeColor="text1"/>
        </w:rPr>
        <w:t xml:space="preserve">The </w:t>
      </w:r>
      <w:r w:rsidR="00AC0347" w:rsidRPr="00753D44">
        <w:rPr>
          <w:rFonts w:eastAsia="Calibri" w:cstheme="majorHAnsi"/>
          <w:color w:val="000000" w:themeColor="text1"/>
        </w:rPr>
        <w:t>S</w:t>
      </w:r>
      <w:r w:rsidR="00994FD6" w:rsidRPr="00753D44">
        <w:rPr>
          <w:rFonts w:eastAsia="Calibri" w:cstheme="majorHAnsi"/>
          <w:color w:val="000000" w:themeColor="text1"/>
        </w:rPr>
        <w:t>ponsoring Organization</w:t>
      </w:r>
      <w:r w:rsidR="00AC0347" w:rsidRPr="00753D44">
        <w:rPr>
          <w:rFonts w:eastAsia="Calibri" w:cstheme="majorHAnsi"/>
          <w:color w:val="000000" w:themeColor="text1"/>
        </w:rPr>
        <w:t xml:space="preserve"> should incorporate multiple viewpoints in these analyses to ensure they make evidence-informed, equity-centered decisions, including setting annual goals, that improve experiences and outcomes. To complete the continuous improvement cycle, </w:t>
      </w:r>
      <w:r w:rsidR="005C7E1A" w:rsidRPr="00753D44">
        <w:rPr>
          <w:rFonts w:eastAsia="Calibri" w:cstheme="majorHAnsi"/>
          <w:color w:val="000000" w:themeColor="text1"/>
        </w:rPr>
        <w:t xml:space="preserve">the </w:t>
      </w:r>
      <w:r w:rsidR="00AC0347" w:rsidRPr="00753D44">
        <w:rPr>
          <w:rFonts w:eastAsia="Calibri" w:cstheme="majorHAnsi"/>
          <w:color w:val="000000" w:themeColor="text1"/>
        </w:rPr>
        <w:t>S</w:t>
      </w:r>
      <w:r w:rsidR="00994FD6" w:rsidRPr="00753D44">
        <w:rPr>
          <w:rFonts w:eastAsia="Calibri" w:cstheme="majorHAnsi"/>
          <w:color w:val="000000" w:themeColor="text1"/>
        </w:rPr>
        <w:t>ponsoring Organization</w:t>
      </w:r>
      <w:r w:rsidR="00AC0347" w:rsidRPr="00753D44">
        <w:rPr>
          <w:rFonts w:eastAsia="Calibri" w:cstheme="majorHAnsi"/>
          <w:color w:val="000000" w:themeColor="text1"/>
        </w:rPr>
        <w:t xml:space="preserve"> should then monitor whether those decisions are having a positive impact and make adjustments to the action plan as needed.  </w:t>
      </w:r>
    </w:p>
    <w:p w14:paraId="54432468" w14:textId="77777777" w:rsidR="001B069A" w:rsidRPr="00753D44" w:rsidRDefault="001B069A" w:rsidP="00753D44">
      <w:pPr>
        <w:rPr>
          <w:rStyle w:val="normaltextrun"/>
          <w:rFonts w:cstheme="majorHAnsi"/>
          <w:color w:val="000000"/>
          <w:shd w:val="clear" w:color="auto" w:fill="FFFFFF"/>
        </w:rPr>
      </w:pPr>
    </w:p>
    <w:p w14:paraId="46AAF4FD" w14:textId="6F461464" w:rsidR="001B069A" w:rsidRPr="00753D44" w:rsidRDefault="00AC0347" w:rsidP="00753D44">
      <w:pPr>
        <w:rPr>
          <w:rFonts w:cstheme="majorHAnsi"/>
          <w:color w:val="000000"/>
          <w:shd w:val="clear" w:color="auto" w:fill="FFFFFF"/>
        </w:rPr>
      </w:pPr>
      <w:r w:rsidRPr="00753D44">
        <w:rPr>
          <w:rStyle w:val="normaltextrun"/>
          <w:rFonts w:cstheme="majorHAnsi"/>
          <w:color w:val="000000"/>
          <w:shd w:val="clear" w:color="auto" w:fill="FFFFFF"/>
        </w:rPr>
        <w:t xml:space="preserve">Constructing equitable, anti-racist preparation programs will require time and attention; only through a comprehensive and inclusive continuous improvement system can </w:t>
      </w:r>
      <w:r w:rsidR="005C7E1A" w:rsidRPr="00753D44">
        <w:rPr>
          <w:rStyle w:val="normaltextrun"/>
          <w:rFonts w:cstheme="majorHAnsi"/>
          <w:color w:val="000000"/>
          <w:shd w:val="clear" w:color="auto" w:fill="FFFFFF"/>
        </w:rPr>
        <w:t>the</w:t>
      </w:r>
      <w:r w:rsidRPr="00753D44">
        <w:rPr>
          <w:rStyle w:val="normaltextrun"/>
          <w:rFonts w:cstheme="majorHAnsi"/>
          <w:color w:val="000000"/>
          <w:shd w:val="clear" w:color="auto" w:fill="FFFFFF"/>
        </w:rPr>
        <w:t xml:space="preserve"> S</w:t>
      </w:r>
      <w:r w:rsidR="00150258" w:rsidRPr="00753D44">
        <w:rPr>
          <w:rStyle w:val="normaltextrun"/>
          <w:rFonts w:cstheme="majorHAnsi"/>
          <w:color w:val="000000"/>
          <w:shd w:val="clear" w:color="auto" w:fill="FFFFFF"/>
        </w:rPr>
        <w:t xml:space="preserve">ponsoring </w:t>
      </w:r>
      <w:r w:rsidRPr="00753D44">
        <w:rPr>
          <w:rStyle w:val="normaltextrun"/>
          <w:rFonts w:cstheme="majorHAnsi"/>
          <w:color w:val="000000"/>
          <w:shd w:val="clear" w:color="auto" w:fill="FFFFFF"/>
        </w:rPr>
        <w:t>O</w:t>
      </w:r>
      <w:r w:rsidR="00150258" w:rsidRPr="00753D44">
        <w:rPr>
          <w:rStyle w:val="normaltextrun"/>
          <w:rFonts w:cstheme="majorHAnsi"/>
          <w:color w:val="000000"/>
          <w:shd w:val="clear" w:color="auto" w:fill="FFFFFF"/>
        </w:rPr>
        <w:t>rganization</w:t>
      </w:r>
      <w:r w:rsidRPr="00753D44">
        <w:rPr>
          <w:rStyle w:val="normaltextrun"/>
          <w:rFonts w:cstheme="majorHAnsi"/>
          <w:color w:val="000000"/>
          <w:shd w:val="clear" w:color="auto" w:fill="FFFFFF"/>
        </w:rPr>
        <w:t xml:space="preserve"> ensure decisions are having the intended impact </w:t>
      </w:r>
      <w:r w:rsidR="00C803DA" w:rsidRPr="00753D44">
        <w:rPr>
          <w:rStyle w:val="normaltextrun"/>
          <w:rFonts w:cstheme="majorHAnsi"/>
          <w:color w:val="000000"/>
          <w:shd w:val="clear" w:color="auto" w:fill="FFFFFF"/>
        </w:rPr>
        <w:t>with</w:t>
      </w:r>
      <w:r w:rsidRPr="00753D44">
        <w:rPr>
          <w:rStyle w:val="normaltextrun"/>
          <w:rFonts w:cstheme="majorHAnsi"/>
          <w:color w:val="000000"/>
          <w:shd w:val="clear" w:color="auto" w:fill="FFFFFF"/>
        </w:rPr>
        <w:t xml:space="preserve"> increasingly equitable experiences and outcomes for both candidates and PK-12 students.</w:t>
      </w:r>
    </w:p>
    <w:p w14:paraId="732154EA" w14:textId="77777777" w:rsidR="00AC0347" w:rsidRPr="00E05889" w:rsidRDefault="00AC0347" w:rsidP="00BA67B6">
      <w:pPr>
        <w:pStyle w:val="Heading2"/>
      </w:pPr>
      <w:bookmarkStart w:id="14" w:name="_Toc125547310"/>
      <w:bookmarkStart w:id="15" w:name="_Toc125574762"/>
      <w:bookmarkStart w:id="16" w:name="_Toc125575606"/>
      <w:r w:rsidRPr="00E05889">
        <w:lastRenderedPageBreak/>
        <w:t>The Continuous Improvement (CI) Domain Criteria:</w:t>
      </w:r>
      <w:bookmarkEnd w:id="14"/>
      <w:bookmarkEnd w:id="15"/>
      <w:bookmarkEnd w:id="16"/>
      <w:r w:rsidRPr="00E05889">
        <w:t xml:space="preserve"> </w:t>
      </w:r>
    </w:p>
    <w:p w14:paraId="60C38F5D" w14:textId="580859D2" w:rsidR="00AC0347" w:rsidRPr="003E2664" w:rsidRDefault="00AC0347" w:rsidP="00E5326C">
      <w:pPr>
        <w:ind w:left="720"/>
        <w:rPr>
          <w:rFonts w:eastAsia="Calibri" w:cstheme="majorHAnsi"/>
          <w:color w:val="000000" w:themeColor="text1"/>
        </w:rPr>
      </w:pPr>
      <w:r w:rsidRPr="003E2664">
        <w:rPr>
          <w:rFonts w:eastAsia="Calibri" w:cstheme="majorHAnsi"/>
          <w:color w:val="000000" w:themeColor="text1"/>
        </w:rPr>
        <w:t>CI 1: The Sponsoring Organization’s continuous improvement efforts are</w:t>
      </w:r>
      <w:r w:rsidR="0044088F" w:rsidRPr="003E2664">
        <w:rPr>
          <w:rFonts w:eastAsia="Calibri" w:cstheme="majorHAnsi"/>
          <w:color w:val="000000" w:themeColor="text1"/>
        </w:rPr>
        <w:t xml:space="preserve"> </w:t>
      </w:r>
      <w:r w:rsidRPr="003E2664">
        <w:rPr>
          <w:rFonts w:eastAsia="Calibri" w:cstheme="majorHAnsi"/>
          <w:color w:val="000000" w:themeColor="text1"/>
        </w:rPr>
        <w:t>intentionally designed to involve multiple viewpoints in decision-making, ensure equitable program experiences, and improve candidate outcomes.</w:t>
      </w:r>
    </w:p>
    <w:p w14:paraId="13BCDA97" w14:textId="77777777" w:rsidR="00747424" w:rsidRPr="003E2664" w:rsidRDefault="00747424" w:rsidP="00AC0347">
      <w:pPr>
        <w:ind w:firstLine="720"/>
        <w:rPr>
          <w:rFonts w:eastAsia="Calibri" w:cstheme="majorHAnsi"/>
          <w:color w:val="000000" w:themeColor="text1"/>
        </w:rPr>
      </w:pPr>
    </w:p>
    <w:p w14:paraId="495FD473" w14:textId="77777777" w:rsidR="00AC0347" w:rsidRPr="003E2664" w:rsidRDefault="00AC0347" w:rsidP="00AC0347">
      <w:pPr>
        <w:ind w:left="720"/>
        <w:rPr>
          <w:rFonts w:eastAsia="Calibri" w:cstheme="majorHAnsi"/>
          <w:color w:val="000000" w:themeColor="text1"/>
        </w:rPr>
      </w:pPr>
      <w:r w:rsidRPr="003E2664">
        <w:rPr>
          <w:rFonts w:eastAsia="Calibri" w:cstheme="majorHAnsi"/>
          <w:color w:val="000000" w:themeColor="text1"/>
        </w:rPr>
        <w:t xml:space="preserve">CI 2: At least annually, the Sponsoring Organization collects and analyzes evidence from a variety of sources (including available state-collected data and stakeholder feedback) in order to understand the experiences and outcomes of candidates within and across identity groups and to identify strengths and areas for improvement. </w:t>
      </w:r>
    </w:p>
    <w:p w14:paraId="46ABE78B" w14:textId="77777777" w:rsidR="00747424" w:rsidRPr="003E2664" w:rsidRDefault="00747424" w:rsidP="00AC0347">
      <w:pPr>
        <w:ind w:left="720"/>
        <w:rPr>
          <w:rFonts w:eastAsia="Calibri" w:cstheme="majorHAnsi"/>
          <w:color w:val="000000" w:themeColor="text1"/>
        </w:rPr>
      </w:pPr>
    </w:p>
    <w:p w14:paraId="7C662EAB" w14:textId="77777777" w:rsidR="00AC0347" w:rsidRPr="003E2664" w:rsidRDefault="00AC0347" w:rsidP="00AC0347">
      <w:pPr>
        <w:ind w:left="720"/>
        <w:rPr>
          <w:rFonts w:eastAsia="Calibri" w:cstheme="majorHAnsi"/>
          <w:color w:val="000000" w:themeColor="text1"/>
        </w:rPr>
      </w:pPr>
      <w:r w:rsidRPr="003E2664">
        <w:rPr>
          <w:rFonts w:eastAsia="Calibri" w:cstheme="majorHAnsi"/>
          <w:color w:val="000000" w:themeColor="text1"/>
        </w:rPr>
        <w:t>CI 3: The Sponsoring Organization makes evidence-informed, equity-centered decisions that lead to improved experiences and outcomes of candidates.</w:t>
      </w:r>
    </w:p>
    <w:p w14:paraId="365CA207" w14:textId="77777777" w:rsidR="00747424" w:rsidRPr="003E2664" w:rsidRDefault="00747424" w:rsidP="00AC0347">
      <w:pPr>
        <w:ind w:left="720"/>
        <w:rPr>
          <w:rFonts w:eastAsia="Calibri" w:cstheme="majorHAnsi"/>
          <w:color w:val="000000" w:themeColor="text1"/>
        </w:rPr>
      </w:pPr>
    </w:p>
    <w:p w14:paraId="4B937B24" w14:textId="1AC24954" w:rsidR="00E05889" w:rsidRPr="003E2664" w:rsidRDefault="00AC0347" w:rsidP="00747424">
      <w:pPr>
        <w:ind w:left="720"/>
        <w:rPr>
          <w:rFonts w:eastAsia="Calibri" w:cstheme="majorHAnsi"/>
          <w:color w:val="000000" w:themeColor="text1"/>
        </w:rPr>
      </w:pPr>
      <w:r w:rsidRPr="003E2664">
        <w:rPr>
          <w:rFonts w:eastAsia="Calibri" w:cstheme="majorHAnsi"/>
          <w:color w:val="000000" w:themeColor="text1"/>
        </w:rPr>
        <w:t xml:space="preserve">CI 4: At least annually, the Sponsoring Organization collects and analyzes evidence of completers’ and PK-12 school/district partnerships’ impacts on PK-12 student outcomes and takes aligned actions to ensure positive impacts. </w:t>
      </w:r>
    </w:p>
    <w:p w14:paraId="2A83EA31" w14:textId="77777777" w:rsidR="00E05889" w:rsidRDefault="00E05889">
      <w:pPr>
        <w:rPr>
          <w:rFonts w:eastAsia="Calibri" w:cstheme="majorHAnsi"/>
          <w:color w:val="000000" w:themeColor="text1"/>
          <w:sz w:val="24"/>
          <w:szCs w:val="24"/>
        </w:rPr>
      </w:pPr>
      <w:r>
        <w:rPr>
          <w:rFonts w:eastAsia="Calibri" w:cstheme="majorHAnsi"/>
          <w:color w:val="000000" w:themeColor="text1"/>
          <w:sz w:val="24"/>
          <w:szCs w:val="24"/>
        </w:rPr>
        <w:br w:type="page"/>
      </w:r>
    </w:p>
    <w:p w14:paraId="0D0CF65A" w14:textId="77777777" w:rsidR="0079241F" w:rsidRPr="00BA67B6" w:rsidRDefault="0079241F" w:rsidP="00BA67B6">
      <w:pPr>
        <w:pStyle w:val="Heading1"/>
      </w:pPr>
      <w:bookmarkStart w:id="17" w:name="_The_Candidate_Domain"/>
      <w:bookmarkStart w:id="18" w:name="_Toc125575607"/>
      <w:bookmarkEnd w:id="17"/>
      <w:r w:rsidRPr="00BA67B6">
        <w:lastRenderedPageBreak/>
        <w:t>The Candidate Domain</w:t>
      </w:r>
      <w:bookmarkEnd w:id="18"/>
    </w:p>
    <w:p w14:paraId="45539331" w14:textId="6E89378A" w:rsidR="0079241F" w:rsidRPr="00014585" w:rsidRDefault="0079241F" w:rsidP="00014585">
      <w:pPr>
        <w:spacing w:line="240" w:lineRule="auto"/>
        <w:rPr>
          <w:rFonts w:cstheme="majorHAnsi"/>
          <w:b/>
          <w:bCs/>
          <w:i/>
          <w:iCs/>
        </w:rPr>
      </w:pPr>
      <w:r w:rsidRPr="00014585">
        <w:rPr>
          <w:rFonts w:cstheme="majorHAnsi"/>
          <w:b/>
          <w:bCs/>
          <w:i/>
          <w:iCs/>
        </w:rPr>
        <w:t>All candidates</w:t>
      </w:r>
      <w:r w:rsidR="007F4575" w:rsidRPr="00014585">
        <w:rPr>
          <w:rFonts w:cstheme="majorHAnsi"/>
          <w:b/>
          <w:bCs/>
          <w:i/>
          <w:iCs/>
        </w:rPr>
        <w:t xml:space="preserve"> are</w:t>
      </w:r>
      <w:r w:rsidRPr="00014585">
        <w:rPr>
          <w:rFonts w:cstheme="majorHAnsi"/>
          <w:b/>
          <w:bCs/>
          <w:i/>
          <w:iCs/>
        </w:rPr>
        <w:t xml:space="preserve"> supported through recruitment, admission, and completion of their program to ensure that completers are well-prepared to create anti-racist, culturally and linguistically sustaining learning environments for all students. </w:t>
      </w:r>
    </w:p>
    <w:p w14:paraId="6E038721" w14:textId="77777777" w:rsidR="005E4874" w:rsidRPr="00014585" w:rsidRDefault="005E4874" w:rsidP="0079241F">
      <w:pPr>
        <w:rPr>
          <w:rFonts w:cstheme="majorHAnsi"/>
          <w:i/>
          <w:iCs/>
        </w:rPr>
      </w:pPr>
    </w:p>
    <w:p w14:paraId="324296FE" w14:textId="28140B43" w:rsidR="0079241F" w:rsidRPr="00014585" w:rsidRDefault="0079241F" w:rsidP="005A1A36">
      <w:pPr>
        <w:rPr>
          <w:rFonts w:cstheme="majorHAnsi"/>
        </w:rPr>
      </w:pPr>
      <w:r w:rsidRPr="00014585">
        <w:rPr>
          <w:rFonts w:cstheme="majorHAnsi"/>
        </w:rPr>
        <w:t xml:space="preserve">The Candidate </w:t>
      </w:r>
      <w:r w:rsidR="00D43AF8">
        <w:rPr>
          <w:rFonts w:cstheme="majorHAnsi"/>
        </w:rPr>
        <w:t>d</w:t>
      </w:r>
      <w:r w:rsidRPr="00014585">
        <w:rPr>
          <w:rFonts w:cstheme="majorHAnsi"/>
        </w:rPr>
        <w:t xml:space="preserve">omain articulates the expectation that a </w:t>
      </w:r>
      <w:r w:rsidR="001E04DA" w:rsidRPr="00014585">
        <w:rPr>
          <w:rFonts w:cstheme="majorHAnsi"/>
        </w:rPr>
        <w:t>Sponsoring Organization</w:t>
      </w:r>
      <w:r w:rsidRPr="00014585">
        <w:rPr>
          <w:rFonts w:cstheme="majorHAnsi"/>
        </w:rPr>
        <w:t xml:space="preserve"> provide all candidates with the information and resources necessary to complete their program of study, foster candidates’ well-being, and effectively prepare them for the experience of working in their licensure role. </w:t>
      </w:r>
    </w:p>
    <w:p w14:paraId="4A85A58E" w14:textId="77777777" w:rsidR="005E4874" w:rsidRPr="00014585" w:rsidRDefault="005E4874" w:rsidP="005A1A36">
      <w:pPr>
        <w:rPr>
          <w:rFonts w:cstheme="majorHAnsi"/>
        </w:rPr>
      </w:pPr>
    </w:p>
    <w:p w14:paraId="3FA76018" w14:textId="21249110" w:rsidR="0079241F" w:rsidRPr="00014585" w:rsidRDefault="0079241F" w:rsidP="00753D44">
      <w:pPr>
        <w:rPr>
          <w:rFonts w:eastAsia="Calibri" w:cstheme="majorHAnsi"/>
          <w:color w:val="000000" w:themeColor="text1"/>
        </w:rPr>
      </w:pPr>
      <w:r w:rsidRPr="00014585">
        <w:rPr>
          <w:rFonts w:cstheme="majorHAnsi"/>
        </w:rPr>
        <w:t xml:space="preserve">Ensuring appropriate and comprehensive support for all candidates, including those </w:t>
      </w:r>
      <w:r w:rsidRPr="00014585">
        <w:rPr>
          <w:rFonts w:eastAsia="Calibri" w:cstheme="majorHAnsi"/>
          <w:color w:val="000000" w:themeColor="text1"/>
        </w:rPr>
        <w:t xml:space="preserve">within and across identity groups and backgrounds, and with particular focus on those who have been systematically marginalized or underserved by our education systems, requires </w:t>
      </w:r>
      <w:r w:rsidR="0035702B" w:rsidRPr="00014585">
        <w:rPr>
          <w:rFonts w:eastAsia="Calibri" w:cstheme="majorHAnsi"/>
          <w:color w:val="000000" w:themeColor="text1"/>
        </w:rPr>
        <w:t>the Sponsoring Organization</w:t>
      </w:r>
      <w:r w:rsidRPr="00014585">
        <w:rPr>
          <w:rFonts w:eastAsia="Calibri" w:cstheme="majorHAnsi"/>
          <w:color w:val="000000" w:themeColor="text1"/>
        </w:rPr>
        <w:t xml:space="preserve"> to continually examine recruitment, admissions, and retention data to identify and remove barriers that contribute to inequitable access to and/or success in the preparation program. Resources and supports may include:</w:t>
      </w:r>
    </w:p>
    <w:p w14:paraId="5292B577" w14:textId="77777777" w:rsidR="005E4874" w:rsidRPr="00014585" w:rsidRDefault="005E4874" w:rsidP="00753D44">
      <w:pPr>
        <w:rPr>
          <w:rFonts w:eastAsia="Calibri" w:cstheme="majorHAnsi"/>
        </w:rPr>
      </w:pPr>
    </w:p>
    <w:p w14:paraId="131E600C" w14:textId="474D6590" w:rsidR="0079241F" w:rsidRPr="00014585" w:rsidRDefault="00090F3F" w:rsidP="00014585">
      <w:pPr>
        <w:pStyle w:val="ListParagraph"/>
        <w:numPr>
          <w:ilvl w:val="0"/>
          <w:numId w:val="2"/>
        </w:numPr>
        <w:spacing w:after="160"/>
        <w:rPr>
          <w:rFonts w:cstheme="majorHAnsi"/>
          <w:color w:val="000000" w:themeColor="text1"/>
        </w:rPr>
      </w:pPr>
      <w:r w:rsidRPr="00014585">
        <w:rPr>
          <w:rFonts w:eastAsia="Calibri" w:cstheme="majorHAnsi"/>
          <w:color w:val="000000" w:themeColor="text1"/>
        </w:rPr>
        <w:t>T</w:t>
      </w:r>
      <w:r w:rsidR="0079241F" w:rsidRPr="00014585">
        <w:rPr>
          <w:rFonts w:eastAsia="Calibri" w:cstheme="majorHAnsi"/>
          <w:color w:val="000000" w:themeColor="text1"/>
        </w:rPr>
        <w:t>ransparency about the costs and commitments of the program, including a clear waiver policy</w:t>
      </w:r>
    </w:p>
    <w:p w14:paraId="0F577258" w14:textId="77777777" w:rsidR="0079241F" w:rsidRPr="00014585" w:rsidRDefault="0079241F" w:rsidP="00014585">
      <w:pPr>
        <w:pStyle w:val="ListParagraph"/>
        <w:numPr>
          <w:ilvl w:val="0"/>
          <w:numId w:val="2"/>
        </w:numPr>
        <w:spacing w:after="160"/>
        <w:rPr>
          <w:rFonts w:cstheme="majorHAnsi"/>
          <w:color w:val="000000" w:themeColor="text1"/>
        </w:rPr>
      </w:pPr>
      <w:r w:rsidRPr="00014585">
        <w:rPr>
          <w:rFonts w:eastAsia="Calibri" w:cstheme="majorHAnsi"/>
          <w:color w:val="000000" w:themeColor="text1"/>
        </w:rPr>
        <w:t>Academic advising to ensure success in the program of study</w:t>
      </w:r>
    </w:p>
    <w:p w14:paraId="28CA6679" w14:textId="77777777" w:rsidR="0079241F" w:rsidRPr="00014585" w:rsidRDefault="0079241F" w:rsidP="00014585">
      <w:pPr>
        <w:pStyle w:val="ListParagraph"/>
        <w:numPr>
          <w:ilvl w:val="0"/>
          <w:numId w:val="2"/>
        </w:numPr>
        <w:spacing w:after="160"/>
        <w:rPr>
          <w:rFonts w:cstheme="majorHAnsi"/>
          <w:color w:val="000000" w:themeColor="text1"/>
        </w:rPr>
      </w:pPr>
      <w:r w:rsidRPr="00014585">
        <w:rPr>
          <w:rFonts w:eastAsia="Calibri" w:cstheme="majorHAnsi"/>
          <w:color w:val="000000" w:themeColor="text1"/>
        </w:rPr>
        <w:t>Resources to navigate higher education and PK-12 school/district systems</w:t>
      </w:r>
    </w:p>
    <w:p w14:paraId="77C9F4E3" w14:textId="77777777" w:rsidR="0079241F" w:rsidRPr="00014585" w:rsidRDefault="0079241F" w:rsidP="00014585">
      <w:pPr>
        <w:pStyle w:val="ListParagraph"/>
        <w:numPr>
          <w:ilvl w:val="0"/>
          <w:numId w:val="2"/>
        </w:numPr>
        <w:spacing w:after="160"/>
        <w:rPr>
          <w:rFonts w:cstheme="majorHAnsi"/>
          <w:color w:val="000000" w:themeColor="text1"/>
        </w:rPr>
      </w:pPr>
      <w:r w:rsidRPr="00014585">
        <w:rPr>
          <w:rFonts w:eastAsia="Calibri" w:cstheme="majorHAnsi"/>
          <w:color w:val="000000" w:themeColor="text1"/>
        </w:rPr>
        <w:t>Opportunities to build authentic relationships and communities of support with program personnel and other candidates</w:t>
      </w:r>
    </w:p>
    <w:p w14:paraId="19C4ACDE" w14:textId="77777777" w:rsidR="0079241F" w:rsidRPr="00014585" w:rsidRDefault="0079241F" w:rsidP="00014585">
      <w:pPr>
        <w:pStyle w:val="ListParagraph"/>
        <w:numPr>
          <w:ilvl w:val="0"/>
          <w:numId w:val="2"/>
        </w:numPr>
        <w:spacing w:after="160"/>
        <w:rPr>
          <w:rFonts w:cstheme="majorHAnsi"/>
          <w:color w:val="000000" w:themeColor="text1"/>
        </w:rPr>
      </w:pPr>
      <w:r w:rsidRPr="00014585">
        <w:rPr>
          <w:rFonts w:eastAsia="Calibri" w:cstheme="majorHAnsi"/>
          <w:color w:val="000000" w:themeColor="text1"/>
        </w:rPr>
        <w:t>Career counseling to ensure a clear understanding of the licensure role and employment opportunities</w:t>
      </w:r>
    </w:p>
    <w:p w14:paraId="0FC243E3" w14:textId="4C500B4E" w:rsidR="0079241F" w:rsidRPr="00014585" w:rsidRDefault="0079241F" w:rsidP="005A1A36">
      <w:pPr>
        <w:rPr>
          <w:rFonts w:cstheme="majorHAnsi"/>
        </w:rPr>
      </w:pPr>
      <w:r w:rsidRPr="00014585">
        <w:rPr>
          <w:rFonts w:cstheme="majorHAnsi"/>
        </w:rPr>
        <w:t xml:space="preserve">Within any preparation program, there will be candidates who need additional, differentiated </w:t>
      </w:r>
      <w:r w:rsidRPr="00014585">
        <w:rPr>
          <w:rFonts w:eastAsia="Calibri" w:cstheme="majorHAnsi"/>
          <w:color w:val="000000" w:themeColor="text1"/>
        </w:rPr>
        <w:t xml:space="preserve">interventions in coursework, fieldwork, or for their general well-being. </w:t>
      </w:r>
      <w:r w:rsidR="00115421" w:rsidRPr="00014585">
        <w:rPr>
          <w:rFonts w:eastAsia="Calibri" w:cstheme="majorHAnsi"/>
          <w:color w:val="000000" w:themeColor="text1"/>
        </w:rPr>
        <w:t xml:space="preserve">The Sponsoring </w:t>
      </w:r>
      <w:r w:rsidRPr="00014585">
        <w:rPr>
          <w:rFonts w:eastAsia="Calibri" w:cstheme="majorHAnsi"/>
          <w:color w:val="000000" w:themeColor="text1"/>
        </w:rPr>
        <w:t xml:space="preserve">Organization must create policies and processes to identify candidates at risk of not meeting expectations or in need of additional support, provide them with appropriate interventions, and monitor their progress. Candidates who, despite receiving differentiated interventions, demonstrate that they will not be ready to well-serve all students with anti-racist and culturally and linguistically sustaining practices, should be counseled out of the licensure program. </w:t>
      </w:r>
      <w:r w:rsidR="006E58AB" w:rsidRPr="00014585">
        <w:rPr>
          <w:rFonts w:eastAsia="Calibri" w:cstheme="majorHAnsi"/>
          <w:color w:val="000000" w:themeColor="text1"/>
        </w:rPr>
        <w:t xml:space="preserve">The </w:t>
      </w:r>
      <w:r w:rsidRPr="00014585">
        <w:rPr>
          <w:rStyle w:val="normaltextrun"/>
          <w:rFonts w:cstheme="majorHAnsi"/>
          <w:color w:val="000000"/>
          <w:shd w:val="clear" w:color="auto" w:fill="FFFFFF"/>
        </w:rPr>
        <w:t xml:space="preserve">Sponsoring Organization </w:t>
      </w:r>
      <w:r w:rsidR="006E58AB" w:rsidRPr="00014585">
        <w:rPr>
          <w:rStyle w:val="normaltextrun"/>
          <w:rFonts w:cstheme="majorHAnsi"/>
          <w:color w:val="000000"/>
          <w:shd w:val="clear" w:color="auto" w:fill="FFFFFF"/>
        </w:rPr>
        <w:t>is</w:t>
      </w:r>
      <w:r w:rsidRPr="00014585">
        <w:rPr>
          <w:rStyle w:val="normaltextrun"/>
          <w:rFonts w:cstheme="majorHAnsi"/>
          <w:color w:val="000000"/>
          <w:shd w:val="clear" w:color="auto" w:fill="FFFFFF"/>
        </w:rPr>
        <w:t xml:space="preserve"> responsible for determining candidates’ readiness for endorsement and, in turn, opportunity to impact PK-12 students from all races, identities, and backgrounds in the licensure role</w:t>
      </w:r>
      <w:r w:rsidR="00AC1327" w:rsidRPr="00014585">
        <w:rPr>
          <w:rStyle w:val="normaltextrun"/>
          <w:rFonts w:cstheme="majorHAnsi"/>
          <w:color w:val="000000"/>
          <w:shd w:val="clear" w:color="auto" w:fill="FFFFFF"/>
        </w:rPr>
        <w:t>.</w:t>
      </w:r>
      <w:r w:rsidRPr="00014585">
        <w:rPr>
          <w:rStyle w:val="normaltextrun"/>
          <w:rFonts w:cstheme="majorHAnsi"/>
          <w:color w:val="000000"/>
          <w:shd w:val="clear" w:color="auto" w:fill="FFFFFF"/>
        </w:rPr>
        <w:t xml:space="preserve"> </w:t>
      </w:r>
      <w:r w:rsidR="00AC1327" w:rsidRPr="00014585">
        <w:rPr>
          <w:rStyle w:val="normaltextrun"/>
          <w:rFonts w:cstheme="majorHAnsi"/>
          <w:color w:val="000000"/>
          <w:shd w:val="clear" w:color="auto" w:fill="FFFFFF"/>
        </w:rPr>
        <w:t xml:space="preserve"> As such, </w:t>
      </w:r>
      <w:r w:rsidR="006E58AB" w:rsidRPr="00014585">
        <w:rPr>
          <w:rStyle w:val="normaltextrun"/>
          <w:rFonts w:cstheme="majorHAnsi"/>
          <w:color w:val="000000"/>
          <w:shd w:val="clear" w:color="auto" w:fill="FFFFFF"/>
        </w:rPr>
        <w:t>the</w:t>
      </w:r>
      <w:r w:rsidR="00AC1327" w:rsidRPr="00014585">
        <w:rPr>
          <w:rStyle w:val="normaltextrun"/>
          <w:rFonts w:cstheme="majorHAnsi"/>
          <w:color w:val="000000"/>
          <w:shd w:val="clear" w:color="auto" w:fill="FFFFFF"/>
        </w:rPr>
        <w:t xml:space="preserve"> </w:t>
      </w:r>
      <w:r w:rsidR="00A212E9" w:rsidRPr="00014585">
        <w:rPr>
          <w:rStyle w:val="normaltextrun"/>
          <w:rFonts w:cstheme="majorHAnsi"/>
          <w:color w:val="000000"/>
          <w:shd w:val="clear" w:color="auto" w:fill="FFFFFF"/>
        </w:rPr>
        <w:t>S</w:t>
      </w:r>
      <w:r w:rsidR="00E05889" w:rsidRPr="00014585">
        <w:rPr>
          <w:rStyle w:val="normaltextrun"/>
          <w:rFonts w:cstheme="majorHAnsi"/>
          <w:color w:val="000000"/>
          <w:shd w:val="clear" w:color="auto" w:fill="FFFFFF"/>
        </w:rPr>
        <w:t xml:space="preserve">ponsoring </w:t>
      </w:r>
      <w:r w:rsidR="00A212E9" w:rsidRPr="00014585">
        <w:rPr>
          <w:rStyle w:val="normaltextrun"/>
          <w:rFonts w:cstheme="majorHAnsi"/>
          <w:color w:val="000000"/>
          <w:shd w:val="clear" w:color="auto" w:fill="FFFFFF"/>
        </w:rPr>
        <w:t>O</w:t>
      </w:r>
      <w:r w:rsidR="00E05889" w:rsidRPr="00014585">
        <w:rPr>
          <w:rStyle w:val="normaltextrun"/>
          <w:rFonts w:cstheme="majorHAnsi"/>
          <w:color w:val="000000"/>
          <w:shd w:val="clear" w:color="auto" w:fill="FFFFFF"/>
        </w:rPr>
        <w:t>rganization</w:t>
      </w:r>
      <w:r w:rsidR="00A212E9" w:rsidRPr="00014585">
        <w:rPr>
          <w:rStyle w:val="normaltextrun"/>
          <w:rFonts w:cstheme="majorHAnsi"/>
          <w:color w:val="000000"/>
          <w:shd w:val="clear" w:color="auto" w:fill="FFFFFF"/>
        </w:rPr>
        <w:t xml:space="preserve"> </w:t>
      </w:r>
      <w:r w:rsidRPr="00014585">
        <w:rPr>
          <w:rStyle w:val="normaltextrun"/>
          <w:rFonts w:cstheme="majorHAnsi"/>
          <w:color w:val="000000"/>
          <w:shd w:val="clear" w:color="auto" w:fill="FFFFFF"/>
        </w:rPr>
        <w:t>should both hold high expectations and provide comprehensive support for all candidates.</w:t>
      </w:r>
    </w:p>
    <w:p w14:paraId="2AB31430" w14:textId="77777777" w:rsidR="0079241F" w:rsidRPr="00E05889" w:rsidRDefault="0079241F" w:rsidP="00BA67B6">
      <w:pPr>
        <w:pStyle w:val="Heading2"/>
      </w:pPr>
      <w:bookmarkStart w:id="19" w:name="_Toc125547312"/>
      <w:bookmarkStart w:id="20" w:name="_Toc125574764"/>
      <w:bookmarkStart w:id="21" w:name="_Toc125575608"/>
      <w:r w:rsidRPr="00E05889">
        <w:t>The Candidate (CAN) Domain Criteria:</w:t>
      </w:r>
      <w:bookmarkEnd w:id="19"/>
      <w:bookmarkEnd w:id="20"/>
      <w:bookmarkEnd w:id="21"/>
    </w:p>
    <w:p w14:paraId="331A3C2C" w14:textId="77777777" w:rsidR="0079241F" w:rsidRPr="003E2664" w:rsidRDefault="0079241F" w:rsidP="0079241F">
      <w:pPr>
        <w:ind w:left="720"/>
        <w:rPr>
          <w:rFonts w:eastAsia="Calibri" w:cstheme="majorHAnsi"/>
          <w:color w:val="000000" w:themeColor="text1"/>
        </w:rPr>
      </w:pPr>
      <w:r w:rsidRPr="003E2664">
        <w:rPr>
          <w:rFonts w:eastAsia="Calibri" w:cstheme="majorHAnsi"/>
          <w:color w:val="000000" w:themeColor="text1"/>
        </w:rPr>
        <w:t>CAN 1: The Sponsoring Organization continually examines recruitment, admissions, and retention data and adjusts policies and processes to remove systemically inequitable barriers to entry and completion, resulting in the increased racial diversity of completers.</w:t>
      </w:r>
    </w:p>
    <w:p w14:paraId="0AFE4666" w14:textId="77777777" w:rsidR="00BA5A41" w:rsidRPr="003E2664" w:rsidRDefault="00BA5A41" w:rsidP="0079241F">
      <w:pPr>
        <w:ind w:left="720"/>
        <w:rPr>
          <w:rFonts w:eastAsia="Calibri" w:cstheme="majorHAnsi"/>
          <w:color w:val="000000" w:themeColor="text1"/>
        </w:rPr>
      </w:pPr>
    </w:p>
    <w:p w14:paraId="23B22360" w14:textId="4B69D928" w:rsidR="00D068ED" w:rsidRPr="003E2664" w:rsidRDefault="00D068ED" w:rsidP="0079241F">
      <w:pPr>
        <w:ind w:left="720"/>
        <w:rPr>
          <w:rFonts w:eastAsia="Calibri" w:cstheme="majorHAnsi"/>
          <w:color w:val="000000" w:themeColor="text1"/>
        </w:rPr>
      </w:pPr>
      <w:r w:rsidRPr="003E2664">
        <w:rPr>
          <w:rFonts w:eastAsia="Calibri" w:cstheme="majorHAnsi"/>
          <w:color w:val="000000" w:themeColor="text1"/>
        </w:rPr>
        <w:t xml:space="preserve">CAN 2: The Sponsoring Organization selects candidates for admission </w:t>
      </w:r>
      <w:r w:rsidR="009504C7" w:rsidRPr="003E2664">
        <w:rPr>
          <w:rFonts w:eastAsia="Calibri" w:cstheme="majorHAnsi"/>
          <w:color w:val="000000" w:themeColor="text1"/>
        </w:rPr>
        <w:t xml:space="preserve">who demonstrate </w:t>
      </w:r>
      <w:r w:rsidR="00676C61" w:rsidRPr="003E2664">
        <w:rPr>
          <w:rFonts w:eastAsia="Calibri" w:cstheme="majorHAnsi"/>
          <w:color w:val="000000" w:themeColor="text1"/>
        </w:rPr>
        <w:t>a commitment to educating all students</w:t>
      </w:r>
      <w:r w:rsidR="006B6F61" w:rsidRPr="003E2664">
        <w:rPr>
          <w:rFonts w:eastAsia="Calibri" w:cstheme="majorHAnsi"/>
          <w:color w:val="000000" w:themeColor="text1"/>
        </w:rPr>
        <w:t xml:space="preserve"> (including students from all races, identity groups, and backgrounds).</w:t>
      </w:r>
    </w:p>
    <w:p w14:paraId="7DB03A10" w14:textId="77777777" w:rsidR="00BA5A41" w:rsidRPr="003E2664" w:rsidRDefault="00BA5A41" w:rsidP="0079241F">
      <w:pPr>
        <w:ind w:left="720"/>
        <w:rPr>
          <w:rFonts w:eastAsia="Calibri" w:cstheme="majorHAnsi"/>
          <w:color w:val="000000" w:themeColor="text1"/>
        </w:rPr>
      </w:pPr>
    </w:p>
    <w:p w14:paraId="12D9BC81" w14:textId="77777777" w:rsidR="0079241F" w:rsidRPr="003E2664" w:rsidRDefault="0079241F" w:rsidP="0079241F">
      <w:pPr>
        <w:ind w:left="720"/>
        <w:rPr>
          <w:rFonts w:eastAsia="Calibri" w:cstheme="majorHAnsi"/>
          <w:color w:val="000000" w:themeColor="text1"/>
        </w:rPr>
      </w:pPr>
      <w:r w:rsidRPr="003E2664">
        <w:rPr>
          <w:rFonts w:eastAsia="Calibri" w:cstheme="majorHAnsi"/>
          <w:color w:val="000000" w:themeColor="text1"/>
        </w:rPr>
        <w:t xml:space="preserve">CAN 3: The Sponsoring Organization positions all candidates (including candidates from all races, identity groups, and backgrounds) to be successful in their program, licensure, and career through effective guidance and comprehensive support systems.  </w:t>
      </w:r>
    </w:p>
    <w:p w14:paraId="3312AF0A" w14:textId="77777777" w:rsidR="00BA5A41" w:rsidRPr="003E2664" w:rsidRDefault="00BA5A41" w:rsidP="0079241F">
      <w:pPr>
        <w:ind w:left="720"/>
        <w:rPr>
          <w:rFonts w:eastAsia="Calibri" w:cstheme="majorHAnsi"/>
          <w:color w:val="000000" w:themeColor="text1"/>
        </w:rPr>
      </w:pPr>
    </w:p>
    <w:p w14:paraId="46215C48" w14:textId="77777777" w:rsidR="0079241F" w:rsidRPr="003E2664" w:rsidRDefault="0079241F" w:rsidP="0079241F">
      <w:pPr>
        <w:ind w:left="720"/>
        <w:rPr>
          <w:rFonts w:eastAsia="Calibri" w:cstheme="majorHAnsi"/>
          <w:color w:val="000000" w:themeColor="text1"/>
        </w:rPr>
      </w:pPr>
      <w:r w:rsidRPr="003E2664">
        <w:rPr>
          <w:rFonts w:eastAsia="Calibri" w:cstheme="majorHAnsi"/>
          <w:color w:val="000000" w:themeColor="text1"/>
        </w:rPr>
        <w:t>CAN 4: The Sponsoring Organization identifies and provides differentiated interventions for candidates who need additional support in coursework, fieldwork, or for their general well-being, leading all completers (including completers from all races, identity groups, and backgrounds) to be prepared to be effective anti-racist and culturally and linguistically sustaining educators.</w:t>
      </w:r>
    </w:p>
    <w:p w14:paraId="0777E37A" w14:textId="77777777" w:rsidR="00BA5A41" w:rsidRPr="003E2664" w:rsidRDefault="00BA5A41" w:rsidP="0079241F">
      <w:pPr>
        <w:ind w:left="720"/>
        <w:rPr>
          <w:rFonts w:eastAsia="Calibri" w:cstheme="majorHAnsi"/>
          <w:color w:val="000000" w:themeColor="text1"/>
        </w:rPr>
      </w:pPr>
    </w:p>
    <w:p w14:paraId="0AA86911" w14:textId="78BF1504" w:rsidR="095E3168" w:rsidRPr="003E2664" w:rsidRDefault="0079241F" w:rsidP="005E4874">
      <w:pPr>
        <w:ind w:left="720"/>
        <w:rPr>
          <w:rFonts w:eastAsia="Calibri" w:cstheme="majorHAnsi"/>
          <w:color w:val="000000" w:themeColor="text1"/>
        </w:rPr>
      </w:pPr>
      <w:r w:rsidRPr="003E2664">
        <w:rPr>
          <w:rFonts w:eastAsia="Calibri" w:cstheme="majorHAnsi"/>
          <w:color w:val="000000" w:themeColor="text1"/>
        </w:rPr>
        <w:t>CAN 5:  The Sponsoring Organization’s waiver policy equitably ensures that academic and professional standards of the licensure role are met.</w:t>
      </w:r>
    </w:p>
    <w:p w14:paraId="4B9A1DFF" w14:textId="77777777" w:rsidR="00E755C7" w:rsidRPr="00E05889" w:rsidRDefault="00E755C7" w:rsidP="00BA67B6">
      <w:pPr>
        <w:pStyle w:val="Heading2"/>
      </w:pPr>
      <w:bookmarkStart w:id="22" w:name="_Implementation_of_Waivers"/>
      <w:bookmarkStart w:id="23" w:name="_Toc125575609"/>
      <w:bookmarkEnd w:id="22"/>
      <w:r w:rsidRPr="00E05889">
        <w:t>Implementation of Waivers in Approved Programs</w:t>
      </w:r>
      <w:bookmarkEnd w:id="23"/>
      <w:r w:rsidRPr="00E05889">
        <w:t xml:space="preserve"> </w:t>
      </w:r>
    </w:p>
    <w:p w14:paraId="727D8FF5" w14:textId="4E746066" w:rsidR="00E755C7" w:rsidRPr="003E2664" w:rsidRDefault="00E755C7" w:rsidP="005A1A36">
      <w:pPr>
        <w:rPr>
          <w:rFonts w:eastAsia="Calibri" w:cstheme="majorHAnsi"/>
        </w:rPr>
      </w:pPr>
      <w:r w:rsidRPr="003E2664">
        <w:rPr>
          <w:rFonts w:eastAsia="Calibri" w:cstheme="majorHAnsi"/>
        </w:rPr>
        <w:t xml:space="preserve">Based on the </w:t>
      </w:r>
      <w:hyperlink r:id="rId21">
        <w:r w:rsidRPr="003E2664">
          <w:rPr>
            <w:rStyle w:val="Hyperlink"/>
            <w:rFonts w:eastAsia="Calibri" w:cstheme="majorHAnsi"/>
          </w:rPr>
          <w:t>Regulations Governing Program Approval</w:t>
        </w:r>
      </w:hyperlink>
      <w:r w:rsidRPr="003E2664">
        <w:rPr>
          <w:rFonts w:eastAsia="Calibri" w:cstheme="majorHAnsi"/>
        </w:rPr>
        <w:t xml:space="preserve"> (603 CMR 7.03 (1) (b)), any time a candidate’s participation in a state-approved educator preparation program deviates from the design and/or requirements of the program submitted to and approved by DESE, documentation of a waiver is required. Waivers are designed to exempt individual candidates from certain requirements based on extenuating circumstances; they are not a mechanism for lowering the expectations required to complete an approved program. </w:t>
      </w:r>
      <w:r w:rsidR="001D6E05">
        <w:rPr>
          <w:rFonts w:eastAsia="Calibri" w:cstheme="majorHAnsi"/>
        </w:rPr>
        <w:t xml:space="preserve">A </w:t>
      </w:r>
      <w:r w:rsidRPr="003E2664">
        <w:rPr>
          <w:rFonts w:eastAsia="Calibri" w:cstheme="majorHAnsi"/>
        </w:rPr>
        <w:t xml:space="preserve">Sponsoring Organization may not design a program dependent upon a waiver. In each decision to issue a waiver, </w:t>
      </w:r>
      <w:r w:rsidR="001D6E05">
        <w:rPr>
          <w:rFonts w:eastAsia="Calibri" w:cstheme="majorHAnsi"/>
        </w:rPr>
        <w:t xml:space="preserve">a </w:t>
      </w:r>
      <w:r w:rsidRPr="003E2664">
        <w:rPr>
          <w:rFonts w:eastAsia="Calibri" w:cstheme="majorHAnsi"/>
        </w:rPr>
        <w:t>S</w:t>
      </w:r>
      <w:r w:rsidR="00916BF1" w:rsidRPr="003E2664">
        <w:rPr>
          <w:rFonts w:eastAsia="Calibri" w:cstheme="majorHAnsi"/>
        </w:rPr>
        <w:t xml:space="preserve">ponsoring </w:t>
      </w:r>
      <w:r w:rsidRPr="003E2664">
        <w:rPr>
          <w:rFonts w:eastAsia="Calibri" w:cstheme="majorHAnsi"/>
        </w:rPr>
        <w:t>O</w:t>
      </w:r>
      <w:r w:rsidR="00916BF1" w:rsidRPr="003E2664">
        <w:rPr>
          <w:rFonts w:eastAsia="Calibri" w:cstheme="majorHAnsi"/>
        </w:rPr>
        <w:t>rganization</w:t>
      </w:r>
      <w:r w:rsidRPr="003E2664">
        <w:rPr>
          <w:rFonts w:eastAsia="Calibri" w:cstheme="majorHAnsi"/>
        </w:rPr>
        <w:t xml:space="preserve"> must weigh the benefits of waiving a requirement against the value of that requirement in relation to ensuring that a candidate is ready to make a positive impact on PK-12 students in Massachusetts. </w:t>
      </w:r>
    </w:p>
    <w:p w14:paraId="657904FD" w14:textId="77777777" w:rsidR="00962098" w:rsidRPr="003E2664" w:rsidRDefault="00962098" w:rsidP="005A1A36">
      <w:pPr>
        <w:rPr>
          <w:rFonts w:eastAsia="Calibri" w:cstheme="majorHAnsi"/>
        </w:rPr>
      </w:pPr>
    </w:p>
    <w:p w14:paraId="56089F6A" w14:textId="557569FC" w:rsidR="00E755C7" w:rsidRPr="003E2664" w:rsidRDefault="00E755C7" w:rsidP="00753D44">
      <w:pPr>
        <w:rPr>
          <w:rFonts w:eastAsia="Calibri" w:cstheme="majorBidi"/>
        </w:rPr>
      </w:pPr>
      <w:r w:rsidRPr="09A59F87">
        <w:rPr>
          <w:rFonts w:eastAsia="Calibri" w:cstheme="majorBidi"/>
        </w:rPr>
        <w:t xml:space="preserve">When </w:t>
      </w:r>
      <w:r w:rsidR="009D44AB" w:rsidRPr="09A59F87">
        <w:rPr>
          <w:rFonts w:eastAsia="Calibri" w:cstheme="majorBidi"/>
        </w:rPr>
        <w:t>preparing candidates</w:t>
      </w:r>
      <w:r w:rsidRPr="09A59F87">
        <w:rPr>
          <w:rFonts w:eastAsia="Calibri" w:cstheme="majorBidi"/>
        </w:rPr>
        <w:t xml:space="preserve">, </w:t>
      </w:r>
      <w:r w:rsidR="001D6E05" w:rsidRPr="09A59F87">
        <w:rPr>
          <w:rFonts w:eastAsia="Calibri" w:cstheme="majorBidi"/>
        </w:rPr>
        <w:t xml:space="preserve">a </w:t>
      </w:r>
      <w:r w:rsidRPr="09A59F87">
        <w:rPr>
          <w:rFonts w:eastAsia="Calibri" w:cstheme="majorBidi"/>
        </w:rPr>
        <w:t xml:space="preserve">Sponsoring Organization </w:t>
      </w:r>
      <w:r w:rsidR="001D6E05" w:rsidRPr="09A59F87">
        <w:rPr>
          <w:rFonts w:eastAsia="Calibri" w:cstheme="majorBidi"/>
        </w:rPr>
        <w:t>has</w:t>
      </w:r>
      <w:r w:rsidRPr="09A59F87">
        <w:rPr>
          <w:rFonts w:eastAsia="Calibri" w:cstheme="majorBidi"/>
        </w:rPr>
        <w:t xml:space="preserve"> the authority to review </w:t>
      </w:r>
      <w:r w:rsidR="00013AE9" w:rsidRPr="09A59F87">
        <w:rPr>
          <w:rFonts w:eastAsia="Calibri" w:cstheme="majorBidi"/>
        </w:rPr>
        <w:t>each</w:t>
      </w:r>
      <w:r w:rsidRPr="09A59F87">
        <w:rPr>
          <w:rFonts w:eastAsia="Calibri" w:cstheme="majorBidi"/>
        </w:rPr>
        <w:t xml:space="preserve"> candidate’s prior coursework and/or work experience and waive otherwise required coursework and/or field-based experiences, including up to half of the practicum or practicum equivalent. Implementing an equitable policy for granting waivers is the official responsibility of the Sponsoring Organization. Records of candidates for whom coursework or other program requirements have been waived, including the rationale/justification that warrants the waiver, must be available for review by DESE.</w:t>
      </w:r>
    </w:p>
    <w:p w14:paraId="0944A73B" w14:textId="77777777" w:rsidR="00962098" w:rsidRPr="003E2664" w:rsidRDefault="00962098" w:rsidP="00753D44">
      <w:pPr>
        <w:rPr>
          <w:rFonts w:eastAsia="Calibri" w:cstheme="majorHAnsi"/>
        </w:rPr>
      </w:pPr>
    </w:p>
    <w:p w14:paraId="23D897A0" w14:textId="7E52DFDC" w:rsidR="00E755C7" w:rsidRPr="003E2664" w:rsidRDefault="00E755C7" w:rsidP="00753D44">
      <w:pPr>
        <w:rPr>
          <w:rFonts w:eastAsia="Calibri" w:cstheme="majorHAnsi"/>
        </w:rPr>
      </w:pPr>
      <w:r w:rsidRPr="003E2664">
        <w:rPr>
          <w:rFonts w:eastAsia="Calibri" w:cstheme="majorHAnsi"/>
        </w:rPr>
        <w:t xml:space="preserve">A Sponsoring Organization </w:t>
      </w:r>
      <w:r w:rsidR="00776B20" w:rsidRPr="003E2664">
        <w:rPr>
          <w:rFonts w:eastAsia="Calibri" w:cstheme="majorHAnsi"/>
        </w:rPr>
        <w:t>ha</w:t>
      </w:r>
      <w:r w:rsidR="00776B20">
        <w:rPr>
          <w:rFonts w:eastAsia="Calibri" w:cstheme="majorHAnsi"/>
        </w:rPr>
        <w:t>s</w:t>
      </w:r>
      <w:r w:rsidR="00776B20" w:rsidRPr="003E2664">
        <w:rPr>
          <w:rFonts w:eastAsia="Calibri" w:cstheme="majorHAnsi"/>
        </w:rPr>
        <w:t xml:space="preserve"> </w:t>
      </w:r>
      <w:r w:rsidRPr="003E2664">
        <w:rPr>
          <w:rFonts w:eastAsia="Calibri" w:cstheme="majorHAnsi"/>
        </w:rPr>
        <w:t xml:space="preserve">the authority to extend the following types of waivers, when appropriate for a specific candidate, based on a specific candidate’s experiences: </w:t>
      </w:r>
    </w:p>
    <w:p w14:paraId="3451F613" w14:textId="77777777" w:rsidR="00962098" w:rsidRPr="003E2664" w:rsidRDefault="00962098" w:rsidP="00753D44">
      <w:pPr>
        <w:rPr>
          <w:rFonts w:eastAsia="Calibri" w:cstheme="majorHAnsi"/>
        </w:rPr>
      </w:pPr>
    </w:p>
    <w:p w14:paraId="473DA11A" w14:textId="77777777" w:rsidR="00E755C7" w:rsidRPr="003E2664" w:rsidRDefault="00E755C7" w:rsidP="00014585">
      <w:pPr>
        <w:pStyle w:val="ListParagraph"/>
        <w:numPr>
          <w:ilvl w:val="0"/>
          <w:numId w:val="3"/>
        </w:numPr>
        <w:spacing w:after="160"/>
        <w:rPr>
          <w:rFonts w:cstheme="majorHAnsi"/>
        </w:rPr>
      </w:pPr>
      <w:r w:rsidRPr="003E2664">
        <w:rPr>
          <w:rFonts w:eastAsia="Calibri" w:cstheme="majorHAnsi"/>
        </w:rPr>
        <w:lastRenderedPageBreak/>
        <w:t xml:space="preserve">Individual Course Waivers </w:t>
      </w:r>
    </w:p>
    <w:p w14:paraId="225A4354" w14:textId="77777777" w:rsidR="00E755C7" w:rsidRPr="003E2664" w:rsidRDefault="00E755C7" w:rsidP="00014585">
      <w:pPr>
        <w:pStyle w:val="ListParagraph"/>
        <w:numPr>
          <w:ilvl w:val="0"/>
          <w:numId w:val="3"/>
        </w:numPr>
        <w:spacing w:after="160"/>
        <w:rPr>
          <w:rFonts w:cstheme="majorHAnsi"/>
        </w:rPr>
      </w:pPr>
      <w:r w:rsidRPr="003E2664">
        <w:rPr>
          <w:rFonts w:eastAsia="Calibri" w:cstheme="majorHAnsi"/>
        </w:rPr>
        <w:t xml:space="preserve">Pre-Practicum Waivers </w:t>
      </w:r>
    </w:p>
    <w:p w14:paraId="7BD5C208" w14:textId="77777777" w:rsidR="00E755C7" w:rsidRPr="003E2664" w:rsidRDefault="00E755C7" w:rsidP="00014585">
      <w:pPr>
        <w:pStyle w:val="ListParagraph"/>
        <w:numPr>
          <w:ilvl w:val="0"/>
          <w:numId w:val="3"/>
        </w:numPr>
        <w:spacing w:after="160"/>
        <w:rPr>
          <w:rFonts w:cstheme="majorHAnsi"/>
        </w:rPr>
      </w:pPr>
      <w:r w:rsidRPr="003E2664">
        <w:rPr>
          <w:rFonts w:eastAsia="Calibri" w:cstheme="majorHAnsi"/>
        </w:rPr>
        <w:t xml:space="preserve">Up to ½ Practicum/Practicum Equivalent Waivers </w:t>
      </w:r>
    </w:p>
    <w:p w14:paraId="5281A8E9" w14:textId="77777777" w:rsidR="00E755C7" w:rsidRPr="003E2664" w:rsidRDefault="00E755C7" w:rsidP="00014585">
      <w:pPr>
        <w:pStyle w:val="ListParagraph"/>
        <w:numPr>
          <w:ilvl w:val="0"/>
          <w:numId w:val="3"/>
        </w:numPr>
        <w:spacing w:after="160"/>
        <w:rPr>
          <w:rFonts w:cstheme="majorHAnsi"/>
        </w:rPr>
      </w:pPr>
      <w:r w:rsidRPr="003E2664">
        <w:rPr>
          <w:rFonts w:eastAsia="Calibri" w:cstheme="majorHAnsi"/>
        </w:rPr>
        <w:t xml:space="preserve">Practicum Setting requirements (with the exception of the use of the MA Curriculum Frameworks) </w:t>
      </w:r>
    </w:p>
    <w:p w14:paraId="5339E429" w14:textId="77777777" w:rsidR="00E755C7" w:rsidRPr="003E2664" w:rsidRDefault="00E755C7" w:rsidP="00014585">
      <w:pPr>
        <w:pStyle w:val="ListParagraph"/>
        <w:numPr>
          <w:ilvl w:val="0"/>
          <w:numId w:val="3"/>
        </w:numPr>
        <w:spacing w:after="160"/>
        <w:rPr>
          <w:rFonts w:cstheme="majorHAnsi"/>
        </w:rPr>
      </w:pPr>
      <w:r w:rsidRPr="003E2664">
        <w:rPr>
          <w:rFonts w:eastAsia="Calibri" w:cstheme="majorHAnsi"/>
        </w:rPr>
        <w:t>Supervising Practitioner requirements (appropriate license, years of experience, and/or educator evaluation rating)</w:t>
      </w:r>
    </w:p>
    <w:p w14:paraId="513DD17A" w14:textId="1EA38CA0" w:rsidR="00E05889" w:rsidRPr="003E2664" w:rsidRDefault="005D4B44" w:rsidP="005A1A36">
      <w:pPr>
        <w:rPr>
          <w:rFonts w:eastAsia="Calibri" w:cstheme="majorHAnsi"/>
        </w:rPr>
      </w:pPr>
      <w:r>
        <w:rPr>
          <w:rFonts w:eastAsia="Calibri" w:cstheme="majorHAnsi"/>
        </w:rPr>
        <w:t>A</w:t>
      </w:r>
      <w:r w:rsidR="00E755C7" w:rsidRPr="003E2664">
        <w:rPr>
          <w:rFonts w:eastAsia="Calibri" w:cstheme="majorHAnsi"/>
        </w:rPr>
        <w:t xml:space="preserve"> Sponsoring Organization must have a clearly written waiver policy that is equitably communicated and applied. Waiver policies </w:t>
      </w:r>
      <w:r w:rsidR="00E210DE" w:rsidRPr="003E2664">
        <w:rPr>
          <w:rFonts w:eastAsia="Calibri" w:cstheme="majorHAnsi"/>
        </w:rPr>
        <w:t>can</w:t>
      </w:r>
      <w:r w:rsidR="00E755C7" w:rsidRPr="003E2664">
        <w:rPr>
          <w:rFonts w:eastAsia="Calibri" w:cstheme="majorHAnsi"/>
        </w:rPr>
        <w:t>not allow broadly issued waivers; programs should limit waivers to exceptional cases. A Sponsoring Organization may choose to institute a no-waiver policy as its written policy. Written waiver policies must be available for review by DESE.</w:t>
      </w:r>
    </w:p>
    <w:p w14:paraId="63431731" w14:textId="77777777" w:rsidR="00E05889" w:rsidRDefault="00E05889">
      <w:pPr>
        <w:rPr>
          <w:rFonts w:eastAsia="Calibri" w:cstheme="majorHAnsi"/>
          <w:sz w:val="24"/>
          <w:szCs w:val="24"/>
        </w:rPr>
      </w:pPr>
      <w:r>
        <w:rPr>
          <w:rFonts w:eastAsia="Calibri" w:cstheme="majorHAnsi"/>
          <w:sz w:val="24"/>
          <w:szCs w:val="24"/>
        </w:rPr>
        <w:br w:type="page"/>
      </w:r>
    </w:p>
    <w:p w14:paraId="0AECF3B4" w14:textId="77777777" w:rsidR="006469B6" w:rsidRPr="00BA67B6" w:rsidRDefault="006469B6" w:rsidP="00BA67B6">
      <w:pPr>
        <w:pStyle w:val="Heading1"/>
      </w:pPr>
      <w:bookmarkStart w:id="24" w:name="_The_Partnerships_Domain"/>
      <w:bookmarkStart w:id="25" w:name="_Toc125575610"/>
      <w:bookmarkEnd w:id="24"/>
      <w:r w:rsidRPr="00BA67B6">
        <w:lastRenderedPageBreak/>
        <w:t>The Partnerships Domain</w:t>
      </w:r>
      <w:bookmarkEnd w:id="25"/>
    </w:p>
    <w:p w14:paraId="3F4DEDA6" w14:textId="2DD7BD5B" w:rsidR="006469B6" w:rsidRPr="00172042" w:rsidRDefault="006469B6" w:rsidP="00014585">
      <w:pPr>
        <w:spacing w:line="240" w:lineRule="auto"/>
        <w:rPr>
          <w:rFonts w:eastAsia="Calibri" w:cstheme="majorHAnsi"/>
          <w:b/>
          <w:bCs/>
          <w:i/>
          <w:iCs/>
        </w:rPr>
      </w:pPr>
      <w:r w:rsidRPr="00172042">
        <w:rPr>
          <w:rFonts w:eastAsia="Calibri" w:cstheme="majorHAnsi"/>
          <w:b/>
          <w:bCs/>
          <w:i/>
          <w:iCs/>
        </w:rPr>
        <w:t>All Sponsoring Organizations establish intentional and collaborative partnerships with PK-12 schools and districts that support strong pipelines and cultivate anti-racist and culturally and linguistically sustaining learning experiences for candidates and PK-12 students.</w:t>
      </w:r>
    </w:p>
    <w:p w14:paraId="5C34DC31" w14:textId="77777777" w:rsidR="00CC6078" w:rsidRPr="00172042" w:rsidRDefault="00CC6078" w:rsidP="006469B6">
      <w:pPr>
        <w:rPr>
          <w:rFonts w:eastAsia="Calibri" w:cstheme="majorHAnsi"/>
          <w:i/>
          <w:iCs/>
        </w:rPr>
      </w:pPr>
    </w:p>
    <w:p w14:paraId="2BA2C80E" w14:textId="48880E85" w:rsidR="006469B6" w:rsidRPr="00172042" w:rsidRDefault="006469B6" w:rsidP="005A1A36">
      <w:pPr>
        <w:rPr>
          <w:rFonts w:eastAsia="Calibri" w:cstheme="majorHAnsi"/>
        </w:rPr>
      </w:pPr>
      <w:r w:rsidRPr="00172042">
        <w:rPr>
          <w:rFonts w:eastAsia="Calibri" w:cstheme="majorHAnsi"/>
        </w:rPr>
        <w:t xml:space="preserve">Effective partnerships between school districts and </w:t>
      </w:r>
      <w:r w:rsidR="0018185B" w:rsidRPr="00172042">
        <w:rPr>
          <w:rFonts w:eastAsia="Calibri" w:cstheme="majorHAnsi"/>
        </w:rPr>
        <w:t xml:space="preserve">a </w:t>
      </w:r>
      <w:r w:rsidRPr="00172042">
        <w:rPr>
          <w:rFonts w:eastAsia="Calibri" w:cstheme="majorHAnsi"/>
        </w:rPr>
        <w:t>Sponsoring Organization can support the recruitment, preparation, and development of Massachusetts teachers in a manner that strengthens student learning and the long-term sustainability of the educator workforce.</w:t>
      </w:r>
    </w:p>
    <w:p w14:paraId="025D1ADB" w14:textId="77777777" w:rsidR="00CC6078" w:rsidRPr="00172042" w:rsidRDefault="00CC6078" w:rsidP="005A1A36">
      <w:pPr>
        <w:rPr>
          <w:rFonts w:eastAsia="Calibri" w:cstheme="majorHAnsi"/>
        </w:rPr>
      </w:pPr>
    </w:p>
    <w:p w14:paraId="1EE19741" w14:textId="161823F9" w:rsidR="006469B6" w:rsidRPr="00172042" w:rsidRDefault="008A64E6" w:rsidP="00753D44">
      <w:pPr>
        <w:rPr>
          <w:rFonts w:eastAsia="Calibri" w:cstheme="majorBidi"/>
        </w:rPr>
      </w:pPr>
      <w:r w:rsidRPr="5E5DEAB0">
        <w:rPr>
          <w:rFonts w:eastAsia="Calibri" w:cstheme="majorBidi"/>
        </w:rPr>
        <w:t>B</w:t>
      </w:r>
      <w:r w:rsidR="006469B6" w:rsidRPr="5E5DEAB0">
        <w:rPr>
          <w:rFonts w:eastAsia="Calibri" w:cstheme="majorBidi"/>
        </w:rPr>
        <w:t>uilding a strong educator workforce that meets the needs of its students is a shared responsibility of preparation providers, schools, and districts. High</w:t>
      </w:r>
      <w:r w:rsidR="5E7504A5" w:rsidRPr="5E5DEAB0">
        <w:rPr>
          <w:rFonts w:eastAsia="Calibri" w:cstheme="majorBidi"/>
        </w:rPr>
        <w:t>-</w:t>
      </w:r>
      <w:r w:rsidR="006469B6" w:rsidRPr="5E5DEAB0">
        <w:rPr>
          <w:rFonts w:eastAsia="Calibri" w:cstheme="majorBidi"/>
        </w:rPr>
        <w:t>quality partnerships between these organizations are those that are designed around the effective preparation and strategic recruitment, hiring, and ongoing development of Massachusetts educators in order to improve both student learning and the long-term sustainability of the educator pipeline.</w:t>
      </w:r>
      <w:r w:rsidR="006469B6" w:rsidRPr="5E5DEAB0">
        <w:rPr>
          <w:rStyle w:val="FootnoteReference"/>
          <w:rFonts w:eastAsia="Calibri" w:cstheme="majorBidi"/>
        </w:rPr>
        <w:footnoteReference w:id="7"/>
      </w:r>
      <w:r w:rsidR="006469B6" w:rsidRPr="5E5DEAB0">
        <w:rPr>
          <w:rFonts w:eastAsia="Calibri" w:cstheme="majorBidi"/>
        </w:rPr>
        <w:t xml:space="preserve"> Effective partnerships go beyond mere transactional relationships (i.e., field-based experience placements only) to mutually beneficial, institutionally sustainable relationships built upon open lines of communication, data sharing, and collaborative decision making, such that they remain consistently responsive to PK-12 district/school needs.</w:t>
      </w:r>
    </w:p>
    <w:p w14:paraId="38E8EE39" w14:textId="77777777" w:rsidR="00CC6078" w:rsidRPr="00172042" w:rsidRDefault="00CC6078" w:rsidP="00753D44">
      <w:pPr>
        <w:rPr>
          <w:rFonts w:eastAsiaTheme="minorEastAsia" w:cstheme="majorHAnsi"/>
          <w:color w:val="000000" w:themeColor="text1"/>
        </w:rPr>
      </w:pPr>
    </w:p>
    <w:p w14:paraId="4F746E1B" w14:textId="77777777" w:rsidR="006469B6" w:rsidRPr="00172042" w:rsidRDefault="006469B6" w:rsidP="00753D44">
      <w:pPr>
        <w:rPr>
          <w:rFonts w:eastAsia="Calibri" w:cstheme="majorHAnsi"/>
        </w:rPr>
      </w:pPr>
      <w:r w:rsidRPr="00172042">
        <w:rPr>
          <w:rFonts w:eastAsia="Calibri" w:cstheme="majorHAnsi"/>
        </w:rPr>
        <w:t>Furthermore, strong partnerships are essential for building an anti-racist and culturally and linguistically sustaining educator workforce. In order to gain skills in anti-racist teaching and culturally and linguistically sustaining practices, even the best classroom teaching about theoretical frameworks of these topics will be insufficient for day one readiness. Candidates must have in-person opportunities through their field-based experiences to observe and practice these skills. School districts and Sponsoring Organizations should collaborate in order to create these opportunities.</w:t>
      </w:r>
    </w:p>
    <w:p w14:paraId="667BB892" w14:textId="1FE5725B" w:rsidR="00CC6078" w:rsidRPr="00172042" w:rsidRDefault="00CC6078" w:rsidP="00753D44">
      <w:pPr>
        <w:rPr>
          <w:rFonts w:eastAsia="Calibri" w:cstheme="majorHAnsi"/>
        </w:rPr>
      </w:pPr>
    </w:p>
    <w:p w14:paraId="5D5A104B" w14:textId="26A1E294" w:rsidR="006469B6" w:rsidRPr="00172042" w:rsidRDefault="006469B6" w:rsidP="00753D44">
      <w:pPr>
        <w:rPr>
          <w:rFonts w:eastAsia="Calibri" w:cstheme="majorHAnsi"/>
        </w:rPr>
      </w:pPr>
      <w:r w:rsidRPr="00172042">
        <w:rPr>
          <w:rFonts w:eastAsia="Calibri" w:cstheme="majorHAnsi"/>
        </w:rPr>
        <w:t xml:space="preserve">A collaborative partnership that meets the expectations of these Guidelines is mutually beneficial. Examples of ways in which </w:t>
      </w:r>
      <w:r w:rsidR="00937326" w:rsidRPr="00172042">
        <w:rPr>
          <w:rFonts w:eastAsia="Calibri" w:cstheme="majorHAnsi"/>
        </w:rPr>
        <w:t>a</w:t>
      </w:r>
      <w:r w:rsidRPr="00172042">
        <w:rPr>
          <w:rFonts w:eastAsia="Calibri" w:cstheme="majorHAnsi"/>
        </w:rPr>
        <w:t xml:space="preserve"> Sponsoring Organization meet</w:t>
      </w:r>
      <w:r w:rsidR="00937326" w:rsidRPr="00172042">
        <w:rPr>
          <w:rFonts w:eastAsia="Calibri" w:cstheme="majorHAnsi"/>
        </w:rPr>
        <w:t>s</w:t>
      </w:r>
      <w:r w:rsidRPr="00172042">
        <w:rPr>
          <w:rFonts w:eastAsia="Calibri" w:cstheme="majorHAnsi"/>
        </w:rPr>
        <w:t xml:space="preserve"> the needs of schools/districts </w:t>
      </w:r>
      <w:r w:rsidR="003F43CF" w:rsidRPr="00172042">
        <w:rPr>
          <w:rFonts w:eastAsia="Calibri" w:cstheme="majorHAnsi"/>
        </w:rPr>
        <w:t xml:space="preserve">could </w:t>
      </w:r>
      <w:r w:rsidRPr="00172042">
        <w:rPr>
          <w:rFonts w:eastAsia="Calibri" w:cstheme="majorHAnsi"/>
        </w:rPr>
        <w:t>include:</w:t>
      </w:r>
    </w:p>
    <w:p w14:paraId="39711937" w14:textId="77777777" w:rsidR="00CC6078" w:rsidRPr="00172042" w:rsidRDefault="00CC6078" w:rsidP="00753D44">
      <w:pPr>
        <w:rPr>
          <w:rFonts w:eastAsia="Calibri" w:cstheme="majorHAnsi"/>
        </w:rPr>
      </w:pPr>
    </w:p>
    <w:p w14:paraId="632FEC1A" w14:textId="77777777" w:rsidR="006469B6" w:rsidRPr="00172042" w:rsidRDefault="006469B6" w:rsidP="00172042">
      <w:pPr>
        <w:pStyle w:val="ListParagraph"/>
        <w:numPr>
          <w:ilvl w:val="0"/>
          <w:numId w:val="6"/>
        </w:numPr>
        <w:spacing w:after="160"/>
        <w:rPr>
          <w:rFonts w:cstheme="majorHAnsi"/>
        </w:rPr>
      </w:pPr>
      <w:r w:rsidRPr="00172042">
        <w:rPr>
          <w:rFonts w:eastAsia="Calibri" w:cstheme="majorHAnsi"/>
        </w:rPr>
        <w:lastRenderedPageBreak/>
        <w:t>Creating a new program or pathway to meet a district hiring need and diversify the district hiring pipeline (e.g., paraeducator pathways to licensure, pathways for current educators to advance their license or earn an additional license, etc.)</w:t>
      </w:r>
    </w:p>
    <w:p w14:paraId="4081A000" w14:textId="77777777" w:rsidR="006469B6" w:rsidRPr="003E2664" w:rsidRDefault="006469B6" w:rsidP="00AC72D4">
      <w:pPr>
        <w:pStyle w:val="ListParagraph"/>
        <w:numPr>
          <w:ilvl w:val="0"/>
          <w:numId w:val="6"/>
        </w:numPr>
        <w:spacing w:after="160"/>
        <w:rPr>
          <w:rFonts w:eastAsiaTheme="minorEastAsia" w:cstheme="majorHAnsi"/>
        </w:rPr>
      </w:pPr>
      <w:r w:rsidRPr="003E2664">
        <w:rPr>
          <w:rFonts w:eastAsia="Calibri" w:cstheme="majorHAnsi"/>
        </w:rPr>
        <w:t>Collaboratively designing coursework or field-based experiences in order to fulfill the unique needs of the district (e.g., onsite coursework, supporting field-based experiences to align with the school or district calendar, etc.)</w:t>
      </w:r>
    </w:p>
    <w:p w14:paraId="47E3F1D2" w14:textId="77777777" w:rsidR="006469B6" w:rsidRPr="003E2664" w:rsidRDefault="006469B6" w:rsidP="00AC72D4">
      <w:pPr>
        <w:pStyle w:val="ListParagraph"/>
        <w:numPr>
          <w:ilvl w:val="0"/>
          <w:numId w:val="6"/>
        </w:numPr>
        <w:spacing w:after="160"/>
        <w:rPr>
          <w:rFonts w:cstheme="majorHAnsi"/>
        </w:rPr>
      </w:pPr>
      <w:r w:rsidRPr="003E2664">
        <w:rPr>
          <w:rFonts w:eastAsia="Calibri" w:cstheme="majorHAnsi"/>
        </w:rPr>
        <w:t>Providing professional development based on needs reported by the district</w:t>
      </w:r>
    </w:p>
    <w:p w14:paraId="0EC0EC9E" w14:textId="77777777" w:rsidR="006469B6" w:rsidRPr="003E2664" w:rsidRDefault="006469B6" w:rsidP="00AC72D4">
      <w:pPr>
        <w:pStyle w:val="ListParagraph"/>
        <w:numPr>
          <w:ilvl w:val="0"/>
          <w:numId w:val="6"/>
        </w:numPr>
        <w:spacing w:after="160"/>
        <w:rPr>
          <w:rFonts w:cstheme="majorHAnsi"/>
        </w:rPr>
      </w:pPr>
      <w:r w:rsidRPr="003E2664">
        <w:rPr>
          <w:rFonts w:eastAsia="Calibri" w:cstheme="majorHAnsi"/>
        </w:rPr>
        <w:t>Collaboratively identifying and selecting candidates for programs to address local pipeline needs (e.g., high school to licensure pathways, etc.)</w:t>
      </w:r>
    </w:p>
    <w:p w14:paraId="1A422F62" w14:textId="77777777" w:rsidR="006469B6" w:rsidRPr="003E2664" w:rsidRDefault="006469B6" w:rsidP="00AC72D4">
      <w:pPr>
        <w:pStyle w:val="ListParagraph"/>
        <w:numPr>
          <w:ilvl w:val="0"/>
          <w:numId w:val="6"/>
        </w:numPr>
        <w:spacing w:after="160"/>
        <w:rPr>
          <w:rFonts w:cstheme="majorHAnsi"/>
        </w:rPr>
      </w:pPr>
      <w:r w:rsidRPr="003E2664">
        <w:rPr>
          <w:rFonts w:eastAsia="Calibri" w:cstheme="majorHAnsi"/>
        </w:rPr>
        <w:t>Providing opportunities for exemplary PK-12 educators to teach in preparation programs</w:t>
      </w:r>
    </w:p>
    <w:p w14:paraId="78208F1A" w14:textId="552B9B8C" w:rsidR="006469B6" w:rsidRPr="003E2664" w:rsidRDefault="006469B6" w:rsidP="00AC72D4">
      <w:pPr>
        <w:pStyle w:val="ListParagraph"/>
        <w:numPr>
          <w:ilvl w:val="0"/>
          <w:numId w:val="6"/>
        </w:numPr>
        <w:spacing w:after="160"/>
        <w:rPr>
          <w:rFonts w:cstheme="majorBidi"/>
        </w:rPr>
      </w:pPr>
      <w:r w:rsidRPr="5E5DEAB0">
        <w:rPr>
          <w:rFonts w:eastAsia="Calibri" w:cstheme="majorBidi"/>
        </w:rPr>
        <w:t>Providing feedback to the district if/when the district does not fulfill the expectations for high</w:t>
      </w:r>
      <w:r w:rsidR="6E1ABE92" w:rsidRPr="5E5DEAB0">
        <w:rPr>
          <w:rFonts w:eastAsia="Calibri" w:cstheme="majorBidi"/>
        </w:rPr>
        <w:t>-</w:t>
      </w:r>
      <w:r w:rsidRPr="5E5DEAB0">
        <w:rPr>
          <w:rFonts w:eastAsia="Calibri" w:cstheme="majorBidi"/>
        </w:rPr>
        <w:t>quality placements and providing opportunities for growth</w:t>
      </w:r>
    </w:p>
    <w:p w14:paraId="141EC3BF" w14:textId="2BD63C96" w:rsidR="006469B6" w:rsidRPr="003E2664" w:rsidRDefault="006469B6" w:rsidP="005A1A36">
      <w:pPr>
        <w:rPr>
          <w:rFonts w:eastAsia="Calibri" w:cstheme="majorHAnsi"/>
        </w:rPr>
      </w:pPr>
      <w:r w:rsidRPr="003E2664">
        <w:rPr>
          <w:rFonts w:eastAsia="Calibri" w:cstheme="majorHAnsi"/>
        </w:rPr>
        <w:t xml:space="preserve">Examples of ways in which </w:t>
      </w:r>
      <w:r w:rsidR="00EC5BB5" w:rsidRPr="003E2664">
        <w:rPr>
          <w:rFonts w:eastAsia="Calibri" w:cstheme="majorHAnsi"/>
        </w:rPr>
        <w:t>schools</w:t>
      </w:r>
      <w:r w:rsidR="00116112" w:rsidRPr="003E2664">
        <w:rPr>
          <w:rFonts w:eastAsia="Calibri" w:cstheme="majorHAnsi"/>
        </w:rPr>
        <w:t>/</w:t>
      </w:r>
      <w:r w:rsidRPr="003E2664">
        <w:rPr>
          <w:rFonts w:eastAsia="Calibri" w:cstheme="majorHAnsi"/>
        </w:rPr>
        <w:t xml:space="preserve">districts might support Sponsoring Organizations </w:t>
      </w:r>
      <w:r w:rsidR="003F43CF" w:rsidRPr="003E2664">
        <w:rPr>
          <w:rFonts w:eastAsia="Calibri" w:cstheme="majorHAnsi"/>
        </w:rPr>
        <w:t xml:space="preserve">could </w:t>
      </w:r>
      <w:r w:rsidRPr="003E2664">
        <w:rPr>
          <w:rFonts w:eastAsia="Calibri" w:cstheme="majorHAnsi"/>
        </w:rPr>
        <w:t>include:</w:t>
      </w:r>
    </w:p>
    <w:p w14:paraId="7B482E0E" w14:textId="77777777" w:rsidR="006469B6" w:rsidRPr="003E2664" w:rsidRDefault="006469B6" w:rsidP="00AC72D4">
      <w:pPr>
        <w:pStyle w:val="ListParagraph"/>
        <w:numPr>
          <w:ilvl w:val="0"/>
          <w:numId w:val="5"/>
        </w:numPr>
        <w:spacing w:after="160"/>
        <w:rPr>
          <w:rFonts w:cstheme="majorHAnsi"/>
        </w:rPr>
      </w:pPr>
      <w:r w:rsidRPr="003E2664">
        <w:rPr>
          <w:rFonts w:eastAsia="Calibri" w:cstheme="majorHAnsi"/>
        </w:rPr>
        <w:t>Consistently and openly sharing data, such as: number and type of district employment openings or data addressing completers’ impact on PK-12 students</w:t>
      </w:r>
    </w:p>
    <w:p w14:paraId="14AFBE6C" w14:textId="7837ABB9" w:rsidR="006469B6" w:rsidRPr="003E2664" w:rsidRDefault="006469B6" w:rsidP="00AC72D4">
      <w:pPr>
        <w:pStyle w:val="ListParagraph"/>
        <w:numPr>
          <w:ilvl w:val="0"/>
          <w:numId w:val="5"/>
        </w:numPr>
        <w:spacing w:after="160"/>
        <w:rPr>
          <w:rFonts w:cstheme="majorHAnsi"/>
        </w:rPr>
      </w:pPr>
      <w:r w:rsidRPr="003E2664">
        <w:rPr>
          <w:rFonts w:eastAsia="Calibri" w:cstheme="majorHAnsi"/>
        </w:rPr>
        <w:t>Identifying and supporting effective Supervising Practitioners and/or host teachers</w:t>
      </w:r>
      <w:r w:rsidR="00C44CC7" w:rsidRPr="003E2664">
        <w:rPr>
          <w:rFonts w:eastAsia="Calibri" w:cstheme="majorHAnsi"/>
        </w:rPr>
        <w:t xml:space="preserve">, and </w:t>
      </w:r>
      <w:r w:rsidR="008E7876" w:rsidRPr="003E2664">
        <w:rPr>
          <w:rFonts w:eastAsia="Calibri" w:cstheme="majorHAnsi"/>
        </w:rPr>
        <w:t xml:space="preserve">collaborating on </w:t>
      </w:r>
      <w:r w:rsidR="003F43CF" w:rsidRPr="003E2664">
        <w:rPr>
          <w:rFonts w:eastAsia="Calibri" w:cstheme="majorHAnsi"/>
        </w:rPr>
        <w:t>placement decisions</w:t>
      </w:r>
    </w:p>
    <w:p w14:paraId="35290004" w14:textId="77777777" w:rsidR="006469B6" w:rsidRPr="003E2664" w:rsidRDefault="006469B6" w:rsidP="00AC72D4">
      <w:pPr>
        <w:pStyle w:val="ListParagraph"/>
        <w:numPr>
          <w:ilvl w:val="0"/>
          <w:numId w:val="5"/>
        </w:numPr>
        <w:spacing w:after="160"/>
        <w:rPr>
          <w:rFonts w:cstheme="majorHAnsi"/>
        </w:rPr>
      </w:pPr>
      <w:r w:rsidRPr="003E2664">
        <w:rPr>
          <w:rFonts w:eastAsia="Calibri" w:cstheme="majorHAnsi"/>
        </w:rPr>
        <w:t>Integrating practicum candidates into the life of the school; providing opportunities such as attending curriculum nights, professional development, and participating in parent/teacher conferences</w:t>
      </w:r>
    </w:p>
    <w:p w14:paraId="517BDD3D" w14:textId="2B7E0E93" w:rsidR="00CC6078" w:rsidRPr="003E2664" w:rsidRDefault="006469B6" w:rsidP="005A1A36">
      <w:pPr>
        <w:rPr>
          <w:rFonts w:eastAsia="Calibri" w:cstheme="majorHAnsi"/>
        </w:rPr>
      </w:pPr>
      <w:r w:rsidRPr="003E2664">
        <w:rPr>
          <w:rFonts w:eastAsia="Calibri" w:cstheme="majorHAnsi"/>
        </w:rPr>
        <w:t xml:space="preserve">The above does not represent a comprehensive list, but rather aims to describe some ways that </w:t>
      </w:r>
      <w:r w:rsidR="00843100">
        <w:rPr>
          <w:rFonts w:eastAsia="Calibri" w:cstheme="majorHAnsi"/>
        </w:rPr>
        <w:t xml:space="preserve">a </w:t>
      </w:r>
      <w:r w:rsidRPr="003E2664">
        <w:rPr>
          <w:rFonts w:eastAsia="Calibri" w:cstheme="majorHAnsi"/>
        </w:rPr>
        <w:t xml:space="preserve">Sponsoring Organization and </w:t>
      </w:r>
      <w:r w:rsidR="00843100">
        <w:rPr>
          <w:rFonts w:eastAsia="Calibri" w:cstheme="majorHAnsi"/>
        </w:rPr>
        <w:t xml:space="preserve">partner </w:t>
      </w:r>
      <w:r w:rsidRPr="003E2664">
        <w:rPr>
          <w:rFonts w:eastAsia="Calibri" w:cstheme="majorHAnsi"/>
        </w:rPr>
        <w:t>school</w:t>
      </w:r>
      <w:r w:rsidR="00A546E8">
        <w:rPr>
          <w:rFonts w:eastAsia="Calibri" w:cstheme="majorHAnsi"/>
        </w:rPr>
        <w:t>s/</w:t>
      </w:r>
      <w:r w:rsidRPr="003E2664">
        <w:rPr>
          <w:rFonts w:eastAsia="Calibri" w:cstheme="majorHAnsi"/>
        </w:rPr>
        <w:t>district</w:t>
      </w:r>
      <w:r w:rsidR="00843100">
        <w:rPr>
          <w:rFonts w:eastAsia="Calibri" w:cstheme="majorHAnsi"/>
        </w:rPr>
        <w:t>(</w:t>
      </w:r>
      <w:r w:rsidRPr="003E2664">
        <w:rPr>
          <w:rFonts w:eastAsia="Calibri" w:cstheme="majorHAnsi"/>
        </w:rPr>
        <w:t>s</w:t>
      </w:r>
      <w:r w:rsidR="00843100">
        <w:rPr>
          <w:rFonts w:eastAsia="Calibri" w:cstheme="majorHAnsi"/>
        </w:rPr>
        <w:t>)</w:t>
      </w:r>
      <w:r w:rsidRPr="003E2664">
        <w:rPr>
          <w:rFonts w:eastAsia="Calibri" w:cstheme="majorHAnsi"/>
        </w:rPr>
        <w:t xml:space="preserve"> may consider collaborating </w:t>
      </w:r>
      <w:r w:rsidR="003F43CF" w:rsidRPr="003E2664">
        <w:rPr>
          <w:rFonts w:eastAsia="Calibri" w:cstheme="majorHAnsi"/>
        </w:rPr>
        <w:t>to</w:t>
      </w:r>
      <w:r w:rsidRPr="003E2664">
        <w:rPr>
          <w:rFonts w:eastAsia="Calibri" w:cstheme="majorHAnsi"/>
        </w:rPr>
        <w:t xml:space="preserve"> meet the expectations of the Guidelines and improve learning experiences for candidates and PK-12 students.</w:t>
      </w:r>
      <w:r w:rsidRPr="003E2664" w:rsidDel="00C7102B">
        <w:rPr>
          <w:rFonts w:eastAsia="Calibri" w:cstheme="majorHAnsi"/>
        </w:rPr>
        <w:t xml:space="preserve"> </w:t>
      </w:r>
    </w:p>
    <w:p w14:paraId="6C1645C4" w14:textId="198A7152" w:rsidR="006469B6" w:rsidRPr="00E05889" w:rsidRDefault="005D58A7" w:rsidP="00EF59DB">
      <w:pPr>
        <w:pStyle w:val="Heading2"/>
      </w:pPr>
      <w:bookmarkStart w:id="26" w:name="_Toc125547315"/>
      <w:bookmarkStart w:id="27" w:name="_Toc125574767"/>
      <w:bookmarkStart w:id="28" w:name="_Toc125575611"/>
      <w:r w:rsidRPr="00E05889">
        <w:t>Supporting</w:t>
      </w:r>
      <w:r w:rsidR="006469B6" w:rsidRPr="00E05889">
        <w:t xml:space="preserve"> Alignment and Coherence </w:t>
      </w:r>
      <w:r w:rsidR="00163425" w:rsidRPr="00E05889">
        <w:t xml:space="preserve">for </w:t>
      </w:r>
      <w:r w:rsidR="000B1C71" w:rsidRPr="00E05889">
        <w:t>PK-12 and Educator Preparation</w:t>
      </w:r>
      <w:bookmarkEnd w:id="26"/>
      <w:bookmarkEnd w:id="27"/>
      <w:bookmarkEnd w:id="28"/>
    </w:p>
    <w:p w14:paraId="2D7F6638" w14:textId="77777777" w:rsidR="006469B6" w:rsidRPr="00753D44" w:rsidRDefault="006469B6" w:rsidP="005A1A36">
      <w:pPr>
        <w:rPr>
          <w:rFonts w:eastAsia="Calibri" w:cstheme="majorHAnsi"/>
        </w:rPr>
      </w:pPr>
      <w:r w:rsidRPr="005A1A36">
        <w:rPr>
          <w:rFonts w:eastAsia="Calibri" w:cstheme="majorHAnsi"/>
        </w:rPr>
        <w:t>DESE has made a concerted effort to align expectations and initiatives that center anti-racist practices</w:t>
      </w:r>
      <w:r w:rsidRPr="005A1A36" w:rsidDel="00796DEA">
        <w:rPr>
          <w:rFonts w:eastAsia="Calibri" w:cstheme="majorHAnsi"/>
        </w:rPr>
        <w:t xml:space="preserve"> </w:t>
      </w:r>
      <w:r w:rsidRPr="005A1A36">
        <w:rPr>
          <w:rFonts w:eastAsia="Calibri" w:cstheme="majorHAnsi"/>
        </w:rPr>
        <w:t>to enable streamlined adoption for schools/districts and Sponsoring Organizations. The list below reflects these effo</w:t>
      </w:r>
      <w:r w:rsidRPr="00753D44">
        <w:rPr>
          <w:rFonts w:eastAsia="Calibri" w:cstheme="majorHAnsi"/>
        </w:rPr>
        <w:t>rts and should serve as a foundation upon which to build strong, coherent partnerships:</w:t>
      </w:r>
    </w:p>
    <w:p w14:paraId="1665E555" w14:textId="77777777" w:rsidR="0074463C" w:rsidRPr="00753D44" w:rsidRDefault="0074463C" w:rsidP="005A1A36">
      <w:pPr>
        <w:rPr>
          <w:rFonts w:eastAsia="Calibri" w:cstheme="majorHAnsi"/>
        </w:rPr>
      </w:pPr>
    </w:p>
    <w:p w14:paraId="0B8134A9" w14:textId="4283FF36" w:rsidR="006469B6" w:rsidRPr="005A1A36" w:rsidRDefault="006469B6" w:rsidP="00AC72D4">
      <w:pPr>
        <w:pStyle w:val="ListParagraph"/>
        <w:numPr>
          <w:ilvl w:val="0"/>
          <w:numId w:val="7"/>
        </w:numPr>
        <w:spacing w:after="160"/>
        <w:rPr>
          <w:rFonts w:cstheme="majorHAnsi"/>
        </w:rPr>
      </w:pPr>
      <w:r w:rsidRPr="00753D44">
        <w:rPr>
          <w:rFonts w:eastAsia="Calibri" w:cstheme="majorHAnsi"/>
          <w:b/>
        </w:rPr>
        <w:t>Content Knowledge:</w:t>
      </w:r>
      <w:r w:rsidRPr="00753D44">
        <w:rPr>
          <w:rFonts w:eastAsia="Calibri" w:cstheme="majorHAnsi"/>
        </w:rPr>
        <w:t xml:space="preserve"> Alignment of </w:t>
      </w:r>
      <w:hyperlink r:id="rId22" w:history="1">
        <w:r w:rsidRPr="005A1A36">
          <w:rPr>
            <w:rStyle w:val="Hyperlink"/>
            <w:rFonts w:eastAsia="Calibri" w:cstheme="majorHAnsi"/>
          </w:rPr>
          <w:t>Subject Matter Knowledge (SMK) Guidelines</w:t>
        </w:r>
      </w:hyperlink>
      <w:r w:rsidRPr="005A1A36">
        <w:rPr>
          <w:rFonts w:eastAsia="Calibri" w:cstheme="majorHAnsi"/>
        </w:rPr>
        <w:t xml:space="preserve"> and </w:t>
      </w:r>
      <w:hyperlink r:id="rId23" w:history="1">
        <w:r w:rsidRPr="005A1A36">
          <w:rPr>
            <w:rStyle w:val="Hyperlink"/>
            <w:rFonts w:eastAsia="Calibri" w:cstheme="majorHAnsi"/>
          </w:rPr>
          <w:t>MA Curriculum Frameworks</w:t>
        </w:r>
      </w:hyperlink>
    </w:p>
    <w:p w14:paraId="76CDE15A" w14:textId="103937F5" w:rsidR="006469B6" w:rsidRPr="005A1A36" w:rsidRDefault="006469B6" w:rsidP="00AC72D4">
      <w:pPr>
        <w:pStyle w:val="ListParagraph"/>
        <w:numPr>
          <w:ilvl w:val="0"/>
          <w:numId w:val="7"/>
        </w:numPr>
        <w:spacing w:after="160"/>
        <w:rPr>
          <w:rFonts w:cstheme="majorHAnsi"/>
        </w:rPr>
      </w:pPr>
      <w:r w:rsidRPr="005A1A36">
        <w:rPr>
          <w:rFonts w:eastAsia="Calibri" w:cstheme="majorHAnsi"/>
          <w:b/>
          <w:bCs/>
        </w:rPr>
        <w:t>School and District Leadership Practices:</w:t>
      </w:r>
      <w:r w:rsidRPr="005A1A36">
        <w:rPr>
          <w:rFonts w:eastAsia="Calibri" w:cstheme="majorHAnsi"/>
        </w:rPr>
        <w:t xml:space="preserve"> Alignment of </w:t>
      </w:r>
      <w:hyperlink r:id="rId24" w:history="1">
        <w:r w:rsidRPr="005A1A36">
          <w:rPr>
            <w:rStyle w:val="Hyperlink"/>
            <w:rFonts w:eastAsia="Calibri" w:cstheme="majorHAnsi"/>
          </w:rPr>
          <w:t>Guidelines for the Preparation of Administrative Leaders</w:t>
        </w:r>
      </w:hyperlink>
      <w:r w:rsidRPr="005A1A36">
        <w:rPr>
          <w:rFonts w:eastAsia="Calibri" w:cstheme="majorHAnsi"/>
        </w:rPr>
        <w:t xml:space="preserve">, the </w:t>
      </w:r>
      <w:hyperlink r:id="rId25" w:history="1">
        <w:r w:rsidRPr="005A1A36">
          <w:rPr>
            <w:rStyle w:val="Hyperlink"/>
            <w:rFonts w:eastAsia="Calibri" w:cstheme="majorHAnsi"/>
          </w:rPr>
          <w:t>Model Principal Induction &amp; Mentoring Handbook</w:t>
        </w:r>
      </w:hyperlink>
      <w:r w:rsidRPr="005A1A36">
        <w:rPr>
          <w:rFonts w:eastAsia="Calibri" w:cstheme="majorHAnsi"/>
        </w:rPr>
        <w:t xml:space="preserve">, and the </w:t>
      </w:r>
      <w:hyperlink r:id="rId26" w:history="1">
        <w:r w:rsidRPr="005A1A36">
          <w:rPr>
            <w:rStyle w:val="Hyperlink"/>
            <w:rFonts w:eastAsia="Calibri" w:cstheme="majorHAnsi"/>
          </w:rPr>
          <w:t>Model Administrator Educator Evaluation Rubric</w:t>
        </w:r>
      </w:hyperlink>
    </w:p>
    <w:p w14:paraId="534B2F1B" w14:textId="56FD20A9" w:rsidR="006469B6" w:rsidRPr="005A1A36" w:rsidRDefault="006469B6" w:rsidP="00AC72D4">
      <w:pPr>
        <w:pStyle w:val="ListParagraph"/>
        <w:numPr>
          <w:ilvl w:val="0"/>
          <w:numId w:val="7"/>
        </w:numPr>
        <w:spacing w:after="160"/>
        <w:rPr>
          <w:rFonts w:cstheme="majorHAnsi"/>
        </w:rPr>
      </w:pPr>
      <w:r w:rsidRPr="005A1A36">
        <w:rPr>
          <w:rFonts w:eastAsia="Calibri" w:cstheme="majorHAnsi"/>
          <w:b/>
          <w:bCs/>
        </w:rPr>
        <w:lastRenderedPageBreak/>
        <w:t>Pedagogical Skills:</w:t>
      </w:r>
      <w:r w:rsidRPr="005A1A36">
        <w:rPr>
          <w:rFonts w:eastAsia="Calibri" w:cstheme="majorHAnsi"/>
        </w:rPr>
        <w:t xml:space="preserve"> Alignment of </w:t>
      </w:r>
      <w:hyperlink r:id="rId27" w:history="1">
        <w:r w:rsidRPr="005A1A36">
          <w:rPr>
            <w:rStyle w:val="Hyperlink"/>
            <w:rFonts w:eastAsia="Calibri" w:cstheme="majorHAnsi"/>
          </w:rPr>
          <w:t>Model Educator Evaluation Rubrics for Teachers and Leaders</w:t>
        </w:r>
      </w:hyperlink>
      <w:r w:rsidRPr="005A1A36">
        <w:rPr>
          <w:rFonts w:eastAsia="Calibri" w:cstheme="majorHAnsi"/>
        </w:rPr>
        <w:t xml:space="preserve"> and the preparation standards articulated in the </w:t>
      </w:r>
      <w:hyperlink r:id="rId28" w:history="1">
        <w:r w:rsidRPr="005A1A36">
          <w:rPr>
            <w:rStyle w:val="Hyperlink"/>
            <w:rFonts w:eastAsia="Calibri" w:cstheme="majorHAnsi"/>
          </w:rPr>
          <w:t>Professional Standards for Teachers</w:t>
        </w:r>
      </w:hyperlink>
      <w:r w:rsidRPr="005A1A36">
        <w:rPr>
          <w:rStyle w:val="FootnoteReference"/>
          <w:rFonts w:eastAsia="Calibri" w:cstheme="majorHAnsi"/>
        </w:rPr>
        <w:footnoteReference w:id="8"/>
      </w:r>
      <w:r w:rsidRPr="005A1A36">
        <w:rPr>
          <w:rFonts w:eastAsia="Calibri" w:cstheme="majorHAnsi"/>
        </w:rPr>
        <w:t xml:space="preserve">  and the </w:t>
      </w:r>
      <w:hyperlink r:id="rId29" w:history="1">
        <w:r w:rsidRPr="005A1A36">
          <w:rPr>
            <w:rStyle w:val="Hyperlink"/>
            <w:rFonts w:eastAsia="Calibri" w:cstheme="majorHAnsi"/>
          </w:rPr>
          <w:t>Professional Standards for Administrative Leadership</w:t>
        </w:r>
      </w:hyperlink>
    </w:p>
    <w:p w14:paraId="065B10EE" w14:textId="17EA3095" w:rsidR="006469B6" w:rsidRPr="005A1A36" w:rsidRDefault="006469B6" w:rsidP="00AC72D4">
      <w:pPr>
        <w:pStyle w:val="ListParagraph"/>
        <w:numPr>
          <w:ilvl w:val="0"/>
          <w:numId w:val="7"/>
        </w:numPr>
        <w:spacing w:after="160"/>
        <w:rPr>
          <w:rFonts w:cstheme="majorBidi"/>
        </w:rPr>
      </w:pPr>
      <w:r w:rsidRPr="5084AB28">
        <w:rPr>
          <w:rFonts w:eastAsia="Calibri" w:cstheme="majorBidi"/>
          <w:b/>
        </w:rPr>
        <w:t>Evaluation, Feedback, and Goal</w:t>
      </w:r>
      <w:r w:rsidR="532D32CF" w:rsidRPr="1858978C">
        <w:rPr>
          <w:rFonts w:eastAsia="Calibri" w:cstheme="majorBidi"/>
          <w:b/>
          <w:bCs/>
        </w:rPr>
        <w:t xml:space="preserve"> </w:t>
      </w:r>
      <w:r w:rsidRPr="5084AB28">
        <w:rPr>
          <w:rFonts w:eastAsia="Calibri" w:cstheme="majorBidi"/>
          <w:b/>
        </w:rPr>
        <w:t>Setting:</w:t>
      </w:r>
      <w:r w:rsidRPr="5084AB28">
        <w:rPr>
          <w:rFonts w:cstheme="majorBidi"/>
          <w:b/>
        </w:rPr>
        <w:t xml:space="preserve"> </w:t>
      </w:r>
      <w:r w:rsidRPr="5084AB28">
        <w:rPr>
          <w:rFonts w:cstheme="majorBidi"/>
        </w:rPr>
        <w:t xml:space="preserve">Alignment of the </w:t>
      </w:r>
      <w:hyperlink r:id="rId30" w:history="1">
        <w:r w:rsidRPr="5084AB28">
          <w:rPr>
            <w:rStyle w:val="Hyperlink"/>
            <w:rFonts w:cstheme="majorBidi"/>
          </w:rPr>
          <w:t>Educator Evaluation Framework</w:t>
        </w:r>
      </w:hyperlink>
      <w:r w:rsidRPr="5084AB28">
        <w:rPr>
          <w:rFonts w:cstheme="majorBidi"/>
        </w:rPr>
        <w:t xml:space="preserve"> and the </w:t>
      </w:r>
      <w:hyperlink r:id="rId31" w:history="1">
        <w:r w:rsidRPr="5084AB28">
          <w:rPr>
            <w:rStyle w:val="Hyperlink"/>
            <w:rFonts w:cstheme="majorBidi"/>
          </w:rPr>
          <w:t>Candidate Assessment of Performance (CAP)</w:t>
        </w:r>
      </w:hyperlink>
      <w:r w:rsidRPr="5084AB28">
        <w:rPr>
          <w:rStyle w:val="FootnoteReference"/>
          <w:rFonts w:cstheme="majorBidi"/>
        </w:rPr>
        <w:footnoteReference w:id="9"/>
      </w:r>
    </w:p>
    <w:p w14:paraId="6EA52013" w14:textId="77777777" w:rsidR="006469B6" w:rsidRPr="00E05889" w:rsidRDefault="006469B6" w:rsidP="00EF59DB">
      <w:pPr>
        <w:pStyle w:val="Heading2"/>
      </w:pPr>
      <w:bookmarkStart w:id="29" w:name="_Toc125547316"/>
      <w:bookmarkStart w:id="30" w:name="_Toc125574768"/>
      <w:bookmarkStart w:id="31" w:name="_Toc125575612"/>
      <w:r w:rsidRPr="00E05889">
        <w:t>The Partnerships (PAR) Domain Criteria:</w:t>
      </w:r>
      <w:bookmarkEnd w:id="29"/>
      <w:bookmarkEnd w:id="30"/>
      <w:bookmarkEnd w:id="31"/>
    </w:p>
    <w:p w14:paraId="4FCC59C9" w14:textId="0D63087E" w:rsidR="006469B6" w:rsidRPr="003E2664" w:rsidRDefault="006469B6" w:rsidP="006469B6">
      <w:pPr>
        <w:ind w:left="720"/>
        <w:rPr>
          <w:rFonts w:eastAsia="Calibri" w:cstheme="majorHAnsi"/>
          <w:color w:val="000000" w:themeColor="text1"/>
        </w:rPr>
      </w:pPr>
      <w:r w:rsidRPr="003E2664">
        <w:rPr>
          <w:rFonts w:eastAsia="Calibri" w:cstheme="majorHAnsi"/>
          <w:color w:val="000000" w:themeColor="text1"/>
        </w:rPr>
        <w:t>PAR 1: The Sponsoring Organization establishes, evaluates, and sustains partnerships with PK-12 schools</w:t>
      </w:r>
      <w:r w:rsidR="007F64C4" w:rsidRPr="003E2664">
        <w:rPr>
          <w:rFonts w:eastAsia="Calibri" w:cstheme="majorHAnsi"/>
          <w:color w:val="000000" w:themeColor="text1"/>
        </w:rPr>
        <w:t>/</w:t>
      </w:r>
      <w:r w:rsidRPr="003E2664">
        <w:rPr>
          <w:rFonts w:eastAsia="Calibri" w:cstheme="majorHAnsi"/>
          <w:color w:val="000000" w:themeColor="text1"/>
        </w:rPr>
        <w:t>districts to ensure that all partnerships are meeting the needs of candidates and improves or discontinues those that are not meeting candidates’ needs.</w:t>
      </w:r>
    </w:p>
    <w:p w14:paraId="7F72564B" w14:textId="77777777" w:rsidR="008B41E5" w:rsidRPr="003E2664" w:rsidRDefault="008B41E5" w:rsidP="006469B6">
      <w:pPr>
        <w:ind w:left="720"/>
        <w:rPr>
          <w:rFonts w:eastAsia="Calibri" w:cstheme="majorHAnsi"/>
          <w:color w:val="000000" w:themeColor="text1"/>
        </w:rPr>
      </w:pPr>
    </w:p>
    <w:p w14:paraId="6D9D489C" w14:textId="1E01E9D5" w:rsidR="006469B6" w:rsidRPr="003E2664" w:rsidRDefault="006469B6" w:rsidP="006469B6">
      <w:pPr>
        <w:ind w:left="720"/>
        <w:rPr>
          <w:rFonts w:eastAsia="Calibri" w:cstheme="majorHAnsi"/>
          <w:color w:val="000000" w:themeColor="text1"/>
        </w:rPr>
      </w:pPr>
      <w:r w:rsidRPr="003E2664">
        <w:rPr>
          <w:rFonts w:eastAsia="Calibri" w:cstheme="majorHAnsi"/>
          <w:color w:val="000000" w:themeColor="text1"/>
        </w:rPr>
        <w:t>PAR 2: The Sponsoring Organization collaborates with partner schools</w:t>
      </w:r>
      <w:r w:rsidR="00097EBD" w:rsidRPr="003E2664">
        <w:rPr>
          <w:rFonts w:eastAsia="Calibri" w:cstheme="majorHAnsi"/>
          <w:color w:val="000000" w:themeColor="text1"/>
        </w:rPr>
        <w:t>/</w:t>
      </w:r>
      <w:r w:rsidRPr="003E2664">
        <w:rPr>
          <w:rFonts w:eastAsia="Calibri" w:cstheme="majorHAnsi"/>
          <w:color w:val="000000" w:themeColor="text1"/>
        </w:rPr>
        <w:t>districts to understand and respond to their needs, leading to increasingly equitable learning experiences for the students the school/district serves (e.g., expanding pathways to licensure, professional development</w:t>
      </w:r>
      <w:r w:rsidR="00094688">
        <w:rPr>
          <w:rFonts w:eastAsia="Calibri" w:cstheme="majorHAnsi"/>
          <w:color w:val="000000" w:themeColor="text1"/>
        </w:rPr>
        <w:t xml:space="preserve"> offerings</w:t>
      </w:r>
      <w:r w:rsidRPr="003E2664">
        <w:rPr>
          <w:rFonts w:eastAsia="Calibri" w:cstheme="majorHAnsi"/>
          <w:color w:val="000000" w:themeColor="text1"/>
        </w:rPr>
        <w:t xml:space="preserve">, services for students).  </w:t>
      </w:r>
    </w:p>
    <w:p w14:paraId="2FA56374" w14:textId="77777777" w:rsidR="008B41E5" w:rsidRPr="003E2664" w:rsidRDefault="008B41E5" w:rsidP="006469B6">
      <w:pPr>
        <w:ind w:left="720"/>
        <w:rPr>
          <w:rFonts w:eastAsia="Calibri" w:cstheme="majorHAnsi"/>
          <w:color w:val="000000" w:themeColor="text1"/>
        </w:rPr>
      </w:pPr>
    </w:p>
    <w:p w14:paraId="44B52643" w14:textId="301BECA4" w:rsidR="006469B6" w:rsidRPr="003E2664" w:rsidRDefault="006469B6" w:rsidP="00535D30">
      <w:pPr>
        <w:ind w:left="720"/>
        <w:rPr>
          <w:rFonts w:eastAsia="Calibri" w:cstheme="majorHAnsi"/>
          <w:color w:val="000000" w:themeColor="text1"/>
        </w:rPr>
      </w:pPr>
      <w:r w:rsidRPr="003E2664">
        <w:rPr>
          <w:rFonts w:eastAsia="Calibri" w:cstheme="majorHAnsi"/>
          <w:color w:val="000000" w:themeColor="text1"/>
        </w:rPr>
        <w:t xml:space="preserve">PAR 3: The Sponsoring Organization solicits input from PK-12 partners to identify its strengths and areas for growth and takes actions (e.g., aligning preparation curriculum, strengthening field-based experiences) to improve candidate experiences and outcomes within the context of the partnership.  </w:t>
      </w:r>
    </w:p>
    <w:p w14:paraId="3B857AEC" w14:textId="0AC98036" w:rsidR="00E05889" w:rsidRDefault="00E05889">
      <w:pPr>
        <w:rPr>
          <w:rFonts w:eastAsia="Calibri" w:cstheme="majorHAnsi"/>
          <w:color w:val="000000" w:themeColor="text1"/>
          <w:sz w:val="24"/>
          <w:szCs w:val="24"/>
        </w:rPr>
      </w:pPr>
      <w:r>
        <w:rPr>
          <w:rFonts w:eastAsia="Calibri" w:cstheme="majorHAnsi"/>
          <w:color w:val="000000" w:themeColor="text1"/>
          <w:sz w:val="24"/>
          <w:szCs w:val="24"/>
        </w:rPr>
        <w:br w:type="page"/>
      </w:r>
    </w:p>
    <w:p w14:paraId="2B6290DE" w14:textId="794994DF" w:rsidR="008B41E5" w:rsidRPr="00EF59DB" w:rsidRDefault="003B214D" w:rsidP="00EF59DB">
      <w:pPr>
        <w:pStyle w:val="Heading1"/>
        <w:rPr>
          <w:rStyle w:val="Heading3Char"/>
          <w:rFonts w:ascii="Calibri" w:hAnsi="Calibri"/>
          <w:color w:val="1F497D" w:themeColor="text2"/>
          <w:sz w:val="32"/>
          <w:szCs w:val="48"/>
        </w:rPr>
      </w:pPr>
      <w:bookmarkStart w:id="32" w:name="_Toc125575613"/>
      <w:r>
        <w:rPr>
          <w:rStyle w:val="Heading3Char"/>
          <w:rFonts w:ascii="Calibri" w:hAnsi="Calibri"/>
          <w:color w:val="1F497D" w:themeColor="text2"/>
          <w:sz w:val="32"/>
          <w:szCs w:val="48"/>
        </w:rPr>
        <w:lastRenderedPageBreak/>
        <w:t xml:space="preserve">The </w:t>
      </w:r>
      <w:r w:rsidR="003758F5" w:rsidRPr="00EF59DB">
        <w:rPr>
          <w:rStyle w:val="Heading3Char"/>
          <w:rFonts w:ascii="Calibri" w:hAnsi="Calibri"/>
          <w:color w:val="1F497D" w:themeColor="text2"/>
          <w:sz w:val="32"/>
          <w:szCs w:val="48"/>
        </w:rPr>
        <w:t>Field-Based Experiences</w:t>
      </w:r>
      <w:r>
        <w:rPr>
          <w:rStyle w:val="Heading3Char"/>
          <w:rFonts w:ascii="Calibri" w:hAnsi="Calibri"/>
          <w:color w:val="1F497D" w:themeColor="text2"/>
          <w:sz w:val="32"/>
          <w:szCs w:val="48"/>
        </w:rPr>
        <w:t xml:space="preserve"> Domain</w:t>
      </w:r>
      <w:bookmarkEnd w:id="32"/>
    </w:p>
    <w:p w14:paraId="7E51AADC" w14:textId="5CE2A337" w:rsidR="003758F5" w:rsidRPr="003E2664" w:rsidRDefault="003758F5" w:rsidP="00DD08F3">
      <w:pPr>
        <w:rPr>
          <w:rFonts w:cstheme="majorBidi"/>
        </w:rPr>
      </w:pPr>
      <w:r w:rsidRPr="59401B6F">
        <w:rPr>
          <w:rStyle w:val="normaltextrun"/>
          <w:rFonts w:cstheme="majorBidi"/>
          <w:b/>
          <w:i/>
          <w:color w:val="000000"/>
          <w:bdr w:val="none" w:sz="0" w:space="0" w:color="auto" w:frame="1"/>
        </w:rPr>
        <w:t>All candidates for Initial licensure engage in high-quality school- or classroom-based experiences that prepare them to be effective anti-racist and culturally and linguistically sustaining educators for all students.</w:t>
      </w:r>
      <w:r w:rsidRPr="003E2664">
        <w:rPr>
          <w:rStyle w:val="normaltextrun"/>
          <w:rFonts w:cstheme="majorHAnsi"/>
          <w:b/>
          <w:bCs/>
          <w:color w:val="000000"/>
          <w:bdr w:val="none" w:sz="0" w:space="0" w:color="auto" w:frame="1"/>
        </w:rPr>
        <w:br/>
      </w:r>
      <w:r w:rsidRPr="00BA67B6">
        <w:rPr>
          <w:rFonts w:cstheme="majorHAnsi"/>
          <w:sz w:val="24"/>
          <w:szCs w:val="24"/>
        </w:rPr>
        <w:br/>
      </w:r>
      <w:r w:rsidRPr="59401B6F">
        <w:rPr>
          <w:rFonts w:cstheme="majorBidi"/>
        </w:rPr>
        <w:t xml:space="preserve">The Field-Based Experiences </w:t>
      </w:r>
      <w:r w:rsidR="003266EB">
        <w:rPr>
          <w:rFonts w:cstheme="majorBidi"/>
        </w:rPr>
        <w:t>d</w:t>
      </w:r>
      <w:r w:rsidRPr="59401B6F">
        <w:rPr>
          <w:rFonts w:cstheme="majorBidi"/>
        </w:rPr>
        <w:t xml:space="preserve">omain articulates the expectation that </w:t>
      </w:r>
      <w:r w:rsidR="0014510A" w:rsidRPr="59401B6F">
        <w:rPr>
          <w:rFonts w:cstheme="majorBidi"/>
        </w:rPr>
        <w:t xml:space="preserve">a </w:t>
      </w:r>
      <w:r w:rsidR="00AD0344" w:rsidRPr="59401B6F">
        <w:rPr>
          <w:rFonts w:cstheme="majorBidi"/>
        </w:rPr>
        <w:t>S</w:t>
      </w:r>
      <w:r w:rsidRPr="59401B6F">
        <w:rPr>
          <w:rFonts w:cstheme="majorBidi"/>
        </w:rPr>
        <w:t xml:space="preserve">ponsoring </w:t>
      </w:r>
      <w:r w:rsidR="00AD0344" w:rsidRPr="59401B6F">
        <w:rPr>
          <w:rFonts w:cstheme="majorBidi"/>
        </w:rPr>
        <w:t>O</w:t>
      </w:r>
      <w:r w:rsidRPr="59401B6F">
        <w:rPr>
          <w:rFonts w:cstheme="majorBidi"/>
        </w:rPr>
        <w:t>rganization intentionally design</w:t>
      </w:r>
      <w:r w:rsidR="0014510A" w:rsidRPr="59401B6F">
        <w:rPr>
          <w:rFonts w:cstheme="majorBidi"/>
        </w:rPr>
        <w:t>s</w:t>
      </w:r>
      <w:r w:rsidRPr="59401B6F">
        <w:rPr>
          <w:rFonts w:cstheme="majorBidi"/>
        </w:rPr>
        <w:t xml:space="preserve"> and integrate</w:t>
      </w:r>
      <w:r w:rsidR="0014510A" w:rsidRPr="59401B6F">
        <w:rPr>
          <w:rFonts w:cstheme="majorBidi"/>
        </w:rPr>
        <w:t>s</w:t>
      </w:r>
      <w:r w:rsidRPr="59401B6F">
        <w:rPr>
          <w:rFonts w:cstheme="majorBidi"/>
        </w:rPr>
        <w:t xml:space="preserve"> into programs opportunities for candidates to</w:t>
      </w:r>
      <w:r w:rsidRPr="59401B6F">
        <w:rPr>
          <w:rFonts w:cstheme="majorBidi"/>
          <w:color w:val="000000" w:themeColor="text1"/>
        </w:rPr>
        <w:t xml:space="preserve"> </w:t>
      </w:r>
      <w:r w:rsidRPr="59401B6F">
        <w:rPr>
          <w:rFonts w:cstheme="majorBidi"/>
        </w:rPr>
        <w:t xml:space="preserve">observe, practice, and demonstrate </w:t>
      </w:r>
      <w:r w:rsidR="006E5E76" w:rsidRPr="59401B6F">
        <w:rPr>
          <w:rFonts w:cstheme="majorBidi"/>
        </w:rPr>
        <w:t xml:space="preserve">culturally and linguistically sustaining </w:t>
      </w:r>
      <w:r w:rsidR="000E2FBD" w:rsidRPr="59401B6F">
        <w:rPr>
          <w:rFonts w:cstheme="majorBidi"/>
        </w:rPr>
        <w:t xml:space="preserve">pedagogy, </w:t>
      </w:r>
      <w:r w:rsidRPr="59401B6F">
        <w:rPr>
          <w:rFonts w:cstheme="majorBidi"/>
        </w:rPr>
        <w:t>evidence-based p</w:t>
      </w:r>
      <w:r w:rsidR="000E2FBD" w:rsidRPr="59401B6F">
        <w:rPr>
          <w:rFonts w:cstheme="majorBidi"/>
        </w:rPr>
        <w:t>ractices,</w:t>
      </w:r>
      <w:r w:rsidRPr="59401B6F">
        <w:rPr>
          <w:rFonts w:cstheme="majorBidi"/>
        </w:rPr>
        <w:t xml:space="preserve"> and subject matter knowledge in practice. Candidates should also use these experiences to </w:t>
      </w:r>
      <w:r w:rsidRPr="59401B6F">
        <w:rPr>
          <w:rFonts w:cstheme="majorBidi"/>
          <w:color w:val="000000" w:themeColor="text1"/>
        </w:rPr>
        <w:t>reflect on their identities, biases, and practices while in the role</w:t>
      </w:r>
      <w:r w:rsidRPr="59401B6F">
        <w:rPr>
          <w:rFonts w:cstheme="majorBidi"/>
        </w:rPr>
        <w:t>.</w:t>
      </w:r>
      <w:r w:rsidRPr="59401B6F">
        <w:rPr>
          <w:rFonts w:cstheme="majorBidi"/>
          <w:color w:val="000000" w:themeColor="text1"/>
        </w:rPr>
        <w:t xml:space="preserve"> In order to meet these objectives, </w:t>
      </w:r>
      <w:r w:rsidRPr="59401B6F">
        <w:rPr>
          <w:rFonts w:cstheme="majorBidi"/>
        </w:rPr>
        <w:t xml:space="preserve">field-based experiences should </w:t>
      </w:r>
      <w:r w:rsidR="00815392" w:rsidRPr="59401B6F">
        <w:rPr>
          <w:rFonts w:cstheme="majorBidi"/>
        </w:rPr>
        <w:t xml:space="preserve">aim to </w:t>
      </w:r>
      <w:r w:rsidRPr="59401B6F">
        <w:rPr>
          <w:rFonts w:cstheme="majorBidi"/>
        </w:rPr>
        <w:t xml:space="preserve">include settings that afford candidates access to an anti-racist and culturally and linguistically sustaining school culture, effective </w:t>
      </w:r>
      <w:r w:rsidR="00915989">
        <w:rPr>
          <w:rFonts w:cstheme="majorBidi"/>
        </w:rPr>
        <w:t>S</w:t>
      </w:r>
      <w:r w:rsidRPr="59401B6F">
        <w:rPr>
          <w:rFonts w:cstheme="majorBidi"/>
        </w:rPr>
        <w:t xml:space="preserve">upervising </w:t>
      </w:r>
      <w:r w:rsidR="00915989">
        <w:rPr>
          <w:rFonts w:cstheme="majorBidi"/>
        </w:rPr>
        <w:t>P</w:t>
      </w:r>
      <w:r w:rsidRPr="59401B6F">
        <w:rPr>
          <w:rFonts w:cstheme="majorBidi"/>
        </w:rPr>
        <w:t xml:space="preserve">ractitioners, high-quality curricular materials, racially, socioeconomically, and linguistically diverse students and those of diverse abilities, and opportunities to participate in all components of the school community. </w:t>
      </w:r>
      <w:r w:rsidR="00815392" w:rsidRPr="59401B6F">
        <w:rPr>
          <w:rFonts w:cstheme="majorBidi"/>
        </w:rPr>
        <w:t>I</w:t>
      </w:r>
      <w:r w:rsidR="00E42CBC" w:rsidRPr="59401B6F">
        <w:rPr>
          <w:rFonts w:cstheme="majorBidi"/>
        </w:rPr>
        <w:t xml:space="preserve">f a setting </w:t>
      </w:r>
      <w:r w:rsidR="00DD624B" w:rsidRPr="59401B6F">
        <w:rPr>
          <w:rFonts w:cstheme="majorBidi"/>
        </w:rPr>
        <w:t xml:space="preserve">does not have all these aspects in place, it is the responsibility of the </w:t>
      </w:r>
      <w:r w:rsidR="007E3BCC" w:rsidRPr="59401B6F">
        <w:rPr>
          <w:rStyle w:val="normaltextrun"/>
          <w:rFonts w:cstheme="majorBidi"/>
        </w:rPr>
        <w:t xml:space="preserve">Sponsoring Organization </w:t>
      </w:r>
      <w:r w:rsidR="00DD624B" w:rsidRPr="59401B6F">
        <w:rPr>
          <w:rFonts w:cstheme="majorBidi"/>
        </w:rPr>
        <w:t xml:space="preserve">to </w:t>
      </w:r>
      <w:r w:rsidR="00122451" w:rsidRPr="59401B6F">
        <w:rPr>
          <w:rFonts w:cstheme="majorBidi"/>
        </w:rPr>
        <w:t xml:space="preserve">directly support the candidate in </w:t>
      </w:r>
      <w:r w:rsidR="00737B3C" w:rsidRPr="59401B6F">
        <w:rPr>
          <w:rFonts w:cstheme="majorBidi"/>
        </w:rPr>
        <w:t xml:space="preserve">interrogating </w:t>
      </w:r>
      <w:r w:rsidR="0054041E" w:rsidRPr="59401B6F">
        <w:rPr>
          <w:rFonts w:cstheme="majorBidi"/>
        </w:rPr>
        <w:t>gap</w:t>
      </w:r>
      <w:r w:rsidR="007F1114" w:rsidRPr="59401B6F">
        <w:rPr>
          <w:rFonts w:cstheme="majorBidi"/>
        </w:rPr>
        <w:t>(</w:t>
      </w:r>
      <w:r w:rsidR="0054041E" w:rsidRPr="59401B6F">
        <w:rPr>
          <w:rFonts w:cstheme="majorBidi"/>
        </w:rPr>
        <w:t>s</w:t>
      </w:r>
      <w:r w:rsidR="007F1114" w:rsidRPr="59401B6F">
        <w:rPr>
          <w:rFonts w:cstheme="majorBidi"/>
        </w:rPr>
        <w:t>)</w:t>
      </w:r>
      <w:r w:rsidR="0054041E" w:rsidRPr="59401B6F">
        <w:rPr>
          <w:rFonts w:cstheme="majorBidi"/>
        </w:rPr>
        <w:t xml:space="preserve"> within th</w:t>
      </w:r>
      <w:r w:rsidR="007F1114" w:rsidRPr="59401B6F">
        <w:rPr>
          <w:rFonts w:cstheme="majorBidi"/>
        </w:rPr>
        <w:t>e</w:t>
      </w:r>
      <w:r w:rsidR="00521552" w:rsidRPr="59401B6F">
        <w:rPr>
          <w:rFonts w:cstheme="majorBidi"/>
        </w:rPr>
        <w:t xml:space="preserve"> specific setting </w:t>
      </w:r>
      <w:r w:rsidR="00D3408A" w:rsidRPr="59401B6F">
        <w:rPr>
          <w:rFonts w:cstheme="majorBidi"/>
        </w:rPr>
        <w:t xml:space="preserve">and providing additional resources in that area. </w:t>
      </w:r>
      <w:r w:rsidR="00683606" w:rsidRPr="59401B6F">
        <w:rPr>
          <w:rFonts w:cstheme="majorBidi"/>
        </w:rPr>
        <w:t>DESE may request evidence of these additional resources at the time of an interim or formal review.</w:t>
      </w:r>
      <w:r w:rsidR="00D3408A" w:rsidRPr="59401B6F">
        <w:rPr>
          <w:rFonts w:cstheme="majorBidi"/>
        </w:rPr>
        <w:t xml:space="preserve"> </w:t>
      </w:r>
      <w:r w:rsidRPr="59401B6F">
        <w:rPr>
          <w:rFonts w:cstheme="majorBidi"/>
        </w:rPr>
        <w:t xml:space="preserve">Sponsoring </w:t>
      </w:r>
      <w:r w:rsidR="44D21DD5" w:rsidRPr="781BB0AF">
        <w:rPr>
          <w:rFonts w:cstheme="majorBidi"/>
        </w:rPr>
        <w:t>O</w:t>
      </w:r>
      <w:r w:rsidRPr="59401B6F">
        <w:rPr>
          <w:rFonts w:cstheme="majorBidi"/>
        </w:rPr>
        <w:t>rganizations should design these experiences to build to candidate readiness for full responsibility in the licensure role.</w:t>
      </w:r>
    </w:p>
    <w:p w14:paraId="3FB05D13" w14:textId="77777777" w:rsidR="008B41E5" w:rsidRPr="003E2664" w:rsidRDefault="008B41E5" w:rsidP="00DD08F3">
      <w:pPr>
        <w:rPr>
          <w:rFonts w:cstheme="majorHAnsi"/>
        </w:rPr>
      </w:pPr>
    </w:p>
    <w:p w14:paraId="3C15A5D0" w14:textId="6CE09B8A" w:rsidR="00887C3D" w:rsidRPr="003E2664" w:rsidRDefault="003758F5" w:rsidP="009C6261">
      <w:pPr>
        <w:rPr>
          <w:rFonts w:cstheme="majorHAnsi"/>
        </w:rPr>
      </w:pPr>
      <w:r w:rsidRPr="003E2664">
        <w:rPr>
          <w:rFonts w:cstheme="majorHAnsi"/>
        </w:rPr>
        <w:t xml:space="preserve">Field-based experiences encompass both the pre-practicum experiences and the practicum placement. Guidance pertaining to each is outlined in greater detail below. </w:t>
      </w:r>
      <w:r w:rsidR="00920F44">
        <w:rPr>
          <w:rFonts w:cstheme="majorHAnsi"/>
        </w:rPr>
        <w:t xml:space="preserve">The </w:t>
      </w:r>
      <w:r w:rsidRPr="003E2664">
        <w:rPr>
          <w:rFonts w:cstheme="majorHAnsi"/>
        </w:rPr>
        <w:t>S</w:t>
      </w:r>
      <w:r w:rsidR="00916BF1" w:rsidRPr="003E2664">
        <w:rPr>
          <w:rFonts w:cstheme="majorHAnsi"/>
        </w:rPr>
        <w:t xml:space="preserve">ponsoring </w:t>
      </w:r>
      <w:r w:rsidRPr="003E2664">
        <w:rPr>
          <w:rFonts w:cstheme="majorHAnsi"/>
        </w:rPr>
        <w:t>O</w:t>
      </w:r>
      <w:r w:rsidR="00916BF1" w:rsidRPr="003E2664">
        <w:rPr>
          <w:rFonts w:cstheme="majorHAnsi"/>
        </w:rPr>
        <w:t>rganization</w:t>
      </w:r>
      <w:r w:rsidRPr="003E2664">
        <w:rPr>
          <w:rFonts w:cstheme="majorHAnsi"/>
        </w:rPr>
        <w:t xml:space="preserve"> </w:t>
      </w:r>
      <w:r w:rsidR="00920F44">
        <w:rPr>
          <w:rFonts w:cstheme="majorHAnsi"/>
        </w:rPr>
        <w:t>is</w:t>
      </w:r>
      <w:r w:rsidR="00920F44" w:rsidRPr="003E2664">
        <w:rPr>
          <w:rFonts w:cstheme="majorHAnsi"/>
        </w:rPr>
        <w:t xml:space="preserve"> </w:t>
      </w:r>
      <w:r w:rsidRPr="003E2664">
        <w:rPr>
          <w:rFonts w:cstheme="majorHAnsi"/>
        </w:rPr>
        <w:t>encouraged to supplement the minimum requirements described below with additional expectations in support of effectively preparing candidates for the role.</w:t>
      </w:r>
    </w:p>
    <w:p w14:paraId="049C263E" w14:textId="7D86144A" w:rsidR="00F76CA4" w:rsidRPr="00D317A3" w:rsidRDefault="003758F5" w:rsidP="003B214D">
      <w:pPr>
        <w:pStyle w:val="Heading2"/>
      </w:pPr>
      <w:bookmarkStart w:id="33" w:name="_Toc125547318"/>
      <w:bookmarkStart w:id="34" w:name="_Toc125574770"/>
      <w:bookmarkStart w:id="35" w:name="_Toc125575614"/>
      <w:r w:rsidRPr="00D317A3">
        <w:t>Pre-Practicum Experiences</w:t>
      </w:r>
      <w:bookmarkEnd w:id="33"/>
      <w:bookmarkEnd w:id="34"/>
      <w:bookmarkEnd w:id="35"/>
    </w:p>
    <w:p w14:paraId="1E14B2C9" w14:textId="7DF394B0" w:rsidR="003758F5" w:rsidRPr="003E2664" w:rsidRDefault="003758F5" w:rsidP="009C6261">
      <w:pPr>
        <w:rPr>
          <w:rFonts w:ascii="Calibri" w:hAnsi="Calibri" w:cs="Calibri"/>
          <w:lang w:bidi="en-US"/>
        </w:rPr>
      </w:pPr>
      <w:r w:rsidRPr="003E2664">
        <w:rPr>
          <w:rFonts w:ascii="Calibri" w:hAnsi="Calibri" w:cs="Calibri"/>
          <w:lang w:bidi="en-US"/>
        </w:rPr>
        <w:t>The pre-practicum is a critical time for candidates to apply learning from coursework into authentic observation and practice opportunities in PK-12 settings with appropriate support, supervision, and feedback. Meaningful and robust pre-practicum field-based experiences position candidates to successfully demonstrate their abilities in the practicum and enter employment ready to positively impact all students’ learning from day one.</w:t>
      </w:r>
    </w:p>
    <w:p w14:paraId="0F2AF487" w14:textId="77777777" w:rsidR="00F76CA4" w:rsidRPr="003E2664" w:rsidRDefault="00F76CA4" w:rsidP="00D3631A">
      <w:pPr>
        <w:rPr>
          <w:rFonts w:cstheme="majorHAnsi"/>
        </w:rPr>
      </w:pPr>
    </w:p>
    <w:p w14:paraId="0872A697" w14:textId="65696A19" w:rsidR="003758F5" w:rsidRPr="003E2664" w:rsidRDefault="003758F5" w:rsidP="00737859">
      <w:pPr>
        <w:rPr>
          <w:rFonts w:cstheme="majorHAnsi"/>
        </w:rPr>
      </w:pPr>
      <w:r w:rsidRPr="003E2664">
        <w:rPr>
          <w:rFonts w:cstheme="majorHAnsi"/>
        </w:rPr>
        <w:t xml:space="preserve">Pre-practicum experiences must begin early in candidates’ preparation, include opportunities to work with students from diverse identities and backgrounds, and be integrated into the courses or seminars that address the Professional Standards for Teachers or the Professional Standards and Indicators for Administrative Leadership. Pre-practicum experiences should not occur as isolated assignments that are disconnected from programs of study. </w:t>
      </w:r>
    </w:p>
    <w:p w14:paraId="316D943F" w14:textId="77777777" w:rsidR="003758F5" w:rsidRPr="003E2664" w:rsidRDefault="003758F5" w:rsidP="00DD08F3">
      <w:pPr>
        <w:rPr>
          <w:rFonts w:cstheme="majorHAnsi"/>
        </w:rPr>
      </w:pPr>
    </w:p>
    <w:p w14:paraId="6076FF2A" w14:textId="4074BE89" w:rsidR="003758F5" w:rsidRPr="003E2664" w:rsidRDefault="003758F5" w:rsidP="00DD08F3">
      <w:pPr>
        <w:rPr>
          <w:rFonts w:cstheme="majorHAnsi"/>
        </w:rPr>
      </w:pPr>
      <w:r w:rsidRPr="003E2664">
        <w:rPr>
          <w:rFonts w:cstheme="majorHAnsi"/>
        </w:rPr>
        <w:lastRenderedPageBreak/>
        <w:t xml:space="preserve">For more information about the expectations for pre-practicum for Teacher candidates, see the </w:t>
      </w:r>
      <w:hyperlink r:id="rId32" w:history="1">
        <w:r w:rsidRPr="003E2664">
          <w:rPr>
            <w:rStyle w:val="Hyperlink"/>
            <w:rFonts w:cstheme="majorHAnsi"/>
          </w:rPr>
          <w:t>Guidelines for Pre-Practicum for Teachers</w:t>
        </w:r>
      </w:hyperlink>
      <w:r w:rsidRPr="003E2664">
        <w:rPr>
          <w:rFonts w:cstheme="majorHAnsi"/>
        </w:rPr>
        <w:t>.</w:t>
      </w:r>
    </w:p>
    <w:p w14:paraId="5027E924" w14:textId="77777777" w:rsidR="003758F5" w:rsidRPr="00D317A3" w:rsidRDefault="003758F5" w:rsidP="003B214D">
      <w:pPr>
        <w:pStyle w:val="Heading2"/>
      </w:pPr>
      <w:bookmarkStart w:id="36" w:name="_Toc125547319"/>
      <w:bookmarkStart w:id="37" w:name="_Toc125574771"/>
      <w:bookmarkStart w:id="38" w:name="_Toc125575615"/>
      <w:r w:rsidRPr="00D317A3">
        <w:t>Practicum/Practicum Equivalent Experiences</w:t>
      </w:r>
      <w:bookmarkEnd w:id="36"/>
      <w:bookmarkEnd w:id="37"/>
      <w:bookmarkEnd w:id="38"/>
    </w:p>
    <w:p w14:paraId="2627DFB9" w14:textId="715CC0EE" w:rsidR="003758F5" w:rsidRPr="003E2664" w:rsidRDefault="00F6618A" w:rsidP="009C6261">
      <w:pPr>
        <w:rPr>
          <w:rFonts w:cstheme="majorHAnsi"/>
        </w:rPr>
      </w:pPr>
      <w:r w:rsidRPr="003E2664">
        <w:rPr>
          <w:rFonts w:cstheme="majorHAnsi"/>
        </w:rPr>
        <w:t>According to</w:t>
      </w:r>
      <w:r w:rsidR="00F60AEC" w:rsidRPr="003E2664">
        <w:rPr>
          <w:rFonts w:cstheme="majorHAnsi"/>
        </w:rPr>
        <w:t xml:space="preserve"> state regulations (see </w:t>
      </w:r>
      <w:hyperlink w:anchor="_Appendix_A:_Regulations" w:history="1">
        <w:r w:rsidR="00F60AEC" w:rsidRPr="003E2664">
          <w:rPr>
            <w:rStyle w:val="Hyperlink"/>
            <w:rFonts w:cstheme="majorHAnsi"/>
          </w:rPr>
          <w:t>Appendix A</w:t>
        </w:r>
      </w:hyperlink>
      <w:r w:rsidR="00F60AEC" w:rsidRPr="003E2664">
        <w:rPr>
          <w:rFonts w:cstheme="majorHAnsi"/>
        </w:rPr>
        <w:t>),</w:t>
      </w:r>
      <w:r w:rsidRPr="003E2664">
        <w:rPr>
          <w:rFonts w:cstheme="majorHAnsi"/>
        </w:rPr>
        <w:t xml:space="preserve"> </w:t>
      </w:r>
      <w:r w:rsidR="00F60AEC" w:rsidRPr="003E2664">
        <w:rPr>
          <w:rFonts w:cstheme="majorHAnsi"/>
        </w:rPr>
        <w:t>p</w:t>
      </w:r>
      <w:r w:rsidR="003758F5" w:rsidRPr="003E2664">
        <w:rPr>
          <w:rFonts w:cstheme="majorHAnsi"/>
        </w:rPr>
        <w:t>racticum/practicum equivalent experiences must be:</w:t>
      </w:r>
    </w:p>
    <w:p w14:paraId="62BE8749" w14:textId="77777777" w:rsidR="003758F5" w:rsidRPr="003E2664" w:rsidRDefault="003758F5" w:rsidP="00D3631A">
      <w:pPr>
        <w:pStyle w:val="ListParagraph"/>
        <w:numPr>
          <w:ilvl w:val="0"/>
          <w:numId w:val="8"/>
        </w:numPr>
        <w:ind w:left="720"/>
        <w:rPr>
          <w:rFonts w:cstheme="majorHAnsi"/>
        </w:rPr>
      </w:pPr>
      <w:r w:rsidRPr="003E2664">
        <w:rPr>
          <w:rFonts w:cstheme="majorHAnsi"/>
        </w:rPr>
        <w:t>completed within a Massachusetts public school, approved private special education school, Massachusetts Department of Early Education Care-approved preschool, educational collaborative, or a school that requires Massachusetts educator licensure; and</w:t>
      </w:r>
    </w:p>
    <w:p w14:paraId="4258D582" w14:textId="77777777" w:rsidR="003758F5" w:rsidRPr="003E2664" w:rsidRDefault="003758F5" w:rsidP="00737859">
      <w:pPr>
        <w:pStyle w:val="ListParagraph"/>
        <w:numPr>
          <w:ilvl w:val="0"/>
          <w:numId w:val="8"/>
        </w:numPr>
        <w:ind w:left="720"/>
        <w:rPr>
          <w:rFonts w:cstheme="majorHAnsi"/>
        </w:rPr>
      </w:pPr>
      <w:r w:rsidRPr="003E2664">
        <w:rPr>
          <w:rFonts w:cstheme="majorHAnsi"/>
        </w:rPr>
        <w:t>supervised jointly by the supervisor from the preparation program (i.e., Program Supervisor) in which the candidate is enrolled and the qualified Supervising Practitioner.</w:t>
      </w:r>
    </w:p>
    <w:p w14:paraId="6503BBD5" w14:textId="77777777" w:rsidR="003758F5" w:rsidRPr="003E2664" w:rsidRDefault="003758F5" w:rsidP="00737859">
      <w:pPr>
        <w:rPr>
          <w:rFonts w:cstheme="majorHAnsi"/>
        </w:rPr>
      </w:pPr>
    </w:p>
    <w:p w14:paraId="5B49D1E3" w14:textId="77777777" w:rsidR="003758F5" w:rsidRPr="003E2664" w:rsidRDefault="003758F5" w:rsidP="00737859">
      <w:pPr>
        <w:rPr>
          <w:rFonts w:cstheme="majorHAnsi"/>
        </w:rPr>
      </w:pPr>
      <w:bookmarkStart w:id="39" w:name="OLE_LINK1"/>
      <w:bookmarkStart w:id="40" w:name="OLE_LINK2"/>
      <w:r w:rsidRPr="003E2664">
        <w:rPr>
          <w:rFonts w:cstheme="majorHAnsi"/>
        </w:rPr>
        <w:t xml:space="preserve">All individuals in educator preparation programs shall assume full responsibility of the classroom </w:t>
      </w:r>
      <w:r w:rsidRPr="003E2664">
        <w:rPr>
          <w:rFonts w:cstheme="majorHAnsi"/>
          <w:u w:val="single"/>
        </w:rPr>
        <w:t>for a minimum of 100 hours</w:t>
      </w:r>
      <w:r w:rsidRPr="003E2664">
        <w:rPr>
          <w:rFonts w:cstheme="majorHAnsi"/>
        </w:rPr>
        <w:t>. For classroom-based practitioners, full responsibility requires that candidates:</w:t>
      </w:r>
    </w:p>
    <w:p w14:paraId="3A05E6CE" w14:textId="77777777" w:rsidR="003758F5" w:rsidRPr="003E2664" w:rsidRDefault="003758F5" w:rsidP="00737859">
      <w:pPr>
        <w:pStyle w:val="ListParagraph"/>
        <w:numPr>
          <w:ilvl w:val="0"/>
          <w:numId w:val="10"/>
        </w:numPr>
        <w:rPr>
          <w:rFonts w:cstheme="majorHAnsi"/>
        </w:rPr>
      </w:pPr>
      <w:r w:rsidRPr="003E2664">
        <w:rPr>
          <w:rFonts w:cstheme="majorHAnsi"/>
        </w:rPr>
        <w:t xml:space="preserve">assume full control of all classroom duties regularly fulfilled by the Supervising Practitioner; and </w:t>
      </w:r>
    </w:p>
    <w:p w14:paraId="0F74318C" w14:textId="77777777" w:rsidR="003758F5" w:rsidRPr="003E2664" w:rsidRDefault="003758F5" w:rsidP="00737859">
      <w:pPr>
        <w:pStyle w:val="ListParagraph"/>
        <w:numPr>
          <w:ilvl w:val="0"/>
          <w:numId w:val="10"/>
        </w:numPr>
        <w:rPr>
          <w:rFonts w:cstheme="majorHAnsi"/>
        </w:rPr>
      </w:pPr>
      <w:r w:rsidRPr="003E2664">
        <w:rPr>
          <w:rFonts w:cstheme="majorHAnsi"/>
        </w:rPr>
        <w:t xml:space="preserve">oversee responsibilities related to the education of all students on the classroom roster. </w:t>
      </w:r>
    </w:p>
    <w:p w14:paraId="33B6D415" w14:textId="77777777" w:rsidR="001E0D17" w:rsidRPr="003E2664" w:rsidRDefault="001E0D17" w:rsidP="00DD08F3">
      <w:pPr>
        <w:rPr>
          <w:rFonts w:cstheme="majorHAnsi"/>
        </w:rPr>
      </w:pPr>
    </w:p>
    <w:p w14:paraId="72D01E89" w14:textId="65DEC558" w:rsidR="003758F5" w:rsidRPr="003E2664" w:rsidRDefault="003758F5" w:rsidP="009C6261">
      <w:pPr>
        <w:rPr>
          <w:rFonts w:cstheme="majorHAnsi"/>
        </w:rPr>
      </w:pPr>
      <w:r w:rsidRPr="003E2664">
        <w:rPr>
          <w:rFonts w:cstheme="majorHAnsi"/>
        </w:rPr>
        <w:t>For educators not based in a classroom (</w:t>
      </w:r>
      <w:r w:rsidR="00E14137">
        <w:rPr>
          <w:rFonts w:cstheme="majorHAnsi"/>
        </w:rPr>
        <w:t>e.g</w:t>
      </w:r>
      <w:r w:rsidRPr="003E2664">
        <w:rPr>
          <w:rFonts w:cstheme="majorHAnsi"/>
        </w:rPr>
        <w:t>., administrative leadership roles</w:t>
      </w:r>
      <w:r w:rsidR="00E14137">
        <w:rPr>
          <w:rFonts w:cstheme="majorHAnsi"/>
        </w:rPr>
        <w:t>,</w:t>
      </w:r>
      <w:r w:rsidRPr="003E2664">
        <w:rPr>
          <w:rFonts w:cstheme="majorHAnsi"/>
        </w:rPr>
        <w:t xml:space="preserve"> professional support personnel), full responsibility requires that candidates</w:t>
      </w:r>
      <w:r w:rsidR="002A6747" w:rsidRPr="003E2664">
        <w:rPr>
          <w:rFonts w:cstheme="majorHAnsi"/>
        </w:rPr>
        <w:t xml:space="preserve"> </w:t>
      </w:r>
      <w:r w:rsidRPr="003E2664">
        <w:rPr>
          <w:rFonts w:cstheme="majorHAnsi"/>
        </w:rPr>
        <w:t xml:space="preserve">assume full control of all duties regularly fulfilled by the Supervising Practitioner. </w:t>
      </w:r>
    </w:p>
    <w:p w14:paraId="104EEA7A" w14:textId="77777777" w:rsidR="001E0D17" w:rsidRPr="003E2664" w:rsidRDefault="001E0D17" w:rsidP="00D3631A">
      <w:pPr>
        <w:rPr>
          <w:rFonts w:cstheme="majorHAnsi"/>
        </w:rPr>
      </w:pPr>
    </w:p>
    <w:p w14:paraId="35306BE0" w14:textId="2E45ABD1" w:rsidR="003758F5" w:rsidRPr="003E2664" w:rsidRDefault="003758F5" w:rsidP="00737859">
      <w:pPr>
        <w:rPr>
          <w:rFonts w:cstheme="majorHAnsi"/>
        </w:rPr>
      </w:pPr>
      <w:r w:rsidRPr="003E2664">
        <w:rPr>
          <w:rFonts w:cstheme="majorHAnsi"/>
        </w:rPr>
        <w:t xml:space="preserve">The 100 hours of full responsibility do not have to be consecutive. The intent of this requirement is to mirror the experience of being a full-time educator. </w:t>
      </w:r>
      <w:r w:rsidR="00537319">
        <w:rPr>
          <w:rFonts w:cstheme="majorHAnsi"/>
        </w:rPr>
        <w:t xml:space="preserve">The </w:t>
      </w:r>
      <w:r w:rsidRPr="003E2664">
        <w:rPr>
          <w:rFonts w:cstheme="majorHAnsi"/>
        </w:rPr>
        <w:t xml:space="preserve">Sponsoring Organization should keep this intent in mind when developing additional guidance around expectations for candidates’ practicum experience. </w:t>
      </w:r>
    </w:p>
    <w:bookmarkEnd w:id="39"/>
    <w:bookmarkEnd w:id="40"/>
    <w:p w14:paraId="1DA73ED4" w14:textId="77777777" w:rsidR="003758F5" w:rsidRPr="003E2664" w:rsidRDefault="003758F5" w:rsidP="00737859">
      <w:pPr>
        <w:rPr>
          <w:rFonts w:cstheme="majorHAnsi"/>
        </w:rPr>
      </w:pPr>
    </w:p>
    <w:p w14:paraId="34220550" w14:textId="77777777" w:rsidR="003758F5" w:rsidRPr="003E2664" w:rsidRDefault="003758F5" w:rsidP="00737859">
      <w:pPr>
        <w:rPr>
          <w:rFonts w:cstheme="majorHAnsi"/>
        </w:rPr>
      </w:pPr>
      <w:r w:rsidRPr="003E2664">
        <w:rPr>
          <w:rFonts w:cstheme="majorHAnsi"/>
        </w:rPr>
        <w:t>Practicum/Practicum Equivalent requirements are as follows (</w:t>
      </w:r>
      <w:hyperlink r:id="rId33" w:history="1">
        <w:r w:rsidRPr="003E2664">
          <w:rPr>
            <w:rStyle w:val="Hyperlink"/>
            <w:rFonts w:cstheme="majorHAnsi"/>
          </w:rPr>
          <w:t>603 CMR 7.04 (4)</w:t>
        </w:r>
      </w:hyperlink>
      <w:r w:rsidRPr="003E2664">
        <w:rPr>
          <w:rFonts w:cstheme="majorHAnsi"/>
        </w:rPr>
        <w:t>):</w:t>
      </w:r>
    </w:p>
    <w:p w14:paraId="363B0336" w14:textId="77777777" w:rsidR="001E0D17" w:rsidRPr="00BA67B6" w:rsidRDefault="001E0D17" w:rsidP="003758F5">
      <w:pPr>
        <w:spacing w:line="240" w:lineRule="auto"/>
        <w:rPr>
          <w:rFonts w:cstheme="majorHAnsi"/>
          <w:sz w:val="24"/>
          <w:szCs w:val="24"/>
        </w:rPr>
      </w:pPr>
    </w:p>
    <w:tbl>
      <w:tblPr>
        <w:tblW w:w="9630" w:type="dxa"/>
        <w:tblInd w:w="108" w:type="dxa"/>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Look w:val="04A0" w:firstRow="1" w:lastRow="0" w:firstColumn="1" w:lastColumn="0" w:noHBand="0" w:noVBand="1"/>
        <w:tblCaption w:val="Table: Practicum hours by license"/>
        <w:tblDescription w:val="A table showing the hours of practicum required for various licenses"/>
      </w:tblPr>
      <w:tblGrid>
        <w:gridCol w:w="8190"/>
        <w:gridCol w:w="1440"/>
      </w:tblGrid>
      <w:tr w:rsidR="003758F5" w:rsidRPr="003E2664" w14:paraId="17665425" w14:textId="77777777" w:rsidTr="00D17218">
        <w:trPr>
          <w:trHeight w:val="822"/>
        </w:trPr>
        <w:tc>
          <w:tcPr>
            <w:tcW w:w="8190" w:type="dxa"/>
            <w:hideMark/>
          </w:tcPr>
          <w:p w14:paraId="18328DAE" w14:textId="77777777" w:rsidR="003758F5" w:rsidRPr="003E2664" w:rsidRDefault="003758F5" w:rsidP="00D17218">
            <w:pPr>
              <w:spacing w:line="240" w:lineRule="auto"/>
              <w:rPr>
                <w:rFonts w:eastAsia="Times New Roman" w:cstheme="majorHAnsi"/>
                <w:b/>
                <w:bCs/>
                <w:color w:val="000000"/>
              </w:rPr>
            </w:pPr>
            <w:r w:rsidRPr="003E2664">
              <w:rPr>
                <w:rFonts w:eastAsia="Times New Roman" w:cstheme="majorHAnsi"/>
                <w:bCs/>
                <w:color w:val="000000"/>
              </w:rPr>
              <w:t xml:space="preserve">Early Childhood </w:t>
            </w:r>
          </w:p>
          <w:p w14:paraId="667207DA" w14:textId="77777777" w:rsidR="003758F5" w:rsidRPr="003E2664" w:rsidRDefault="003758F5" w:rsidP="00D17218">
            <w:pPr>
              <w:spacing w:line="240" w:lineRule="auto"/>
              <w:rPr>
                <w:rFonts w:eastAsia="Times New Roman" w:cstheme="majorHAnsi"/>
                <w:b/>
                <w:bCs/>
                <w:color w:val="000000"/>
              </w:rPr>
            </w:pPr>
            <w:r w:rsidRPr="003E2664">
              <w:rPr>
                <w:rFonts w:eastAsia="Times New Roman" w:cstheme="majorHAnsi"/>
                <w:bCs/>
                <w:color w:val="000000"/>
              </w:rPr>
              <w:t>(100 hours in PreK-K, 200 hours in 1-2; at least one setting must include children with disabilities)</w:t>
            </w:r>
          </w:p>
        </w:tc>
        <w:tc>
          <w:tcPr>
            <w:tcW w:w="1440" w:type="dxa"/>
            <w:noWrap/>
            <w:hideMark/>
          </w:tcPr>
          <w:p w14:paraId="3FA42683" w14:textId="77777777" w:rsidR="003758F5" w:rsidRPr="003E2664" w:rsidRDefault="003758F5" w:rsidP="00D17218">
            <w:pPr>
              <w:spacing w:line="240" w:lineRule="auto"/>
              <w:jc w:val="right"/>
              <w:rPr>
                <w:rFonts w:eastAsia="Times New Roman" w:cstheme="majorHAnsi"/>
                <w:b/>
                <w:bCs/>
                <w:color w:val="000000"/>
              </w:rPr>
            </w:pPr>
            <w:r w:rsidRPr="003E2664">
              <w:rPr>
                <w:rFonts w:eastAsia="Times New Roman" w:cstheme="majorHAnsi"/>
                <w:bCs/>
                <w:color w:val="000000"/>
              </w:rPr>
              <w:t>300 hours</w:t>
            </w:r>
          </w:p>
        </w:tc>
      </w:tr>
      <w:tr w:rsidR="003758F5" w:rsidRPr="003E2664" w14:paraId="39D567BF" w14:textId="77777777" w:rsidTr="00D17218">
        <w:trPr>
          <w:trHeight w:val="219"/>
        </w:trPr>
        <w:tc>
          <w:tcPr>
            <w:tcW w:w="8190" w:type="dxa"/>
            <w:shd w:val="clear" w:color="auto" w:fill="D3DFEE"/>
            <w:hideMark/>
          </w:tcPr>
          <w:p w14:paraId="4BB6E024" w14:textId="77777777" w:rsidR="003758F5" w:rsidRPr="003E2664" w:rsidRDefault="003758F5" w:rsidP="00D17218">
            <w:pPr>
              <w:spacing w:line="240" w:lineRule="auto"/>
              <w:rPr>
                <w:rFonts w:eastAsia="Times New Roman" w:cstheme="majorHAnsi"/>
                <w:b/>
                <w:bCs/>
                <w:color w:val="000000"/>
              </w:rPr>
            </w:pPr>
            <w:r w:rsidRPr="003E2664">
              <w:rPr>
                <w:rFonts w:eastAsia="Times New Roman" w:cstheme="majorHAnsi"/>
                <w:bCs/>
                <w:color w:val="000000"/>
              </w:rPr>
              <w:t>Teacher, Grades 1-6</w:t>
            </w:r>
          </w:p>
        </w:tc>
        <w:tc>
          <w:tcPr>
            <w:tcW w:w="1440" w:type="dxa"/>
            <w:shd w:val="clear" w:color="auto" w:fill="D3DFEE"/>
            <w:noWrap/>
            <w:hideMark/>
          </w:tcPr>
          <w:p w14:paraId="41C1909B" w14:textId="77777777" w:rsidR="003758F5" w:rsidRPr="003E2664" w:rsidRDefault="003758F5" w:rsidP="00D17218">
            <w:pPr>
              <w:spacing w:line="240" w:lineRule="auto"/>
              <w:jc w:val="right"/>
              <w:rPr>
                <w:rFonts w:eastAsia="Times New Roman" w:cstheme="majorHAnsi"/>
                <w:color w:val="000000"/>
              </w:rPr>
            </w:pPr>
            <w:r w:rsidRPr="003E2664">
              <w:rPr>
                <w:rFonts w:eastAsia="Times New Roman" w:cstheme="majorHAnsi"/>
                <w:color w:val="000000"/>
              </w:rPr>
              <w:t>300 hours</w:t>
            </w:r>
          </w:p>
        </w:tc>
      </w:tr>
      <w:tr w:rsidR="003758F5" w:rsidRPr="003E2664" w14:paraId="1F36EA14" w14:textId="77777777" w:rsidTr="00D17218">
        <w:trPr>
          <w:trHeight w:val="205"/>
        </w:trPr>
        <w:tc>
          <w:tcPr>
            <w:tcW w:w="8190" w:type="dxa"/>
            <w:hideMark/>
          </w:tcPr>
          <w:p w14:paraId="4AF9D145" w14:textId="77777777" w:rsidR="003758F5" w:rsidRPr="003E2664" w:rsidRDefault="003758F5" w:rsidP="00D17218">
            <w:pPr>
              <w:spacing w:line="240" w:lineRule="auto"/>
              <w:rPr>
                <w:rFonts w:eastAsia="Times New Roman" w:cstheme="majorHAnsi"/>
                <w:b/>
                <w:bCs/>
                <w:color w:val="000000"/>
              </w:rPr>
            </w:pPr>
            <w:r w:rsidRPr="003E2664">
              <w:rPr>
                <w:rFonts w:eastAsia="Times New Roman" w:cstheme="majorHAnsi"/>
                <w:bCs/>
                <w:color w:val="000000"/>
              </w:rPr>
              <w:t>Teacher, Grades 5-8</w:t>
            </w:r>
          </w:p>
        </w:tc>
        <w:tc>
          <w:tcPr>
            <w:tcW w:w="1440" w:type="dxa"/>
            <w:noWrap/>
            <w:hideMark/>
          </w:tcPr>
          <w:p w14:paraId="6CDE1776" w14:textId="77777777" w:rsidR="003758F5" w:rsidRPr="003E2664" w:rsidRDefault="003758F5" w:rsidP="00D17218">
            <w:pPr>
              <w:spacing w:line="240" w:lineRule="auto"/>
              <w:jc w:val="right"/>
              <w:rPr>
                <w:rFonts w:eastAsia="Times New Roman" w:cstheme="majorHAnsi"/>
                <w:color w:val="000000"/>
              </w:rPr>
            </w:pPr>
            <w:r w:rsidRPr="003E2664">
              <w:rPr>
                <w:rFonts w:eastAsia="Times New Roman" w:cstheme="majorHAnsi"/>
                <w:color w:val="000000"/>
              </w:rPr>
              <w:t>300 hours</w:t>
            </w:r>
          </w:p>
        </w:tc>
      </w:tr>
      <w:tr w:rsidR="003758F5" w:rsidRPr="003E2664" w14:paraId="16AAB760" w14:textId="77777777" w:rsidTr="00D17218">
        <w:trPr>
          <w:trHeight w:val="219"/>
        </w:trPr>
        <w:tc>
          <w:tcPr>
            <w:tcW w:w="8190" w:type="dxa"/>
            <w:shd w:val="clear" w:color="auto" w:fill="D3DFEE"/>
            <w:hideMark/>
          </w:tcPr>
          <w:p w14:paraId="18BEBD70" w14:textId="77777777" w:rsidR="003758F5" w:rsidRPr="003E2664" w:rsidRDefault="003758F5" w:rsidP="00D17218">
            <w:pPr>
              <w:spacing w:line="240" w:lineRule="auto"/>
              <w:rPr>
                <w:rFonts w:eastAsia="Times New Roman" w:cstheme="majorHAnsi"/>
                <w:b/>
                <w:bCs/>
                <w:color w:val="000000"/>
              </w:rPr>
            </w:pPr>
            <w:r w:rsidRPr="003E2664">
              <w:rPr>
                <w:rFonts w:eastAsia="Times New Roman" w:cstheme="majorHAnsi"/>
                <w:bCs/>
                <w:color w:val="000000"/>
              </w:rPr>
              <w:t>Teacher, Grades 8-12</w:t>
            </w:r>
          </w:p>
        </w:tc>
        <w:tc>
          <w:tcPr>
            <w:tcW w:w="1440" w:type="dxa"/>
            <w:shd w:val="clear" w:color="auto" w:fill="D3DFEE"/>
            <w:noWrap/>
            <w:hideMark/>
          </w:tcPr>
          <w:p w14:paraId="68761FB1" w14:textId="77777777" w:rsidR="003758F5" w:rsidRPr="003E2664" w:rsidRDefault="003758F5" w:rsidP="00D17218">
            <w:pPr>
              <w:spacing w:line="240" w:lineRule="auto"/>
              <w:jc w:val="right"/>
              <w:rPr>
                <w:rFonts w:eastAsia="Times New Roman" w:cstheme="majorHAnsi"/>
                <w:color w:val="000000"/>
              </w:rPr>
            </w:pPr>
            <w:r w:rsidRPr="003E2664">
              <w:rPr>
                <w:rFonts w:eastAsia="Times New Roman" w:cstheme="majorHAnsi"/>
                <w:color w:val="000000"/>
              </w:rPr>
              <w:t>300 hours</w:t>
            </w:r>
          </w:p>
        </w:tc>
      </w:tr>
      <w:tr w:rsidR="003758F5" w:rsidRPr="003E2664" w14:paraId="381F220D" w14:textId="77777777" w:rsidTr="00D17218">
        <w:trPr>
          <w:trHeight w:val="205"/>
        </w:trPr>
        <w:tc>
          <w:tcPr>
            <w:tcW w:w="8190" w:type="dxa"/>
            <w:hideMark/>
          </w:tcPr>
          <w:p w14:paraId="2E498AD5" w14:textId="77777777" w:rsidR="003758F5" w:rsidRPr="003E2664" w:rsidRDefault="003758F5" w:rsidP="00D17218">
            <w:pPr>
              <w:spacing w:line="240" w:lineRule="auto"/>
              <w:rPr>
                <w:rFonts w:eastAsia="Times New Roman" w:cstheme="majorHAnsi"/>
                <w:b/>
                <w:bCs/>
                <w:color w:val="000000"/>
              </w:rPr>
            </w:pPr>
            <w:r w:rsidRPr="003E2664">
              <w:rPr>
                <w:rFonts w:eastAsia="Times New Roman" w:cstheme="majorHAnsi"/>
                <w:bCs/>
                <w:color w:val="000000"/>
              </w:rPr>
              <w:t>Teacher, Grades PreK-6 or PreK-8</w:t>
            </w:r>
          </w:p>
        </w:tc>
        <w:tc>
          <w:tcPr>
            <w:tcW w:w="1440" w:type="dxa"/>
            <w:noWrap/>
            <w:hideMark/>
          </w:tcPr>
          <w:p w14:paraId="565FE69E" w14:textId="77777777" w:rsidR="003758F5" w:rsidRPr="003E2664" w:rsidRDefault="003758F5" w:rsidP="00D17218">
            <w:pPr>
              <w:spacing w:line="240" w:lineRule="auto"/>
              <w:jc w:val="right"/>
              <w:rPr>
                <w:rFonts w:eastAsia="Times New Roman" w:cstheme="majorHAnsi"/>
                <w:color w:val="000000"/>
              </w:rPr>
            </w:pPr>
            <w:r w:rsidRPr="003E2664">
              <w:rPr>
                <w:rFonts w:eastAsia="Times New Roman" w:cstheme="majorHAnsi"/>
                <w:color w:val="000000"/>
              </w:rPr>
              <w:t>300 hours</w:t>
            </w:r>
          </w:p>
        </w:tc>
      </w:tr>
      <w:tr w:rsidR="003758F5" w:rsidRPr="003E2664" w14:paraId="48A0E077" w14:textId="77777777" w:rsidTr="00D17218">
        <w:trPr>
          <w:trHeight w:val="219"/>
        </w:trPr>
        <w:tc>
          <w:tcPr>
            <w:tcW w:w="8190" w:type="dxa"/>
            <w:shd w:val="clear" w:color="auto" w:fill="D3DFEE"/>
            <w:hideMark/>
          </w:tcPr>
          <w:p w14:paraId="1D6A20B8" w14:textId="77777777" w:rsidR="003758F5" w:rsidRPr="003E2664" w:rsidRDefault="003758F5" w:rsidP="00D17218">
            <w:pPr>
              <w:spacing w:line="240" w:lineRule="auto"/>
              <w:rPr>
                <w:rFonts w:eastAsia="Times New Roman" w:cstheme="majorHAnsi"/>
                <w:b/>
                <w:bCs/>
                <w:color w:val="000000"/>
              </w:rPr>
            </w:pPr>
            <w:r w:rsidRPr="003E2664">
              <w:rPr>
                <w:rFonts w:eastAsia="Times New Roman" w:cstheme="majorHAnsi"/>
                <w:bCs/>
                <w:color w:val="000000"/>
              </w:rPr>
              <w:t>Teacher, Grades 5-12</w:t>
            </w:r>
          </w:p>
        </w:tc>
        <w:tc>
          <w:tcPr>
            <w:tcW w:w="1440" w:type="dxa"/>
            <w:shd w:val="clear" w:color="auto" w:fill="D3DFEE"/>
            <w:noWrap/>
            <w:hideMark/>
          </w:tcPr>
          <w:p w14:paraId="0B75FE13" w14:textId="77777777" w:rsidR="003758F5" w:rsidRPr="003E2664" w:rsidRDefault="003758F5" w:rsidP="00D17218">
            <w:pPr>
              <w:spacing w:line="240" w:lineRule="auto"/>
              <w:jc w:val="right"/>
              <w:rPr>
                <w:rFonts w:eastAsia="Times New Roman" w:cstheme="majorHAnsi"/>
                <w:color w:val="000000"/>
              </w:rPr>
            </w:pPr>
            <w:r w:rsidRPr="003E2664">
              <w:rPr>
                <w:rFonts w:eastAsia="Times New Roman" w:cstheme="majorHAnsi"/>
                <w:color w:val="000000"/>
              </w:rPr>
              <w:t>300 hours</w:t>
            </w:r>
          </w:p>
        </w:tc>
      </w:tr>
      <w:tr w:rsidR="003758F5" w:rsidRPr="003E2664" w14:paraId="43AB059D" w14:textId="77777777" w:rsidTr="00D17218">
        <w:trPr>
          <w:trHeight w:val="630"/>
        </w:trPr>
        <w:tc>
          <w:tcPr>
            <w:tcW w:w="8190" w:type="dxa"/>
            <w:hideMark/>
          </w:tcPr>
          <w:p w14:paraId="5ED00C98" w14:textId="77777777" w:rsidR="003758F5" w:rsidRPr="003E2664" w:rsidRDefault="003758F5" w:rsidP="00D17218">
            <w:pPr>
              <w:spacing w:line="240" w:lineRule="auto"/>
              <w:rPr>
                <w:rFonts w:eastAsia="Times New Roman" w:cstheme="majorHAnsi"/>
                <w:b/>
                <w:bCs/>
                <w:color w:val="000000"/>
              </w:rPr>
            </w:pPr>
            <w:r w:rsidRPr="003E2664">
              <w:rPr>
                <w:rFonts w:eastAsia="Times New Roman" w:cstheme="majorHAnsi"/>
                <w:bCs/>
                <w:color w:val="000000"/>
              </w:rPr>
              <w:t>Teacher, All </w:t>
            </w:r>
            <w:r w:rsidRPr="003E2664">
              <w:rPr>
                <w:rFonts w:eastAsia="Times New Roman" w:cstheme="majorHAnsi"/>
                <w:bCs/>
                <w:color w:val="000000"/>
              </w:rPr>
              <w:br/>
              <w:t>(150 hours each at any two of the following levels: PreK-6, 5-8, 8-12)</w:t>
            </w:r>
          </w:p>
        </w:tc>
        <w:tc>
          <w:tcPr>
            <w:tcW w:w="1440" w:type="dxa"/>
            <w:noWrap/>
            <w:hideMark/>
          </w:tcPr>
          <w:p w14:paraId="6E801B7A" w14:textId="77777777" w:rsidR="003758F5" w:rsidRPr="003E2664" w:rsidRDefault="003758F5" w:rsidP="00D17218">
            <w:pPr>
              <w:spacing w:line="240" w:lineRule="auto"/>
              <w:jc w:val="right"/>
              <w:rPr>
                <w:rFonts w:eastAsia="Times New Roman" w:cstheme="majorHAnsi"/>
                <w:color w:val="000000"/>
              </w:rPr>
            </w:pPr>
            <w:r w:rsidRPr="003E2664">
              <w:rPr>
                <w:rFonts w:eastAsia="Times New Roman" w:cstheme="majorHAnsi"/>
                <w:color w:val="000000"/>
              </w:rPr>
              <w:t>300 hours</w:t>
            </w:r>
          </w:p>
        </w:tc>
      </w:tr>
      <w:tr w:rsidR="003758F5" w:rsidRPr="003E2664" w14:paraId="49105BFB" w14:textId="77777777" w:rsidTr="00D17218">
        <w:trPr>
          <w:trHeight w:val="1863"/>
        </w:trPr>
        <w:tc>
          <w:tcPr>
            <w:tcW w:w="8190" w:type="dxa"/>
            <w:shd w:val="clear" w:color="auto" w:fill="D3DFEE"/>
            <w:hideMark/>
          </w:tcPr>
          <w:p w14:paraId="13034043" w14:textId="77777777" w:rsidR="003758F5" w:rsidRPr="003E2664" w:rsidRDefault="003758F5" w:rsidP="00D17218">
            <w:pPr>
              <w:spacing w:line="240" w:lineRule="auto"/>
              <w:rPr>
                <w:rFonts w:eastAsia="Times New Roman" w:cstheme="majorHAnsi"/>
                <w:b/>
                <w:bCs/>
                <w:color w:val="000000"/>
              </w:rPr>
            </w:pPr>
            <w:r w:rsidRPr="003E2664">
              <w:rPr>
                <w:rFonts w:eastAsia="Times New Roman" w:cstheme="majorHAnsi"/>
                <w:bCs/>
                <w:color w:val="000000"/>
              </w:rPr>
              <w:lastRenderedPageBreak/>
              <w:t xml:space="preserve">Teacher of Students with Moderate Disabilities </w:t>
            </w:r>
          </w:p>
          <w:p w14:paraId="7EC51736" w14:textId="6B072B7B" w:rsidR="003758F5" w:rsidRPr="003E2664" w:rsidRDefault="003758F5" w:rsidP="00D17218">
            <w:pPr>
              <w:spacing w:line="240" w:lineRule="auto"/>
              <w:rPr>
                <w:rFonts w:eastAsia="Times New Roman" w:cstheme="majorHAnsi"/>
                <w:b/>
                <w:bCs/>
                <w:color w:val="000000"/>
              </w:rPr>
            </w:pPr>
            <w:r w:rsidRPr="003E2664">
              <w:rPr>
                <w:rFonts w:eastAsia="Times New Roman" w:cstheme="majorHAnsi"/>
                <w:bCs/>
                <w:color w:val="000000"/>
              </w:rPr>
              <w:t>(</w:t>
            </w:r>
            <w:r w:rsidR="009810BE" w:rsidRPr="003E2664">
              <w:rPr>
                <w:rFonts w:eastAsia="Times New Roman" w:cstheme="majorHAnsi"/>
                <w:bCs/>
                <w:color w:val="000000"/>
              </w:rPr>
              <w:t>For</w:t>
            </w:r>
            <w:r w:rsidRPr="003E2664">
              <w:rPr>
                <w:rFonts w:eastAsia="Times New Roman" w:cstheme="majorHAnsi"/>
                <w:bCs/>
                <w:color w:val="000000"/>
              </w:rPr>
              <w:t xml:space="preserve"> PreK-8, 300 hours in an inclusive general education setting or 75 hours in an inclusive general education setting and 225 hours in a separate or substantially separate setting for students with moderate disabilities; for 5-12, 300 hours in an inclusive general education classroom or 150 hours in an inclusive general education classroom and 150 hours in a separate or substantially separate setting for students with moderate disabilities)</w:t>
            </w:r>
          </w:p>
        </w:tc>
        <w:tc>
          <w:tcPr>
            <w:tcW w:w="1440" w:type="dxa"/>
            <w:shd w:val="clear" w:color="auto" w:fill="D3DFEE"/>
            <w:noWrap/>
            <w:hideMark/>
          </w:tcPr>
          <w:p w14:paraId="6A1880C1" w14:textId="77777777" w:rsidR="003758F5" w:rsidRPr="003E2664" w:rsidRDefault="003758F5" w:rsidP="00D17218">
            <w:pPr>
              <w:spacing w:line="240" w:lineRule="auto"/>
              <w:jc w:val="right"/>
              <w:rPr>
                <w:rFonts w:eastAsia="Times New Roman" w:cstheme="majorHAnsi"/>
                <w:color w:val="000000"/>
              </w:rPr>
            </w:pPr>
            <w:r w:rsidRPr="003E2664">
              <w:rPr>
                <w:rFonts w:eastAsia="Times New Roman" w:cstheme="majorHAnsi"/>
                <w:color w:val="000000"/>
              </w:rPr>
              <w:t>300 hours</w:t>
            </w:r>
          </w:p>
        </w:tc>
      </w:tr>
      <w:tr w:rsidR="003758F5" w:rsidRPr="003E2664" w14:paraId="5BE554FA" w14:textId="77777777" w:rsidTr="00D17218">
        <w:trPr>
          <w:trHeight w:val="205"/>
        </w:trPr>
        <w:tc>
          <w:tcPr>
            <w:tcW w:w="8190" w:type="dxa"/>
            <w:hideMark/>
          </w:tcPr>
          <w:p w14:paraId="13A58D4B" w14:textId="77777777" w:rsidR="003758F5" w:rsidRPr="003E2664" w:rsidRDefault="003758F5" w:rsidP="00D17218">
            <w:pPr>
              <w:spacing w:line="240" w:lineRule="auto"/>
              <w:rPr>
                <w:rFonts w:eastAsia="Times New Roman" w:cstheme="majorHAnsi"/>
                <w:b/>
                <w:bCs/>
                <w:color w:val="000000"/>
              </w:rPr>
            </w:pPr>
            <w:r w:rsidRPr="003E2664">
              <w:rPr>
                <w:rFonts w:eastAsia="Times New Roman" w:cstheme="majorHAnsi"/>
                <w:bCs/>
                <w:color w:val="000000"/>
              </w:rPr>
              <w:t>Teacher of Students with Severe Disabilities (at least 75 hours in an inclusive general education classroom at any level, and at least 150 hours in a setting with students with severe disabilities; the remaining 75 hours may be in either setting)</w:t>
            </w:r>
          </w:p>
        </w:tc>
        <w:tc>
          <w:tcPr>
            <w:tcW w:w="1440" w:type="dxa"/>
            <w:noWrap/>
            <w:hideMark/>
          </w:tcPr>
          <w:p w14:paraId="512A394E" w14:textId="77777777" w:rsidR="003758F5" w:rsidRPr="003E2664" w:rsidRDefault="003758F5" w:rsidP="00D17218">
            <w:pPr>
              <w:spacing w:line="240" w:lineRule="auto"/>
              <w:jc w:val="right"/>
              <w:rPr>
                <w:rFonts w:eastAsia="Times New Roman" w:cstheme="majorHAnsi"/>
                <w:color w:val="000000"/>
              </w:rPr>
            </w:pPr>
            <w:r w:rsidRPr="003E2664">
              <w:rPr>
                <w:rFonts w:eastAsia="Times New Roman" w:cstheme="majorHAnsi"/>
                <w:color w:val="000000"/>
              </w:rPr>
              <w:t>300 hours</w:t>
            </w:r>
          </w:p>
        </w:tc>
      </w:tr>
      <w:tr w:rsidR="003758F5" w:rsidRPr="003E2664" w14:paraId="28D8CA7C" w14:textId="77777777" w:rsidTr="00D17218">
        <w:trPr>
          <w:trHeight w:val="219"/>
        </w:trPr>
        <w:tc>
          <w:tcPr>
            <w:tcW w:w="8190" w:type="dxa"/>
            <w:shd w:val="clear" w:color="auto" w:fill="D3DFEE"/>
            <w:hideMark/>
          </w:tcPr>
          <w:p w14:paraId="07F9ED64" w14:textId="77777777" w:rsidR="003758F5" w:rsidRPr="003E2664" w:rsidRDefault="003758F5" w:rsidP="00D17218">
            <w:pPr>
              <w:spacing w:line="240" w:lineRule="auto"/>
              <w:rPr>
                <w:rFonts w:eastAsia="Times New Roman" w:cstheme="majorHAnsi"/>
                <w:b/>
                <w:bCs/>
                <w:color w:val="000000"/>
              </w:rPr>
            </w:pPr>
            <w:r w:rsidRPr="003E2664">
              <w:rPr>
                <w:rFonts w:eastAsia="Times New Roman" w:cstheme="majorHAnsi"/>
                <w:bCs/>
                <w:color w:val="000000"/>
              </w:rPr>
              <w:t>Specialist (unless otherwise indicated)</w:t>
            </w:r>
          </w:p>
        </w:tc>
        <w:tc>
          <w:tcPr>
            <w:tcW w:w="1440" w:type="dxa"/>
            <w:shd w:val="clear" w:color="auto" w:fill="D3DFEE"/>
            <w:noWrap/>
            <w:hideMark/>
          </w:tcPr>
          <w:p w14:paraId="1A14BE64" w14:textId="77777777" w:rsidR="003758F5" w:rsidRPr="003E2664" w:rsidRDefault="003758F5" w:rsidP="00D17218">
            <w:pPr>
              <w:spacing w:line="240" w:lineRule="auto"/>
              <w:jc w:val="right"/>
              <w:rPr>
                <w:rFonts w:eastAsia="Times New Roman" w:cstheme="majorHAnsi"/>
                <w:color w:val="000000"/>
              </w:rPr>
            </w:pPr>
            <w:r w:rsidRPr="003E2664">
              <w:rPr>
                <w:rFonts w:eastAsia="Times New Roman" w:cstheme="majorHAnsi"/>
                <w:color w:val="000000"/>
              </w:rPr>
              <w:t>150 hours</w:t>
            </w:r>
          </w:p>
        </w:tc>
      </w:tr>
      <w:tr w:rsidR="003758F5" w:rsidRPr="003E2664" w14:paraId="7F823095" w14:textId="77777777" w:rsidTr="00D17218">
        <w:trPr>
          <w:trHeight w:val="205"/>
        </w:trPr>
        <w:tc>
          <w:tcPr>
            <w:tcW w:w="8190" w:type="dxa"/>
            <w:hideMark/>
          </w:tcPr>
          <w:p w14:paraId="1FDCCDD1" w14:textId="77777777" w:rsidR="003758F5" w:rsidRPr="003E2664" w:rsidRDefault="003758F5" w:rsidP="00D17218">
            <w:pPr>
              <w:spacing w:line="240" w:lineRule="auto"/>
              <w:rPr>
                <w:rFonts w:eastAsia="Times New Roman" w:cstheme="majorHAnsi"/>
                <w:b/>
                <w:bCs/>
                <w:color w:val="000000"/>
              </w:rPr>
            </w:pPr>
            <w:r w:rsidRPr="003E2664">
              <w:rPr>
                <w:rFonts w:eastAsia="Times New Roman" w:cstheme="majorHAnsi"/>
                <w:bCs/>
                <w:color w:val="000000"/>
              </w:rPr>
              <w:t>Superintendent/Assistant Superintendent</w:t>
            </w:r>
          </w:p>
        </w:tc>
        <w:tc>
          <w:tcPr>
            <w:tcW w:w="1440" w:type="dxa"/>
            <w:noWrap/>
            <w:hideMark/>
          </w:tcPr>
          <w:p w14:paraId="74D08B70" w14:textId="77777777" w:rsidR="003758F5" w:rsidRPr="003E2664" w:rsidRDefault="003758F5" w:rsidP="00D17218">
            <w:pPr>
              <w:spacing w:line="240" w:lineRule="auto"/>
              <w:jc w:val="right"/>
              <w:rPr>
                <w:rFonts w:eastAsia="Times New Roman" w:cstheme="majorHAnsi"/>
                <w:color w:val="000000"/>
              </w:rPr>
            </w:pPr>
            <w:r w:rsidRPr="003E2664">
              <w:rPr>
                <w:rFonts w:eastAsia="Times New Roman" w:cstheme="majorHAnsi"/>
                <w:color w:val="000000"/>
              </w:rPr>
              <w:t>500 hours</w:t>
            </w:r>
          </w:p>
        </w:tc>
      </w:tr>
      <w:tr w:rsidR="003758F5" w:rsidRPr="003E2664" w14:paraId="0B1C33DE" w14:textId="77777777" w:rsidTr="00D17218">
        <w:trPr>
          <w:trHeight w:val="219"/>
        </w:trPr>
        <w:tc>
          <w:tcPr>
            <w:tcW w:w="8190" w:type="dxa"/>
            <w:shd w:val="clear" w:color="auto" w:fill="D3DFEE"/>
            <w:hideMark/>
          </w:tcPr>
          <w:p w14:paraId="408ECFB8" w14:textId="77777777" w:rsidR="003758F5" w:rsidRPr="003E2664" w:rsidRDefault="003758F5" w:rsidP="00D17218">
            <w:pPr>
              <w:spacing w:line="240" w:lineRule="auto"/>
              <w:rPr>
                <w:rFonts w:eastAsia="Times New Roman" w:cstheme="majorHAnsi"/>
                <w:b/>
                <w:bCs/>
                <w:color w:val="000000"/>
              </w:rPr>
            </w:pPr>
            <w:r w:rsidRPr="003E2664">
              <w:rPr>
                <w:rFonts w:eastAsia="Times New Roman" w:cstheme="majorHAnsi"/>
                <w:bCs/>
                <w:color w:val="000000"/>
              </w:rPr>
              <w:t>Principal/Assistant Principal</w:t>
            </w:r>
          </w:p>
        </w:tc>
        <w:tc>
          <w:tcPr>
            <w:tcW w:w="1440" w:type="dxa"/>
            <w:shd w:val="clear" w:color="auto" w:fill="D3DFEE"/>
            <w:noWrap/>
            <w:hideMark/>
          </w:tcPr>
          <w:p w14:paraId="41C3AEF8" w14:textId="77777777" w:rsidR="003758F5" w:rsidRPr="003E2664" w:rsidRDefault="003758F5" w:rsidP="00D17218">
            <w:pPr>
              <w:spacing w:line="240" w:lineRule="auto"/>
              <w:jc w:val="right"/>
              <w:rPr>
                <w:rFonts w:eastAsia="Times New Roman" w:cstheme="majorHAnsi"/>
                <w:color w:val="000000"/>
              </w:rPr>
            </w:pPr>
            <w:r w:rsidRPr="003E2664">
              <w:rPr>
                <w:rFonts w:eastAsia="Times New Roman" w:cstheme="majorHAnsi"/>
                <w:color w:val="000000" w:themeColor="text1"/>
              </w:rPr>
              <w:t>500 hours</w:t>
            </w:r>
          </w:p>
        </w:tc>
      </w:tr>
      <w:tr w:rsidR="003758F5" w:rsidRPr="003E2664" w14:paraId="03D4B4D9" w14:textId="77777777" w:rsidTr="00D17218">
        <w:trPr>
          <w:trHeight w:val="205"/>
        </w:trPr>
        <w:tc>
          <w:tcPr>
            <w:tcW w:w="8190" w:type="dxa"/>
            <w:hideMark/>
          </w:tcPr>
          <w:p w14:paraId="53FE81F8" w14:textId="77777777" w:rsidR="003758F5" w:rsidRPr="003E2664" w:rsidRDefault="003758F5" w:rsidP="00D17218">
            <w:pPr>
              <w:spacing w:line="240" w:lineRule="auto"/>
              <w:rPr>
                <w:rFonts w:eastAsia="Times New Roman" w:cstheme="majorHAnsi"/>
                <w:b/>
                <w:bCs/>
                <w:color w:val="000000"/>
              </w:rPr>
            </w:pPr>
            <w:r w:rsidRPr="003E2664">
              <w:rPr>
                <w:rFonts w:eastAsia="Times New Roman" w:cstheme="majorHAnsi"/>
                <w:bCs/>
                <w:color w:val="000000"/>
              </w:rPr>
              <w:t>Supervisor/Director</w:t>
            </w:r>
          </w:p>
        </w:tc>
        <w:tc>
          <w:tcPr>
            <w:tcW w:w="1440" w:type="dxa"/>
            <w:noWrap/>
            <w:hideMark/>
          </w:tcPr>
          <w:p w14:paraId="65CCFB61" w14:textId="77777777" w:rsidR="003758F5" w:rsidRPr="003E2664" w:rsidRDefault="003758F5" w:rsidP="00D17218">
            <w:pPr>
              <w:spacing w:line="240" w:lineRule="auto"/>
              <w:jc w:val="right"/>
              <w:rPr>
                <w:rFonts w:eastAsia="Times New Roman" w:cstheme="majorHAnsi"/>
                <w:color w:val="000000"/>
              </w:rPr>
            </w:pPr>
            <w:r w:rsidRPr="003E2664">
              <w:rPr>
                <w:rFonts w:eastAsia="Times New Roman" w:cstheme="majorHAnsi"/>
                <w:color w:val="000000"/>
              </w:rPr>
              <w:t>300 hours</w:t>
            </w:r>
          </w:p>
        </w:tc>
      </w:tr>
      <w:tr w:rsidR="003758F5" w:rsidRPr="003E2664" w14:paraId="4C411413" w14:textId="77777777" w:rsidTr="00D17218">
        <w:trPr>
          <w:trHeight w:val="219"/>
        </w:trPr>
        <w:tc>
          <w:tcPr>
            <w:tcW w:w="8190" w:type="dxa"/>
            <w:shd w:val="clear" w:color="auto" w:fill="D3DFEE"/>
            <w:hideMark/>
          </w:tcPr>
          <w:p w14:paraId="122A9EEF" w14:textId="77777777" w:rsidR="003758F5" w:rsidRPr="003E2664" w:rsidRDefault="003758F5" w:rsidP="00D17218">
            <w:pPr>
              <w:spacing w:line="240" w:lineRule="auto"/>
              <w:rPr>
                <w:rFonts w:eastAsia="Times New Roman" w:cstheme="majorHAnsi"/>
                <w:b/>
                <w:bCs/>
                <w:color w:val="000000"/>
              </w:rPr>
            </w:pPr>
            <w:r w:rsidRPr="003E2664">
              <w:rPr>
                <w:rFonts w:eastAsia="Times New Roman" w:cstheme="majorHAnsi"/>
                <w:bCs/>
                <w:color w:val="000000"/>
              </w:rPr>
              <w:t>Special Education Administrator</w:t>
            </w:r>
          </w:p>
        </w:tc>
        <w:tc>
          <w:tcPr>
            <w:tcW w:w="1440" w:type="dxa"/>
            <w:shd w:val="clear" w:color="auto" w:fill="D3DFEE"/>
            <w:noWrap/>
            <w:hideMark/>
          </w:tcPr>
          <w:p w14:paraId="081FEFD9" w14:textId="77777777" w:rsidR="003758F5" w:rsidRPr="003E2664" w:rsidRDefault="003758F5" w:rsidP="00D17218">
            <w:pPr>
              <w:spacing w:line="240" w:lineRule="auto"/>
              <w:jc w:val="right"/>
              <w:rPr>
                <w:rFonts w:eastAsia="Times New Roman" w:cstheme="majorHAnsi"/>
                <w:color w:val="000000"/>
              </w:rPr>
            </w:pPr>
            <w:r w:rsidRPr="003E2664">
              <w:rPr>
                <w:rFonts w:eastAsia="Times New Roman" w:cstheme="majorHAnsi"/>
                <w:color w:val="000000"/>
              </w:rPr>
              <w:t>500 hours</w:t>
            </w:r>
          </w:p>
        </w:tc>
      </w:tr>
      <w:tr w:rsidR="003758F5" w:rsidRPr="003E2664" w14:paraId="2C45D405" w14:textId="77777777" w:rsidTr="00D17218">
        <w:trPr>
          <w:trHeight w:val="205"/>
        </w:trPr>
        <w:tc>
          <w:tcPr>
            <w:tcW w:w="8190" w:type="dxa"/>
            <w:hideMark/>
          </w:tcPr>
          <w:p w14:paraId="77ABF83D" w14:textId="77777777" w:rsidR="003758F5" w:rsidRPr="003E2664" w:rsidRDefault="003758F5" w:rsidP="00D17218">
            <w:pPr>
              <w:spacing w:line="240" w:lineRule="auto"/>
              <w:rPr>
                <w:rFonts w:eastAsia="Times New Roman" w:cstheme="majorHAnsi"/>
                <w:b/>
                <w:bCs/>
                <w:color w:val="000000"/>
              </w:rPr>
            </w:pPr>
            <w:r w:rsidRPr="003E2664">
              <w:rPr>
                <w:rFonts w:eastAsia="Times New Roman" w:cstheme="majorHAnsi"/>
                <w:bCs/>
                <w:color w:val="000000"/>
              </w:rPr>
              <w:t>School Business Administrator</w:t>
            </w:r>
          </w:p>
        </w:tc>
        <w:tc>
          <w:tcPr>
            <w:tcW w:w="1440" w:type="dxa"/>
            <w:noWrap/>
            <w:hideMark/>
          </w:tcPr>
          <w:p w14:paraId="1B5F261D" w14:textId="77777777" w:rsidR="003758F5" w:rsidRPr="003E2664" w:rsidRDefault="003758F5" w:rsidP="00D17218">
            <w:pPr>
              <w:spacing w:line="240" w:lineRule="auto"/>
              <w:jc w:val="right"/>
              <w:rPr>
                <w:rFonts w:eastAsia="Times New Roman" w:cstheme="majorHAnsi"/>
                <w:color w:val="000000"/>
              </w:rPr>
            </w:pPr>
            <w:r w:rsidRPr="003E2664">
              <w:rPr>
                <w:rFonts w:eastAsia="Times New Roman" w:cstheme="majorHAnsi"/>
                <w:color w:val="000000"/>
              </w:rPr>
              <w:t>300 hours</w:t>
            </w:r>
          </w:p>
        </w:tc>
      </w:tr>
    </w:tbl>
    <w:p w14:paraId="114411B4" w14:textId="5ADA6EA0" w:rsidR="001E0D17" w:rsidRPr="00D317A3" w:rsidRDefault="003758F5" w:rsidP="00D317A3">
      <w:pPr>
        <w:pStyle w:val="Heading2"/>
      </w:pPr>
      <w:bookmarkStart w:id="41" w:name="_Toc125547320"/>
      <w:bookmarkStart w:id="42" w:name="_Toc125574772"/>
      <w:bookmarkStart w:id="43" w:name="_Toc125575616"/>
      <w:r w:rsidRPr="00D317A3">
        <w:t>Placements and Supervision during Practicum/Practicum Equivalent Experiences</w:t>
      </w:r>
      <w:bookmarkEnd w:id="41"/>
      <w:bookmarkEnd w:id="42"/>
      <w:bookmarkEnd w:id="43"/>
    </w:p>
    <w:p w14:paraId="5C1ACB6E" w14:textId="4358B999" w:rsidR="001E0D17" w:rsidRPr="00737859" w:rsidRDefault="007A036E" w:rsidP="009C6261">
      <w:pPr>
        <w:rPr>
          <w:rFonts w:cstheme="majorHAnsi"/>
        </w:rPr>
      </w:pPr>
      <w:r w:rsidRPr="009C6261">
        <w:rPr>
          <w:rFonts w:cstheme="majorHAnsi"/>
        </w:rPr>
        <w:t xml:space="preserve">The </w:t>
      </w:r>
      <w:r w:rsidR="003758F5" w:rsidRPr="009C6261">
        <w:rPr>
          <w:rFonts w:cstheme="majorHAnsi"/>
        </w:rPr>
        <w:t>Sponsoring Organization</w:t>
      </w:r>
      <w:r w:rsidRPr="009C6261">
        <w:rPr>
          <w:rFonts w:cstheme="majorHAnsi"/>
        </w:rPr>
        <w:t xml:space="preserve"> is</w:t>
      </w:r>
      <w:r w:rsidR="003758F5" w:rsidRPr="00D3631A">
        <w:rPr>
          <w:rFonts w:cstheme="majorHAnsi"/>
        </w:rPr>
        <w:t xml:space="preserve"> responsible for identifying effective practicum placements for their candidates. This </w:t>
      </w:r>
      <w:r w:rsidRPr="00737859">
        <w:rPr>
          <w:rFonts w:cstheme="majorHAnsi"/>
        </w:rPr>
        <w:t>is</w:t>
      </w:r>
      <w:r w:rsidR="003758F5" w:rsidRPr="00737859">
        <w:rPr>
          <w:rFonts w:cstheme="majorHAnsi"/>
        </w:rPr>
        <w:t xml:space="preserve"> best accomplished through the development of intentional and collaborative partnerships with local schools</w:t>
      </w:r>
      <w:r w:rsidR="00D22328" w:rsidRPr="00737859">
        <w:rPr>
          <w:rFonts w:cstheme="majorHAnsi"/>
        </w:rPr>
        <w:t>/</w:t>
      </w:r>
      <w:r w:rsidR="003758F5" w:rsidRPr="00737859">
        <w:rPr>
          <w:rFonts w:cstheme="majorHAnsi"/>
        </w:rPr>
        <w:t xml:space="preserve"> districts. The Sponsoring Organization should select, support, and monitor Supervising Practitioners to ensure that all candidates receive robust supervision and mentorship in an appropriate placement. A Supervising Practitioner </w:t>
      </w:r>
      <w:r w:rsidR="00250C77" w:rsidRPr="00737859">
        <w:rPr>
          <w:rFonts w:cstheme="majorHAnsi"/>
        </w:rPr>
        <w:t>must</w:t>
      </w:r>
      <w:r w:rsidR="003758F5" w:rsidRPr="00737859">
        <w:rPr>
          <w:rFonts w:cstheme="majorHAnsi"/>
        </w:rPr>
        <w:t xml:space="preserve">: </w:t>
      </w:r>
    </w:p>
    <w:p w14:paraId="6BDCD8F9" w14:textId="482EFB04" w:rsidR="003758F5" w:rsidRPr="009C6261" w:rsidRDefault="003758F5" w:rsidP="009C6261">
      <w:pPr>
        <w:pStyle w:val="ListParagraph"/>
        <w:numPr>
          <w:ilvl w:val="0"/>
          <w:numId w:val="9"/>
        </w:numPr>
        <w:spacing w:after="160"/>
        <w:rPr>
          <w:rFonts w:eastAsiaTheme="minorEastAsia" w:cstheme="majorHAnsi"/>
          <w:color w:val="000000" w:themeColor="text1"/>
        </w:rPr>
      </w:pPr>
      <w:r w:rsidRPr="00737859">
        <w:rPr>
          <w:rFonts w:cstheme="majorHAnsi"/>
        </w:rPr>
        <w:t>have at least three full years of experience under an appropriate</w:t>
      </w:r>
      <w:r w:rsidR="00607481" w:rsidRPr="009C6261">
        <w:rPr>
          <w:rStyle w:val="FootnoteReference"/>
          <w:rFonts w:cstheme="majorHAnsi"/>
        </w:rPr>
        <w:footnoteReference w:id="10"/>
      </w:r>
      <w:r w:rsidRPr="009C6261">
        <w:rPr>
          <w:rFonts w:cstheme="majorHAnsi"/>
        </w:rPr>
        <w:t xml:space="preserve"> Initial or Professional license and have received a rating of proficient or higher on their most recent summative evaluation; </w:t>
      </w:r>
    </w:p>
    <w:p w14:paraId="57AF32A0" w14:textId="77777777" w:rsidR="003758F5" w:rsidRPr="00737859" w:rsidRDefault="003758F5" w:rsidP="009C6261">
      <w:pPr>
        <w:pStyle w:val="ListParagraph"/>
        <w:numPr>
          <w:ilvl w:val="0"/>
          <w:numId w:val="9"/>
        </w:numPr>
        <w:spacing w:after="160"/>
        <w:rPr>
          <w:rFonts w:eastAsiaTheme="minorEastAsia" w:cstheme="majorHAnsi"/>
          <w:color w:val="000000" w:themeColor="text1"/>
        </w:rPr>
      </w:pPr>
      <w:r w:rsidRPr="009C6261">
        <w:rPr>
          <w:rFonts w:cstheme="majorHAnsi"/>
          <w:color w:val="000000" w:themeColor="text1"/>
        </w:rPr>
        <w:t>effectively support candidates of all races, identity groups</w:t>
      </w:r>
      <w:r w:rsidRPr="00D3631A">
        <w:rPr>
          <w:rFonts w:cstheme="majorHAnsi"/>
          <w:color w:val="000000" w:themeColor="text1"/>
        </w:rPr>
        <w:t>, and backgrounds;</w:t>
      </w:r>
    </w:p>
    <w:p w14:paraId="77361544" w14:textId="77777777" w:rsidR="003758F5" w:rsidRPr="00737859" w:rsidRDefault="003758F5" w:rsidP="00D3631A">
      <w:pPr>
        <w:pStyle w:val="ListParagraph"/>
        <w:numPr>
          <w:ilvl w:val="0"/>
          <w:numId w:val="9"/>
        </w:numPr>
        <w:spacing w:after="160"/>
        <w:rPr>
          <w:rFonts w:eastAsiaTheme="minorEastAsia" w:cstheme="majorHAnsi"/>
          <w:color w:val="000000" w:themeColor="text1"/>
        </w:rPr>
      </w:pPr>
      <w:r w:rsidRPr="00737859">
        <w:rPr>
          <w:rFonts w:cstheme="majorHAnsi"/>
          <w:color w:val="000000" w:themeColor="text1"/>
        </w:rPr>
        <w:t>provide candidates with high-quality feedback and evaluation that prepares them to be effective anti-racist and culturally and linguistically sustaining educators; and</w:t>
      </w:r>
    </w:p>
    <w:p w14:paraId="70DAB62E" w14:textId="77777777" w:rsidR="003758F5" w:rsidRPr="00737859" w:rsidRDefault="003758F5" w:rsidP="00737859">
      <w:pPr>
        <w:pStyle w:val="ListParagraph"/>
        <w:numPr>
          <w:ilvl w:val="0"/>
          <w:numId w:val="9"/>
        </w:numPr>
        <w:spacing w:after="160"/>
        <w:rPr>
          <w:rFonts w:eastAsiaTheme="minorEastAsia" w:cstheme="majorHAnsi"/>
          <w:color w:val="000000" w:themeColor="text1"/>
        </w:rPr>
      </w:pPr>
      <w:r w:rsidRPr="00737859">
        <w:rPr>
          <w:rFonts w:cstheme="majorHAnsi"/>
          <w:color w:val="000000" w:themeColor="text1"/>
        </w:rPr>
        <w:t>commit to meeting the Sponsoring Organization’s expectations of the role.</w:t>
      </w:r>
    </w:p>
    <w:p w14:paraId="5504BB8D" w14:textId="0B715815" w:rsidR="00B11A7A" w:rsidRPr="00737859" w:rsidRDefault="6172AABD" w:rsidP="00737859">
      <w:pPr>
        <w:rPr>
          <w:rFonts w:cstheme="majorHAnsi"/>
        </w:rPr>
      </w:pPr>
      <w:r w:rsidRPr="00737859">
        <w:rPr>
          <w:rFonts w:cstheme="majorHAnsi"/>
        </w:rPr>
        <w:t xml:space="preserve">Both the Program Supervisor </w:t>
      </w:r>
      <w:r w:rsidRPr="009C6261">
        <w:rPr>
          <w:rFonts w:cstheme="majorHAnsi"/>
        </w:rPr>
        <w:t xml:space="preserve">and the </w:t>
      </w:r>
      <w:r w:rsidR="00250C77" w:rsidRPr="009C6261">
        <w:rPr>
          <w:rFonts w:cstheme="majorHAnsi"/>
        </w:rPr>
        <w:t>Supervising Practitioner</w:t>
      </w:r>
      <w:r w:rsidR="00250C77" w:rsidRPr="00D3631A">
        <w:rPr>
          <w:rFonts w:cstheme="majorHAnsi"/>
        </w:rPr>
        <w:t xml:space="preserve"> are also expected to </w:t>
      </w:r>
      <w:r w:rsidR="00250C77" w:rsidRPr="00737859">
        <w:rPr>
          <w:rFonts w:cstheme="majorHAnsi"/>
          <w:color w:val="000000" w:themeColor="text1"/>
        </w:rPr>
        <w:t>model anti-racist and culturally and linguistically sustaining practices.</w:t>
      </w:r>
      <w:r w:rsidR="00250C77" w:rsidRPr="00737859">
        <w:rPr>
          <w:rFonts w:cstheme="majorHAnsi"/>
        </w:rPr>
        <w:t xml:space="preserve"> </w:t>
      </w:r>
      <w:r w:rsidR="00AE029C" w:rsidRPr="00737859">
        <w:rPr>
          <w:rFonts w:cstheme="majorHAnsi"/>
        </w:rPr>
        <w:t xml:space="preserve">If </w:t>
      </w:r>
      <w:r w:rsidR="006965A9" w:rsidRPr="00737859">
        <w:rPr>
          <w:rFonts w:cstheme="majorHAnsi"/>
        </w:rPr>
        <w:t xml:space="preserve">a candidate is unable to be </w:t>
      </w:r>
      <w:r w:rsidR="005B25F8" w:rsidRPr="00737859">
        <w:rPr>
          <w:rFonts w:cstheme="majorHAnsi"/>
        </w:rPr>
        <w:t>matched with a Supervising Practitione</w:t>
      </w:r>
      <w:r w:rsidR="00374C7B" w:rsidRPr="00737859">
        <w:rPr>
          <w:rFonts w:cstheme="majorHAnsi"/>
        </w:rPr>
        <w:t xml:space="preserve">r that </w:t>
      </w:r>
      <w:r w:rsidR="00723AD3" w:rsidRPr="00737859">
        <w:rPr>
          <w:rFonts w:cstheme="majorHAnsi"/>
        </w:rPr>
        <w:t xml:space="preserve">models anti-racist and culturally and linguistically sustaining practices, </w:t>
      </w:r>
      <w:r w:rsidR="00AE029C" w:rsidRPr="00737859">
        <w:rPr>
          <w:rFonts w:cstheme="majorHAnsi"/>
        </w:rPr>
        <w:t xml:space="preserve">it is the responsibility of the </w:t>
      </w:r>
      <w:r w:rsidR="007E3BCC" w:rsidRPr="00737859">
        <w:rPr>
          <w:rStyle w:val="normaltextrun"/>
          <w:rFonts w:cstheme="majorHAnsi"/>
        </w:rPr>
        <w:t>Sponsoring Organization</w:t>
      </w:r>
      <w:r w:rsidR="00AE029C" w:rsidRPr="00737859">
        <w:rPr>
          <w:rFonts w:cstheme="majorHAnsi"/>
        </w:rPr>
        <w:t xml:space="preserve"> to directly support the</w:t>
      </w:r>
      <w:r w:rsidR="00474E0D" w:rsidRPr="00737859">
        <w:rPr>
          <w:rFonts w:cstheme="majorHAnsi"/>
        </w:rPr>
        <w:t xml:space="preserve"> candidate with </w:t>
      </w:r>
      <w:r w:rsidR="00AE029C" w:rsidRPr="00737859">
        <w:rPr>
          <w:rFonts w:cstheme="majorHAnsi"/>
        </w:rPr>
        <w:t xml:space="preserve">additional resources </w:t>
      </w:r>
      <w:r w:rsidR="00723AD3" w:rsidRPr="00737859">
        <w:rPr>
          <w:rFonts w:cstheme="majorHAnsi"/>
        </w:rPr>
        <w:t xml:space="preserve">or support </w:t>
      </w:r>
      <w:r w:rsidR="00AE029C" w:rsidRPr="00737859">
        <w:rPr>
          <w:rFonts w:cstheme="majorHAnsi"/>
        </w:rPr>
        <w:t xml:space="preserve">in that area. DESE may request evidence of these additional resources at the time of an interim or formal review. </w:t>
      </w:r>
    </w:p>
    <w:p w14:paraId="490CCFD7" w14:textId="77777777" w:rsidR="00B11A7A" w:rsidRPr="00737859" w:rsidRDefault="00B11A7A" w:rsidP="00737859">
      <w:pPr>
        <w:rPr>
          <w:rFonts w:cstheme="majorHAnsi"/>
        </w:rPr>
      </w:pPr>
    </w:p>
    <w:p w14:paraId="118BF2E2" w14:textId="1DD1106D" w:rsidR="003758F5" w:rsidRPr="00737859" w:rsidRDefault="003758F5" w:rsidP="00737859">
      <w:pPr>
        <w:rPr>
          <w:rFonts w:cstheme="majorHAnsi"/>
        </w:rPr>
      </w:pPr>
      <w:r w:rsidRPr="00737859">
        <w:rPr>
          <w:rFonts w:cstheme="majorHAnsi"/>
        </w:rPr>
        <w:t xml:space="preserve">The Supervising Practitioner and the Program Supervisor will evaluate the candidate together using a performance assessment appropriate for the licensure program. Disagreement between the Supervising </w:t>
      </w:r>
      <w:r w:rsidRPr="00737859">
        <w:rPr>
          <w:rFonts w:cstheme="majorHAnsi"/>
        </w:rPr>
        <w:lastRenderedPageBreak/>
        <w:t xml:space="preserve">Practitioner and the Program Supervisor will be resolved by the decision of a third person chosen jointly by them. </w:t>
      </w:r>
    </w:p>
    <w:p w14:paraId="0804DAD2" w14:textId="77777777" w:rsidR="00D317A3" w:rsidRPr="00D317A3" w:rsidRDefault="00D317A3" w:rsidP="00D317A3">
      <w:pPr>
        <w:pStyle w:val="Heading2"/>
      </w:pPr>
      <w:bookmarkStart w:id="44" w:name="_Toc125575617"/>
      <w:r w:rsidRPr="00D317A3">
        <w:t>Performance Assessments during Practicum/Practicum Equivalent Experiences</w:t>
      </w:r>
      <w:bookmarkEnd w:id="44"/>
    </w:p>
    <w:p w14:paraId="0ECC2037" w14:textId="5AD0644C" w:rsidR="00D317A3" w:rsidRPr="00D317A3" w:rsidRDefault="00E7430D" w:rsidP="00DD08F3">
      <w:pPr>
        <w:ind w:right="-14"/>
        <w:rPr>
          <w:rFonts w:cstheme="majorHAnsi"/>
          <w:color w:val="000000" w:themeColor="text1"/>
        </w:rPr>
      </w:pPr>
      <w:r>
        <w:rPr>
          <w:rFonts w:cstheme="majorHAnsi"/>
          <w:color w:val="000000" w:themeColor="text1"/>
        </w:rPr>
        <w:t>The Sponsoring Organization must implement p</w:t>
      </w:r>
      <w:r w:rsidRPr="00D317A3">
        <w:rPr>
          <w:rFonts w:cstheme="majorHAnsi"/>
          <w:color w:val="000000" w:themeColor="text1"/>
        </w:rPr>
        <w:t>erformance</w:t>
      </w:r>
      <w:r w:rsidR="00D317A3" w:rsidRPr="00D317A3">
        <w:rPr>
          <w:rFonts w:cstheme="majorHAnsi"/>
          <w:color w:val="000000" w:themeColor="text1"/>
        </w:rPr>
        <w:t xml:space="preserve"> assessments consistently within and across programs to improve practice and ensure only candidates who are ready for full responsibility in the licensure role complete the program.</w:t>
      </w:r>
    </w:p>
    <w:p w14:paraId="0BB1E16B" w14:textId="77777777" w:rsidR="00742FCD" w:rsidRPr="00D317A3" w:rsidRDefault="00742FCD" w:rsidP="00D317A3">
      <w:pPr>
        <w:spacing w:line="240" w:lineRule="auto"/>
        <w:ind w:right="-20"/>
        <w:rPr>
          <w:rFonts w:cstheme="majorHAnsi"/>
          <w:color w:val="000000" w:themeColor="text1"/>
        </w:rPr>
      </w:pPr>
    </w:p>
    <w:p w14:paraId="47FC9B1F" w14:textId="77777777" w:rsidR="00D317A3" w:rsidRPr="003E2664" w:rsidRDefault="00D317A3" w:rsidP="003E2664">
      <w:pPr>
        <w:pStyle w:val="Heading3"/>
        <w:spacing w:before="0" w:after="0"/>
      </w:pPr>
      <w:bookmarkStart w:id="45" w:name="_Toc125547323"/>
      <w:bookmarkStart w:id="46" w:name="_Toc125574774"/>
      <w:bookmarkStart w:id="47" w:name="_Toc125575618"/>
      <w:r w:rsidRPr="00C66226">
        <w:rPr>
          <w:rStyle w:val="Heading3Char"/>
          <w:color w:val="215868" w:themeColor="accent5" w:themeShade="80"/>
        </w:rPr>
        <w:t>Initial Teacher Licenses</w:t>
      </w:r>
      <w:bookmarkEnd w:id="45"/>
      <w:bookmarkEnd w:id="46"/>
      <w:bookmarkEnd w:id="47"/>
    </w:p>
    <w:p w14:paraId="334C7EA2" w14:textId="54DE3167" w:rsidR="00D317A3" w:rsidRPr="00CE1690" w:rsidRDefault="00D317A3" w:rsidP="001F3F72">
      <w:pPr>
        <w:ind w:right="-14"/>
        <w:rPr>
          <w:rFonts w:cstheme="majorHAnsi"/>
        </w:rPr>
      </w:pPr>
      <w:r w:rsidRPr="00292F63">
        <w:rPr>
          <w:rFonts w:cstheme="majorHAnsi"/>
        </w:rPr>
        <w:t xml:space="preserve">All Initial Teacher licensure candidates are required to successfully complete the Massachusetts Candidate Assessment of Performance (CAP) and be deemed “Ready to Teach” prior to endorsement for licensure. CAP is designed to assess the overall readiness of teacher candidates. Through CAP, </w:t>
      </w:r>
      <w:r w:rsidR="006E3DDB" w:rsidRPr="00CE1690">
        <w:rPr>
          <w:rFonts w:cstheme="majorHAnsi"/>
        </w:rPr>
        <w:t xml:space="preserve">the </w:t>
      </w:r>
      <w:r w:rsidRPr="00CE1690">
        <w:rPr>
          <w:rFonts w:cstheme="majorHAnsi"/>
        </w:rPr>
        <w:t>Sponsoring Organization ensure</w:t>
      </w:r>
      <w:r w:rsidR="006E3DDB" w:rsidRPr="00CE1690">
        <w:rPr>
          <w:rFonts w:cstheme="majorHAnsi"/>
        </w:rPr>
        <w:t>s</w:t>
      </w:r>
      <w:r w:rsidRPr="00CE1690">
        <w:rPr>
          <w:rFonts w:cstheme="majorHAnsi"/>
        </w:rPr>
        <w:t xml:space="preserve"> that teacher candidates have the skills and knowledge necessary to be effective teachers on day one. </w:t>
      </w:r>
      <w:r w:rsidRPr="00CE1690">
        <w:rPr>
          <w:rFonts w:cstheme="majorHAnsi"/>
        </w:rPr>
        <w:br/>
      </w:r>
    </w:p>
    <w:p w14:paraId="0D4D2061" w14:textId="1F80853C" w:rsidR="00D317A3" w:rsidRDefault="00D317A3" w:rsidP="001F3F72">
      <w:pPr>
        <w:ind w:right="-14"/>
        <w:rPr>
          <w:rStyle w:val="Hyperlink"/>
          <w:rFonts w:cstheme="majorBidi"/>
          <w:sz w:val="24"/>
          <w:szCs w:val="24"/>
        </w:rPr>
      </w:pPr>
      <w:r w:rsidRPr="6A7073E9">
        <w:rPr>
          <w:rFonts w:cstheme="majorBidi"/>
        </w:rPr>
        <w:t xml:space="preserve">CAP creates an intentional bridge from training to employment by aligning the expectations and process </w:t>
      </w:r>
      <w:r w:rsidR="009B609D" w:rsidRPr="6A7073E9">
        <w:rPr>
          <w:rFonts w:cstheme="majorBidi"/>
        </w:rPr>
        <w:t xml:space="preserve">to </w:t>
      </w:r>
      <w:r w:rsidRPr="6A7073E9">
        <w:rPr>
          <w:rFonts w:cstheme="majorBidi"/>
        </w:rPr>
        <w:t xml:space="preserve">the </w:t>
      </w:r>
      <w:hyperlink r:id="rId34">
        <w:r w:rsidRPr="6A7073E9">
          <w:rPr>
            <w:rStyle w:val="Hyperlink"/>
            <w:rFonts w:cstheme="majorBidi"/>
          </w:rPr>
          <w:t>Massachusetts Educator Evaluation Framework</w:t>
        </w:r>
      </w:hyperlink>
      <w:r w:rsidRPr="6A7073E9">
        <w:rPr>
          <w:rStyle w:val="FootnoteReference"/>
          <w:rFonts w:cstheme="majorBidi"/>
          <w:color w:val="000000" w:themeColor="text1"/>
        </w:rPr>
        <w:footnoteReference w:id="11"/>
      </w:r>
      <w:r w:rsidRPr="6A7073E9">
        <w:rPr>
          <w:rFonts w:cstheme="majorBidi"/>
          <w:color w:val="000000" w:themeColor="text1"/>
        </w:rPr>
        <w:t xml:space="preserve">. CAP </w:t>
      </w:r>
      <w:r w:rsidR="00765B0F" w:rsidRPr="6A7073E9">
        <w:rPr>
          <w:rFonts w:cstheme="majorBidi"/>
          <w:color w:val="000000" w:themeColor="text1"/>
        </w:rPr>
        <w:t>intentionally</w:t>
      </w:r>
      <w:r w:rsidRPr="6A7073E9">
        <w:rPr>
          <w:rFonts w:cstheme="majorBidi"/>
          <w:color w:val="000000" w:themeColor="text1"/>
        </w:rPr>
        <w:t xml:space="preserve"> mirror</w:t>
      </w:r>
      <w:r w:rsidR="00765B0F" w:rsidRPr="6A7073E9">
        <w:rPr>
          <w:rFonts w:cstheme="majorBidi"/>
          <w:color w:val="000000" w:themeColor="text1"/>
        </w:rPr>
        <w:t>s</w:t>
      </w:r>
      <w:r w:rsidRPr="6A7073E9">
        <w:rPr>
          <w:rFonts w:cstheme="majorBidi"/>
          <w:color w:val="000000" w:themeColor="text1"/>
        </w:rPr>
        <w:t xml:space="preserve"> the experience of educators engaged in the Massachusetts Model Educator Evaluation Framework. Components of the evaluation experience have been modified so that they are appropriate for the context of preparation and focused on essential elements of practice for novice teachers. </w:t>
      </w:r>
      <w:r w:rsidRPr="6A7073E9">
        <w:rPr>
          <w:rFonts w:cstheme="majorBidi"/>
        </w:rPr>
        <w:t xml:space="preserve">For more information about CAP, see the </w:t>
      </w:r>
      <w:hyperlink r:id="rId35" w:history="1">
        <w:r w:rsidRPr="6A7073E9">
          <w:rPr>
            <w:rStyle w:val="Hyperlink"/>
            <w:rFonts w:cstheme="majorBidi"/>
          </w:rPr>
          <w:t>Guidelines for the Candidate Assessment of Performance</w:t>
        </w:r>
      </w:hyperlink>
      <w:r w:rsidRPr="6A7073E9">
        <w:rPr>
          <w:rStyle w:val="Hyperlink"/>
          <w:rFonts w:cstheme="majorBidi"/>
        </w:rPr>
        <w:t>.</w:t>
      </w:r>
      <w:r>
        <w:rPr>
          <w:rStyle w:val="Hyperlink"/>
          <w:rFonts w:cstheme="majorHAnsi"/>
          <w:sz w:val="24"/>
          <w:szCs w:val="24"/>
        </w:rPr>
        <w:br/>
      </w:r>
      <w:bookmarkStart w:id="48" w:name="_Toc125547324"/>
    </w:p>
    <w:p w14:paraId="7CF15A15" w14:textId="11EFD896" w:rsidR="00D317A3" w:rsidRPr="00D317A3" w:rsidRDefault="00D317A3" w:rsidP="001F3F72">
      <w:pPr>
        <w:ind w:right="-14"/>
        <w:rPr>
          <w:rFonts w:cstheme="majorHAnsi"/>
        </w:rPr>
      </w:pPr>
      <w:bookmarkStart w:id="49" w:name="_Toc125574775"/>
      <w:bookmarkStart w:id="50" w:name="_Toc125575619"/>
      <w:r w:rsidRPr="00C66226">
        <w:rPr>
          <w:rStyle w:val="Heading3Char"/>
          <w:color w:val="215868" w:themeColor="accent5" w:themeShade="80"/>
        </w:rPr>
        <w:t>Specialist Teacher and School Support Personnel Licenses</w:t>
      </w:r>
      <w:bookmarkStart w:id="51" w:name="_Toc125547325"/>
      <w:bookmarkEnd w:id="48"/>
      <w:bookmarkEnd w:id="49"/>
      <w:bookmarkEnd w:id="50"/>
      <w:r>
        <w:br/>
      </w:r>
      <w:r w:rsidRPr="00D317A3">
        <w:rPr>
          <w:rFonts w:cstheme="majorHAnsi"/>
          <w:color w:val="000000" w:themeColor="text1"/>
        </w:rPr>
        <w:t xml:space="preserve">CAP does not apply to Specialist Teacher or School Support Personnel programs. </w:t>
      </w:r>
      <w:r w:rsidR="00012E6B">
        <w:rPr>
          <w:rFonts w:cstheme="majorHAnsi"/>
          <w:color w:val="000000" w:themeColor="text1"/>
        </w:rPr>
        <w:t xml:space="preserve">The </w:t>
      </w:r>
      <w:r w:rsidRPr="00D317A3">
        <w:rPr>
          <w:rFonts w:cstheme="majorHAnsi"/>
          <w:color w:val="000000" w:themeColor="text1"/>
        </w:rPr>
        <w:t xml:space="preserve">Sponsoring Organization </w:t>
      </w:r>
      <w:r w:rsidR="00012E6B">
        <w:rPr>
          <w:rFonts w:cstheme="majorHAnsi"/>
          <w:color w:val="000000" w:themeColor="text1"/>
        </w:rPr>
        <w:t>is</w:t>
      </w:r>
      <w:r w:rsidRPr="00D317A3">
        <w:rPr>
          <w:rFonts w:cstheme="majorHAnsi"/>
          <w:color w:val="000000" w:themeColor="text1"/>
        </w:rPr>
        <w:t xml:space="preserve"> expected to assess candidates during their practicum/practicum equivalent experience with a performance assessment that provides candidates with feedback to improve their practice and ensures completers are ready on day one. </w:t>
      </w:r>
      <w:r w:rsidR="002B4AE6">
        <w:rPr>
          <w:rFonts w:cstheme="majorHAnsi"/>
          <w:color w:val="000000" w:themeColor="text1"/>
        </w:rPr>
        <w:t>It is the responsibility of t</w:t>
      </w:r>
      <w:r w:rsidR="00C20C66">
        <w:rPr>
          <w:rFonts w:cstheme="majorHAnsi"/>
          <w:color w:val="000000" w:themeColor="text1"/>
        </w:rPr>
        <w:t xml:space="preserve">he </w:t>
      </w:r>
      <w:r w:rsidRPr="00D317A3">
        <w:rPr>
          <w:rFonts w:cstheme="majorHAnsi"/>
          <w:color w:val="000000" w:themeColor="text1"/>
        </w:rPr>
        <w:t xml:space="preserve">Sponsoring Organization </w:t>
      </w:r>
      <w:r w:rsidR="002B4AE6">
        <w:rPr>
          <w:rFonts w:cstheme="majorHAnsi"/>
          <w:color w:val="000000" w:themeColor="text1"/>
        </w:rPr>
        <w:t>to</w:t>
      </w:r>
      <w:r w:rsidRPr="00D317A3">
        <w:rPr>
          <w:rFonts w:cstheme="majorHAnsi"/>
          <w:color w:val="000000" w:themeColor="text1"/>
        </w:rPr>
        <w:t xml:space="preserve"> develop and consistently implement a performance assessment appropriate for each Specialist Teacher and School Support Personnel program.</w:t>
      </w:r>
      <w:bookmarkStart w:id="52" w:name="_Toc125547326"/>
      <w:bookmarkEnd w:id="51"/>
      <w:r>
        <w:rPr>
          <w:rFonts w:cstheme="majorHAnsi"/>
          <w:color w:val="000000" w:themeColor="text1"/>
          <w:sz w:val="24"/>
          <w:szCs w:val="24"/>
        </w:rPr>
        <w:br/>
      </w:r>
      <w:r>
        <w:rPr>
          <w:rFonts w:cstheme="majorHAnsi"/>
          <w:color w:val="000000" w:themeColor="text1"/>
          <w:sz w:val="24"/>
          <w:szCs w:val="24"/>
        </w:rPr>
        <w:br/>
      </w:r>
      <w:r w:rsidRPr="00C66226">
        <w:rPr>
          <w:rStyle w:val="Heading3Char"/>
          <w:color w:val="215868" w:themeColor="accent5" w:themeShade="80"/>
        </w:rPr>
        <w:t>Administrator</w:t>
      </w:r>
      <w:r w:rsidRPr="00C66226">
        <w:rPr>
          <w:rStyle w:val="Heading3Char"/>
          <w:rFonts w:asciiTheme="majorHAnsi" w:hAnsiTheme="majorHAnsi" w:cstheme="majorHAnsi"/>
          <w:color w:val="215868" w:themeColor="accent5" w:themeShade="80"/>
          <w:sz w:val="24"/>
          <w:szCs w:val="24"/>
        </w:rPr>
        <w:t xml:space="preserve"> </w:t>
      </w:r>
      <w:r w:rsidRPr="00C66226">
        <w:rPr>
          <w:rStyle w:val="Heading3Char"/>
          <w:color w:val="215868" w:themeColor="accent5" w:themeShade="80"/>
        </w:rPr>
        <w:t>Licenses</w:t>
      </w:r>
      <w:bookmarkEnd w:id="52"/>
      <w:r w:rsidRPr="00C66226">
        <w:rPr>
          <w:color w:val="215868" w:themeColor="accent5" w:themeShade="80"/>
        </w:rPr>
        <w:t xml:space="preserve"> </w:t>
      </w:r>
      <w:bookmarkStart w:id="53" w:name="_Toc125547327"/>
      <w:r>
        <w:rPr>
          <w:color w:val="943634" w:themeColor="accent2" w:themeShade="BF"/>
        </w:rPr>
        <w:br/>
      </w:r>
      <w:r w:rsidRPr="00D317A3">
        <w:rPr>
          <w:rFonts w:cstheme="majorHAnsi"/>
          <w:color w:val="000000" w:themeColor="text1"/>
        </w:rPr>
        <w:t xml:space="preserve">For each Administrator preparation program, Sponsoring Organizations are expected to use a performance assessment to assess candidate readiness for the licensure role relative to the role-specific </w:t>
      </w:r>
      <w:r w:rsidR="00293328" w:rsidRPr="005D0DF3">
        <w:t>Indicators</w:t>
      </w:r>
      <w:r w:rsidRPr="00D317A3">
        <w:rPr>
          <w:rFonts w:cstheme="majorHAnsi"/>
          <w:color w:val="000000" w:themeColor="text1"/>
        </w:rPr>
        <w:t xml:space="preserve"> for the </w:t>
      </w:r>
      <w:hyperlink r:id="rId36" w:history="1">
        <w:r w:rsidRPr="00293328">
          <w:rPr>
            <w:rStyle w:val="Hyperlink"/>
            <w:rFonts w:cstheme="majorHAnsi"/>
          </w:rPr>
          <w:t>Professional Standards for Administrative Leadership</w:t>
        </w:r>
      </w:hyperlink>
      <w:r w:rsidRPr="00D317A3">
        <w:rPr>
          <w:rFonts w:cstheme="majorHAnsi"/>
          <w:color w:val="000000" w:themeColor="text1"/>
        </w:rPr>
        <w:t xml:space="preserve">. The primary focus of the performance assessment should be providing feedback to improve practice on those Indicators at the ‘Demonstrate’ level. Candidates should </w:t>
      </w:r>
      <w:r w:rsidR="006747A7">
        <w:rPr>
          <w:rFonts w:cstheme="majorHAnsi"/>
          <w:color w:val="000000" w:themeColor="text1"/>
        </w:rPr>
        <w:t>have m</w:t>
      </w:r>
      <w:r w:rsidRPr="00D317A3">
        <w:rPr>
          <w:rFonts w:cstheme="majorHAnsi"/>
          <w:color w:val="000000" w:themeColor="text1"/>
        </w:rPr>
        <w:t xml:space="preserve">ultiple opportunities for practice in their field-based </w:t>
      </w:r>
      <w:r w:rsidRPr="00D317A3">
        <w:rPr>
          <w:rFonts w:cstheme="majorHAnsi"/>
          <w:color w:val="000000" w:themeColor="text1"/>
        </w:rPr>
        <w:lastRenderedPageBreak/>
        <w:t xml:space="preserve">experiences, </w:t>
      </w:r>
      <w:r w:rsidR="006747A7">
        <w:rPr>
          <w:rFonts w:cstheme="majorHAnsi"/>
          <w:color w:val="000000" w:themeColor="text1"/>
        </w:rPr>
        <w:t>receive</w:t>
      </w:r>
      <w:r w:rsidRPr="00D317A3">
        <w:rPr>
          <w:rFonts w:cstheme="majorHAnsi"/>
          <w:color w:val="000000" w:themeColor="text1"/>
        </w:rPr>
        <w:t xml:space="preserve"> feedback to improve, and demonstrate consis</w:t>
      </w:r>
      <w:sdt>
        <w:sdtPr>
          <w:rPr>
            <w:rFonts w:cstheme="majorHAnsi"/>
            <w:b/>
          </w:rPr>
          <w:tag w:val="goog_rdk_405"/>
          <w:id w:val="1733531569"/>
          <w:placeholder>
            <w:docPart w:val="22C1FF657A974792B6E5C5E522924253"/>
          </w:placeholder>
        </w:sdtPr>
        <w:sdtEndPr/>
        <w:sdtContent/>
      </w:sdt>
      <w:sdt>
        <w:sdtPr>
          <w:rPr>
            <w:rFonts w:cstheme="majorHAnsi"/>
            <w:b/>
          </w:rPr>
          <w:tag w:val="goog_rdk_422"/>
          <w:id w:val="1729491439"/>
          <w:placeholder>
            <w:docPart w:val="22C1FF657A974792B6E5C5E522924253"/>
          </w:placeholder>
        </w:sdtPr>
        <w:sdtEndPr/>
        <w:sdtContent/>
      </w:sdt>
      <w:r w:rsidRPr="00D317A3">
        <w:rPr>
          <w:rFonts w:cstheme="majorHAnsi"/>
          <w:color w:val="000000" w:themeColor="text1"/>
        </w:rPr>
        <w:t xml:space="preserve">tency and proficiency within the </w:t>
      </w:r>
      <w:r w:rsidR="00456C9D">
        <w:rPr>
          <w:rFonts w:cstheme="majorHAnsi"/>
          <w:color w:val="000000" w:themeColor="text1"/>
        </w:rPr>
        <w:t>I</w:t>
      </w:r>
      <w:r w:rsidR="00456C9D" w:rsidRPr="00D317A3">
        <w:rPr>
          <w:rFonts w:cstheme="majorHAnsi"/>
          <w:color w:val="000000" w:themeColor="text1"/>
        </w:rPr>
        <w:t xml:space="preserve">ndicator </w:t>
      </w:r>
      <w:r w:rsidRPr="00D317A3">
        <w:rPr>
          <w:rFonts w:cstheme="majorHAnsi"/>
          <w:color w:val="000000" w:themeColor="text1"/>
        </w:rPr>
        <w:t>in order to meet the expectations of the performance assessment.</w:t>
      </w:r>
      <w:bookmarkEnd w:id="53"/>
    </w:p>
    <w:p w14:paraId="5219C2ED" w14:textId="77777777" w:rsidR="00D317A3" w:rsidRPr="00D317A3" w:rsidRDefault="00D317A3" w:rsidP="00E625C1">
      <w:pPr>
        <w:rPr>
          <w:rFonts w:cstheme="majorHAnsi"/>
          <w:b/>
          <w:bCs/>
          <w:i/>
          <w:iCs/>
          <w:color w:val="000000"/>
        </w:rPr>
      </w:pPr>
    </w:p>
    <w:p w14:paraId="40F1786E" w14:textId="68870DF4" w:rsidR="003758F5" w:rsidRPr="0057720C" w:rsidRDefault="00D317A3" w:rsidP="0057720C">
      <w:pPr>
        <w:rPr>
          <w:rFonts w:cstheme="majorHAnsi"/>
        </w:rPr>
      </w:pPr>
      <w:r w:rsidRPr="0057720C">
        <w:rPr>
          <w:rFonts w:cstheme="majorHAnsi"/>
          <w:b/>
          <w:bCs/>
          <w:i/>
          <w:iCs/>
          <w:color w:val="000000"/>
        </w:rPr>
        <w:t>Note: The Massachusetts Performance Assessment for Leaders (PAL) does not fulfill this expectation for principal preparation programs.</w:t>
      </w:r>
      <w:r w:rsidRPr="001C18C2">
        <w:rPr>
          <w:rFonts w:cstheme="majorHAnsi"/>
          <w:color w:val="000000"/>
        </w:rPr>
        <w:t xml:space="preserve"> </w:t>
      </w:r>
      <w:r w:rsidRPr="001D3A73">
        <w:rPr>
          <w:rFonts w:cstheme="majorHAnsi"/>
          <w:color w:val="000000"/>
        </w:rPr>
        <w:t>As a</w:t>
      </w:r>
      <w:r w:rsidRPr="0015527C">
        <w:rPr>
          <w:rFonts w:cstheme="majorHAnsi"/>
          <w:color w:val="000000" w:themeColor="text1"/>
        </w:rPr>
        <w:t>n</w:t>
      </w:r>
      <w:r w:rsidRPr="0015527C">
        <w:rPr>
          <w:rFonts w:cstheme="majorHAnsi"/>
          <w:color w:val="000000"/>
        </w:rPr>
        <w:t xml:space="preserve"> assessment</w:t>
      </w:r>
      <w:r w:rsidRPr="0015527C">
        <w:rPr>
          <w:rFonts w:cstheme="majorHAnsi"/>
          <w:color w:val="000000" w:themeColor="text1"/>
        </w:rPr>
        <w:t xml:space="preserve"> for Initial licensure</w:t>
      </w:r>
      <w:r w:rsidRPr="0015527C">
        <w:rPr>
          <w:rFonts w:cstheme="majorHAnsi"/>
          <w:color w:val="000000"/>
        </w:rPr>
        <w:t xml:space="preserve">, </w:t>
      </w:r>
      <w:r w:rsidR="005108D9" w:rsidRPr="0015527C">
        <w:rPr>
          <w:rFonts w:cstheme="majorHAnsi"/>
          <w:color w:val="000000"/>
        </w:rPr>
        <w:t>PAL</w:t>
      </w:r>
      <w:r w:rsidR="006A0F22" w:rsidRPr="0015527C">
        <w:rPr>
          <w:rFonts w:cstheme="majorHAnsi"/>
          <w:color w:val="000000"/>
        </w:rPr>
        <w:t xml:space="preserve"> ensures all applicants for </w:t>
      </w:r>
      <w:r w:rsidR="00AD3CA3" w:rsidRPr="0015527C">
        <w:rPr>
          <w:rFonts w:cstheme="majorHAnsi"/>
          <w:color w:val="000000"/>
        </w:rPr>
        <w:t>Principal</w:t>
      </w:r>
      <w:r w:rsidR="006A0F22" w:rsidRPr="0015527C">
        <w:rPr>
          <w:rFonts w:cstheme="majorHAnsi"/>
          <w:color w:val="000000"/>
        </w:rPr>
        <w:t>/</w:t>
      </w:r>
      <w:r w:rsidR="00AD3CA3" w:rsidRPr="0015527C">
        <w:rPr>
          <w:rFonts w:cstheme="majorHAnsi"/>
          <w:color w:val="000000"/>
        </w:rPr>
        <w:t xml:space="preserve">Assistant Principal </w:t>
      </w:r>
      <w:r w:rsidR="00434260" w:rsidRPr="0015527C">
        <w:rPr>
          <w:rFonts w:cstheme="majorHAnsi"/>
          <w:color w:val="000000"/>
        </w:rPr>
        <w:t xml:space="preserve">licensure </w:t>
      </w:r>
      <w:r w:rsidR="00C62D49" w:rsidRPr="0015527C">
        <w:rPr>
          <w:rFonts w:cstheme="majorHAnsi"/>
          <w:color w:val="000000"/>
        </w:rPr>
        <w:t>provide evidence of their readiness</w:t>
      </w:r>
      <w:r w:rsidR="00F12AAB" w:rsidRPr="0015527C">
        <w:rPr>
          <w:rFonts w:cstheme="majorHAnsi"/>
          <w:color w:val="000000"/>
        </w:rPr>
        <w:t xml:space="preserve"> to be effective in the role. </w:t>
      </w:r>
      <w:r w:rsidRPr="0057720C">
        <w:rPr>
          <w:rFonts w:cstheme="majorHAnsi"/>
          <w:color w:val="000000"/>
        </w:rPr>
        <w:t>PAL does not cover all Indicators at the ‘Demonstrate’ le</w:t>
      </w:r>
      <w:sdt>
        <w:sdtPr>
          <w:rPr>
            <w:rFonts w:cstheme="majorHAnsi"/>
          </w:rPr>
          <w:tag w:val="goog_rdk_428"/>
          <w:id w:val="250320952"/>
          <w:placeholder>
            <w:docPart w:val="22C1FF657A974792B6E5C5E522924253"/>
          </w:placeholder>
        </w:sdtPr>
        <w:sdtEndPr/>
        <w:sdtContent/>
      </w:sdt>
      <w:r w:rsidRPr="0057720C">
        <w:rPr>
          <w:rFonts w:cstheme="majorHAnsi"/>
          <w:color w:val="000000"/>
        </w:rPr>
        <w:t>vel for Principal/Assistant Principal licensure</w:t>
      </w:r>
      <w:r w:rsidR="0059239A" w:rsidRPr="001C18C2">
        <w:rPr>
          <w:rFonts w:cstheme="majorHAnsi"/>
          <w:color w:val="000000"/>
        </w:rPr>
        <w:t xml:space="preserve">, however, </w:t>
      </w:r>
      <w:r w:rsidR="0059239A" w:rsidRPr="0015527C">
        <w:rPr>
          <w:rFonts w:cstheme="majorHAnsi"/>
          <w:color w:val="000000"/>
        </w:rPr>
        <w:t>and c</w:t>
      </w:r>
      <w:r w:rsidR="005108D9" w:rsidRPr="0015527C">
        <w:rPr>
          <w:rFonts w:cstheme="majorHAnsi"/>
          <w:color w:val="000000"/>
        </w:rPr>
        <w:t xml:space="preserve">andidates </w:t>
      </w:r>
      <w:r w:rsidRPr="0015527C">
        <w:rPr>
          <w:rFonts w:cstheme="majorHAnsi"/>
          <w:color w:val="000000"/>
        </w:rPr>
        <w:t xml:space="preserve">do not have the opportunity to receive feedback to improve their practice through PAL. </w:t>
      </w:r>
      <w:r w:rsidR="00D5766A" w:rsidRPr="0015527C">
        <w:rPr>
          <w:rFonts w:cstheme="majorHAnsi"/>
          <w:color w:val="000000"/>
        </w:rPr>
        <w:t xml:space="preserve">A </w:t>
      </w:r>
      <w:r w:rsidR="00D5766A" w:rsidRPr="0015527C">
        <w:rPr>
          <w:rFonts w:cstheme="majorHAnsi"/>
          <w:color w:val="000000" w:themeColor="text1"/>
        </w:rPr>
        <w:t xml:space="preserve">performance assessment to assess candidate readiness for the licensure role relative to the role-specific </w:t>
      </w:r>
      <w:r w:rsidR="00D5766A" w:rsidRPr="0015527C">
        <w:rPr>
          <w:rFonts w:cstheme="majorHAnsi"/>
        </w:rPr>
        <w:t>Indicators</w:t>
      </w:r>
      <w:r w:rsidR="00453F84" w:rsidRPr="0015527C">
        <w:rPr>
          <w:rFonts w:cstheme="majorHAnsi"/>
        </w:rPr>
        <w:t xml:space="preserve"> remains necessary. </w:t>
      </w:r>
      <w:sdt>
        <w:sdtPr>
          <w:rPr>
            <w:rFonts w:cstheme="majorHAnsi"/>
          </w:rPr>
          <w:tag w:val="goog_rdk_428"/>
          <w:id w:val="2088649842"/>
          <w:placeholder>
            <w:docPart w:val="F9D6A1E739F744098B4A99D343EBEFA5"/>
          </w:placeholder>
        </w:sdtPr>
        <w:sdtEndPr/>
        <w:sdtContent/>
      </w:sdt>
      <w:r w:rsidR="00453F84" w:rsidRPr="0057720C">
        <w:rPr>
          <w:rFonts w:cstheme="majorHAnsi"/>
          <w:color w:val="000000"/>
        </w:rPr>
        <w:t>T</w:t>
      </w:r>
      <w:r w:rsidRPr="0057720C">
        <w:rPr>
          <w:rFonts w:cstheme="majorHAnsi"/>
          <w:color w:val="000000"/>
        </w:rPr>
        <w:t>here</w:t>
      </w:r>
      <w:r w:rsidRPr="001C18C2">
        <w:rPr>
          <w:rFonts w:cstheme="majorHAnsi"/>
          <w:color w:val="000000"/>
        </w:rPr>
        <w:t xml:space="preserve"> are ways in which a Sponsoring Organization’s performance assessment could work in tandem with PAL within the guidelines and expectations for PAL support outlined in the PAL Administrative Field Guide</w:t>
      </w:r>
      <w:r w:rsidRPr="0057720C">
        <w:rPr>
          <w:rStyle w:val="FootnoteReference"/>
          <w:rFonts w:cstheme="majorHAnsi"/>
          <w:color w:val="000000"/>
        </w:rPr>
        <w:footnoteReference w:id="12"/>
      </w:r>
      <w:r w:rsidRPr="0057720C">
        <w:rPr>
          <w:rStyle w:val="FootnoteReference"/>
          <w:rFonts w:cstheme="majorHAnsi"/>
          <w:color w:val="000000" w:themeColor="text1"/>
          <w:vertAlign w:val="baseline"/>
        </w:rPr>
        <w:t>.</w:t>
      </w:r>
    </w:p>
    <w:p w14:paraId="1B8978AC" w14:textId="1BAD08BC" w:rsidR="003758F5" w:rsidRPr="00D317A3" w:rsidRDefault="003758F5" w:rsidP="003B214D">
      <w:pPr>
        <w:pStyle w:val="Heading2"/>
      </w:pPr>
      <w:bookmarkStart w:id="54" w:name="_Toc125547321"/>
      <w:bookmarkStart w:id="55" w:name="_Toc125574776"/>
      <w:bookmarkStart w:id="56" w:name="_Toc125575620"/>
      <w:r w:rsidRPr="00D317A3">
        <w:t>Field-Based Experiences (FBE) Criteria:</w:t>
      </w:r>
      <w:bookmarkEnd w:id="54"/>
      <w:bookmarkEnd w:id="55"/>
      <w:bookmarkEnd w:id="56"/>
    </w:p>
    <w:p w14:paraId="03E71CFB" w14:textId="56F1E988" w:rsidR="003758F5" w:rsidRPr="00D317A3" w:rsidRDefault="003758F5" w:rsidP="003758F5">
      <w:pPr>
        <w:ind w:left="720"/>
        <w:rPr>
          <w:rFonts w:cstheme="majorHAnsi"/>
          <w:color w:val="000000" w:themeColor="text1"/>
        </w:rPr>
      </w:pPr>
      <w:r w:rsidRPr="00D317A3">
        <w:rPr>
          <w:rFonts w:cstheme="majorHAnsi"/>
          <w:color w:val="000000" w:themeColor="text1"/>
        </w:rPr>
        <w:t>FBE 1: The Sponsoring Organization ensures all candidates are placed in settings for pre-practicum and practicum which prepare them to become effective educators, through which candidates are exposed to a range of settings, including those with</w:t>
      </w:r>
      <w:r w:rsidR="00D93873" w:rsidRPr="00D317A3">
        <w:rPr>
          <w:rStyle w:val="FootnoteReference"/>
          <w:rFonts w:cstheme="majorHAnsi"/>
          <w:color w:val="000000" w:themeColor="text1"/>
        </w:rPr>
        <w:footnoteReference w:id="13"/>
      </w:r>
      <w:r w:rsidRPr="00D317A3">
        <w:rPr>
          <w:rFonts w:cstheme="majorHAnsi"/>
          <w:color w:val="000000" w:themeColor="text1"/>
        </w:rPr>
        <w:t xml:space="preserve">:  </w:t>
      </w:r>
    </w:p>
    <w:p w14:paraId="544F6907" w14:textId="77777777" w:rsidR="003758F5" w:rsidRPr="00D317A3" w:rsidRDefault="003758F5" w:rsidP="000E41AB">
      <w:pPr>
        <w:pStyle w:val="ListParagraph"/>
        <w:numPr>
          <w:ilvl w:val="0"/>
          <w:numId w:val="11"/>
        </w:numPr>
        <w:spacing w:after="160" w:line="259" w:lineRule="auto"/>
        <w:rPr>
          <w:rFonts w:eastAsiaTheme="minorEastAsia" w:cstheme="majorHAnsi"/>
          <w:b/>
          <w:bCs/>
          <w:color w:val="000000" w:themeColor="text1"/>
        </w:rPr>
      </w:pPr>
      <w:r w:rsidRPr="00D317A3">
        <w:rPr>
          <w:rFonts w:cstheme="majorHAnsi"/>
          <w:color w:val="000000" w:themeColor="text1"/>
        </w:rPr>
        <w:t xml:space="preserve">Access to high-quality curricular materials.  </w:t>
      </w:r>
    </w:p>
    <w:p w14:paraId="057D12F4" w14:textId="77777777" w:rsidR="003758F5" w:rsidRPr="00D317A3" w:rsidRDefault="003758F5" w:rsidP="000E41AB">
      <w:pPr>
        <w:pStyle w:val="ListParagraph"/>
        <w:numPr>
          <w:ilvl w:val="0"/>
          <w:numId w:val="11"/>
        </w:numPr>
        <w:spacing w:after="160" w:line="259" w:lineRule="auto"/>
        <w:rPr>
          <w:rFonts w:eastAsiaTheme="minorEastAsia" w:cstheme="majorHAnsi"/>
          <w:b/>
          <w:bCs/>
          <w:color w:val="000000" w:themeColor="text1"/>
        </w:rPr>
      </w:pPr>
      <w:r w:rsidRPr="00D317A3">
        <w:rPr>
          <w:rFonts w:cstheme="majorHAnsi"/>
          <w:color w:val="000000" w:themeColor="text1"/>
        </w:rPr>
        <w:t xml:space="preserve">Diversity of students (including racial, socioeconomic, linguistic diversity, and diversity of ability).  </w:t>
      </w:r>
    </w:p>
    <w:p w14:paraId="2A4CD337" w14:textId="77777777" w:rsidR="003758F5" w:rsidRPr="00D317A3" w:rsidRDefault="003758F5" w:rsidP="000E41AB">
      <w:pPr>
        <w:pStyle w:val="ListParagraph"/>
        <w:numPr>
          <w:ilvl w:val="0"/>
          <w:numId w:val="11"/>
        </w:numPr>
        <w:spacing w:after="160" w:line="259" w:lineRule="auto"/>
        <w:rPr>
          <w:rFonts w:eastAsiaTheme="minorEastAsia" w:cstheme="majorHAnsi"/>
          <w:b/>
          <w:bCs/>
          <w:color w:val="000000" w:themeColor="text1"/>
        </w:rPr>
      </w:pPr>
      <w:r w:rsidRPr="00D317A3">
        <w:rPr>
          <w:rFonts w:cstheme="majorHAnsi"/>
          <w:color w:val="000000" w:themeColor="text1"/>
        </w:rPr>
        <w:t xml:space="preserve">Opportunities to integrate candidates into all components of the school community (e.g., staff meetings, professional development, family engagement opportunities).  </w:t>
      </w:r>
    </w:p>
    <w:p w14:paraId="604F9DC6" w14:textId="77777777" w:rsidR="003758F5" w:rsidRPr="00D317A3" w:rsidRDefault="003758F5" w:rsidP="000E41AB">
      <w:pPr>
        <w:pStyle w:val="ListParagraph"/>
        <w:numPr>
          <w:ilvl w:val="0"/>
          <w:numId w:val="11"/>
        </w:numPr>
        <w:spacing w:after="160" w:line="259" w:lineRule="auto"/>
        <w:rPr>
          <w:rFonts w:eastAsiaTheme="minorEastAsia" w:cstheme="majorHAnsi"/>
          <w:b/>
          <w:bCs/>
          <w:color w:val="000000" w:themeColor="text1"/>
        </w:rPr>
      </w:pPr>
      <w:r w:rsidRPr="00D317A3">
        <w:rPr>
          <w:rFonts w:cstheme="majorHAnsi"/>
          <w:color w:val="000000" w:themeColor="text1"/>
        </w:rPr>
        <w:t>Anti-racist and culturally and linguistically sustaining school culture.</w:t>
      </w:r>
    </w:p>
    <w:p w14:paraId="6964A8FE" w14:textId="7D27CCCF" w:rsidR="003758F5" w:rsidRPr="00D317A3" w:rsidRDefault="003758F5" w:rsidP="003758F5">
      <w:pPr>
        <w:ind w:left="720"/>
        <w:rPr>
          <w:rFonts w:cstheme="majorBidi"/>
          <w:color w:val="000000" w:themeColor="text1"/>
        </w:rPr>
      </w:pPr>
      <w:r w:rsidRPr="7F80E035">
        <w:rPr>
          <w:rFonts w:cstheme="majorBidi"/>
          <w:color w:val="000000" w:themeColor="text1"/>
        </w:rPr>
        <w:t xml:space="preserve">FBE 2: The Sponsoring Organization selects and matches Supervising Practitioners with </w:t>
      </w:r>
      <w:r w:rsidR="00FF415A" w:rsidRPr="7F80E035">
        <w:rPr>
          <w:rFonts w:cstheme="majorBidi"/>
          <w:color w:val="000000" w:themeColor="text1"/>
        </w:rPr>
        <w:t xml:space="preserve">individual </w:t>
      </w:r>
      <w:r w:rsidRPr="7F80E035">
        <w:rPr>
          <w:rFonts w:cstheme="majorBidi"/>
          <w:color w:val="000000" w:themeColor="text1"/>
        </w:rPr>
        <w:t xml:space="preserve">candidates to ensure that all candidates’ (including candidates from all races, identity groups, and backgrounds) placements are appropriate and supportive by identifying Supervising Practitioners who: </w:t>
      </w:r>
    </w:p>
    <w:p w14:paraId="55B3FFF9" w14:textId="13577357" w:rsidR="003758F5" w:rsidRPr="00D317A3" w:rsidRDefault="003758F5" w:rsidP="000E41AB">
      <w:pPr>
        <w:pStyle w:val="ListParagraph"/>
        <w:numPr>
          <w:ilvl w:val="0"/>
          <w:numId w:val="11"/>
        </w:numPr>
        <w:spacing w:after="160" w:line="259" w:lineRule="auto"/>
        <w:rPr>
          <w:rFonts w:eastAsiaTheme="minorEastAsia" w:cstheme="majorHAnsi"/>
          <w:b/>
          <w:bCs/>
          <w:color w:val="000000" w:themeColor="text1"/>
        </w:rPr>
      </w:pPr>
      <w:r w:rsidRPr="00D317A3">
        <w:rPr>
          <w:rFonts w:cstheme="majorHAnsi"/>
          <w:color w:val="000000" w:themeColor="text1"/>
        </w:rPr>
        <w:t>Model anti-racist and culturally and linguistically sustaining practices</w:t>
      </w:r>
      <w:r w:rsidR="00DC4292" w:rsidRPr="00D317A3">
        <w:rPr>
          <w:rStyle w:val="FootnoteReference"/>
          <w:rFonts w:cstheme="majorHAnsi"/>
          <w:color w:val="000000" w:themeColor="text1"/>
        </w:rPr>
        <w:footnoteReference w:id="14"/>
      </w:r>
      <w:r w:rsidRPr="00D317A3">
        <w:rPr>
          <w:rFonts w:cstheme="majorHAnsi"/>
          <w:color w:val="000000" w:themeColor="text1"/>
        </w:rPr>
        <w:t xml:space="preserve">. </w:t>
      </w:r>
    </w:p>
    <w:p w14:paraId="756FDC47" w14:textId="77777777" w:rsidR="003758F5" w:rsidRPr="00D317A3" w:rsidRDefault="003758F5" w:rsidP="000E41AB">
      <w:pPr>
        <w:pStyle w:val="ListParagraph"/>
        <w:numPr>
          <w:ilvl w:val="0"/>
          <w:numId w:val="11"/>
        </w:numPr>
        <w:spacing w:after="160" w:line="259" w:lineRule="auto"/>
        <w:rPr>
          <w:rFonts w:eastAsiaTheme="minorEastAsia" w:cstheme="majorHAnsi"/>
          <w:b/>
          <w:bCs/>
          <w:color w:val="000000" w:themeColor="text1"/>
        </w:rPr>
      </w:pPr>
      <w:r w:rsidRPr="00D317A3">
        <w:rPr>
          <w:rFonts w:cstheme="majorHAnsi"/>
          <w:color w:val="000000" w:themeColor="text1"/>
        </w:rPr>
        <w:t xml:space="preserve">Effectively support candidates of all races, identity groups, and backgrounds. </w:t>
      </w:r>
    </w:p>
    <w:p w14:paraId="5F62946A" w14:textId="77777777" w:rsidR="003758F5" w:rsidRPr="00D317A3" w:rsidRDefault="003758F5" w:rsidP="000E41AB">
      <w:pPr>
        <w:pStyle w:val="ListParagraph"/>
        <w:numPr>
          <w:ilvl w:val="0"/>
          <w:numId w:val="11"/>
        </w:numPr>
        <w:spacing w:after="160" w:line="259" w:lineRule="auto"/>
        <w:rPr>
          <w:rFonts w:eastAsiaTheme="minorEastAsia" w:cstheme="majorHAnsi"/>
          <w:b/>
          <w:bCs/>
          <w:color w:val="000000" w:themeColor="text1"/>
        </w:rPr>
      </w:pPr>
      <w:r w:rsidRPr="00D317A3">
        <w:rPr>
          <w:rFonts w:cstheme="majorHAnsi"/>
          <w:color w:val="000000" w:themeColor="text1"/>
        </w:rPr>
        <w:t>Commit to meeting the Sponsoring Organization’s expectations of the role.</w:t>
      </w:r>
    </w:p>
    <w:p w14:paraId="63E493D4" w14:textId="77777777" w:rsidR="003758F5" w:rsidRPr="00D317A3" w:rsidRDefault="003758F5" w:rsidP="003758F5">
      <w:pPr>
        <w:ind w:left="720"/>
        <w:rPr>
          <w:rFonts w:cstheme="majorHAnsi"/>
          <w:color w:val="000000" w:themeColor="text1"/>
        </w:rPr>
      </w:pPr>
      <w:r w:rsidRPr="5E5DEAB0">
        <w:rPr>
          <w:rFonts w:cstheme="majorBidi"/>
          <w:color w:val="000000" w:themeColor="text1"/>
        </w:rPr>
        <w:lastRenderedPageBreak/>
        <w:t>FBE 3: The Sponsoring Organization supports and monitors all Supervising Practitioners and Program Supervisors to ensure that all candidates (including candidates from all races, identity groups, and backgrounds) receive robust supervision and mentorship in their licensure field, including high-quality feedback</w:t>
      </w:r>
      <w:r w:rsidRPr="5E5DEAB0">
        <w:rPr>
          <w:rStyle w:val="FootnoteReference"/>
          <w:rFonts w:cstheme="majorBidi"/>
          <w:color w:val="000000" w:themeColor="text1"/>
        </w:rPr>
        <w:footnoteReference w:id="15"/>
      </w:r>
      <w:r w:rsidRPr="5E5DEAB0">
        <w:rPr>
          <w:rFonts w:cstheme="majorBidi"/>
          <w:color w:val="000000" w:themeColor="text1"/>
        </w:rPr>
        <w:t xml:space="preserve"> and evaluation that prepare candidates to be effective anti-racist and culturally and linguistically sustaining educators.</w:t>
      </w:r>
    </w:p>
    <w:p w14:paraId="6059B5C6" w14:textId="77777777" w:rsidR="00265D28" w:rsidRPr="00D317A3" w:rsidRDefault="00265D28" w:rsidP="003758F5">
      <w:pPr>
        <w:ind w:left="720"/>
        <w:rPr>
          <w:rFonts w:cstheme="majorHAnsi"/>
          <w:color w:val="000000" w:themeColor="text1"/>
        </w:rPr>
      </w:pPr>
    </w:p>
    <w:p w14:paraId="53080661" w14:textId="77777777" w:rsidR="003758F5" w:rsidRPr="00D317A3" w:rsidRDefault="003758F5" w:rsidP="003758F5">
      <w:pPr>
        <w:ind w:left="720"/>
        <w:rPr>
          <w:rFonts w:cstheme="majorHAnsi"/>
          <w:color w:val="000000" w:themeColor="text1"/>
        </w:rPr>
      </w:pPr>
      <w:r w:rsidRPr="00D317A3">
        <w:rPr>
          <w:rFonts w:cstheme="majorHAnsi"/>
          <w:color w:val="000000" w:themeColor="text1"/>
        </w:rPr>
        <w:t>FBE 4: The Sponsoring Organization ensures that candidates’ pre-practicum and practicum experiences cover the full academic year and are structured to build to readiness for full responsibility in the licensure role.</w:t>
      </w:r>
    </w:p>
    <w:p w14:paraId="36733957" w14:textId="77777777" w:rsidR="00265D28" w:rsidRPr="00D317A3" w:rsidRDefault="00265D28" w:rsidP="003758F5">
      <w:pPr>
        <w:ind w:left="720"/>
        <w:rPr>
          <w:rFonts w:cstheme="majorHAnsi"/>
          <w:color w:val="000000" w:themeColor="text1"/>
        </w:rPr>
      </w:pPr>
    </w:p>
    <w:p w14:paraId="75E99352" w14:textId="711C83FC" w:rsidR="003758F5" w:rsidRPr="00D317A3" w:rsidRDefault="003758F5" w:rsidP="003758F5">
      <w:pPr>
        <w:ind w:left="720"/>
        <w:rPr>
          <w:rFonts w:cstheme="majorHAnsi"/>
          <w:color w:val="000000" w:themeColor="text1"/>
        </w:rPr>
      </w:pPr>
      <w:r w:rsidRPr="00D317A3">
        <w:rPr>
          <w:rFonts w:cstheme="majorHAnsi"/>
          <w:color w:val="000000" w:themeColor="text1"/>
        </w:rPr>
        <w:t xml:space="preserve">FBE 5: Performance assessments, such as the Candidate Assessment of Performance (CAP), are implemented consistently within and across programs to improve practice and ensure only candidates who are ready for full responsibility in the licensure role complete the program. For programs that do not use the CAP, performance assessments are regularly evaluated to ensure </w:t>
      </w:r>
      <w:r w:rsidR="009C19A4" w:rsidRPr="00D317A3">
        <w:rPr>
          <w:rFonts w:cstheme="majorHAnsi"/>
          <w:color w:val="000000" w:themeColor="text1"/>
        </w:rPr>
        <w:t>assessments</w:t>
      </w:r>
      <w:r w:rsidRPr="00D317A3">
        <w:rPr>
          <w:rFonts w:cstheme="majorHAnsi"/>
          <w:color w:val="000000" w:themeColor="text1"/>
        </w:rPr>
        <w:t xml:space="preserve"> are effective.</w:t>
      </w:r>
    </w:p>
    <w:p w14:paraId="246517D8" w14:textId="77777777" w:rsidR="00265D28" w:rsidRPr="00D317A3" w:rsidRDefault="00265D28" w:rsidP="003758F5">
      <w:pPr>
        <w:ind w:left="720"/>
        <w:rPr>
          <w:rFonts w:cstheme="majorHAnsi"/>
          <w:color w:val="000000" w:themeColor="text1"/>
        </w:rPr>
      </w:pPr>
    </w:p>
    <w:p w14:paraId="1CC5BA0F" w14:textId="77777777" w:rsidR="003758F5" w:rsidRPr="00D317A3" w:rsidRDefault="003758F5" w:rsidP="003758F5">
      <w:pPr>
        <w:ind w:left="720"/>
        <w:rPr>
          <w:rFonts w:cstheme="majorHAnsi"/>
        </w:rPr>
      </w:pPr>
      <w:r w:rsidRPr="00D317A3">
        <w:rPr>
          <w:rFonts w:cstheme="majorHAnsi"/>
          <w:color w:val="000000" w:themeColor="text1"/>
        </w:rPr>
        <w:t xml:space="preserve">FBE 6: Field-based experiences meet regulatory requirements:  </w:t>
      </w:r>
    </w:p>
    <w:p w14:paraId="687FA24B" w14:textId="77777777" w:rsidR="003758F5" w:rsidRPr="00D317A3" w:rsidRDefault="003758F5" w:rsidP="000E41AB">
      <w:pPr>
        <w:pStyle w:val="ListParagraph"/>
        <w:numPr>
          <w:ilvl w:val="0"/>
          <w:numId w:val="12"/>
        </w:numPr>
        <w:spacing w:after="160" w:line="259" w:lineRule="auto"/>
        <w:rPr>
          <w:rFonts w:eastAsiaTheme="minorEastAsia" w:cstheme="majorHAnsi"/>
          <w:color w:val="000000" w:themeColor="text1"/>
        </w:rPr>
      </w:pPr>
      <w:r w:rsidRPr="00D317A3">
        <w:rPr>
          <w:rFonts w:cstheme="majorHAnsi"/>
          <w:color w:val="000000" w:themeColor="text1"/>
        </w:rPr>
        <w:t xml:space="preserve">Practicum hours, including hours of full responsibility in the licensure role, meet regulatory requirements as per 603 CMR 7.04 (4);  </w:t>
      </w:r>
    </w:p>
    <w:p w14:paraId="03821714" w14:textId="77777777" w:rsidR="003758F5" w:rsidRPr="00D317A3" w:rsidRDefault="003758F5" w:rsidP="000E41AB">
      <w:pPr>
        <w:pStyle w:val="ListParagraph"/>
        <w:numPr>
          <w:ilvl w:val="0"/>
          <w:numId w:val="12"/>
        </w:numPr>
        <w:spacing w:after="160" w:line="259" w:lineRule="auto"/>
        <w:rPr>
          <w:rFonts w:eastAsiaTheme="minorEastAsia" w:cstheme="majorHAnsi"/>
          <w:color w:val="000000" w:themeColor="text1"/>
        </w:rPr>
      </w:pPr>
      <w:r w:rsidRPr="00D317A3">
        <w:rPr>
          <w:rFonts w:cstheme="majorHAnsi"/>
          <w:color w:val="000000" w:themeColor="text1"/>
        </w:rPr>
        <w:t xml:space="preserve">Placement(s) meet regulatory requirements as per 603 CMR 7.04 (4); and  </w:t>
      </w:r>
    </w:p>
    <w:p w14:paraId="005DCF8D" w14:textId="77777777" w:rsidR="00D317A3" w:rsidRDefault="003758F5" w:rsidP="000E41AB">
      <w:pPr>
        <w:pStyle w:val="ListParagraph"/>
        <w:numPr>
          <w:ilvl w:val="0"/>
          <w:numId w:val="12"/>
        </w:numPr>
        <w:spacing w:after="160" w:line="259" w:lineRule="auto"/>
        <w:rPr>
          <w:rFonts w:cstheme="majorHAnsi"/>
          <w:color w:val="000000" w:themeColor="text1"/>
        </w:rPr>
      </w:pPr>
      <w:r w:rsidRPr="00D317A3">
        <w:rPr>
          <w:rFonts w:cstheme="majorHAnsi"/>
          <w:color w:val="000000" w:themeColor="text1"/>
        </w:rPr>
        <w:t>Supervising Practitioner qualifications meet regulatory requirements as per 603 CMR 7.02</w:t>
      </w:r>
      <w:r w:rsidR="00D317A3">
        <w:rPr>
          <w:rFonts w:cstheme="majorHAnsi"/>
          <w:color w:val="000000" w:themeColor="text1"/>
        </w:rPr>
        <w:t>.</w:t>
      </w:r>
    </w:p>
    <w:p w14:paraId="3ECC836C" w14:textId="68778B10" w:rsidR="002E766C" w:rsidRPr="00D317A3" w:rsidRDefault="003758F5" w:rsidP="00D317A3">
      <w:pPr>
        <w:rPr>
          <w:rFonts w:cstheme="majorHAnsi"/>
          <w:color w:val="000000" w:themeColor="text1"/>
        </w:rPr>
      </w:pPr>
      <w:r w:rsidRPr="00D317A3">
        <w:rPr>
          <w:rFonts w:cstheme="majorHAnsi"/>
          <w:color w:val="000000" w:themeColor="text1"/>
        </w:rPr>
        <w:t xml:space="preserve">   </w:t>
      </w:r>
      <w:bookmarkStart w:id="57" w:name="_Performance_Assessments"/>
      <w:bookmarkEnd w:id="57"/>
    </w:p>
    <w:p w14:paraId="339E0F23" w14:textId="77777777" w:rsidR="00D317A3" w:rsidRDefault="00D317A3">
      <w:pPr>
        <w:rPr>
          <w:rFonts w:ascii="Calibri" w:hAnsi="Calibri"/>
          <w:b/>
          <w:color w:val="1F497D" w:themeColor="text2"/>
          <w:sz w:val="32"/>
          <w:szCs w:val="48"/>
        </w:rPr>
      </w:pPr>
      <w:bookmarkStart w:id="58" w:name="_Performance_Assessments_during"/>
      <w:bookmarkEnd w:id="58"/>
      <w:r>
        <w:br w:type="page"/>
      </w:r>
    </w:p>
    <w:p w14:paraId="5BE2C955" w14:textId="4D1EDA00" w:rsidR="007D386D" w:rsidRPr="00715D10" w:rsidRDefault="00586066" w:rsidP="00174ECC">
      <w:pPr>
        <w:pStyle w:val="Heading1"/>
      </w:pPr>
      <w:bookmarkStart w:id="59" w:name="_Toc125575621"/>
      <w:r w:rsidRPr="00715D10">
        <w:lastRenderedPageBreak/>
        <w:t>The Instruction Domain</w:t>
      </w:r>
      <w:bookmarkEnd w:id="59"/>
    </w:p>
    <w:p w14:paraId="1693D12B" w14:textId="45D53405" w:rsidR="00586066" w:rsidRPr="00284DC3" w:rsidRDefault="00586066" w:rsidP="00907698">
      <w:pPr>
        <w:rPr>
          <w:rFonts w:cstheme="majorHAnsi"/>
          <w:b/>
        </w:rPr>
      </w:pPr>
      <w:r w:rsidRPr="00284DC3">
        <w:rPr>
          <w:rFonts w:eastAsia="Calibri" w:cstheme="majorBidi"/>
          <w:b/>
          <w:i/>
          <w:color w:val="000000" w:themeColor="text1"/>
        </w:rPr>
        <w:t xml:space="preserve">All Sponsoring Organizations ensure that each program prepares candidates with deep content knowledge, </w:t>
      </w:r>
      <w:r w:rsidR="33A6EBCE" w:rsidRPr="00284DC3">
        <w:rPr>
          <w:rFonts w:eastAsia="Calibri" w:cstheme="majorBidi"/>
          <w:b/>
          <w:bCs/>
          <w:i/>
          <w:iCs/>
          <w:color w:val="000000" w:themeColor="text1"/>
        </w:rPr>
        <w:t>curricular literacy,</w:t>
      </w:r>
      <w:r w:rsidR="596EB56E" w:rsidRPr="00284DC3">
        <w:rPr>
          <w:rFonts w:eastAsia="Calibri" w:cstheme="majorBidi"/>
          <w:b/>
          <w:bCs/>
          <w:i/>
          <w:iCs/>
          <w:color w:val="000000" w:themeColor="text1"/>
        </w:rPr>
        <w:t xml:space="preserve"> </w:t>
      </w:r>
      <w:r w:rsidRPr="00284DC3">
        <w:rPr>
          <w:rFonts w:eastAsia="Calibri" w:cstheme="majorBidi"/>
          <w:b/>
          <w:i/>
          <w:color w:val="000000" w:themeColor="text1"/>
        </w:rPr>
        <w:t>anti-racist and culturally and linguistically sustaining pedagogical skills, and the ability to continuously reflect on their identities, biases, and practices.</w:t>
      </w:r>
      <w:r w:rsidR="00907698">
        <w:rPr>
          <w:rFonts w:eastAsia="Calibri" w:cstheme="majorBidi"/>
          <w:b/>
          <w:i/>
          <w:color w:val="000000" w:themeColor="text1"/>
        </w:rPr>
        <w:br/>
      </w:r>
      <w:r w:rsidR="00907698">
        <w:rPr>
          <w:rFonts w:eastAsia="Calibri" w:cstheme="majorBidi"/>
          <w:b/>
          <w:i/>
          <w:color w:val="000000" w:themeColor="text1"/>
        </w:rPr>
        <w:br/>
      </w:r>
      <w:r w:rsidRPr="00907698">
        <w:rPr>
          <w:rFonts w:cstheme="majorHAnsi"/>
          <w:bCs/>
        </w:rPr>
        <w:t xml:space="preserve">The Instruction </w:t>
      </w:r>
      <w:r w:rsidR="003266EB" w:rsidRPr="00907698">
        <w:rPr>
          <w:rFonts w:cstheme="majorHAnsi"/>
          <w:bCs/>
        </w:rPr>
        <w:t>d</w:t>
      </w:r>
      <w:r w:rsidRPr="00907698">
        <w:rPr>
          <w:rFonts w:cstheme="majorHAnsi"/>
          <w:bCs/>
        </w:rPr>
        <w:t xml:space="preserve">omain articulates the expectation that all candidates across educator preparation programs be prepared with deep content knowledge, </w:t>
      </w:r>
      <w:r w:rsidR="00F12478" w:rsidRPr="00907698">
        <w:rPr>
          <w:rFonts w:cstheme="majorHAnsi"/>
          <w:bCs/>
        </w:rPr>
        <w:t>curricular literacy,</w:t>
      </w:r>
      <w:r w:rsidRPr="00907698">
        <w:rPr>
          <w:rFonts w:cstheme="majorHAnsi"/>
          <w:bCs/>
        </w:rPr>
        <w:t xml:space="preserve"> anti-racist and culturally and linguistically sustaining pedagogical skills, and the capacity to continuously reflect on their identities, biases, and practices to ensure readiness for the licensure role. In order to meet these objectives, programs of study should provide all candidates with access to effective instruction in relevant subjective matter knowledge (as articulated in the </w:t>
      </w:r>
      <w:hyperlink r:id="rId37">
        <w:r w:rsidRPr="00907698">
          <w:rPr>
            <w:rStyle w:val="Hyperlink"/>
            <w:bCs/>
          </w:rPr>
          <w:t>Subject Matter Knowledge Guidelines</w:t>
        </w:r>
      </w:hyperlink>
      <w:r w:rsidRPr="00907698">
        <w:rPr>
          <w:rFonts w:cstheme="majorHAnsi"/>
          <w:bCs/>
        </w:rPr>
        <w:t xml:space="preserve">); evidence-based, anti-racist, culturally and linguistically sustaining practices; and curriculum literacy (see </w:t>
      </w:r>
      <w:hyperlink w:anchor="_Appendix_D:_Curriculum" w:history="1">
        <w:r w:rsidRPr="00907698">
          <w:rPr>
            <w:rStyle w:val="Hyperlink"/>
            <w:bCs/>
          </w:rPr>
          <w:t xml:space="preserve">Appendix </w:t>
        </w:r>
        <w:r w:rsidR="00041E47" w:rsidRPr="00907698">
          <w:rPr>
            <w:rStyle w:val="Hyperlink"/>
            <w:bCs/>
          </w:rPr>
          <w:t>D</w:t>
        </w:r>
        <w:r w:rsidRPr="00907698">
          <w:rPr>
            <w:rStyle w:val="Hyperlink"/>
            <w:bCs/>
          </w:rPr>
          <w:t>: Curriculum Literacy</w:t>
        </w:r>
      </w:hyperlink>
      <w:r w:rsidRPr="00907698">
        <w:rPr>
          <w:rFonts w:cstheme="majorHAnsi"/>
          <w:bCs/>
        </w:rPr>
        <w:t xml:space="preserve">). The criteria in the Instruction domain are differentiated to reflect these expectations and responsibilities of Teacher, Specialist Teacher, School Support Personnel, and Administrator roles. Within this domain, each program or grouping of similar programs is evaluated independently, rather than at the organization level as with the other domains. </w:t>
      </w:r>
      <w:r w:rsidR="00ED3751" w:rsidRPr="00907698">
        <w:rPr>
          <w:rFonts w:cstheme="majorHAnsi"/>
          <w:bCs/>
        </w:rPr>
        <w:t xml:space="preserve">DESE reserves the authority to </w:t>
      </w:r>
      <w:r w:rsidR="00943869" w:rsidRPr="00907698">
        <w:rPr>
          <w:rFonts w:cstheme="majorHAnsi"/>
          <w:bCs/>
        </w:rPr>
        <w:t>engage in</w:t>
      </w:r>
      <w:r w:rsidR="00B03644" w:rsidRPr="00907698">
        <w:rPr>
          <w:rFonts w:cstheme="majorHAnsi"/>
          <w:bCs/>
        </w:rPr>
        <w:t xml:space="preserve"> more detailed</w:t>
      </w:r>
      <w:r w:rsidR="00943869" w:rsidRPr="00907698">
        <w:rPr>
          <w:rFonts w:cstheme="majorHAnsi"/>
          <w:bCs/>
        </w:rPr>
        <w:t xml:space="preserve"> </w:t>
      </w:r>
      <w:r w:rsidR="00FA2AAE" w:rsidRPr="00907698">
        <w:rPr>
          <w:rFonts w:cstheme="majorHAnsi"/>
          <w:bCs/>
        </w:rPr>
        <w:t xml:space="preserve">reviews of specific programs </w:t>
      </w:r>
      <w:r w:rsidR="00A42FC6" w:rsidRPr="00907698">
        <w:rPr>
          <w:rFonts w:cstheme="majorHAnsi"/>
          <w:bCs/>
        </w:rPr>
        <w:t xml:space="preserve">within or </w:t>
      </w:r>
      <w:r w:rsidR="00B03644" w:rsidRPr="00907698">
        <w:rPr>
          <w:rFonts w:cstheme="majorHAnsi"/>
          <w:bCs/>
        </w:rPr>
        <w:t>across those groupings to ensure they are aligned with current evidence-based practices.</w:t>
      </w:r>
    </w:p>
    <w:p w14:paraId="1A26E2D6" w14:textId="77777777" w:rsidR="00521D98" w:rsidRPr="00284DC3" w:rsidRDefault="00521D98" w:rsidP="00FD7600">
      <w:pPr>
        <w:rPr>
          <w:rFonts w:cstheme="majorHAnsi"/>
        </w:rPr>
      </w:pPr>
    </w:p>
    <w:p w14:paraId="1CE48D86" w14:textId="31335482" w:rsidR="00586066" w:rsidRPr="00284DC3" w:rsidRDefault="00586066" w:rsidP="00AB4B88">
      <w:pPr>
        <w:rPr>
          <w:rFonts w:cstheme="majorHAnsi"/>
        </w:rPr>
      </w:pPr>
      <w:r w:rsidRPr="00284DC3">
        <w:rPr>
          <w:rFonts w:cstheme="majorHAnsi"/>
        </w:rPr>
        <w:t xml:space="preserve">Sponsoring Organizations should intentionally design and routinely update programs of study and their associated coursework to ensure they are designed to prepare anti-racist and culturally and linguistically sustaining educators and are aligned with current evidence-based practices. All programs should embed field-based experiences into coursework to provide candidates with opportunities to observe and apply theories in practice in the relevant school or classroom setting. </w:t>
      </w:r>
    </w:p>
    <w:p w14:paraId="15C1D985" w14:textId="1130EC43" w:rsidR="00586066" w:rsidRPr="00D317A3" w:rsidRDefault="00586066">
      <w:pPr>
        <w:pStyle w:val="Heading2"/>
      </w:pPr>
      <w:bookmarkStart w:id="60" w:name="_Instruction_(INS)_Domain"/>
      <w:bookmarkStart w:id="61" w:name="_Toc125547329"/>
      <w:bookmarkStart w:id="62" w:name="_Toc125574778"/>
      <w:bookmarkStart w:id="63" w:name="_Toc125575622"/>
      <w:bookmarkEnd w:id="60"/>
      <w:r w:rsidRPr="00D317A3">
        <w:t>Instruction (INS) Domain Criteria:</w:t>
      </w:r>
      <w:bookmarkEnd w:id="61"/>
      <w:bookmarkEnd w:id="62"/>
      <w:bookmarkEnd w:id="63"/>
    </w:p>
    <w:p w14:paraId="48C28567" w14:textId="77777777" w:rsidR="00586066" w:rsidRPr="00C66226" w:rsidRDefault="00586066">
      <w:pPr>
        <w:pStyle w:val="Heading3"/>
        <w:rPr>
          <w:color w:val="215868" w:themeColor="accent5" w:themeShade="80"/>
        </w:rPr>
      </w:pPr>
      <w:bookmarkStart w:id="64" w:name="_Toc125547330"/>
      <w:bookmarkStart w:id="65" w:name="_Toc125574779"/>
      <w:bookmarkStart w:id="66" w:name="_Toc125575623"/>
      <w:r w:rsidRPr="00C66226">
        <w:rPr>
          <w:color w:val="215868" w:themeColor="accent5" w:themeShade="80"/>
        </w:rPr>
        <w:t>Teacher Programs:</w:t>
      </w:r>
      <w:bookmarkEnd w:id="64"/>
      <w:bookmarkEnd w:id="65"/>
      <w:bookmarkEnd w:id="66"/>
    </w:p>
    <w:p w14:paraId="6984A232" w14:textId="6DBE7623" w:rsidR="00586066" w:rsidRPr="00D317A3" w:rsidRDefault="00586066" w:rsidP="00586066">
      <w:pPr>
        <w:ind w:left="720"/>
        <w:rPr>
          <w:rFonts w:eastAsia="Calibri" w:cstheme="majorHAnsi"/>
          <w:color w:val="000000" w:themeColor="text1"/>
        </w:rPr>
      </w:pPr>
      <w:r w:rsidRPr="00D317A3">
        <w:rPr>
          <w:rFonts w:eastAsia="Calibri" w:cstheme="majorHAnsi"/>
          <w:color w:val="000000" w:themeColor="text1"/>
        </w:rPr>
        <w:t>INS 1: The Sponsoring Organization regularly interrogates and updates the program</w:t>
      </w:r>
      <w:r w:rsidR="00AC1B6B" w:rsidRPr="00D317A3">
        <w:rPr>
          <w:rFonts w:eastAsia="Calibri" w:cstheme="majorHAnsi"/>
          <w:color w:val="000000" w:themeColor="text1"/>
        </w:rPr>
        <w:t>(s)</w:t>
      </w:r>
      <w:r w:rsidRPr="00D317A3">
        <w:rPr>
          <w:rFonts w:eastAsia="Calibri" w:cstheme="majorHAnsi"/>
          <w:color w:val="000000" w:themeColor="text1"/>
        </w:rPr>
        <w:t xml:space="preserve"> of study to ensure content and practices throughout the program that: </w:t>
      </w:r>
    </w:p>
    <w:p w14:paraId="204F59F1" w14:textId="77777777" w:rsidR="00586066" w:rsidRPr="00D317A3" w:rsidRDefault="00586066" w:rsidP="000E41AB">
      <w:pPr>
        <w:pStyle w:val="ListParagraph"/>
        <w:numPr>
          <w:ilvl w:val="0"/>
          <w:numId w:val="11"/>
        </w:numPr>
        <w:spacing w:after="160" w:line="259" w:lineRule="auto"/>
        <w:rPr>
          <w:rFonts w:eastAsiaTheme="minorEastAsia" w:cstheme="majorHAnsi"/>
          <w:b/>
          <w:bCs/>
          <w:color w:val="000000" w:themeColor="text1"/>
        </w:rPr>
      </w:pPr>
      <w:r w:rsidRPr="00D317A3">
        <w:rPr>
          <w:rFonts w:eastAsia="Calibri" w:cstheme="majorHAnsi"/>
          <w:color w:val="000000" w:themeColor="text1"/>
        </w:rPr>
        <w:t>Prepare anti-racist and culturally and linguistically sustaining educators; and</w:t>
      </w:r>
    </w:p>
    <w:p w14:paraId="1F3A3D1B" w14:textId="63903661" w:rsidR="00586066" w:rsidRPr="00D317A3" w:rsidRDefault="00586066" w:rsidP="000E41AB">
      <w:pPr>
        <w:pStyle w:val="ListParagraph"/>
        <w:numPr>
          <w:ilvl w:val="0"/>
          <w:numId w:val="11"/>
        </w:numPr>
        <w:spacing w:after="160" w:line="259" w:lineRule="auto"/>
        <w:rPr>
          <w:rFonts w:eastAsiaTheme="minorEastAsia" w:cstheme="majorHAnsi"/>
          <w:b/>
          <w:bCs/>
          <w:color w:val="000000" w:themeColor="text1"/>
        </w:rPr>
      </w:pPr>
      <w:r w:rsidRPr="00D317A3">
        <w:rPr>
          <w:rFonts w:eastAsia="Calibri" w:cstheme="majorHAnsi"/>
          <w:color w:val="000000" w:themeColor="text1"/>
        </w:rPr>
        <w:t>Align with current evidence-based practices.</w:t>
      </w:r>
      <w:r w:rsidR="001F0A56">
        <w:rPr>
          <w:rStyle w:val="FootnoteReference"/>
          <w:rFonts w:eastAsia="Calibri" w:cstheme="majorHAnsi"/>
          <w:color w:val="000000" w:themeColor="text1"/>
        </w:rPr>
        <w:footnoteReference w:id="16"/>
      </w:r>
      <w:r w:rsidRPr="00D317A3">
        <w:rPr>
          <w:rFonts w:eastAsia="Calibri" w:cstheme="majorHAnsi"/>
          <w:color w:val="000000" w:themeColor="text1"/>
        </w:rPr>
        <w:t xml:space="preserve">  </w:t>
      </w:r>
    </w:p>
    <w:p w14:paraId="322B7674" w14:textId="57DF10AE" w:rsidR="00E67B7B" w:rsidRPr="00D317A3" w:rsidRDefault="00586066" w:rsidP="00FC0F8E">
      <w:pPr>
        <w:ind w:left="720"/>
        <w:rPr>
          <w:rFonts w:eastAsia="Calibri" w:cstheme="majorHAnsi"/>
          <w:i/>
          <w:iCs/>
          <w:color w:val="333333"/>
        </w:rPr>
      </w:pPr>
      <w:r w:rsidRPr="00D317A3">
        <w:rPr>
          <w:rFonts w:eastAsia="Calibri" w:cstheme="majorHAnsi"/>
          <w:color w:val="000000" w:themeColor="text1"/>
        </w:rPr>
        <w:lastRenderedPageBreak/>
        <w:t>INS 2: The program(s) of study ensures all candidates (including candidates from all races, identity groups, and backgrounds) develop fluent content knowledge (a</w:t>
      </w:r>
      <w:r w:rsidRPr="00D317A3">
        <w:rPr>
          <w:rFonts w:eastAsia="Calibri" w:cstheme="majorHAnsi"/>
          <w:color w:val="333333"/>
        </w:rPr>
        <w:t>s articulated in the</w:t>
      </w:r>
      <w:hyperlink r:id="rId38">
        <w:r w:rsidRPr="00D317A3">
          <w:rPr>
            <w:rStyle w:val="Hyperlink"/>
            <w:rFonts w:eastAsia="Calibri" w:cstheme="majorHAnsi"/>
          </w:rPr>
          <w:t xml:space="preserve"> Subject Matter Knowledge Guidelines</w:t>
        </w:r>
      </w:hyperlink>
      <w:r w:rsidRPr="00D317A3">
        <w:rPr>
          <w:rFonts w:eastAsia="Calibri" w:cstheme="majorHAnsi"/>
          <w:color w:val="000000" w:themeColor="text1"/>
        </w:rPr>
        <w:t xml:space="preserve">) to be ready for full responsibility in the licensure role. </w:t>
      </w:r>
    </w:p>
    <w:p w14:paraId="18470463" w14:textId="405C5B68" w:rsidR="00586066" w:rsidRPr="00D317A3" w:rsidRDefault="00586066" w:rsidP="00E67B7B">
      <w:pPr>
        <w:ind w:left="1440"/>
        <w:rPr>
          <w:rFonts w:eastAsia="Calibri" w:cstheme="majorHAnsi"/>
          <w:color w:val="000000" w:themeColor="text1"/>
        </w:rPr>
      </w:pPr>
      <w:r w:rsidRPr="00D317A3">
        <w:rPr>
          <w:rFonts w:eastAsia="Calibri" w:cstheme="majorHAnsi"/>
          <w:i/>
          <w:iCs/>
          <w:color w:val="333333"/>
        </w:rPr>
        <w:t xml:space="preserve">For Professional licensure programs: </w:t>
      </w:r>
      <w:r w:rsidRPr="00D317A3">
        <w:rPr>
          <w:rFonts w:eastAsia="Calibri" w:cstheme="majorHAnsi"/>
          <w:color w:val="000000" w:themeColor="text1"/>
        </w:rPr>
        <w:t>All candidates (including candidates from all races, identity groups, and backgrounds) develop expert content knowledge that makes them more effective in the licensure role.</w:t>
      </w:r>
    </w:p>
    <w:p w14:paraId="38F37EB2" w14:textId="77777777" w:rsidR="007210EF" w:rsidRPr="00D317A3" w:rsidRDefault="007210EF" w:rsidP="00586066">
      <w:pPr>
        <w:ind w:left="720"/>
        <w:rPr>
          <w:rFonts w:eastAsia="Calibri" w:cstheme="majorHAnsi"/>
          <w:color w:val="000000" w:themeColor="text1"/>
        </w:rPr>
      </w:pPr>
    </w:p>
    <w:p w14:paraId="777FF9B1" w14:textId="1AD04DBF" w:rsidR="00586066" w:rsidRPr="00D317A3" w:rsidRDefault="00586066" w:rsidP="00586066">
      <w:pPr>
        <w:ind w:left="720"/>
        <w:rPr>
          <w:rFonts w:eastAsia="Calibri" w:cstheme="majorHAnsi"/>
          <w:color w:val="000000" w:themeColor="text1"/>
        </w:rPr>
      </w:pPr>
      <w:r w:rsidRPr="00D317A3">
        <w:rPr>
          <w:rFonts w:eastAsia="Calibri" w:cstheme="majorHAnsi"/>
          <w:color w:val="000000" w:themeColor="text1"/>
        </w:rPr>
        <w:t>INS 3: The program(s) of study ensures that all candidates develop the pedagogical skills (as articulated in the</w:t>
      </w:r>
      <w:hyperlink r:id="rId39">
        <w:r w:rsidR="009A4E01" w:rsidRPr="00D317A3">
          <w:rPr>
            <w:rStyle w:val="Hyperlink"/>
            <w:rFonts w:eastAsia="Calibri" w:cstheme="majorHAnsi"/>
          </w:rPr>
          <w:t xml:space="preserve"> Professional Standards for Teachers</w:t>
        </w:r>
      </w:hyperlink>
      <w:r w:rsidR="009A4E01" w:rsidRPr="00284DC3">
        <w:rPr>
          <w:rStyle w:val="FootnoteReference"/>
          <w:rFonts w:eastAsia="Calibri" w:cstheme="majorHAnsi"/>
          <w:color w:val="000000" w:themeColor="text1"/>
        </w:rPr>
        <w:footnoteReference w:id="17"/>
      </w:r>
      <w:r w:rsidRPr="00D317A3">
        <w:rPr>
          <w:rFonts w:eastAsia="Calibri" w:cstheme="majorHAnsi"/>
          <w:color w:val="000000" w:themeColor="text1"/>
        </w:rPr>
        <w:t>) to be effective educators for all students (including students from all races, identity groups, and backgrounds) in the licensure role.</w:t>
      </w:r>
    </w:p>
    <w:p w14:paraId="5B2A69D3" w14:textId="77777777" w:rsidR="007210EF" w:rsidRPr="00D317A3" w:rsidRDefault="007210EF" w:rsidP="00586066">
      <w:pPr>
        <w:ind w:left="720"/>
        <w:rPr>
          <w:rFonts w:eastAsia="Calibri" w:cstheme="majorHAnsi"/>
          <w:color w:val="000000" w:themeColor="text1"/>
        </w:rPr>
      </w:pPr>
    </w:p>
    <w:p w14:paraId="039AF031" w14:textId="74C5C996" w:rsidR="00586066" w:rsidRPr="00D317A3" w:rsidRDefault="00586066" w:rsidP="00586066">
      <w:pPr>
        <w:ind w:left="720"/>
        <w:rPr>
          <w:rFonts w:eastAsia="Calibri" w:cstheme="majorHAnsi"/>
          <w:color w:val="000000" w:themeColor="text1"/>
        </w:rPr>
      </w:pPr>
      <w:r w:rsidRPr="00D317A3">
        <w:rPr>
          <w:rFonts w:eastAsia="Calibri" w:cstheme="majorHAnsi"/>
          <w:color w:val="000000" w:themeColor="text1"/>
        </w:rPr>
        <w:t xml:space="preserve">INS 4: The program(s) of study ensures that all candidates develop the curriculum literacy skills (as articulated in </w:t>
      </w:r>
      <w:hyperlink w:anchor="_Appendix_D:_Curriculum" w:history="1">
        <w:r w:rsidRPr="00D317A3">
          <w:rPr>
            <w:rStyle w:val="Hyperlink"/>
            <w:rFonts w:eastAsia="Calibri" w:cstheme="majorHAnsi"/>
          </w:rPr>
          <w:t>Appendix D: Curricular Literacy</w:t>
        </w:r>
      </w:hyperlink>
      <w:r w:rsidRPr="00D317A3">
        <w:rPr>
          <w:rFonts w:eastAsia="Calibri" w:cstheme="majorHAnsi"/>
          <w:color w:val="000000" w:themeColor="text1"/>
        </w:rPr>
        <w:t>) to be ready for full responsibility in the licensure role through opportunities to critically analyze the quality of and skillfully use curricular materials, including leveraging known high-quality curricular materials when available.</w:t>
      </w:r>
    </w:p>
    <w:p w14:paraId="4C24120A" w14:textId="77777777" w:rsidR="007210EF" w:rsidRPr="00D317A3" w:rsidRDefault="007210EF" w:rsidP="00586066">
      <w:pPr>
        <w:ind w:left="720"/>
        <w:rPr>
          <w:rFonts w:eastAsia="Calibri" w:cstheme="majorHAnsi"/>
          <w:color w:val="000000" w:themeColor="text1"/>
        </w:rPr>
      </w:pPr>
    </w:p>
    <w:p w14:paraId="69FD4910" w14:textId="77777777" w:rsidR="00586066" w:rsidRPr="00D317A3" w:rsidRDefault="00586066" w:rsidP="00586066">
      <w:pPr>
        <w:ind w:left="720"/>
        <w:rPr>
          <w:rFonts w:eastAsia="Calibri" w:cstheme="majorHAnsi"/>
          <w:color w:val="000000" w:themeColor="text1"/>
        </w:rPr>
      </w:pPr>
      <w:r w:rsidRPr="00D317A3">
        <w:rPr>
          <w:rFonts w:eastAsia="Calibri" w:cstheme="majorHAnsi"/>
          <w:color w:val="000000" w:themeColor="text1"/>
        </w:rPr>
        <w:t>INS 5: The program(s) of study is intentionally designed such that sequencing and connections between courses build candidates’ readiness for full responsibility in the licensure role.</w:t>
      </w:r>
    </w:p>
    <w:p w14:paraId="68C2A3A5" w14:textId="77777777" w:rsidR="007210EF" w:rsidRPr="00D317A3" w:rsidRDefault="007210EF" w:rsidP="00586066">
      <w:pPr>
        <w:ind w:left="720"/>
        <w:rPr>
          <w:rFonts w:eastAsia="Calibri" w:cstheme="majorHAnsi"/>
          <w:color w:val="000000" w:themeColor="text1"/>
        </w:rPr>
      </w:pPr>
    </w:p>
    <w:p w14:paraId="1CE01FEA" w14:textId="23C04FB8" w:rsidR="007210EF" w:rsidRPr="00D317A3" w:rsidRDefault="00586066" w:rsidP="007210EF">
      <w:pPr>
        <w:ind w:left="720"/>
        <w:rPr>
          <w:rFonts w:eastAsia="Calibri" w:cstheme="majorHAnsi"/>
          <w:color w:val="000000" w:themeColor="text1"/>
        </w:rPr>
      </w:pPr>
      <w:r w:rsidRPr="00D317A3">
        <w:rPr>
          <w:rFonts w:eastAsia="Calibri" w:cstheme="majorHAnsi"/>
          <w:color w:val="000000" w:themeColor="text1"/>
        </w:rPr>
        <w:t xml:space="preserve">INS 6: </w:t>
      </w:r>
      <w:r w:rsidR="00A10138" w:rsidRPr="00D317A3">
        <w:rPr>
          <w:rStyle w:val="xnormaltextrun"/>
          <w:rFonts w:eastAsia="Times New Roman" w:cstheme="majorHAnsi"/>
          <w:color w:val="000000"/>
          <w:shd w:val="clear" w:color="auto" w:fill="FFFFFF"/>
        </w:rPr>
        <w:t>The program(s) of study embeds field-based experiences such that candidates have opportunities to observe, apply, and reflect on theories in practice, including anti-racist and culturally and linguistically sustaining pedagogy.</w:t>
      </w:r>
      <w:r w:rsidR="00A10138" w:rsidRPr="00D317A3">
        <w:rPr>
          <w:rStyle w:val="xeop"/>
          <w:rFonts w:eastAsia="Times New Roman" w:cstheme="majorHAnsi"/>
          <w:color w:val="000000"/>
          <w:shd w:val="clear" w:color="auto" w:fill="FFFFFF"/>
        </w:rPr>
        <w:t> </w:t>
      </w:r>
    </w:p>
    <w:p w14:paraId="62009E80" w14:textId="77777777" w:rsidR="00586066" w:rsidRPr="00C66226" w:rsidRDefault="00586066">
      <w:pPr>
        <w:pStyle w:val="Heading3"/>
        <w:rPr>
          <w:color w:val="215868" w:themeColor="accent5" w:themeShade="80"/>
        </w:rPr>
      </w:pPr>
      <w:bookmarkStart w:id="67" w:name="_Toc125547331"/>
      <w:bookmarkStart w:id="68" w:name="_Toc125574780"/>
      <w:bookmarkStart w:id="69" w:name="_Toc125575624"/>
      <w:r w:rsidRPr="00C66226">
        <w:rPr>
          <w:color w:val="215868" w:themeColor="accent5" w:themeShade="80"/>
        </w:rPr>
        <w:t>Specialist Teacher Programs:</w:t>
      </w:r>
      <w:bookmarkEnd w:id="67"/>
      <w:bookmarkEnd w:id="68"/>
      <w:bookmarkEnd w:id="69"/>
    </w:p>
    <w:p w14:paraId="4CCD814C" w14:textId="77777777" w:rsidR="00586066" w:rsidRPr="00D317A3" w:rsidRDefault="00586066" w:rsidP="00586066">
      <w:pPr>
        <w:ind w:left="720"/>
        <w:rPr>
          <w:rFonts w:eastAsia="Calibri" w:cstheme="majorHAnsi"/>
          <w:color w:val="000000" w:themeColor="text1"/>
        </w:rPr>
      </w:pPr>
      <w:r w:rsidRPr="00D317A3">
        <w:rPr>
          <w:rFonts w:eastAsia="Calibri" w:cstheme="majorHAnsi"/>
          <w:color w:val="000000" w:themeColor="text1"/>
        </w:rPr>
        <w:t xml:space="preserve">INS 1: The Sponsoring Organization regularly interrogates and updates the program of study to ensure content and practices throughout the program that: </w:t>
      </w:r>
    </w:p>
    <w:p w14:paraId="02E61090" w14:textId="77777777" w:rsidR="00586066" w:rsidRPr="00D317A3" w:rsidRDefault="00586066" w:rsidP="000E41AB">
      <w:pPr>
        <w:pStyle w:val="ListParagraph"/>
        <w:numPr>
          <w:ilvl w:val="0"/>
          <w:numId w:val="11"/>
        </w:numPr>
        <w:spacing w:after="160" w:line="259" w:lineRule="auto"/>
        <w:rPr>
          <w:rFonts w:eastAsiaTheme="minorEastAsia" w:cstheme="majorHAnsi"/>
          <w:b/>
          <w:bCs/>
          <w:color w:val="000000" w:themeColor="text1"/>
        </w:rPr>
      </w:pPr>
      <w:r w:rsidRPr="00D317A3">
        <w:rPr>
          <w:rFonts w:eastAsia="Calibri" w:cstheme="majorHAnsi"/>
          <w:color w:val="000000" w:themeColor="text1"/>
        </w:rPr>
        <w:t>Prepare anti-racist and culturally and linguistically sustaining educators; and</w:t>
      </w:r>
    </w:p>
    <w:p w14:paraId="4F161085" w14:textId="7D3BA98D" w:rsidR="00586066" w:rsidRPr="00D317A3" w:rsidRDefault="00586066" w:rsidP="000E41AB">
      <w:pPr>
        <w:pStyle w:val="ListParagraph"/>
        <w:numPr>
          <w:ilvl w:val="0"/>
          <w:numId w:val="11"/>
        </w:numPr>
        <w:spacing w:after="160" w:line="259" w:lineRule="auto"/>
        <w:rPr>
          <w:rFonts w:eastAsiaTheme="minorEastAsia" w:cstheme="majorHAnsi"/>
          <w:b/>
          <w:bCs/>
          <w:color w:val="000000" w:themeColor="text1"/>
        </w:rPr>
      </w:pPr>
      <w:r w:rsidRPr="00D317A3">
        <w:rPr>
          <w:rFonts w:eastAsia="Calibri" w:cstheme="majorHAnsi"/>
          <w:color w:val="000000" w:themeColor="text1"/>
        </w:rPr>
        <w:t>Align with current evidence-based practices.</w:t>
      </w:r>
      <w:r w:rsidR="00BF3F7F">
        <w:rPr>
          <w:rStyle w:val="FootnoteReference"/>
          <w:rFonts w:eastAsia="Calibri" w:cstheme="majorHAnsi"/>
          <w:color w:val="000000" w:themeColor="text1"/>
        </w:rPr>
        <w:footnoteReference w:id="18"/>
      </w:r>
      <w:r w:rsidRPr="00D317A3">
        <w:rPr>
          <w:rFonts w:eastAsia="Calibri" w:cstheme="majorHAnsi"/>
          <w:color w:val="000000" w:themeColor="text1"/>
        </w:rPr>
        <w:t xml:space="preserve">  </w:t>
      </w:r>
    </w:p>
    <w:p w14:paraId="5185649B" w14:textId="444351DB" w:rsidR="007210EF" w:rsidRPr="00D317A3" w:rsidRDefault="00586066" w:rsidP="00586066">
      <w:pPr>
        <w:ind w:left="720"/>
        <w:rPr>
          <w:rFonts w:eastAsia="Calibri" w:cstheme="majorHAnsi"/>
          <w:color w:val="000000" w:themeColor="text1"/>
        </w:rPr>
      </w:pPr>
      <w:r w:rsidRPr="00D317A3">
        <w:rPr>
          <w:rFonts w:eastAsia="Calibri" w:cstheme="majorHAnsi"/>
          <w:color w:val="000000" w:themeColor="text1"/>
        </w:rPr>
        <w:t>INS 2:  The program(s) of study ensures all candidates (including candidates from all races, identity groups, and backgrounds) develop fluent content knowledge (a</w:t>
      </w:r>
      <w:r w:rsidRPr="00D317A3">
        <w:rPr>
          <w:rFonts w:eastAsia="Calibri" w:cstheme="majorHAnsi"/>
          <w:color w:val="333333"/>
        </w:rPr>
        <w:t>s articulated in the</w:t>
      </w:r>
      <w:hyperlink r:id="rId40">
        <w:r w:rsidRPr="00D317A3">
          <w:rPr>
            <w:rStyle w:val="Hyperlink"/>
            <w:rFonts w:eastAsia="Calibri" w:cstheme="majorHAnsi"/>
          </w:rPr>
          <w:t xml:space="preserve"> Subject Matter Knowledge Guidelines</w:t>
        </w:r>
      </w:hyperlink>
      <w:r w:rsidRPr="00D317A3">
        <w:rPr>
          <w:rFonts w:eastAsia="Calibri" w:cstheme="majorHAnsi"/>
          <w:color w:val="000000" w:themeColor="text1"/>
        </w:rPr>
        <w:t xml:space="preserve">) to be ready for full responsibility in the licensure role. </w:t>
      </w:r>
    </w:p>
    <w:p w14:paraId="1C849E9B" w14:textId="0E787D50" w:rsidR="00586066" w:rsidRPr="00D317A3" w:rsidRDefault="00586066" w:rsidP="0084222B">
      <w:pPr>
        <w:ind w:left="1440"/>
        <w:rPr>
          <w:rFonts w:eastAsia="Calibri" w:cstheme="majorHAnsi"/>
          <w:color w:val="000000" w:themeColor="text1"/>
        </w:rPr>
      </w:pPr>
      <w:r w:rsidRPr="00D317A3">
        <w:rPr>
          <w:rFonts w:eastAsia="Calibri" w:cstheme="majorHAnsi"/>
          <w:i/>
          <w:iCs/>
          <w:color w:val="333333"/>
        </w:rPr>
        <w:t xml:space="preserve">For Professional licensure programs: </w:t>
      </w:r>
      <w:r w:rsidRPr="00D317A3">
        <w:rPr>
          <w:rFonts w:eastAsia="Calibri" w:cstheme="majorHAnsi"/>
          <w:color w:val="000000" w:themeColor="text1"/>
        </w:rPr>
        <w:t>All candidates (including candidates from all races, identity groups, and backgrounds) develop expert content knowledge that makes them more effective in the licensure role.</w:t>
      </w:r>
    </w:p>
    <w:p w14:paraId="698D38CB" w14:textId="77777777" w:rsidR="007210EF" w:rsidRPr="00D317A3" w:rsidRDefault="007210EF" w:rsidP="00586066">
      <w:pPr>
        <w:ind w:left="720"/>
        <w:rPr>
          <w:rFonts w:eastAsia="Calibri" w:cstheme="majorHAnsi"/>
          <w:color w:val="000000" w:themeColor="text1"/>
        </w:rPr>
      </w:pPr>
    </w:p>
    <w:p w14:paraId="26C55416" w14:textId="77777777" w:rsidR="00586066" w:rsidRPr="00D317A3" w:rsidRDefault="00586066" w:rsidP="00586066">
      <w:pPr>
        <w:ind w:left="720"/>
        <w:rPr>
          <w:rFonts w:eastAsia="Calibri" w:cstheme="majorHAnsi"/>
          <w:color w:val="000000" w:themeColor="text1"/>
        </w:rPr>
      </w:pPr>
      <w:r w:rsidRPr="00D317A3">
        <w:rPr>
          <w:rFonts w:eastAsia="Calibri" w:cstheme="majorHAnsi"/>
          <w:color w:val="000000" w:themeColor="text1"/>
        </w:rPr>
        <w:t>INS 3: n/a</w:t>
      </w:r>
    </w:p>
    <w:p w14:paraId="565FAF75" w14:textId="77777777" w:rsidR="007210EF" w:rsidRPr="00D317A3" w:rsidRDefault="007210EF" w:rsidP="00586066">
      <w:pPr>
        <w:ind w:left="720"/>
        <w:rPr>
          <w:rFonts w:eastAsia="Calibri" w:cstheme="majorHAnsi"/>
          <w:color w:val="000000" w:themeColor="text1"/>
        </w:rPr>
      </w:pPr>
    </w:p>
    <w:p w14:paraId="7B37972C" w14:textId="0A22DC88" w:rsidR="00586066" w:rsidRPr="00D317A3" w:rsidRDefault="00586066" w:rsidP="00586066">
      <w:pPr>
        <w:ind w:left="720"/>
        <w:rPr>
          <w:rFonts w:eastAsia="Calibri" w:cstheme="majorHAnsi"/>
          <w:color w:val="000000" w:themeColor="text1"/>
        </w:rPr>
      </w:pPr>
      <w:r w:rsidRPr="00D317A3">
        <w:rPr>
          <w:rFonts w:eastAsia="Calibri" w:cstheme="majorHAnsi"/>
          <w:color w:val="000000" w:themeColor="text1"/>
        </w:rPr>
        <w:t xml:space="preserve">INS 4:  The program(s) of study ensures that all candidates develop the curriculum literacy skills </w:t>
      </w:r>
      <w:r w:rsidR="00CC67FB" w:rsidRPr="00D317A3">
        <w:rPr>
          <w:rFonts w:eastAsia="Calibri" w:cstheme="majorHAnsi"/>
          <w:color w:val="000000" w:themeColor="text1"/>
        </w:rPr>
        <w:t xml:space="preserve">(as articulated in </w:t>
      </w:r>
      <w:hyperlink w:anchor="_Appendix_D:_Curriculum" w:history="1">
        <w:r w:rsidR="00CC67FB" w:rsidRPr="00D317A3">
          <w:rPr>
            <w:rStyle w:val="Hyperlink"/>
            <w:rFonts w:eastAsia="Calibri" w:cstheme="majorHAnsi"/>
          </w:rPr>
          <w:t>Appendix D: Curricular Literacy</w:t>
        </w:r>
      </w:hyperlink>
      <w:r w:rsidR="00CC67FB" w:rsidRPr="00D317A3">
        <w:rPr>
          <w:rFonts w:eastAsia="Calibri" w:cstheme="majorHAnsi"/>
          <w:color w:val="000000" w:themeColor="text1"/>
        </w:rPr>
        <w:t xml:space="preserve">) </w:t>
      </w:r>
      <w:r w:rsidRPr="00D317A3">
        <w:rPr>
          <w:rFonts w:eastAsia="Calibri" w:cstheme="majorHAnsi"/>
          <w:color w:val="000000" w:themeColor="text1"/>
        </w:rPr>
        <w:t>to be ready for full responsibility in the licensure role through opportunities to critically analyze the quality of and skillfully use curricular materials, including leveraging known high-quality curricular materials when available.</w:t>
      </w:r>
    </w:p>
    <w:p w14:paraId="7E845CD1" w14:textId="77777777" w:rsidR="007210EF" w:rsidRPr="00D317A3" w:rsidRDefault="007210EF" w:rsidP="00586066">
      <w:pPr>
        <w:ind w:left="720"/>
        <w:rPr>
          <w:rFonts w:eastAsia="Calibri" w:cstheme="majorHAnsi"/>
          <w:color w:val="000000" w:themeColor="text1"/>
        </w:rPr>
      </w:pPr>
    </w:p>
    <w:p w14:paraId="1EAF6241" w14:textId="77777777" w:rsidR="00586066" w:rsidRPr="00D317A3" w:rsidRDefault="00586066" w:rsidP="00586066">
      <w:pPr>
        <w:ind w:left="720"/>
        <w:rPr>
          <w:rFonts w:eastAsia="Calibri" w:cstheme="majorHAnsi"/>
          <w:color w:val="000000" w:themeColor="text1"/>
        </w:rPr>
      </w:pPr>
      <w:r w:rsidRPr="00D317A3">
        <w:rPr>
          <w:rFonts w:eastAsia="Calibri" w:cstheme="majorHAnsi"/>
          <w:color w:val="000000" w:themeColor="text1"/>
        </w:rPr>
        <w:t>INS 5:  The program(s) of study is intentionally designed such that sequencing and connections between courses build candidates’ readiness for full responsibility in the licensure role.</w:t>
      </w:r>
    </w:p>
    <w:p w14:paraId="4112DF98" w14:textId="77777777" w:rsidR="007210EF" w:rsidRPr="00D317A3" w:rsidRDefault="007210EF" w:rsidP="00586066">
      <w:pPr>
        <w:ind w:left="720"/>
        <w:rPr>
          <w:rFonts w:eastAsia="Calibri" w:cstheme="majorHAnsi"/>
          <w:color w:val="000000" w:themeColor="text1"/>
        </w:rPr>
      </w:pPr>
    </w:p>
    <w:p w14:paraId="27944E0C" w14:textId="4CEAFDBC" w:rsidR="007210EF" w:rsidRPr="00D317A3" w:rsidRDefault="00586066" w:rsidP="00D317A3">
      <w:pPr>
        <w:ind w:left="720"/>
        <w:rPr>
          <w:rFonts w:eastAsia="Calibri" w:cstheme="majorHAnsi"/>
          <w:color w:val="000000" w:themeColor="text1"/>
        </w:rPr>
      </w:pPr>
      <w:r w:rsidRPr="00D317A3">
        <w:rPr>
          <w:rFonts w:eastAsia="Calibri" w:cstheme="majorHAnsi"/>
          <w:color w:val="000000" w:themeColor="text1"/>
        </w:rPr>
        <w:t xml:space="preserve">INS 6:  </w:t>
      </w:r>
      <w:r w:rsidR="00A10138" w:rsidRPr="00D317A3">
        <w:rPr>
          <w:rStyle w:val="xnormaltextrun"/>
          <w:rFonts w:eastAsia="Times New Roman" w:cstheme="majorHAnsi"/>
          <w:color w:val="000000"/>
          <w:shd w:val="clear" w:color="auto" w:fill="FFFFFF"/>
        </w:rPr>
        <w:t>The program(s) of study embeds field-based experiences such that candidates have opportunities to observe, apply, and reflect on theories in practice, including anti-racist and culturally and linguistically sustaining pedagogy.</w:t>
      </w:r>
      <w:r w:rsidR="00A10138" w:rsidRPr="00D317A3">
        <w:rPr>
          <w:rStyle w:val="xeop"/>
          <w:rFonts w:eastAsia="Times New Roman" w:cstheme="majorHAnsi"/>
          <w:color w:val="000000"/>
          <w:shd w:val="clear" w:color="auto" w:fill="FFFFFF"/>
        </w:rPr>
        <w:t> </w:t>
      </w:r>
    </w:p>
    <w:p w14:paraId="7C49D224" w14:textId="77777777" w:rsidR="00586066" w:rsidRPr="00C66226" w:rsidRDefault="00586066">
      <w:pPr>
        <w:pStyle w:val="Heading3"/>
        <w:rPr>
          <w:color w:val="215868" w:themeColor="accent5" w:themeShade="80"/>
        </w:rPr>
      </w:pPr>
      <w:bookmarkStart w:id="70" w:name="_Toc125547332"/>
      <w:bookmarkStart w:id="71" w:name="_Toc125574781"/>
      <w:bookmarkStart w:id="72" w:name="_Toc125575625"/>
      <w:r w:rsidRPr="00C66226">
        <w:rPr>
          <w:color w:val="215868" w:themeColor="accent5" w:themeShade="80"/>
        </w:rPr>
        <w:t>School Support Personnel Programs:</w:t>
      </w:r>
      <w:bookmarkEnd w:id="70"/>
      <w:bookmarkEnd w:id="71"/>
      <w:bookmarkEnd w:id="72"/>
    </w:p>
    <w:p w14:paraId="370F979B" w14:textId="77777777" w:rsidR="00586066" w:rsidRPr="00D317A3" w:rsidRDefault="00586066" w:rsidP="00586066">
      <w:pPr>
        <w:ind w:left="720"/>
        <w:rPr>
          <w:rFonts w:eastAsia="Calibri" w:cstheme="majorHAnsi"/>
          <w:color w:val="000000" w:themeColor="text1"/>
        </w:rPr>
      </w:pPr>
      <w:r w:rsidRPr="00D317A3">
        <w:rPr>
          <w:rFonts w:eastAsia="Calibri" w:cstheme="majorHAnsi"/>
          <w:color w:val="000000" w:themeColor="text1"/>
        </w:rPr>
        <w:t xml:space="preserve">INS 1: The Sponsoring Organization regularly interrogates and updates the program of study to ensure content and practices throughout the program that: </w:t>
      </w:r>
    </w:p>
    <w:p w14:paraId="6C37D7C5" w14:textId="77777777" w:rsidR="00586066" w:rsidRPr="00D317A3" w:rsidRDefault="00586066" w:rsidP="000E41AB">
      <w:pPr>
        <w:pStyle w:val="ListParagraph"/>
        <w:numPr>
          <w:ilvl w:val="0"/>
          <w:numId w:val="11"/>
        </w:numPr>
        <w:spacing w:after="160" w:line="259" w:lineRule="auto"/>
        <w:rPr>
          <w:rFonts w:eastAsiaTheme="minorEastAsia" w:cstheme="majorHAnsi"/>
          <w:b/>
          <w:bCs/>
          <w:color w:val="000000" w:themeColor="text1"/>
        </w:rPr>
      </w:pPr>
      <w:r w:rsidRPr="00D317A3">
        <w:rPr>
          <w:rFonts w:eastAsia="Calibri" w:cstheme="majorHAnsi"/>
          <w:color w:val="000000" w:themeColor="text1"/>
        </w:rPr>
        <w:t>Prepare anti-racist and culturally and linguistically sustaining educators; and</w:t>
      </w:r>
    </w:p>
    <w:p w14:paraId="355D7ED4" w14:textId="682B4D6D" w:rsidR="00586066" w:rsidRPr="00D317A3" w:rsidRDefault="00586066" w:rsidP="000E41AB">
      <w:pPr>
        <w:pStyle w:val="ListParagraph"/>
        <w:numPr>
          <w:ilvl w:val="0"/>
          <w:numId w:val="11"/>
        </w:numPr>
        <w:spacing w:after="160" w:line="259" w:lineRule="auto"/>
        <w:rPr>
          <w:rFonts w:eastAsiaTheme="minorEastAsia" w:cstheme="majorHAnsi"/>
          <w:b/>
          <w:bCs/>
          <w:color w:val="000000" w:themeColor="text1"/>
        </w:rPr>
      </w:pPr>
      <w:r w:rsidRPr="00D317A3">
        <w:rPr>
          <w:rFonts w:eastAsia="Calibri" w:cstheme="majorHAnsi"/>
          <w:color w:val="000000" w:themeColor="text1"/>
        </w:rPr>
        <w:t>Align with current evidence-based practices.</w:t>
      </w:r>
      <w:r w:rsidR="00BF3F7F">
        <w:rPr>
          <w:rStyle w:val="FootnoteReference"/>
          <w:rFonts w:eastAsia="Calibri" w:cstheme="majorHAnsi"/>
          <w:color w:val="000000" w:themeColor="text1"/>
        </w:rPr>
        <w:footnoteReference w:id="19"/>
      </w:r>
      <w:r w:rsidRPr="00D317A3">
        <w:rPr>
          <w:rFonts w:eastAsia="Calibri" w:cstheme="majorHAnsi"/>
          <w:color w:val="000000" w:themeColor="text1"/>
        </w:rPr>
        <w:t xml:space="preserve">  </w:t>
      </w:r>
    </w:p>
    <w:p w14:paraId="2928F839" w14:textId="09F48BFF" w:rsidR="007210EF" w:rsidRPr="00D317A3" w:rsidRDefault="00586066" w:rsidP="00586066">
      <w:pPr>
        <w:ind w:left="720"/>
        <w:rPr>
          <w:rFonts w:eastAsia="Calibri" w:cstheme="majorHAnsi"/>
          <w:color w:val="000000" w:themeColor="text1"/>
        </w:rPr>
      </w:pPr>
      <w:r w:rsidRPr="00D317A3">
        <w:rPr>
          <w:rFonts w:eastAsia="Calibri" w:cstheme="majorHAnsi"/>
          <w:color w:val="000000" w:themeColor="text1"/>
        </w:rPr>
        <w:t>INS 2:  The program(s) of study ensures all candidates (including candidates from all races, identity groups, and backgrounds) develop fluent content knowledge (a</w:t>
      </w:r>
      <w:r w:rsidRPr="00D317A3">
        <w:rPr>
          <w:rFonts w:eastAsia="Calibri" w:cstheme="majorHAnsi"/>
          <w:color w:val="333333"/>
        </w:rPr>
        <w:t>s articulated in the</w:t>
      </w:r>
      <w:hyperlink r:id="rId41">
        <w:r w:rsidRPr="00D317A3">
          <w:rPr>
            <w:rStyle w:val="Hyperlink"/>
            <w:rFonts w:eastAsia="Calibri" w:cstheme="majorHAnsi"/>
          </w:rPr>
          <w:t xml:space="preserve"> Subject Matter Knowledge Guidelines</w:t>
        </w:r>
      </w:hyperlink>
      <w:r w:rsidRPr="00D317A3">
        <w:rPr>
          <w:rFonts w:eastAsia="Calibri" w:cstheme="majorHAnsi"/>
          <w:color w:val="000000" w:themeColor="text1"/>
        </w:rPr>
        <w:t xml:space="preserve">) to be ready for full responsibility in the licensure role. </w:t>
      </w:r>
    </w:p>
    <w:p w14:paraId="5ED751F9" w14:textId="3F6C13EB" w:rsidR="00586066" w:rsidRPr="00D317A3" w:rsidRDefault="00586066" w:rsidP="0084222B">
      <w:pPr>
        <w:ind w:left="1440"/>
        <w:rPr>
          <w:rFonts w:eastAsia="Calibri" w:cstheme="majorHAnsi"/>
          <w:color w:val="000000" w:themeColor="text1"/>
        </w:rPr>
      </w:pPr>
      <w:r w:rsidRPr="00D317A3">
        <w:rPr>
          <w:rFonts w:eastAsia="Calibri" w:cstheme="majorHAnsi"/>
          <w:i/>
          <w:iCs/>
          <w:color w:val="333333"/>
        </w:rPr>
        <w:t xml:space="preserve">For Professional licensure programs: </w:t>
      </w:r>
      <w:r w:rsidRPr="00D317A3">
        <w:rPr>
          <w:rFonts w:eastAsia="Calibri" w:cstheme="majorHAnsi"/>
          <w:color w:val="000000" w:themeColor="text1"/>
        </w:rPr>
        <w:t>All candidates (including candidates from all races, identity groups, and backgrounds) develop expert content knowledge that makes them more effective in the licensure role.</w:t>
      </w:r>
    </w:p>
    <w:p w14:paraId="32E2E7FF" w14:textId="77777777" w:rsidR="007210EF" w:rsidRPr="00D317A3" w:rsidRDefault="007210EF" w:rsidP="00586066">
      <w:pPr>
        <w:ind w:left="720"/>
        <w:rPr>
          <w:rFonts w:eastAsia="Calibri" w:cstheme="majorHAnsi"/>
          <w:color w:val="000000" w:themeColor="text1"/>
        </w:rPr>
      </w:pPr>
    </w:p>
    <w:p w14:paraId="057097D3" w14:textId="77777777" w:rsidR="00586066" w:rsidRPr="00D317A3" w:rsidRDefault="00586066" w:rsidP="00586066">
      <w:pPr>
        <w:ind w:left="720"/>
        <w:rPr>
          <w:rFonts w:eastAsia="Calibri" w:cstheme="majorHAnsi"/>
          <w:color w:val="000000" w:themeColor="text1"/>
        </w:rPr>
      </w:pPr>
      <w:r w:rsidRPr="00D317A3">
        <w:rPr>
          <w:rFonts w:eastAsia="Calibri" w:cstheme="majorHAnsi"/>
          <w:color w:val="000000" w:themeColor="text1"/>
        </w:rPr>
        <w:t>INS 3: n/a</w:t>
      </w:r>
    </w:p>
    <w:p w14:paraId="5F5D0FEB" w14:textId="77777777" w:rsidR="007210EF" w:rsidRPr="00D317A3" w:rsidRDefault="007210EF" w:rsidP="00586066">
      <w:pPr>
        <w:ind w:left="720"/>
        <w:rPr>
          <w:rFonts w:eastAsia="Calibri" w:cstheme="majorHAnsi"/>
          <w:color w:val="000000" w:themeColor="text1"/>
        </w:rPr>
      </w:pPr>
    </w:p>
    <w:p w14:paraId="4B7D2F60" w14:textId="77777777" w:rsidR="00586066" w:rsidRPr="00D317A3" w:rsidRDefault="00586066" w:rsidP="00586066">
      <w:pPr>
        <w:ind w:left="720"/>
        <w:rPr>
          <w:rFonts w:eastAsia="Calibri" w:cstheme="majorHAnsi"/>
          <w:color w:val="000000" w:themeColor="text1"/>
        </w:rPr>
      </w:pPr>
      <w:r w:rsidRPr="00D317A3">
        <w:rPr>
          <w:rFonts w:eastAsia="Calibri" w:cstheme="majorHAnsi"/>
          <w:color w:val="000000" w:themeColor="text1"/>
        </w:rPr>
        <w:t>INS 4: n/a</w:t>
      </w:r>
    </w:p>
    <w:p w14:paraId="650F27F3" w14:textId="77777777" w:rsidR="007210EF" w:rsidRPr="00D317A3" w:rsidRDefault="007210EF" w:rsidP="00586066">
      <w:pPr>
        <w:ind w:left="720"/>
        <w:rPr>
          <w:rFonts w:eastAsia="Calibri" w:cstheme="majorHAnsi"/>
          <w:color w:val="000000" w:themeColor="text1"/>
        </w:rPr>
      </w:pPr>
    </w:p>
    <w:p w14:paraId="1C8F58C8" w14:textId="77777777" w:rsidR="00586066" w:rsidRPr="00D317A3" w:rsidRDefault="00586066" w:rsidP="00586066">
      <w:pPr>
        <w:ind w:left="720"/>
        <w:rPr>
          <w:rFonts w:eastAsia="Calibri" w:cstheme="majorHAnsi"/>
          <w:color w:val="000000" w:themeColor="text1"/>
        </w:rPr>
      </w:pPr>
      <w:r w:rsidRPr="00D317A3">
        <w:rPr>
          <w:rFonts w:eastAsia="Calibri" w:cstheme="majorHAnsi"/>
          <w:color w:val="000000" w:themeColor="text1"/>
        </w:rPr>
        <w:t>INS 5:  The program(s) of study is intentionally designed such that sequencing and connections between courses build candidates’ readiness for full responsibility in the licensure role.</w:t>
      </w:r>
    </w:p>
    <w:p w14:paraId="6F43B21C" w14:textId="77777777" w:rsidR="007210EF" w:rsidRPr="00D317A3" w:rsidRDefault="007210EF" w:rsidP="00586066">
      <w:pPr>
        <w:ind w:left="720"/>
        <w:rPr>
          <w:rFonts w:eastAsia="Calibri" w:cstheme="majorHAnsi"/>
          <w:color w:val="000000" w:themeColor="text1"/>
        </w:rPr>
      </w:pPr>
    </w:p>
    <w:p w14:paraId="1F632290" w14:textId="74BB00A4" w:rsidR="007210EF" w:rsidRPr="00D317A3" w:rsidRDefault="00586066" w:rsidP="007210EF">
      <w:pPr>
        <w:ind w:left="720"/>
        <w:rPr>
          <w:rFonts w:eastAsia="Calibri" w:cstheme="majorHAnsi"/>
          <w:color w:val="000000" w:themeColor="text1"/>
        </w:rPr>
      </w:pPr>
      <w:r w:rsidRPr="00D317A3">
        <w:rPr>
          <w:rFonts w:eastAsia="Calibri" w:cstheme="majorHAnsi"/>
          <w:color w:val="000000" w:themeColor="text1"/>
        </w:rPr>
        <w:t xml:space="preserve">INS 6:  </w:t>
      </w:r>
      <w:r w:rsidR="00A10138" w:rsidRPr="00D317A3">
        <w:rPr>
          <w:rStyle w:val="xnormaltextrun"/>
          <w:rFonts w:eastAsia="Times New Roman" w:cstheme="majorHAnsi"/>
          <w:color w:val="000000"/>
          <w:shd w:val="clear" w:color="auto" w:fill="FFFFFF"/>
        </w:rPr>
        <w:t xml:space="preserve">The program(s) of study embeds field-based experiences such that candidates have opportunities to observe, apply, and reflect on theories in practice, including anti-racist and culturally and linguistically sustaining </w:t>
      </w:r>
      <w:r w:rsidRPr="00D317A3">
        <w:rPr>
          <w:rFonts w:eastAsia="Calibri" w:cstheme="majorHAnsi"/>
          <w:color w:val="000000" w:themeColor="text1"/>
        </w:rPr>
        <w:t>practices.</w:t>
      </w:r>
    </w:p>
    <w:p w14:paraId="3C054B54" w14:textId="77777777" w:rsidR="00586066" w:rsidRPr="00C66226" w:rsidRDefault="00586066">
      <w:pPr>
        <w:pStyle w:val="Heading3"/>
        <w:rPr>
          <w:color w:val="215868" w:themeColor="accent5" w:themeShade="80"/>
        </w:rPr>
      </w:pPr>
      <w:bookmarkStart w:id="73" w:name="_Toc125547333"/>
      <w:bookmarkStart w:id="74" w:name="_Toc125574782"/>
      <w:bookmarkStart w:id="75" w:name="_Toc125575626"/>
      <w:r w:rsidRPr="00C66226">
        <w:rPr>
          <w:color w:val="215868" w:themeColor="accent5" w:themeShade="80"/>
        </w:rPr>
        <w:lastRenderedPageBreak/>
        <w:t>Administrator Programs:</w:t>
      </w:r>
      <w:bookmarkEnd w:id="73"/>
      <w:bookmarkEnd w:id="74"/>
      <w:bookmarkEnd w:id="75"/>
    </w:p>
    <w:p w14:paraId="1622857A" w14:textId="77777777" w:rsidR="0084222B" w:rsidRPr="00D317A3" w:rsidRDefault="0084222B" w:rsidP="0084222B">
      <w:pPr>
        <w:ind w:left="720"/>
        <w:rPr>
          <w:rFonts w:eastAsia="Calibri" w:cstheme="majorHAnsi"/>
          <w:color w:val="000000" w:themeColor="text1"/>
        </w:rPr>
      </w:pPr>
      <w:r w:rsidRPr="00D317A3">
        <w:rPr>
          <w:rFonts w:eastAsia="Calibri" w:cstheme="majorHAnsi"/>
          <w:color w:val="000000" w:themeColor="text1"/>
        </w:rPr>
        <w:t xml:space="preserve">INS 1: The Sponsoring Organization regularly interrogates and updates the program of study to ensure content and practices throughout the program that: </w:t>
      </w:r>
    </w:p>
    <w:p w14:paraId="456752F1" w14:textId="3C0E5E5C" w:rsidR="0084222B" w:rsidRPr="00D317A3" w:rsidRDefault="006712B3" w:rsidP="000E41AB">
      <w:pPr>
        <w:pStyle w:val="ListParagraph"/>
        <w:numPr>
          <w:ilvl w:val="0"/>
          <w:numId w:val="11"/>
        </w:numPr>
        <w:spacing w:after="160" w:line="259" w:lineRule="auto"/>
        <w:rPr>
          <w:rFonts w:eastAsiaTheme="minorEastAsia" w:cstheme="majorHAnsi"/>
          <w:b/>
          <w:bCs/>
          <w:color w:val="000000" w:themeColor="text1"/>
        </w:rPr>
      </w:pPr>
      <w:r w:rsidRPr="00D317A3">
        <w:rPr>
          <w:rFonts w:eastAsia="Calibri" w:cstheme="majorHAnsi"/>
          <w:color w:val="000000" w:themeColor="text1"/>
        </w:rPr>
        <w:t xml:space="preserve">Strengthen candidates’ commitment to and use of anti-racist and culturally and linguistically sustaining leadership practices; and </w:t>
      </w:r>
    </w:p>
    <w:p w14:paraId="6A4AC51A" w14:textId="48DD5F31" w:rsidR="00586066" w:rsidRPr="00D317A3" w:rsidRDefault="00586066" w:rsidP="000E41AB">
      <w:pPr>
        <w:pStyle w:val="ListParagraph"/>
        <w:numPr>
          <w:ilvl w:val="0"/>
          <w:numId w:val="11"/>
        </w:numPr>
        <w:spacing w:after="160" w:line="259" w:lineRule="auto"/>
        <w:rPr>
          <w:rFonts w:eastAsiaTheme="minorEastAsia" w:cstheme="majorHAnsi"/>
        </w:rPr>
      </w:pPr>
      <w:r w:rsidRPr="00D317A3">
        <w:rPr>
          <w:rFonts w:eastAsia="Calibri" w:cstheme="majorHAnsi"/>
          <w:color w:val="000000" w:themeColor="text1"/>
        </w:rPr>
        <w:t>Align with current evidence-based practices.</w:t>
      </w:r>
      <w:r w:rsidR="00BF3F7F">
        <w:rPr>
          <w:rStyle w:val="FootnoteReference"/>
          <w:rFonts w:eastAsia="Calibri" w:cstheme="majorHAnsi"/>
          <w:color w:val="000000" w:themeColor="text1"/>
        </w:rPr>
        <w:footnoteReference w:id="20"/>
      </w:r>
      <w:r w:rsidR="0084222B" w:rsidRPr="00D317A3">
        <w:rPr>
          <w:rFonts w:eastAsia="Calibri" w:cstheme="majorHAnsi"/>
          <w:color w:val="000000" w:themeColor="text1"/>
        </w:rPr>
        <w:t xml:space="preserve">  </w:t>
      </w:r>
      <w:r w:rsidRPr="00D317A3">
        <w:rPr>
          <w:rFonts w:cstheme="majorHAnsi"/>
        </w:rPr>
        <w:br/>
      </w:r>
    </w:p>
    <w:p w14:paraId="517853CE" w14:textId="619BA437" w:rsidR="00586066" w:rsidRPr="00D317A3" w:rsidRDefault="00586066" w:rsidP="00586066">
      <w:pPr>
        <w:pStyle w:val="paragraph"/>
        <w:spacing w:before="0" w:beforeAutospacing="0" w:after="0" w:afterAutospacing="0"/>
        <w:ind w:left="720"/>
        <w:textAlignment w:val="baseline"/>
        <w:rPr>
          <w:rFonts w:asciiTheme="majorHAnsi" w:hAnsiTheme="majorHAnsi" w:cstheme="majorHAnsi"/>
          <w:color w:val="000000" w:themeColor="text1"/>
          <w:sz w:val="22"/>
          <w:szCs w:val="22"/>
        </w:rPr>
      </w:pPr>
      <w:r w:rsidRPr="00D317A3">
        <w:rPr>
          <w:rStyle w:val="normaltextrun"/>
          <w:rFonts w:asciiTheme="majorHAnsi" w:hAnsiTheme="majorHAnsi" w:cstheme="majorHAnsi"/>
          <w:color w:val="000000" w:themeColor="text1"/>
          <w:sz w:val="22"/>
          <w:szCs w:val="22"/>
        </w:rPr>
        <w:t xml:space="preserve">INS 2: </w:t>
      </w:r>
      <w:r w:rsidRPr="00D317A3">
        <w:rPr>
          <w:rFonts w:asciiTheme="majorHAnsi" w:eastAsia="Calibri" w:hAnsiTheme="majorHAnsi" w:cstheme="majorHAnsi"/>
          <w:color w:val="000000" w:themeColor="text1"/>
          <w:sz w:val="22"/>
          <w:szCs w:val="22"/>
        </w:rPr>
        <w:t xml:space="preserve"> The program(s) of study</w:t>
      </w:r>
      <w:r w:rsidRPr="00D317A3">
        <w:rPr>
          <w:rStyle w:val="normaltextrun"/>
          <w:rFonts w:asciiTheme="majorHAnsi" w:hAnsiTheme="majorHAnsi" w:cstheme="majorHAnsi"/>
          <w:color w:val="000000" w:themeColor="text1"/>
          <w:sz w:val="22"/>
          <w:szCs w:val="22"/>
        </w:rPr>
        <w:t xml:space="preserve"> ensures all candidates (including candidates from all races, identity groups, and backgrounds) develop fluent content knowledge (a</w:t>
      </w:r>
      <w:r w:rsidRPr="00D317A3">
        <w:rPr>
          <w:rStyle w:val="normaltextrun"/>
          <w:rFonts w:asciiTheme="majorHAnsi" w:hAnsiTheme="majorHAnsi" w:cstheme="majorHAnsi"/>
          <w:color w:val="333333"/>
          <w:sz w:val="22"/>
          <w:szCs w:val="22"/>
        </w:rPr>
        <w:t>s articulated in th</w:t>
      </w:r>
      <w:r w:rsidR="00004279">
        <w:rPr>
          <w:rStyle w:val="normaltextrun"/>
          <w:rFonts w:asciiTheme="majorHAnsi" w:hAnsiTheme="majorHAnsi" w:cstheme="majorHAnsi"/>
          <w:color w:val="333333"/>
          <w:sz w:val="22"/>
          <w:szCs w:val="22"/>
        </w:rPr>
        <w:t xml:space="preserve">e </w:t>
      </w:r>
      <w:hyperlink r:id="rId42" w:history="1">
        <w:r w:rsidR="00004279" w:rsidRPr="00004279">
          <w:rPr>
            <w:rStyle w:val="Hyperlink"/>
            <w:rFonts w:asciiTheme="majorHAnsi" w:hAnsiTheme="majorHAnsi" w:cstheme="majorHAnsi"/>
            <w:sz w:val="22"/>
            <w:szCs w:val="22"/>
          </w:rPr>
          <w:t xml:space="preserve">Subject Matter </w:t>
        </w:r>
        <w:r w:rsidR="00004279">
          <w:rPr>
            <w:rStyle w:val="Hyperlink"/>
            <w:rFonts w:asciiTheme="majorHAnsi" w:hAnsiTheme="majorHAnsi" w:cstheme="majorHAnsi"/>
            <w:sz w:val="22"/>
            <w:szCs w:val="22"/>
          </w:rPr>
          <w:t xml:space="preserve">Knowledge </w:t>
        </w:r>
        <w:r w:rsidR="00004279" w:rsidRPr="00004279">
          <w:rPr>
            <w:rStyle w:val="Hyperlink"/>
            <w:rFonts w:asciiTheme="majorHAnsi" w:hAnsiTheme="majorHAnsi" w:cstheme="majorHAnsi"/>
            <w:sz w:val="22"/>
            <w:szCs w:val="22"/>
          </w:rPr>
          <w:t>Guidelines</w:t>
        </w:r>
      </w:hyperlink>
      <w:r w:rsidR="00004279">
        <w:rPr>
          <w:rStyle w:val="normaltextrun"/>
          <w:rFonts w:asciiTheme="majorHAnsi" w:hAnsiTheme="majorHAnsi" w:cstheme="majorHAnsi"/>
          <w:color w:val="333333"/>
          <w:sz w:val="22"/>
          <w:szCs w:val="22"/>
        </w:rPr>
        <w:t xml:space="preserve">) </w:t>
      </w:r>
      <w:r w:rsidRPr="00D317A3">
        <w:rPr>
          <w:rStyle w:val="contextualspellingandgrammarerror"/>
          <w:rFonts w:asciiTheme="majorHAnsi" w:hAnsiTheme="majorHAnsi" w:cstheme="majorHAnsi"/>
          <w:color w:val="000000" w:themeColor="text1"/>
          <w:sz w:val="22"/>
          <w:szCs w:val="22"/>
        </w:rPr>
        <w:t>to</w:t>
      </w:r>
      <w:r w:rsidRPr="00D317A3">
        <w:rPr>
          <w:rStyle w:val="normaltextrun"/>
          <w:rFonts w:asciiTheme="majorHAnsi" w:hAnsiTheme="majorHAnsi" w:cstheme="majorHAnsi"/>
          <w:color w:val="000000" w:themeColor="text1"/>
          <w:sz w:val="22"/>
          <w:szCs w:val="22"/>
        </w:rPr>
        <w:t xml:space="preserve"> be ready for full responsibility in the licensure role. </w:t>
      </w:r>
      <w:r w:rsidRPr="00D317A3">
        <w:rPr>
          <w:rStyle w:val="normaltextrun"/>
          <w:rFonts w:asciiTheme="majorHAnsi" w:hAnsiTheme="majorHAnsi" w:cstheme="majorHAnsi"/>
          <w:i/>
          <w:iCs/>
          <w:color w:val="333333"/>
          <w:sz w:val="22"/>
          <w:szCs w:val="22"/>
        </w:rPr>
        <w:t>(</w:t>
      </w:r>
      <w:r w:rsidR="009810BE" w:rsidRPr="00D317A3">
        <w:rPr>
          <w:rStyle w:val="contextualspellingandgrammarerror"/>
          <w:rFonts w:asciiTheme="majorHAnsi" w:hAnsiTheme="majorHAnsi" w:cstheme="majorHAnsi"/>
          <w:i/>
          <w:iCs/>
          <w:color w:val="333333"/>
          <w:sz w:val="22"/>
          <w:szCs w:val="22"/>
        </w:rPr>
        <w:t>Applicable</w:t>
      </w:r>
      <w:r w:rsidRPr="00D317A3">
        <w:rPr>
          <w:rStyle w:val="normaltextrun"/>
          <w:rFonts w:asciiTheme="majorHAnsi" w:hAnsiTheme="majorHAnsi" w:cstheme="majorHAnsi"/>
          <w:i/>
          <w:iCs/>
          <w:color w:val="333333"/>
          <w:sz w:val="22"/>
          <w:szCs w:val="22"/>
        </w:rPr>
        <w:t xml:space="preserve"> only for School Business Administrator programs)</w:t>
      </w:r>
      <w:r w:rsidRPr="00D317A3">
        <w:rPr>
          <w:rStyle w:val="eop"/>
          <w:rFonts w:asciiTheme="majorHAnsi" w:hAnsiTheme="majorHAnsi" w:cstheme="majorHAnsi"/>
          <w:color w:val="333333"/>
          <w:sz w:val="22"/>
          <w:szCs w:val="22"/>
        </w:rPr>
        <w:t> </w:t>
      </w:r>
      <w:r w:rsidRPr="00D317A3">
        <w:rPr>
          <w:rFonts w:asciiTheme="majorHAnsi" w:hAnsiTheme="majorHAnsi" w:cstheme="majorHAnsi"/>
          <w:sz w:val="22"/>
          <w:szCs w:val="22"/>
        </w:rPr>
        <w:br/>
      </w:r>
    </w:p>
    <w:p w14:paraId="1033EC1E" w14:textId="656B8204" w:rsidR="00586066" w:rsidRPr="00C76204" w:rsidRDefault="00586066" w:rsidP="00C76204">
      <w:pPr>
        <w:pStyle w:val="paragraph"/>
        <w:ind w:left="720"/>
        <w:textAlignment w:val="baseline"/>
      </w:pPr>
      <w:r w:rsidRPr="00D317A3">
        <w:rPr>
          <w:rStyle w:val="normaltextrun"/>
          <w:rFonts w:asciiTheme="majorHAnsi" w:hAnsiTheme="majorHAnsi" w:cstheme="majorHAnsi"/>
          <w:color w:val="000000" w:themeColor="text1"/>
          <w:sz w:val="22"/>
          <w:szCs w:val="22"/>
        </w:rPr>
        <w:t xml:space="preserve">INS 3: </w:t>
      </w:r>
      <w:r w:rsidRPr="00D317A3">
        <w:rPr>
          <w:rFonts w:asciiTheme="majorHAnsi" w:eastAsia="Calibri" w:hAnsiTheme="majorHAnsi" w:cstheme="majorHAnsi"/>
          <w:color w:val="000000" w:themeColor="text1"/>
          <w:sz w:val="22"/>
          <w:szCs w:val="22"/>
        </w:rPr>
        <w:t xml:space="preserve"> The program(s) of study</w:t>
      </w:r>
      <w:r w:rsidRPr="00D317A3">
        <w:rPr>
          <w:rStyle w:val="normaltextrun"/>
          <w:rFonts w:asciiTheme="majorHAnsi" w:hAnsiTheme="majorHAnsi" w:cstheme="majorHAnsi"/>
          <w:color w:val="000000" w:themeColor="text1"/>
          <w:sz w:val="22"/>
          <w:szCs w:val="22"/>
        </w:rPr>
        <w:t xml:space="preserve"> ensures that all candidates develop the leadership skills (as articulated in the</w:t>
      </w:r>
      <w:r w:rsidR="00C76204">
        <w:t xml:space="preserve"> </w:t>
      </w:r>
      <w:hyperlink r:id="rId43" w:history="1">
        <w:r w:rsidR="00C76204" w:rsidRPr="00C76204">
          <w:rPr>
            <w:rStyle w:val="Hyperlink"/>
            <w:rFonts w:asciiTheme="majorHAnsi" w:hAnsiTheme="majorHAnsi" w:cstheme="majorHAnsi"/>
            <w:sz w:val="22"/>
            <w:szCs w:val="22"/>
          </w:rPr>
          <w:t>Professional Standards and Indicators for Administrative Leadership</w:t>
        </w:r>
      </w:hyperlink>
      <w:r w:rsidRPr="00D317A3">
        <w:rPr>
          <w:rStyle w:val="normaltextrun"/>
          <w:rFonts w:asciiTheme="majorHAnsi" w:hAnsiTheme="majorHAnsi" w:cstheme="majorHAnsi"/>
          <w:color w:val="000000" w:themeColor="text1"/>
          <w:sz w:val="22"/>
          <w:szCs w:val="22"/>
        </w:rPr>
        <w:t>) to be effective educators for all students (including students from all races, identity groups, and backgrounds) in the licensure role.</w:t>
      </w:r>
      <w:r w:rsidRPr="00D317A3">
        <w:rPr>
          <w:rStyle w:val="eop"/>
          <w:rFonts w:asciiTheme="majorHAnsi" w:hAnsiTheme="majorHAnsi" w:cstheme="majorHAnsi"/>
          <w:color w:val="000000" w:themeColor="text1"/>
          <w:sz w:val="22"/>
          <w:szCs w:val="22"/>
        </w:rPr>
        <w:t> </w:t>
      </w:r>
      <w:r w:rsidRPr="00D317A3">
        <w:rPr>
          <w:rFonts w:asciiTheme="majorHAnsi" w:hAnsiTheme="majorHAnsi" w:cstheme="majorHAnsi"/>
          <w:sz w:val="22"/>
          <w:szCs w:val="22"/>
        </w:rPr>
        <w:br/>
      </w:r>
    </w:p>
    <w:p w14:paraId="32F5EC0D" w14:textId="3B03217C" w:rsidR="00586066" w:rsidRPr="00D317A3" w:rsidRDefault="00586066" w:rsidP="00586066">
      <w:pPr>
        <w:pStyle w:val="paragraph"/>
        <w:spacing w:before="0" w:beforeAutospacing="0" w:after="0" w:afterAutospacing="0"/>
        <w:ind w:left="720"/>
        <w:textAlignment w:val="baseline"/>
        <w:rPr>
          <w:rFonts w:asciiTheme="majorHAnsi" w:hAnsiTheme="majorHAnsi" w:cstheme="majorHAnsi"/>
          <w:sz w:val="22"/>
          <w:szCs w:val="22"/>
        </w:rPr>
      </w:pPr>
      <w:r w:rsidRPr="00D317A3">
        <w:rPr>
          <w:rStyle w:val="normaltextrun"/>
          <w:rFonts w:asciiTheme="majorHAnsi" w:hAnsiTheme="majorHAnsi" w:cstheme="majorHAnsi"/>
          <w:color w:val="000000" w:themeColor="text1"/>
          <w:sz w:val="22"/>
          <w:szCs w:val="22"/>
        </w:rPr>
        <w:t xml:space="preserve">INS 4: </w:t>
      </w:r>
      <w:r w:rsidRPr="00D317A3">
        <w:rPr>
          <w:rFonts w:asciiTheme="majorHAnsi" w:eastAsia="Calibri" w:hAnsiTheme="majorHAnsi" w:cstheme="majorHAnsi"/>
          <w:color w:val="000000" w:themeColor="text1"/>
          <w:sz w:val="22"/>
          <w:szCs w:val="22"/>
        </w:rPr>
        <w:t xml:space="preserve"> The program(s) of study</w:t>
      </w:r>
      <w:r w:rsidRPr="00D317A3">
        <w:rPr>
          <w:rStyle w:val="normaltextrun"/>
          <w:rFonts w:asciiTheme="majorHAnsi" w:hAnsiTheme="majorHAnsi" w:cstheme="majorHAnsi"/>
          <w:color w:val="000000" w:themeColor="text1"/>
          <w:sz w:val="22"/>
          <w:szCs w:val="22"/>
        </w:rPr>
        <w:t xml:space="preserve"> ensures that all candidates are prepared to provide educators with the knowledge, skills, support, and conditions to develop curriculum literacy</w:t>
      </w:r>
      <w:r w:rsidR="00E131DB" w:rsidRPr="00D317A3">
        <w:rPr>
          <w:rStyle w:val="normaltextrun"/>
          <w:rFonts w:asciiTheme="majorHAnsi" w:hAnsiTheme="majorHAnsi" w:cstheme="majorHAnsi"/>
          <w:color w:val="000000" w:themeColor="text1"/>
          <w:sz w:val="22"/>
          <w:szCs w:val="22"/>
        </w:rPr>
        <w:t xml:space="preserve"> </w:t>
      </w:r>
      <w:r w:rsidR="00E131DB" w:rsidRPr="00D317A3">
        <w:rPr>
          <w:rFonts w:asciiTheme="majorHAnsi" w:eastAsia="Calibri" w:hAnsiTheme="majorHAnsi" w:cstheme="majorHAnsi"/>
          <w:color w:val="000000" w:themeColor="text1"/>
          <w:sz w:val="22"/>
          <w:szCs w:val="22"/>
        </w:rPr>
        <w:t xml:space="preserve">(as articulated in </w:t>
      </w:r>
      <w:hyperlink w:anchor="_Appendix_D:_Curriculum" w:history="1">
        <w:r w:rsidR="00E131DB" w:rsidRPr="00D317A3">
          <w:rPr>
            <w:rStyle w:val="Hyperlink"/>
            <w:rFonts w:asciiTheme="majorHAnsi" w:eastAsia="Calibri" w:hAnsiTheme="majorHAnsi" w:cstheme="majorHAnsi"/>
            <w:sz w:val="22"/>
            <w:szCs w:val="22"/>
          </w:rPr>
          <w:t>Appendix D: Curricular Literacy</w:t>
        </w:r>
      </w:hyperlink>
      <w:r w:rsidR="00E131DB" w:rsidRPr="00D317A3">
        <w:rPr>
          <w:rFonts w:asciiTheme="majorHAnsi" w:eastAsia="Calibri" w:hAnsiTheme="majorHAnsi" w:cstheme="majorHAnsi"/>
          <w:color w:val="000000" w:themeColor="text1"/>
          <w:sz w:val="22"/>
          <w:szCs w:val="22"/>
        </w:rPr>
        <w:t>)</w:t>
      </w:r>
      <w:r w:rsidRPr="00D317A3">
        <w:rPr>
          <w:rStyle w:val="normaltextrun"/>
          <w:rFonts w:asciiTheme="majorHAnsi" w:hAnsiTheme="majorHAnsi" w:cstheme="majorHAnsi"/>
          <w:color w:val="000000" w:themeColor="text1"/>
          <w:sz w:val="22"/>
          <w:szCs w:val="22"/>
        </w:rPr>
        <w:t>, including leveraging known high-quality curricular materials when available.</w:t>
      </w:r>
      <w:r w:rsidRPr="00D317A3">
        <w:rPr>
          <w:rStyle w:val="eop"/>
          <w:rFonts w:asciiTheme="majorHAnsi" w:hAnsiTheme="majorHAnsi" w:cstheme="majorHAnsi"/>
          <w:color w:val="000000" w:themeColor="text1"/>
          <w:sz w:val="22"/>
          <w:szCs w:val="22"/>
        </w:rPr>
        <w:t> </w:t>
      </w:r>
      <w:r w:rsidRPr="00D317A3">
        <w:rPr>
          <w:rFonts w:asciiTheme="majorHAnsi" w:hAnsiTheme="majorHAnsi" w:cstheme="majorHAnsi"/>
          <w:sz w:val="22"/>
          <w:szCs w:val="22"/>
        </w:rPr>
        <w:br/>
      </w:r>
    </w:p>
    <w:p w14:paraId="1F6D8E8F" w14:textId="77777777" w:rsidR="00586066" w:rsidRPr="00D317A3" w:rsidRDefault="00586066" w:rsidP="00586066">
      <w:pPr>
        <w:pStyle w:val="paragraph"/>
        <w:spacing w:before="0" w:beforeAutospacing="0" w:after="0" w:afterAutospacing="0"/>
        <w:ind w:left="720"/>
        <w:textAlignment w:val="baseline"/>
        <w:rPr>
          <w:rFonts w:asciiTheme="majorHAnsi" w:hAnsiTheme="majorHAnsi" w:cstheme="majorHAnsi"/>
          <w:sz w:val="22"/>
          <w:szCs w:val="22"/>
        </w:rPr>
      </w:pPr>
      <w:r w:rsidRPr="00D317A3">
        <w:rPr>
          <w:rStyle w:val="normaltextrun"/>
          <w:rFonts w:asciiTheme="majorHAnsi" w:hAnsiTheme="majorHAnsi" w:cstheme="majorHAnsi"/>
          <w:color w:val="000000" w:themeColor="text1"/>
          <w:sz w:val="22"/>
          <w:szCs w:val="22"/>
        </w:rPr>
        <w:t xml:space="preserve">INS 5: </w:t>
      </w:r>
      <w:r w:rsidRPr="00D317A3">
        <w:rPr>
          <w:rFonts w:asciiTheme="majorHAnsi" w:eastAsia="Calibri" w:hAnsiTheme="majorHAnsi" w:cstheme="majorHAnsi"/>
          <w:color w:val="000000" w:themeColor="text1"/>
          <w:sz w:val="22"/>
          <w:szCs w:val="22"/>
        </w:rPr>
        <w:t xml:space="preserve"> The program(s) of study</w:t>
      </w:r>
      <w:r w:rsidRPr="00D317A3">
        <w:rPr>
          <w:rStyle w:val="normaltextrun"/>
          <w:rFonts w:asciiTheme="majorHAnsi" w:hAnsiTheme="majorHAnsi" w:cstheme="majorHAnsi"/>
          <w:color w:val="000000" w:themeColor="text1"/>
          <w:sz w:val="22"/>
          <w:szCs w:val="22"/>
        </w:rPr>
        <w:t xml:space="preserve"> is intentionally designed such that sequencing and connections between courses build candidates’ readiness for full responsibility in the licensure role.</w:t>
      </w:r>
      <w:r w:rsidRPr="00D317A3">
        <w:rPr>
          <w:rStyle w:val="eop"/>
          <w:rFonts w:asciiTheme="majorHAnsi" w:hAnsiTheme="majorHAnsi" w:cstheme="majorHAnsi"/>
          <w:color w:val="000000" w:themeColor="text1"/>
          <w:sz w:val="22"/>
          <w:szCs w:val="22"/>
        </w:rPr>
        <w:t> </w:t>
      </w:r>
      <w:r w:rsidRPr="00D317A3">
        <w:rPr>
          <w:rFonts w:asciiTheme="majorHAnsi" w:hAnsiTheme="majorHAnsi" w:cstheme="majorHAnsi"/>
          <w:sz w:val="22"/>
          <w:szCs w:val="22"/>
        </w:rPr>
        <w:br/>
      </w:r>
    </w:p>
    <w:p w14:paraId="0A182D31" w14:textId="3315E1D8" w:rsidR="00586066" w:rsidRPr="00BA67B6" w:rsidRDefault="00586066" w:rsidP="00174ECC">
      <w:pPr>
        <w:pStyle w:val="paragraph"/>
        <w:spacing w:before="0" w:beforeAutospacing="0" w:after="0" w:afterAutospacing="0"/>
        <w:ind w:left="720"/>
        <w:textAlignment w:val="baseline"/>
      </w:pPr>
      <w:r w:rsidRPr="00D317A3">
        <w:rPr>
          <w:rStyle w:val="normaltextrun"/>
          <w:rFonts w:asciiTheme="majorHAnsi" w:hAnsiTheme="majorHAnsi" w:cstheme="majorHAnsi"/>
          <w:color w:val="000000" w:themeColor="text1"/>
          <w:sz w:val="22"/>
          <w:szCs w:val="22"/>
        </w:rPr>
        <w:t xml:space="preserve">INS 6: </w:t>
      </w:r>
      <w:r w:rsidRPr="00D317A3">
        <w:rPr>
          <w:rFonts w:asciiTheme="majorHAnsi" w:eastAsia="Calibri" w:hAnsiTheme="majorHAnsi" w:cstheme="majorHAnsi"/>
          <w:color w:val="000000" w:themeColor="text1"/>
          <w:sz w:val="22"/>
          <w:szCs w:val="22"/>
        </w:rPr>
        <w:t xml:space="preserve"> </w:t>
      </w:r>
      <w:r w:rsidR="00A10138" w:rsidRPr="00D317A3">
        <w:rPr>
          <w:rStyle w:val="xnormaltextrun"/>
          <w:rFonts w:asciiTheme="majorHAnsi" w:hAnsiTheme="majorHAnsi" w:cstheme="majorHAnsi"/>
          <w:color w:val="000000"/>
          <w:sz w:val="22"/>
          <w:szCs w:val="22"/>
          <w:shd w:val="clear" w:color="auto" w:fill="FFFFFF"/>
        </w:rPr>
        <w:t xml:space="preserve">The program(s) of study embeds field-based experiences such that candidates have opportunities to observe, apply, and reflect on theories in practice, including anti-racist and culturally and linguistically sustaining </w:t>
      </w:r>
      <w:r w:rsidRPr="00D317A3">
        <w:rPr>
          <w:rStyle w:val="normaltextrun"/>
          <w:rFonts w:asciiTheme="majorHAnsi" w:hAnsiTheme="majorHAnsi" w:cstheme="majorHAnsi"/>
          <w:color w:val="000000" w:themeColor="text1"/>
          <w:sz w:val="22"/>
          <w:szCs w:val="22"/>
        </w:rPr>
        <w:t>leadership practices.</w:t>
      </w:r>
      <w:r w:rsidRPr="00BA67B6">
        <w:rPr>
          <w:rStyle w:val="eop"/>
          <w:rFonts w:asciiTheme="majorHAnsi" w:hAnsiTheme="majorHAnsi" w:cstheme="majorHAnsi"/>
          <w:color w:val="000000" w:themeColor="text1"/>
        </w:rPr>
        <w:t> </w:t>
      </w:r>
    </w:p>
    <w:p w14:paraId="37713480" w14:textId="77777777" w:rsidR="00D317A3" w:rsidRDefault="00D317A3">
      <w:pPr>
        <w:rPr>
          <w:rFonts w:ascii="Calibri" w:hAnsi="Calibri"/>
          <w:b/>
          <w:color w:val="1F497D" w:themeColor="text2"/>
          <w:sz w:val="32"/>
          <w:szCs w:val="48"/>
        </w:rPr>
      </w:pPr>
      <w:bookmarkStart w:id="76" w:name="_Program_Approval_Overview"/>
      <w:bookmarkEnd w:id="76"/>
      <w:r>
        <w:br w:type="page"/>
      </w:r>
    </w:p>
    <w:p w14:paraId="3366F11A" w14:textId="6E150517" w:rsidR="00551C94" w:rsidRPr="00BA67B6" w:rsidRDefault="00551C94">
      <w:pPr>
        <w:pStyle w:val="Heading1"/>
      </w:pPr>
      <w:bookmarkStart w:id="77" w:name="_Toc125575627"/>
      <w:r w:rsidRPr="00BA67B6">
        <w:lastRenderedPageBreak/>
        <w:t xml:space="preserve">Program </w:t>
      </w:r>
      <w:r w:rsidRPr="00174ECC">
        <w:t>Approval</w:t>
      </w:r>
      <w:r w:rsidRPr="00BA67B6">
        <w:t xml:space="preserve"> Overview and DESE Role</w:t>
      </w:r>
      <w:bookmarkEnd w:id="77"/>
    </w:p>
    <w:p w14:paraId="0F3C3C41" w14:textId="341A488E" w:rsidR="00551C94" w:rsidRPr="003E2664" w:rsidRDefault="00551C94" w:rsidP="00E41F0D">
      <w:pPr>
        <w:widowControl w:val="0"/>
        <w:pBdr>
          <w:top w:val="nil"/>
          <w:left w:val="nil"/>
          <w:bottom w:val="nil"/>
          <w:right w:val="nil"/>
          <w:between w:val="nil"/>
        </w:pBdr>
        <w:spacing w:before="252"/>
        <w:ind w:left="6" w:right="252" w:firstLine="13"/>
        <w:rPr>
          <w:rFonts w:eastAsia="Calibri" w:cstheme="majorHAnsi"/>
        </w:rPr>
      </w:pPr>
      <w:r w:rsidRPr="003E2664">
        <w:rPr>
          <w:rFonts w:eastAsia="Calibri" w:cstheme="majorHAnsi"/>
        </w:rPr>
        <w:t xml:space="preserve">Program approval refers to the </w:t>
      </w:r>
      <w:r w:rsidR="00C31A92" w:rsidRPr="003E2664">
        <w:rPr>
          <w:rFonts w:eastAsia="Calibri" w:cstheme="majorHAnsi"/>
        </w:rPr>
        <w:t>processes</w:t>
      </w:r>
      <w:r w:rsidR="003B1D72" w:rsidRPr="003E2664">
        <w:rPr>
          <w:rFonts w:eastAsia="Calibri" w:cstheme="majorHAnsi"/>
        </w:rPr>
        <w:t xml:space="preserve"> through which Sponsoring Organizations</w:t>
      </w:r>
      <w:r w:rsidRPr="003E2664">
        <w:rPr>
          <w:rFonts w:eastAsia="Calibri" w:cstheme="majorHAnsi"/>
        </w:rPr>
        <w:t xml:space="preserve"> obtain </w:t>
      </w:r>
      <w:r w:rsidR="00BD1969">
        <w:rPr>
          <w:rFonts w:eastAsia="Calibri" w:cstheme="majorHAnsi"/>
        </w:rPr>
        <w:t>and</w:t>
      </w:r>
      <w:r w:rsidR="00BD1969" w:rsidRPr="003E2664">
        <w:rPr>
          <w:rFonts w:eastAsia="Calibri" w:cstheme="majorHAnsi"/>
        </w:rPr>
        <w:t xml:space="preserve"> </w:t>
      </w:r>
      <w:r w:rsidRPr="003E2664">
        <w:rPr>
          <w:rFonts w:eastAsia="Calibri" w:cstheme="majorHAnsi"/>
        </w:rPr>
        <w:t xml:space="preserve">maintain authority to operate educator preparation programs in the Commonwealth. A </w:t>
      </w:r>
      <w:r w:rsidR="00676696" w:rsidRPr="003E2664">
        <w:rPr>
          <w:rFonts w:eastAsia="Calibri" w:cstheme="majorHAnsi"/>
        </w:rPr>
        <w:t>S</w:t>
      </w:r>
      <w:r w:rsidRPr="003E2664">
        <w:rPr>
          <w:rFonts w:eastAsia="Calibri" w:cstheme="majorHAnsi"/>
        </w:rPr>
        <w:t xml:space="preserve">ponsoring </w:t>
      </w:r>
      <w:r w:rsidR="00676696" w:rsidRPr="003E2664">
        <w:rPr>
          <w:rFonts w:eastAsia="Calibri" w:cstheme="majorHAnsi"/>
        </w:rPr>
        <w:t>O</w:t>
      </w:r>
      <w:r w:rsidRPr="003E2664">
        <w:rPr>
          <w:rFonts w:eastAsia="Calibri" w:cstheme="majorHAnsi"/>
        </w:rPr>
        <w:t xml:space="preserve">rganization </w:t>
      </w:r>
      <w:r w:rsidRPr="003E2664">
        <w:rPr>
          <w:rFonts w:eastAsia="Calibri" w:cstheme="majorHAnsi"/>
          <w:i/>
        </w:rPr>
        <w:t xml:space="preserve">must </w:t>
      </w:r>
      <w:r w:rsidRPr="003E2664">
        <w:rPr>
          <w:rFonts w:eastAsia="Calibri" w:cstheme="majorHAnsi"/>
        </w:rPr>
        <w:t xml:space="preserve">receive approval from DESE </w:t>
      </w:r>
      <w:r w:rsidRPr="003E2664">
        <w:rPr>
          <w:rFonts w:eastAsia="Calibri" w:cstheme="majorHAnsi"/>
          <w:i/>
        </w:rPr>
        <w:t xml:space="preserve">before </w:t>
      </w:r>
      <w:r w:rsidRPr="003E2664">
        <w:rPr>
          <w:rFonts w:eastAsia="Calibri" w:cstheme="majorHAnsi"/>
        </w:rPr>
        <w:t>enrolling candidates into any educator preparation program. P</w:t>
      </w:r>
      <w:r w:rsidRPr="003E2664">
        <w:rPr>
          <w:rFonts w:eastAsia="Calibri" w:cstheme="majorHAnsi"/>
          <w:color w:val="000000"/>
        </w:rPr>
        <w:t>rograms must be approved by DESE in order to endorse candidates for licensure</w:t>
      </w:r>
      <w:r w:rsidRPr="003E2664">
        <w:rPr>
          <w:rFonts w:eastAsia="Calibri" w:cstheme="majorHAnsi"/>
          <w:color w:val="000000"/>
          <w:vertAlign w:val="superscript"/>
        </w:rPr>
        <w:footnoteReference w:id="21"/>
      </w:r>
      <w:r w:rsidRPr="003E2664">
        <w:rPr>
          <w:rFonts w:eastAsia="Calibri" w:cstheme="majorHAnsi"/>
          <w:color w:val="000000"/>
        </w:rPr>
        <w:t xml:space="preserve">. </w:t>
      </w:r>
    </w:p>
    <w:p w14:paraId="14E039DF" w14:textId="28483145" w:rsidR="00551C94" w:rsidRPr="003E2664" w:rsidRDefault="00551C94">
      <w:pPr>
        <w:widowControl w:val="0"/>
        <w:pBdr>
          <w:top w:val="nil"/>
          <w:left w:val="nil"/>
          <w:bottom w:val="nil"/>
          <w:right w:val="nil"/>
          <w:between w:val="nil"/>
        </w:pBdr>
        <w:spacing w:before="248"/>
        <w:ind w:left="2" w:right="256"/>
        <w:rPr>
          <w:rFonts w:eastAsia="Calibri" w:cstheme="majorHAnsi"/>
          <w:color w:val="000000"/>
        </w:rPr>
      </w:pPr>
      <w:r w:rsidRPr="003E2664">
        <w:rPr>
          <w:rFonts w:eastAsia="Calibri" w:cstheme="majorHAnsi"/>
        </w:rPr>
        <w:t>T</w:t>
      </w:r>
      <w:r w:rsidR="001C66FA" w:rsidRPr="003E2664">
        <w:rPr>
          <w:rFonts w:eastAsia="Calibri" w:cstheme="majorHAnsi"/>
        </w:rPr>
        <w:t>here are</w:t>
      </w:r>
      <w:r w:rsidRPr="003E2664">
        <w:rPr>
          <w:rFonts w:eastAsia="Calibri" w:cstheme="majorHAnsi"/>
        </w:rPr>
        <w:t xml:space="preserve"> three types of reviews</w:t>
      </w:r>
      <w:r w:rsidR="001C66FA" w:rsidRPr="003E2664">
        <w:rPr>
          <w:rFonts w:eastAsia="Calibri" w:cstheme="majorHAnsi"/>
        </w:rPr>
        <w:t xml:space="preserve"> </w:t>
      </w:r>
      <w:r w:rsidR="00EB6CEA" w:rsidRPr="003E2664">
        <w:rPr>
          <w:rFonts w:eastAsia="Calibri" w:cstheme="majorHAnsi"/>
        </w:rPr>
        <w:t>leading to approval for preparation programs</w:t>
      </w:r>
      <w:r w:rsidR="00F65548" w:rsidRPr="003E2664">
        <w:rPr>
          <w:rFonts w:eastAsia="Calibri" w:cstheme="majorHAnsi"/>
        </w:rPr>
        <w:t>:</w:t>
      </w:r>
      <w:r w:rsidR="00B513DD" w:rsidRPr="003E2664">
        <w:rPr>
          <w:rFonts w:eastAsia="Calibri" w:cstheme="majorHAnsi"/>
        </w:rPr>
        <w:t xml:space="preserve"> </w:t>
      </w:r>
      <w:r w:rsidR="007E3BCC" w:rsidRPr="003E2664">
        <w:rPr>
          <w:rFonts w:eastAsia="Calibri" w:cstheme="majorHAnsi"/>
          <w:color w:val="000000"/>
        </w:rPr>
        <w:t>i</w:t>
      </w:r>
      <w:r w:rsidRPr="003E2664">
        <w:rPr>
          <w:rFonts w:eastAsia="Calibri" w:cstheme="majorHAnsi"/>
          <w:color w:val="000000"/>
        </w:rPr>
        <w:t>nformal,</w:t>
      </w:r>
      <w:r w:rsidR="00C93C90" w:rsidRPr="003E2664">
        <w:rPr>
          <w:rFonts w:eastAsia="Calibri" w:cstheme="majorHAnsi"/>
          <w:color w:val="000000"/>
        </w:rPr>
        <w:t xml:space="preserve"> </w:t>
      </w:r>
      <w:r w:rsidR="007E3BCC" w:rsidRPr="003E2664">
        <w:rPr>
          <w:rFonts w:eastAsia="Calibri" w:cstheme="majorHAnsi"/>
          <w:color w:val="000000"/>
        </w:rPr>
        <w:t>i</w:t>
      </w:r>
      <w:r w:rsidR="00C93C90" w:rsidRPr="003E2664">
        <w:rPr>
          <w:rFonts w:eastAsia="Calibri" w:cstheme="majorHAnsi"/>
          <w:color w:val="000000"/>
        </w:rPr>
        <w:t xml:space="preserve">nterim, </w:t>
      </w:r>
      <w:r w:rsidR="00F65548" w:rsidRPr="003E2664">
        <w:rPr>
          <w:rFonts w:eastAsia="Calibri" w:cstheme="majorHAnsi"/>
          <w:color w:val="000000"/>
        </w:rPr>
        <w:t xml:space="preserve">and </w:t>
      </w:r>
      <w:r w:rsidR="007E3BCC" w:rsidRPr="003E2664">
        <w:rPr>
          <w:rFonts w:eastAsia="Calibri" w:cstheme="majorHAnsi"/>
          <w:color w:val="000000"/>
        </w:rPr>
        <w:t>f</w:t>
      </w:r>
      <w:r w:rsidR="00C93C90" w:rsidRPr="003E2664">
        <w:rPr>
          <w:rFonts w:eastAsia="Calibri" w:cstheme="majorHAnsi"/>
          <w:color w:val="000000"/>
        </w:rPr>
        <w:t>ormal</w:t>
      </w:r>
      <w:r w:rsidRPr="003E2664">
        <w:rPr>
          <w:rFonts w:eastAsia="Calibri" w:cstheme="majorHAnsi"/>
          <w:color w:val="000000"/>
        </w:rPr>
        <w:t xml:space="preserve">. </w:t>
      </w:r>
      <w:r w:rsidR="00E7371C" w:rsidRPr="003E2664">
        <w:rPr>
          <w:rFonts w:eastAsia="Calibri" w:cstheme="majorHAnsi"/>
          <w:color w:val="000000"/>
        </w:rPr>
        <w:t xml:space="preserve">Each type of review is </w:t>
      </w:r>
      <w:r w:rsidRPr="003E2664">
        <w:rPr>
          <w:rFonts w:eastAsia="Calibri" w:cstheme="majorHAnsi"/>
          <w:color w:val="000000"/>
        </w:rPr>
        <w:t>outlined in the chart below</w:t>
      </w:r>
      <w:r w:rsidR="003C371E" w:rsidRPr="003E2664">
        <w:rPr>
          <w:rFonts w:eastAsia="Calibri" w:cstheme="majorHAnsi"/>
          <w:color w:val="000000"/>
        </w:rPr>
        <w:t>:</w:t>
      </w:r>
      <w:r w:rsidR="003C371E" w:rsidRPr="003E2664">
        <w:rPr>
          <w:rFonts w:eastAsia="Calibri" w:cstheme="majorHAnsi"/>
          <w:color w:val="000000"/>
        </w:rPr>
        <w:br/>
      </w:r>
    </w:p>
    <w:tbl>
      <w:tblPr>
        <w:tblStyle w:val="GridTable2-Accent1"/>
        <w:tblW w:w="9372" w:type="dxa"/>
        <w:tblLook w:val="04A0" w:firstRow="1" w:lastRow="0" w:firstColumn="1" w:lastColumn="0" w:noHBand="0" w:noVBand="1"/>
      </w:tblPr>
      <w:tblGrid>
        <w:gridCol w:w="1404"/>
        <w:gridCol w:w="1892"/>
        <w:gridCol w:w="2126"/>
        <w:gridCol w:w="2048"/>
        <w:gridCol w:w="1902"/>
      </w:tblGrid>
      <w:tr w:rsidR="00835AF2" w:rsidRPr="003E2664" w14:paraId="2FAE3C8E" w14:textId="77777777" w:rsidTr="154574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4DFC79A" w14:textId="77777777" w:rsidR="00341604" w:rsidRPr="003E2664" w:rsidRDefault="00341604" w:rsidP="00551C94">
            <w:pPr>
              <w:widowControl w:val="0"/>
              <w:spacing w:before="248" w:line="243" w:lineRule="auto"/>
              <w:ind w:right="256"/>
              <w:rPr>
                <w:rFonts w:eastAsia="Calibri" w:cstheme="majorHAnsi"/>
                <w:color w:val="000000"/>
              </w:rPr>
            </w:pPr>
          </w:p>
        </w:tc>
        <w:tc>
          <w:tcPr>
            <w:tcW w:w="1695" w:type="dxa"/>
          </w:tcPr>
          <w:p w14:paraId="37F930D8" w14:textId="3F9F5E1E" w:rsidR="00341604" w:rsidRPr="003E2664" w:rsidRDefault="00341604" w:rsidP="00551C94">
            <w:pPr>
              <w:widowControl w:val="0"/>
              <w:spacing w:before="248" w:line="243" w:lineRule="auto"/>
              <w:ind w:right="256"/>
              <w:cnfStyle w:val="100000000000" w:firstRow="1" w:lastRow="0" w:firstColumn="0" w:lastColumn="0" w:oddVBand="0" w:evenVBand="0" w:oddHBand="0" w:evenHBand="0" w:firstRowFirstColumn="0" w:firstRowLastColumn="0" w:lastRowFirstColumn="0" w:lastRowLastColumn="0"/>
              <w:rPr>
                <w:rFonts w:eastAsia="Calibri" w:cstheme="majorHAnsi"/>
                <w:color w:val="000000"/>
              </w:rPr>
            </w:pPr>
            <w:r w:rsidRPr="003E2664">
              <w:rPr>
                <w:rFonts w:eastAsia="Calibri" w:cstheme="majorHAnsi"/>
                <w:color w:val="000000"/>
              </w:rPr>
              <w:t>Initiated by</w:t>
            </w:r>
          </w:p>
        </w:tc>
        <w:tc>
          <w:tcPr>
            <w:tcW w:w="1905" w:type="dxa"/>
          </w:tcPr>
          <w:p w14:paraId="6DD39666" w14:textId="05CA0375" w:rsidR="00341604" w:rsidRPr="003E2664" w:rsidRDefault="00341604" w:rsidP="00551C94">
            <w:pPr>
              <w:widowControl w:val="0"/>
              <w:spacing w:before="248" w:line="243" w:lineRule="auto"/>
              <w:ind w:right="256"/>
              <w:cnfStyle w:val="100000000000" w:firstRow="1" w:lastRow="0" w:firstColumn="0" w:lastColumn="0" w:oddVBand="0" w:evenVBand="0" w:oddHBand="0" w:evenHBand="0" w:firstRowFirstColumn="0" w:firstRowLastColumn="0" w:lastRowFirstColumn="0" w:lastRowLastColumn="0"/>
              <w:rPr>
                <w:rFonts w:eastAsia="Calibri" w:cstheme="majorHAnsi"/>
                <w:color w:val="000000"/>
              </w:rPr>
            </w:pPr>
            <w:r w:rsidRPr="003E2664">
              <w:rPr>
                <w:rFonts w:eastAsia="Calibri" w:cstheme="majorHAnsi"/>
                <w:color w:val="000000"/>
              </w:rPr>
              <w:t>Form of Review</w:t>
            </w:r>
          </w:p>
        </w:tc>
        <w:tc>
          <w:tcPr>
            <w:tcW w:w="0" w:type="dxa"/>
          </w:tcPr>
          <w:p w14:paraId="693DAF47" w14:textId="2AF84A7B" w:rsidR="00341604" w:rsidRPr="003E2664" w:rsidRDefault="00341604" w:rsidP="00551C94">
            <w:pPr>
              <w:widowControl w:val="0"/>
              <w:spacing w:before="248" w:line="243" w:lineRule="auto"/>
              <w:ind w:right="256"/>
              <w:cnfStyle w:val="100000000000" w:firstRow="1" w:lastRow="0" w:firstColumn="0" w:lastColumn="0" w:oddVBand="0" w:evenVBand="0" w:oddHBand="0" w:evenHBand="0" w:firstRowFirstColumn="0" w:firstRowLastColumn="0" w:lastRowFirstColumn="0" w:lastRowLastColumn="0"/>
              <w:rPr>
                <w:rFonts w:eastAsia="Calibri" w:cstheme="majorHAnsi"/>
                <w:color w:val="000000"/>
              </w:rPr>
            </w:pPr>
            <w:r w:rsidRPr="003E2664">
              <w:rPr>
                <w:rFonts w:eastAsia="Calibri" w:cstheme="majorHAnsi"/>
                <w:color w:val="000000"/>
              </w:rPr>
              <w:t>Term of Approval</w:t>
            </w:r>
          </w:p>
        </w:tc>
        <w:tc>
          <w:tcPr>
            <w:tcW w:w="0" w:type="dxa"/>
          </w:tcPr>
          <w:p w14:paraId="7E7A2A1B" w14:textId="082E5591" w:rsidR="00341604" w:rsidRPr="003E2664" w:rsidRDefault="00341604" w:rsidP="00551C94">
            <w:pPr>
              <w:widowControl w:val="0"/>
              <w:spacing w:before="248" w:line="243" w:lineRule="auto"/>
              <w:ind w:right="256"/>
              <w:cnfStyle w:val="100000000000" w:firstRow="1" w:lastRow="0" w:firstColumn="0" w:lastColumn="0" w:oddVBand="0" w:evenVBand="0" w:oddHBand="0" w:evenHBand="0" w:firstRowFirstColumn="0" w:firstRowLastColumn="0" w:lastRowFirstColumn="0" w:lastRowLastColumn="0"/>
              <w:rPr>
                <w:rFonts w:eastAsia="Calibri" w:cstheme="majorHAnsi"/>
                <w:color w:val="000000"/>
              </w:rPr>
            </w:pPr>
            <w:r w:rsidRPr="003E2664">
              <w:rPr>
                <w:rFonts w:eastAsia="Calibri" w:cstheme="majorHAnsi"/>
                <w:color w:val="000000"/>
              </w:rPr>
              <w:t>Purpose</w:t>
            </w:r>
          </w:p>
        </w:tc>
      </w:tr>
      <w:tr w:rsidR="00835AF2" w:rsidRPr="003E2664" w14:paraId="69B3B85C" w14:textId="77777777" w:rsidTr="15457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A55D90B" w14:textId="101819F6" w:rsidR="00341604" w:rsidRPr="003E2664" w:rsidRDefault="00341604" w:rsidP="00551C94">
            <w:pPr>
              <w:widowControl w:val="0"/>
              <w:spacing w:before="248" w:line="243" w:lineRule="auto"/>
              <w:ind w:right="256"/>
              <w:rPr>
                <w:rFonts w:eastAsia="Calibri" w:cstheme="majorHAnsi"/>
                <w:color w:val="000000"/>
              </w:rPr>
            </w:pPr>
            <w:r w:rsidRPr="003E2664">
              <w:rPr>
                <w:rFonts w:eastAsia="Calibri" w:cstheme="majorHAnsi"/>
                <w:color w:val="000000"/>
              </w:rPr>
              <w:t>Informal Review</w:t>
            </w:r>
          </w:p>
        </w:tc>
        <w:tc>
          <w:tcPr>
            <w:tcW w:w="1695" w:type="dxa"/>
          </w:tcPr>
          <w:p w14:paraId="5A746372" w14:textId="20AFE753" w:rsidR="00341604" w:rsidRPr="003E2664" w:rsidRDefault="00341604" w:rsidP="00551C94">
            <w:pPr>
              <w:widowControl w:val="0"/>
              <w:spacing w:before="248" w:line="243" w:lineRule="auto"/>
              <w:ind w:right="256"/>
              <w:cnfStyle w:val="000000100000" w:firstRow="0" w:lastRow="0" w:firstColumn="0" w:lastColumn="0" w:oddVBand="0" w:evenVBand="0" w:oddHBand="1" w:evenHBand="0" w:firstRowFirstColumn="0" w:firstRowLastColumn="0" w:lastRowFirstColumn="0" w:lastRowLastColumn="0"/>
              <w:rPr>
                <w:rFonts w:eastAsia="Calibri" w:cstheme="majorHAnsi"/>
                <w:color w:val="000000"/>
              </w:rPr>
            </w:pPr>
            <w:r w:rsidRPr="003E2664">
              <w:rPr>
                <w:rFonts w:eastAsia="Calibri" w:cstheme="majorHAnsi"/>
                <w:color w:val="000000"/>
              </w:rPr>
              <w:t>Sponsoring Organization</w:t>
            </w:r>
          </w:p>
        </w:tc>
        <w:tc>
          <w:tcPr>
            <w:tcW w:w="1905" w:type="dxa"/>
          </w:tcPr>
          <w:p w14:paraId="3E17EE32" w14:textId="07AC7514" w:rsidR="00341604" w:rsidRPr="003E2664" w:rsidRDefault="00B1427E" w:rsidP="00551C94">
            <w:pPr>
              <w:widowControl w:val="0"/>
              <w:spacing w:before="248" w:line="243" w:lineRule="auto"/>
              <w:ind w:right="256"/>
              <w:cnfStyle w:val="000000100000" w:firstRow="0" w:lastRow="0" w:firstColumn="0" w:lastColumn="0" w:oddVBand="0" w:evenVBand="0" w:oddHBand="1" w:evenHBand="0" w:firstRowFirstColumn="0" w:firstRowLastColumn="0" w:lastRowFirstColumn="0" w:lastRowLastColumn="0"/>
              <w:rPr>
                <w:rFonts w:eastAsia="Calibri" w:cstheme="majorHAnsi"/>
                <w:color w:val="000000"/>
              </w:rPr>
            </w:pPr>
            <w:r w:rsidRPr="003E2664">
              <w:rPr>
                <w:rFonts w:eastAsia="Calibri" w:cstheme="majorHAnsi"/>
                <w:color w:val="000000"/>
              </w:rPr>
              <w:t>Offsite document review only</w:t>
            </w:r>
          </w:p>
        </w:tc>
        <w:tc>
          <w:tcPr>
            <w:tcW w:w="0" w:type="dxa"/>
          </w:tcPr>
          <w:p w14:paraId="3719CF94" w14:textId="254198EC" w:rsidR="00341604" w:rsidRPr="003E2664" w:rsidRDefault="00426B38" w:rsidP="00551C94">
            <w:pPr>
              <w:widowControl w:val="0"/>
              <w:spacing w:before="248" w:line="243" w:lineRule="auto"/>
              <w:ind w:right="256"/>
              <w:cnfStyle w:val="000000100000" w:firstRow="0" w:lastRow="0" w:firstColumn="0" w:lastColumn="0" w:oddVBand="0" w:evenVBand="0" w:oddHBand="1" w:evenHBand="0" w:firstRowFirstColumn="0" w:firstRowLastColumn="0" w:lastRowFirstColumn="0" w:lastRowLastColumn="0"/>
              <w:rPr>
                <w:rFonts w:eastAsia="Calibri" w:cstheme="majorHAnsi"/>
                <w:color w:val="000000"/>
              </w:rPr>
            </w:pPr>
            <w:r w:rsidRPr="003E2664">
              <w:rPr>
                <w:rFonts w:eastAsia="Calibri" w:cstheme="majorHAnsi"/>
              </w:rPr>
              <w:t xml:space="preserve">3 years for newly approved Sponsoring Organizations, until next formal review for new programs  </w:t>
            </w:r>
          </w:p>
        </w:tc>
        <w:tc>
          <w:tcPr>
            <w:tcW w:w="0" w:type="dxa"/>
          </w:tcPr>
          <w:p w14:paraId="743D2B51" w14:textId="2E78CC69" w:rsidR="00341604" w:rsidRPr="003E2664" w:rsidRDefault="00426B38" w:rsidP="00551C94">
            <w:pPr>
              <w:widowControl w:val="0"/>
              <w:spacing w:before="248" w:line="243" w:lineRule="auto"/>
              <w:ind w:right="256"/>
              <w:cnfStyle w:val="000000100000" w:firstRow="0" w:lastRow="0" w:firstColumn="0" w:lastColumn="0" w:oddVBand="0" w:evenVBand="0" w:oddHBand="1" w:evenHBand="0" w:firstRowFirstColumn="0" w:firstRowLastColumn="0" w:lastRowFirstColumn="0" w:lastRowLastColumn="0"/>
              <w:rPr>
                <w:rFonts w:eastAsia="Calibri" w:cstheme="majorHAnsi"/>
                <w:color w:val="000000"/>
              </w:rPr>
            </w:pPr>
            <w:r w:rsidRPr="003E2664">
              <w:rPr>
                <w:rFonts w:eastAsia="Calibri" w:cstheme="majorHAnsi"/>
              </w:rPr>
              <w:t>For new entities seeking to become a Sponsoring Organization or currently approved Sponsoring Organizations proposing new programs</w:t>
            </w:r>
          </w:p>
        </w:tc>
      </w:tr>
      <w:tr w:rsidR="00CE6CE7" w:rsidRPr="003E2664" w14:paraId="28DA8AB2" w14:textId="77777777" w:rsidTr="15457460">
        <w:tc>
          <w:tcPr>
            <w:cnfStyle w:val="001000000000" w:firstRow="0" w:lastRow="0" w:firstColumn="1" w:lastColumn="0" w:oddVBand="0" w:evenVBand="0" w:oddHBand="0" w:evenHBand="0" w:firstRowFirstColumn="0" w:firstRowLastColumn="0" w:lastRowFirstColumn="0" w:lastRowLastColumn="0"/>
            <w:tcW w:w="0" w:type="dxa"/>
          </w:tcPr>
          <w:p w14:paraId="2EB49E07" w14:textId="7645F4AB" w:rsidR="00341604" w:rsidRPr="003E2664" w:rsidRDefault="00341604" w:rsidP="00551C94">
            <w:pPr>
              <w:widowControl w:val="0"/>
              <w:spacing w:before="248" w:line="243" w:lineRule="auto"/>
              <w:ind w:right="256"/>
              <w:rPr>
                <w:rFonts w:eastAsia="Calibri" w:cstheme="majorHAnsi"/>
                <w:color w:val="000000"/>
              </w:rPr>
            </w:pPr>
            <w:r w:rsidRPr="003E2664">
              <w:rPr>
                <w:rFonts w:eastAsia="Calibri" w:cstheme="majorHAnsi"/>
                <w:color w:val="000000"/>
              </w:rPr>
              <w:t>Interim Review</w:t>
            </w:r>
          </w:p>
        </w:tc>
        <w:tc>
          <w:tcPr>
            <w:tcW w:w="1695" w:type="dxa"/>
          </w:tcPr>
          <w:p w14:paraId="621F4F01" w14:textId="3B51F8F4" w:rsidR="00341604" w:rsidRPr="003E2664" w:rsidRDefault="00341604" w:rsidP="00551C94">
            <w:pPr>
              <w:widowControl w:val="0"/>
              <w:spacing w:before="248" w:line="243" w:lineRule="auto"/>
              <w:ind w:right="256"/>
              <w:cnfStyle w:val="000000000000" w:firstRow="0" w:lastRow="0" w:firstColumn="0" w:lastColumn="0" w:oddVBand="0" w:evenVBand="0" w:oddHBand="0" w:evenHBand="0" w:firstRowFirstColumn="0" w:firstRowLastColumn="0" w:lastRowFirstColumn="0" w:lastRowLastColumn="0"/>
              <w:rPr>
                <w:rFonts w:eastAsia="Calibri" w:cstheme="majorHAnsi"/>
                <w:color w:val="000000"/>
              </w:rPr>
            </w:pPr>
            <w:r w:rsidRPr="003E2664">
              <w:rPr>
                <w:rFonts w:eastAsia="Calibri" w:cstheme="majorHAnsi"/>
                <w:color w:val="000000"/>
              </w:rPr>
              <w:t>Sponsoring Organization and/or DESE</w:t>
            </w:r>
          </w:p>
        </w:tc>
        <w:tc>
          <w:tcPr>
            <w:tcW w:w="1905" w:type="dxa"/>
          </w:tcPr>
          <w:p w14:paraId="6626B8BF" w14:textId="6F87CE45" w:rsidR="00341604" w:rsidRPr="003E2664" w:rsidRDefault="00341604" w:rsidP="00551C94">
            <w:pPr>
              <w:widowControl w:val="0"/>
              <w:spacing w:before="248" w:line="243" w:lineRule="auto"/>
              <w:ind w:right="256"/>
              <w:cnfStyle w:val="000000000000" w:firstRow="0" w:lastRow="0" w:firstColumn="0" w:lastColumn="0" w:oddVBand="0" w:evenVBand="0" w:oddHBand="0" w:evenHBand="0" w:firstRowFirstColumn="0" w:firstRowLastColumn="0" w:lastRowFirstColumn="0" w:lastRowLastColumn="0"/>
              <w:rPr>
                <w:rFonts w:eastAsia="Calibri" w:cstheme="majorHAnsi"/>
                <w:color w:val="000000"/>
              </w:rPr>
            </w:pPr>
            <w:r w:rsidRPr="003E2664">
              <w:rPr>
                <w:rFonts w:eastAsia="Calibri" w:cstheme="majorHAnsi"/>
              </w:rPr>
              <w:t>As needed, will be articulated in writing when review is initiated</w:t>
            </w:r>
          </w:p>
        </w:tc>
        <w:tc>
          <w:tcPr>
            <w:tcW w:w="0" w:type="dxa"/>
          </w:tcPr>
          <w:p w14:paraId="768A59FD" w14:textId="524A120B" w:rsidR="00341604" w:rsidRPr="003E2664" w:rsidRDefault="00426B38" w:rsidP="00551C94">
            <w:pPr>
              <w:widowControl w:val="0"/>
              <w:spacing w:before="248" w:line="243" w:lineRule="auto"/>
              <w:ind w:right="256"/>
              <w:cnfStyle w:val="000000000000" w:firstRow="0" w:lastRow="0" w:firstColumn="0" w:lastColumn="0" w:oddVBand="0" w:evenVBand="0" w:oddHBand="0" w:evenHBand="0" w:firstRowFirstColumn="0" w:firstRowLastColumn="0" w:lastRowFirstColumn="0" w:lastRowLastColumn="0"/>
              <w:rPr>
                <w:rFonts w:eastAsia="Calibri" w:cstheme="majorHAnsi"/>
                <w:color w:val="000000"/>
              </w:rPr>
            </w:pPr>
            <w:r w:rsidRPr="003E2664">
              <w:rPr>
                <w:rFonts w:eastAsia="Calibri" w:cstheme="majorHAnsi"/>
              </w:rPr>
              <w:t>Varies by Approval Determination</w:t>
            </w:r>
          </w:p>
        </w:tc>
        <w:tc>
          <w:tcPr>
            <w:tcW w:w="0" w:type="dxa"/>
          </w:tcPr>
          <w:p w14:paraId="34AB409D" w14:textId="4057A48D" w:rsidR="00341604" w:rsidRPr="003E2664" w:rsidRDefault="00426B38" w:rsidP="00551C94">
            <w:pPr>
              <w:widowControl w:val="0"/>
              <w:spacing w:before="248" w:line="243" w:lineRule="auto"/>
              <w:ind w:right="256"/>
              <w:cnfStyle w:val="000000000000" w:firstRow="0" w:lastRow="0" w:firstColumn="0" w:lastColumn="0" w:oddVBand="0" w:evenVBand="0" w:oddHBand="0" w:evenHBand="0" w:firstRowFirstColumn="0" w:firstRowLastColumn="0" w:lastRowFirstColumn="0" w:lastRowLastColumn="0"/>
              <w:rPr>
                <w:rFonts w:eastAsia="Calibri" w:cstheme="majorHAnsi"/>
                <w:color w:val="000000"/>
              </w:rPr>
            </w:pPr>
            <w:r w:rsidRPr="003E2664">
              <w:rPr>
                <w:rFonts w:eastAsia="Calibri" w:cstheme="majorHAnsi"/>
              </w:rPr>
              <w:t>For currently approved Sponsoring Organizations on an as-needed basis</w:t>
            </w:r>
          </w:p>
        </w:tc>
      </w:tr>
      <w:tr w:rsidR="008011CB" w:rsidRPr="003E2664" w14:paraId="10449068" w14:textId="77777777" w:rsidTr="15457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307A953" w14:textId="1F39D65D" w:rsidR="00426B38" w:rsidRPr="003E2664" w:rsidRDefault="00426B38" w:rsidP="00426B38">
            <w:pPr>
              <w:widowControl w:val="0"/>
              <w:spacing w:before="248" w:line="243" w:lineRule="auto"/>
              <w:ind w:right="256"/>
              <w:rPr>
                <w:rFonts w:eastAsia="Calibri" w:cstheme="majorHAnsi"/>
                <w:color w:val="000000"/>
              </w:rPr>
            </w:pPr>
            <w:r w:rsidRPr="003E2664">
              <w:rPr>
                <w:rFonts w:eastAsia="Calibri" w:cstheme="majorHAnsi"/>
                <w:color w:val="000000"/>
              </w:rPr>
              <w:t>Formal Review</w:t>
            </w:r>
          </w:p>
        </w:tc>
        <w:tc>
          <w:tcPr>
            <w:tcW w:w="1695" w:type="dxa"/>
          </w:tcPr>
          <w:p w14:paraId="37F7CD1D" w14:textId="365612EA" w:rsidR="00426B38" w:rsidRPr="003E2664" w:rsidRDefault="00426B38" w:rsidP="00426B38">
            <w:pPr>
              <w:widowControl w:val="0"/>
              <w:spacing w:before="248" w:line="243" w:lineRule="auto"/>
              <w:ind w:right="256"/>
              <w:cnfStyle w:val="000000100000" w:firstRow="0" w:lastRow="0" w:firstColumn="0" w:lastColumn="0" w:oddVBand="0" w:evenVBand="0" w:oddHBand="1" w:evenHBand="0" w:firstRowFirstColumn="0" w:firstRowLastColumn="0" w:lastRowFirstColumn="0" w:lastRowLastColumn="0"/>
              <w:rPr>
                <w:rFonts w:eastAsia="Calibri" w:cstheme="majorHAnsi"/>
                <w:color w:val="000000"/>
              </w:rPr>
            </w:pPr>
            <w:r w:rsidRPr="003E2664">
              <w:rPr>
                <w:rFonts w:eastAsia="Calibri" w:cstheme="majorHAnsi"/>
                <w:color w:val="000000"/>
              </w:rPr>
              <w:t>DESE</w:t>
            </w:r>
          </w:p>
        </w:tc>
        <w:tc>
          <w:tcPr>
            <w:tcW w:w="1905" w:type="dxa"/>
          </w:tcPr>
          <w:p w14:paraId="3884A3F5" w14:textId="2CF1394B" w:rsidR="00426B38" w:rsidRPr="003E2664" w:rsidRDefault="00426B38" w:rsidP="00426B38">
            <w:pPr>
              <w:widowControl w:val="0"/>
              <w:spacing w:before="248" w:line="243" w:lineRule="auto"/>
              <w:ind w:right="256"/>
              <w:cnfStyle w:val="000000100000" w:firstRow="0" w:lastRow="0" w:firstColumn="0" w:lastColumn="0" w:oddVBand="0" w:evenVBand="0" w:oddHBand="1" w:evenHBand="0" w:firstRowFirstColumn="0" w:firstRowLastColumn="0" w:lastRowFirstColumn="0" w:lastRowLastColumn="0"/>
              <w:rPr>
                <w:rFonts w:eastAsia="Calibri" w:cstheme="majorHAnsi"/>
                <w:color w:val="000000"/>
              </w:rPr>
            </w:pPr>
            <w:r w:rsidRPr="003E2664">
              <w:rPr>
                <w:rFonts w:eastAsia="Calibri" w:cstheme="majorHAnsi"/>
                <w:color w:val="000000"/>
              </w:rPr>
              <w:t xml:space="preserve">Offsite document review and stakeholder </w:t>
            </w:r>
            <w:r w:rsidR="00441755" w:rsidRPr="003E2664">
              <w:rPr>
                <w:rFonts w:eastAsia="Calibri" w:cstheme="majorHAnsi"/>
                <w:color w:val="000000"/>
              </w:rPr>
              <w:t>engagement</w:t>
            </w:r>
          </w:p>
        </w:tc>
        <w:tc>
          <w:tcPr>
            <w:tcW w:w="0" w:type="dxa"/>
          </w:tcPr>
          <w:p w14:paraId="5392C059" w14:textId="3ACC7FA8" w:rsidR="00426B38" w:rsidRPr="003E2664" w:rsidRDefault="00426B38" w:rsidP="00426B38">
            <w:pPr>
              <w:widowControl w:val="0"/>
              <w:spacing w:before="248" w:line="243" w:lineRule="auto"/>
              <w:ind w:right="256"/>
              <w:cnfStyle w:val="000000100000" w:firstRow="0" w:lastRow="0" w:firstColumn="0" w:lastColumn="0" w:oddVBand="0" w:evenVBand="0" w:oddHBand="1" w:evenHBand="0" w:firstRowFirstColumn="0" w:firstRowLastColumn="0" w:lastRowFirstColumn="0" w:lastRowLastColumn="0"/>
              <w:rPr>
                <w:rFonts w:eastAsia="Calibri" w:cstheme="majorHAnsi"/>
                <w:color w:val="000000"/>
              </w:rPr>
            </w:pPr>
            <w:r w:rsidRPr="003E2664">
              <w:rPr>
                <w:rFonts w:eastAsia="Calibri" w:cstheme="majorHAnsi"/>
              </w:rPr>
              <w:t>Varies by Approval Determination, typically 7 years</w:t>
            </w:r>
          </w:p>
        </w:tc>
        <w:tc>
          <w:tcPr>
            <w:tcW w:w="0" w:type="dxa"/>
          </w:tcPr>
          <w:p w14:paraId="3FEA0813" w14:textId="5E896FDD" w:rsidR="00426B38" w:rsidRPr="003E2664" w:rsidRDefault="00426B38" w:rsidP="00426B38">
            <w:pPr>
              <w:widowControl w:val="0"/>
              <w:spacing w:before="248" w:line="243" w:lineRule="auto"/>
              <w:ind w:right="256"/>
              <w:cnfStyle w:val="000000100000" w:firstRow="0" w:lastRow="0" w:firstColumn="0" w:lastColumn="0" w:oddVBand="0" w:evenVBand="0" w:oddHBand="1" w:evenHBand="0" w:firstRowFirstColumn="0" w:firstRowLastColumn="0" w:lastRowFirstColumn="0" w:lastRowLastColumn="0"/>
              <w:rPr>
                <w:rFonts w:eastAsia="Calibri" w:cstheme="majorHAnsi"/>
                <w:color w:val="000000"/>
              </w:rPr>
            </w:pPr>
            <w:r w:rsidRPr="003E2664">
              <w:rPr>
                <w:rFonts w:eastAsia="Calibri" w:cstheme="majorHAnsi"/>
                <w:color w:val="0D0D0D"/>
              </w:rPr>
              <w:t xml:space="preserve">For currently approved </w:t>
            </w:r>
            <w:r w:rsidRPr="003E2664">
              <w:rPr>
                <w:rFonts w:eastAsia="Calibri" w:cstheme="majorHAnsi"/>
              </w:rPr>
              <w:t>Sponsoring Organization</w:t>
            </w:r>
            <w:r w:rsidRPr="003E2664">
              <w:rPr>
                <w:rFonts w:eastAsia="Calibri" w:cstheme="majorHAnsi"/>
                <w:color w:val="0D0D0D"/>
              </w:rPr>
              <w:t xml:space="preserve">s seeking continued approval at the </w:t>
            </w:r>
            <w:r w:rsidRPr="003E2664">
              <w:rPr>
                <w:rFonts w:eastAsia="Calibri" w:cstheme="majorHAnsi"/>
                <w:color w:val="0D0D0D"/>
              </w:rPr>
              <w:lastRenderedPageBreak/>
              <w:t>end of current approval window</w:t>
            </w:r>
          </w:p>
        </w:tc>
      </w:tr>
    </w:tbl>
    <w:p w14:paraId="52A622C4" w14:textId="106A5033" w:rsidR="00551C94" w:rsidRPr="00BA67B6" w:rsidRDefault="00551C94" w:rsidP="003E2664">
      <w:pPr>
        <w:pStyle w:val="Heading2"/>
      </w:pPr>
      <w:bookmarkStart w:id="78" w:name="_Toc125547335"/>
      <w:bookmarkStart w:id="79" w:name="_Toc125574784"/>
      <w:bookmarkStart w:id="80" w:name="_Toc125575628"/>
      <w:r w:rsidRPr="00BA67B6">
        <w:lastRenderedPageBreak/>
        <w:t>DESE’s Role</w:t>
      </w:r>
      <w:r w:rsidRPr="00367C89">
        <w:rPr>
          <w:rFonts w:asciiTheme="majorHAnsi" w:hAnsiTheme="majorHAnsi" w:cstheme="majorHAnsi"/>
        </w:rPr>
        <w:t xml:space="preserve"> </w:t>
      </w:r>
      <w:r w:rsidRPr="00367C89">
        <w:rPr>
          <w:rFonts w:asciiTheme="majorHAnsi" w:hAnsiTheme="majorHAnsi" w:cstheme="majorHAnsi"/>
          <w:szCs w:val="28"/>
        </w:rPr>
        <w:t>in</w:t>
      </w:r>
      <w:r w:rsidRPr="00367C89">
        <w:rPr>
          <w:rFonts w:asciiTheme="majorHAnsi" w:hAnsiTheme="majorHAnsi" w:cstheme="majorHAnsi"/>
        </w:rPr>
        <w:t xml:space="preserve"> </w:t>
      </w:r>
      <w:r w:rsidRPr="00BA67B6">
        <w:t>Review</w:t>
      </w:r>
      <w:bookmarkEnd w:id="78"/>
      <w:bookmarkEnd w:id="79"/>
      <w:bookmarkEnd w:id="80"/>
      <w:r w:rsidRPr="00BA67B6">
        <w:t xml:space="preserve"> </w:t>
      </w:r>
    </w:p>
    <w:p w14:paraId="0E74D2F9" w14:textId="77777777" w:rsidR="0056542B" w:rsidRDefault="00BF2139" w:rsidP="0056542B">
      <w:pPr>
        <w:widowControl w:val="0"/>
        <w:spacing w:before="55"/>
        <w:ind w:left="5"/>
        <w:rPr>
          <w:rFonts w:eastAsia="Calibri" w:cstheme="majorHAnsi"/>
        </w:rPr>
      </w:pPr>
      <w:r w:rsidRPr="0080264A">
        <w:rPr>
          <w:rFonts w:eastAsia="Calibri" w:cstheme="majorHAnsi"/>
        </w:rPr>
        <w:t>To support</w:t>
      </w:r>
      <w:r w:rsidR="00551C94" w:rsidRPr="0080264A">
        <w:rPr>
          <w:rFonts w:eastAsia="Calibri" w:cstheme="majorHAnsi"/>
        </w:rPr>
        <w:t xml:space="preserve"> Sponsoring Organizations </w:t>
      </w:r>
      <w:r w:rsidR="005E6B14" w:rsidRPr="0080264A">
        <w:rPr>
          <w:rFonts w:eastAsia="Calibri" w:cstheme="majorHAnsi"/>
        </w:rPr>
        <w:t xml:space="preserve">during </w:t>
      </w:r>
      <w:r w:rsidRPr="0080264A">
        <w:rPr>
          <w:rFonts w:eastAsia="Calibri" w:cstheme="majorHAnsi"/>
        </w:rPr>
        <w:t xml:space="preserve">the </w:t>
      </w:r>
      <w:r w:rsidR="00551C94" w:rsidRPr="0080264A">
        <w:rPr>
          <w:rFonts w:eastAsia="Calibri" w:cstheme="majorHAnsi"/>
        </w:rPr>
        <w:t>review</w:t>
      </w:r>
      <w:r w:rsidR="005E6B14" w:rsidRPr="0080264A">
        <w:rPr>
          <w:rFonts w:eastAsia="Calibri" w:cstheme="majorHAnsi"/>
        </w:rPr>
        <w:t xml:space="preserve"> process</w:t>
      </w:r>
      <w:r w:rsidR="00551C94" w:rsidRPr="0080264A">
        <w:rPr>
          <w:rFonts w:eastAsia="Calibri" w:cstheme="majorHAnsi"/>
        </w:rPr>
        <w:t>, DESE provide</w:t>
      </w:r>
      <w:r w:rsidR="00330A2F" w:rsidRPr="005E6184">
        <w:rPr>
          <w:rFonts w:eastAsia="Calibri" w:cstheme="majorHAnsi"/>
        </w:rPr>
        <w:t>s</w:t>
      </w:r>
      <w:r w:rsidR="00551C94" w:rsidRPr="005E6184">
        <w:rPr>
          <w:rFonts w:eastAsia="Calibri" w:cstheme="majorHAnsi"/>
        </w:rPr>
        <w:t xml:space="preserve"> technical assistance </w:t>
      </w:r>
      <w:r w:rsidR="004D6F53" w:rsidRPr="005E6184">
        <w:rPr>
          <w:rFonts w:eastAsia="Calibri" w:cstheme="majorHAnsi"/>
        </w:rPr>
        <w:t xml:space="preserve">to </w:t>
      </w:r>
      <w:r w:rsidR="00AD25DE" w:rsidRPr="00090190">
        <w:rPr>
          <w:rFonts w:eastAsia="Calibri" w:cstheme="majorHAnsi"/>
        </w:rPr>
        <w:t>each S</w:t>
      </w:r>
      <w:r w:rsidR="005522B1" w:rsidRPr="00090190">
        <w:rPr>
          <w:rFonts w:eastAsia="Calibri" w:cstheme="majorHAnsi"/>
        </w:rPr>
        <w:t>O</w:t>
      </w:r>
      <w:r w:rsidR="00AD25DE" w:rsidRPr="00090190">
        <w:rPr>
          <w:rFonts w:eastAsia="Calibri" w:cstheme="majorHAnsi"/>
        </w:rPr>
        <w:t xml:space="preserve"> </w:t>
      </w:r>
      <w:r w:rsidR="00551C94" w:rsidRPr="00090190">
        <w:rPr>
          <w:rFonts w:eastAsia="Calibri" w:cstheme="majorHAnsi"/>
        </w:rPr>
        <w:t xml:space="preserve">through </w:t>
      </w:r>
      <w:r w:rsidR="00137271" w:rsidRPr="00014585">
        <w:rPr>
          <w:rFonts w:eastAsia="Calibri" w:cstheme="majorHAnsi"/>
        </w:rPr>
        <w:t xml:space="preserve">information sessions, </w:t>
      </w:r>
      <w:r w:rsidR="004834AE" w:rsidRPr="00014585">
        <w:rPr>
          <w:rFonts w:eastAsia="Calibri" w:cstheme="majorHAnsi"/>
        </w:rPr>
        <w:t xml:space="preserve">phone or virtual meetings, and timely responses to emailed questions or concerns. </w:t>
      </w:r>
      <w:r w:rsidR="00EA4592" w:rsidRPr="00014585">
        <w:rPr>
          <w:rFonts w:eastAsia="Calibri" w:cstheme="majorHAnsi"/>
        </w:rPr>
        <w:t>This technical assistance include</w:t>
      </w:r>
      <w:r w:rsidR="00605A51" w:rsidRPr="00014585">
        <w:rPr>
          <w:rFonts w:eastAsia="Calibri" w:cstheme="majorHAnsi"/>
        </w:rPr>
        <w:t>s</w:t>
      </w:r>
      <w:r w:rsidR="004D6F53" w:rsidRPr="00014585">
        <w:rPr>
          <w:rFonts w:eastAsia="Calibri" w:cstheme="majorHAnsi"/>
        </w:rPr>
        <w:t xml:space="preserve"> </w:t>
      </w:r>
      <w:r w:rsidR="00B9563A" w:rsidRPr="00014585">
        <w:rPr>
          <w:rFonts w:eastAsia="Calibri" w:cstheme="majorHAnsi"/>
        </w:rPr>
        <w:t>setting clear</w:t>
      </w:r>
      <w:r w:rsidR="00551C94" w:rsidRPr="00014585">
        <w:rPr>
          <w:rFonts w:eastAsia="Calibri" w:cstheme="majorHAnsi"/>
        </w:rPr>
        <w:t xml:space="preserve"> expectations and requirements for the review process</w:t>
      </w:r>
      <w:r w:rsidR="00B9563A" w:rsidRPr="00AC72D4">
        <w:rPr>
          <w:rFonts w:eastAsia="Calibri" w:cstheme="majorHAnsi"/>
        </w:rPr>
        <w:t>, providing templates</w:t>
      </w:r>
      <w:r w:rsidR="00551C94" w:rsidRPr="00DD08F3">
        <w:rPr>
          <w:rFonts w:eastAsia="Calibri" w:cstheme="majorHAnsi"/>
        </w:rPr>
        <w:t xml:space="preserve"> of required documents</w:t>
      </w:r>
      <w:r w:rsidR="00B9563A" w:rsidRPr="00DD08F3">
        <w:rPr>
          <w:rFonts w:eastAsia="Calibri" w:cstheme="majorHAnsi"/>
        </w:rPr>
        <w:t xml:space="preserve">, and sharing resources </w:t>
      </w:r>
      <w:r w:rsidR="00551C94" w:rsidRPr="00DD08F3">
        <w:rPr>
          <w:rFonts w:eastAsia="Calibri" w:cstheme="majorHAnsi"/>
        </w:rPr>
        <w:t xml:space="preserve">to explain requirements and options for </w:t>
      </w:r>
      <w:r w:rsidR="00B9563A" w:rsidRPr="00DD08F3">
        <w:rPr>
          <w:rFonts w:eastAsia="Calibri" w:cstheme="majorHAnsi"/>
        </w:rPr>
        <w:t xml:space="preserve">the </w:t>
      </w:r>
      <w:r w:rsidR="00551C94" w:rsidRPr="00DD08F3">
        <w:rPr>
          <w:rFonts w:eastAsia="Calibri" w:cstheme="majorHAnsi"/>
        </w:rPr>
        <w:t>review.</w:t>
      </w:r>
      <w:r w:rsidR="00B9563A" w:rsidRPr="00DD08F3">
        <w:rPr>
          <w:rFonts w:eastAsia="Calibri" w:cstheme="majorHAnsi"/>
        </w:rPr>
        <w:t xml:space="preserve"> </w:t>
      </w:r>
      <w:r w:rsidR="004A3325" w:rsidRPr="00DD08F3">
        <w:rPr>
          <w:rFonts w:eastAsia="Calibri" w:cstheme="majorHAnsi"/>
        </w:rPr>
        <w:t>These resources are adjusted routinely based on feedback from Sponsoring Organizations, external rev</w:t>
      </w:r>
      <w:r w:rsidR="004A3325" w:rsidRPr="001F3F72">
        <w:rPr>
          <w:rFonts w:eastAsia="Calibri" w:cstheme="majorHAnsi"/>
        </w:rPr>
        <w:t>iewers, and DESE staff</w:t>
      </w:r>
      <w:r w:rsidR="00711BE5" w:rsidRPr="001F3F72">
        <w:rPr>
          <w:rFonts w:eastAsia="Calibri" w:cstheme="majorHAnsi"/>
        </w:rPr>
        <w:t xml:space="preserve">. </w:t>
      </w:r>
      <w:r w:rsidR="00740C47" w:rsidRPr="001F3F72">
        <w:rPr>
          <w:rFonts w:eastAsia="Calibri" w:cstheme="majorHAnsi"/>
        </w:rPr>
        <w:t xml:space="preserve">The most current </w:t>
      </w:r>
      <w:r w:rsidR="00711BE5" w:rsidRPr="001F3F72">
        <w:rPr>
          <w:rFonts w:eastAsia="Calibri" w:cstheme="majorHAnsi"/>
        </w:rPr>
        <w:t xml:space="preserve">resources can be found in the </w:t>
      </w:r>
      <w:hyperlink r:id="rId44" w:history="1">
        <w:r w:rsidR="00F753AC" w:rsidRPr="0080264A">
          <w:rPr>
            <w:rStyle w:val="Hyperlink"/>
            <w:rFonts w:eastAsia="Calibri" w:cstheme="majorHAnsi"/>
          </w:rPr>
          <w:t>program approval toolkits</w:t>
        </w:r>
      </w:hyperlink>
      <w:r w:rsidR="00F753AC" w:rsidRPr="0080264A">
        <w:rPr>
          <w:rFonts w:eastAsia="Calibri" w:cstheme="majorHAnsi"/>
        </w:rPr>
        <w:t xml:space="preserve"> for </w:t>
      </w:r>
      <w:r w:rsidR="00C50F8D" w:rsidRPr="0080264A">
        <w:rPr>
          <w:rFonts w:eastAsia="Calibri" w:cstheme="majorHAnsi"/>
        </w:rPr>
        <w:t>f</w:t>
      </w:r>
      <w:r w:rsidR="00F753AC" w:rsidRPr="0080264A">
        <w:rPr>
          <w:rFonts w:eastAsia="Calibri" w:cstheme="majorHAnsi"/>
        </w:rPr>
        <w:t xml:space="preserve">ormal and </w:t>
      </w:r>
      <w:r w:rsidR="00C50F8D" w:rsidRPr="0080264A">
        <w:rPr>
          <w:rFonts w:eastAsia="Calibri" w:cstheme="majorHAnsi"/>
        </w:rPr>
        <w:t>i</w:t>
      </w:r>
      <w:r w:rsidR="00F753AC" w:rsidRPr="0080264A">
        <w:rPr>
          <w:rFonts w:eastAsia="Calibri" w:cstheme="majorHAnsi"/>
        </w:rPr>
        <w:t xml:space="preserve">nformal review. </w:t>
      </w:r>
      <w:r w:rsidR="00F753AC" w:rsidRPr="0080264A">
        <w:rPr>
          <w:rFonts w:eastAsia="Calibri" w:cstheme="majorHAnsi"/>
          <w:i/>
        </w:rPr>
        <w:t xml:space="preserve">(Note: The resources </w:t>
      </w:r>
      <w:r w:rsidR="00766CEC" w:rsidRPr="0080264A">
        <w:rPr>
          <w:rFonts w:eastAsia="Calibri" w:cstheme="majorHAnsi"/>
          <w:i/>
        </w:rPr>
        <w:t>on these page</w:t>
      </w:r>
      <w:r w:rsidR="00C50F8D" w:rsidRPr="00090190">
        <w:rPr>
          <w:rFonts w:eastAsia="Calibri" w:cstheme="majorHAnsi"/>
          <w:i/>
        </w:rPr>
        <w:t>s</w:t>
      </w:r>
      <w:r w:rsidR="00766CEC" w:rsidRPr="00090190">
        <w:rPr>
          <w:rFonts w:eastAsia="Calibri" w:cstheme="majorHAnsi"/>
          <w:i/>
        </w:rPr>
        <w:t xml:space="preserve"> currently reflect the 2016 expectations and processes. They will be updated to reflect the 2023 version in the coming months.)</w:t>
      </w:r>
    </w:p>
    <w:p w14:paraId="08180D3F" w14:textId="57CA7EF1" w:rsidR="00551C94" w:rsidRPr="0056542B" w:rsidRDefault="00551C94" w:rsidP="0056542B">
      <w:pPr>
        <w:widowControl w:val="0"/>
        <w:spacing w:before="55"/>
        <w:ind w:left="5"/>
        <w:rPr>
          <w:rFonts w:eastAsia="Calibri" w:cstheme="majorHAnsi"/>
        </w:rPr>
      </w:pPr>
      <w:r w:rsidRPr="0D95F116">
        <w:rPr>
          <w:rFonts w:eastAsia="Calibri" w:cstheme="majorBidi"/>
        </w:rPr>
        <w:t>In order to uphold the integrity of the process and ensure consistency and fairness across reviews, DESE provides limited feedback or advice about the content of submissions</w:t>
      </w:r>
      <w:r w:rsidR="00766CEC" w:rsidRPr="0D95F116">
        <w:rPr>
          <w:rFonts w:eastAsia="Calibri" w:cstheme="majorBidi"/>
        </w:rPr>
        <w:t xml:space="preserve"> while </w:t>
      </w:r>
      <w:r w:rsidR="00AF5330" w:rsidRPr="0D95F116">
        <w:rPr>
          <w:rFonts w:eastAsia="Calibri" w:cstheme="majorBidi"/>
        </w:rPr>
        <w:t>a review process is underway</w:t>
      </w:r>
      <w:r w:rsidRPr="0D95F116">
        <w:rPr>
          <w:rFonts w:eastAsia="Calibri" w:cstheme="majorBidi"/>
        </w:rPr>
        <w:t>. DESE may work with a contracted vendor and/or external reviewers to support the review process</w:t>
      </w:r>
      <w:r w:rsidR="00093A78" w:rsidRPr="0D95F116">
        <w:rPr>
          <w:rFonts w:eastAsia="Calibri" w:cstheme="majorBidi"/>
        </w:rPr>
        <w:t>. U</w:t>
      </w:r>
      <w:r w:rsidRPr="0D95F116">
        <w:rPr>
          <w:rFonts w:eastAsia="Calibri" w:cstheme="majorBidi"/>
        </w:rPr>
        <w:t>ltimately, the Commissioner maintains full discretion over all review determinations.</w:t>
      </w:r>
    </w:p>
    <w:p w14:paraId="1DC0CBFB" w14:textId="77777777" w:rsidR="00551C94" w:rsidRPr="00C66226" w:rsidRDefault="00551C94">
      <w:pPr>
        <w:pStyle w:val="Heading3"/>
        <w:rPr>
          <w:color w:val="215868" w:themeColor="accent5" w:themeShade="80"/>
        </w:rPr>
      </w:pPr>
      <w:bookmarkStart w:id="81" w:name="_Toc125574785"/>
      <w:bookmarkStart w:id="82" w:name="_Toc125575629"/>
      <w:r w:rsidRPr="00C66226">
        <w:rPr>
          <w:color w:val="215868" w:themeColor="accent5" w:themeShade="80"/>
        </w:rPr>
        <w:t>Timeline and Notice of Reviews</w:t>
      </w:r>
      <w:bookmarkEnd w:id="81"/>
      <w:bookmarkEnd w:id="82"/>
    </w:p>
    <w:p w14:paraId="1F430D43" w14:textId="7035F463" w:rsidR="00551C94" w:rsidRPr="003E2664" w:rsidRDefault="00304A4C" w:rsidP="0080264A">
      <w:pPr>
        <w:widowControl w:val="0"/>
        <w:ind w:left="14"/>
        <w:rPr>
          <w:rFonts w:eastAsia="Calibri" w:cstheme="majorHAnsi"/>
        </w:rPr>
      </w:pPr>
      <w:r w:rsidRPr="003E2664">
        <w:rPr>
          <w:rFonts w:eastAsia="Calibri" w:cstheme="majorHAnsi"/>
        </w:rPr>
        <w:t>DESE</w:t>
      </w:r>
      <w:r w:rsidR="00551C94" w:rsidRPr="003E2664">
        <w:rPr>
          <w:rFonts w:eastAsia="Calibri" w:cstheme="majorHAnsi"/>
        </w:rPr>
        <w:t xml:space="preserve"> work</w:t>
      </w:r>
      <w:r w:rsidR="00FC0312">
        <w:rPr>
          <w:rFonts w:eastAsia="Calibri" w:cstheme="majorHAnsi"/>
        </w:rPr>
        <w:t>s</w:t>
      </w:r>
      <w:r w:rsidR="00551C94" w:rsidRPr="003E2664">
        <w:rPr>
          <w:rFonts w:eastAsia="Calibri" w:cstheme="majorHAnsi"/>
        </w:rPr>
        <w:t xml:space="preserve"> to establish timelines that allow Sponsoring Organizations sufficient time to collect and submit evidence aligned with expectations and to plan for the logistics of an efficient review. Consistent with the criteria around continuous improvement, it is the expectation that organizations are actively engaged in monitoring their own efficacy through regular data collection and analysis. Given this, DESE reserves the right to </w:t>
      </w:r>
      <w:r w:rsidR="00EE4BDB" w:rsidRPr="003E2664">
        <w:rPr>
          <w:rFonts w:eastAsia="Calibri" w:cstheme="majorHAnsi"/>
        </w:rPr>
        <w:t xml:space="preserve">extend </w:t>
      </w:r>
      <w:r w:rsidR="00551C94" w:rsidRPr="003E2664">
        <w:rPr>
          <w:rFonts w:eastAsia="Calibri" w:cstheme="majorHAnsi"/>
        </w:rPr>
        <w:t>approvals beyond the seven-year period</w:t>
      </w:r>
      <w:r w:rsidR="00EE4BDB" w:rsidRPr="003E2664">
        <w:rPr>
          <w:rFonts w:eastAsia="Calibri" w:cstheme="majorHAnsi"/>
        </w:rPr>
        <w:t xml:space="preserve"> in extenuating circumstances</w:t>
      </w:r>
      <w:r w:rsidR="00551C94" w:rsidRPr="003E2664">
        <w:rPr>
          <w:rFonts w:eastAsia="Calibri" w:cstheme="majorHAnsi"/>
        </w:rPr>
        <w:t xml:space="preserve">. If/when approval periods are amended, DESE will provide at least six months prior notice before </w:t>
      </w:r>
      <w:r w:rsidR="009A327F">
        <w:rPr>
          <w:rFonts w:eastAsia="Calibri" w:cstheme="majorHAnsi"/>
        </w:rPr>
        <w:t xml:space="preserve">initiating </w:t>
      </w:r>
      <w:r w:rsidR="00551C94" w:rsidRPr="003E2664">
        <w:rPr>
          <w:rFonts w:eastAsia="Calibri" w:cstheme="majorHAnsi"/>
        </w:rPr>
        <w:t xml:space="preserve">a new review. </w:t>
      </w:r>
    </w:p>
    <w:p w14:paraId="3C353BE9" w14:textId="77777777" w:rsidR="003E2664" w:rsidRDefault="003E2664">
      <w:pPr>
        <w:rPr>
          <w:rFonts w:ascii="Calibri" w:hAnsi="Calibri"/>
          <w:b/>
          <w:color w:val="1F497D" w:themeColor="text2"/>
          <w:sz w:val="32"/>
          <w:szCs w:val="48"/>
        </w:rPr>
      </w:pPr>
      <w:bookmarkStart w:id="83" w:name="_The_Review_Process"/>
      <w:bookmarkEnd w:id="83"/>
      <w:r>
        <w:br w:type="page"/>
      </w:r>
    </w:p>
    <w:p w14:paraId="1FDAFF74" w14:textId="5C838293" w:rsidR="00773980" w:rsidRPr="00BA67B6" w:rsidRDefault="00773980" w:rsidP="003E2664">
      <w:pPr>
        <w:pStyle w:val="Heading1"/>
      </w:pPr>
      <w:bookmarkStart w:id="84" w:name="_Toc125575630"/>
      <w:r w:rsidRPr="00BA67B6">
        <w:lastRenderedPageBreak/>
        <w:t>The Review Process</w:t>
      </w:r>
      <w:bookmarkEnd w:id="84"/>
    </w:p>
    <w:p w14:paraId="1F65F0E8" w14:textId="10360585" w:rsidR="008F3A38" w:rsidRPr="003E2664" w:rsidRDefault="00773980" w:rsidP="0080264A">
      <w:pPr>
        <w:rPr>
          <w:rFonts w:eastAsia="Calibri" w:cstheme="majorHAnsi"/>
        </w:rPr>
      </w:pPr>
      <w:r w:rsidRPr="003E2664">
        <w:rPr>
          <w:rFonts w:eastAsia="Calibri" w:cstheme="majorHAnsi"/>
        </w:rPr>
        <w:t xml:space="preserve">For all types of review, DESE has intentional processes that seek to build an evidence base on which decisions can be made. This evidence-based model values the professional judgment of carefully selected and trained reviewers and relies on the triangulation of information from multiple sources. </w:t>
      </w:r>
      <w:r w:rsidR="00EE4BDB" w:rsidRPr="003E2664">
        <w:rPr>
          <w:rFonts w:eastAsia="Calibri" w:cstheme="majorHAnsi"/>
        </w:rPr>
        <w:t>T</w:t>
      </w:r>
      <w:r w:rsidRPr="003E2664">
        <w:rPr>
          <w:rFonts w:eastAsia="Calibri" w:cstheme="majorHAnsi"/>
        </w:rPr>
        <w:t>he review process takes into consideration plans for improvement and organizational inputs but weighs evidence of impact most heavily.</w:t>
      </w:r>
      <w:r w:rsidRPr="003E2664">
        <w:rPr>
          <w:rStyle w:val="FootnoteReference"/>
          <w:rFonts w:eastAsia="Calibri" w:cstheme="majorHAnsi"/>
        </w:rPr>
        <w:footnoteReference w:id="22"/>
      </w:r>
      <w:r w:rsidRPr="003E2664">
        <w:rPr>
          <w:rFonts w:eastAsia="Calibri" w:cstheme="majorHAnsi"/>
        </w:rPr>
        <w:t xml:space="preserve"> Tools and resources to guide the review process </w:t>
      </w:r>
      <w:r w:rsidR="00756576">
        <w:rPr>
          <w:rFonts w:eastAsia="Calibri" w:cstheme="majorHAnsi"/>
        </w:rPr>
        <w:t>are</w:t>
      </w:r>
      <w:r w:rsidRPr="003E2664">
        <w:rPr>
          <w:rFonts w:eastAsia="Calibri" w:cstheme="majorHAnsi"/>
        </w:rPr>
        <w:t xml:space="preserve"> available</w:t>
      </w:r>
      <w:r w:rsidR="00ED174C" w:rsidRPr="003E2664">
        <w:rPr>
          <w:rFonts w:eastAsia="Calibri" w:cstheme="majorHAnsi"/>
        </w:rPr>
        <w:t xml:space="preserve"> in the </w:t>
      </w:r>
      <w:hyperlink r:id="rId45" w:history="1">
        <w:r w:rsidR="00ED174C" w:rsidRPr="003E2664">
          <w:rPr>
            <w:rStyle w:val="Hyperlink"/>
            <w:rFonts w:eastAsia="Calibri" w:cstheme="majorHAnsi"/>
          </w:rPr>
          <w:t>program approval toolkits</w:t>
        </w:r>
      </w:hyperlink>
      <w:r w:rsidR="00ED174C" w:rsidRPr="003E2664">
        <w:rPr>
          <w:rFonts w:eastAsia="Calibri" w:cstheme="majorHAnsi"/>
        </w:rPr>
        <w:t xml:space="preserve"> for </w:t>
      </w:r>
      <w:r w:rsidR="00C50F8D" w:rsidRPr="003E2664">
        <w:rPr>
          <w:rFonts w:eastAsia="Calibri" w:cstheme="majorHAnsi"/>
        </w:rPr>
        <w:t>f</w:t>
      </w:r>
      <w:r w:rsidR="00ED174C" w:rsidRPr="003E2664">
        <w:rPr>
          <w:rFonts w:eastAsia="Calibri" w:cstheme="majorHAnsi"/>
        </w:rPr>
        <w:t xml:space="preserve">ormal and </w:t>
      </w:r>
      <w:r w:rsidR="00C50F8D" w:rsidRPr="003E2664">
        <w:rPr>
          <w:rFonts w:eastAsia="Calibri" w:cstheme="majorHAnsi"/>
        </w:rPr>
        <w:t>i</w:t>
      </w:r>
      <w:r w:rsidR="00ED174C" w:rsidRPr="003E2664">
        <w:rPr>
          <w:rFonts w:eastAsia="Calibri" w:cstheme="majorHAnsi"/>
        </w:rPr>
        <w:t>nformal review</w:t>
      </w:r>
      <w:r w:rsidRPr="003E2664">
        <w:rPr>
          <w:rFonts w:eastAsia="Calibri" w:cstheme="majorHAnsi"/>
        </w:rPr>
        <w:t xml:space="preserve"> on the DESE website</w:t>
      </w:r>
      <w:r w:rsidR="00E95F0A" w:rsidRPr="003E2664">
        <w:rPr>
          <w:rFonts w:eastAsia="Calibri" w:cstheme="majorHAnsi"/>
        </w:rPr>
        <w:t>.</w:t>
      </w:r>
      <w:r w:rsidRPr="003E2664">
        <w:rPr>
          <w:rFonts w:eastAsia="Calibri" w:cstheme="majorHAnsi"/>
        </w:rPr>
        <w:t xml:space="preserve"> Sponsoring Organizations are always encouraged to communicate with DESE prior to initiating work associated with a review to ensure that the organization has the most up-to-date information for the specific context of the program area or review year.  </w:t>
      </w:r>
      <w:r w:rsidR="00C50F8D" w:rsidRPr="003E2664">
        <w:rPr>
          <w:rFonts w:eastAsia="Calibri" w:cstheme="majorHAnsi"/>
        </w:rPr>
        <w:br/>
      </w:r>
      <w:r w:rsidR="00441755" w:rsidRPr="003E2664">
        <w:rPr>
          <w:rFonts w:eastAsia="Calibri" w:cstheme="majorHAnsi"/>
        </w:rPr>
        <w:br/>
        <w:t xml:space="preserve">The </w:t>
      </w:r>
      <w:r w:rsidR="008B0925">
        <w:rPr>
          <w:rFonts w:eastAsia="Calibri" w:cstheme="majorHAnsi"/>
        </w:rPr>
        <w:t>following</w:t>
      </w:r>
      <w:r w:rsidR="008B0925" w:rsidRPr="003E2664">
        <w:rPr>
          <w:rFonts w:eastAsia="Calibri" w:cstheme="majorHAnsi"/>
        </w:rPr>
        <w:t xml:space="preserve"> </w:t>
      </w:r>
      <w:r w:rsidR="00441755" w:rsidRPr="003E2664">
        <w:rPr>
          <w:rFonts w:eastAsia="Calibri" w:cstheme="majorHAnsi"/>
        </w:rPr>
        <w:t>sections provide an</w:t>
      </w:r>
      <w:r w:rsidR="00F9410C" w:rsidRPr="003E2664">
        <w:rPr>
          <w:rFonts w:eastAsia="Calibri" w:cstheme="majorHAnsi"/>
        </w:rPr>
        <w:t xml:space="preserve"> overview of the processes for </w:t>
      </w:r>
      <w:r w:rsidR="00C50F8D" w:rsidRPr="003E2664">
        <w:rPr>
          <w:rFonts w:eastAsia="Calibri" w:cstheme="majorHAnsi"/>
        </w:rPr>
        <w:t>i</w:t>
      </w:r>
      <w:r w:rsidR="00F9410C" w:rsidRPr="003E2664">
        <w:rPr>
          <w:rFonts w:eastAsia="Calibri" w:cstheme="majorHAnsi"/>
        </w:rPr>
        <w:t xml:space="preserve">nformal, </w:t>
      </w:r>
      <w:r w:rsidR="00C50F8D" w:rsidRPr="003E2664">
        <w:rPr>
          <w:rFonts w:eastAsia="Calibri" w:cstheme="majorHAnsi"/>
        </w:rPr>
        <w:t>i</w:t>
      </w:r>
      <w:r w:rsidR="00F9410C" w:rsidRPr="003E2664">
        <w:rPr>
          <w:rFonts w:eastAsia="Calibri" w:cstheme="majorHAnsi"/>
        </w:rPr>
        <w:t xml:space="preserve">nterim, and </w:t>
      </w:r>
      <w:r w:rsidR="00C50F8D" w:rsidRPr="003E2664">
        <w:rPr>
          <w:rFonts w:eastAsia="Calibri" w:cstheme="majorHAnsi"/>
        </w:rPr>
        <w:t>f</w:t>
      </w:r>
      <w:r w:rsidR="00F9410C" w:rsidRPr="003E2664">
        <w:rPr>
          <w:rFonts w:eastAsia="Calibri" w:cstheme="majorHAnsi"/>
        </w:rPr>
        <w:t>ormal reviews</w:t>
      </w:r>
      <w:r w:rsidR="00441755" w:rsidRPr="003E2664">
        <w:rPr>
          <w:rFonts w:eastAsia="Calibri" w:cstheme="majorHAnsi"/>
        </w:rPr>
        <w:t>.</w:t>
      </w:r>
      <w:r w:rsidR="00B404FA" w:rsidRPr="003E2664">
        <w:rPr>
          <w:rFonts w:eastAsia="Calibri" w:cstheme="majorHAnsi"/>
        </w:rPr>
        <w:t xml:space="preserve"> </w:t>
      </w:r>
      <w:r w:rsidRPr="003E2664">
        <w:rPr>
          <w:rFonts w:eastAsia="Calibri" w:cstheme="majorHAnsi"/>
        </w:rPr>
        <w:t>DESE is committed to continuous improvement and will continue to refine the review process in line with growing experience with the process and expectations.</w:t>
      </w:r>
    </w:p>
    <w:p w14:paraId="406C8656" w14:textId="77777777" w:rsidR="008F3A38" w:rsidRPr="00BA67B6" w:rsidRDefault="008F3A38">
      <w:pPr>
        <w:pStyle w:val="Heading2"/>
      </w:pPr>
      <w:bookmarkStart w:id="85" w:name="_Informal_Review"/>
      <w:bookmarkStart w:id="86" w:name="_Toc106003176"/>
      <w:bookmarkStart w:id="87" w:name="_Toc125574787"/>
      <w:bookmarkStart w:id="88" w:name="_Toc125575631"/>
      <w:bookmarkEnd w:id="85"/>
      <w:r w:rsidRPr="00174ECC">
        <w:t>Informal</w:t>
      </w:r>
      <w:r w:rsidRPr="00BA67B6">
        <w:t xml:space="preserve"> Review</w:t>
      </w:r>
      <w:bookmarkEnd w:id="86"/>
      <w:bookmarkEnd w:id="87"/>
      <w:bookmarkEnd w:id="88"/>
      <w:r w:rsidRPr="00BA67B6">
        <w:t>  </w:t>
      </w:r>
    </w:p>
    <w:p w14:paraId="1E6A65D7" w14:textId="7A9A9942" w:rsidR="008F3A38" w:rsidRPr="003E2664" w:rsidRDefault="008F3A38" w:rsidP="00367C89">
      <w:pPr>
        <w:textAlignment w:val="baseline"/>
        <w:rPr>
          <w:rFonts w:eastAsia="Times New Roman" w:cstheme="majorHAnsi"/>
        </w:rPr>
      </w:pPr>
      <w:r w:rsidRPr="003E2664">
        <w:rPr>
          <w:rFonts w:eastAsia="Times New Roman" w:cstheme="majorHAnsi"/>
        </w:rPr>
        <w:t>The</w:t>
      </w:r>
      <w:r w:rsidRPr="006176BA">
        <w:rPr>
          <w:rFonts w:eastAsia="Times New Roman" w:cstheme="majorHAnsi"/>
          <w:color w:val="0000FF"/>
        </w:rPr>
        <w:t xml:space="preserve"> </w:t>
      </w:r>
      <w:hyperlink r:id="rId46" w:tgtFrame="_blank" w:history="1">
        <w:r w:rsidRPr="006176BA">
          <w:rPr>
            <w:rFonts w:eastAsia="Times New Roman" w:cstheme="majorHAnsi"/>
            <w:color w:val="0000FF"/>
            <w:u w:val="single"/>
          </w:rPr>
          <w:t>Informal Review process</w:t>
        </w:r>
      </w:hyperlink>
      <w:r w:rsidRPr="003E2664">
        <w:rPr>
          <w:rFonts w:eastAsia="Times New Roman" w:cstheme="majorHAnsi"/>
        </w:rPr>
        <w:t xml:space="preserve"> allows new Sponsoring Organizations and new programs within approved Sponsoring Organizations to apply for approval outside of the formal review cycle and timeline. DESE accepts requests for informal reviews beginning February 1 through May 31 annually. DESE </w:t>
      </w:r>
      <w:r w:rsidR="00B65CA3" w:rsidRPr="003E2664">
        <w:rPr>
          <w:rFonts w:eastAsia="Times New Roman" w:cstheme="majorHAnsi"/>
        </w:rPr>
        <w:t>does</w:t>
      </w:r>
      <w:r w:rsidRPr="003E2664">
        <w:rPr>
          <w:rFonts w:eastAsia="Times New Roman" w:cstheme="majorHAnsi"/>
        </w:rPr>
        <w:t xml:space="preserve"> not accept requests </w:t>
      </w:r>
      <w:r w:rsidR="00F95533">
        <w:rPr>
          <w:rFonts w:eastAsia="Times New Roman" w:cstheme="majorHAnsi"/>
        </w:rPr>
        <w:t xml:space="preserve">from approved Sponsoring Organizations </w:t>
      </w:r>
      <w:r w:rsidRPr="003E2664">
        <w:rPr>
          <w:rFonts w:eastAsia="Times New Roman" w:cstheme="majorHAnsi"/>
        </w:rPr>
        <w:t xml:space="preserve">for informal review of </w:t>
      </w:r>
      <w:r w:rsidR="00695F68">
        <w:rPr>
          <w:rFonts w:eastAsia="Times New Roman" w:cstheme="majorHAnsi"/>
        </w:rPr>
        <w:t xml:space="preserve">new </w:t>
      </w:r>
      <w:r w:rsidRPr="003E2664">
        <w:rPr>
          <w:rFonts w:eastAsia="Times New Roman" w:cstheme="majorHAnsi"/>
        </w:rPr>
        <w:t>programs within a two-year window leading up to a formal approval. Sponsoring Organizations designated as Approved with Distinction may put forward new programs at any time; the two-year moratorium does not apply to organizations with this designation.  </w:t>
      </w:r>
      <w:r w:rsidRPr="003E2664">
        <w:rPr>
          <w:rFonts w:eastAsia="Times New Roman" w:cstheme="majorHAnsi"/>
        </w:rPr>
        <w:br/>
      </w:r>
    </w:p>
    <w:p w14:paraId="72D1AAD1" w14:textId="79613859" w:rsidR="008F3A38" w:rsidRPr="003E2664" w:rsidRDefault="0065347D" w:rsidP="00367C89">
      <w:pPr>
        <w:textAlignment w:val="baseline"/>
        <w:rPr>
          <w:rFonts w:eastAsia="Times New Roman" w:cstheme="majorHAnsi"/>
        </w:rPr>
      </w:pPr>
      <w:r w:rsidRPr="003E2664">
        <w:rPr>
          <w:rFonts w:eastAsia="Times New Roman" w:cstheme="majorHAnsi"/>
        </w:rPr>
        <w:t xml:space="preserve">The steps to submit a new </w:t>
      </w:r>
      <w:r w:rsidR="008E0344">
        <w:rPr>
          <w:rFonts w:eastAsia="Times New Roman" w:cstheme="majorHAnsi"/>
        </w:rPr>
        <w:t xml:space="preserve">organization or </w:t>
      </w:r>
      <w:r w:rsidRPr="003E2664">
        <w:rPr>
          <w:rFonts w:eastAsia="Times New Roman" w:cstheme="majorHAnsi"/>
        </w:rPr>
        <w:t>program for approval are</w:t>
      </w:r>
      <w:r w:rsidR="00C449DF" w:rsidRPr="003E2664">
        <w:rPr>
          <w:rFonts w:eastAsia="Times New Roman" w:cstheme="majorHAnsi"/>
        </w:rPr>
        <w:t>:</w:t>
      </w:r>
      <w:r w:rsidR="008F3A38" w:rsidRPr="003E2664">
        <w:rPr>
          <w:rFonts w:eastAsia="Times New Roman" w:cstheme="majorHAnsi"/>
        </w:rPr>
        <w:br/>
        <w:t>  </w:t>
      </w:r>
    </w:p>
    <w:p w14:paraId="7092F93A" w14:textId="274B4D4C" w:rsidR="008F3A38" w:rsidRPr="003E2664" w:rsidRDefault="008F3A38" w:rsidP="00367C89">
      <w:pPr>
        <w:pStyle w:val="ListParagraph"/>
        <w:numPr>
          <w:ilvl w:val="0"/>
          <w:numId w:val="17"/>
        </w:numPr>
        <w:textAlignment w:val="baseline"/>
        <w:rPr>
          <w:rFonts w:eastAsia="Times New Roman" w:cstheme="majorHAnsi"/>
        </w:rPr>
      </w:pPr>
      <w:r w:rsidRPr="003E2664">
        <w:rPr>
          <w:rFonts w:eastAsia="Times New Roman" w:cstheme="majorHAnsi"/>
          <w:b/>
          <w:bCs/>
        </w:rPr>
        <w:t xml:space="preserve">Intent. </w:t>
      </w:r>
      <w:r w:rsidRPr="003E2664">
        <w:rPr>
          <w:rFonts w:eastAsia="Times New Roman" w:cstheme="majorHAnsi"/>
        </w:rPr>
        <w:t xml:space="preserve">A </w:t>
      </w:r>
      <w:r w:rsidR="00C449DF" w:rsidRPr="003E2664">
        <w:rPr>
          <w:rFonts w:eastAsia="Times New Roman" w:cstheme="majorHAnsi"/>
        </w:rPr>
        <w:t xml:space="preserve">new </w:t>
      </w:r>
      <w:r w:rsidRPr="003E2664">
        <w:rPr>
          <w:rFonts w:eastAsia="Times New Roman" w:cstheme="majorHAnsi"/>
        </w:rPr>
        <w:t xml:space="preserve">Sponsoring Organization </w:t>
      </w:r>
      <w:r w:rsidR="00C449DF" w:rsidRPr="003E2664">
        <w:rPr>
          <w:rFonts w:eastAsia="Times New Roman" w:cstheme="majorHAnsi"/>
        </w:rPr>
        <w:t>or a</w:t>
      </w:r>
      <w:r w:rsidRPr="003E2664">
        <w:rPr>
          <w:rFonts w:eastAsia="Times New Roman" w:cstheme="majorHAnsi"/>
        </w:rPr>
        <w:t xml:space="preserve"> Sponsoring Organization </w:t>
      </w:r>
      <w:r w:rsidR="008E0344">
        <w:rPr>
          <w:rFonts w:eastAsia="Times New Roman" w:cstheme="majorHAnsi"/>
        </w:rPr>
        <w:t>seeking</w:t>
      </w:r>
      <w:r w:rsidR="008E0344" w:rsidRPr="003E2664">
        <w:rPr>
          <w:rFonts w:eastAsia="Times New Roman" w:cstheme="majorHAnsi"/>
        </w:rPr>
        <w:t xml:space="preserve"> </w:t>
      </w:r>
      <w:r w:rsidRPr="003E2664">
        <w:rPr>
          <w:rFonts w:eastAsia="Times New Roman" w:cstheme="majorHAnsi"/>
        </w:rPr>
        <w:t>to offer new educator preparation program</w:t>
      </w:r>
      <w:r w:rsidR="00C449DF" w:rsidRPr="003E2664">
        <w:rPr>
          <w:rFonts w:eastAsia="Times New Roman" w:cstheme="majorHAnsi"/>
        </w:rPr>
        <w:t>(</w:t>
      </w:r>
      <w:r w:rsidRPr="003E2664">
        <w:rPr>
          <w:rFonts w:eastAsia="Times New Roman" w:cstheme="majorHAnsi"/>
        </w:rPr>
        <w:t>s</w:t>
      </w:r>
      <w:r w:rsidR="00C449DF" w:rsidRPr="003E2664">
        <w:rPr>
          <w:rFonts w:eastAsia="Times New Roman" w:cstheme="majorHAnsi"/>
        </w:rPr>
        <w:t>)</w:t>
      </w:r>
      <w:r w:rsidRPr="003E2664">
        <w:rPr>
          <w:rFonts w:eastAsia="Times New Roman" w:cstheme="majorHAnsi"/>
        </w:rPr>
        <w:t xml:space="preserve"> must inform DESE of their intention to be reviewed by completing the Intent to Submit worksheet. The Intent to Submit worksheet ask</w:t>
      </w:r>
      <w:r w:rsidR="00196388" w:rsidRPr="003E2664">
        <w:rPr>
          <w:rFonts w:eastAsia="Times New Roman" w:cstheme="majorHAnsi"/>
        </w:rPr>
        <w:t>s</w:t>
      </w:r>
      <w:r w:rsidRPr="003E2664">
        <w:rPr>
          <w:rFonts w:eastAsia="Times New Roman" w:cstheme="majorHAnsi"/>
        </w:rPr>
        <w:t xml:space="preserve"> for basic information about the program</w:t>
      </w:r>
      <w:r w:rsidR="008A1515">
        <w:rPr>
          <w:rFonts w:eastAsia="Times New Roman" w:cstheme="majorHAnsi"/>
        </w:rPr>
        <w:t>(s)</w:t>
      </w:r>
      <w:r w:rsidRPr="003E2664">
        <w:rPr>
          <w:rFonts w:eastAsia="Times New Roman" w:cstheme="majorHAnsi"/>
        </w:rPr>
        <w:t xml:space="preserve"> the Sponsoring Organization intends to submit, </w:t>
      </w:r>
      <w:r w:rsidR="0095400F" w:rsidRPr="003E2664">
        <w:rPr>
          <w:rFonts w:eastAsia="Times New Roman" w:cstheme="majorHAnsi"/>
        </w:rPr>
        <w:t xml:space="preserve">including </w:t>
      </w:r>
      <w:r w:rsidR="0048115D" w:rsidRPr="003E2664">
        <w:rPr>
          <w:rFonts w:eastAsia="Times New Roman" w:cstheme="majorHAnsi"/>
        </w:rPr>
        <w:t>a needs</w:t>
      </w:r>
      <w:r w:rsidRPr="003E2664">
        <w:rPr>
          <w:rFonts w:eastAsia="Times New Roman" w:cstheme="majorHAnsi"/>
        </w:rPr>
        <w:t xml:space="preserve"> assessment </w:t>
      </w:r>
      <w:r w:rsidR="0048115D" w:rsidRPr="003E2664">
        <w:rPr>
          <w:rFonts w:eastAsia="Times New Roman" w:cstheme="majorHAnsi"/>
        </w:rPr>
        <w:t xml:space="preserve">and </w:t>
      </w:r>
      <w:r w:rsidRPr="003E2664">
        <w:rPr>
          <w:rFonts w:eastAsia="Times New Roman" w:cstheme="majorHAnsi"/>
        </w:rPr>
        <w:t>information about the Sponsoring Organization’s candidate recruitment strategy. </w:t>
      </w:r>
    </w:p>
    <w:p w14:paraId="51701616" w14:textId="77777777" w:rsidR="008F3A38" w:rsidRPr="003E2664" w:rsidRDefault="008F3A38" w:rsidP="00367C89">
      <w:pPr>
        <w:ind w:left="720"/>
        <w:textAlignment w:val="baseline"/>
        <w:rPr>
          <w:rFonts w:eastAsia="Times New Roman" w:cstheme="majorHAnsi"/>
        </w:rPr>
      </w:pPr>
      <w:r w:rsidRPr="003E2664">
        <w:rPr>
          <w:rFonts w:eastAsia="Times New Roman" w:cstheme="majorHAnsi"/>
        </w:rPr>
        <w:t> </w:t>
      </w:r>
    </w:p>
    <w:p w14:paraId="540C391C" w14:textId="77777777" w:rsidR="008F3A38" w:rsidRPr="003E2664" w:rsidRDefault="008F3A38" w:rsidP="00367C89">
      <w:pPr>
        <w:ind w:left="1440"/>
        <w:textAlignment w:val="baseline"/>
        <w:rPr>
          <w:rFonts w:eastAsia="Times New Roman" w:cstheme="majorHAnsi"/>
        </w:rPr>
      </w:pPr>
      <w:r w:rsidRPr="003E2664">
        <w:rPr>
          <w:rFonts w:eastAsia="Times New Roman" w:cstheme="majorHAnsi"/>
          <w:b/>
          <w:bCs/>
        </w:rPr>
        <w:t>Needs Assessment.</w:t>
      </w:r>
      <w:r w:rsidRPr="003E2664">
        <w:rPr>
          <w:rFonts w:eastAsia="Times New Roman" w:cstheme="majorHAnsi"/>
        </w:rPr>
        <w:t xml:space="preserve"> Needs assessments ensure that if a Sponsoring Organization proposes a program that is outside of the DESE-determined </w:t>
      </w:r>
      <w:r w:rsidRPr="003E2664">
        <w:rPr>
          <w:rFonts w:eastAsia="Times New Roman" w:cstheme="majorHAnsi"/>
          <w:b/>
          <w:bCs/>
        </w:rPr>
        <w:t xml:space="preserve">statewide </w:t>
      </w:r>
      <w:hyperlink r:id="rId47" w:tgtFrame="_blank" w:history="1">
        <w:r w:rsidRPr="00633DC4">
          <w:rPr>
            <w:rFonts w:eastAsia="Times New Roman" w:cstheme="majorHAnsi"/>
            <w:b/>
            <w:bCs/>
            <w:color w:val="0000FF"/>
            <w:u w:val="single"/>
          </w:rPr>
          <w:t>high need areas</w:t>
        </w:r>
      </w:hyperlink>
      <w:r w:rsidRPr="003E2664">
        <w:rPr>
          <w:rFonts w:eastAsia="Times New Roman" w:cstheme="majorHAnsi"/>
        </w:rPr>
        <w:t xml:space="preserve">, </w:t>
      </w:r>
      <w:r w:rsidRPr="003E2664">
        <w:rPr>
          <w:rFonts w:eastAsia="Times New Roman" w:cstheme="majorHAnsi"/>
        </w:rPr>
        <w:lastRenderedPageBreak/>
        <w:t>the Sponsoring Organization is able to demonstrate that there is need in the licensure area based on at least one of the following: </w:t>
      </w:r>
    </w:p>
    <w:p w14:paraId="73F7CF52" w14:textId="77777777" w:rsidR="008F3A38" w:rsidRPr="003E2664" w:rsidRDefault="008F3A38" w:rsidP="00367C89">
      <w:pPr>
        <w:numPr>
          <w:ilvl w:val="0"/>
          <w:numId w:val="13"/>
        </w:numPr>
        <w:ind w:left="2565" w:firstLine="0"/>
        <w:textAlignment w:val="baseline"/>
        <w:rPr>
          <w:rFonts w:eastAsia="Times New Roman" w:cstheme="majorHAnsi"/>
        </w:rPr>
      </w:pPr>
      <w:r w:rsidRPr="003E2664">
        <w:rPr>
          <w:rFonts w:eastAsia="Times New Roman" w:cstheme="majorHAnsi"/>
        </w:rPr>
        <w:t>Local need </w:t>
      </w:r>
    </w:p>
    <w:p w14:paraId="04D96910" w14:textId="77777777" w:rsidR="008F3A38" w:rsidRPr="003E2664" w:rsidRDefault="008F3A38" w:rsidP="00367C89">
      <w:pPr>
        <w:numPr>
          <w:ilvl w:val="0"/>
          <w:numId w:val="13"/>
        </w:numPr>
        <w:ind w:left="2565" w:firstLine="0"/>
        <w:textAlignment w:val="baseline"/>
        <w:rPr>
          <w:rFonts w:eastAsia="Times New Roman" w:cstheme="majorHAnsi"/>
        </w:rPr>
      </w:pPr>
      <w:r w:rsidRPr="003E2664">
        <w:rPr>
          <w:rFonts w:eastAsia="Times New Roman" w:cstheme="majorHAnsi"/>
        </w:rPr>
        <w:t>Candidate interest </w:t>
      </w:r>
    </w:p>
    <w:p w14:paraId="23A0506C" w14:textId="77777777" w:rsidR="008F3A38" w:rsidRPr="003E2664" w:rsidRDefault="008F3A38" w:rsidP="00367C89">
      <w:pPr>
        <w:numPr>
          <w:ilvl w:val="0"/>
          <w:numId w:val="13"/>
        </w:numPr>
        <w:ind w:left="2565" w:firstLine="0"/>
        <w:textAlignment w:val="baseline"/>
        <w:rPr>
          <w:rFonts w:eastAsia="Times New Roman" w:cstheme="majorHAnsi"/>
        </w:rPr>
      </w:pPr>
      <w:r w:rsidRPr="003E2664">
        <w:rPr>
          <w:rFonts w:eastAsia="Times New Roman" w:cstheme="majorHAnsi"/>
        </w:rPr>
        <w:t>Diversity in the workforce </w:t>
      </w:r>
    </w:p>
    <w:p w14:paraId="583A0F42" w14:textId="77777777" w:rsidR="008F3A38" w:rsidRPr="003E2664" w:rsidRDefault="008F3A38" w:rsidP="00367C89">
      <w:pPr>
        <w:numPr>
          <w:ilvl w:val="0"/>
          <w:numId w:val="14"/>
        </w:numPr>
        <w:ind w:left="2565" w:firstLine="0"/>
        <w:textAlignment w:val="baseline"/>
        <w:rPr>
          <w:rFonts w:eastAsia="Times New Roman" w:cstheme="majorHAnsi"/>
        </w:rPr>
      </w:pPr>
      <w:r w:rsidRPr="003E2664">
        <w:rPr>
          <w:rFonts w:eastAsia="Times New Roman" w:cstheme="majorHAnsi"/>
        </w:rPr>
        <w:t>Impact/Effectiveness of completers (as demonstrated by organizations that are Approved with Distinction)</w:t>
      </w:r>
    </w:p>
    <w:p w14:paraId="46683084" w14:textId="77777777" w:rsidR="008F3A38" w:rsidRPr="003E2664" w:rsidRDefault="008F3A38" w:rsidP="00367C89">
      <w:pPr>
        <w:ind w:left="1440"/>
        <w:textAlignment w:val="baseline"/>
        <w:rPr>
          <w:rFonts w:eastAsia="Times New Roman" w:cstheme="majorHAnsi"/>
        </w:rPr>
      </w:pPr>
      <w:r w:rsidRPr="003E2664">
        <w:rPr>
          <w:rFonts w:eastAsia="Times New Roman" w:cstheme="majorHAnsi"/>
        </w:rPr>
        <w:t> </w:t>
      </w:r>
    </w:p>
    <w:p w14:paraId="261A141E" w14:textId="2B7FEA46" w:rsidR="008F3A38" w:rsidRPr="003E2664" w:rsidRDefault="008F3A38" w:rsidP="00367C89">
      <w:pPr>
        <w:ind w:left="720"/>
        <w:textAlignment w:val="baseline"/>
        <w:rPr>
          <w:rFonts w:eastAsia="Times New Roman" w:cstheme="majorHAnsi"/>
        </w:rPr>
      </w:pPr>
      <w:r w:rsidRPr="003E2664">
        <w:rPr>
          <w:rFonts w:eastAsia="Times New Roman" w:cstheme="majorHAnsi"/>
        </w:rPr>
        <w:t>If the completed Intent to Submit worksheet suggests both need for the proposed educator preparation program</w:t>
      </w:r>
      <w:r w:rsidR="00AD786F">
        <w:rPr>
          <w:rFonts w:eastAsia="Times New Roman" w:cstheme="majorHAnsi"/>
        </w:rPr>
        <w:t>(s)</w:t>
      </w:r>
      <w:r w:rsidRPr="003E2664">
        <w:rPr>
          <w:rFonts w:eastAsia="Times New Roman" w:cstheme="majorHAnsi"/>
        </w:rPr>
        <w:t xml:space="preserve"> and the Sponsoring Organization’s ability to recruit candidates, the Sponsoring Organization may put forth the program</w:t>
      </w:r>
      <w:r w:rsidR="00AD786F">
        <w:rPr>
          <w:rFonts w:eastAsia="Times New Roman" w:cstheme="majorHAnsi"/>
        </w:rPr>
        <w:t>(s)</w:t>
      </w:r>
      <w:r w:rsidRPr="003E2664">
        <w:rPr>
          <w:rFonts w:eastAsia="Times New Roman" w:cstheme="majorHAnsi"/>
        </w:rPr>
        <w:t xml:space="preserve"> for informal review. If need is not confirmed, DESE will not consider the proposed program(s) for informal approval.  </w:t>
      </w:r>
    </w:p>
    <w:p w14:paraId="51828668" w14:textId="77777777" w:rsidR="008F3A38" w:rsidRPr="003E2664" w:rsidRDefault="008F3A38" w:rsidP="00367C89">
      <w:pPr>
        <w:ind w:left="1440"/>
        <w:textAlignment w:val="baseline"/>
        <w:rPr>
          <w:rFonts w:eastAsia="Times New Roman" w:cstheme="majorHAnsi"/>
        </w:rPr>
      </w:pPr>
      <w:r w:rsidRPr="003E2664">
        <w:rPr>
          <w:rFonts w:eastAsia="Times New Roman" w:cstheme="majorHAnsi"/>
        </w:rPr>
        <w:t> </w:t>
      </w:r>
    </w:p>
    <w:p w14:paraId="176B36E0" w14:textId="27641A1E" w:rsidR="008F3A38" w:rsidRPr="003E2664" w:rsidRDefault="008F3A38" w:rsidP="00367C89">
      <w:pPr>
        <w:numPr>
          <w:ilvl w:val="0"/>
          <w:numId w:val="15"/>
        </w:numPr>
        <w:textAlignment w:val="baseline"/>
        <w:rPr>
          <w:rFonts w:eastAsia="Times New Roman" w:cstheme="majorHAnsi"/>
        </w:rPr>
      </w:pPr>
      <w:r w:rsidRPr="003E2664">
        <w:rPr>
          <w:rFonts w:eastAsia="Times New Roman" w:cstheme="majorHAnsi"/>
          <w:b/>
          <w:bCs/>
        </w:rPr>
        <w:t>Informal Submission.</w:t>
      </w:r>
      <w:r w:rsidRPr="003E2664">
        <w:rPr>
          <w:rFonts w:eastAsia="Times New Roman" w:cstheme="majorHAnsi"/>
        </w:rPr>
        <w:t xml:space="preserve"> DESE provide</w:t>
      </w:r>
      <w:r w:rsidR="005D7192">
        <w:rPr>
          <w:rFonts w:eastAsia="Times New Roman" w:cstheme="majorHAnsi"/>
        </w:rPr>
        <w:t>s</w:t>
      </w:r>
      <w:r w:rsidRPr="003E2664">
        <w:rPr>
          <w:rFonts w:eastAsia="Times New Roman" w:cstheme="majorHAnsi"/>
        </w:rPr>
        <w:t xml:space="preserve"> a list of </w:t>
      </w:r>
      <w:r w:rsidR="00834163" w:rsidRPr="003E2664">
        <w:rPr>
          <w:rFonts w:eastAsia="Times New Roman" w:cstheme="majorHAnsi"/>
        </w:rPr>
        <w:t xml:space="preserve">required </w:t>
      </w:r>
      <w:r w:rsidRPr="003E2664">
        <w:rPr>
          <w:rFonts w:eastAsia="Times New Roman" w:cstheme="majorHAnsi"/>
        </w:rPr>
        <w:t>documents for the informal submission. Submission requirements vary depending on the context of the review</w:t>
      </w:r>
      <w:r w:rsidR="007D5C5E" w:rsidRPr="003E2664">
        <w:rPr>
          <w:rFonts w:eastAsia="Times New Roman" w:cstheme="majorHAnsi"/>
        </w:rPr>
        <w:t xml:space="preserve">, </w:t>
      </w:r>
      <w:r w:rsidR="008F3473" w:rsidRPr="003E2664">
        <w:rPr>
          <w:rFonts w:eastAsia="Times New Roman" w:cstheme="majorHAnsi"/>
        </w:rPr>
        <w:t xml:space="preserve">and </w:t>
      </w:r>
      <w:r w:rsidR="007D5C5E" w:rsidRPr="003E2664">
        <w:rPr>
          <w:rFonts w:eastAsia="Times New Roman" w:cstheme="majorHAnsi"/>
        </w:rPr>
        <w:t>typically include both</w:t>
      </w:r>
      <w:r w:rsidRPr="003E2664">
        <w:rPr>
          <w:rFonts w:eastAsia="Times New Roman" w:cstheme="majorHAnsi"/>
        </w:rPr>
        <w:t xml:space="preserve"> responses to tailored worksheet prompts and </w:t>
      </w:r>
      <w:r w:rsidR="008F3473" w:rsidRPr="003E2664">
        <w:rPr>
          <w:rFonts w:eastAsia="Times New Roman" w:cstheme="majorHAnsi"/>
        </w:rPr>
        <w:t xml:space="preserve">the submission of program materials that demonstrate </w:t>
      </w:r>
      <w:r w:rsidR="00124E04">
        <w:rPr>
          <w:rFonts w:eastAsia="Times New Roman" w:cstheme="majorHAnsi"/>
        </w:rPr>
        <w:t xml:space="preserve">programmatic </w:t>
      </w:r>
      <w:r w:rsidR="008F3473" w:rsidRPr="003E2664">
        <w:rPr>
          <w:rFonts w:eastAsia="Times New Roman" w:cstheme="majorHAnsi"/>
        </w:rPr>
        <w:t>alignment with DESE expectations</w:t>
      </w:r>
      <w:r w:rsidRPr="003E2664">
        <w:rPr>
          <w:rFonts w:eastAsia="Times New Roman" w:cstheme="majorHAnsi"/>
        </w:rPr>
        <w:t xml:space="preserve">. </w:t>
      </w:r>
      <w:r w:rsidR="00124E04">
        <w:rPr>
          <w:rFonts w:eastAsia="Times New Roman" w:cstheme="majorHAnsi"/>
        </w:rPr>
        <w:t xml:space="preserve">The </w:t>
      </w:r>
      <w:r w:rsidRPr="003E2664">
        <w:rPr>
          <w:rFonts w:eastAsia="Times New Roman" w:cstheme="majorHAnsi"/>
        </w:rPr>
        <w:t xml:space="preserve">Sponsoring Organization should refer to </w:t>
      </w:r>
      <w:r w:rsidRPr="003E2664" w:rsidDel="00857C0F">
        <w:rPr>
          <w:rFonts w:eastAsia="Calibri" w:cstheme="majorHAnsi"/>
        </w:rPr>
        <w:t xml:space="preserve">the </w:t>
      </w:r>
      <w:hyperlink r:id="rId48" w:history="1">
        <w:r w:rsidR="00CB7962" w:rsidRPr="003E2664">
          <w:rPr>
            <w:rStyle w:val="Hyperlink"/>
            <w:rFonts w:eastAsia="Calibri" w:cstheme="majorHAnsi"/>
          </w:rPr>
          <w:t>program approval toolkit</w:t>
        </w:r>
      </w:hyperlink>
      <w:r w:rsidR="00CB7962" w:rsidRPr="003E2664">
        <w:rPr>
          <w:rFonts w:eastAsia="Calibri" w:cstheme="majorHAnsi"/>
        </w:rPr>
        <w:t xml:space="preserve"> for </w:t>
      </w:r>
      <w:r w:rsidR="00B54347" w:rsidRPr="003E2664">
        <w:rPr>
          <w:rFonts w:eastAsia="Calibri" w:cstheme="majorHAnsi"/>
        </w:rPr>
        <w:t>i</w:t>
      </w:r>
      <w:r w:rsidR="00CB7962" w:rsidRPr="003E2664">
        <w:rPr>
          <w:rFonts w:eastAsia="Calibri" w:cstheme="majorHAnsi"/>
        </w:rPr>
        <w:t>nformal review</w:t>
      </w:r>
      <w:r w:rsidRPr="003E2664">
        <w:rPr>
          <w:rFonts w:eastAsia="Times New Roman" w:cstheme="majorHAnsi"/>
        </w:rPr>
        <w:t xml:space="preserve"> for specific requirements associated with an informal review submission. </w:t>
      </w:r>
    </w:p>
    <w:p w14:paraId="0724E2DB" w14:textId="77777777" w:rsidR="008F3A38" w:rsidRPr="003E2664" w:rsidRDefault="008F3A38" w:rsidP="00367C89">
      <w:pPr>
        <w:ind w:left="720"/>
        <w:textAlignment w:val="baseline"/>
        <w:rPr>
          <w:rFonts w:eastAsia="Times New Roman" w:cstheme="majorHAnsi"/>
        </w:rPr>
      </w:pPr>
      <w:r w:rsidRPr="003E2664">
        <w:rPr>
          <w:rFonts w:eastAsia="Times New Roman" w:cstheme="majorHAnsi"/>
        </w:rPr>
        <w:t>  </w:t>
      </w:r>
    </w:p>
    <w:p w14:paraId="2D1F96DE" w14:textId="39E1196B" w:rsidR="008F3A38" w:rsidRPr="003E2664" w:rsidRDefault="008F3A38" w:rsidP="00367C89">
      <w:pPr>
        <w:numPr>
          <w:ilvl w:val="0"/>
          <w:numId w:val="16"/>
        </w:numPr>
        <w:textAlignment w:val="baseline"/>
        <w:rPr>
          <w:rFonts w:eastAsia="Times New Roman" w:cstheme="majorHAnsi"/>
        </w:rPr>
      </w:pPr>
      <w:r w:rsidRPr="003E2664">
        <w:rPr>
          <w:rFonts w:eastAsia="Times New Roman" w:cstheme="majorHAnsi"/>
          <w:b/>
          <w:bCs/>
        </w:rPr>
        <w:t>Notification of Approval Determination.</w:t>
      </w:r>
      <w:r w:rsidRPr="003E2664">
        <w:rPr>
          <w:rFonts w:eastAsia="Times New Roman" w:cstheme="majorHAnsi"/>
        </w:rPr>
        <w:t xml:space="preserve"> </w:t>
      </w:r>
      <w:r w:rsidR="00392C3D" w:rsidRPr="003E2664">
        <w:rPr>
          <w:rFonts w:eastAsia="Times New Roman" w:cstheme="majorHAnsi"/>
        </w:rPr>
        <w:t>Based on</w:t>
      </w:r>
      <w:r w:rsidRPr="003E2664">
        <w:rPr>
          <w:rFonts w:eastAsia="Times New Roman" w:cstheme="majorHAnsi"/>
        </w:rPr>
        <w:t xml:space="preserve"> the review</w:t>
      </w:r>
      <w:r w:rsidR="00392C3D" w:rsidRPr="003E2664">
        <w:rPr>
          <w:rFonts w:eastAsia="Times New Roman" w:cstheme="majorHAnsi"/>
        </w:rPr>
        <w:t xml:space="preserve"> of the informal submission</w:t>
      </w:r>
      <w:r w:rsidRPr="003E2664">
        <w:rPr>
          <w:rFonts w:eastAsia="Times New Roman" w:cstheme="majorHAnsi"/>
        </w:rPr>
        <w:t>, DESE notif</w:t>
      </w:r>
      <w:r w:rsidR="008E1F22">
        <w:rPr>
          <w:rFonts w:eastAsia="Times New Roman" w:cstheme="majorHAnsi"/>
        </w:rPr>
        <w:t>ies</w:t>
      </w:r>
      <w:r w:rsidRPr="003E2664">
        <w:rPr>
          <w:rFonts w:eastAsia="Times New Roman" w:cstheme="majorHAnsi"/>
        </w:rPr>
        <w:t xml:space="preserve"> the Sponsoring Organization of its approval determination</w:t>
      </w:r>
      <w:r w:rsidR="00392C3D" w:rsidRPr="003E2664">
        <w:rPr>
          <w:rFonts w:eastAsia="Times New Roman" w:cstheme="majorHAnsi"/>
        </w:rPr>
        <w:t xml:space="preserve"> within</w:t>
      </w:r>
      <w:r w:rsidRPr="003E2664">
        <w:rPr>
          <w:rFonts w:eastAsia="Times New Roman" w:cstheme="majorHAnsi"/>
        </w:rPr>
        <w:t xml:space="preserve"> three to six months from the close of the informal review window.  </w:t>
      </w:r>
    </w:p>
    <w:p w14:paraId="2FEB9C0A" w14:textId="77777777" w:rsidR="008F3A38" w:rsidRPr="003E2664" w:rsidRDefault="008F3A38" w:rsidP="00367C89">
      <w:pPr>
        <w:ind w:left="720"/>
        <w:textAlignment w:val="baseline"/>
        <w:rPr>
          <w:rFonts w:eastAsia="Times New Roman" w:cstheme="majorHAnsi"/>
        </w:rPr>
      </w:pPr>
      <w:r w:rsidRPr="003E2664">
        <w:rPr>
          <w:rFonts w:eastAsia="Times New Roman" w:cstheme="majorHAnsi"/>
        </w:rPr>
        <w:t> </w:t>
      </w:r>
    </w:p>
    <w:p w14:paraId="7CCDF9DB" w14:textId="0B98E176" w:rsidR="008F3A38" w:rsidRPr="003E2664" w:rsidRDefault="008F3A38" w:rsidP="00367C89">
      <w:pPr>
        <w:ind w:left="720"/>
        <w:textAlignment w:val="baseline"/>
        <w:rPr>
          <w:rFonts w:eastAsia="Times New Roman" w:cstheme="majorHAnsi"/>
        </w:rPr>
      </w:pPr>
      <w:r w:rsidRPr="003E2664">
        <w:rPr>
          <w:rFonts w:eastAsia="Times New Roman" w:cstheme="majorHAnsi"/>
        </w:rPr>
        <w:t xml:space="preserve">For new Sponsoring Organizations (those putting forth programs for the first time), </w:t>
      </w:r>
      <w:r w:rsidR="00E014F3" w:rsidRPr="003E2664">
        <w:rPr>
          <w:rFonts w:eastAsia="Times New Roman" w:cstheme="majorHAnsi"/>
        </w:rPr>
        <w:t xml:space="preserve">informal approval is </w:t>
      </w:r>
      <w:r w:rsidR="003F1DA2" w:rsidRPr="003E2664">
        <w:rPr>
          <w:rFonts w:eastAsia="Times New Roman" w:cstheme="majorHAnsi"/>
        </w:rPr>
        <w:t>granted for a three-year period. F</w:t>
      </w:r>
      <w:r w:rsidRPr="003E2664">
        <w:rPr>
          <w:rFonts w:eastAsia="Times New Roman" w:cstheme="majorHAnsi"/>
        </w:rPr>
        <w:t xml:space="preserve">ormal approval </w:t>
      </w:r>
      <w:r w:rsidR="008E1F22">
        <w:rPr>
          <w:rFonts w:eastAsia="Times New Roman" w:cstheme="majorHAnsi"/>
        </w:rPr>
        <w:t>is</w:t>
      </w:r>
      <w:r w:rsidRPr="003E2664">
        <w:rPr>
          <w:rFonts w:eastAsia="Times New Roman" w:cstheme="majorHAnsi"/>
        </w:rPr>
        <w:t xml:space="preserve"> granted only after the successful completion of a formal review, which typically occurs </w:t>
      </w:r>
      <w:r w:rsidR="008F07D2" w:rsidRPr="003E2664">
        <w:rPr>
          <w:rFonts w:eastAsia="Times New Roman" w:cstheme="majorHAnsi"/>
        </w:rPr>
        <w:t>during</w:t>
      </w:r>
      <w:r w:rsidR="003F1DA2" w:rsidRPr="003E2664">
        <w:rPr>
          <w:rFonts w:eastAsia="Times New Roman" w:cstheme="majorHAnsi"/>
        </w:rPr>
        <w:t xml:space="preserve"> the three-year approval period.</w:t>
      </w:r>
      <w:r w:rsidRPr="003E2664">
        <w:rPr>
          <w:rFonts w:eastAsia="Times New Roman" w:cstheme="majorHAnsi"/>
        </w:rPr>
        <w:t xml:space="preserve"> </w:t>
      </w:r>
    </w:p>
    <w:p w14:paraId="04F738AE" w14:textId="77777777" w:rsidR="008F3A38" w:rsidRPr="003E2664" w:rsidRDefault="008F3A38" w:rsidP="00367C89">
      <w:pPr>
        <w:ind w:left="720"/>
        <w:textAlignment w:val="baseline"/>
        <w:rPr>
          <w:rFonts w:eastAsia="Times New Roman" w:cstheme="majorHAnsi"/>
        </w:rPr>
      </w:pPr>
      <w:r w:rsidRPr="003E2664">
        <w:rPr>
          <w:rFonts w:eastAsia="Times New Roman" w:cstheme="majorHAnsi"/>
        </w:rPr>
        <w:t> </w:t>
      </w:r>
    </w:p>
    <w:p w14:paraId="1B4610E7" w14:textId="1051E8B7" w:rsidR="008F3A38" w:rsidRDefault="008F3A38" w:rsidP="0080264A">
      <w:pPr>
        <w:textAlignment w:val="baseline"/>
        <w:rPr>
          <w:rStyle w:val="Hyperlink"/>
          <w:rFonts w:eastAsia="Times New Roman" w:cstheme="majorHAnsi"/>
        </w:rPr>
      </w:pPr>
      <w:r w:rsidRPr="003E2664">
        <w:rPr>
          <w:rFonts w:eastAsia="Times New Roman" w:cstheme="majorHAnsi"/>
        </w:rPr>
        <w:t xml:space="preserve">After the first year of operation and each subsequent year, the Sponsoring Organization must submit an annual report to DESE in accordance with </w:t>
      </w:r>
      <w:hyperlink w:anchor="_Appendix_A:_Regulations" w:history="1">
        <w:r w:rsidRPr="003E2664">
          <w:rPr>
            <w:rStyle w:val="Hyperlink"/>
            <w:rFonts w:eastAsia="Times New Roman" w:cstheme="majorHAnsi"/>
          </w:rPr>
          <w:t>603 CMR 7.03 (4).  </w:t>
        </w:r>
      </w:hyperlink>
    </w:p>
    <w:p w14:paraId="01FF4ED3" w14:textId="77777777" w:rsidR="005E6184" w:rsidRDefault="005E6184" w:rsidP="0080264A">
      <w:pPr>
        <w:textAlignment w:val="baseline"/>
        <w:rPr>
          <w:rStyle w:val="Hyperlink"/>
          <w:rFonts w:eastAsia="Times New Roman" w:cstheme="majorHAnsi"/>
        </w:rPr>
      </w:pPr>
    </w:p>
    <w:p w14:paraId="50BD7081" w14:textId="0722BB5A" w:rsidR="005E6184" w:rsidRPr="00367C89" w:rsidRDefault="005E6184" w:rsidP="0080264A">
      <w:pPr>
        <w:textAlignment w:val="baseline"/>
        <w:rPr>
          <w:rStyle w:val="Hyperlink"/>
          <w:rFonts w:eastAsia="Times New Roman" w:cstheme="majorHAnsi"/>
          <w:color w:val="000000" w:themeColor="text1"/>
          <w:u w:val="none"/>
        </w:rPr>
      </w:pPr>
      <w:r w:rsidRPr="00367C89">
        <w:rPr>
          <w:rStyle w:val="Hyperlink"/>
          <w:rFonts w:eastAsia="Times New Roman" w:cstheme="majorHAnsi"/>
          <w:color w:val="000000" w:themeColor="text1"/>
          <w:u w:val="none"/>
        </w:rPr>
        <w:t xml:space="preserve">Individuals who complete informally approved programs will be eligible to receive licensure in Massachusetts but may not enjoy full reciprocity benefits for licensure in other states that have signed the NASDTEC Interstate Agreement with Massachusetts. Full reciprocity benefits are available after formal program approval has been granted. </w:t>
      </w:r>
    </w:p>
    <w:p w14:paraId="4D34AB71" w14:textId="365E8B49" w:rsidR="0080264A" w:rsidRDefault="0080264A" w:rsidP="008F3A38">
      <w:pPr>
        <w:spacing w:line="240" w:lineRule="auto"/>
        <w:textAlignment w:val="baseline"/>
        <w:rPr>
          <w:rFonts w:eastAsia="Times New Roman" w:cstheme="majorHAnsi"/>
        </w:rPr>
      </w:pPr>
    </w:p>
    <w:p w14:paraId="2C89C498" w14:textId="16F196D8" w:rsidR="003206B7" w:rsidRPr="00BA67B6" w:rsidRDefault="008F3A38" w:rsidP="008F3A38">
      <w:pPr>
        <w:spacing w:line="240" w:lineRule="auto"/>
        <w:textAlignment w:val="baseline"/>
        <w:rPr>
          <w:rFonts w:eastAsia="Times New Roman" w:cstheme="majorHAnsi"/>
          <w:sz w:val="24"/>
          <w:szCs w:val="24"/>
        </w:rPr>
      </w:pPr>
      <w:r w:rsidRPr="003E2664">
        <w:rPr>
          <w:rFonts w:eastAsia="Times New Roman" w:cstheme="majorHAnsi"/>
        </w:rPr>
        <w:t xml:space="preserve">For more information, templates, and submission worksheets, see </w:t>
      </w:r>
      <w:r w:rsidR="00857C0F" w:rsidRPr="003E2664">
        <w:rPr>
          <w:rFonts w:eastAsia="Calibri" w:cstheme="majorHAnsi"/>
        </w:rPr>
        <w:t xml:space="preserve">the </w:t>
      </w:r>
      <w:hyperlink r:id="rId49" w:history="1">
        <w:r w:rsidR="00857C0F" w:rsidRPr="003E2664">
          <w:rPr>
            <w:rStyle w:val="Hyperlink"/>
            <w:rFonts w:eastAsia="Calibri" w:cstheme="majorHAnsi"/>
          </w:rPr>
          <w:t>program approval toolkit</w:t>
        </w:r>
      </w:hyperlink>
      <w:r w:rsidR="00857C0F" w:rsidRPr="003E2664">
        <w:rPr>
          <w:rFonts w:eastAsia="Calibri" w:cstheme="majorHAnsi"/>
        </w:rPr>
        <w:t xml:space="preserve"> for </w:t>
      </w:r>
      <w:r w:rsidR="00B54347" w:rsidRPr="003E2664">
        <w:rPr>
          <w:rFonts w:eastAsia="Calibri" w:cstheme="majorHAnsi"/>
        </w:rPr>
        <w:t>i</w:t>
      </w:r>
      <w:r w:rsidR="00857C0F" w:rsidRPr="003E2664">
        <w:rPr>
          <w:rFonts w:eastAsia="Calibri" w:cstheme="majorHAnsi"/>
        </w:rPr>
        <w:t>nformal review</w:t>
      </w:r>
      <w:r w:rsidRPr="003E2664">
        <w:rPr>
          <w:rFonts w:eastAsia="Times New Roman" w:cstheme="majorHAnsi"/>
        </w:rPr>
        <w:t>.</w:t>
      </w:r>
      <w:r w:rsidRPr="00BA67B6">
        <w:rPr>
          <w:rFonts w:eastAsia="Times New Roman" w:cstheme="majorHAnsi"/>
          <w:sz w:val="24"/>
          <w:szCs w:val="24"/>
        </w:rPr>
        <w:t> </w:t>
      </w:r>
    </w:p>
    <w:p w14:paraId="7C15E6B1" w14:textId="77777777" w:rsidR="003E2664" w:rsidRDefault="003E2664">
      <w:pPr>
        <w:rPr>
          <w:rFonts w:ascii="Calibri" w:hAnsi="Calibri"/>
          <w:b/>
          <w:color w:val="E36C0A" w:themeColor="accent6" w:themeShade="BF"/>
          <w:sz w:val="28"/>
          <w:szCs w:val="36"/>
        </w:rPr>
      </w:pPr>
      <w:bookmarkStart w:id="89" w:name="_Interim_Review_of"/>
      <w:bookmarkStart w:id="90" w:name="_Toc106003177"/>
      <w:bookmarkEnd w:id="89"/>
      <w:r>
        <w:br w:type="page"/>
      </w:r>
    </w:p>
    <w:p w14:paraId="11F2DD1C" w14:textId="431AF42B" w:rsidR="003206B7" w:rsidRPr="00BA67B6" w:rsidRDefault="003206B7">
      <w:pPr>
        <w:pStyle w:val="Heading2"/>
      </w:pPr>
      <w:bookmarkStart w:id="91" w:name="_Toc125574788"/>
      <w:bookmarkStart w:id="92" w:name="_Toc125575632"/>
      <w:r w:rsidRPr="00BA67B6">
        <w:lastRenderedPageBreak/>
        <w:t>Interim Review of Approved Programs</w:t>
      </w:r>
      <w:bookmarkEnd w:id="90"/>
      <w:bookmarkEnd w:id="91"/>
      <w:bookmarkEnd w:id="92"/>
      <w:r w:rsidRPr="00BA67B6">
        <w:rPr>
          <w:color w:val="E15D15"/>
        </w:rPr>
        <w:t>  </w:t>
      </w:r>
    </w:p>
    <w:p w14:paraId="2D1931DF" w14:textId="266B50BC" w:rsidR="003206B7" w:rsidRPr="005E6184" w:rsidRDefault="006907F9" w:rsidP="005E6184">
      <w:pPr>
        <w:ind w:right="60"/>
        <w:textAlignment w:val="baseline"/>
        <w:rPr>
          <w:rFonts w:eastAsia="Times New Roman" w:cstheme="majorHAnsi"/>
        </w:rPr>
      </w:pPr>
      <w:r w:rsidRPr="005E6184">
        <w:rPr>
          <w:rFonts w:eastAsia="Times New Roman" w:cstheme="majorHAnsi"/>
        </w:rPr>
        <w:t xml:space="preserve">DESE conducts interim reviews to determine whether </w:t>
      </w:r>
      <w:r w:rsidR="003206B7" w:rsidRPr="005E6184">
        <w:rPr>
          <w:rFonts w:eastAsia="Times New Roman" w:cstheme="majorHAnsi"/>
        </w:rPr>
        <w:t xml:space="preserve">an approved preparation program continues to meet the standards and benchmarks set forth in </w:t>
      </w:r>
      <w:hyperlink r:id="rId50" w:tgtFrame="_blank" w:history="1">
        <w:r w:rsidR="003206B7" w:rsidRPr="005E6184">
          <w:rPr>
            <w:rFonts w:eastAsia="Times New Roman" w:cstheme="majorHAnsi"/>
            <w:color w:val="0000FF"/>
            <w:u w:val="single"/>
          </w:rPr>
          <w:t>603 CMR 7.03 (2) and (3)</w:t>
        </w:r>
      </w:hyperlink>
      <w:r w:rsidR="003206B7" w:rsidRPr="005E6184">
        <w:rPr>
          <w:rFonts w:eastAsia="Times New Roman" w:cstheme="majorHAnsi"/>
        </w:rPr>
        <w:t xml:space="preserve"> and the</w:t>
      </w:r>
      <w:r w:rsidR="00892B53" w:rsidRPr="005E6184">
        <w:rPr>
          <w:rFonts w:eastAsia="Times New Roman" w:cstheme="majorHAnsi"/>
        </w:rPr>
        <w:t>se</w:t>
      </w:r>
      <w:r w:rsidR="003206B7" w:rsidRPr="005E6184">
        <w:rPr>
          <w:rFonts w:eastAsia="Times New Roman" w:cstheme="majorHAnsi"/>
        </w:rPr>
        <w:t xml:space="preserve"> Guidelines.  </w:t>
      </w:r>
    </w:p>
    <w:p w14:paraId="3A9B026B" w14:textId="77777777" w:rsidR="003206B7" w:rsidRPr="00090190" w:rsidRDefault="003206B7" w:rsidP="005E6184">
      <w:pPr>
        <w:ind w:right="60"/>
        <w:textAlignment w:val="baseline"/>
        <w:rPr>
          <w:rFonts w:eastAsia="Times New Roman" w:cstheme="majorHAnsi"/>
        </w:rPr>
      </w:pPr>
      <w:r w:rsidRPr="00090190">
        <w:rPr>
          <w:rFonts w:eastAsia="Times New Roman" w:cstheme="majorHAnsi"/>
        </w:rPr>
        <w:t> </w:t>
      </w:r>
    </w:p>
    <w:p w14:paraId="67B88482" w14:textId="7E04F7DD" w:rsidR="003206B7" w:rsidRPr="00014585" w:rsidRDefault="003206B7" w:rsidP="00090190">
      <w:pPr>
        <w:ind w:right="60"/>
        <w:textAlignment w:val="baseline"/>
        <w:rPr>
          <w:rFonts w:eastAsia="Times New Roman" w:cstheme="majorHAnsi"/>
        </w:rPr>
      </w:pPr>
      <w:r w:rsidRPr="00090190">
        <w:rPr>
          <w:rFonts w:eastAsia="Times New Roman" w:cstheme="majorHAnsi"/>
        </w:rPr>
        <w:t xml:space="preserve">DESE may initiate an interim review at any point during a Sponsoring Organization’s approval period on an as-needed basis. Situations that may warrant </w:t>
      </w:r>
      <w:r w:rsidRPr="00014585">
        <w:rPr>
          <w:rFonts w:eastAsia="Times New Roman" w:cstheme="majorHAnsi"/>
        </w:rPr>
        <w:t>an interim review include, though are not limited to:   </w:t>
      </w:r>
    </w:p>
    <w:p w14:paraId="2CC04D90" w14:textId="77777777" w:rsidR="003206B7" w:rsidRPr="00014585" w:rsidRDefault="003206B7" w:rsidP="00090190">
      <w:pPr>
        <w:numPr>
          <w:ilvl w:val="0"/>
          <w:numId w:val="28"/>
        </w:numPr>
        <w:textAlignment w:val="baseline"/>
        <w:rPr>
          <w:rFonts w:eastAsia="Times New Roman" w:cstheme="majorHAnsi"/>
        </w:rPr>
      </w:pPr>
      <w:r w:rsidRPr="00014585">
        <w:rPr>
          <w:rFonts w:eastAsia="Times New Roman" w:cstheme="majorHAnsi"/>
        </w:rPr>
        <w:t>A Sponsoring Organization seeks a change in their approval determination (e.g., from Approved to Approved with Distinction). </w:t>
      </w:r>
    </w:p>
    <w:p w14:paraId="686C5B16" w14:textId="5E55D723" w:rsidR="003206B7" w:rsidRPr="00090190" w:rsidRDefault="003206B7" w:rsidP="00090190">
      <w:pPr>
        <w:numPr>
          <w:ilvl w:val="0"/>
          <w:numId w:val="28"/>
        </w:numPr>
        <w:textAlignment w:val="baseline"/>
        <w:rPr>
          <w:rFonts w:eastAsia="Times New Roman" w:cstheme="majorHAnsi"/>
        </w:rPr>
      </w:pPr>
      <w:r w:rsidRPr="00014585">
        <w:rPr>
          <w:rFonts w:eastAsia="Times New Roman" w:cstheme="majorHAnsi"/>
        </w:rPr>
        <w:t xml:space="preserve">Statewide </w:t>
      </w:r>
      <w:r w:rsidRPr="005E6184">
        <w:rPr>
          <w:rFonts w:eastAsia="Times New Roman" w:cstheme="majorHAnsi"/>
        </w:rPr>
        <w:t xml:space="preserve">outcome data </w:t>
      </w:r>
      <w:r w:rsidR="003F669C" w:rsidRPr="005E6184">
        <w:rPr>
          <w:rFonts w:eastAsia="Times New Roman" w:cstheme="majorHAnsi"/>
        </w:rPr>
        <w:t>(see</w:t>
      </w:r>
      <w:r w:rsidR="002F6CAA" w:rsidRPr="005E6184">
        <w:rPr>
          <w:rFonts w:eastAsia="Times New Roman" w:cstheme="majorHAnsi"/>
        </w:rPr>
        <w:t xml:space="preserve"> </w:t>
      </w:r>
      <w:hyperlink w:anchor="_Public_Reporting_1" w:history="1">
        <w:r w:rsidR="002F6CAA" w:rsidRPr="005E6184">
          <w:rPr>
            <w:rStyle w:val="Hyperlink"/>
            <w:rFonts w:eastAsia="Times New Roman" w:cstheme="majorHAnsi"/>
          </w:rPr>
          <w:t>Public Reporting</w:t>
        </w:r>
      </w:hyperlink>
      <w:r w:rsidR="002F6CAA" w:rsidRPr="005E6184">
        <w:rPr>
          <w:rFonts w:eastAsia="Times New Roman" w:cstheme="majorHAnsi"/>
        </w:rPr>
        <w:t xml:space="preserve"> and </w:t>
      </w:r>
      <w:hyperlink w:anchor="_Annual_Reporting" w:history="1">
        <w:r w:rsidR="002F6CAA" w:rsidRPr="005E6184">
          <w:rPr>
            <w:rStyle w:val="Hyperlink"/>
            <w:rFonts w:eastAsia="Times New Roman" w:cstheme="majorHAnsi"/>
          </w:rPr>
          <w:t>Annual Reporting</w:t>
        </w:r>
      </w:hyperlink>
      <w:r w:rsidR="002F6CAA" w:rsidRPr="005E6184">
        <w:rPr>
          <w:rFonts w:eastAsia="Times New Roman" w:cstheme="majorHAnsi"/>
        </w:rPr>
        <w:t xml:space="preserve"> below)</w:t>
      </w:r>
      <w:r w:rsidR="003F669C" w:rsidRPr="005E6184">
        <w:rPr>
          <w:rFonts w:eastAsia="Times New Roman" w:cstheme="majorHAnsi"/>
        </w:rPr>
        <w:t xml:space="preserve"> </w:t>
      </w:r>
      <w:r w:rsidRPr="005E6184">
        <w:rPr>
          <w:rFonts w:eastAsia="Times New Roman" w:cstheme="majorHAnsi"/>
        </w:rPr>
        <w:t xml:space="preserve">that suggests concerns about novice educator </w:t>
      </w:r>
      <w:r w:rsidRPr="00090190">
        <w:rPr>
          <w:rFonts w:eastAsia="Times New Roman" w:cstheme="majorHAnsi"/>
        </w:rPr>
        <w:t>readiness in specific licensure roles, subject areas, grade spans, and/or with specific populations of students. </w:t>
      </w:r>
    </w:p>
    <w:p w14:paraId="1FEF49AA" w14:textId="77777777" w:rsidR="003206B7" w:rsidRPr="00014585" w:rsidRDefault="003206B7" w:rsidP="00090190">
      <w:pPr>
        <w:numPr>
          <w:ilvl w:val="0"/>
          <w:numId w:val="28"/>
        </w:numPr>
        <w:textAlignment w:val="baseline"/>
        <w:rPr>
          <w:rFonts w:eastAsia="Times New Roman" w:cstheme="majorHAnsi"/>
        </w:rPr>
      </w:pPr>
      <w:r w:rsidRPr="00090190">
        <w:rPr>
          <w:rFonts w:eastAsia="Times New Roman" w:cstheme="majorHAnsi"/>
        </w:rPr>
        <w:t>Downward trends in the outcomes of specific Sponsoring Organizations and/or programs. </w:t>
      </w:r>
    </w:p>
    <w:p w14:paraId="39E9BD19" w14:textId="3528A9AD" w:rsidR="003206B7" w:rsidRPr="00014585" w:rsidRDefault="003206B7" w:rsidP="00014585">
      <w:pPr>
        <w:numPr>
          <w:ilvl w:val="0"/>
          <w:numId w:val="28"/>
        </w:numPr>
        <w:textAlignment w:val="baseline"/>
        <w:rPr>
          <w:rFonts w:eastAsia="Times New Roman" w:cstheme="majorHAnsi"/>
        </w:rPr>
      </w:pPr>
      <w:r w:rsidRPr="00014585">
        <w:rPr>
          <w:rFonts w:eastAsia="Times New Roman" w:cstheme="majorHAnsi"/>
        </w:rPr>
        <w:t>A</w:t>
      </w:r>
      <w:r w:rsidR="009B1174" w:rsidRPr="00014585">
        <w:rPr>
          <w:rFonts w:eastAsia="Times New Roman" w:cstheme="majorHAnsi"/>
        </w:rPr>
        <w:t xml:space="preserve"> Sponsoring Organization</w:t>
      </w:r>
      <w:r w:rsidRPr="00014585">
        <w:rPr>
          <w:rFonts w:eastAsia="Times New Roman" w:cstheme="majorHAnsi"/>
        </w:rPr>
        <w:t xml:space="preserve"> or program</w:t>
      </w:r>
      <w:r w:rsidR="00B11A09" w:rsidRPr="00014585">
        <w:rPr>
          <w:rFonts w:eastAsia="Times New Roman" w:cstheme="majorHAnsi"/>
        </w:rPr>
        <w:t>(s)</w:t>
      </w:r>
      <w:r w:rsidRPr="00014585">
        <w:rPr>
          <w:rFonts w:eastAsia="Times New Roman" w:cstheme="majorHAnsi"/>
        </w:rPr>
        <w:t xml:space="preserve"> with an at-risk or low-performing status designation. </w:t>
      </w:r>
    </w:p>
    <w:p w14:paraId="570846B7" w14:textId="77777777" w:rsidR="003206B7" w:rsidRPr="001F3F72" w:rsidRDefault="003206B7" w:rsidP="00014585">
      <w:pPr>
        <w:numPr>
          <w:ilvl w:val="0"/>
          <w:numId w:val="28"/>
        </w:numPr>
        <w:textAlignment w:val="baseline"/>
        <w:rPr>
          <w:rFonts w:eastAsia="Times New Roman" w:cstheme="majorHAnsi"/>
        </w:rPr>
      </w:pPr>
      <w:r w:rsidRPr="00AC72D4">
        <w:rPr>
          <w:rFonts w:eastAsia="Times New Roman" w:cstheme="majorHAnsi"/>
        </w:rPr>
        <w:t>Significant concerns or complaints elevated to DESE by candidates, completers, supervising practi</w:t>
      </w:r>
      <w:r w:rsidRPr="00DD08F3">
        <w:rPr>
          <w:rFonts w:eastAsia="Times New Roman" w:cstheme="majorHAnsi"/>
        </w:rPr>
        <w:t>tioners, PK12 partners, and/or other stakeholders about practices that are inconsistent with state expectations. </w:t>
      </w:r>
    </w:p>
    <w:p w14:paraId="738DC420" w14:textId="77777777" w:rsidR="003206B7" w:rsidRPr="001F3F72" w:rsidRDefault="003206B7" w:rsidP="00014585">
      <w:pPr>
        <w:ind w:right="60"/>
        <w:textAlignment w:val="baseline"/>
        <w:rPr>
          <w:rFonts w:eastAsia="Times New Roman" w:cstheme="majorHAnsi"/>
        </w:rPr>
      </w:pPr>
      <w:r w:rsidRPr="001F3F72">
        <w:rPr>
          <w:rFonts w:eastAsia="Times New Roman" w:cstheme="majorHAnsi"/>
        </w:rPr>
        <w:t> </w:t>
      </w:r>
    </w:p>
    <w:p w14:paraId="20AA042D" w14:textId="24AEF039" w:rsidR="003206B7" w:rsidRPr="00367C89" w:rsidRDefault="003206B7" w:rsidP="00014585">
      <w:pPr>
        <w:ind w:right="60"/>
        <w:textAlignment w:val="baseline"/>
        <w:rPr>
          <w:rFonts w:eastAsia="Times New Roman" w:cstheme="majorBidi"/>
        </w:rPr>
      </w:pPr>
      <w:r w:rsidRPr="5A46ACD0">
        <w:rPr>
          <w:rFonts w:eastAsia="Times New Roman" w:cstheme="majorBidi"/>
        </w:rPr>
        <w:t xml:space="preserve">Interim reviews may be conducted for an entire Sponsoring Organization or targeted to specific expectation(s) or program(s). </w:t>
      </w:r>
      <w:r w:rsidR="00EC1E97" w:rsidRPr="5A46ACD0">
        <w:rPr>
          <w:rFonts w:eastAsia="Times New Roman" w:cstheme="majorBidi"/>
        </w:rPr>
        <w:t>As such,</w:t>
      </w:r>
      <w:r w:rsidRPr="5A46ACD0">
        <w:rPr>
          <w:rFonts w:eastAsia="Times New Roman" w:cstheme="majorBidi"/>
        </w:rPr>
        <w:t xml:space="preserve"> each interim review is </w:t>
      </w:r>
      <w:r w:rsidR="00C41CD1" w:rsidRPr="5A46ACD0">
        <w:rPr>
          <w:rFonts w:eastAsia="Times New Roman" w:cstheme="majorBidi"/>
        </w:rPr>
        <w:t>differentiated based on</w:t>
      </w:r>
      <w:r w:rsidRPr="5A46ACD0">
        <w:rPr>
          <w:rFonts w:eastAsia="Times New Roman" w:cstheme="majorBidi"/>
        </w:rPr>
        <w:t xml:space="preserve"> the context of the concern</w:t>
      </w:r>
      <w:r w:rsidR="009659A6" w:rsidRPr="5A46ACD0">
        <w:rPr>
          <w:rFonts w:eastAsia="Times New Roman" w:cstheme="majorBidi"/>
        </w:rPr>
        <w:t>.</w:t>
      </w:r>
      <w:r w:rsidRPr="5A46ACD0">
        <w:rPr>
          <w:rFonts w:eastAsia="Times New Roman" w:cstheme="majorBidi"/>
        </w:rPr>
        <w:t xml:space="preserve"> </w:t>
      </w:r>
      <w:r w:rsidR="009659A6" w:rsidRPr="5A46ACD0">
        <w:rPr>
          <w:rFonts w:eastAsia="Times New Roman" w:cstheme="majorBidi"/>
        </w:rPr>
        <w:t>U</w:t>
      </w:r>
      <w:r w:rsidRPr="5A46ACD0">
        <w:rPr>
          <w:rFonts w:eastAsia="Times New Roman" w:cstheme="majorBidi"/>
        </w:rPr>
        <w:t xml:space="preserve">pon initiating an interim review, DESE </w:t>
      </w:r>
      <w:r w:rsidR="009659A6" w:rsidRPr="5A46ACD0">
        <w:rPr>
          <w:rFonts w:eastAsia="Times New Roman" w:cstheme="majorBidi"/>
        </w:rPr>
        <w:t>will</w:t>
      </w:r>
      <w:r w:rsidRPr="5A46ACD0">
        <w:rPr>
          <w:rFonts w:eastAsia="Times New Roman" w:cstheme="majorBidi"/>
        </w:rPr>
        <w:t xml:space="preserve"> provide the following information in writing to the impacted Sponsoring Organization(s):  </w:t>
      </w:r>
    </w:p>
    <w:p w14:paraId="356EF243" w14:textId="77777777" w:rsidR="003206B7" w:rsidRPr="00367C89" w:rsidRDefault="003206B7" w:rsidP="00014585">
      <w:pPr>
        <w:numPr>
          <w:ilvl w:val="0"/>
          <w:numId w:val="18"/>
        </w:numPr>
        <w:ind w:left="1080" w:firstLine="0"/>
        <w:textAlignment w:val="baseline"/>
        <w:rPr>
          <w:rFonts w:eastAsia="Times New Roman" w:cstheme="majorHAnsi"/>
        </w:rPr>
      </w:pPr>
      <w:r w:rsidRPr="00367C89">
        <w:rPr>
          <w:rFonts w:eastAsia="Times New Roman" w:cstheme="majorHAnsi"/>
        </w:rPr>
        <w:t>Scope of the interim review, including:  </w:t>
      </w:r>
    </w:p>
    <w:p w14:paraId="7C50CBDA" w14:textId="6D07DB29" w:rsidR="003206B7" w:rsidRPr="00367C89" w:rsidRDefault="003206B7" w:rsidP="00014585">
      <w:pPr>
        <w:numPr>
          <w:ilvl w:val="0"/>
          <w:numId w:val="19"/>
        </w:numPr>
        <w:ind w:left="1800" w:firstLine="0"/>
        <w:textAlignment w:val="baseline"/>
        <w:rPr>
          <w:rFonts w:eastAsia="Times New Roman" w:cstheme="majorHAnsi"/>
        </w:rPr>
      </w:pPr>
      <w:r w:rsidRPr="00367C89">
        <w:rPr>
          <w:rFonts w:eastAsia="Times New Roman" w:cstheme="majorHAnsi"/>
        </w:rPr>
        <w:t xml:space="preserve">Targeted domains, criteria, and/or specific programs </w:t>
      </w:r>
    </w:p>
    <w:p w14:paraId="42A97064" w14:textId="77777777" w:rsidR="003206B7" w:rsidRPr="00367C89" w:rsidRDefault="003206B7" w:rsidP="00014585">
      <w:pPr>
        <w:numPr>
          <w:ilvl w:val="0"/>
          <w:numId w:val="20"/>
        </w:numPr>
        <w:ind w:left="1080" w:firstLine="0"/>
        <w:textAlignment w:val="baseline"/>
        <w:rPr>
          <w:rFonts w:eastAsia="Times New Roman" w:cstheme="majorHAnsi"/>
        </w:rPr>
      </w:pPr>
      <w:r w:rsidRPr="00367C89">
        <w:rPr>
          <w:rFonts w:eastAsia="Times New Roman" w:cstheme="majorHAnsi"/>
        </w:rPr>
        <w:t>Rationale for the interim review, including:  </w:t>
      </w:r>
    </w:p>
    <w:p w14:paraId="79499274" w14:textId="77777777" w:rsidR="003206B7" w:rsidRPr="00367C89" w:rsidRDefault="003206B7" w:rsidP="00014585">
      <w:pPr>
        <w:numPr>
          <w:ilvl w:val="0"/>
          <w:numId w:val="21"/>
        </w:numPr>
        <w:ind w:left="1800" w:firstLine="0"/>
        <w:textAlignment w:val="baseline"/>
        <w:rPr>
          <w:rFonts w:eastAsia="Times New Roman" w:cstheme="majorHAnsi"/>
        </w:rPr>
      </w:pPr>
      <w:r w:rsidRPr="00367C89">
        <w:rPr>
          <w:rFonts w:eastAsia="Times New Roman" w:cstheme="majorHAnsi"/>
        </w:rPr>
        <w:t>Current standing and recent review history </w:t>
      </w:r>
    </w:p>
    <w:p w14:paraId="16845C16" w14:textId="77777777" w:rsidR="003206B7" w:rsidRPr="00367C89" w:rsidRDefault="003206B7" w:rsidP="00AC72D4">
      <w:pPr>
        <w:numPr>
          <w:ilvl w:val="0"/>
          <w:numId w:val="22"/>
        </w:numPr>
        <w:ind w:left="1800" w:firstLine="0"/>
        <w:textAlignment w:val="baseline"/>
        <w:rPr>
          <w:rFonts w:eastAsia="Times New Roman" w:cstheme="majorHAnsi"/>
        </w:rPr>
      </w:pPr>
      <w:r w:rsidRPr="00367C89">
        <w:rPr>
          <w:rFonts w:eastAsia="Times New Roman" w:cstheme="majorHAnsi"/>
        </w:rPr>
        <w:t>Data and/or evidence that activated interim review </w:t>
      </w:r>
    </w:p>
    <w:p w14:paraId="6ECD79DA" w14:textId="77777777" w:rsidR="003206B7" w:rsidRPr="00367C89" w:rsidRDefault="003206B7" w:rsidP="00DD08F3">
      <w:pPr>
        <w:numPr>
          <w:ilvl w:val="0"/>
          <w:numId w:val="23"/>
        </w:numPr>
        <w:ind w:left="1080" w:firstLine="0"/>
        <w:textAlignment w:val="baseline"/>
        <w:rPr>
          <w:rFonts w:eastAsia="Times New Roman" w:cstheme="majorHAnsi"/>
        </w:rPr>
      </w:pPr>
      <w:r w:rsidRPr="00367C89">
        <w:rPr>
          <w:rFonts w:eastAsia="Times New Roman" w:cstheme="majorHAnsi"/>
        </w:rPr>
        <w:t>Details about the process for the interim review, including:  </w:t>
      </w:r>
    </w:p>
    <w:p w14:paraId="5BC8936F" w14:textId="616FB67E" w:rsidR="003206B7" w:rsidRPr="00367C89" w:rsidRDefault="00AC4FA5" w:rsidP="001F3F72">
      <w:pPr>
        <w:numPr>
          <w:ilvl w:val="0"/>
          <w:numId w:val="24"/>
        </w:numPr>
        <w:ind w:left="1800" w:firstLine="0"/>
        <w:textAlignment w:val="baseline"/>
        <w:rPr>
          <w:rFonts w:eastAsia="Times New Roman" w:cstheme="majorHAnsi"/>
        </w:rPr>
      </w:pPr>
      <w:r w:rsidRPr="00367C89">
        <w:rPr>
          <w:rFonts w:eastAsia="Times New Roman" w:cstheme="majorHAnsi"/>
        </w:rPr>
        <w:t>A</w:t>
      </w:r>
      <w:r w:rsidR="003206B7" w:rsidRPr="00367C89">
        <w:rPr>
          <w:rFonts w:eastAsia="Times New Roman" w:cstheme="majorHAnsi"/>
        </w:rPr>
        <w:t xml:space="preserve"> timeline for key dates (e.g., evidence submission date, onsite visit dates, report date)  </w:t>
      </w:r>
    </w:p>
    <w:p w14:paraId="38CCF140" w14:textId="77777777" w:rsidR="003206B7" w:rsidRPr="00367C89" w:rsidRDefault="003206B7" w:rsidP="001F3F72">
      <w:pPr>
        <w:numPr>
          <w:ilvl w:val="0"/>
          <w:numId w:val="24"/>
        </w:numPr>
        <w:ind w:left="1800" w:firstLine="0"/>
        <w:textAlignment w:val="baseline"/>
        <w:rPr>
          <w:rFonts w:eastAsia="Times New Roman" w:cstheme="majorHAnsi"/>
        </w:rPr>
      </w:pPr>
      <w:r w:rsidRPr="00367C89">
        <w:rPr>
          <w:rFonts w:eastAsia="Times New Roman" w:cstheme="majorHAnsi"/>
        </w:rPr>
        <w:t>Evidence collection expectations </w:t>
      </w:r>
    </w:p>
    <w:p w14:paraId="294FFB9E" w14:textId="77777777" w:rsidR="003206B7" w:rsidRPr="00367C89" w:rsidRDefault="003206B7" w:rsidP="001F3F72">
      <w:pPr>
        <w:numPr>
          <w:ilvl w:val="0"/>
          <w:numId w:val="24"/>
        </w:numPr>
        <w:ind w:left="1800" w:firstLine="0"/>
        <w:textAlignment w:val="baseline"/>
        <w:rPr>
          <w:rFonts w:eastAsia="Times New Roman" w:cstheme="majorHAnsi"/>
        </w:rPr>
      </w:pPr>
      <w:r w:rsidRPr="00367C89">
        <w:rPr>
          <w:rFonts w:eastAsia="Times New Roman" w:cstheme="majorHAnsi"/>
        </w:rPr>
        <w:t>Role of external reviewers and/or entities, if any </w:t>
      </w:r>
    </w:p>
    <w:p w14:paraId="7C74AE4B" w14:textId="77777777" w:rsidR="003206B7" w:rsidRPr="00367C89" w:rsidRDefault="003206B7" w:rsidP="001F3F72">
      <w:pPr>
        <w:numPr>
          <w:ilvl w:val="0"/>
          <w:numId w:val="25"/>
        </w:numPr>
        <w:ind w:left="1080" w:firstLine="0"/>
        <w:textAlignment w:val="baseline"/>
        <w:rPr>
          <w:rFonts w:eastAsia="Times New Roman" w:cstheme="majorHAnsi"/>
        </w:rPr>
      </w:pPr>
      <w:r w:rsidRPr="00367C89">
        <w:rPr>
          <w:rFonts w:eastAsia="Times New Roman" w:cstheme="majorHAnsi"/>
        </w:rPr>
        <w:t>Clear criteria, benchmarks, and expectations  </w:t>
      </w:r>
    </w:p>
    <w:p w14:paraId="234F618B" w14:textId="77777777" w:rsidR="003206B7" w:rsidRPr="00367C89" w:rsidRDefault="003206B7" w:rsidP="001F3F72">
      <w:pPr>
        <w:ind w:right="60"/>
        <w:textAlignment w:val="baseline"/>
        <w:rPr>
          <w:rFonts w:eastAsia="Times New Roman" w:cstheme="majorHAnsi"/>
        </w:rPr>
      </w:pPr>
      <w:r w:rsidRPr="00367C89">
        <w:rPr>
          <w:rFonts w:eastAsia="Times New Roman" w:cstheme="majorHAnsi"/>
        </w:rPr>
        <w:t> </w:t>
      </w:r>
    </w:p>
    <w:p w14:paraId="25823D4D" w14:textId="68678898" w:rsidR="003206B7" w:rsidRPr="00367C89" w:rsidRDefault="003206B7" w:rsidP="00284DC3">
      <w:pPr>
        <w:ind w:right="60"/>
        <w:textAlignment w:val="baseline"/>
        <w:rPr>
          <w:rFonts w:eastAsia="Times New Roman" w:cstheme="majorHAnsi"/>
        </w:rPr>
      </w:pPr>
      <w:r w:rsidRPr="00367C89">
        <w:rPr>
          <w:rFonts w:eastAsia="Times New Roman" w:cstheme="majorHAnsi"/>
        </w:rPr>
        <w:t>Following feedback and dialogue with the impacted Sponsoring Organization(s), DESE reserves the right to update and revise these details before finalizing and beginning the</w:t>
      </w:r>
      <w:r w:rsidR="00EC1E97" w:rsidRPr="00367C89">
        <w:rPr>
          <w:rFonts w:eastAsia="Times New Roman" w:cstheme="majorHAnsi"/>
        </w:rPr>
        <w:t xml:space="preserve"> interim</w:t>
      </w:r>
      <w:r w:rsidRPr="00367C89">
        <w:rPr>
          <w:rFonts w:eastAsia="Times New Roman" w:cstheme="majorHAnsi"/>
        </w:rPr>
        <w:t xml:space="preserve"> review process.  </w:t>
      </w:r>
    </w:p>
    <w:p w14:paraId="10767463" w14:textId="72F685DF" w:rsidR="003206B7" w:rsidRPr="00367C89" w:rsidRDefault="003206B7" w:rsidP="00284DC3">
      <w:pPr>
        <w:ind w:right="60"/>
        <w:textAlignment w:val="baseline"/>
        <w:rPr>
          <w:rFonts w:eastAsia="Times New Roman" w:cstheme="majorHAnsi"/>
        </w:rPr>
      </w:pPr>
      <w:r w:rsidRPr="00367C89">
        <w:rPr>
          <w:rFonts w:eastAsia="Times New Roman" w:cstheme="majorHAnsi"/>
        </w:rPr>
        <w:t>Depending on the scale and depth of concerns, interim review periods may be as brief as three months but should not exceed 18 months in duration. During the period of interim review, Sponsoring Organizations maintain the approval status they had prior to the start of the review.  </w:t>
      </w:r>
    </w:p>
    <w:p w14:paraId="2B5BC365" w14:textId="77777777" w:rsidR="003206B7" w:rsidRPr="00367C89" w:rsidRDefault="003206B7" w:rsidP="00284DC3">
      <w:pPr>
        <w:ind w:right="60"/>
        <w:textAlignment w:val="baseline"/>
        <w:rPr>
          <w:rFonts w:eastAsia="Times New Roman" w:cstheme="majorHAnsi"/>
        </w:rPr>
      </w:pPr>
      <w:r w:rsidRPr="00367C89">
        <w:rPr>
          <w:rFonts w:eastAsia="Times New Roman" w:cstheme="majorHAnsi"/>
        </w:rPr>
        <w:lastRenderedPageBreak/>
        <w:t> </w:t>
      </w:r>
    </w:p>
    <w:p w14:paraId="7A63D3D4" w14:textId="77777777" w:rsidR="003206B7" w:rsidRPr="00367C89" w:rsidRDefault="003206B7" w:rsidP="00284DC3">
      <w:pPr>
        <w:ind w:right="60"/>
        <w:textAlignment w:val="baseline"/>
        <w:rPr>
          <w:rFonts w:eastAsia="Times New Roman" w:cstheme="majorHAnsi"/>
        </w:rPr>
      </w:pPr>
      <w:r w:rsidRPr="00367C89">
        <w:rPr>
          <w:rFonts w:eastAsia="Times New Roman" w:cstheme="majorHAnsi"/>
        </w:rPr>
        <w:t>For interim reviews, DESE may engage external reviewers and/or entities to support the collection and analysis of evidence. DESE is responsible for identifying, vetting, and/or training reviewers. The number, background, and responsibilities of reviewers will vary based on the needs of the review. Decisions about changes to approval status or actions to be taken following an interim review remain the sole authority of the Commissioner.  </w:t>
      </w:r>
    </w:p>
    <w:p w14:paraId="62C2598F" w14:textId="77777777" w:rsidR="003206B7" w:rsidRPr="00367C89" w:rsidRDefault="003206B7" w:rsidP="00284DC3">
      <w:pPr>
        <w:ind w:right="60"/>
        <w:textAlignment w:val="baseline"/>
        <w:rPr>
          <w:rFonts w:eastAsia="Times New Roman" w:cstheme="majorHAnsi"/>
        </w:rPr>
      </w:pPr>
      <w:r w:rsidRPr="00367C89">
        <w:rPr>
          <w:rFonts w:eastAsia="Times New Roman" w:cstheme="majorHAnsi"/>
        </w:rPr>
        <w:t> </w:t>
      </w:r>
    </w:p>
    <w:p w14:paraId="54F2B25E" w14:textId="77777777" w:rsidR="003206B7" w:rsidRPr="00367C89" w:rsidRDefault="003206B7" w:rsidP="00367C89">
      <w:pPr>
        <w:ind w:right="60"/>
        <w:textAlignment w:val="baseline"/>
        <w:rPr>
          <w:rFonts w:eastAsia="Times New Roman" w:cstheme="majorHAnsi"/>
        </w:rPr>
      </w:pPr>
      <w:r w:rsidRPr="00367C89">
        <w:rPr>
          <w:rFonts w:eastAsia="Times New Roman" w:cstheme="majorHAnsi"/>
        </w:rPr>
        <w:t>An interim review could result in any of the following:  </w:t>
      </w:r>
    </w:p>
    <w:p w14:paraId="7DB19DCE" w14:textId="77777777" w:rsidR="003206B7" w:rsidRPr="00367C89" w:rsidRDefault="003206B7" w:rsidP="00367C89">
      <w:pPr>
        <w:numPr>
          <w:ilvl w:val="0"/>
          <w:numId w:val="26"/>
        </w:numPr>
        <w:ind w:left="1080" w:firstLine="0"/>
        <w:textAlignment w:val="baseline"/>
        <w:rPr>
          <w:rFonts w:eastAsia="Times New Roman" w:cstheme="majorHAnsi"/>
        </w:rPr>
      </w:pPr>
      <w:r w:rsidRPr="00367C89">
        <w:rPr>
          <w:rFonts w:eastAsia="Times New Roman" w:cstheme="majorHAnsi"/>
        </w:rPr>
        <w:t>Feedback for improvement </w:t>
      </w:r>
    </w:p>
    <w:p w14:paraId="21FFE9FD" w14:textId="77777777" w:rsidR="003206B7" w:rsidRPr="00367C89" w:rsidRDefault="003206B7" w:rsidP="00367C89">
      <w:pPr>
        <w:numPr>
          <w:ilvl w:val="0"/>
          <w:numId w:val="27"/>
        </w:numPr>
        <w:ind w:left="1080" w:firstLine="0"/>
        <w:textAlignment w:val="baseline"/>
        <w:rPr>
          <w:rFonts w:eastAsia="Times New Roman" w:cstheme="majorHAnsi"/>
        </w:rPr>
      </w:pPr>
      <w:r w:rsidRPr="00367C89">
        <w:rPr>
          <w:rFonts w:eastAsia="Times New Roman" w:cstheme="majorHAnsi"/>
        </w:rPr>
        <w:t>Conditions on continued approval </w:t>
      </w:r>
    </w:p>
    <w:p w14:paraId="71C05604" w14:textId="77777777" w:rsidR="003206B7" w:rsidRPr="00367C89" w:rsidRDefault="003206B7" w:rsidP="00367C89">
      <w:pPr>
        <w:numPr>
          <w:ilvl w:val="0"/>
          <w:numId w:val="27"/>
        </w:numPr>
        <w:ind w:left="1080" w:firstLine="0"/>
        <w:textAlignment w:val="baseline"/>
        <w:rPr>
          <w:rFonts w:eastAsia="Times New Roman" w:cstheme="majorHAnsi"/>
        </w:rPr>
      </w:pPr>
      <w:r w:rsidRPr="00367C89">
        <w:rPr>
          <w:rFonts w:eastAsia="Times New Roman" w:cstheme="majorHAnsi"/>
        </w:rPr>
        <w:t>Change to an approval status (e.g., Approved to Approved with Distinction) </w:t>
      </w:r>
    </w:p>
    <w:p w14:paraId="7AB0BFC0" w14:textId="77777777" w:rsidR="003206B7" w:rsidRPr="00367C89" w:rsidRDefault="003206B7" w:rsidP="00367C89">
      <w:pPr>
        <w:numPr>
          <w:ilvl w:val="0"/>
          <w:numId w:val="27"/>
        </w:numPr>
        <w:ind w:left="1080" w:firstLine="0"/>
        <w:textAlignment w:val="baseline"/>
        <w:rPr>
          <w:rFonts w:eastAsia="Times New Roman" w:cstheme="majorHAnsi"/>
        </w:rPr>
      </w:pPr>
      <w:r w:rsidRPr="00367C89">
        <w:rPr>
          <w:rFonts w:eastAsia="Times New Roman" w:cstheme="majorHAnsi"/>
        </w:rPr>
        <w:t xml:space="preserve">The addition or removal of an at-risk or low-performing status designation </w:t>
      </w:r>
    </w:p>
    <w:p w14:paraId="69B922F5" w14:textId="77777777" w:rsidR="003206B7" w:rsidRPr="00367C89" w:rsidRDefault="003206B7" w:rsidP="00367C89">
      <w:pPr>
        <w:numPr>
          <w:ilvl w:val="0"/>
          <w:numId w:val="27"/>
        </w:numPr>
        <w:ind w:left="1080" w:firstLine="0"/>
        <w:textAlignment w:val="baseline"/>
        <w:rPr>
          <w:rFonts w:eastAsia="Times New Roman" w:cstheme="majorHAnsi"/>
        </w:rPr>
      </w:pPr>
      <w:r w:rsidRPr="00367C89">
        <w:rPr>
          <w:rFonts w:eastAsia="Times New Roman" w:cstheme="majorHAnsi"/>
        </w:rPr>
        <w:t>Limited or restricted candidate enrollment </w:t>
      </w:r>
    </w:p>
    <w:p w14:paraId="7E7EF4BB" w14:textId="77777777" w:rsidR="003206B7" w:rsidRPr="00367C89" w:rsidRDefault="003206B7" w:rsidP="00367C89">
      <w:pPr>
        <w:numPr>
          <w:ilvl w:val="0"/>
          <w:numId w:val="27"/>
        </w:numPr>
        <w:ind w:left="1080" w:firstLine="0"/>
        <w:textAlignment w:val="baseline"/>
        <w:rPr>
          <w:rFonts w:eastAsia="Times New Roman" w:cstheme="majorHAnsi"/>
        </w:rPr>
      </w:pPr>
      <w:r w:rsidRPr="00367C89">
        <w:rPr>
          <w:rFonts w:eastAsia="Times New Roman" w:cstheme="majorHAnsi"/>
        </w:rPr>
        <w:t>Other required actions as determined by DESE </w:t>
      </w:r>
    </w:p>
    <w:p w14:paraId="677FA111" w14:textId="77777777" w:rsidR="003206B7" w:rsidRPr="00367C89" w:rsidRDefault="003206B7" w:rsidP="00367C89">
      <w:pPr>
        <w:ind w:right="60"/>
        <w:textAlignment w:val="baseline"/>
        <w:rPr>
          <w:rFonts w:eastAsia="Times New Roman" w:cstheme="majorHAnsi"/>
        </w:rPr>
      </w:pPr>
      <w:r w:rsidRPr="00367C89">
        <w:rPr>
          <w:rFonts w:eastAsia="Times New Roman" w:cstheme="majorHAnsi"/>
        </w:rPr>
        <w:t> </w:t>
      </w:r>
    </w:p>
    <w:p w14:paraId="26530230" w14:textId="6F722078" w:rsidR="003206B7" w:rsidRPr="00367C89" w:rsidRDefault="00742BB9" w:rsidP="00367C89">
      <w:pPr>
        <w:ind w:right="60"/>
        <w:textAlignment w:val="baseline"/>
        <w:rPr>
          <w:rFonts w:eastAsia="Times New Roman" w:cstheme="majorHAnsi"/>
        </w:rPr>
      </w:pPr>
      <w:r w:rsidRPr="00367C89">
        <w:rPr>
          <w:rFonts w:eastAsia="Times New Roman" w:cstheme="majorHAnsi"/>
        </w:rPr>
        <w:t>A</w:t>
      </w:r>
      <w:r w:rsidR="003206B7" w:rsidRPr="00367C89">
        <w:rPr>
          <w:rFonts w:eastAsia="Times New Roman" w:cstheme="majorHAnsi"/>
        </w:rPr>
        <w:t xml:space="preserve"> Sponsoring Organization may contest judgments or decisions </w:t>
      </w:r>
      <w:r w:rsidRPr="00367C89">
        <w:rPr>
          <w:rFonts w:eastAsia="Times New Roman" w:cstheme="majorHAnsi"/>
        </w:rPr>
        <w:t xml:space="preserve">made as a result of the interim review </w:t>
      </w:r>
      <w:r w:rsidR="003206B7" w:rsidRPr="00367C89">
        <w:rPr>
          <w:rFonts w:eastAsia="Times New Roman" w:cstheme="majorHAnsi"/>
        </w:rPr>
        <w:t>by submitting a rejoinder response within 30 days of receipt of the report. The rejoinder response must be submitted using a DESE-provided template to be provided upon request. DESE will review the rejoinder response and the Commissioner may modify the report and determinations solely at his/her/their discretion. </w:t>
      </w:r>
    </w:p>
    <w:p w14:paraId="5987AC53" w14:textId="77777777" w:rsidR="003206B7" w:rsidRPr="00367C89" w:rsidRDefault="003206B7" w:rsidP="00367C89">
      <w:pPr>
        <w:ind w:right="60"/>
        <w:textAlignment w:val="baseline"/>
        <w:rPr>
          <w:rFonts w:eastAsia="Times New Roman" w:cstheme="majorHAnsi"/>
        </w:rPr>
      </w:pPr>
      <w:r w:rsidRPr="00367C89">
        <w:rPr>
          <w:rFonts w:eastAsia="Times New Roman" w:cstheme="majorHAnsi"/>
        </w:rPr>
        <w:t> </w:t>
      </w:r>
    </w:p>
    <w:p w14:paraId="44EAD188" w14:textId="77777777" w:rsidR="003206B7" w:rsidRPr="00367C89" w:rsidRDefault="003206B7" w:rsidP="00367C89">
      <w:pPr>
        <w:ind w:right="60"/>
        <w:textAlignment w:val="baseline"/>
        <w:rPr>
          <w:rFonts w:eastAsia="Times New Roman" w:cstheme="majorHAnsi"/>
        </w:rPr>
      </w:pPr>
      <w:r w:rsidRPr="00367C89">
        <w:rPr>
          <w:rFonts w:eastAsia="Times New Roman" w:cstheme="majorHAnsi"/>
        </w:rPr>
        <w:t xml:space="preserve">If, in the most extreme cases, an interim review results in a Not Approved determination, the Sponsoring Organization shall have all rights of review required by </w:t>
      </w:r>
      <w:hyperlink r:id="rId51" w:tgtFrame="_blank" w:history="1">
        <w:r w:rsidRPr="005E6184">
          <w:rPr>
            <w:rFonts w:eastAsia="Times New Roman" w:cstheme="majorHAnsi"/>
            <w:color w:val="0000FF"/>
            <w:u w:val="single"/>
          </w:rPr>
          <w:t>G.L. c. 30A, s. 13</w:t>
        </w:r>
      </w:hyperlink>
      <w:r w:rsidRPr="005E6184">
        <w:rPr>
          <w:rFonts w:eastAsia="Times New Roman" w:cstheme="majorHAnsi"/>
        </w:rPr>
        <w:t xml:space="preserve"> and </w:t>
      </w:r>
      <w:hyperlink r:id="rId52" w:tgtFrame="_blank" w:history="1">
        <w:r w:rsidRPr="005E6184">
          <w:rPr>
            <w:rFonts w:eastAsia="Times New Roman" w:cstheme="majorHAnsi"/>
            <w:color w:val="0000FF"/>
            <w:u w:val="single"/>
          </w:rPr>
          <w:t>801 CMR 1.00</w:t>
        </w:r>
      </w:hyperlink>
      <w:r w:rsidRPr="005E6184">
        <w:rPr>
          <w:rFonts w:eastAsia="Times New Roman" w:cstheme="majorHAnsi"/>
        </w:rPr>
        <w:t>. All requests for hearings, where hearings are provided by statute, shall be in writing, addressed to the Commissioner, and must be received with</w:t>
      </w:r>
      <w:r w:rsidRPr="00090190">
        <w:rPr>
          <w:rFonts w:eastAsia="Times New Roman" w:cstheme="majorHAnsi"/>
        </w:rPr>
        <w:t>in 30 days of receipt by the Sponsoring Organization of the notice of approval determination. At such a hearing, the Sponsoring Organization shall bear the burden of proof and present its case first.</w:t>
      </w:r>
      <w:r w:rsidRPr="00367C89">
        <w:rPr>
          <w:rFonts w:eastAsia="Times New Roman" w:cstheme="majorHAnsi"/>
        </w:rPr>
        <w:t> </w:t>
      </w:r>
    </w:p>
    <w:p w14:paraId="55B9D2CC" w14:textId="77777777" w:rsidR="00815BCE" w:rsidRPr="00BA67B6" w:rsidRDefault="00815BCE" w:rsidP="003206B7">
      <w:pPr>
        <w:spacing w:line="240" w:lineRule="auto"/>
        <w:ind w:right="60"/>
        <w:textAlignment w:val="baseline"/>
        <w:rPr>
          <w:rFonts w:eastAsia="Times New Roman" w:cstheme="majorHAnsi"/>
          <w:sz w:val="24"/>
          <w:szCs w:val="24"/>
        </w:rPr>
      </w:pPr>
    </w:p>
    <w:p w14:paraId="609DB125" w14:textId="77777777" w:rsidR="003E2664" w:rsidRDefault="003E2664">
      <w:pPr>
        <w:rPr>
          <w:rFonts w:ascii="Calibri" w:hAnsi="Calibri"/>
          <w:b/>
          <w:color w:val="E36C0A" w:themeColor="accent6" w:themeShade="BF"/>
          <w:sz w:val="28"/>
          <w:szCs w:val="36"/>
        </w:rPr>
      </w:pPr>
      <w:bookmarkStart w:id="93" w:name="_Formal_Review"/>
      <w:bookmarkEnd w:id="93"/>
      <w:r>
        <w:br w:type="page"/>
      </w:r>
    </w:p>
    <w:p w14:paraId="6AE1564B" w14:textId="5C2A5F7A" w:rsidR="00815BCE" w:rsidRPr="00BA67B6" w:rsidRDefault="00815BCE">
      <w:pPr>
        <w:pStyle w:val="Heading2"/>
      </w:pPr>
      <w:bookmarkStart w:id="94" w:name="_Toc125574789"/>
      <w:bookmarkStart w:id="95" w:name="_Toc125575633"/>
      <w:r w:rsidRPr="00BA67B6">
        <w:lastRenderedPageBreak/>
        <w:t xml:space="preserve">Formal </w:t>
      </w:r>
      <w:r w:rsidRPr="00174ECC">
        <w:t>Review</w:t>
      </w:r>
      <w:bookmarkEnd w:id="94"/>
      <w:bookmarkEnd w:id="95"/>
    </w:p>
    <w:p w14:paraId="61B8608C" w14:textId="77777777" w:rsidR="00815BCE" w:rsidRPr="00090190" w:rsidRDefault="00815BCE" w:rsidP="005E6184">
      <w:pPr>
        <w:rPr>
          <w:rFonts w:eastAsia="Calibri" w:cstheme="majorHAnsi"/>
        </w:rPr>
      </w:pPr>
      <w:r w:rsidRPr="005E6184">
        <w:rPr>
          <w:rFonts w:eastAsia="Calibri" w:cstheme="majorHAnsi"/>
        </w:rPr>
        <w:t>Sponsoring Organizations with currently approved educator preparation programs nearing the end of their approval window</w:t>
      </w:r>
      <w:r w:rsidRPr="00090190">
        <w:rPr>
          <w:rFonts w:eastAsia="Calibri" w:cstheme="majorHAnsi"/>
        </w:rPr>
        <w:t xml:space="preserve"> that would like to continue operating programs are required to undergo a formal review</w:t>
      </w:r>
      <w:r w:rsidRPr="005E6184">
        <w:rPr>
          <w:rStyle w:val="FootnoteReference"/>
          <w:rFonts w:eastAsia="Calibri" w:cstheme="majorHAnsi"/>
        </w:rPr>
        <w:footnoteReference w:id="23"/>
      </w:r>
      <w:r w:rsidRPr="005E6184">
        <w:rPr>
          <w:rFonts w:eastAsia="Calibri" w:cstheme="majorHAnsi"/>
        </w:rPr>
        <w:t xml:space="preserve">. A periodic formal review ensures educator preparation programs’ continued growth and effectiveness beyond their initial approval. Sponsoring Organizations undergoing </w:t>
      </w:r>
      <w:r w:rsidRPr="00090190">
        <w:rPr>
          <w:rFonts w:eastAsia="Calibri" w:cstheme="majorHAnsi"/>
        </w:rPr>
        <w:t>formal review are grouped by cohort in accordance with their review cycle.</w:t>
      </w:r>
    </w:p>
    <w:p w14:paraId="795CCAE0" w14:textId="77777777" w:rsidR="00815BCE" w:rsidRPr="00090190" w:rsidRDefault="00815BCE" w:rsidP="005E6184">
      <w:pPr>
        <w:rPr>
          <w:rFonts w:eastAsia="Calibri" w:cstheme="majorHAnsi"/>
        </w:rPr>
      </w:pPr>
    </w:p>
    <w:p w14:paraId="77DFE26A" w14:textId="77777777" w:rsidR="00815BCE" w:rsidRPr="00014585" w:rsidRDefault="00815BCE" w:rsidP="005E6184">
      <w:pPr>
        <w:rPr>
          <w:rFonts w:eastAsia="Calibri" w:cstheme="majorHAnsi"/>
        </w:rPr>
      </w:pPr>
      <w:r w:rsidRPr="00090190">
        <w:rPr>
          <w:rFonts w:eastAsia="Calibri" w:cstheme="majorHAnsi"/>
        </w:rPr>
        <w:t xml:space="preserve">DESE’s goal is to implement a formal review process that is effective, efficient, consistent, and </w:t>
      </w:r>
      <w:bookmarkStart w:id="96" w:name="_Int_oj3WSZCL"/>
      <w:r w:rsidRPr="00014585">
        <w:rPr>
          <w:rFonts w:eastAsia="Calibri" w:cstheme="majorHAnsi"/>
        </w:rPr>
        <w:t>equity-driven</w:t>
      </w:r>
      <w:bookmarkEnd w:id="96"/>
      <w:r w:rsidRPr="00014585">
        <w:rPr>
          <w:rFonts w:eastAsia="Calibri" w:cstheme="majorHAnsi"/>
        </w:rPr>
        <w:t xml:space="preserve">. The process is designed to recognize Sponsoring Organizations’ varied contexts and structures, elevate stakeholder perspectives, gather a comprehensive evidence base for decision-making, and drive toward increasingly positive experiences and outcomes for all preparation candidates and the PK-12 students they impact as educators. </w:t>
      </w:r>
    </w:p>
    <w:p w14:paraId="62FE0433" w14:textId="77777777" w:rsidR="00815BCE" w:rsidRPr="00014585" w:rsidRDefault="00815BCE" w:rsidP="00090190">
      <w:pPr>
        <w:ind w:left="12"/>
        <w:rPr>
          <w:rFonts w:eastAsia="Calibri" w:cstheme="majorHAnsi"/>
        </w:rPr>
      </w:pPr>
    </w:p>
    <w:p w14:paraId="45F416EE" w14:textId="77777777" w:rsidR="00815BCE" w:rsidRPr="001F3F72" w:rsidRDefault="00815BCE" w:rsidP="00090190">
      <w:pPr>
        <w:ind w:left="12"/>
        <w:rPr>
          <w:rFonts w:eastAsia="Calibri" w:cstheme="majorHAnsi"/>
        </w:rPr>
      </w:pPr>
      <w:r w:rsidRPr="00014585">
        <w:rPr>
          <w:rFonts w:eastAsia="Calibri" w:cstheme="majorHAnsi"/>
        </w:rPr>
        <w:t>The formal review is a multi-step process characterized by four main stages: Launch, Initial Inquiry, Follow-Up Inquiry, and Determination. Over the course of these stages, each Sponsoring Organization has multiple opportunities to tell its story</w:t>
      </w:r>
      <w:r w:rsidRPr="00AC72D4">
        <w:rPr>
          <w:rFonts w:eastAsia="Calibri" w:cstheme="majorHAnsi"/>
        </w:rPr>
        <w:t xml:space="preserve"> – providing initial evidence as well as follow-up examples and context. Each formal review is led by a team consisting of a minimum of one DESE staff member and a group of e</w:t>
      </w:r>
      <w:r w:rsidRPr="00DD08F3">
        <w:rPr>
          <w:rFonts w:eastAsia="Calibri" w:cstheme="majorHAnsi"/>
        </w:rPr>
        <w:t>xternal reviewers from both educator preparation and PK-12 schools/districts.</w:t>
      </w:r>
    </w:p>
    <w:p w14:paraId="402092B6" w14:textId="77777777" w:rsidR="00815BCE" w:rsidRPr="001F3F72" w:rsidRDefault="00815BCE" w:rsidP="00090190">
      <w:pPr>
        <w:ind w:left="12"/>
        <w:rPr>
          <w:rFonts w:eastAsia="Calibri" w:cstheme="majorHAnsi"/>
        </w:rPr>
      </w:pPr>
    </w:p>
    <w:p w14:paraId="3CA91953" w14:textId="38745185" w:rsidR="00815BCE" w:rsidRPr="005E6184" w:rsidRDefault="00815BCE" w:rsidP="00090190">
      <w:pPr>
        <w:ind w:left="12"/>
        <w:rPr>
          <w:rFonts w:eastAsia="Calibri" w:cstheme="majorBidi"/>
        </w:rPr>
      </w:pPr>
      <w:r w:rsidRPr="510571BA">
        <w:rPr>
          <w:rFonts w:eastAsia="Calibri" w:cstheme="majorBidi"/>
        </w:rPr>
        <w:t xml:space="preserve">The table below outlines the high-level steps included in each stage of the process. Additional details about each step and supporting resources for organizations undergoing review are available within </w:t>
      </w:r>
      <w:hyperlink r:id="rId53">
        <w:r w:rsidR="00857C0F" w:rsidRPr="510571BA">
          <w:rPr>
            <w:rFonts w:eastAsia="Calibri" w:cstheme="majorBidi"/>
          </w:rPr>
          <w:t xml:space="preserve">the program approval toolkit for Formal </w:t>
        </w:r>
        <w:r w:rsidR="005B2649" w:rsidRPr="510571BA">
          <w:rPr>
            <w:rFonts w:eastAsia="Calibri" w:cstheme="majorBidi"/>
          </w:rPr>
          <w:t>review</w:t>
        </w:r>
      </w:hyperlink>
      <w:r w:rsidRPr="510571BA">
        <w:rPr>
          <w:rFonts w:eastAsia="Calibri" w:cstheme="majorBidi"/>
        </w:rPr>
        <w:t xml:space="preserve">. Between cohorts, DESE takes </w:t>
      </w:r>
      <w:r w:rsidR="00C6698B" w:rsidRPr="510571BA">
        <w:rPr>
          <w:rFonts w:eastAsia="Calibri" w:cstheme="majorBidi"/>
        </w:rPr>
        <w:t xml:space="preserve">necessary </w:t>
      </w:r>
      <w:r w:rsidR="1562FB25" w:rsidRPr="08865FBE">
        <w:rPr>
          <w:rFonts w:eastAsia="Calibri" w:cstheme="majorBidi"/>
        </w:rPr>
        <w:t>pauses for self-reflection and equity</w:t>
      </w:r>
      <w:r w:rsidRPr="510571BA">
        <w:rPr>
          <w:rFonts w:eastAsia="Calibri" w:cstheme="majorBidi"/>
        </w:rPr>
        <w:t xml:space="preserve">, solicits feedback, and makes shifts to the formal review toolkit as needed to ensure that the formal review process </w:t>
      </w:r>
      <w:r w:rsidRPr="510571BA" w:rsidDel="00541771">
        <w:rPr>
          <w:rFonts w:eastAsia="Calibri" w:cstheme="majorBidi"/>
        </w:rPr>
        <w:t xml:space="preserve">is </w:t>
      </w:r>
      <w:r w:rsidR="00541771" w:rsidRPr="510571BA">
        <w:rPr>
          <w:rFonts w:eastAsia="Calibri" w:cstheme="majorBidi"/>
        </w:rPr>
        <w:t>effective, efficient, consistent, and equity-driven</w:t>
      </w:r>
      <w:r w:rsidRPr="510571BA">
        <w:rPr>
          <w:rFonts w:eastAsia="Calibri" w:cstheme="majorBidi"/>
        </w:rPr>
        <w:t xml:space="preserve">. </w:t>
      </w:r>
      <w:r w:rsidRPr="510571BA">
        <w:rPr>
          <w:rFonts w:eastAsia="Calibri" w:cstheme="majorBidi"/>
          <w:i/>
        </w:rPr>
        <w:t xml:space="preserve">(Please note, the resources on this webpage are not yet reflective of the </w:t>
      </w:r>
      <w:r w:rsidR="00857C0F" w:rsidRPr="510571BA">
        <w:rPr>
          <w:rFonts w:eastAsia="Calibri" w:cstheme="majorBidi"/>
          <w:i/>
        </w:rPr>
        <w:t>2023</w:t>
      </w:r>
      <w:r w:rsidR="00541771" w:rsidRPr="510571BA">
        <w:rPr>
          <w:rFonts w:eastAsia="Calibri" w:cstheme="majorBidi"/>
          <w:i/>
        </w:rPr>
        <w:t xml:space="preserve"> Guidelines</w:t>
      </w:r>
      <w:r w:rsidRPr="510571BA">
        <w:rPr>
          <w:rFonts w:eastAsia="Calibri" w:cstheme="majorBidi"/>
          <w:i/>
        </w:rPr>
        <w:t>. They will be updated prior to the launch of reviews).</w:t>
      </w:r>
    </w:p>
    <w:p w14:paraId="3E3D4A63" w14:textId="77777777" w:rsidR="00815BCE" w:rsidRPr="00BA67B6" w:rsidRDefault="00815BCE" w:rsidP="00815BCE">
      <w:pPr>
        <w:spacing w:line="240" w:lineRule="auto"/>
        <w:rPr>
          <w:rFonts w:eastAsia="Calibri" w:cstheme="majorHAnsi"/>
          <w:sz w:val="24"/>
          <w:szCs w:val="24"/>
        </w:rPr>
      </w:pPr>
      <w:r w:rsidRPr="00BA67B6">
        <w:rPr>
          <w:rFonts w:eastAsia="Calibri" w:cstheme="majorHAnsi"/>
          <w:i/>
          <w:iCs/>
          <w:sz w:val="24"/>
          <w:szCs w:val="24"/>
        </w:rPr>
        <w:t xml:space="preserve">    </w:t>
      </w:r>
      <w:r w:rsidRPr="00BA67B6">
        <w:rPr>
          <w:rFonts w:eastAsia="Calibri" w:cstheme="majorHAnsi"/>
          <w:sz w:val="24"/>
          <w:szCs w:val="24"/>
        </w:rPr>
        <w:t xml:space="preserve"> </w:t>
      </w:r>
    </w:p>
    <w:tbl>
      <w:tblPr>
        <w:tblStyle w:val="GridTable2-Accent1"/>
        <w:tblW w:w="9645" w:type="dxa"/>
        <w:tblLayout w:type="fixed"/>
        <w:tblLook w:val="04A0" w:firstRow="1" w:lastRow="0" w:firstColumn="1" w:lastColumn="0" w:noHBand="0" w:noVBand="1"/>
      </w:tblPr>
      <w:tblGrid>
        <w:gridCol w:w="1710"/>
        <w:gridCol w:w="1650"/>
        <w:gridCol w:w="1680"/>
        <w:gridCol w:w="4605"/>
      </w:tblGrid>
      <w:tr w:rsidR="00815BCE" w:rsidRPr="003E2664" w14:paraId="56B98EE1" w14:textId="77777777" w:rsidTr="00C631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505B8B82" w14:textId="77777777" w:rsidR="00815BCE" w:rsidRPr="005E6184" w:rsidRDefault="00815BCE" w:rsidP="00D17218">
            <w:pPr>
              <w:rPr>
                <w:rFonts w:eastAsia="Calibri" w:cstheme="majorHAnsi"/>
                <w:color w:val="000000" w:themeColor="text1"/>
              </w:rPr>
            </w:pPr>
            <w:r w:rsidRPr="005E6184">
              <w:rPr>
                <w:rFonts w:eastAsia="Calibri" w:cstheme="majorHAnsi"/>
                <w:color w:val="000000" w:themeColor="text1"/>
              </w:rPr>
              <w:t>Stage</w:t>
            </w:r>
          </w:p>
        </w:tc>
        <w:tc>
          <w:tcPr>
            <w:tcW w:w="1650" w:type="dxa"/>
          </w:tcPr>
          <w:p w14:paraId="6303E85F" w14:textId="77777777" w:rsidR="00815BCE" w:rsidRPr="00090190" w:rsidRDefault="00815BCE" w:rsidP="00D17218">
            <w:pPr>
              <w:cnfStyle w:val="100000000000" w:firstRow="1" w:lastRow="0" w:firstColumn="0" w:lastColumn="0" w:oddVBand="0" w:evenVBand="0" w:oddHBand="0" w:evenHBand="0" w:firstRowFirstColumn="0" w:firstRowLastColumn="0" w:lastRowFirstColumn="0" w:lastRowLastColumn="0"/>
              <w:rPr>
                <w:rFonts w:eastAsia="Calibri" w:cstheme="majorHAnsi"/>
                <w:color w:val="000000" w:themeColor="text1"/>
              </w:rPr>
            </w:pPr>
            <w:r w:rsidRPr="00090190">
              <w:rPr>
                <w:rFonts w:eastAsia="Calibri" w:cstheme="majorHAnsi"/>
                <w:color w:val="000000" w:themeColor="text1"/>
              </w:rPr>
              <w:t>Step</w:t>
            </w:r>
          </w:p>
        </w:tc>
        <w:tc>
          <w:tcPr>
            <w:tcW w:w="1680" w:type="dxa"/>
          </w:tcPr>
          <w:p w14:paraId="27F65ECD" w14:textId="77777777" w:rsidR="00815BCE" w:rsidRPr="005E6184" w:rsidRDefault="00815BCE" w:rsidP="00D17218">
            <w:pPr>
              <w:cnfStyle w:val="100000000000" w:firstRow="1" w:lastRow="0" w:firstColumn="0" w:lastColumn="0" w:oddVBand="0" w:evenVBand="0" w:oddHBand="0" w:evenHBand="0" w:firstRowFirstColumn="0" w:firstRowLastColumn="0" w:lastRowFirstColumn="0" w:lastRowLastColumn="0"/>
              <w:rPr>
                <w:rFonts w:eastAsia="Calibri" w:cstheme="majorHAnsi"/>
                <w:color w:val="000000" w:themeColor="text1"/>
              </w:rPr>
            </w:pPr>
            <w:r w:rsidRPr="00090190">
              <w:rPr>
                <w:rFonts w:eastAsia="Calibri" w:cstheme="majorHAnsi"/>
                <w:color w:val="000000" w:themeColor="text1"/>
              </w:rPr>
              <w:t>Timing</w:t>
            </w:r>
            <w:r w:rsidRPr="005E6184">
              <w:rPr>
                <w:rStyle w:val="FootnoteReference"/>
                <w:rFonts w:eastAsia="Calibri" w:cstheme="majorHAnsi"/>
                <w:color w:val="000000" w:themeColor="text1"/>
              </w:rPr>
              <w:footnoteReference w:id="24"/>
            </w:r>
          </w:p>
        </w:tc>
        <w:tc>
          <w:tcPr>
            <w:tcW w:w="4605" w:type="dxa"/>
          </w:tcPr>
          <w:p w14:paraId="319FB398" w14:textId="77777777" w:rsidR="00815BCE" w:rsidRPr="00090190" w:rsidRDefault="00815BCE" w:rsidP="00D17218">
            <w:pPr>
              <w:cnfStyle w:val="100000000000" w:firstRow="1" w:lastRow="0" w:firstColumn="0" w:lastColumn="0" w:oddVBand="0" w:evenVBand="0" w:oddHBand="0" w:evenHBand="0" w:firstRowFirstColumn="0" w:firstRowLastColumn="0" w:lastRowFirstColumn="0" w:lastRowLastColumn="0"/>
              <w:rPr>
                <w:rFonts w:eastAsia="Calibri" w:cstheme="majorHAnsi"/>
                <w:color w:val="000000" w:themeColor="text1"/>
              </w:rPr>
            </w:pPr>
            <w:r w:rsidRPr="00090190">
              <w:rPr>
                <w:rFonts w:eastAsia="Calibri" w:cstheme="majorHAnsi"/>
                <w:color w:val="000000" w:themeColor="text1"/>
              </w:rPr>
              <w:t>Description of Activities</w:t>
            </w:r>
          </w:p>
        </w:tc>
      </w:tr>
      <w:tr w:rsidR="00815BCE" w:rsidRPr="003E2664" w14:paraId="01A1BE68" w14:textId="77777777" w:rsidTr="00C63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27AB4494" w14:textId="77777777" w:rsidR="00815BCE" w:rsidRPr="005E6184" w:rsidRDefault="00815BCE" w:rsidP="00D17218">
            <w:pPr>
              <w:rPr>
                <w:rFonts w:eastAsia="Calibri" w:cstheme="majorHAnsi"/>
              </w:rPr>
            </w:pPr>
            <w:r w:rsidRPr="005E6184">
              <w:rPr>
                <w:rFonts w:eastAsia="Calibri" w:cstheme="majorHAnsi"/>
              </w:rPr>
              <w:t>Launch</w:t>
            </w:r>
          </w:p>
        </w:tc>
        <w:tc>
          <w:tcPr>
            <w:tcW w:w="1650" w:type="dxa"/>
          </w:tcPr>
          <w:p w14:paraId="70729863" w14:textId="77777777" w:rsidR="00815BCE" w:rsidRPr="00090190" w:rsidRDefault="00815BCE" w:rsidP="00D17218">
            <w:pPr>
              <w:cnfStyle w:val="000000100000" w:firstRow="0" w:lastRow="0" w:firstColumn="0" w:lastColumn="0" w:oddVBand="0" w:evenVBand="0" w:oddHBand="1" w:evenHBand="0" w:firstRowFirstColumn="0" w:firstRowLastColumn="0" w:lastRowFirstColumn="0" w:lastRowLastColumn="0"/>
              <w:rPr>
                <w:rFonts w:eastAsia="Calibri" w:cstheme="majorHAnsi"/>
              </w:rPr>
            </w:pPr>
            <w:r w:rsidRPr="00090190">
              <w:rPr>
                <w:rFonts w:eastAsia="Calibri" w:cstheme="majorHAnsi"/>
              </w:rPr>
              <w:t>Initiation</w:t>
            </w:r>
          </w:p>
        </w:tc>
        <w:tc>
          <w:tcPr>
            <w:tcW w:w="1680" w:type="dxa"/>
          </w:tcPr>
          <w:p w14:paraId="774CF7C3" w14:textId="77777777" w:rsidR="00815BCE" w:rsidRPr="00014585" w:rsidRDefault="00815BCE" w:rsidP="00D17218">
            <w:pPr>
              <w:cnfStyle w:val="000000100000" w:firstRow="0" w:lastRow="0" w:firstColumn="0" w:lastColumn="0" w:oddVBand="0" w:evenVBand="0" w:oddHBand="1" w:evenHBand="0" w:firstRowFirstColumn="0" w:firstRowLastColumn="0" w:lastRowFirstColumn="0" w:lastRowLastColumn="0"/>
              <w:rPr>
                <w:rFonts w:eastAsia="Calibri" w:cstheme="majorHAnsi"/>
              </w:rPr>
            </w:pPr>
            <w:r w:rsidRPr="00090190">
              <w:rPr>
                <w:rFonts w:eastAsia="Calibri" w:cstheme="majorHAnsi"/>
              </w:rPr>
              <w:t>One year before launch</w:t>
            </w:r>
          </w:p>
        </w:tc>
        <w:tc>
          <w:tcPr>
            <w:tcW w:w="4605" w:type="dxa"/>
          </w:tcPr>
          <w:p w14:paraId="5EC9DFF6" w14:textId="77777777" w:rsidR="00815BCE" w:rsidRPr="00090190" w:rsidRDefault="00815BCE" w:rsidP="00D17218">
            <w:pPr>
              <w:cnfStyle w:val="000000100000" w:firstRow="0" w:lastRow="0" w:firstColumn="0" w:lastColumn="0" w:oddVBand="0" w:evenVBand="0" w:oddHBand="1" w:evenHBand="0" w:firstRowFirstColumn="0" w:firstRowLastColumn="0" w:lastRowFirstColumn="0" w:lastRowLastColumn="0"/>
              <w:rPr>
                <w:rFonts w:eastAsia="Calibri" w:cstheme="majorHAnsi"/>
              </w:rPr>
            </w:pPr>
            <w:r w:rsidRPr="00014585">
              <w:rPr>
                <w:rFonts w:eastAsia="Calibri" w:cstheme="majorHAnsi"/>
              </w:rPr>
              <w:t>Sponsoring Organizations whose programs are nearing the end of their approval period are contacted by DESE and notified of the need for a formal review</w:t>
            </w:r>
            <w:r w:rsidRPr="005E6184">
              <w:rPr>
                <w:rStyle w:val="FootnoteReference"/>
                <w:rFonts w:eastAsia="Calibri" w:cstheme="majorHAnsi"/>
              </w:rPr>
              <w:footnoteReference w:id="25"/>
            </w:r>
            <w:r w:rsidRPr="005E6184">
              <w:rPr>
                <w:rFonts w:eastAsia="Calibri" w:cstheme="majorHAnsi"/>
              </w:rPr>
              <w:t xml:space="preserve">. This communication formally </w:t>
            </w:r>
            <w:r w:rsidRPr="005E6184">
              <w:rPr>
                <w:rFonts w:eastAsia="Calibri" w:cstheme="majorHAnsi"/>
              </w:rPr>
              <w:lastRenderedPageBreak/>
              <w:t xml:space="preserve">launches the review and includes a timeline </w:t>
            </w:r>
            <w:r w:rsidRPr="00090190">
              <w:rPr>
                <w:rFonts w:eastAsia="Calibri" w:cstheme="majorHAnsi"/>
              </w:rPr>
              <w:t>and overview of the process.</w:t>
            </w:r>
          </w:p>
        </w:tc>
      </w:tr>
      <w:tr w:rsidR="00815BCE" w:rsidRPr="003E2664" w14:paraId="1F716517" w14:textId="77777777" w:rsidTr="00C631CC">
        <w:tc>
          <w:tcPr>
            <w:cnfStyle w:val="001000000000" w:firstRow="0" w:lastRow="0" w:firstColumn="1" w:lastColumn="0" w:oddVBand="0" w:evenVBand="0" w:oddHBand="0" w:evenHBand="0" w:firstRowFirstColumn="0" w:firstRowLastColumn="0" w:lastRowFirstColumn="0" w:lastRowLastColumn="0"/>
            <w:tcW w:w="1710" w:type="dxa"/>
          </w:tcPr>
          <w:p w14:paraId="35124DAF" w14:textId="579B7E4B" w:rsidR="00815BCE" w:rsidRPr="005E6184" w:rsidRDefault="00263145" w:rsidP="00D17218">
            <w:pPr>
              <w:rPr>
                <w:rFonts w:cstheme="majorHAnsi"/>
              </w:rPr>
            </w:pPr>
            <w:r w:rsidRPr="005E6184">
              <w:rPr>
                <w:rFonts w:cstheme="majorHAnsi"/>
              </w:rPr>
              <w:lastRenderedPageBreak/>
              <w:t>Launch</w:t>
            </w:r>
          </w:p>
        </w:tc>
        <w:tc>
          <w:tcPr>
            <w:tcW w:w="1650" w:type="dxa"/>
          </w:tcPr>
          <w:p w14:paraId="1A3B0B5E" w14:textId="77777777" w:rsidR="00815BCE" w:rsidRPr="00090190" w:rsidRDefault="00815BCE" w:rsidP="00D17218">
            <w:pPr>
              <w:cnfStyle w:val="000000000000" w:firstRow="0" w:lastRow="0" w:firstColumn="0" w:lastColumn="0" w:oddVBand="0" w:evenVBand="0" w:oddHBand="0" w:evenHBand="0" w:firstRowFirstColumn="0" w:firstRowLastColumn="0" w:lastRowFirstColumn="0" w:lastRowLastColumn="0"/>
              <w:rPr>
                <w:rFonts w:eastAsia="Calibri" w:cstheme="majorHAnsi"/>
              </w:rPr>
            </w:pPr>
            <w:r w:rsidRPr="00090190">
              <w:rPr>
                <w:rFonts w:eastAsia="Calibri" w:cstheme="majorHAnsi"/>
              </w:rPr>
              <w:t>Review Cohort Launch Session</w:t>
            </w:r>
          </w:p>
        </w:tc>
        <w:tc>
          <w:tcPr>
            <w:tcW w:w="1680" w:type="dxa"/>
          </w:tcPr>
          <w:p w14:paraId="662FDD7D" w14:textId="77777777" w:rsidR="00815BCE" w:rsidRPr="00090190" w:rsidRDefault="00815BCE" w:rsidP="00D17218">
            <w:pPr>
              <w:cnfStyle w:val="000000000000" w:firstRow="0" w:lastRow="0" w:firstColumn="0" w:lastColumn="0" w:oddVBand="0" w:evenVBand="0" w:oddHBand="0" w:evenHBand="0" w:firstRowFirstColumn="0" w:firstRowLastColumn="0" w:lastRowFirstColumn="0" w:lastRowLastColumn="0"/>
              <w:rPr>
                <w:rFonts w:eastAsia="Calibri" w:cstheme="majorHAnsi"/>
              </w:rPr>
            </w:pPr>
            <w:r w:rsidRPr="00090190">
              <w:rPr>
                <w:rFonts w:eastAsia="Calibri" w:cstheme="majorHAnsi"/>
              </w:rPr>
              <w:t xml:space="preserve"> Month 1</w:t>
            </w:r>
          </w:p>
        </w:tc>
        <w:tc>
          <w:tcPr>
            <w:tcW w:w="4605" w:type="dxa"/>
          </w:tcPr>
          <w:p w14:paraId="5550FFC7" w14:textId="77777777" w:rsidR="00815BCE" w:rsidRPr="00014585" w:rsidRDefault="00815BCE" w:rsidP="00D17218">
            <w:pPr>
              <w:cnfStyle w:val="000000000000" w:firstRow="0" w:lastRow="0" w:firstColumn="0" w:lastColumn="0" w:oddVBand="0" w:evenVBand="0" w:oddHBand="0" w:evenHBand="0" w:firstRowFirstColumn="0" w:firstRowLastColumn="0" w:lastRowFirstColumn="0" w:lastRowLastColumn="0"/>
              <w:rPr>
                <w:rFonts w:eastAsia="Calibri" w:cstheme="majorHAnsi"/>
              </w:rPr>
            </w:pPr>
            <w:r w:rsidRPr="00014585">
              <w:rPr>
                <w:rFonts w:eastAsia="Calibri" w:cstheme="majorHAnsi"/>
              </w:rPr>
              <w:t>DESE hosts a full-day launch session for all Sponsoring Organizations undergoing review. The session provides a more detailed overview of the review process, timeline, evidence sources, and guidance for the initial submission materials.</w:t>
            </w:r>
          </w:p>
        </w:tc>
      </w:tr>
      <w:tr w:rsidR="00815BCE" w:rsidRPr="003E2664" w14:paraId="0882035C" w14:textId="77777777" w:rsidTr="00C63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5C3FD721" w14:textId="203E691A" w:rsidR="00815BCE" w:rsidRPr="005E6184" w:rsidRDefault="00263145" w:rsidP="00D17218">
            <w:pPr>
              <w:rPr>
                <w:rFonts w:cstheme="majorHAnsi"/>
              </w:rPr>
            </w:pPr>
            <w:r w:rsidRPr="005E6184">
              <w:rPr>
                <w:rFonts w:cstheme="majorHAnsi"/>
              </w:rPr>
              <w:t>Launch</w:t>
            </w:r>
          </w:p>
        </w:tc>
        <w:tc>
          <w:tcPr>
            <w:tcW w:w="1650" w:type="dxa"/>
          </w:tcPr>
          <w:p w14:paraId="182CFA89" w14:textId="77777777" w:rsidR="00815BCE" w:rsidRPr="00090190" w:rsidRDefault="00815BCE" w:rsidP="00D17218">
            <w:pPr>
              <w:cnfStyle w:val="000000100000" w:firstRow="0" w:lastRow="0" w:firstColumn="0" w:lastColumn="0" w:oddVBand="0" w:evenVBand="0" w:oddHBand="1" w:evenHBand="0" w:firstRowFirstColumn="0" w:firstRowLastColumn="0" w:lastRowFirstColumn="0" w:lastRowLastColumn="0"/>
              <w:rPr>
                <w:rFonts w:eastAsia="Calibri" w:cstheme="majorHAnsi"/>
              </w:rPr>
            </w:pPr>
            <w:r w:rsidRPr="00090190">
              <w:rPr>
                <w:rFonts w:eastAsia="Calibri" w:cstheme="majorHAnsi"/>
              </w:rPr>
              <w:t>Launch Worksheet</w:t>
            </w:r>
          </w:p>
        </w:tc>
        <w:tc>
          <w:tcPr>
            <w:tcW w:w="1680" w:type="dxa"/>
          </w:tcPr>
          <w:p w14:paraId="109422AE" w14:textId="77777777" w:rsidR="00815BCE" w:rsidRPr="00090190" w:rsidRDefault="00815BCE" w:rsidP="00D17218">
            <w:pPr>
              <w:cnfStyle w:val="000000100000" w:firstRow="0" w:lastRow="0" w:firstColumn="0" w:lastColumn="0" w:oddVBand="0" w:evenVBand="0" w:oddHBand="1" w:evenHBand="0" w:firstRowFirstColumn="0" w:firstRowLastColumn="0" w:lastRowFirstColumn="0" w:lastRowLastColumn="0"/>
              <w:rPr>
                <w:rFonts w:eastAsia="Calibri" w:cstheme="majorHAnsi"/>
              </w:rPr>
            </w:pPr>
            <w:r w:rsidRPr="00090190">
              <w:rPr>
                <w:rFonts w:eastAsia="Calibri" w:cstheme="majorHAnsi"/>
              </w:rPr>
              <w:t>Month 1 (two weeks to complete)</w:t>
            </w:r>
          </w:p>
        </w:tc>
        <w:tc>
          <w:tcPr>
            <w:tcW w:w="4605" w:type="dxa"/>
          </w:tcPr>
          <w:p w14:paraId="1E031693" w14:textId="77777777" w:rsidR="00815BCE" w:rsidRPr="00014585" w:rsidRDefault="00815BCE" w:rsidP="00D17218">
            <w:pPr>
              <w:cnfStyle w:val="000000100000" w:firstRow="0" w:lastRow="0" w:firstColumn="0" w:lastColumn="0" w:oddVBand="0" w:evenVBand="0" w:oddHBand="1" w:evenHBand="0" w:firstRowFirstColumn="0" w:firstRowLastColumn="0" w:lastRowFirstColumn="0" w:lastRowLastColumn="0"/>
              <w:rPr>
                <w:rFonts w:eastAsia="Calibri" w:cstheme="majorHAnsi"/>
                <w:color w:val="000000" w:themeColor="text1"/>
              </w:rPr>
            </w:pPr>
            <w:r w:rsidRPr="00014585">
              <w:rPr>
                <w:rFonts w:eastAsia="Calibri" w:cstheme="majorHAnsi"/>
                <w:color w:val="000000" w:themeColor="text1"/>
              </w:rPr>
              <w:t xml:space="preserve">The Sponsoring Organization completes a brief worksheet to provide foundational context about its programs, which enables DESE to adjust surveys, focus groups, and interviews based on the organization’s unique structure. </w:t>
            </w:r>
          </w:p>
          <w:p w14:paraId="7785C311" w14:textId="77777777" w:rsidR="00815BCE" w:rsidRPr="00014585" w:rsidRDefault="00815BCE" w:rsidP="00D17218">
            <w:pPr>
              <w:cnfStyle w:val="000000100000" w:firstRow="0" w:lastRow="0" w:firstColumn="0" w:lastColumn="0" w:oddVBand="0" w:evenVBand="0" w:oddHBand="1" w:evenHBand="0" w:firstRowFirstColumn="0" w:firstRowLastColumn="0" w:lastRowFirstColumn="0" w:lastRowLastColumn="0"/>
              <w:rPr>
                <w:rFonts w:eastAsia="Calibri" w:cstheme="majorHAnsi"/>
                <w:color w:val="000000" w:themeColor="text1"/>
              </w:rPr>
            </w:pPr>
          </w:p>
          <w:p w14:paraId="61994FD2" w14:textId="52FFA7B7" w:rsidR="00815BCE" w:rsidRPr="00284DC3" w:rsidRDefault="00815BCE" w:rsidP="00D17218">
            <w:pPr>
              <w:cnfStyle w:val="000000100000" w:firstRow="0" w:lastRow="0" w:firstColumn="0" w:lastColumn="0" w:oddVBand="0" w:evenVBand="0" w:oddHBand="1" w:evenHBand="0" w:firstRowFirstColumn="0" w:firstRowLastColumn="0" w:lastRowFirstColumn="0" w:lastRowLastColumn="0"/>
              <w:rPr>
                <w:rFonts w:eastAsia="Calibri" w:cstheme="majorHAnsi"/>
              </w:rPr>
            </w:pPr>
            <w:r w:rsidRPr="00014585">
              <w:rPr>
                <w:rFonts w:eastAsia="Calibri" w:cstheme="majorHAnsi"/>
                <w:b/>
                <w:bCs/>
                <w:u w:val="single"/>
              </w:rPr>
              <w:t xml:space="preserve">Existing Programs Under Review. </w:t>
            </w:r>
            <w:r w:rsidRPr="00014585">
              <w:rPr>
                <w:rFonts w:eastAsia="Calibri" w:cstheme="majorHAnsi"/>
              </w:rPr>
              <w:t>DESE provides the Sponsoring Organization with a list of programs with a low number of completers over the three years preceding review. The Spo</w:t>
            </w:r>
            <w:r w:rsidRPr="00AC72D4">
              <w:rPr>
                <w:rFonts w:eastAsia="Calibri" w:cstheme="majorHAnsi"/>
              </w:rPr>
              <w:t xml:space="preserve">nsoring Organization may complete a </w:t>
            </w:r>
            <w:r w:rsidR="00603718" w:rsidRPr="00DD08F3">
              <w:rPr>
                <w:rFonts w:cstheme="majorHAnsi"/>
              </w:rPr>
              <w:t>Needs Assessment</w:t>
            </w:r>
            <w:r w:rsidRPr="001F3F72">
              <w:rPr>
                <w:rFonts w:eastAsia="Calibri" w:cstheme="majorHAnsi"/>
              </w:rPr>
              <w:t xml:space="preserve"> for these licensure programs to confirm there is need and the Sponsoring Organization has the capacity to fill that need, despite low enrollment in recent years. If the Sponsoring Organization chooses not to complete a Needs Assessment or if insufficient need or capacity is demonstrated for any of these programs, DESE expires them at the conclusion of the formal review, </w:t>
            </w:r>
            <w:bookmarkStart w:id="97" w:name="_Int_vmMQ38ot"/>
            <w:r w:rsidRPr="001F3F72">
              <w:rPr>
                <w:rFonts w:eastAsia="Calibri" w:cstheme="majorHAnsi"/>
              </w:rPr>
              <w:t>with the exception of</w:t>
            </w:r>
            <w:bookmarkEnd w:id="97"/>
            <w:r w:rsidRPr="001F3F72">
              <w:rPr>
                <w:rFonts w:eastAsia="Calibri" w:cstheme="majorHAnsi"/>
              </w:rPr>
              <w:t xml:space="preserve"> programs identified as “high-needs” by DESE (these programs are eligible to continue to operate with an affidavit). </w:t>
            </w:r>
          </w:p>
          <w:p w14:paraId="519813D0" w14:textId="77777777" w:rsidR="00815BCE" w:rsidRPr="00284DC3" w:rsidRDefault="00815BCE" w:rsidP="00D17218">
            <w:pPr>
              <w:cnfStyle w:val="000000100000" w:firstRow="0" w:lastRow="0" w:firstColumn="0" w:lastColumn="0" w:oddVBand="0" w:evenVBand="0" w:oddHBand="1" w:evenHBand="0" w:firstRowFirstColumn="0" w:firstRowLastColumn="0" w:lastRowFirstColumn="0" w:lastRowLastColumn="0"/>
              <w:rPr>
                <w:rFonts w:eastAsia="Calibri" w:cstheme="majorHAnsi"/>
              </w:rPr>
            </w:pPr>
          </w:p>
          <w:p w14:paraId="523CFB50" w14:textId="7FF0F972" w:rsidR="00815BCE" w:rsidRPr="00090190" w:rsidRDefault="00815BCE" w:rsidP="00D17218">
            <w:pPr>
              <w:cnfStyle w:val="000000100000" w:firstRow="0" w:lastRow="0" w:firstColumn="0" w:lastColumn="0" w:oddVBand="0" w:evenVBand="0" w:oddHBand="1" w:evenHBand="0" w:firstRowFirstColumn="0" w:firstRowLastColumn="0" w:lastRowFirstColumn="0" w:lastRowLastColumn="0"/>
              <w:rPr>
                <w:rFonts w:eastAsia="Calibri" w:cstheme="majorHAnsi"/>
              </w:rPr>
            </w:pPr>
            <w:r w:rsidRPr="00284DC3">
              <w:rPr>
                <w:rFonts w:eastAsia="Calibri" w:cstheme="majorHAnsi"/>
                <w:b/>
                <w:bCs/>
                <w:u w:val="single"/>
              </w:rPr>
              <w:t>Proposed New Programs</w:t>
            </w:r>
            <w:r w:rsidRPr="00284DC3">
              <w:rPr>
                <w:rFonts w:eastAsia="Calibri" w:cstheme="majorHAnsi"/>
                <w:b/>
                <w:bCs/>
              </w:rPr>
              <w:t xml:space="preserve">. </w:t>
            </w:r>
            <w:r w:rsidRPr="00284DC3">
              <w:rPr>
                <w:rFonts w:eastAsia="Calibri" w:cstheme="majorHAnsi"/>
              </w:rPr>
              <w:t xml:space="preserve">The Sponsoring Organization </w:t>
            </w:r>
            <w:r w:rsidRPr="005E6184">
              <w:rPr>
                <w:rFonts w:eastAsia="Calibri" w:cstheme="majorHAnsi"/>
              </w:rPr>
              <w:t xml:space="preserve">can decide to put forward new programs at this time. Sponsoring Organizations must complete a Needs Assessment for all new programs, </w:t>
            </w:r>
            <w:bookmarkStart w:id="98" w:name="_Int_ZGNEPiRu"/>
            <w:r w:rsidRPr="005E6184">
              <w:rPr>
                <w:rFonts w:eastAsia="Calibri" w:cstheme="majorHAnsi"/>
              </w:rPr>
              <w:t>with the exception of</w:t>
            </w:r>
            <w:bookmarkEnd w:id="98"/>
            <w:r w:rsidRPr="005E6184">
              <w:rPr>
                <w:rFonts w:eastAsia="Calibri" w:cstheme="majorHAnsi"/>
              </w:rPr>
              <w:t xml:space="preserve"> those identified as “high-needs” by DESE. O</w:t>
            </w:r>
            <w:r w:rsidRPr="00090190">
              <w:rPr>
                <w:rFonts w:eastAsia="Calibri" w:cstheme="majorHAnsi"/>
              </w:rPr>
              <w:t>nly programs for which need is demonstrated are considered for approval.</w:t>
            </w:r>
          </w:p>
        </w:tc>
      </w:tr>
      <w:tr w:rsidR="00815BCE" w:rsidRPr="003E2664" w14:paraId="34C496EF" w14:textId="77777777" w:rsidTr="00C631CC">
        <w:tc>
          <w:tcPr>
            <w:cnfStyle w:val="001000000000" w:firstRow="0" w:lastRow="0" w:firstColumn="1" w:lastColumn="0" w:oddVBand="0" w:evenVBand="0" w:oddHBand="0" w:evenHBand="0" w:firstRowFirstColumn="0" w:firstRowLastColumn="0" w:lastRowFirstColumn="0" w:lastRowLastColumn="0"/>
            <w:tcW w:w="1710" w:type="dxa"/>
          </w:tcPr>
          <w:p w14:paraId="7EC784FC" w14:textId="66A200ED" w:rsidR="00815BCE" w:rsidRPr="005E6184" w:rsidRDefault="006C4340" w:rsidP="00D17218">
            <w:pPr>
              <w:rPr>
                <w:rFonts w:cstheme="majorHAnsi"/>
              </w:rPr>
            </w:pPr>
            <w:r w:rsidRPr="005E6184">
              <w:rPr>
                <w:rFonts w:cstheme="majorHAnsi"/>
              </w:rPr>
              <w:t>Launch</w:t>
            </w:r>
          </w:p>
        </w:tc>
        <w:tc>
          <w:tcPr>
            <w:tcW w:w="1650" w:type="dxa"/>
          </w:tcPr>
          <w:p w14:paraId="4745A9F6" w14:textId="77777777" w:rsidR="00815BCE" w:rsidRPr="00090190" w:rsidRDefault="00815BCE" w:rsidP="00D17218">
            <w:pPr>
              <w:cnfStyle w:val="000000000000" w:firstRow="0" w:lastRow="0" w:firstColumn="0" w:lastColumn="0" w:oddVBand="0" w:evenVBand="0" w:oddHBand="0" w:evenHBand="0" w:firstRowFirstColumn="0" w:firstRowLastColumn="0" w:lastRowFirstColumn="0" w:lastRowLastColumn="0"/>
              <w:rPr>
                <w:rFonts w:eastAsia="Calibri" w:cstheme="majorHAnsi"/>
              </w:rPr>
            </w:pPr>
            <w:r w:rsidRPr="00090190">
              <w:rPr>
                <w:rFonts w:eastAsia="Calibri" w:cstheme="majorHAnsi"/>
              </w:rPr>
              <w:t>Support Call</w:t>
            </w:r>
          </w:p>
        </w:tc>
        <w:tc>
          <w:tcPr>
            <w:tcW w:w="1680" w:type="dxa"/>
          </w:tcPr>
          <w:p w14:paraId="56962A4B" w14:textId="77777777" w:rsidR="00815BCE" w:rsidRPr="00090190" w:rsidRDefault="00815BCE" w:rsidP="00D17218">
            <w:pPr>
              <w:cnfStyle w:val="000000000000" w:firstRow="0" w:lastRow="0" w:firstColumn="0" w:lastColumn="0" w:oddVBand="0" w:evenVBand="0" w:oddHBand="0" w:evenHBand="0" w:firstRowFirstColumn="0" w:firstRowLastColumn="0" w:lastRowFirstColumn="0" w:lastRowLastColumn="0"/>
              <w:rPr>
                <w:rFonts w:eastAsia="Calibri" w:cstheme="majorHAnsi"/>
              </w:rPr>
            </w:pPr>
            <w:r w:rsidRPr="00090190">
              <w:rPr>
                <w:rFonts w:eastAsia="Calibri" w:cstheme="majorHAnsi"/>
              </w:rPr>
              <w:t xml:space="preserve">Month 2 </w:t>
            </w:r>
          </w:p>
        </w:tc>
        <w:tc>
          <w:tcPr>
            <w:tcW w:w="4605" w:type="dxa"/>
          </w:tcPr>
          <w:p w14:paraId="59E1569C" w14:textId="77777777" w:rsidR="00815BCE" w:rsidRPr="00014585" w:rsidRDefault="00815BCE" w:rsidP="00D17218">
            <w:pPr>
              <w:cnfStyle w:val="000000000000" w:firstRow="0" w:lastRow="0" w:firstColumn="0" w:lastColumn="0" w:oddVBand="0" w:evenVBand="0" w:oddHBand="0" w:evenHBand="0" w:firstRowFirstColumn="0" w:firstRowLastColumn="0" w:lastRowFirstColumn="0" w:lastRowLastColumn="0"/>
              <w:rPr>
                <w:rFonts w:eastAsia="Calibri" w:cstheme="majorHAnsi"/>
                <w:color w:val="000000" w:themeColor="text1"/>
              </w:rPr>
            </w:pPr>
            <w:r w:rsidRPr="00014585">
              <w:rPr>
                <w:rFonts w:eastAsia="Calibri" w:cstheme="majorHAnsi"/>
                <w:color w:val="000000" w:themeColor="text1"/>
              </w:rPr>
              <w:t>DESE leads a call with the Sponsoring Organization to discuss details in the launch worksheet, including results of the Needs Assessment, and provides support for the upcoming Program Overview and Candidate Artifacts submission.</w:t>
            </w:r>
          </w:p>
        </w:tc>
      </w:tr>
      <w:tr w:rsidR="00815BCE" w:rsidRPr="003E2664" w14:paraId="6C3E402F" w14:textId="77777777" w:rsidTr="00C63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74DF16C1" w14:textId="49F7CC22" w:rsidR="00815BCE" w:rsidRPr="005E6184" w:rsidRDefault="006C4340" w:rsidP="00D17218">
            <w:pPr>
              <w:rPr>
                <w:rFonts w:cstheme="majorHAnsi"/>
              </w:rPr>
            </w:pPr>
            <w:r w:rsidRPr="005E6184">
              <w:rPr>
                <w:rFonts w:cstheme="majorHAnsi"/>
              </w:rPr>
              <w:lastRenderedPageBreak/>
              <w:t>Launch</w:t>
            </w:r>
          </w:p>
        </w:tc>
        <w:tc>
          <w:tcPr>
            <w:tcW w:w="1650" w:type="dxa"/>
          </w:tcPr>
          <w:p w14:paraId="2D78D257" w14:textId="77777777" w:rsidR="00815BCE" w:rsidRPr="00090190" w:rsidRDefault="00815BCE" w:rsidP="00D17218">
            <w:pPr>
              <w:cnfStyle w:val="000000100000" w:firstRow="0" w:lastRow="0" w:firstColumn="0" w:lastColumn="0" w:oddVBand="0" w:evenVBand="0" w:oddHBand="1" w:evenHBand="0" w:firstRowFirstColumn="0" w:firstRowLastColumn="0" w:lastRowFirstColumn="0" w:lastRowLastColumn="0"/>
              <w:rPr>
                <w:rFonts w:eastAsia="Calibri" w:cstheme="majorHAnsi"/>
              </w:rPr>
            </w:pPr>
            <w:r w:rsidRPr="00090190">
              <w:rPr>
                <w:rFonts w:eastAsia="Calibri" w:cstheme="majorHAnsi"/>
              </w:rPr>
              <w:t>Program Overview and Artifacts Submission</w:t>
            </w:r>
          </w:p>
        </w:tc>
        <w:tc>
          <w:tcPr>
            <w:tcW w:w="1680" w:type="dxa"/>
          </w:tcPr>
          <w:p w14:paraId="0F2A208F" w14:textId="77777777" w:rsidR="00815BCE" w:rsidRPr="00090190" w:rsidRDefault="00815BCE" w:rsidP="00D17218">
            <w:pPr>
              <w:cnfStyle w:val="000000100000" w:firstRow="0" w:lastRow="0" w:firstColumn="0" w:lastColumn="0" w:oddVBand="0" w:evenVBand="0" w:oddHBand="1" w:evenHBand="0" w:firstRowFirstColumn="0" w:firstRowLastColumn="0" w:lastRowFirstColumn="0" w:lastRowLastColumn="0"/>
              <w:rPr>
                <w:rFonts w:eastAsia="Calibri" w:cstheme="majorHAnsi"/>
              </w:rPr>
            </w:pPr>
            <w:r w:rsidRPr="00090190">
              <w:rPr>
                <w:rFonts w:eastAsia="Calibri" w:cstheme="majorHAnsi"/>
              </w:rPr>
              <w:t>Months 2-5 (four months to complete)</w:t>
            </w:r>
          </w:p>
        </w:tc>
        <w:tc>
          <w:tcPr>
            <w:tcW w:w="4605" w:type="dxa"/>
          </w:tcPr>
          <w:p w14:paraId="5E2FD654" w14:textId="77777777" w:rsidR="00815BCE" w:rsidRPr="00014585" w:rsidRDefault="00815BCE" w:rsidP="00D17218">
            <w:pPr>
              <w:cnfStyle w:val="000000100000" w:firstRow="0" w:lastRow="0" w:firstColumn="0" w:lastColumn="0" w:oddVBand="0" w:evenVBand="0" w:oddHBand="1" w:evenHBand="0" w:firstRowFirstColumn="0" w:firstRowLastColumn="0" w:lastRowFirstColumn="0" w:lastRowLastColumn="0"/>
              <w:rPr>
                <w:rFonts w:eastAsia="Calibri" w:cstheme="majorHAnsi"/>
                <w:color w:val="000000" w:themeColor="text1"/>
              </w:rPr>
            </w:pPr>
            <w:r w:rsidRPr="00014585">
              <w:rPr>
                <w:rFonts w:eastAsia="Calibri" w:cstheme="majorHAnsi"/>
                <w:color w:val="000000" w:themeColor="text1"/>
              </w:rPr>
              <w:t>The Sponsoring Organization compiles candidate artifacts and completes a worksheet providing high-level information for each domain and each program grouping within the Instruction domain. This information is used to orient the review team to the organization’s approach to educator preparation prior to speaking with stakeholders.</w:t>
            </w:r>
          </w:p>
        </w:tc>
      </w:tr>
      <w:tr w:rsidR="00815BCE" w:rsidRPr="003E2664" w14:paraId="28E3E6FC" w14:textId="77777777" w:rsidTr="00C631CC">
        <w:tc>
          <w:tcPr>
            <w:cnfStyle w:val="001000000000" w:firstRow="0" w:lastRow="0" w:firstColumn="1" w:lastColumn="0" w:oddVBand="0" w:evenVBand="0" w:oddHBand="0" w:evenHBand="0" w:firstRowFirstColumn="0" w:firstRowLastColumn="0" w:lastRowFirstColumn="0" w:lastRowLastColumn="0"/>
            <w:tcW w:w="1710" w:type="dxa"/>
          </w:tcPr>
          <w:p w14:paraId="2B314BF4" w14:textId="77777777" w:rsidR="00815BCE" w:rsidRPr="005E6184" w:rsidRDefault="00815BCE" w:rsidP="00D17218">
            <w:pPr>
              <w:rPr>
                <w:rFonts w:eastAsia="Calibri" w:cstheme="majorHAnsi"/>
              </w:rPr>
            </w:pPr>
            <w:r w:rsidRPr="005E6184">
              <w:rPr>
                <w:rFonts w:eastAsia="Calibri" w:cstheme="majorHAnsi"/>
              </w:rPr>
              <w:t xml:space="preserve">Initial Inquiry  </w:t>
            </w:r>
          </w:p>
        </w:tc>
        <w:tc>
          <w:tcPr>
            <w:tcW w:w="1650" w:type="dxa"/>
          </w:tcPr>
          <w:p w14:paraId="1D3B934E" w14:textId="77777777" w:rsidR="00815BCE" w:rsidRPr="00090190" w:rsidRDefault="00815BCE" w:rsidP="00D17218">
            <w:pPr>
              <w:cnfStyle w:val="000000000000" w:firstRow="0" w:lastRow="0" w:firstColumn="0" w:lastColumn="0" w:oddVBand="0" w:evenVBand="0" w:oddHBand="0" w:evenHBand="0" w:firstRowFirstColumn="0" w:firstRowLastColumn="0" w:lastRowFirstColumn="0" w:lastRowLastColumn="0"/>
              <w:rPr>
                <w:rFonts w:eastAsia="Calibri" w:cstheme="majorHAnsi"/>
              </w:rPr>
            </w:pPr>
            <w:r w:rsidRPr="00090190">
              <w:rPr>
                <w:rFonts w:eastAsia="Calibri" w:cstheme="majorHAnsi"/>
              </w:rPr>
              <w:t>Support Call</w:t>
            </w:r>
          </w:p>
        </w:tc>
        <w:tc>
          <w:tcPr>
            <w:tcW w:w="1680" w:type="dxa"/>
          </w:tcPr>
          <w:p w14:paraId="118ECBA4" w14:textId="77777777" w:rsidR="00815BCE" w:rsidRPr="00090190" w:rsidRDefault="00815BCE" w:rsidP="00D17218">
            <w:pPr>
              <w:cnfStyle w:val="000000000000" w:firstRow="0" w:lastRow="0" w:firstColumn="0" w:lastColumn="0" w:oddVBand="0" w:evenVBand="0" w:oddHBand="0" w:evenHBand="0" w:firstRowFirstColumn="0" w:firstRowLastColumn="0" w:lastRowFirstColumn="0" w:lastRowLastColumn="0"/>
              <w:rPr>
                <w:rFonts w:eastAsia="Calibri" w:cstheme="majorHAnsi"/>
              </w:rPr>
            </w:pPr>
            <w:r w:rsidRPr="00090190">
              <w:rPr>
                <w:rFonts w:eastAsia="Calibri" w:cstheme="majorHAnsi"/>
              </w:rPr>
              <w:t xml:space="preserve"> Month 3</w:t>
            </w:r>
          </w:p>
        </w:tc>
        <w:tc>
          <w:tcPr>
            <w:tcW w:w="4605" w:type="dxa"/>
          </w:tcPr>
          <w:p w14:paraId="2E26FDD0" w14:textId="77777777" w:rsidR="00815BCE" w:rsidRPr="00014585" w:rsidRDefault="00815BCE" w:rsidP="00D17218">
            <w:pPr>
              <w:cnfStyle w:val="000000000000" w:firstRow="0" w:lastRow="0" w:firstColumn="0" w:lastColumn="0" w:oddVBand="0" w:evenVBand="0" w:oddHBand="0" w:evenHBand="0" w:firstRowFirstColumn="0" w:firstRowLastColumn="0" w:lastRowFirstColumn="0" w:lastRowLastColumn="0"/>
              <w:rPr>
                <w:rFonts w:eastAsia="Calibri" w:cstheme="majorHAnsi"/>
                <w:color w:val="000000" w:themeColor="text1"/>
              </w:rPr>
            </w:pPr>
            <w:r w:rsidRPr="00014585">
              <w:rPr>
                <w:rFonts w:eastAsia="Calibri" w:cstheme="majorHAnsi"/>
                <w:color w:val="000000" w:themeColor="text1"/>
              </w:rPr>
              <w:t>DESE provides written guidance outlining the next stage of the review and leads a call to confirm understanding of key requirements and logistics for surveys, focus groups, and interviews.</w:t>
            </w:r>
          </w:p>
        </w:tc>
      </w:tr>
      <w:tr w:rsidR="006C4340" w:rsidRPr="003E2664" w14:paraId="4CEC4E7E" w14:textId="77777777" w:rsidTr="00C631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0" w:type="dxa"/>
          </w:tcPr>
          <w:p w14:paraId="4A2123E5" w14:textId="725A534A" w:rsidR="006C4340" w:rsidRPr="005E6184" w:rsidRDefault="006C4340" w:rsidP="006C4340">
            <w:pPr>
              <w:rPr>
                <w:rFonts w:cstheme="majorHAnsi"/>
              </w:rPr>
            </w:pPr>
            <w:r w:rsidRPr="005E6184">
              <w:rPr>
                <w:rFonts w:eastAsia="Calibri" w:cstheme="majorHAnsi"/>
              </w:rPr>
              <w:t xml:space="preserve">Initial Inquiry  </w:t>
            </w:r>
          </w:p>
        </w:tc>
        <w:tc>
          <w:tcPr>
            <w:tcW w:w="1650" w:type="dxa"/>
          </w:tcPr>
          <w:p w14:paraId="746AD391" w14:textId="77777777" w:rsidR="006C4340" w:rsidRPr="00090190" w:rsidRDefault="006C4340" w:rsidP="006C4340">
            <w:pPr>
              <w:cnfStyle w:val="000000100000" w:firstRow="0" w:lastRow="0" w:firstColumn="0" w:lastColumn="0" w:oddVBand="0" w:evenVBand="0" w:oddHBand="1" w:evenHBand="0" w:firstRowFirstColumn="0" w:firstRowLastColumn="0" w:lastRowFirstColumn="0" w:lastRowLastColumn="0"/>
              <w:rPr>
                <w:rFonts w:eastAsia="Calibri" w:cstheme="majorHAnsi"/>
              </w:rPr>
            </w:pPr>
            <w:r w:rsidRPr="00090190">
              <w:rPr>
                <w:rFonts w:eastAsia="Calibri" w:cstheme="majorHAnsi"/>
              </w:rPr>
              <w:t>Survey Completion/ Focus Group and Interview Recruitment</w:t>
            </w:r>
          </w:p>
        </w:tc>
        <w:tc>
          <w:tcPr>
            <w:tcW w:w="1680" w:type="dxa"/>
          </w:tcPr>
          <w:p w14:paraId="4143578A" w14:textId="77777777" w:rsidR="006C4340" w:rsidRPr="00014585" w:rsidRDefault="006C4340" w:rsidP="006C4340">
            <w:pPr>
              <w:cnfStyle w:val="000000100000" w:firstRow="0" w:lastRow="0" w:firstColumn="0" w:lastColumn="0" w:oddVBand="0" w:evenVBand="0" w:oddHBand="1" w:evenHBand="0" w:firstRowFirstColumn="0" w:firstRowLastColumn="0" w:lastRowFirstColumn="0" w:lastRowLastColumn="0"/>
              <w:rPr>
                <w:rFonts w:eastAsia="Calibri" w:cstheme="majorHAnsi"/>
              </w:rPr>
            </w:pPr>
            <w:r w:rsidRPr="00090190">
              <w:rPr>
                <w:rFonts w:eastAsia="Calibri" w:cstheme="majorHAnsi"/>
              </w:rPr>
              <w:t>Months 3-6 (four months to complete)</w:t>
            </w:r>
          </w:p>
        </w:tc>
        <w:tc>
          <w:tcPr>
            <w:tcW w:w="4605" w:type="dxa"/>
          </w:tcPr>
          <w:p w14:paraId="4F821855" w14:textId="77777777" w:rsidR="006C4340" w:rsidRPr="00AC72D4" w:rsidRDefault="006C4340" w:rsidP="006C4340">
            <w:pPr>
              <w:cnfStyle w:val="000000100000" w:firstRow="0" w:lastRow="0" w:firstColumn="0" w:lastColumn="0" w:oddVBand="0" w:evenVBand="0" w:oddHBand="1" w:evenHBand="0" w:firstRowFirstColumn="0" w:firstRowLastColumn="0" w:lastRowFirstColumn="0" w:lastRowLastColumn="0"/>
              <w:rPr>
                <w:rFonts w:eastAsia="Calibri" w:cstheme="majorHAnsi"/>
                <w:color w:val="000000" w:themeColor="text1"/>
              </w:rPr>
            </w:pPr>
            <w:r w:rsidRPr="00014585">
              <w:rPr>
                <w:rFonts w:eastAsia="Calibri" w:cstheme="majorHAnsi"/>
                <w:color w:val="000000" w:themeColor="text1"/>
              </w:rPr>
              <w:t>DESE shares survey links with the Sponsoring Organization for distribution to each relevant stakeholder group.</w:t>
            </w:r>
            <w:r w:rsidRPr="00014585">
              <w:rPr>
                <w:rFonts w:cstheme="majorHAnsi"/>
              </w:rPr>
              <w:br/>
            </w:r>
            <w:r w:rsidRPr="00014585">
              <w:rPr>
                <w:rFonts w:cstheme="majorHAnsi"/>
              </w:rPr>
              <w:br/>
            </w:r>
            <w:r w:rsidRPr="00014585">
              <w:rPr>
                <w:rFonts w:eastAsia="Calibri" w:cstheme="majorHAnsi"/>
                <w:color w:val="000000" w:themeColor="text1"/>
              </w:rPr>
              <w:t>The Sponsoring Organization recruits relevant internal and external stakeholders to complete surveys and sign up to participate in scheduled focus groups. Surveys and focus groups are distinct steps in the review process and are not duplicative of each other. All stakeholders from the most recent three years should be encouraged to participate in both aspects, as focus groups are designed to build off and further explore survey results.</w:t>
            </w:r>
          </w:p>
        </w:tc>
      </w:tr>
      <w:tr w:rsidR="006C4340" w:rsidRPr="003E2664" w14:paraId="086E63E2" w14:textId="77777777" w:rsidTr="00C631CC">
        <w:tc>
          <w:tcPr>
            <w:cnfStyle w:val="001000000000" w:firstRow="0" w:lastRow="0" w:firstColumn="1" w:lastColumn="0" w:oddVBand="0" w:evenVBand="0" w:oddHBand="0" w:evenHBand="0" w:firstRowFirstColumn="0" w:firstRowLastColumn="0" w:lastRowFirstColumn="0" w:lastRowLastColumn="0"/>
            <w:tcW w:w="1710" w:type="dxa"/>
          </w:tcPr>
          <w:p w14:paraId="208C1AE8" w14:textId="24A3FD50" w:rsidR="006C4340" w:rsidRPr="005E6184" w:rsidRDefault="006C4340" w:rsidP="006C4340">
            <w:pPr>
              <w:rPr>
                <w:rFonts w:cstheme="majorHAnsi"/>
              </w:rPr>
            </w:pPr>
            <w:r w:rsidRPr="005E6184">
              <w:rPr>
                <w:rFonts w:eastAsia="Calibri" w:cstheme="majorHAnsi"/>
              </w:rPr>
              <w:t xml:space="preserve">Initial Inquiry  </w:t>
            </w:r>
          </w:p>
        </w:tc>
        <w:tc>
          <w:tcPr>
            <w:tcW w:w="1650" w:type="dxa"/>
          </w:tcPr>
          <w:p w14:paraId="39F0F5AC" w14:textId="77777777" w:rsidR="006C4340" w:rsidRPr="00090190" w:rsidRDefault="006C4340" w:rsidP="006C4340">
            <w:pPr>
              <w:cnfStyle w:val="000000000000" w:firstRow="0" w:lastRow="0" w:firstColumn="0" w:lastColumn="0" w:oddVBand="0" w:evenVBand="0" w:oddHBand="0" w:evenHBand="0" w:firstRowFirstColumn="0" w:firstRowLastColumn="0" w:lastRowFirstColumn="0" w:lastRowLastColumn="0"/>
              <w:rPr>
                <w:rFonts w:eastAsia="Calibri" w:cstheme="majorHAnsi"/>
              </w:rPr>
            </w:pPr>
            <w:r w:rsidRPr="00090190">
              <w:rPr>
                <w:rFonts w:eastAsia="Calibri" w:cstheme="majorHAnsi"/>
              </w:rPr>
              <w:t xml:space="preserve">Stakeholder Engagement (Welcome Meeting, Leadership Interview, and Focus Groups) </w:t>
            </w:r>
          </w:p>
        </w:tc>
        <w:tc>
          <w:tcPr>
            <w:tcW w:w="1680" w:type="dxa"/>
          </w:tcPr>
          <w:p w14:paraId="6C0D9495" w14:textId="77777777" w:rsidR="006C4340" w:rsidRPr="00014585" w:rsidRDefault="006C4340" w:rsidP="006C4340">
            <w:pPr>
              <w:spacing w:line="259" w:lineRule="auto"/>
              <w:cnfStyle w:val="000000000000" w:firstRow="0" w:lastRow="0" w:firstColumn="0" w:lastColumn="0" w:oddVBand="0" w:evenVBand="0" w:oddHBand="0" w:evenHBand="0" w:firstRowFirstColumn="0" w:firstRowLastColumn="0" w:lastRowFirstColumn="0" w:lastRowLastColumn="0"/>
              <w:rPr>
                <w:rFonts w:eastAsia="Calibri" w:cstheme="majorHAnsi"/>
              </w:rPr>
            </w:pPr>
            <w:r w:rsidRPr="00090190">
              <w:rPr>
                <w:rFonts w:eastAsia="Calibri" w:cstheme="majorHAnsi"/>
              </w:rPr>
              <w:t>Month 7</w:t>
            </w:r>
          </w:p>
        </w:tc>
        <w:tc>
          <w:tcPr>
            <w:tcW w:w="4605" w:type="dxa"/>
          </w:tcPr>
          <w:p w14:paraId="600A14CF" w14:textId="1483F81D" w:rsidR="006C4340" w:rsidRPr="00014585" w:rsidRDefault="006C4340" w:rsidP="006C4340">
            <w:pPr>
              <w:cnfStyle w:val="000000000000" w:firstRow="0" w:lastRow="0" w:firstColumn="0" w:lastColumn="0" w:oddVBand="0" w:evenVBand="0" w:oddHBand="0" w:evenHBand="0" w:firstRowFirstColumn="0" w:firstRowLastColumn="0" w:lastRowFirstColumn="0" w:lastRowLastColumn="0"/>
              <w:rPr>
                <w:rFonts w:eastAsia="Calibri" w:cstheme="majorHAnsi"/>
                <w:color w:val="000000" w:themeColor="text1"/>
              </w:rPr>
            </w:pPr>
            <w:r w:rsidRPr="00014585">
              <w:rPr>
                <w:rFonts w:eastAsia="Calibri" w:cstheme="majorHAnsi"/>
                <w:color w:val="000000" w:themeColor="text1"/>
              </w:rPr>
              <w:t xml:space="preserve">Stakeholder engagement is conducted over the course of one week and is scheduled in collaboration with the Sponsoring Organization based on stakeholder availability. The week includes a welcome meeting, interview with educator preparation leadership, and focus groups with internal and external stakeholders. The week may also include onsite course observations for some or all program groupings. </w:t>
            </w:r>
          </w:p>
          <w:p w14:paraId="7DCD2CA0" w14:textId="77777777" w:rsidR="006C4340" w:rsidRPr="00014585" w:rsidRDefault="006C4340" w:rsidP="006C4340">
            <w:pPr>
              <w:cnfStyle w:val="000000000000" w:firstRow="0" w:lastRow="0" w:firstColumn="0" w:lastColumn="0" w:oddVBand="0" w:evenVBand="0" w:oddHBand="0" w:evenHBand="0" w:firstRowFirstColumn="0" w:firstRowLastColumn="0" w:lastRowFirstColumn="0" w:lastRowLastColumn="0"/>
              <w:rPr>
                <w:rFonts w:eastAsia="Calibri" w:cstheme="majorHAnsi"/>
                <w:color w:val="000000" w:themeColor="text1"/>
              </w:rPr>
            </w:pPr>
          </w:p>
          <w:p w14:paraId="4335F7C0" w14:textId="77777777" w:rsidR="006C4340" w:rsidRPr="001F3F72" w:rsidRDefault="006C4340" w:rsidP="006C4340">
            <w:pPr>
              <w:cnfStyle w:val="000000000000" w:firstRow="0" w:lastRow="0" w:firstColumn="0" w:lastColumn="0" w:oddVBand="0" w:evenVBand="0" w:oddHBand="0" w:evenHBand="0" w:firstRowFirstColumn="0" w:firstRowLastColumn="0" w:lastRowFirstColumn="0" w:lastRowLastColumn="0"/>
              <w:rPr>
                <w:rFonts w:eastAsia="Calibri" w:cstheme="majorHAnsi"/>
                <w:color w:val="000000" w:themeColor="text1"/>
              </w:rPr>
            </w:pPr>
            <w:r w:rsidRPr="00014585">
              <w:rPr>
                <w:rFonts w:eastAsia="Calibri" w:cstheme="majorHAnsi"/>
                <w:color w:val="000000" w:themeColor="text1"/>
              </w:rPr>
              <w:t>Focus groups and interviews are typically hosted in a virtual format to support accessibility and</w:t>
            </w:r>
            <w:r w:rsidRPr="00AC72D4">
              <w:rPr>
                <w:rFonts w:eastAsia="Calibri" w:cstheme="majorHAnsi"/>
                <w:color w:val="000000" w:themeColor="text1"/>
              </w:rPr>
              <w:t xml:space="preserve"> increased participation, though in</w:t>
            </w:r>
            <w:r w:rsidRPr="00DD08F3">
              <w:rPr>
                <w:rFonts w:eastAsia="Calibri" w:cstheme="majorHAnsi"/>
                <w:color w:val="000000" w:themeColor="text1"/>
              </w:rPr>
              <w:t xml:space="preserve">-person focus groups may occur when specific context makes them preferable. </w:t>
            </w:r>
          </w:p>
        </w:tc>
      </w:tr>
      <w:tr w:rsidR="006C4340" w:rsidRPr="003E2664" w14:paraId="31371F33" w14:textId="77777777" w:rsidTr="00C63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0DFA947F" w14:textId="77777777" w:rsidR="006C4340" w:rsidRPr="00090190" w:rsidRDefault="006C4340" w:rsidP="006C4340">
            <w:pPr>
              <w:rPr>
                <w:rFonts w:eastAsia="Calibri" w:cstheme="majorHAnsi"/>
              </w:rPr>
            </w:pPr>
            <w:r w:rsidRPr="005E6184">
              <w:rPr>
                <w:rFonts w:eastAsia="Calibri" w:cstheme="majorHAnsi"/>
              </w:rPr>
              <w:t xml:space="preserve">Follow-Up Inquiry  </w:t>
            </w:r>
          </w:p>
        </w:tc>
        <w:tc>
          <w:tcPr>
            <w:tcW w:w="1650" w:type="dxa"/>
          </w:tcPr>
          <w:p w14:paraId="611F72DF" w14:textId="77777777" w:rsidR="006C4340" w:rsidRPr="00090190" w:rsidRDefault="006C4340" w:rsidP="006C4340">
            <w:pPr>
              <w:cnfStyle w:val="000000100000" w:firstRow="0" w:lastRow="0" w:firstColumn="0" w:lastColumn="0" w:oddVBand="0" w:evenVBand="0" w:oddHBand="1" w:evenHBand="0" w:firstRowFirstColumn="0" w:firstRowLastColumn="0" w:lastRowFirstColumn="0" w:lastRowLastColumn="0"/>
              <w:rPr>
                <w:rFonts w:eastAsia="Calibri" w:cstheme="majorHAnsi"/>
              </w:rPr>
            </w:pPr>
            <w:r w:rsidRPr="00090190">
              <w:rPr>
                <w:rFonts w:eastAsia="Calibri" w:cstheme="majorHAnsi"/>
              </w:rPr>
              <w:t>Support Call</w:t>
            </w:r>
          </w:p>
        </w:tc>
        <w:tc>
          <w:tcPr>
            <w:tcW w:w="1680" w:type="dxa"/>
          </w:tcPr>
          <w:p w14:paraId="0E86D1B2" w14:textId="77777777" w:rsidR="006C4340" w:rsidRPr="00014585" w:rsidRDefault="006C4340" w:rsidP="006C4340">
            <w:pPr>
              <w:spacing w:line="259" w:lineRule="auto"/>
              <w:cnfStyle w:val="000000100000" w:firstRow="0" w:lastRow="0" w:firstColumn="0" w:lastColumn="0" w:oddVBand="0" w:evenVBand="0" w:oddHBand="1" w:evenHBand="0" w:firstRowFirstColumn="0" w:firstRowLastColumn="0" w:lastRowFirstColumn="0" w:lastRowLastColumn="0"/>
              <w:rPr>
                <w:rFonts w:eastAsia="Calibri" w:cstheme="majorHAnsi"/>
              </w:rPr>
            </w:pPr>
            <w:r w:rsidRPr="00090190">
              <w:rPr>
                <w:rFonts w:eastAsia="Calibri" w:cstheme="majorHAnsi"/>
              </w:rPr>
              <w:t>Month 8</w:t>
            </w:r>
          </w:p>
        </w:tc>
        <w:tc>
          <w:tcPr>
            <w:tcW w:w="4605" w:type="dxa"/>
          </w:tcPr>
          <w:p w14:paraId="652756BB" w14:textId="77777777" w:rsidR="006C4340" w:rsidRPr="00014585" w:rsidRDefault="006C4340" w:rsidP="006C4340">
            <w:pPr>
              <w:cnfStyle w:val="000000100000" w:firstRow="0" w:lastRow="0" w:firstColumn="0" w:lastColumn="0" w:oddVBand="0" w:evenVBand="0" w:oddHBand="1" w:evenHBand="0" w:firstRowFirstColumn="0" w:firstRowLastColumn="0" w:lastRowFirstColumn="0" w:lastRowLastColumn="0"/>
              <w:rPr>
                <w:rFonts w:eastAsia="Calibri" w:cstheme="majorHAnsi"/>
              </w:rPr>
            </w:pPr>
            <w:r w:rsidRPr="00014585">
              <w:rPr>
                <w:rFonts w:eastAsia="Calibri" w:cstheme="majorHAnsi"/>
              </w:rPr>
              <w:t>DESE provides written guidance outlining the Follow-Up Inquiry stage and leads a call to preview the Sponsoring Organization’s Targeted Submission worksheets.</w:t>
            </w:r>
          </w:p>
        </w:tc>
      </w:tr>
      <w:tr w:rsidR="006C4340" w:rsidRPr="003E2664" w14:paraId="496DC47A" w14:textId="77777777" w:rsidTr="00C631CC">
        <w:tc>
          <w:tcPr>
            <w:cnfStyle w:val="001000000000" w:firstRow="0" w:lastRow="0" w:firstColumn="1" w:lastColumn="0" w:oddVBand="0" w:evenVBand="0" w:oddHBand="0" w:evenHBand="0" w:firstRowFirstColumn="0" w:firstRowLastColumn="0" w:lastRowFirstColumn="0" w:lastRowLastColumn="0"/>
            <w:tcW w:w="1710" w:type="dxa"/>
          </w:tcPr>
          <w:p w14:paraId="2AB4A425" w14:textId="31EAFCD1" w:rsidR="006C4340" w:rsidRPr="00090190" w:rsidRDefault="006C4340" w:rsidP="006C4340">
            <w:pPr>
              <w:rPr>
                <w:rFonts w:cstheme="majorHAnsi"/>
              </w:rPr>
            </w:pPr>
            <w:r w:rsidRPr="005E6184">
              <w:rPr>
                <w:rFonts w:eastAsia="Calibri" w:cstheme="majorHAnsi"/>
              </w:rPr>
              <w:lastRenderedPageBreak/>
              <w:t xml:space="preserve">Follow-Up Inquiry  </w:t>
            </w:r>
          </w:p>
        </w:tc>
        <w:tc>
          <w:tcPr>
            <w:tcW w:w="1650" w:type="dxa"/>
          </w:tcPr>
          <w:p w14:paraId="6F09F741" w14:textId="77777777" w:rsidR="006C4340" w:rsidRPr="00090190" w:rsidRDefault="006C4340" w:rsidP="006C4340">
            <w:pPr>
              <w:cnfStyle w:val="000000000000" w:firstRow="0" w:lastRow="0" w:firstColumn="0" w:lastColumn="0" w:oddVBand="0" w:evenVBand="0" w:oddHBand="0" w:evenHBand="0" w:firstRowFirstColumn="0" w:firstRowLastColumn="0" w:lastRowFirstColumn="0" w:lastRowLastColumn="0"/>
              <w:rPr>
                <w:rFonts w:eastAsia="Calibri" w:cstheme="majorHAnsi"/>
              </w:rPr>
            </w:pPr>
            <w:r w:rsidRPr="00090190">
              <w:rPr>
                <w:rFonts w:eastAsia="Calibri" w:cstheme="majorHAnsi"/>
              </w:rPr>
              <w:t>Targeted Submission</w:t>
            </w:r>
          </w:p>
        </w:tc>
        <w:tc>
          <w:tcPr>
            <w:tcW w:w="1680" w:type="dxa"/>
          </w:tcPr>
          <w:p w14:paraId="6C5F7451" w14:textId="77777777" w:rsidR="006C4340" w:rsidRPr="00014585" w:rsidRDefault="006C4340" w:rsidP="006C4340">
            <w:pPr>
              <w:cnfStyle w:val="000000000000" w:firstRow="0" w:lastRow="0" w:firstColumn="0" w:lastColumn="0" w:oddVBand="0" w:evenVBand="0" w:oddHBand="0" w:evenHBand="0" w:firstRowFirstColumn="0" w:firstRowLastColumn="0" w:lastRowFirstColumn="0" w:lastRowLastColumn="0"/>
              <w:rPr>
                <w:rFonts w:eastAsia="Calibri" w:cstheme="majorHAnsi"/>
              </w:rPr>
            </w:pPr>
            <w:r w:rsidRPr="00090190">
              <w:rPr>
                <w:rFonts w:eastAsia="Calibri" w:cstheme="majorHAnsi"/>
              </w:rPr>
              <w:t>Months 8-12 (five months to complete)</w:t>
            </w:r>
          </w:p>
        </w:tc>
        <w:tc>
          <w:tcPr>
            <w:tcW w:w="4605" w:type="dxa"/>
          </w:tcPr>
          <w:p w14:paraId="24FE436F" w14:textId="77777777" w:rsidR="006C4340" w:rsidRPr="001F3F72" w:rsidRDefault="006C4340" w:rsidP="006C4340">
            <w:pPr>
              <w:cnfStyle w:val="000000000000" w:firstRow="0" w:lastRow="0" w:firstColumn="0" w:lastColumn="0" w:oddVBand="0" w:evenVBand="0" w:oddHBand="0" w:evenHBand="0" w:firstRowFirstColumn="0" w:firstRowLastColumn="0" w:lastRowFirstColumn="0" w:lastRowLastColumn="0"/>
              <w:rPr>
                <w:rFonts w:eastAsia="Calibri" w:cstheme="majorHAnsi"/>
                <w:color w:val="000000" w:themeColor="text1"/>
              </w:rPr>
            </w:pPr>
            <w:r w:rsidRPr="00014585">
              <w:rPr>
                <w:rFonts w:eastAsia="Calibri" w:cstheme="majorHAnsi"/>
                <w:color w:val="000000" w:themeColor="text1"/>
              </w:rPr>
              <w:t>The Sponsoring Organization completes Targeted Submission worksheets for each domain</w:t>
            </w:r>
            <w:r w:rsidRPr="00014585">
              <w:rPr>
                <w:rFonts w:eastAsia="Calibri" w:cstheme="majorHAnsi"/>
              </w:rPr>
              <w:t>. Prompts within each worksheet are determined based on evidence gathered in prior stages of the review and provide the Sponsoring Organization the opportunity to elevate strengths that could lead to a commendation and address gaps and/or</w:t>
            </w:r>
            <w:r w:rsidRPr="00014585">
              <w:rPr>
                <w:rFonts w:eastAsia="Calibri" w:cstheme="majorHAnsi"/>
                <w:color w:val="000000" w:themeColor="text1"/>
              </w:rPr>
              <w:t xml:space="preserve"> inconsistencies in the evidence already collected. </w:t>
            </w:r>
            <w:r w:rsidRPr="00014585">
              <w:rPr>
                <w:rFonts w:eastAsia="Calibri" w:cstheme="majorHAnsi"/>
              </w:rPr>
              <w:t>Organization</w:t>
            </w:r>
            <w:r w:rsidRPr="00AC72D4">
              <w:rPr>
                <w:rFonts w:eastAsia="Calibri" w:cstheme="majorHAnsi"/>
              </w:rPr>
              <w:t xml:space="preserve">s review summaries of key evidence collected during the Launch and Initial Inquiry stages and respond with </w:t>
            </w:r>
            <w:r w:rsidRPr="00DD08F3">
              <w:rPr>
                <w:rFonts w:eastAsia="Calibri" w:cstheme="majorHAnsi"/>
                <w:color w:val="000000" w:themeColor="text1"/>
              </w:rPr>
              <w:t xml:space="preserve">additional examples, data, and context. </w:t>
            </w:r>
          </w:p>
        </w:tc>
      </w:tr>
      <w:tr w:rsidR="006C4340" w:rsidRPr="003E2664" w14:paraId="415C283A" w14:textId="77777777" w:rsidTr="00C63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13175D48" w14:textId="77777777" w:rsidR="006C4340" w:rsidRPr="005E6184" w:rsidRDefault="006C4340" w:rsidP="006C4340">
            <w:pPr>
              <w:rPr>
                <w:rFonts w:eastAsia="Calibri" w:cstheme="majorHAnsi"/>
              </w:rPr>
            </w:pPr>
            <w:r w:rsidRPr="005E6184">
              <w:rPr>
                <w:rFonts w:eastAsia="Calibri" w:cstheme="majorHAnsi"/>
              </w:rPr>
              <w:t>Determination</w:t>
            </w:r>
          </w:p>
        </w:tc>
        <w:tc>
          <w:tcPr>
            <w:tcW w:w="1650" w:type="dxa"/>
          </w:tcPr>
          <w:p w14:paraId="02624849" w14:textId="77777777" w:rsidR="006C4340" w:rsidRPr="00090190" w:rsidRDefault="006C4340" w:rsidP="006C4340">
            <w:pPr>
              <w:cnfStyle w:val="000000100000" w:firstRow="0" w:lastRow="0" w:firstColumn="0" w:lastColumn="0" w:oddVBand="0" w:evenVBand="0" w:oddHBand="1" w:evenHBand="0" w:firstRowFirstColumn="0" w:firstRowLastColumn="0" w:lastRowFirstColumn="0" w:lastRowLastColumn="0"/>
              <w:rPr>
                <w:rFonts w:eastAsia="Calibri" w:cstheme="majorHAnsi"/>
              </w:rPr>
            </w:pPr>
            <w:r w:rsidRPr="00090190">
              <w:rPr>
                <w:rFonts w:eastAsia="Calibri" w:cstheme="majorHAnsi"/>
              </w:rPr>
              <w:t>Reviewer Work Time</w:t>
            </w:r>
          </w:p>
        </w:tc>
        <w:tc>
          <w:tcPr>
            <w:tcW w:w="1680" w:type="dxa"/>
          </w:tcPr>
          <w:p w14:paraId="0F7BC3AE" w14:textId="77777777" w:rsidR="006C4340" w:rsidRPr="00090190" w:rsidRDefault="006C4340" w:rsidP="006C4340">
            <w:pPr>
              <w:spacing w:line="259" w:lineRule="auto"/>
              <w:cnfStyle w:val="000000100000" w:firstRow="0" w:lastRow="0" w:firstColumn="0" w:lastColumn="0" w:oddVBand="0" w:evenVBand="0" w:oddHBand="1" w:evenHBand="0" w:firstRowFirstColumn="0" w:firstRowLastColumn="0" w:lastRowFirstColumn="0" w:lastRowLastColumn="0"/>
              <w:rPr>
                <w:rFonts w:eastAsia="Calibri" w:cstheme="majorHAnsi"/>
              </w:rPr>
            </w:pPr>
            <w:r w:rsidRPr="00090190">
              <w:rPr>
                <w:rFonts w:eastAsia="Calibri" w:cstheme="majorHAnsi"/>
              </w:rPr>
              <w:t>Months 13-15</w:t>
            </w:r>
          </w:p>
        </w:tc>
        <w:tc>
          <w:tcPr>
            <w:tcW w:w="4605" w:type="dxa"/>
          </w:tcPr>
          <w:p w14:paraId="1A0EB5AB" w14:textId="556942C9" w:rsidR="006C4340" w:rsidRPr="00090190" w:rsidRDefault="006C4340" w:rsidP="006C4340">
            <w:pPr>
              <w:cnfStyle w:val="000000100000" w:firstRow="0" w:lastRow="0" w:firstColumn="0" w:lastColumn="0" w:oddVBand="0" w:evenVBand="0" w:oddHBand="1" w:evenHBand="0" w:firstRowFirstColumn="0" w:firstRowLastColumn="0" w:lastRowFirstColumn="0" w:lastRowLastColumn="0"/>
              <w:rPr>
                <w:rFonts w:eastAsia="Calibri" w:cstheme="majorHAnsi"/>
              </w:rPr>
            </w:pPr>
            <w:r w:rsidRPr="00014585">
              <w:rPr>
                <w:rFonts w:eastAsia="Calibri" w:cstheme="majorHAnsi"/>
              </w:rPr>
              <w:t xml:space="preserve">DESE works with the review team and engages in calibration and equity pauses to </w:t>
            </w:r>
            <w:hyperlink w:anchor="_Decision-Making" w:history="1">
              <w:r w:rsidRPr="005E6184">
                <w:rPr>
                  <w:rStyle w:val="Hyperlink"/>
                  <w:rFonts w:eastAsia="Calibri" w:cstheme="majorHAnsi"/>
                </w:rPr>
                <w:t>determine criterion and domain ratings</w:t>
              </w:r>
            </w:hyperlink>
            <w:r w:rsidRPr="005E6184">
              <w:rPr>
                <w:rFonts w:eastAsia="Calibri" w:cstheme="majorHAnsi"/>
              </w:rPr>
              <w:t xml:space="preserve">. DESE drafts a written report summarizing these decisions. An internal DESE team vets the content to </w:t>
            </w:r>
            <w:r w:rsidRPr="00090190">
              <w:rPr>
                <w:rFonts w:eastAsia="Calibri" w:cstheme="majorHAnsi"/>
              </w:rPr>
              <w:t>ensure decisions are evidence-based and consistent across organizations.</w:t>
            </w:r>
          </w:p>
        </w:tc>
      </w:tr>
      <w:tr w:rsidR="006C4340" w:rsidRPr="003E2664" w14:paraId="7061DC22" w14:textId="77777777" w:rsidTr="00C631CC">
        <w:tc>
          <w:tcPr>
            <w:cnfStyle w:val="001000000000" w:firstRow="0" w:lastRow="0" w:firstColumn="1" w:lastColumn="0" w:oddVBand="0" w:evenVBand="0" w:oddHBand="0" w:evenHBand="0" w:firstRowFirstColumn="0" w:firstRowLastColumn="0" w:lastRowFirstColumn="0" w:lastRowLastColumn="0"/>
            <w:tcW w:w="1710" w:type="dxa"/>
          </w:tcPr>
          <w:p w14:paraId="07802160" w14:textId="73EB10C2" w:rsidR="006C4340" w:rsidRPr="005E6184" w:rsidRDefault="006C4340" w:rsidP="006C4340">
            <w:pPr>
              <w:rPr>
                <w:rFonts w:eastAsia="Calibri" w:cstheme="majorHAnsi"/>
              </w:rPr>
            </w:pPr>
            <w:r w:rsidRPr="005E6184">
              <w:rPr>
                <w:rFonts w:eastAsia="Calibri" w:cstheme="majorHAnsi"/>
              </w:rPr>
              <w:t>Determination</w:t>
            </w:r>
          </w:p>
        </w:tc>
        <w:tc>
          <w:tcPr>
            <w:tcW w:w="1650" w:type="dxa"/>
          </w:tcPr>
          <w:p w14:paraId="598D0D5B" w14:textId="77777777" w:rsidR="006C4340" w:rsidRPr="00090190" w:rsidRDefault="006C4340" w:rsidP="006C4340">
            <w:pPr>
              <w:cnfStyle w:val="000000000000" w:firstRow="0" w:lastRow="0" w:firstColumn="0" w:lastColumn="0" w:oddVBand="0" w:evenVBand="0" w:oddHBand="0" w:evenHBand="0" w:firstRowFirstColumn="0" w:firstRowLastColumn="0" w:lastRowFirstColumn="0" w:lastRowLastColumn="0"/>
              <w:rPr>
                <w:rFonts w:eastAsia="Calibri" w:cstheme="majorHAnsi"/>
              </w:rPr>
            </w:pPr>
            <w:r w:rsidRPr="00090190">
              <w:rPr>
                <w:rFonts w:eastAsia="Calibri" w:cstheme="majorHAnsi"/>
              </w:rPr>
              <w:t>Factual Accuracy Report Shared</w:t>
            </w:r>
          </w:p>
        </w:tc>
        <w:tc>
          <w:tcPr>
            <w:tcW w:w="1680" w:type="dxa"/>
          </w:tcPr>
          <w:p w14:paraId="13463FB7" w14:textId="77777777" w:rsidR="006C4340" w:rsidRPr="00090190" w:rsidRDefault="006C4340" w:rsidP="006C4340">
            <w:pPr>
              <w:cnfStyle w:val="000000000000" w:firstRow="0" w:lastRow="0" w:firstColumn="0" w:lastColumn="0" w:oddVBand="0" w:evenVBand="0" w:oddHBand="0" w:evenHBand="0" w:firstRowFirstColumn="0" w:firstRowLastColumn="0" w:lastRowFirstColumn="0" w:lastRowLastColumn="0"/>
              <w:rPr>
                <w:rFonts w:eastAsia="Calibri" w:cstheme="majorHAnsi"/>
              </w:rPr>
            </w:pPr>
            <w:r w:rsidRPr="00090190">
              <w:rPr>
                <w:rFonts w:eastAsia="Calibri" w:cstheme="majorHAnsi"/>
              </w:rPr>
              <w:t>Month 17</w:t>
            </w:r>
          </w:p>
        </w:tc>
        <w:tc>
          <w:tcPr>
            <w:tcW w:w="4605" w:type="dxa"/>
          </w:tcPr>
          <w:p w14:paraId="0907194A" w14:textId="77777777" w:rsidR="006C4340" w:rsidRPr="00014585" w:rsidRDefault="006C4340" w:rsidP="006C4340">
            <w:pPr>
              <w:cnfStyle w:val="000000000000" w:firstRow="0" w:lastRow="0" w:firstColumn="0" w:lastColumn="0" w:oddVBand="0" w:evenVBand="0" w:oddHBand="0" w:evenHBand="0" w:firstRowFirstColumn="0" w:firstRowLastColumn="0" w:lastRowFirstColumn="0" w:lastRowLastColumn="0"/>
              <w:rPr>
                <w:rFonts w:eastAsia="Calibri" w:cstheme="majorHAnsi"/>
              </w:rPr>
            </w:pPr>
            <w:r w:rsidRPr="00014585">
              <w:rPr>
                <w:rFonts w:eastAsia="Calibri" w:cstheme="majorHAnsi"/>
              </w:rPr>
              <w:t>DESE shares a Factual Accuracy draft report with the Sponsoring Organization, outlining the criterion- and domain-level ratings and the key evidence on which those decisions were made.</w:t>
            </w:r>
          </w:p>
        </w:tc>
      </w:tr>
      <w:tr w:rsidR="006C4340" w:rsidRPr="003E2664" w14:paraId="3CECCA4B" w14:textId="77777777" w:rsidTr="00C63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754703A7" w14:textId="1BEEE574" w:rsidR="006C4340" w:rsidRPr="005E6184" w:rsidRDefault="006C4340" w:rsidP="006C4340">
            <w:pPr>
              <w:rPr>
                <w:rFonts w:cstheme="majorHAnsi"/>
              </w:rPr>
            </w:pPr>
            <w:r w:rsidRPr="005E6184">
              <w:rPr>
                <w:rFonts w:eastAsia="Calibri" w:cstheme="majorHAnsi"/>
              </w:rPr>
              <w:t>Determination</w:t>
            </w:r>
          </w:p>
        </w:tc>
        <w:tc>
          <w:tcPr>
            <w:tcW w:w="1650" w:type="dxa"/>
          </w:tcPr>
          <w:p w14:paraId="40640EE3" w14:textId="77777777" w:rsidR="006C4340" w:rsidRPr="00090190" w:rsidRDefault="006C4340" w:rsidP="006C4340">
            <w:pPr>
              <w:cnfStyle w:val="000000100000" w:firstRow="0" w:lastRow="0" w:firstColumn="0" w:lastColumn="0" w:oddVBand="0" w:evenVBand="0" w:oddHBand="1" w:evenHBand="0" w:firstRowFirstColumn="0" w:firstRowLastColumn="0" w:lastRowFirstColumn="0" w:lastRowLastColumn="0"/>
              <w:rPr>
                <w:rFonts w:eastAsia="Calibri" w:cstheme="majorHAnsi"/>
              </w:rPr>
            </w:pPr>
            <w:r w:rsidRPr="00090190">
              <w:rPr>
                <w:rFonts w:eastAsia="Calibri" w:cstheme="majorHAnsi"/>
              </w:rPr>
              <w:t>Factual Accuracy Response</w:t>
            </w:r>
          </w:p>
        </w:tc>
        <w:tc>
          <w:tcPr>
            <w:tcW w:w="1680" w:type="dxa"/>
          </w:tcPr>
          <w:p w14:paraId="599BDF9F" w14:textId="77777777" w:rsidR="006C4340" w:rsidRPr="00090190" w:rsidRDefault="006C4340" w:rsidP="006C4340">
            <w:pPr>
              <w:cnfStyle w:val="000000100000" w:firstRow="0" w:lastRow="0" w:firstColumn="0" w:lastColumn="0" w:oddVBand="0" w:evenVBand="0" w:oddHBand="1" w:evenHBand="0" w:firstRowFirstColumn="0" w:firstRowLastColumn="0" w:lastRowFirstColumn="0" w:lastRowLastColumn="0"/>
              <w:rPr>
                <w:rFonts w:eastAsia="Calibri" w:cstheme="majorHAnsi"/>
              </w:rPr>
            </w:pPr>
            <w:r w:rsidRPr="00090190">
              <w:rPr>
                <w:rFonts w:eastAsia="Calibri" w:cstheme="majorHAnsi"/>
              </w:rPr>
              <w:t>10 business days to complete from receipt of report</w:t>
            </w:r>
          </w:p>
        </w:tc>
        <w:tc>
          <w:tcPr>
            <w:tcW w:w="4605" w:type="dxa"/>
          </w:tcPr>
          <w:p w14:paraId="4BDEC9B4" w14:textId="77777777" w:rsidR="006C4340" w:rsidRPr="00014585" w:rsidRDefault="006C4340" w:rsidP="006C4340">
            <w:pPr>
              <w:cnfStyle w:val="000000100000" w:firstRow="0" w:lastRow="0" w:firstColumn="0" w:lastColumn="0" w:oddVBand="0" w:evenVBand="0" w:oddHBand="1" w:evenHBand="0" w:firstRowFirstColumn="0" w:firstRowLastColumn="0" w:lastRowFirstColumn="0" w:lastRowLastColumn="0"/>
              <w:rPr>
                <w:rFonts w:eastAsia="Calibri" w:cstheme="majorHAnsi"/>
              </w:rPr>
            </w:pPr>
            <w:r w:rsidRPr="00014585">
              <w:rPr>
                <w:rFonts w:eastAsia="Calibri" w:cstheme="majorHAnsi"/>
              </w:rPr>
              <w:t>Upon receiving the draft, the Sponsoring Organization reviews the document for factual errors. Given the substantive nature of the review and calibration checkpoints built into the process, organizations may submit corrections to factual mistakes in the report but may not refute conclusions or judgments made by the review team at this time. DESE reviews the response carefully and amends the report as deemed appropriate.</w:t>
            </w:r>
          </w:p>
        </w:tc>
      </w:tr>
      <w:tr w:rsidR="006C4340" w:rsidRPr="003E2664" w14:paraId="77347B8C" w14:textId="77777777" w:rsidTr="00C631CC">
        <w:tc>
          <w:tcPr>
            <w:cnfStyle w:val="001000000000" w:firstRow="0" w:lastRow="0" w:firstColumn="1" w:lastColumn="0" w:oddVBand="0" w:evenVBand="0" w:oddHBand="0" w:evenHBand="0" w:firstRowFirstColumn="0" w:firstRowLastColumn="0" w:lastRowFirstColumn="0" w:lastRowLastColumn="0"/>
            <w:tcW w:w="1710" w:type="dxa"/>
          </w:tcPr>
          <w:p w14:paraId="63197929" w14:textId="36E55A19" w:rsidR="006C4340" w:rsidRPr="005E6184" w:rsidRDefault="006C4340" w:rsidP="006C4340">
            <w:pPr>
              <w:rPr>
                <w:rFonts w:cstheme="majorHAnsi"/>
              </w:rPr>
            </w:pPr>
            <w:r w:rsidRPr="005E6184">
              <w:rPr>
                <w:rFonts w:eastAsia="Calibri" w:cstheme="majorHAnsi"/>
              </w:rPr>
              <w:t>Determination</w:t>
            </w:r>
          </w:p>
        </w:tc>
        <w:tc>
          <w:tcPr>
            <w:tcW w:w="1650" w:type="dxa"/>
          </w:tcPr>
          <w:p w14:paraId="6349F288" w14:textId="77777777" w:rsidR="006C4340" w:rsidRPr="00090190" w:rsidRDefault="006C4340" w:rsidP="006C4340">
            <w:pPr>
              <w:cnfStyle w:val="000000000000" w:firstRow="0" w:lastRow="0" w:firstColumn="0" w:lastColumn="0" w:oddVBand="0" w:evenVBand="0" w:oddHBand="0" w:evenHBand="0" w:firstRowFirstColumn="0" w:firstRowLastColumn="0" w:lastRowFirstColumn="0" w:lastRowLastColumn="0"/>
              <w:rPr>
                <w:rFonts w:eastAsia="Calibri" w:cstheme="majorHAnsi"/>
              </w:rPr>
            </w:pPr>
            <w:r w:rsidRPr="00090190">
              <w:rPr>
                <w:rFonts w:eastAsia="Calibri" w:cstheme="majorHAnsi"/>
              </w:rPr>
              <w:t>Notification of Approval Determination</w:t>
            </w:r>
          </w:p>
        </w:tc>
        <w:tc>
          <w:tcPr>
            <w:tcW w:w="1680" w:type="dxa"/>
          </w:tcPr>
          <w:p w14:paraId="26EA470A" w14:textId="77777777" w:rsidR="006C4340" w:rsidRPr="00090190" w:rsidRDefault="006C4340" w:rsidP="006C4340">
            <w:pPr>
              <w:cnfStyle w:val="000000000000" w:firstRow="0" w:lastRow="0" w:firstColumn="0" w:lastColumn="0" w:oddVBand="0" w:evenVBand="0" w:oddHBand="0" w:evenHBand="0" w:firstRowFirstColumn="0" w:firstRowLastColumn="0" w:lastRowFirstColumn="0" w:lastRowLastColumn="0"/>
              <w:rPr>
                <w:rFonts w:eastAsia="Calibri" w:cstheme="majorHAnsi"/>
              </w:rPr>
            </w:pPr>
            <w:r w:rsidRPr="00090190">
              <w:rPr>
                <w:rFonts w:eastAsia="Calibri" w:cstheme="majorHAnsi"/>
              </w:rPr>
              <w:t xml:space="preserve">30 days after receipt of factual accuracy response </w:t>
            </w:r>
          </w:p>
        </w:tc>
        <w:tc>
          <w:tcPr>
            <w:tcW w:w="4605" w:type="dxa"/>
          </w:tcPr>
          <w:p w14:paraId="04B4193D" w14:textId="2606454E" w:rsidR="006C4340" w:rsidRPr="00090190" w:rsidRDefault="006C4340" w:rsidP="006C4340">
            <w:pPr>
              <w:cnfStyle w:val="000000000000" w:firstRow="0" w:lastRow="0" w:firstColumn="0" w:lastColumn="0" w:oddVBand="0" w:evenVBand="0" w:oddHBand="0" w:evenHBand="0" w:firstRowFirstColumn="0" w:firstRowLastColumn="0" w:lastRowFirstColumn="0" w:lastRowLastColumn="0"/>
              <w:rPr>
                <w:rFonts w:eastAsia="Calibri" w:cstheme="majorHAnsi"/>
              </w:rPr>
            </w:pPr>
            <w:r w:rsidRPr="00014585">
              <w:rPr>
                <w:rFonts w:eastAsia="Calibri" w:cstheme="majorHAnsi"/>
              </w:rPr>
              <w:t xml:space="preserve">DESE notifies the Sponsoring Organization of its </w:t>
            </w:r>
            <w:hyperlink w:anchor="_Approval_Determinations" w:history="1">
              <w:r w:rsidRPr="005E6184">
                <w:rPr>
                  <w:rStyle w:val="Hyperlink"/>
                  <w:rFonts w:eastAsia="Calibri" w:cstheme="majorHAnsi"/>
                </w:rPr>
                <w:t>approval determination</w:t>
              </w:r>
            </w:hyperlink>
            <w:r w:rsidRPr="005E6184">
              <w:rPr>
                <w:rFonts w:eastAsia="Calibri" w:cstheme="majorHAnsi"/>
              </w:rPr>
              <w:t>, including any program-sp</w:t>
            </w:r>
            <w:r w:rsidRPr="00090190">
              <w:rPr>
                <w:rFonts w:eastAsia="Calibri" w:cstheme="majorHAnsi"/>
              </w:rPr>
              <w:t xml:space="preserve">ecific approval determinations, in writing. </w:t>
            </w:r>
          </w:p>
          <w:p w14:paraId="0C38DB08" w14:textId="77777777" w:rsidR="006C4340" w:rsidRPr="00090190" w:rsidRDefault="006C4340" w:rsidP="006C4340">
            <w:pPr>
              <w:cnfStyle w:val="000000000000" w:firstRow="0" w:lastRow="0" w:firstColumn="0" w:lastColumn="0" w:oddVBand="0" w:evenVBand="0" w:oddHBand="0" w:evenHBand="0" w:firstRowFirstColumn="0" w:firstRowLastColumn="0" w:lastRowFirstColumn="0" w:lastRowLastColumn="0"/>
              <w:rPr>
                <w:rFonts w:eastAsia="Calibri" w:cstheme="majorHAnsi"/>
              </w:rPr>
            </w:pPr>
          </w:p>
          <w:p w14:paraId="7C377946" w14:textId="77777777" w:rsidR="006C4340" w:rsidRPr="00014585" w:rsidRDefault="006C4340" w:rsidP="006C4340">
            <w:pPr>
              <w:cnfStyle w:val="000000000000" w:firstRow="0" w:lastRow="0" w:firstColumn="0" w:lastColumn="0" w:oddVBand="0" w:evenVBand="0" w:oddHBand="0" w:evenHBand="0" w:firstRowFirstColumn="0" w:firstRowLastColumn="0" w:lastRowFirstColumn="0" w:lastRowLastColumn="0"/>
              <w:rPr>
                <w:rFonts w:eastAsia="Calibri" w:cstheme="majorHAnsi"/>
              </w:rPr>
            </w:pPr>
            <w:r w:rsidRPr="00090190">
              <w:rPr>
                <w:rFonts w:eastAsia="Calibri" w:cstheme="majorHAnsi"/>
              </w:rPr>
              <w:t>If the Sponsoring Organization receives an approval determination of Approved with Conditions or Probationary Approval, the review designee works with DESE to determine timelines and next steps in response to f</w:t>
            </w:r>
            <w:r w:rsidRPr="00014585">
              <w:rPr>
                <w:rFonts w:eastAsia="Calibri" w:cstheme="majorHAnsi"/>
              </w:rPr>
              <w:t xml:space="preserve">indings requiring action. </w:t>
            </w:r>
          </w:p>
        </w:tc>
      </w:tr>
      <w:tr w:rsidR="006C4340" w:rsidRPr="003E2664" w14:paraId="3676B7C3" w14:textId="77777777" w:rsidTr="00C63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33749349" w14:textId="17BE4B73" w:rsidR="006C4340" w:rsidRPr="005E6184" w:rsidRDefault="006C4340" w:rsidP="006C4340">
            <w:pPr>
              <w:rPr>
                <w:rFonts w:cstheme="majorHAnsi"/>
              </w:rPr>
            </w:pPr>
            <w:r w:rsidRPr="005E6184">
              <w:rPr>
                <w:rFonts w:eastAsia="Calibri" w:cstheme="majorHAnsi"/>
              </w:rPr>
              <w:t>Determination</w:t>
            </w:r>
          </w:p>
        </w:tc>
        <w:tc>
          <w:tcPr>
            <w:tcW w:w="1650" w:type="dxa"/>
          </w:tcPr>
          <w:p w14:paraId="1A4320E1" w14:textId="77777777" w:rsidR="006C4340" w:rsidRPr="00090190" w:rsidRDefault="006C4340" w:rsidP="006C4340">
            <w:pPr>
              <w:cnfStyle w:val="000000100000" w:firstRow="0" w:lastRow="0" w:firstColumn="0" w:lastColumn="0" w:oddVBand="0" w:evenVBand="0" w:oddHBand="1" w:evenHBand="0" w:firstRowFirstColumn="0" w:firstRowLastColumn="0" w:lastRowFirstColumn="0" w:lastRowLastColumn="0"/>
              <w:rPr>
                <w:rFonts w:eastAsia="Calibri" w:cstheme="majorHAnsi"/>
              </w:rPr>
            </w:pPr>
            <w:r w:rsidRPr="00090190">
              <w:rPr>
                <w:rFonts w:eastAsia="Calibri" w:cstheme="majorHAnsi"/>
              </w:rPr>
              <w:t xml:space="preserve">Rejoinder Response and </w:t>
            </w:r>
            <w:r w:rsidRPr="00090190">
              <w:rPr>
                <w:rFonts w:eastAsia="Calibri" w:cstheme="majorHAnsi"/>
              </w:rPr>
              <w:lastRenderedPageBreak/>
              <w:t>Hearing Requests</w:t>
            </w:r>
          </w:p>
        </w:tc>
        <w:tc>
          <w:tcPr>
            <w:tcW w:w="1680" w:type="dxa"/>
          </w:tcPr>
          <w:p w14:paraId="1C51048C" w14:textId="77777777" w:rsidR="006C4340" w:rsidRPr="00014585" w:rsidRDefault="006C4340" w:rsidP="006C4340">
            <w:pPr>
              <w:cnfStyle w:val="000000100000" w:firstRow="0" w:lastRow="0" w:firstColumn="0" w:lastColumn="0" w:oddVBand="0" w:evenVBand="0" w:oddHBand="1" w:evenHBand="0" w:firstRowFirstColumn="0" w:firstRowLastColumn="0" w:lastRowFirstColumn="0" w:lastRowLastColumn="0"/>
              <w:rPr>
                <w:rFonts w:eastAsia="Calibri" w:cstheme="majorHAnsi"/>
              </w:rPr>
            </w:pPr>
            <w:r w:rsidRPr="00090190">
              <w:rPr>
                <w:rFonts w:eastAsia="Calibri" w:cstheme="majorHAnsi"/>
              </w:rPr>
              <w:lastRenderedPageBreak/>
              <w:t xml:space="preserve">Within 30 days of receipt of </w:t>
            </w:r>
            <w:r w:rsidRPr="00090190">
              <w:rPr>
                <w:rFonts w:eastAsia="Calibri" w:cstheme="majorHAnsi"/>
              </w:rPr>
              <w:lastRenderedPageBreak/>
              <w:t>approval determination</w:t>
            </w:r>
          </w:p>
        </w:tc>
        <w:tc>
          <w:tcPr>
            <w:tcW w:w="4605" w:type="dxa"/>
          </w:tcPr>
          <w:p w14:paraId="6B283A29" w14:textId="77777777" w:rsidR="006C4340" w:rsidRPr="00014585" w:rsidRDefault="006C4340" w:rsidP="006C4340">
            <w:pPr>
              <w:cnfStyle w:val="000000100000" w:firstRow="0" w:lastRow="0" w:firstColumn="0" w:lastColumn="0" w:oddVBand="0" w:evenVBand="0" w:oddHBand="1" w:evenHBand="0" w:firstRowFirstColumn="0" w:firstRowLastColumn="0" w:lastRowFirstColumn="0" w:lastRowLastColumn="0"/>
              <w:rPr>
                <w:rFonts w:eastAsia="Calibri" w:cstheme="majorHAnsi"/>
              </w:rPr>
            </w:pPr>
            <w:r w:rsidRPr="00014585">
              <w:rPr>
                <w:rFonts w:eastAsia="Calibri" w:cstheme="majorHAnsi"/>
              </w:rPr>
              <w:lastRenderedPageBreak/>
              <w:t xml:space="preserve">Any Sponsoring Organization with an approval determination of Approved with Conditions, Probationary Approval, or Not Approved may </w:t>
            </w:r>
            <w:r w:rsidRPr="00014585">
              <w:rPr>
                <w:rFonts w:eastAsia="Calibri" w:cstheme="majorHAnsi"/>
              </w:rPr>
              <w:lastRenderedPageBreak/>
              <w:t xml:space="preserve">contest judgments or decisions reflected in the report by submitting a rejoinder response within 30 days of receipt of the final report and approval letter. The rejoinder response must be submitted using DESE’s provided template. DESE reviews the rejoinder response and the Commissioner may modify the report and determinations solely at his/her discretion. </w:t>
            </w:r>
          </w:p>
          <w:p w14:paraId="014C25CB" w14:textId="77777777" w:rsidR="006C4340" w:rsidRPr="00014585" w:rsidRDefault="006C4340" w:rsidP="006C4340">
            <w:pPr>
              <w:cnfStyle w:val="000000100000" w:firstRow="0" w:lastRow="0" w:firstColumn="0" w:lastColumn="0" w:oddVBand="0" w:evenVBand="0" w:oddHBand="1" w:evenHBand="0" w:firstRowFirstColumn="0" w:firstRowLastColumn="0" w:lastRowFirstColumn="0" w:lastRowLastColumn="0"/>
              <w:rPr>
                <w:rFonts w:eastAsia="Calibri" w:cstheme="majorHAnsi"/>
              </w:rPr>
            </w:pPr>
          </w:p>
          <w:p w14:paraId="615289A0" w14:textId="2FD2BB06" w:rsidR="006C4340" w:rsidRPr="00014585" w:rsidRDefault="006C4340" w:rsidP="006C4340">
            <w:pPr>
              <w:cnfStyle w:val="000000100000" w:firstRow="0" w:lastRow="0" w:firstColumn="0" w:lastColumn="0" w:oddVBand="0" w:evenVBand="0" w:oddHBand="1" w:evenHBand="0" w:firstRowFirstColumn="0" w:firstRowLastColumn="0" w:lastRowFirstColumn="0" w:lastRowLastColumn="0"/>
              <w:rPr>
                <w:rFonts w:eastAsia="Calibri" w:cstheme="majorHAnsi"/>
              </w:rPr>
            </w:pPr>
            <w:r w:rsidRPr="00AC72D4">
              <w:rPr>
                <w:rFonts w:eastAsia="Calibri" w:cstheme="majorHAnsi"/>
              </w:rPr>
              <w:t>Upon receiving a notice of an approval determination of Not Approved, the Sponsoring Organization shall have all rights of review required by</w:t>
            </w:r>
            <w:r w:rsidR="0023416A" w:rsidRPr="00DD08F3">
              <w:rPr>
                <w:rFonts w:eastAsia="Calibri" w:cstheme="majorHAnsi"/>
              </w:rPr>
              <w:t xml:space="preserve"> </w:t>
            </w:r>
            <w:hyperlink r:id="rId54" w:history="1">
              <w:r w:rsidR="0023416A" w:rsidRPr="005E6184">
                <w:rPr>
                  <w:rStyle w:val="Hyperlink"/>
                  <w:rFonts w:eastAsia="Calibri" w:cstheme="majorHAnsi"/>
                </w:rPr>
                <w:t>G.L. c. 30A,s. 13</w:t>
              </w:r>
            </w:hyperlink>
            <w:r w:rsidR="0023416A" w:rsidRPr="005E6184">
              <w:rPr>
                <w:rFonts w:eastAsia="Calibri" w:cstheme="majorHAnsi"/>
              </w:rPr>
              <w:t xml:space="preserve"> and </w:t>
            </w:r>
            <w:hyperlink r:id="rId55" w:history="1">
              <w:r w:rsidR="0023416A" w:rsidRPr="005E6184">
                <w:rPr>
                  <w:rStyle w:val="Hyperlink"/>
                  <w:rFonts w:eastAsia="Calibri" w:cstheme="majorHAnsi"/>
                </w:rPr>
                <w:t>801 CMR 1.00</w:t>
              </w:r>
            </w:hyperlink>
            <w:r w:rsidRPr="005E6184">
              <w:rPr>
                <w:rFonts w:eastAsia="Calibri" w:cstheme="majorHAnsi"/>
              </w:rPr>
              <w:t xml:space="preserve">. All requests </w:t>
            </w:r>
            <w:r w:rsidRPr="00090190">
              <w:rPr>
                <w:rFonts w:eastAsia="Calibri" w:cstheme="majorHAnsi"/>
              </w:rPr>
              <w:t>for hearings, where hearings are provided by statute, shall be in writing, addressed to the Commissioner, and must be received within 30 days of receipt by the Sponsoring Organization of the notice of approval determination. At such hearing, the Sponsoring Organization shall bear the burden of proof and present its case first.</w:t>
            </w:r>
          </w:p>
        </w:tc>
      </w:tr>
      <w:tr w:rsidR="006C4340" w:rsidRPr="003E2664" w14:paraId="42AD17AD" w14:textId="77777777" w:rsidTr="00C631CC">
        <w:tc>
          <w:tcPr>
            <w:cnfStyle w:val="001000000000" w:firstRow="0" w:lastRow="0" w:firstColumn="1" w:lastColumn="0" w:oddVBand="0" w:evenVBand="0" w:oddHBand="0" w:evenHBand="0" w:firstRowFirstColumn="0" w:firstRowLastColumn="0" w:lastRowFirstColumn="0" w:lastRowLastColumn="0"/>
            <w:tcW w:w="1710" w:type="dxa"/>
          </w:tcPr>
          <w:p w14:paraId="037483B8" w14:textId="7A61307F" w:rsidR="006C4340" w:rsidRPr="005E6184" w:rsidRDefault="006C4340" w:rsidP="006C4340">
            <w:pPr>
              <w:rPr>
                <w:rFonts w:cstheme="majorHAnsi"/>
              </w:rPr>
            </w:pPr>
            <w:r w:rsidRPr="005E6184">
              <w:rPr>
                <w:rFonts w:eastAsia="Calibri" w:cstheme="majorHAnsi"/>
              </w:rPr>
              <w:lastRenderedPageBreak/>
              <w:t>Determination</w:t>
            </w:r>
          </w:p>
        </w:tc>
        <w:tc>
          <w:tcPr>
            <w:tcW w:w="1650" w:type="dxa"/>
          </w:tcPr>
          <w:p w14:paraId="27EDCF16" w14:textId="77777777" w:rsidR="006C4340" w:rsidRPr="00090190" w:rsidRDefault="006C4340" w:rsidP="006C4340">
            <w:pPr>
              <w:cnfStyle w:val="000000000000" w:firstRow="0" w:lastRow="0" w:firstColumn="0" w:lastColumn="0" w:oddVBand="0" w:evenVBand="0" w:oddHBand="0" w:evenHBand="0" w:firstRowFirstColumn="0" w:firstRowLastColumn="0" w:lastRowFirstColumn="0" w:lastRowLastColumn="0"/>
              <w:rPr>
                <w:rFonts w:eastAsia="Calibri" w:cstheme="majorHAnsi"/>
              </w:rPr>
            </w:pPr>
            <w:r w:rsidRPr="00090190">
              <w:rPr>
                <w:rFonts w:eastAsia="Calibri" w:cstheme="majorHAnsi"/>
              </w:rPr>
              <w:t>Approval Determination Updated on Profiles</w:t>
            </w:r>
          </w:p>
        </w:tc>
        <w:tc>
          <w:tcPr>
            <w:tcW w:w="1680" w:type="dxa"/>
          </w:tcPr>
          <w:p w14:paraId="692E3D08" w14:textId="77777777" w:rsidR="006C4340" w:rsidRPr="00090190" w:rsidRDefault="006C4340" w:rsidP="006C4340">
            <w:pPr>
              <w:cnfStyle w:val="000000000000" w:firstRow="0" w:lastRow="0" w:firstColumn="0" w:lastColumn="0" w:oddVBand="0" w:evenVBand="0" w:oddHBand="0" w:evenHBand="0" w:firstRowFirstColumn="0" w:firstRowLastColumn="0" w:lastRowFirstColumn="0" w:lastRowLastColumn="0"/>
              <w:rPr>
                <w:rFonts w:eastAsia="Calibri" w:cstheme="majorHAnsi"/>
              </w:rPr>
            </w:pPr>
            <w:r w:rsidRPr="00090190">
              <w:rPr>
                <w:rFonts w:eastAsia="Calibri" w:cstheme="majorHAnsi"/>
              </w:rPr>
              <w:t>60 days after notification of approval determination</w:t>
            </w:r>
          </w:p>
        </w:tc>
        <w:tc>
          <w:tcPr>
            <w:tcW w:w="4605" w:type="dxa"/>
          </w:tcPr>
          <w:p w14:paraId="2DE84508" w14:textId="77777777" w:rsidR="006C4340" w:rsidRPr="00014585" w:rsidRDefault="006C4340" w:rsidP="006C4340">
            <w:pPr>
              <w:cnfStyle w:val="000000000000" w:firstRow="0" w:lastRow="0" w:firstColumn="0" w:lastColumn="0" w:oddVBand="0" w:evenVBand="0" w:oddHBand="0" w:evenHBand="0" w:firstRowFirstColumn="0" w:firstRowLastColumn="0" w:lastRowFirstColumn="0" w:lastRowLastColumn="0"/>
              <w:rPr>
                <w:rFonts w:eastAsia="Calibri" w:cstheme="majorHAnsi"/>
              </w:rPr>
            </w:pPr>
            <w:r w:rsidRPr="00014585">
              <w:rPr>
                <w:rFonts w:eastAsia="Calibri" w:cstheme="majorHAnsi"/>
              </w:rPr>
              <w:t>DESE publishes the Sponsoring Organization’s approval determination on Public Profiles.</w:t>
            </w:r>
          </w:p>
        </w:tc>
      </w:tr>
    </w:tbl>
    <w:p w14:paraId="0572248A" w14:textId="77777777" w:rsidR="00815BCE" w:rsidRPr="00BA67B6" w:rsidRDefault="00815BCE" w:rsidP="00815BCE">
      <w:pPr>
        <w:spacing w:line="240" w:lineRule="auto"/>
        <w:ind w:left="12"/>
        <w:rPr>
          <w:rFonts w:eastAsia="Calibri" w:cstheme="majorHAnsi"/>
          <w:sz w:val="24"/>
          <w:szCs w:val="24"/>
        </w:rPr>
      </w:pPr>
    </w:p>
    <w:p w14:paraId="06F069B3" w14:textId="77777777" w:rsidR="00815BCE" w:rsidRPr="00BA67B6" w:rsidRDefault="00815BCE" w:rsidP="00815BCE">
      <w:pPr>
        <w:spacing w:line="240" w:lineRule="auto"/>
        <w:rPr>
          <w:rFonts w:eastAsia="Calibri" w:cstheme="majorHAnsi"/>
          <w:sz w:val="24"/>
          <w:szCs w:val="24"/>
          <w:highlight w:val="yellow"/>
        </w:rPr>
      </w:pPr>
    </w:p>
    <w:p w14:paraId="575E7ECF" w14:textId="73DA6218" w:rsidR="0075522F" w:rsidRPr="00C66226" w:rsidRDefault="0075522F">
      <w:pPr>
        <w:pStyle w:val="Heading3"/>
        <w:rPr>
          <w:color w:val="215868" w:themeColor="accent5" w:themeShade="80"/>
        </w:rPr>
      </w:pPr>
      <w:bookmarkStart w:id="99" w:name="_Decision-Making"/>
      <w:bookmarkStart w:id="100" w:name="_Toc125547341"/>
      <w:bookmarkStart w:id="101" w:name="_Toc125574790"/>
      <w:bookmarkStart w:id="102" w:name="_Toc125575634"/>
      <w:bookmarkStart w:id="103" w:name="_Toc321389890"/>
      <w:bookmarkEnd w:id="99"/>
      <w:r w:rsidRPr="00C66226">
        <w:rPr>
          <w:color w:val="215868" w:themeColor="accent5" w:themeShade="80"/>
        </w:rPr>
        <w:t>Decision-Making</w:t>
      </w:r>
      <w:bookmarkEnd w:id="100"/>
      <w:bookmarkEnd w:id="101"/>
      <w:bookmarkEnd w:id="102"/>
    </w:p>
    <w:p w14:paraId="5F33A8A2" w14:textId="5DBF122B" w:rsidR="0075522F" w:rsidRPr="00014585" w:rsidRDefault="00033E26" w:rsidP="001C196E">
      <w:pPr>
        <w:rPr>
          <w:rFonts w:cstheme="majorHAnsi"/>
        </w:rPr>
      </w:pPr>
      <w:r w:rsidRPr="001C196E">
        <w:rPr>
          <w:rFonts w:cstheme="majorHAnsi"/>
        </w:rPr>
        <w:t>For</w:t>
      </w:r>
      <w:r w:rsidR="00477202" w:rsidRPr="001C196E">
        <w:rPr>
          <w:rFonts w:cstheme="majorHAnsi"/>
        </w:rPr>
        <w:t xml:space="preserve"> </w:t>
      </w:r>
      <w:r w:rsidRPr="001C196E">
        <w:rPr>
          <w:rFonts w:cstheme="majorHAnsi"/>
        </w:rPr>
        <w:t>each formal review</w:t>
      </w:r>
      <w:r w:rsidR="00477202" w:rsidRPr="001C196E">
        <w:rPr>
          <w:rFonts w:cstheme="majorHAnsi"/>
        </w:rPr>
        <w:t xml:space="preserve">, DESE works with a team of external reviewers to triangulate all available evidence carefully and to make </w:t>
      </w:r>
      <w:r w:rsidR="00DF6CAF" w:rsidRPr="00090190">
        <w:rPr>
          <w:rFonts w:cstheme="majorHAnsi"/>
        </w:rPr>
        <w:t>rating</w:t>
      </w:r>
      <w:r w:rsidR="00477202" w:rsidRPr="00090190">
        <w:rPr>
          <w:rFonts w:cstheme="majorHAnsi"/>
        </w:rPr>
        <w:t xml:space="preserve">s that are calibrated within the team. An internal DESE vetting panel reviews </w:t>
      </w:r>
      <w:r w:rsidR="00477202" w:rsidRPr="001C196E">
        <w:rPr>
          <w:rFonts w:cstheme="majorHAnsi"/>
        </w:rPr>
        <w:t xml:space="preserve">all </w:t>
      </w:r>
      <w:r w:rsidRPr="001C196E">
        <w:rPr>
          <w:rFonts w:cstheme="majorHAnsi"/>
        </w:rPr>
        <w:t>rating</w:t>
      </w:r>
      <w:r w:rsidR="00477202" w:rsidRPr="001C196E">
        <w:rPr>
          <w:rFonts w:cstheme="majorHAnsi"/>
        </w:rPr>
        <w:t xml:space="preserve">s </w:t>
      </w:r>
      <w:r w:rsidR="00DF6CAF" w:rsidRPr="001C196E">
        <w:rPr>
          <w:rFonts w:cstheme="majorHAnsi"/>
        </w:rPr>
        <w:t>recommended</w:t>
      </w:r>
      <w:r w:rsidR="00477202" w:rsidRPr="001C196E">
        <w:rPr>
          <w:rFonts w:cstheme="majorHAnsi"/>
        </w:rPr>
        <w:t xml:space="preserve"> by the external review team</w:t>
      </w:r>
      <w:r w:rsidR="001C196E" w:rsidRPr="001C196E">
        <w:rPr>
          <w:rFonts w:cstheme="majorHAnsi"/>
        </w:rPr>
        <w:t xml:space="preserve"> and has the authority to change ratings recommended by the re</w:t>
      </w:r>
      <w:r w:rsidR="001C196E" w:rsidRPr="00090190">
        <w:rPr>
          <w:rFonts w:cstheme="majorHAnsi"/>
        </w:rPr>
        <w:t>view team</w:t>
      </w:r>
      <w:r w:rsidR="00477202" w:rsidRPr="00090190">
        <w:rPr>
          <w:rFonts w:cstheme="majorHAnsi"/>
        </w:rPr>
        <w:t xml:space="preserve"> to ensure they are grounded in evidence, aligned with regulatory requirements, and set consistent expectations across reviews. </w:t>
      </w:r>
      <w:r w:rsidR="00DF6CAF" w:rsidRPr="00090190">
        <w:rPr>
          <w:rFonts w:cstheme="majorHAnsi"/>
        </w:rPr>
        <w:t>T</w:t>
      </w:r>
      <w:r w:rsidR="0075522F" w:rsidRPr="00090190">
        <w:rPr>
          <w:rFonts w:cstheme="majorHAnsi"/>
        </w:rPr>
        <w:t>here are various levels of decision-making that occur, with each level informing the</w:t>
      </w:r>
      <w:r w:rsidR="0075522F" w:rsidRPr="00014585">
        <w:rPr>
          <w:rFonts w:cstheme="majorHAnsi"/>
        </w:rPr>
        <w:t xml:space="preserve"> next: </w:t>
      </w:r>
    </w:p>
    <w:p w14:paraId="5BD93C18" w14:textId="030E1934" w:rsidR="0075522F" w:rsidRPr="00367C89" w:rsidRDefault="0075522F" w:rsidP="001C196E">
      <w:pPr>
        <w:pStyle w:val="ListParagraph"/>
        <w:numPr>
          <w:ilvl w:val="0"/>
          <w:numId w:val="32"/>
        </w:numPr>
        <w:spacing w:after="200"/>
        <w:rPr>
          <w:rFonts w:cstheme="majorHAnsi"/>
        </w:rPr>
      </w:pPr>
      <w:r w:rsidRPr="00014585">
        <w:rPr>
          <w:rFonts w:cstheme="majorHAnsi"/>
          <w:b/>
          <w:bCs/>
        </w:rPr>
        <w:t>Criterion Ratings:</w:t>
      </w:r>
      <w:r w:rsidRPr="00014585">
        <w:rPr>
          <w:rFonts w:cstheme="majorHAnsi"/>
        </w:rPr>
        <w:t xml:space="preserve"> </w:t>
      </w:r>
      <w:r w:rsidR="004C06C3" w:rsidRPr="00014585">
        <w:rPr>
          <w:rFonts w:cstheme="majorHAnsi"/>
        </w:rPr>
        <w:t>DESE and t</w:t>
      </w:r>
      <w:r w:rsidR="00DF6CAF" w:rsidRPr="00014585">
        <w:rPr>
          <w:rFonts w:cstheme="majorHAnsi"/>
        </w:rPr>
        <w:t>he external review team</w:t>
      </w:r>
      <w:r w:rsidRPr="00014585">
        <w:rPr>
          <w:rFonts w:cstheme="majorHAnsi"/>
        </w:rPr>
        <w:t xml:space="preserve"> first analyze</w:t>
      </w:r>
      <w:r w:rsidRPr="00367C89">
        <w:rPr>
          <w:rFonts w:cstheme="majorHAnsi"/>
        </w:rPr>
        <w:t xml:space="preserve"> all evidence collected from each phase of the formal review process at the criterion-level to inform criterion ratings. The criteria are the focus of evidence collection throughout the review and will be the level at which most specific feedback is shared back to Sponsoring Organizations in the formal review report. </w:t>
      </w:r>
    </w:p>
    <w:p w14:paraId="37E35E7A" w14:textId="6F909502" w:rsidR="0075522F" w:rsidRPr="00367C89" w:rsidRDefault="0075522F" w:rsidP="00090190">
      <w:pPr>
        <w:pStyle w:val="ListParagraph"/>
        <w:numPr>
          <w:ilvl w:val="0"/>
          <w:numId w:val="32"/>
        </w:numPr>
        <w:spacing w:after="200"/>
        <w:rPr>
          <w:rFonts w:cstheme="majorHAnsi"/>
        </w:rPr>
      </w:pPr>
      <w:r w:rsidRPr="00367C89">
        <w:rPr>
          <w:rFonts w:cstheme="majorHAnsi"/>
          <w:b/>
          <w:bCs/>
        </w:rPr>
        <w:t>Domain Ratings:</w:t>
      </w:r>
      <w:r w:rsidRPr="00367C89">
        <w:rPr>
          <w:rFonts w:cstheme="majorHAnsi"/>
        </w:rPr>
        <w:t xml:space="preserve"> </w:t>
      </w:r>
      <w:r w:rsidR="004C06C3" w:rsidRPr="00367C89">
        <w:rPr>
          <w:rFonts w:cstheme="majorHAnsi"/>
        </w:rPr>
        <w:t>DESE and t</w:t>
      </w:r>
      <w:r w:rsidR="00DF6CAF" w:rsidRPr="00367C89">
        <w:rPr>
          <w:rFonts w:cstheme="majorHAnsi"/>
        </w:rPr>
        <w:t>he external review team</w:t>
      </w:r>
      <w:r w:rsidRPr="00367C89">
        <w:rPr>
          <w:rFonts w:cstheme="majorHAnsi"/>
        </w:rPr>
        <w:t xml:space="preserve"> then consider all criteria within each domain to inform each </w:t>
      </w:r>
      <w:r w:rsidR="00EA2115">
        <w:rPr>
          <w:rFonts w:cstheme="majorHAnsi"/>
        </w:rPr>
        <w:t>d</w:t>
      </w:r>
      <w:r w:rsidRPr="00367C89">
        <w:rPr>
          <w:rFonts w:cstheme="majorHAnsi"/>
        </w:rPr>
        <w:t xml:space="preserve">omain </w:t>
      </w:r>
      <w:r w:rsidR="00EA2115">
        <w:rPr>
          <w:rFonts w:cstheme="majorHAnsi"/>
        </w:rPr>
        <w:t>r</w:t>
      </w:r>
      <w:r w:rsidRPr="00367C89">
        <w:rPr>
          <w:rFonts w:cstheme="majorHAnsi"/>
        </w:rPr>
        <w:t xml:space="preserve">ating. </w:t>
      </w:r>
    </w:p>
    <w:p w14:paraId="6B01FF14" w14:textId="28CEF218" w:rsidR="003B1B84" w:rsidRPr="00367C89" w:rsidRDefault="0075522F" w:rsidP="00090190">
      <w:pPr>
        <w:pStyle w:val="ListParagraph"/>
        <w:numPr>
          <w:ilvl w:val="0"/>
          <w:numId w:val="32"/>
        </w:numPr>
        <w:spacing w:after="200"/>
        <w:rPr>
          <w:rFonts w:cstheme="majorHAnsi"/>
        </w:rPr>
      </w:pPr>
      <w:r w:rsidRPr="00367C89">
        <w:rPr>
          <w:rFonts w:cstheme="majorHAnsi"/>
          <w:b/>
          <w:bCs/>
        </w:rPr>
        <w:t>Approval Determinations:</w:t>
      </w:r>
      <w:r w:rsidRPr="00367C89">
        <w:rPr>
          <w:rFonts w:cstheme="majorHAnsi"/>
        </w:rPr>
        <w:t xml:space="preserve"> Finally, DESE uses the domain ratings to determine the Sponsoring Organization’s Approval Determination.</w:t>
      </w:r>
    </w:p>
    <w:p w14:paraId="3757A2C6" w14:textId="77777777" w:rsidR="0075522F" w:rsidRPr="00BA67B6" w:rsidRDefault="0075522F" w:rsidP="00367C89">
      <w:pPr>
        <w:pStyle w:val="Heading4"/>
      </w:pPr>
      <w:bookmarkStart w:id="104" w:name="_Toc125547342"/>
      <w:bookmarkStart w:id="105" w:name="_Toc125574791"/>
      <w:bookmarkStart w:id="106" w:name="_Toc125575635"/>
      <w:r w:rsidRPr="00BA67B6">
        <w:lastRenderedPageBreak/>
        <w:t>Criterion Ratings</w:t>
      </w:r>
      <w:bookmarkEnd w:id="104"/>
      <w:bookmarkEnd w:id="105"/>
      <w:bookmarkEnd w:id="106"/>
    </w:p>
    <w:p w14:paraId="380C4DC9" w14:textId="660662E8" w:rsidR="0075522F" w:rsidRPr="00367C89" w:rsidRDefault="0075522F" w:rsidP="00367C89">
      <w:pPr>
        <w:rPr>
          <w:rFonts w:cstheme="majorHAnsi"/>
        </w:rPr>
      </w:pPr>
      <w:r w:rsidRPr="007B2B94">
        <w:rPr>
          <w:rFonts w:cstheme="majorHAnsi"/>
        </w:rPr>
        <w:t xml:space="preserve">When making </w:t>
      </w:r>
      <w:r w:rsidR="00C47C47" w:rsidRPr="007B2B94">
        <w:rPr>
          <w:rFonts w:cstheme="majorHAnsi"/>
        </w:rPr>
        <w:t>criterion</w:t>
      </w:r>
      <w:r w:rsidRPr="007B2B94">
        <w:rPr>
          <w:rFonts w:cstheme="majorHAnsi"/>
        </w:rPr>
        <w:t xml:space="preserve"> </w:t>
      </w:r>
      <w:r w:rsidR="00621434" w:rsidRPr="007B2B94">
        <w:rPr>
          <w:rFonts w:cstheme="majorHAnsi"/>
        </w:rPr>
        <w:t>rating recommendations</w:t>
      </w:r>
      <w:r w:rsidRPr="007B2B94">
        <w:rPr>
          <w:rFonts w:cstheme="majorHAnsi"/>
        </w:rPr>
        <w:t xml:space="preserve">, </w:t>
      </w:r>
      <w:r w:rsidR="003E2664" w:rsidRPr="007B2B94">
        <w:rPr>
          <w:rFonts w:cstheme="majorHAnsi"/>
        </w:rPr>
        <w:t xml:space="preserve">DESE and </w:t>
      </w:r>
      <w:r w:rsidRPr="007B2B94">
        <w:rPr>
          <w:rFonts w:cstheme="majorHAnsi"/>
        </w:rPr>
        <w:t>the review team consider all evidence submitted by a</w:t>
      </w:r>
      <w:r w:rsidRPr="00090190">
        <w:rPr>
          <w:rFonts w:cstheme="majorHAnsi"/>
        </w:rPr>
        <w:t xml:space="preserve"> </w:t>
      </w:r>
      <w:r w:rsidR="007E3BCC" w:rsidRPr="00090190">
        <w:rPr>
          <w:rStyle w:val="normaltextrun"/>
          <w:rFonts w:cstheme="majorHAnsi"/>
        </w:rPr>
        <w:t>Sponsoring Organization</w:t>
      </w:r>
      <w:r w:rsidRPr="00090190">
        <w:rPr>
          <w:rFonts w:cstheme="majorHAnsi"/>
        </w:rPr>
        <w:t xml:space="preserve"> or collected by DESE holistically, and weigh</w:t>
      </w:r>
      <w:r w:rsidRPr="00367C89">
        <w:rPr>
          <w:rFonts w:cstheme="majorHAnsi"/>
        </w:rPr>
        <w:t xml:space="preserve"> evidence of impact more heavily than descriptions of or plans for inputs. To allow S</w:t>
      </w:r>
      <w:r w:rsidR="00AB30A1" w:rsidRPr="00367C89">
        <w:rPr>
          <w:rFonts w:cstheme="majorHAnsi"/>
        </w:rPr>
        <w:t xml:space="preserve">ponsoring </w:t>
      </w:r>
      <w:r w:rsidRPr="00367C89">
        <w:rPr>
          <w:rFonts w:cstheme="majorHAnsi"/>
        </w:rPr>
        <w:t>O</w:t>
      </w:r>
      <w:r w:rsidR="00AB30A1" w:rsidRPr="00367C89">
        <w:rPr>
          <w:rFonts w:cstheme="majorHAnsi"/>
        </w:rPr>
        <w:t>rganization</w:t>
      </w:r>
      <w:r w:rsidRPr="00367C89">
        <w:rPr>
          <w:rFonts w:cstheme="majorHAnsi"/>
        </w:rPr>
        <w:t xml:space="preserve">s sufficient time to collect evidence of impact relative to the revised </w:t>
      </w:r>
      <w:r w:rsidR="000C7F51" w:rsidRPr="00367C89">
        <w:rPr>
          <w:rFonts w:cstheme="majorHAnsi"/>
        </w:rPr>
        <w:t xml:space="preserve">2023 </w:t>
      </w:r>
      <w:r w:rsidRPr="00367C89">
        <w:rPr>
          <w:rFonts w:cstheme="majorHAnsi"/>
        </w:rPr>
        <w:t xml:space="preserve">Program Approval Criteria, DESE has amended criterion ratings for formal reviews through the 2026-2027 academic year as described below. </w:t>
      </w:r>
    </w:p>
    <w:p w14:paraId="60FC7E45" w14:textId="77777777" w:rsidR="003E2664" w:rsidRPr="00367C89" w:rsidRDefault="003E2664" w:rsidP="00367C89">
      <w:pPr>
        <w:rPr>
          <w:rFonts w:cstheme="majorHAnsi"/>
        </w:rPr>
      </w:pPr>
    </w:p>
    <w:p w14:paraId="4B10F947" w14:textId="7055DB87" w:rsidR="0075522F" w:rsidRPr="00090190" w:rsidRDefault="0075522F" w:rsidP="00367C89">
      <w:pPr>
        <w:rPr>
          <w:rFonts w:cstheme="majorHAnsi"/>
        </w:rPr>
      </w:pPr>
      <w:r w:rsidRPr="00367C89">
        <w:rPr>
          <w:rFonts w:cstheme="majorHAnsi"/>
        </w:rPr>
        <w:t xml:space="preserve">The review team, under the guidance of DESE, analyzes the evidence for each criterion to inform </w:t>
      </w:r>
      <w:r w:rsidR="003E2664" w:rsidRPr="00367C89">
        <w:rPr>
          <w:rFonts w:cstheme="majorHAnsi"/>
        </w:rPr>
        <w:t>applicable</w:t>
      </w:r>
      <w:r w:rsidR="003E2664" w:rsidRPr="007B2B94">
        <w:rPr>
          <w:rFonts w:cstheme="majorHAnsi"/>
        </w:rPr>
        <w:t xml:space="preserve"> </w:t>
      </w:r>
      <w:r w:rsidRPr="007B2B94">
        <w:rPr>
          <w:rFonts w:cstheme="majorHAnsi"/>
        </w:rPr>
        <w:t>criterion ratings, and must work towards agreement for each rating of met, finding, and/or commendation cited in the report. Rating recommendations result in one of the following for each criterion:</w:t>
      </w:r>
    </w:p>
    <w:p w14:paraId="6537E9CA" w14:textId="77777777" w:rsidR="0075522F" w:rsidRPr="00014585" w:rsidRDefault="0075522F" w:rsidP="00367C89">
      <w:pPr>
        <w:pStyle w:val="ListParagraph"/>
        <w:numPr>
          <w:ilvl w:val="0"/>
          <w:numId w:val="29"/>
        </w:numPr>
        <w:spacing w:after="120"/>
        <w:contextualSpacing w:val="0"/>
        <w:rPr>
          <w:rFonts w:cstheme="majorHAnsi"/>
        </w:rPr>
      </w:pPr>
      <w:r w:rsidRPr="00090190">
        <w:rPr>
          <w:rFonts w:cstheme="majorHAnsi"/>
          <w:i/>
        </w:rPr>
        <w:t>Commendation</w:t>
      </w:r>
      <w:r w:rsidRPr="00090190">
        <w:rPr>
          <w:rFonts w:cstheme="majorHAnsi"/>
        </w:rPr>
        <w:t xml:space="preserve">: Evidence, including clear evidence of positive impact, indicates exceptional, innovative practices that exceed the expectations set in the Program Approval Criteria. </w:t>
      </w:r>
    </w:p>
    <w:p w14:paraId="2D10D1C9" w14:textId="0BDBA28D" w:rsidR="0075522F" w:rsidRPr="00014585" w:rsidRDefault="0075522F" w:rsidP="00367C89">
      <w:pPr>
        <w:pStyle w:val="ListParagraph"/>
        <w:numPr>
          <w:ilvl w:val="0"/>
          <w:numId w:val="29"/>
        </w:numPr>
        <w:spacing w:after="120"/>
        <w:rPr>
          <w:rFonts w:cstheme="majorHAnsi"/>
          <w:i/>
          <w:iCs/>
        </w:rPr>
      </w:pPr>
      <w:r w:rsidRPr="00014585">
        <w:rPr>
          <w:rFonts w:cstheme="majorHAnsi"/>
          <w:i/>
          <w:iCs/>
        </w:rPr>
        <w:t xml:space="preserve">Met: </w:t>
      </w:r>
      <w:r w:rsidRPr="00014585">
        <w:rPr>
          <w:rFonts w:cstheme="majorHAnsi"/>
        </w:rPr>
        <w:t xml:space="preserve">Evidence sufficiently demonstrates that the </w:t>
      </w:r>
      <w:r w:rsidR="007E3BCC" w:rsidRPr="00014585">
        <w:rPr>
          <w:rStyle w:val="normaltextrun"/>
          <w:rFonts w:cstheme="majorHAnsi"/>
        </w:rPr>
        <w:t>Sponsoring Organization</w:t>
      </w:r>
      <w:r w:rsidRPr="00014585">
        <w:rPr>
          <w:rFonts w:cstheme="majorHAnsi"/>
        </w:rPr>
        <w:t xml:space="preserve"> is meeting expectations as described. </w:t>
      </w:r>
    </w:p>
    <w:p w14:paraId="794CD8F8" w14:textId="43021753" w:rsidR="0075522F" w:rsidRPr="00367C89" w:rsidRDefault="0075522F" w:rsidP="00367C89">
      <w:pPr>
        <w:pStyle w:val="ListParagraph"/>
        <w:numPr>
          <w:ilvl w:val="1"/>
          <w:numId w:val="29"/>
        </w:numPr>
        <w:spacing w:after="120"/>
        <w:rPr>
          <w:rFonts w:cstheme="majorHAnsi"/>
          <w:i/>
          <w:iCs/>
        </w:rPr>
      </w:pPr>
      <w:r w:rsidRPr="00014585">
        <w:rPr>
          <w:rFonts w:cstheme="majorHAnsi"/>
          <w:i/>
          <w:iCs/>
        </w:rPr>
        <w:t xml:space="preserve">Provisionally Met: </w:t>
      </w:r>
      <w:r w:rsidRPr="00014585">
        <w:rPr>
          <w:rFonts w:cstheme="majorHAnsi"/>
        </w:rPr>
        <w:t>This rating is av</w:t>
      </w:r>
      <w:r w:rsidRPr="00AC72D4">
        <w:rPr>
          <w:rFonts w:cstheme="majorHAnsi"/>
        </w:rPr>
        <w:t>ailable for use through the 2026-2027 academic year (review cohorts A – B) in acknowledgment of the time needed for S</w:t>
      </w:r>
      <w:r w:rsidR="007E3BCC" w:rsidRPr="00DD08F3">
        <w:rPr>
          <w:rFonts w:cstheme="majorHAnsi"/>
        </w:rPr>
        <w:t xml:space="preserve">ponsoring </w:t>
      </w:r>
      <w:r w:rsidRPr="001F3F72">
        <w:rPr>
          <w:rFonts w:cstheme="majorHAnsi"/>
        </w:rPr>
        <w:t>O</w:t>
      </w:r>
      <w:r w:rsidR="007E3BCC" w:rsidRPr="001F3F72">
        <w:rPr>
          <w:rFonts w:cstheme="majorHAnsi"/>
        </w:rPr>
        <w:t>rganization</w:t>
      </w:r>
      <w:r w:rsidRPr="001F3F72">
        <w:rPr>
          <w:rFonts w:cstheme="majorHAnsi"/>
        </w:rPr>
        <w:t xml:space="preserve">s to implement policies, practices, or systems designed to meet new expectations described in the </w:t>
      </w:r>
      <w:r w:rsidR="00605424" w:rsidRPr="00284DC3">
        <w:rPr>
          <w:rFonts w:cstheme="majorHAnsi"/>
        </w:rPr>
        <w:t xml:space="preserve">2023 </w:t>
      </w:r>
      <w:r w:rsidRPr="00284DC3">
        <w:rPr>
          <w:rFonts w:cstheme="majorHAnsi"/>
        </w:rPr>
        <w:t xml:space="preserve">Program Approval Criteria. Evidence (including, but not limited to, the data and/or process used to inform these changes) should suggest the </w:t>
      </w:r>
      <w:r w:rsidR="007E3BCC" w:rsidRPr="00284DC3">
        <w:rPr>
          <w:rStyle w:val="normaltextrun"/>
          <w:rFonts w:cstheme="majorHAnsi"/>
        </w:rPr>
        <w:t>Sponsoring Organization</w:t>
      </w:r>
      <w:r w:rsidRPr="00367C89">
        <w:rPr>
          <w:rFonts w:cstheme="majorHAnsi"/>
        </w:rPr>
        <w:t xml:space="preserve"> is on track to demonstrate positive impact by the 2026-2027 academic year. </w:t>
      </w:r>
    </w:p>
    <w:p w14:paraId="142C90D7" w14:textId="1E511981" w:rsidR="0075522F" w:rsidRPr="00367C89" w:rsidRDefault="0075522F" w:rsidP="00367C89">
      <w:pPr>
        <w:pStyle w:val="ListParagraph"/>
        <w:numPr>
          <w:ilvl w:val="0"/>
          <w:numId w:val="29"/>
        </w:numPr>
        <w:spacing w:after="120"/>
        <w:contextualSpacing w:val="0"/>
        <w:rPr>
          <w:rFonts w:cstheme="majorHAnsi"/>
        </w:rPr>
      </w:pPr>
      <w:r w:rsidRPr="00367C89">
        <w:rPr>
          <w:rFonts w:cstheme="majorHAnsi"/>
          <w:i/>
        </w:rPr>
        <w:t>Finding</w:t>
      </w:r>
      <w:r w:rsidRPr="00367C89">
        <w:rPr>
          <w:rFonts w:cstheme="majorHAnsi"/>
        </w:rPr>
        <w:t xml:space="preserve">: Evidence indicates areas of concern or inconsistencies that require action for the </w:t>
      </w:r>
      <w:r w:rsidR="007E3BCC" w:rsidRPr="00367C89">
        <w:rPr>
          <w:rStyle w:val="normaltextrun"/>
          <w:rFonts w:cstheme="majorHAnsi"/>
        </w:rPr>
        <w:t xml:space="preserve">Sponsoring Organization </w:t>
      </w:r>
      <w:r w:rsidRPr="00367C89">
        <w:rPr>
          <w:rFonts w:cstheme="majorHAnsi"/>
        </w:rPr>
        <w:t xml:space="preserve">to meet expectations. </w:t>
      </w:r>
    </w:p>
    <w:p w14:paraId="0CBD4D91" w14:textId="4163F46A" w:rsidR="0075522F" w:rsidRPr="00367C89" w:rsidRDefault="0075522F" w:rsidP="00367C89">
      <w:pPr>
        <w:spacing w:after="120"/>
        <w:rPr>
          <w:rFonts w:cstheme="majorHAnsi"/>
        </w:rPr>
      </w:pPr>
      <w:r w:rsidRPr="00367C89">
        <w:rPr>
          <w:rFonts w:cstheme="majorHAnsi"/>
        </w:rPr>
        <w:t>In addition, the review team may append Professional Suggestions to any criterion</w:t>
      </w:r>
      <w:r w:rsidR="00367F16" w:rsidRPr="00367C89">
        <w:rPr>
          <w:rFonts w:cstheme="majorHAnsi"/>
        </w:rPr>
        <w:t xml:space="preserve"> or domain</w:t>
      </w:r>
      <w:r w:rsidRPr="00367C89">
        <w:rPr>
          <w:rFonts w:cstheme="majorHAnsi"/>
        </w:rPr>
        <w:t>, independent of the rating awarded. Professional Suggestions serve as recommendations for continuous improvement based on the knowledge and experience of the review team. They do not require a</w:t>
      </w:r>
      <w:r w:rsidRPr="00367C89" w:rsidDel="003A6799">
        <w:rPr>
          <w:rFonts w:cstheme="majorHAnsi"/>
        </w:rPr>
        <w:t xml:space="preserve"> </w:t>
      </w:r>
      <w:r w:rsidRPr="00367C89">
        <w:rPr>
          <w:rFonts w:cstheme="majorHAnsi"/>
        </w:rPr>
        <w:t xml:space="preserve">response. </w:t>
      </w:r>
    </w:p>
    <w:p w14:paraId="555575C3" w14:textId="3CA5BF70" w:rsidR="0075522F" w:rsidRPr="00367C89" w:rsidRDefault="0075522F" w:rsidP="00367C89">
      <w:pPr>
        <w:spacing w:after="200"/>
        <w:rPr>
          <w:rFonts w:cstheme="majorHAnsi"/>
        </w:rPr>
      </w:pPr>
      <w:r w:rsidRPr="00367C89">
        <w:rPr>
          <w:rFonts w:cstheme="majorHAnsi"/>
        </w:rPr>
        <w:t>DESE differentiate</w:t>
      </w:r>
      <w:r w:rsidR="007D6281" w:rsidRPr="00367C89">
        <w:rPr>
          <w:rFonts w:cstheme="majorHAnsi"/>
        </w:rPr>
        <w:t>s</w:t>
      </w:r>
      <w:r w:rsidRPr="00367C89">
        <w:rPr>
          <w:rFonts w:cstheme="majorHAnsi"/>
        </w:rPr>
        <w:t xml:space="preserve"> findings into one of two categories: conditional findings and non-conditional findings. Although all findings require action, DESE may determine that there are some findings, above others, that require immediate and significant action as they are directly related to major concerns identified through the review. More specifically:</w:t>
      </w:r>
    </w:p>
    <w:p w14:paraId="4A939B9F" w14:textId="5268D40F" w:rsidR="0075522F" w:rsidRPr="00014585" w:rsidRDefault="0075522F" w:rsidP="00367C89">
      <w:pPr>
        <w:pStyle w:val="ListParagraph"/>
        <w:numPr>
          <w:ilvl w:val="0"/>
          <w:numId w:val="31"/>
        </w:numPr>
        <w:spacing w:after="200"/>
        <w:rPr>
          <w:rFonts w:cstheme="majorHAnsi"/>
        </w:rPr>
      </w:pPr>
      <w:r w:rsidRPr="00367C89">
        <w:rPr>
          <w:rFonts w:cstheme="majorHAnsi"/>
          <w:b/>
          <w:bCs/>
        </w:rPr>
        <w:t>Conditional findings</w:t>
      </w:r>
      <w:r w:rsidRPr="00367C89">
        <w:rPr>
          <w:rFonts w:cstheme="majorHAnsi"/>
        </w:rPr>
        <w:t>: Conditional findings correspond to criteria where evidence indicates a</w:t>
      </w:r>
      <w:r w:rsidRPr="00367C89">
        <w:rPr>
          <w:rStyle w:val="normaltextrun"/>
          <w:rFonts w:cstheme="majorHAnsi"/>
          <w:color w:val="000000"/>
          <w:shd w:val="clear" w:color="auto" w:fill="FFFFFF"/>
        </w:rPr>
        <w:t>reas of concern that impact candidates’ experiences or outcomes, inconsistent or concerning evidence of impact, and significant areas that must be addressed</w:t>
      </w:r>
      <w:r w:rsidRPr="00367C89">
        <w:rPr>
          <w:rStyle w:val="advancedproofingissue"/>
          <w:rFonts w:cstheme="majorHAnsi"/>
          <w:color w:val="000000"/>
          <w:shd w:val="clear" w:color="auto" w:fill="FFFFFF"/>
        </w:rPr>
        <w:t xml:space="preserve"> for</w:t>
      </w:r>
      <w:r w:rsidRPr="00367C89">
        <w:rPr>
          <w:rStyle w:val="normaltextrun"/>
          <w:rFonts w:cstheme="majorHAnsi"/>
          <w:color w:val="000000"/>
          <w:shd w:val="clear" w:color="auto" w:fill="FFFFFF"/>
        </w:rPr>
        <w:t xml:space="preserve"> the </w:t>
      </w:r>
      <w:r w:rsidR="007E3BCC" w:rsidRPr="00367C89">
        <w:rPr>
          <w:rStyle w:val="normaltextrun"/>
          <w:rFonts w:cstheme="majorHAnsi"/>
        </w:rPr>
        <w:t xml:space="preserve">Sponsoring Organization </w:t>
      </w:r>
      <w:r w:rsidRPr="00367C89">
        <w:rPr>
          <w:rStyle w:val="normaltextrun"/>
          <w:rFonts w:cstheme="majorHAnsi"/>
          <w:color w:val="000000"/>
          <w:shd w:val="clear" w:color="auto" w:fill="FFFFFF"/>
        </w:rPr>
        <w:t>to be found to meet all state standards</w:t>
      </w:r>
      <w:r w:rsidRPr="00367C89">
        <w:rPr>
          <w:rFonts w:cstheme="majorHAnsi"/>
        </w:rPr>
        <w:t xml:space="preserve">. A conditional finding results in an </w:t>
      </w:r>
      <w:hyperlink w:anchor="_Approval_Determinations" w:history="1">
        <w:r w:rsidRPr="007B2B94">
          <w:rPr>
            <w:rStyle w:val="Hyperlink"/>
            <w:rFonts w:cstheme="majorHAnsi"/>
          </w:rPr>
          <w:t>approval determination</w:t>
        </w:r>
      </w:hyperlink>
      <w:r w:rsidRPr="007B2B94">
        <w:rPr>
          <w:rFonts w:cstheme="majorHAnsi"/>
        </w:rPr>
        <w:t xml:space="preserve"> of Approved with Conditions, Probationary Approval, or Not Approved for the </w:t>
      </w:r>
      <w:r w:rsidR="007E3BCC" w:rsidRPr="00090190">
        <w:rPr>
          <w:rStyle w:val="normaltextrun"/>
          <w:rFonts w:cstheme="majorHAnsi"/>
        </w:rPr>
        <w:t xml:space="preserve">Sponsoring Organization </w:t>
      </w:r>
      <w:r w:rsidRPr="00090190">
        <w:rPr>
          <w:rFonts w:cstheme="majorHAnsi"/>
        </w:rPr>
        <w:t xml:space="preserve">or, in some cases, for individual programs/program groupings. By </w:t>
      </w:r>
      <w:r w:rsidRPr="00090190">
        <w:rPr>
          <w:rFonts w:cstheme="majorHAnsi"/>
        </w:rPr>
        <w:lastRenderedPageBreak/>
        <w:t xml:space="preserve">addressing concerns outlined in conditional findings, the </w:t>
      </w:r>
      <w:r w:rsidR="007E3BCC" w:rsidRPr="00090190">
        <w:rPr>
          <w:rStyle w:val="normaltextrun"/>
          <w:rFonts w:cstheme="majorHAnsi"/>
        </w:rPr>
        <w:t>Sponsoring Organization</w:t>
      </w:r>
      <w:r w:rsidRPr="00090190">
        <w:rPr>
          <w:rFonts w:cstheme="majorHAnsi"/>
        </w:rPr>
        <w:t xml:space="preserve"> is likely to see improvement in key areas, giving DESE the assurances needed to grant a</w:t>
      </w:r>
      <w:r w:rsidR="007E3BCC" w:rsidRPr="00014585">
        <w:rPr>
          <w:rFonts w:cstheme="majorHAnsi"/>
        </w:rPr>
        <w:t xml:space="preserve"> </w:t>
      </w:r>
      <w:r w:rsidR="007E3BCC" w:rsidRPr="00014585">
        <w:rPr>
          <w:rStyle w:val="normaltextrun"/>
          <w:rFonts w:cstheme="majorHAnsi"/>
        </w:rPr>
        <w:t xml:space="preserve">Sponsoring Organization </w:t>
      </w:r>
      <w:r w:rsidRPr="00014585">
        <w:rPr>
          <w:rFonts w:cstheme="majorHAnsi"/>
        </w:rPr>
        <w:t xml:space="preserve">full formal approval. Conditional findings may exist across all programs and/or for individual programs/program groupings. </w:t>
      </w:r>
    </w:p>
    <w:p w14:paraId="1BC5FE2D" w14:textId="77777777" w:rsidR="0075522F" w:rsidRPr="00014585" w:rsidRDefault="0075522F" w:rsidP="00367C89">
      <w:pPr>
        <w:pStyle w:val="ListParagraph"/>
        <w:rPr>
          <w:rFonts w:cstheme="majorHAnsi"/>
        </w:rPr>
      </w:pPr>
    </w:p>
    <w:p w14:paraId="15B4CEE7" w14:textId="77777777" w:rsidR="0075522F" w:rsidRPr="001F3F72" w:rsidRDefault="0075522F" w:rsidP="00367C89">
      <w:pPr>
        <w:pStyle w:val="ListParagraph"/>
        <w:numPr>
          <w:ilvl w:val="0"/>
          <w:numId w:val="31"/>
        </w:numPr>
        <w:spacing w:after="200"/>
        <w:rPr>
          <w:rFonts w:cstheme="majorHAnsi"/>
        </w:rPr>
      </w:pPr>
      <w:r w:rsidRPr="00014585">
        <w:rPr>
          <w:rFonts w:cstheme="majorHAnsi"/>
          <w:b/>
          <w:bCs/>
        </w:rPr>
        <w:t>Non-Conditional findings</w:t>
      </w:r>
      <w:r w:rsidRPr="00AC72D4">
        <w:rPr>
          <w:rFonts w:cstheme="majorHAnsi"/>
        </w:rPr>
        <w:t>: Non-conditional findings are still crucial for effective and/or equitable preparation, but, within the</w:t>
      </w:r>
      <w:r w:rsidRPr="00DD08F3">
        <w:rPr>
          <w:rFonts w:cstheme="majorHAnsi"/>
        </w:rPr>
        <w:t xml:space="preserve"> context of the review, are smaller in scale and scope and are not having a significant negative impact on the quality of candidates’ preparation </w:t>
      </w:r>
      <w:r w:rsidRPr="001F3F72">
        <w:rPr>
          <w:rFonts w:cstheme="majorHAnsi"/>
        </w:rPr>
        <w:t>or experiences.</w:t>
      </w:r>
    </w:p>
    <w:p w14:paraId="036C7179" w14:textId="616826C4" w:rsidR="003242D9" w:rsidRPr="00367C89" w:rsidRDefault="0075522F" w:rsidP="00367C89">
      <w:pPr>
        <w:rPr>
          <w:rFonts w:cstheme="majorBidi"/>
        </w:rPr>
      </w:pPr>
      <w:r w:rsidRPr="091001D0">
        <w:rPr>
          <w:rFonts w:cstheme="majorBidi"/>
        </w:rPr>
        <w:t xml:space="preserve">When a </w:t>
      </w:r>
      <w:r w:rsidR="007E3BCC" w:rsidRPr="091001D0">
        <w:rPr>
          <w:rStyle w:val="normaltextrun"/>
          <w:rFonts w:cstheme="majorBidi"/>
        </w:rPr>
        <w:t xml:space="preserve">Sponsoring Organization </w:t>
      </w:r>
      <w:r w:rsidRPr="091001D0">
        <w:rPr>
          <w:rFonts w:cstheme="majorBidi"/>
        </w:rPr>
        <w:t xml:space="preserve">has one or more conditional findings, DESE </w:t>
      </w:r>
      <w:r w:rsidR="3866BAF8" w:rsidRPr="091001D0">
        <w:rPr>
          <w:rFonts w:cstheme="majorBidi"/>
        </w:rPr>
        <w:t>work</w:t>
      </w:r>
      <w:r w:rsidR="508F46B5" w:rsidRPr="091001D0">
        <w:rPr>
          <w:rFonts w:cstheme="majorBidi"/>
        </w:rPr>
        <w:t>s</w:t>
      </w:r>
      <w:r w:rsidRPr="091001D0">
        <w:rPr>
          <w:rFonts w:cstheme="majorBidi"/>
        </w:rPr>
        <w:t xml:space="preserve"> with the individual </w:t>
      </w:r>
      <w:r w:rsidR="007E3BCC" w:rsidRPr="091001D0">
        <w:rPr>
          <w:rStyle w:val="normaltextrun"/>
          <w:rFonts w:cstheme="majorBidi"/>
        </w:rPr>
        <w:t>Sponsoring Organization</w:t>
      </w:r>
      <w:r w:rsidRPr="091001D0">
        <w:rPr>
          <w:rFonts w:cstheme="majorBidi"/>
        </w:rPr>
        <w:t xml:space="preserve"> to address findings resulting from the formal review. The timeline and actions associated with conditional findings are determined on a case-by-case basis specific to the overall approval designation and improvement plan. </w:t>
      </w:r>
    </w:p>
    <w:p w14:paraId="3E940EDE" w14:textId="77777777" w:rsidR="0075522F" w:rsidRPr="00BA67B6" w:rsidRDefault="0075522F" w:rsidP="00367C89">
      <w:pPr>
        <w:pStyle w:val="Heading4"/>
      </w:pPr>
      <w:bookmarkStart w:id="107" w:name="_Toc125547343"/>
      <w:bookmarkStart w:id="108" w:name="_Toc125574792"/>
      <w:bookmarkStart w:id="109" w:name="_Toc125575636"/>
      <w:r w:rsidRPr="00BA67B6">
        <w:t xml:space="preserve">Domain </w:t>
      </w:r>
      <w:r w:rsidRPr="00174ECC">
        <w:t>Ratings</w:t>
      </w:r>
      <w:bookmarkEnd w:id="107"/>
      <w:bookmarkEnd w:id="108"/>
      <w:bookmarkEnd w:id="109"/>
    </w:p>
    <w:p w14:paraId="510B292C" w14:textId="77777777" w:rsidR="0075522F" w:rsidRPr="003E2664" w:rsidRDefault="0075522F" w:rsidP="00367C89">
      <w:pPr>
        <w:rPr>
          <w:rFonts w:cstheme="majorHAnsi"/>
        </w:rPr>
      </w:pPr>
      <w:r w:rsidRPr="003E2664">
        <w:rPr>
          <w:rFonts w:cstheme="majorHAnsi"/>
        </w:rPr>
        <w:t xml:space="preserve">Once the review team has rated all criteria in each domain, the team will make an overall domain rating recommendation weighing the cumulative impact and significance of the criterion ratings within that domain. Each domain receives one of the following ratings: </w:t>
      </w:r>
    </w:p>
    <w:p w14:paraId="3437649C" w14:textId="77777777" w:rsidR="0075522F" w:rsidRPr="003E2664" w:rsidRDefault="0075522F" w:rsidP="00367C89">
      <w:pPr>
        <w:pStyle w:val="ListParagraph"/>
        <w:numPr>
          <w:ilvl w:val="0"/>
          <w:numId w:val="30"/>
        </w:numPr>
        <w:spacing w:after="120"/>
        <w:rPr>
          <w:rFonts w:cstheme="majorHAnsi"/>
        </w:rPr>
      </w:pPr>
      <w:r w:rsidRPr="003E2664">
        <w:rPr>
          <w:rFonts w:cstheme="majorHAnsi"/>
          <w:i/>
          <w:iCs/>
        </w:rPr>
        <w:t>Exemplary</w:t>
      </w:r>
      <w:r w:rsidRPr="003E2664">
        <w:rPr>
          <w:rFonts w:cstheme="majorHAnsi"/>
        </w:rPr>
        <w:t xml:space="preserve">: The Exemplary level represents the highest level of performance. It exceeds the already high standard of Proficient. A rating of Exemplary is reserved for performance on a domain of such a high level that it could serve as a model for other providers in the organization, state, or nation. </w:t>
      </w:r>
    </w:p>
    <w:p w14:paraId="4C1B9687" w14:textId="4CEC1663" w:rsidR="0075522F" w:rsidRPr="003E2664" w:rsidRDefault="0075522F" w:rsidP="00367C89">
      <w:pPr>
        <w:pStyle w:val="ListParagraph"/>
        <w:numPr>
          <w:ilvl w:val="0"/>
          <w:numId w:val="30"/>
        </w:numPr>
        <w:spacing w:after="120"/>
        <w:rPr>
          <w:rFonts w:cstheme="majorHAnsi"/>
        </w:rPr>
      </w:pPr>
      <w:r w:rsidRPr="003E2664">
        <w:rPr>
          <w:rFonts w:cstheme="majorHAnsi"/>
          <w:i/>
          <w:iCs/>
        </w:rPr>
        <w:t>Proficient</w:t>
      </w:r>
      <w:r w:rsidRPr="003E2664">
        <w:rPr>
          <w:rFonts w:cstheme="majorHAnsi"/>
        </w:rPr>
        <w:t xml:space="preserve">: Proficient is the expected, rigorous level of performance for </w:t>
      </w:r>
      <w:r w:rsidR="007E3BCC" w:rsidRPr="003E2664">
        <w:rPr>
          <w:rFonts w:cstheme="majorHAnsi"/>
        </w:rPr>
        <w:t>Sponsoring Organizations</w:t>
      </w:r>
      <w:r w:rsidRPr="003E2664">
        <w:rPr>
          <w:rFonts w:cstheme="majorHAnsi"/>
        </w:rPr>
        <w:t xml:space="preserve">. It is a demanding but attainable level of performance. </w:t>
      </w:r>
    </w:p>
    <w:p w14:paraId="596A9B6C" w14:textId="2C6DA265" w:rsidR="0075522F" w:rsidRPr="003E2664" w:rsidRDefault="0075522F" w:rsidP="00367C89">
      <w:pPr>
        <w:pStyle w:val="ListParagraph"/>
        <w:numPr>
          <w:ilvl w:val="0"/>
          <w:numId w:val="30"/>
        </w:numPr>
        <w:contextualSpacing w:val="0"/>
        <w:rPr>
          <w:rFonts w:cstheme="majorHAnsi"/>
        </w:rPr>
      </w:pPr>
      <w:r w:rsidRPr="003E2664">
        <w:rPr>
          <w:rFonts w:cstheme="majorHAnsi"/>
          <w:i/>
        </w:rPr>
        <w:t>Needs Improvement</w:t>
      </w:r>
      <w:r w:rsidRPr="003E2664">
        <w:rPr>
          <w:rFonts w:cstheme="majorHAnsi"/>
        </w:rPr>
        <w:t xml:space="preserve">: </w:t>
      </w:r>
      <w:r w:rsidR="007E3BCC" w:rsidRPr="003E2664">
        <w:rPr>
          <w:rFonts w:cstheme="majorHAnsi"/>
        </w:rPr>
        <w:t>Sponsoring Organizations</w:t>
      </w:r>
      <w:r w:rsidRPr="003E2664">
        <w:rPr>
          <w:rFonts w:cstheme="majorHAnsi"/>
        </w:rPr>
        <w:t xml:space="preserve"> whose performance on a domain is rated as Needs Improvement may demonstrate inconsistencies in implementation or weaknesses in a few key areas that negatively impact candidate experiences and outcomes. They may not yet have fully developed systems to provide preparation in an effective and equitable way. </w:t>
      </w:r>
    </w:p>
    <w:p w14:paraId="50ABD398" w14:textId="4CD7CBC6" w:rsidR="00815BCE" w:rsidRPr="003E2664" w:rsidRDefault="0075522F" w:rsidP="00367C89">
      <w:pPr>
        <w:pStyle w:val="ListParagraph"/>
        <w:numPr>
          <w:ilvl w:val="0"/>
          <w:numId w:val="30"/>
        </w:numPr>
        <w:contextualSpacing w:val="0"/>
        <w:rPr>
          <w:rFonts w:cstheme="majorHAnsi"/>
        </w:rPr>
      </w:pPr>
      <w:r w:rsidRPr="003E2664">
        <w:rPr>
          <w:rFonts w:cstheme="majorHAnsi"/>
          <w:i/>
        </w:rPr>
        <w:t>Unsatisfactory</w:t>
      </w:r>
      <w:r w:rsidRPr="003E2664">
        <w:rPr>
          <w:rFonts w:cstheme="majorHAnsi"/>
        </w:rPr>
        <w:t xml:space="preserve">: </w:t>
      </w:r>
      <w:r w:rsidR="007E3BCC" w:rsidRPr="003E2664">
        <w:rPr>
          <w:rFonts w:cstheme="majorHAnsi"/>
        </w:rPr>
        <w:t>Sponsoring Organizations</w:t>
      </w:r>
      <w:r w:rsidRPr="003E2664">
        <w:rPr>
          <w:rFonts w:cstheme="majorHAnsi"/>
        </w:rPr>
        <w:t xml:space="preserve"> whose performance on a domain is rated as Unsatisfactory are significantly underperforming as compared to expectations. </w:t>
      </w:r>
      <w:bookmarkEnd w:id="103"/>
    </w:p>
    <w:p w14:paraId="64AFF45F" w14:textId="77777777" w:rsidR="003E2664" w:rsidRDefault="003E2664">
      <w:pPr>
        <w:rPr>
          <w:rFonts w:ascii="Calibri" w:hAnsi="Calibri"/>
          <w:b/>
          <w:color w:val="1F497D" w:themeColor="text2"/>
          <w:sz w:val="32"/>
          <w:szCs w:val="48"/>
        </w:rPr>
      </w:pPr>
      <w:bookmarkStart w:id="110" w:name="_Approval_Determinations"/>
      <w:bookmarkStart w:id="111" w:name="_Toc106003178"/>
      <w:bookmarkEnd w:id="110"/>
      <w:r>
        <w:br w:type="page"/>
      </w:r>
    </w:p>
    <w:p w14:paraId="58213403" w14:textId="1E169DC9" w:rsidR="008E2C1E" w:rsidRPr="00BA67B6" w:rsidRDefault="008E2C1E">
      <w:pPr>
        <w:pStyle w:val="Heading1"/>
      </w:pPr>
      <w:bookmarkStart w:id="112" w:name="_Toc125575637"/>
      <w:r w:rsidRPr="00BA67B6">
        <w:lastRenderedPageBreak/>
        <w:t>Approval</w:t>
      </w:r>
      <w:r w:rsidRPr="00BA67B6">
        <w:rPr>
          <w:spacing w:val="-1"/>
        </w:rPr>
        <w:t xml:space="preserve"> </w:t>
      </w:r>
      <w:r w:rsidRPr="00174ECC">
        <w:t>Determinations</w:t>
      </w:r>
      <w:bookmarkEnd w:id="111"/>
      <w:bookmarkEnd w:id="112"/>
    </w:p>
    <w:p w14:paraId="0CD53820" w14:textId="77777777" w:rsidR="008E2C1E" w:rsidRPr="00E54DB1" w:rsidRDefault="008E2C1E" w:rsidP="007B2B94">
      <w:pPr>
        <w:pStyle w:val="BodyText"/>
        <w:spacing w:before="161" w:line="276" w:lineRule="auto"/>
        <w:ind w:right="384"/>
        <w:rPr>
          <w:rFonts w:asciiTheme="majorHAnsi" w:hAnsiTheme="majorHAnsi" w:cstheme="majorHAnsi"/>
          <w:szCs w:val="22"/>
        </w:rPr>
      </w:pPr>
      <w:r w:rsidRPr="00E54DB1">
        <w:rPr>
          <w:rFonts w:asciiTheme="majorHAnsi" w:hAnsiTheme="majorHAnsi" w:cstheme="majorHAnsi"/>
          <w:szCs w:val="22"/>
        </w:rPr>
        <w:t>Each review</w:t>
      </w:r>
      <w:r w:rsidRPr="00E54DB1">
        <w:rPr>
          <w:rFonts w:asciiTheme="majorHAnsi" w:hAnsiTheme="majorHAnsi" w:cstheme="majorHAnsi"/>
          <w:spacing w:val="-3"/>
          <w:szCs w:val="22"/>
        </w:rPr>
        <w:t xml:space="preserve"> </w:t>
      </w:r>
      <w:r w:rsidRPr="00E54DB1">
        <w:rPr>
          <w:rFonts w:asciiTheme="majorHAnsi" w:hAnsiTheme="majorHAnsi" w:cstheme="majorHAnsi"/>
          <w:szCs w:val="22"/>
        </w:rPr>
        <w:t>results</w:t>
      </w:r>
      <w:r w:rsidRPr="00E54DB1">
        <w:rPr>
          <w:rFonts w:asciiTheme="majorHAnsi" w:hAnsiTheme="majorHAnsi" w:cstheme="majorHAnsi"/>
          <w:spacing w:val="-4"/>
          <w:szCs w:val="22"/>
        </w:rPr>
        <w:t xml:space="preserve"> </w:t>
      </w:r>
      <w:r w:rsidRPr="00E54DB1">
        <w:rPr>
          <w:rFonts w:asciiTheme="majorHAnsi" w:hAnsiTheme="majorHAnsi" w:cstheme="majorHAnsi"/>
          <w:szCs w:val="22"/>
        </w:rPr>
        <w:t>in</w:t>
      </w:r>
      <w:r w:rsidRPr="00E54DB1">
        <w:rPr>
          <w:rFonts w:asciiTheme="majorHAnsi" w:hAnsiTheme="majorHAnsi" w:cstheme="majorHAnsi"/>
          <w:spacing w:val="-3"/>
          <w:szCs w:val="22"/>
        </w:rPr>
        <w:t xml:space="preserve"> </w:t>
      </w:r>
      <w:r w:rsidRPr="00E54DB1">
        <w:rPr>
          <w:rFonts w:asciiTheme="majorHAnsi" w:hAnsiTheme="majorHAnsi" w:cstheme="majorHAnsi"/>
          <w:szCs w:val="22"/>
        </w:rPr>
        <w:t>an</w:t>
      </w:r>
      <w:r w:rsidRPr="00E54DB1">
        <w:rPr>
          <w:rFonts w:asciiTheme="majorHAnsi" w:hAnsiTheme="majorHAnsi" w:cstheme="majorHAnsi"/>
          <w:spacing w:val="-3"/>
          <w:szCs w:val="22"/>
        </w:rPr>
        <w:t xml:space="preserve"> </w:t>
      </w:r>
      <w:r w:rsidRPr="00E54DB1">
        <w:rPr>
          <w:rFonts w:asciiTheme="majorHAnsi" w:hAnsiTheme="majorHAnsi" w:cstheme="majorHAnsi"/>
          <w:szCs w:val="22"/>
        </w:rPr>
        <w:t>approval</w:t>
      </w:r>
      <w:r w:rsidRPr="00E54DB1">
        <w:rPr>
          <w:rFonts w:asciiTheme="majorHAnsi" w:hAnsiTheme="majorHAnsi" w:cstheme="majorHAnsi"/>
          <w:spacing w:val="-4"/>
          <w:szCs w:val="22"/>
        </w:rPr>
        <w:t xml:space="preserve"> </w:t>
      </w:r>
      <w:r w:rsidRPr="00E54DB1">
        <w:rPr>
          <w:rFonts w:asciiTheme="majorHAnsi" w:hAnsiTheme="majorHAnsi" w:cstheme="majorHAnsi"/>
          <w:szCs w:val="22"/>
        </w:rPr>
        <w:t>determination.</w:t>
      </w:r>
      <w:r w:rsidRPr="00E54DB1">
        <w:rPr>
          <w:rFonts w:asciiTheme="majorHAnsi" w:hAnsiTheme="majorHAnsi" w:cstheme="majorHAnsi"/>
          <w:spacing w:val="-2"/>
          <w:szCs w:val="22"/>
        </w:rPr>
        <w:t xml:space="preserve"> </w:t>
      </w:r>
      <w:r w:rsidRPr="00E54DB1">
        <w:rPr>
          <w:rFonts w:asciiTheme="majorHAnsi" w:hAnsiTheme="majorHAnsi" w:cstheme="majorHAnsi"/>
          <w:szCs w:val="22"/>
        </w:rPr>
        <w:t>There</w:t>
      </w:r>
      <w:r w:rsidRPr="00E54DB1">
        <w:rPr>
          <w:rFonts w:asciiTheme="majorHAnsi" w:hAnsiTheme="majorHAnsi" w:cstheme="majorHAnsi"/>
          <w:spacing w:val="-3"/>
          <w:szCs w:val="22"/>
        </w:rPr>
        <w:t xml:space="preserve"> </w:t>
      </w:r>
      <w:r w:rsidRPr="00E54DB1">
        <w:rPr>
          <w:rFonts w:asciiTheme="majorHAnsi" w:hAnsiTheme="majorHAnsi" w:cstheme="majorHAnsi"/>
          <w:szCs w:val="22"/>
        </w:rPr>
        <w:t>are</w:t>
      </w:r>
      <w:r w:rsidRPr="00E54DB1">
        <w:rPr>
          <w:rFonts w:asciiTheme="majorHAnsi" w:hAnsiTheme="majorHAnsi" w:cstheme="majorHAnsi"/>
          <w:spacing w:val="-3"/>
          <w:szCs w:val="22"/>
        </w:rPr>
        <w:t xml:space="preserve"> </w:t>
      </w:r>
      <w:r w:rsidRPr="00E54DB1">
        <w:rPr>
          <w:rFonts w:asciiTheme="majorHAnsi" w:hAnsiTheme="majorHAnsi" w:cstheme="majorHAnsi"/>
          <w:szCs w:val="22"/>
        </w:rPr>
        <w:t>five</w:t>
      </w:r>
      <w:r w:rsidRPr="00E54DB1">
        <w:rPr>
          <w:rFonts w:asciiTheme="majorHAnsi" w:hAnsiTheme="majorHAnsi" w:cstheme="majorHAnsi"/>
          <w:spacing w:val="-3"/>
          <w:szCs w:val="22"/>
        </w:rPr>
        <w:t xml:space="preserve"> </w:t>
      </w:r>
      <w:r w:rsidRPr="00E54DB1">
        <w:rPr>
          <w:rFonts w:asciiTheme="majorHAnsi" w:hAnsiTheme="majorHAnsi" w:cstheme="majorHAnsi"/>
          <w:szCs w:val="22"/>
        </w:rPr>
        <w:t>potential</w:t>
      </w:r>
      <w:r w:rsidRPr="00E54DB1">
        <w:rPr>
          <w:rFonts w:asciiTheme="majorHAnsi" w:hAnsiTheme="majorHAnsi" w:cstheme="majorHAnsi"/>
          <w:spacing w:val="-4"/>
          <w:szCs w:val="22"/>
        </w:rPr>
        <w:t xml:space="preserve"> </w:t>
      </w:r>
      <w:r w:rsidRPr="00E54DB1">
        <w:rPr>
          <w:rFonts w:asciiTheme="majorHAnsi" w:hAnsiTheme="majorHAnsi" w:cstheme="majorHAnsi"/>
          <w:szCs w:val="22"/>
        </w:rPr>
        <w:t>approval</w:t>
      </w:r>
      <w:r w:rsidRPr="00E54DB1">
        <w:rPr>
          <w:rFonts w:asciiTheme="majorHAnsi" w:hAnsiTheme="majorHAnsi" w:cstheme="majorHAnsi"/>
          <w:spacing w:val="-4"/>
          <w:szCs w:val="22"/>
        </w:rPr>
        <w:t xml:space="preserve"> </w:t>
      </w:r>
      <w:r w:rsidRPr="00E54DB1">
        <w:rPr>
          <w:rFonts w:asciiTheme="majorHAnsi" w:hAnsiTheme="majorHAnsi" w:cstheme="majorHAnsi"/>
          <w:szCs w:val="22"/>
        </w:rPr>
        <w:t>determinations</w:t>
      </w:r>
      <w:r w:rsidRPr="00E54DB1">
        <w:rPr>
          <w:rFonts w:asciiTheme="majorHAnsi" w:hAnsiTheme="majorHAnsi" w:cstheme="majorHAnsi"/>
          <w:spacing w:val="-7"/>
          <w:szCs w:val="22"/>
        </w:rPr>
        <w:t xml:space="preserve"> </w:t>
      </w:r>
      <w:r w:rsidRPr="00E54DB1">
        <w:rPr>
          <w:rFonts w:asciiTheme="majorHAnsi" w:hAnsiTheme="majorHAnsi" w:cstheme="majorHAnsi"/>
          <w:szCs w:val="22"/>
        </w:rPr>
        <w:t>associated</w:t>
      </w:r>
      <w:r w:rsidRPr="00E54DB1">
        <w:rPr>
          <w:rFonts w:asciiTheme="majorHAnsi" w:hAnsiTheme="majorHAnsi" w:cstheme="majorHAnsi"/>
          <w:spacing w:val="-3"/>
          <w:szCs w:val="22"/>
        </w:rPr>
        <w:t xml:space="preserve"> </w:t>
      </w:r>
      <w:r w:rsidRPr="00E54DB1">
        <w:rPr>
          <w:rFonts w:asciiTheme="majorHAnsi" w:hAnsiTheme="majorHAnsi" w:cstheme="majorHAnsi"/>
          <w:szCs w:val="22"/>
        </w:rPr>
        <w:t>with</w:t>
      </w:r>
      <w:r w:rsidRPr="00E54DB1">
        <w:rPr>
          <w:rFonts w:asciiTheme="majorHAnsi" w:hAnsiTheme="majorHAnsi" w:cstheme="majorHAnsi"/>
          <w:spacing w:val="-3"/>
          <w:szCs w:val="22"/>
        </w:rPr>
        <w:t xml:space="preserve"> </w:t>
      </w:r>
      <w:r w:rsidRPr="00E54DB1">
        <w:rPr>
          <w:rFonts w:asciiTheme="majorHAnsi" w:hAnsiTheme="majorHAnsi" w:cstheme="majorHAnsi"/>
          <w:szCs w:val="22"/>
        </w:rPr>
        <w:t>the</w:t>
      </w:r>
      <w:r w:rsidRPr="00E54DB1">
        <w:rPr>
          <w:rFonts w:asciiTheme="majorHAnsi" w:hAnsiTheme="majorHAnsi" w:cstheme="majorHAnsi"/>
          <w:spacing w:val="-1"/>
          <w:szCs w:val="22"/>
        </w:rPr>
        <w:t xml:space="preserve"> </w:t>
      </w:r>
      <w:r w:rsidRPr="00E54DB1">
        <w:rPr>
          <w:rFonts w:asciiTheme="majorHAnsi" w:hAnsiTheme="majorHAnsi" w:cstheme="majorHAnsi"/>
          <w:szCs w:val="22"/>
        </w:rPr>
        <w:t>outcomes</w:t>
      </w:r>
      <w:r w:rsidRPr="00E54DB1">
        <w:rPr>
          <w:rFonts w:asciiTheme="majorHAnsi" w:hAnsiTheme="majorHAnsi" w:cstheme="majorHAnsi"/>
          <w:spacing w:val="-2"/>
          <w:szCs w:val="22"/>
        </w:rPr>
        <w:t xml:space="preserve"> </w:t>
      </w:r>
      <w:r w:rsidRPr="00E54DB1">
        <w:rPr>
          <w:rFonts w:asciiTheme="majorHAnsi" w:hAnsiTheme="majorHAnsi" w:cstheme="majorHAnsi"/>
          <w:szCs w:val="22"/>
        </w:rPr>
        <w:t>of a</w:t>
      </w:r>
      <w:r w:rsidRPr="00E54DB1">
        <w:rPr>
          <w:rFonts w:asciiTheme="majorHAnsi" w:hAnsiTheme="majorHAnsi" w:cstheme="majorHAnsi"/>
          <w:spacing w:val="-4"/>
          <w:szCs w:val="22"/>
        </w:rPr>
        <w:t xml:space="preserve"> </w:t>
      </w:r>
      <w:r w:rsidRPr="00E54DB1">
        <w:rPr>
          <w:rFonts w:asciiTheme="majorHAnsi" w:hAnsiTheme="majorHAnsi" w:cstheme="majorHAnsi"/>
          <w:szCs w:val="22"/>
        </w:rPr>
        <w:t>review.</w:t>
      </w:r>
      <w:r w:rsidRPr="00E54DB1">
        <w:rPr>
          <w:rFonts w:asciiTheme="majorHAnsi" w:hAnsiTheme="majorHAnsi" w:cstheme="majorHAnsi"/>
          <w:spacing w:val="-2"/>
          <w:szCs w:val="22"/>
        </w:rPr>
        <w:t xml:space="preserve"> These</w:t>
      </w:r>
      <w:r w:rsidRPr="00E54DB1">
        <w:rPr>
          <w:rFonts w:asciiTheme="majorHAnsi" w:hAnsiTheme="majorHAnsi" w:cstheme="majorHAnsi"/>
          <w:szCs w:val="22"/>
        </w:rPr>
        <w:t xml:space="preserve"> levels</w:t>
      </w:r>
      <w:r w:rsidRPr="00E54DB1">
        <w:rPr>
          <w:rFonts w:asciiTheme="majorHAnsi" w:hAnsiTheme="majorHAnsi" w:cstheme="majorHAnsi"/>
          <w:spacing w:val="-2"/>
          <w:szCs w:val="22"/>
        </w:rPr>
        <w:t xml:space="preserve"> </w:t>
      </w:r>
      <w:r w:rsidRPr="00E54DB1">
        <w:rPr>
          <w:rFonts w:asciiTheme="majorHAnsi" w:hAnsiTheme="majorHAnsi" w:cstheme="majorHAnsi"/>
          <w:szCs w:val="22"/>
        </w:rPr>
        <w:t>of approval differentiate performance within the Commonwealth following a robust, comprehensive evaluation. The approval determinations are:</w:t>
      </w:r>
    </w:p>
    <w:p w14:paraId="6AD6DFB7" w14:textId="77777777" w:rsidR="008E2C1E" w:rsidRPr="00E54DB1" w:rsidRDefault="008E2C1E" w:rsidP="00090190">
      <w:pPr>
        <w:pStyle w:val="ListParagraph"/>
        <w:widowControl w:val="0"/>
        <w:numPr>
          <w:ilvl w:val="0"/>
          <w:numId w:val="35"/>
        </w:numPr>
        <w:tabs>
          <w:tab w:val="left" w:pos="839"/>
          <w:tab w:val="left" w:pos="840"/>
        </w:tabs>
        <w:autoSpaceDE w:val="0"/>
        <w:autoSpaceDN w:val="0"/>
        <w:ind w:hanging="361"/>
        <w:contextualSpacing w:val="0"/>
        <w:rPr>
          <w:rFonts w:cstheme="majorHAnsi"/>
        </w:rPr>
      </w:pPr>
      <w:r w:rsidRPr="00E54DB1">
        <w:rPr>
          <w:rFonts w:cstheme="majorHAnsi"/>
        </w:rPr>
        <w:t>Approved</w:t>
      </w:r>
      <w:r w:rsidRPr="00E54DB1">
        <w:rPr>
          <w:rFonts w:cstheme="majorHAnsi"/>
          <w:spacing w:val="-2"/>
        </w:rPr>
        <w:t xml:space="preserve"> </w:t>
      </w:r>
      <w:r w:rsidRPr="00E54DB1">
        <w:rPr>
          <w:rFonts w:cstheme="majorHAnsi"/>
        </w:rPr>
        <w:t>with</w:t>
      </w:r>
      <w:r w:rsidRPr="00E54DB1">
        <w:rPr>
          <w:rFonts w:cstheme="majorHAnsi"/>
          <w:spacing w:val="-3"/>
        </w:rPr>
        <w:t xml:space="preserve"> </w:t>
      </w:r>
      <w:r w:rsidRPr="00E54DB1">
        <w:rPr>
          <w:rFonts w:cstheme="majorHAnsi"/>
          <w:spacing w:val="-2"/>
        </w:rPr>
        <w:t>Distinction</w:t>
      </w:r>
    </w:p>
    <w:p w14:paraId="5051633E" w14:textId="77777777" w:rsidR="008E2C1E" w:rsidRPr="00E54DB1" w:rsidRDefault="008E2C1E" w:rsidP="00090190">
      <w:pPr>
        <w:pStyle w:val="ListParagraph"/>
        <w:widowControl w:val="0"/>
        <w:numPr>
          <w:ilvl w:val="0"/>
          <w:numId w:val="35"/>
        </w:numPr>
        <w:tabs>
          <w:tab w:val="left" w:pos="839"/>
          <w:tab w:val="left" w:pos="840"/>
        </w:tabs>
        <w:autoSpaceDE w:val="0"/>
        <w:autoSpaceDN w:val="0"/>
        <w:spacing w:before="1"/>
        <w:ind w:hanging="361"/>
        <w:contextualSpacing w:val="0"/>
        <w:rPr>
          <w:rFonts w:cstheme="majorHAnsi"/>
        </w:rPr>
      </w:pPr>
      <w:r w:rsidRPr="00E54DB1">
        <w:rPr>
          <w:rFonts w:cstheme="majorHAnsi"/>
          <w:spacing w:val="-2"/>
        </w:rPr>
        <w:t>Approved</w:t>
      </w:r>
    </w:p>
    <w:p w14:paraId="5D5933CA" w14:textId="77777777" w:rsidR="008E2C1E" w:rsidRPr="00E54DB1" w:rsidRDefault="008E2C1E" w:rsidP="00090190">
      <w:pPr>
        <w:pStyle w:val="ListParagraph"/>
        <w:widowControl w:val="0"/>
        <w:numPr>
          <w:ilvl w:val="0"/>
          <w:numId w:val="35"/>
        </w:numPr>
        <w:tabs>
          <w:tab w:val="left" w:pos="839"/>
          <w:tab w:val="left" w:pos="840"/>
        </w:tabs>
        <w:autoSpaceDE w:val="0"/>
        <w:autoSpaceDN w:val="0"/>
        <w:ind w:hanging="361"/>
        <w:contextualSpacing w:val="0"/>
        <w:rPr>
          <w:rFonts w:cstheme="majorHAnsi"/>
        </w:rPr>
      </w:pPr>
      <w:r w:rsidRPr="00E54DB1">
        <w:rPr>
          <w:rFonts w:cstheme="majorHAnsi"/>
        </w:rPr>
        <w:t>Approved</w:t>
      </w:r>
      <w:r w:rsidRPr="00E54DB1">
        <w:rPr>
          <w:rFonts w:cstheme="majorHAnsi"/>
          <w:spacing w:val="-2"/>
        </w:rPr>
        <w:t xml:space="preserve"> </w:t>
      </w:r>
      <w:r w:rsidRPr="00E54DB1">
        <w:rPr>
          <w:rFonts w:cstheme="majorHAnsi"/>
        </w:rPr>
        <w:t>with</w:t>
      </w:r>
      <w:r w:rsidRPr="00E54DB1">
        <w:rPr>
          <w:rFonts w:cstheme="majorHAnsi"/>
          <w:spacing w:val="-1"/>
        </w:rPr>
        <w:t xml:space="preserve"> </w:t>
      </w:r>
      <w:r w:rsidRPr="00E54DB1">
        <w:rPr>
          <w:rFonts w:cstheme="majorHAnsi"/>
          <w:spacing w:val="-2"/>
        </w:rPr>
        <w:t>Conditions</w:t>
      </w:r>
    </w:p>
    <w:p w14:paraId="4224A64C" w14:textId="77777777" w:rsidR="008E2C1E" w:rsidRPr="00E54DB1" w:rsidRDefault="008E2C1E" w:rsidP="00090190">
      <w:pPr>
        <w:pStyle w:val="ListParagraph"/>
        <w:widowControl w:val="0"/>
        <w:numPr>
          <w:ilvl w:val="0"/>
          <w:numId w:val="35"/>
        </w:numPr>
        <w:tabs>
          <w:tab w:val="left" w:pos="839"/>
          <w:tab w:val="left" w:pos="840"/>
        </w:tabs>
        <w:autoSpaceDE w:val="0"/>
        <w:autoSpaceDN w:val="0"/>
        <w:spacing w:before="2"/>
        <w:ind w:hanging="361"/>
        <w:contextualSpacing w:val="0"/>
        <w:rPr>
          <w:rFonts w:cstheme="majorHAnsi"/>
        </w:rPr>
      </w:pPr>
      <w:r w:rsidRPr="00E54DB1">
        <w:rPr>
          <w:rFonts w:cstheme="majorHAnsi"/>
        </w:rPr>
        <w:t>Probationary</w:t>
      </w:r>
      <w:r w:rsidRPr="00E54DB1">
        <w:rPr>
          <w:rFonts w:cstheme="majorHAnsi"/>
          <w:spacing w:val="-2"/>
        </w:rPr>
        <w:t xml:space="preserve"> Approval</w:t>
      </w:r>
    </w:p>
    <w:p w14:paraId="130C8A41" w14:textId="77777777" w:rsidR="008E2C1E" w:rsidRPr="00E54DB1" w:rsidRDefault="008E2C1E" w:rsidP="00014585">
      <w:pPr>
        <w:pStyle w:val="ListParagraph"/>
        <w:widowControl w:val="0"/>
        <w:numPr>
          <w:ilvl w:val="0"/>
          <w:numId w:val="35"/>
        </w:numPr>
        <w:tabs>
          <w:tab w:val="left" w:pos="839"/>
          <w:tab w:val="left" w:pos="840"/>
        </w:tabs>
        <w:autoSpaceDE w:val="0"/>
        <w:autoSpaceDN w:val="0"/>
        <w:spacing w:before="2"/>
        <w:ind w:hanging="361"/>
        <w:contextualSpacing w:val="0"/>
        <w:rPr>
          <w:rFonts w:cstheme="majorHAnsi"/>
        </w:rPr>
      </w:pPr>
      <w:r w:rsidRPr="00E54DB1">
        <w:rPr>
          <w:rFonts w:cstheme="majorHAnsi"/>
        </w:rPr>
        <w:t xml:space="preserve">Not </w:t>
      </w:r>
      <w:r w:rsidRPr="00E54DB1">
        <w:rPr>
          <w:rFonts w:cstheme="majorHAnsi"/>
          <w:spacing w:val="-2"/>
        </w:rPr>
        <w:t>Approved</w:t>
      </w:r>
    </w:p>
    <w:p w14:paraId="63208E84" w14:textId="77777777" w:rsidR="008E2C1E" w:rsidRPr="00E54DB1" w:rsidRDefault="008E2C1E" w:rsidP="00014585">
      <w:pPr>
        <w:widowControl w:val="0"/>
        <w:tabs>
          <w:tab w:val="left" w:pos="839"/>
          <w:tab w:val="left" w:pos="840"/>
        </w:tabs>
        <w:autoSpaceDE w:val="0"/>
        <w:autoSpaceDN w:val="0"/>
        <w:spacing w:before="2"/>
        <w:rPr>
          <w:rFonts w:cstheme="majorHAnsi"/>
        </w:rPr>
      </w:pPr>
    </w:p>
    <w:p w14:paraId="730852EA" w14:textId="4F6489B2" w:rsidR="008E2C1E" w:rsidRPr="00E54DB1" w:rsidRDefault="00D92AD3" w:rsidP="00014585">
      <w:pPr>
        <w:widowControl w:val="0"/>
        <w:tabs>
          <w:tab w:val="left" w:pos="839"/>
          <w:tab w:val="left" w:pos="840"/>
        </w:tabs>
        <w:autoSpaceDE w:val="0"/>
        <w:autoSpaceDN w:val="0"/>
        <w:spacing w:before="2"/>
        <w:rPr>
          <w:rFonts w:cstheme="majorHAnsi"/>
        </w:rPr>
      </w:pPr>
      <w:r>
        <w:rPr>
          <w:rFonts w:cstheme="majorHAnsi"/>
        </w:rPr>
        <w:t>An</w:t>
      </w:r>
      <w:r w:rsidRPr="00E54DB1">
        <w:rPr>
          <w:rFonts w:cstheme="majorHAnsi"/>
        </w:rPr>
        <w:t xml:space="preserve"> </w:t>
      </w:r>
      <w:r w:rsidR="008E2C1E" w:rsidRPr="00E54DB1">
        <w:rPr>
          <w:rFonts w:cstheme="majorHAnsi"/>
        </w:rPr>
        <w:t>approval</w:t>
      </w:r>
      <w:r w:rsidR="008E2C1E" w:rsidRPr="00E54DB1">
        <w:rPr>
          <w:rFonts w:cstheme="majorHAnsi"/>
          <w:spacing w:val="-1"/>
        </w:rPr>
        <w:t xml:space="preserve"> </w:t>
      </w:r>
      <w:r w:rsidR="008E2C1E" w:rsidRPr="00E54DB1">
        <w:rPr>
          <w:rFonts w:cstheme="majorHAnsi"/>
        </w:rPr>
        <w:t>determination</w:t>
      </w:r>
      <w:r w:rsidR="008E2C1E" w:rsidRPr="00E54DB1">
        <w:rPr>
          <w:rFonts w:cstheme="majorHAnsi"/>
          <w:spacing w:val="-2"/>
        </w:rPr>
        <w:t xml:space="preserve"> </w:t>
      </w:r>
      <w:r w:rsidR="008E2C1E" w:rsidRPr="00E54DB1">
        <w:rPr>
          <w:rFonts w:cstheme="majorHAnsi"/>
        </w:rPr>
        <w:t>reflect</w:t>
      </w:r>
      <w:r>
        <w:rPr>
          <w:rFonts w:cstheme="majorHAnsi"/>
        </w:rPr>
        <w:t>s</w:t>
      </w:r>
      <w:r w:rsidR="008E2C1E" w:rsidRPr="00E54DB1">
        <w:rPr>
          <w:rFonts w:cstheme="majorHAnsi"/>
          <w:spacing w:val="-3"/>
        </w:rPr>
        <w:t xml:space="preserve"> </w:t>
      </w:r>
      <w:r w:rsidR="008E2C1E" w:rsidRPr="00E54DB1">
        <w:rPr>
          <w:rFonts w:cstheme="majorHAnsi"/>
        </w:rPr>
        <w:t>the</w:t>
      </w:r>
      <w:r w:rsidR="008E2C1E" w:rsidRPr="00E54DB1">
        <w:rPr>
          <w:rFonts w:cstheme="majorHAnsi"/>
          <w:spacing w:val="-1"/>
        </w:rPr>
        <w:t xml:space="preserve"> </w:t>
      </w:r>
      <w:r w:rsidR="008E2C1E" w:rsidRPr="00E54DB1">
        <w:rPr>
          <w:rFonts w:cstheme="majorHAnsi"/>
        </w:rPr>
        <w:t>cumulative impact</w:t>
      </w:r>
      <w:r w:rsidR="008E2C1E" w:rsidRPr="00E54DB1">
        <w:rPr>
          <w:rFonts w:cstheme="majorHAnsi"/>
          <w:spacing w:val="-3"/>
        </w:rPr>
        <w:t xml:space="preserve"> </w:t>
      </w:r>
      <w:r w:rsidR="008E2C1E" w:rsidRPr="00E54DB1">
        <w:rPr>
          <w:rFonts w:cstheme="majorHAnsi"/>
        </w:rPr>
        <w:t>of</w:t>
      </w:r>
      <w:r w:rsidR="008E2C1E" w:rsidRPr="00E54DB1">
        <w:rPr>
          <w:rFonts w:cstheme="majorHAnsi"/>
          <w:spacing w:val="-3"/>
        </w:rPr>
        <w:t xml:space="preserve"> </w:t>
      </w:r>
      <w:r w:rsidR="008E2C1E" w:rsidRPr="00E54DB1">
        <w:rPr>
          <w:rFonts w:cstheme="majorHAnsi"/>
        </w:rPr>
        <w:t>judgments</w:t>
      </w:r>
      <w:r w:rsidR="008E2C1E" w:rsidRPr="00E54DB1">
        <w:rPr>
          <w:rFonts w:cstheme="majorHAnsi"/>
          <w:spacing w:val="-4"/>
        </w:rPr>
        <w:t xml:space="preserve"> </w:t>
      </w:r>
      <w:r w:rsidR="008E2C1E" w:rsidRPr="00E54DB1">
        <w:rPr>
          <w:rFonts w:cstheme="majorHAnsi"/>
        </w:rPr>
        <w:t>made</w:t>
      </w:r>
      <w:r w:rsidR="008E2C1E" w:rsidRPr="00E54DB1">
        <w:rPr>
          <w:rFonts w:cstheme="majorHAnsi"/>
          <w:spacing w:val="-4"/>
        </w:rPr>
        <w:t xml:space="preserve"> </w:t>
      </w:r>
      <w:r w:rsidR="008E2C1E" w:rsidRPr="00E54DB1">
        <w:rPr>
          <w:rFonts w:cstheme="majorHAnsi"/>
        </w:rPr>
        <w:t>throughout</w:t>
      </w:r>
      <w:r w:rsidR="008E2C1E" w:rsidRPr="00E54DB1">
        <w:rPr>
          <w:rFonts w:cstheme="majorHAnsi"/>
          <w:spacing w:val="-5"/>
        </w:rPr>
        <w:t xml:space="preserve"> </w:t>
      </w:r>
      <w:r w:rsidR="008E2C1E" w:rsidRPr="00E54DB1">
        <w:rPr>
          <w:rFonts w:cstheme="majorHAnsi"/>
        </w:rPr>
        <w:t>the</w:t>
      </w:r>
      <w:r w:rsidR="008E2C1E" w:rsidRPr="00E54DB1">
        <w:rPr>
          <w:rFonts w:cstheme="majorHAnsi"/>
          <w:spacing w:val="-3"/>
        </w:rPr>
        <w:t xml:space="preserve"> </w:t>
      </w:r>
      <w:r w:rsidR="008E2C1E" w:rsidRPr="00E54DB1">
        <w:rPr>
          <w:rFonts w:cstheme="majorHAnsi"/>
        </w:rPr>
        <w:t>review and</w:t>
      </w:r>
      <w:r w:rsidR="008E2C1E" w:rsidRPr="00E54DB1">
        <w:rPr>
          <w:rFonts w:cstheme="majorHAnsi"/>
          <w:spacing w:val="-4"/>
        </w:rPr>
        <w:t xml:space="preserve"> </w:t>
      </w:r>
      <w:r w:rsidR="008E2C1E" w:rsidRPr="00E54DB1">
        <w:rPr>
          <w:rFonts w:cstheme="majorHAnsi"/>
        </w:rPr>
        <w:t>are</w:t>
      </w:r>
      <w:r w:rsidR="008E2C1E" w:rsidRPr="00E54DB1">
        <w:rPr>
          <w:rFonts w:cstheme="majorHAnsi"/>
          <w:spacing w:val="-3"/>
        </w:rPr>
        <w:t xml:space="preserve"> </w:t>
      </w:r>
      <w:r w:rsidR="008E2C1E" w:rsidRPr="00E54DB1">
        <w:rPr>
          <w:rFonts w:cstheme="majorHAnsi"/>
        </w:rPr>
        <w:t xml:space="preserve">meant to signal to </w:t>
      </w:r>
      <w:r w:rsidR="00EA4173">
        <w:rPr>
          <w:rFonts w:cstheme="majorHAnsi"/>
        </w:rPr>
        <w:t xml:space="preserve">a </w:t>
      </w:r>
      <w:r w:rsidR="008E2C1E" w:rsidRPr="00E54DB1">
        <w:rPr>
          <w:rFonts w:cstheme="majorHAnsi"/>
        </w:rPr>
        <w:t xml:space="preserve">Sponsoring Organization and external stakeholders the overall results of the evidence-based review and the general status of preparation within an organization. A Sponsoring Organization’s approval determination is </w:t>
      </w:r>
      <w:r w:rsidR="002A02CC" w:rsidRPr="00E54DB1">
        <w:rPr>
          <w:rFonts w:cstheme="majorHAnsi"/>
        </w:rPr>
        <w:t xml:space="preserve">typically </w:t>
      </w:r>
      <w:r w:rsidR="008E2C1E" w:rsidRPr="00E54DB1">
        <w:rPr>
          <w:rFonts w:cstheme="majorHAnsi"/>
        </w:rPr>
        <w:t>granted to the organization overall. However, DESE maintains the authority to identify a separate approval status for individual programs within the organization. Regardless</w:t>
      </w:r>
      <w:r w:rsidR="008E2C1E" w:rsidRPr="00E54DB1">
        <w:rPr>
          <w:rFonts w:cstheme="majorHAnsi"/>
          <w:spacing w:val="-3"/>
        </w:rPr>
        <w:t xml:space="preserve"> </w:t>
      </w:r>
      <w:r w:rsidR="008E2C1E" w:rsidRPr="00E54DB1">
        <w:rPr>
          <w:rFonts w:cstheme="majorHAnsi"/>
        </w:rPr>
        <w:t>of</w:t>
      </w:r>
      <w:r w:rsidR="008E2C1E" w:rsidRPr="00E54DB1">
        <w:rPr>
          <w:rFonts w:cstheme="majorHAnsi"/>
          <w:spacing w:val="-4"/>
        </w:rPr>
        <w:t xml:space="preserve"> </w:t>
      </w:r>
      <w:r w:rsidR="008E2C1E" w:rsidRPr="00E54DB1">
        <w:rPr>
          <w:rFonts w:cstheme="majorHAnsi"/>
        </w:rPr>
        <w:t>the</w:t>
      </w:r>
      <w:r w:rsidR="008E2C1E" w:rsidRPr="00E54DB1">
        <w:rPr>
          <w:rFonts w:cstheme="majorHAnsi"/>
          <w:spacing w:val="-4"/>
        </w:rPr>
        <w:t xml:space="preserve"> </w:t>
      </w:r>
      <w:r w:rsidR="008E2C1E" w:rsidRPr="00E54DB1">
        <w:rPr>
          <w:rFonts w:cstheme="majorHAnsi"/>
        </w:rPr>
        <w:t>approval</w:t>
      </w:r>
      <w:r w:rsidR="008E2C1E" w:rsidRPr="00E54DB1">
        <w:rPr>
          <w:rFonts w:cstheme="majorHAnsi"/>
          <w:spacing w:val="-2"/>
        </w:rPr>
        <w:t xml:space="preserve"> </w:t>
      </w:r>
      <w:r w:rsidR="008E2C1E" w:rsidRPr="00E54DB1">
        <w:rPr>
          <w:rFonts w:cstheme="majorHAnsi"/>
        </w:rPr>
        <w:t>determination,</w:t>
      </w:r>
      <w:r w:rsidR="008E2C1E" w:rsidRPr="00E54DB1">
        <w:rPr>
          <w:rFonts w:cstheme="majorHAnsi"/>
          <w:spacing w:val="-5"/>
        </w:rPr>
        <w:t xml:space="preserve"> </w:t>
      </w:r>
      <w:r w:rsidR="008E2C1E" w:rsidRPr="00E54DB1">
        <w:rPr>
          <w:rFonts w:cstheme="majorHAnsi"/>
        </w:rPr>
        <w:t>DESE</w:t>
      </w:r>
      <w:r w:rsidR="008E2C1E" w:rsidRPr="00E54DB1">
        <w:rPr>
          <w:rFonts w:cstheme="majorHAnsi"/>
          <w:spacing w:val="-2"/>
        </w:rPr>
        <w:t xml:space="preserve"> </w:t>
      </w:r>
      <w:r w:rsidR="008E2C1E" w:rsidRPr="00E54DB1">
        <w:rPr>
          <w:rFonts w:cstheme="majorHAnsi"/>
        </w:rPr>
        <w:t>will</w:t>
      </w:r>
      <w:r w:rsidR="008E2C1E" w:rsidRPr="00E54DB1">
        <w:rPr>
          <w:rFonts w:cstheme="majorHAnsi"/>
          <w:spacing w:val="-3"/>
        </w:rPr>
        <w:t xml:space="preserve"> </w:t>
      </w:r>
      <w:r w:rsidR="008E2C1E" w:rsidRPr="00E54DB1">
        <w:rPr>
          <w:rFonts w:cstheme="majorHAnsi"/>
        </w:rPr>
        <w:t>continue</w:t>
      </w:r>
      <w:r w:rsidR="008E2C1E" w:rsidRPr="00E54DB1">
        <w:rPr>
          <w:rFonts w:cstheme="majorHAnsi"/>
          <w:spacing w:val="-2"/>
        </w:rPr>
        <w:t xml:space="preserve"> </w:t>
      </w:r>
      <w:r w:rsidR="008E2C1E" w:rsidRPr="00E54DB1">
        <w:rPr>
          <w:rFonts w:cstheme="majorHAnsi"/>
        </w:rPr>
        <w:t>to</w:t>
      </w:r>
      <w:r w:rsidR="008E2C1E" w:rsidRPr="00E54DB1">
        <w:rPr>
          <w:rFonts w:cstheme="majorHAnsi"/>
          <w:spacing w:val="-2"/>
        </w:rPr>
        <w:t xml:space="preserve"> </w:t>
      </w:r>
      <w:r w:rsidR="008E2C1E" w:rsidRPr="00E54DB1">
        <w:rPr>
          <w:rFonts w:cstheme="majorHAnsi"/>
        </w:rPr>
        <w:t>monitor</w:t>
      </w:r>
      <w:r w:rsidR="008E2C1E" w:rsidRPr="00E54DB1">
        <w:rPr>
          <w:rFonts w:cstheme="majorHAnsi"/>
          <w:spacing w:val="-2"/>
        </w:rPr>
        <w:t xml:space="preserve"> </w:t>
      </w:r>
      <w:r w:rsidR="008E2C1E" w:rsidRPr="00E54DB1">
        <w:rPr>
          <w:rFonts w:cstheme="majorHAnsi"/>
        </w:rPr>
        <w:t>individual</w:t>
      </w:r>
      <w:r w:rsidR="008E2C1E" w:rsidRPr="00E54DB1">
        <w:rPr>
          <w:rFonts w:cstheme="majorHAnsi"/>
          <w:spacing w:val="-5"/>
        </w:rPr>
        <w:t xml:space="preserve"> </w:t>
      </w:r>
      <w:r w:rsidR="008E2C1E" w:rsidRPr="00E54DB1">
        <w:rPr>
          <w:rFonts w:cstheme="majorHAnsi"/>
        </w:rPr>
        <w:t>program</w:t>
      </w:r>
      <w:r w:rsidR="008E2C1E" w:rsidRPr="00E54DB1">
        <w:rPr>
          <w:rFonts w:cstheme="majorHAnsi"/>
          <w:spacing w:val="-5"/>
        </w:rPr>
        <w:t xml:space="preserve"> </w:t>
      </w:r>
      <w:r w:rsidR="008E2C1E" w:rsidRPr="00E54DB1">
        <w:rPr>
          <w:rFonts w:cstheme="majorHAnsi"/>
        </w:rPr>
        <w:t>and provider efficacy and reserves the right to revisit conditions or engage in an interim review.</w:t>
      </w:r>
    </w:p>
    <w:p w14:paraId="2161C99B" w14:textId="77777777" w:rsidR="008E2C1E" w:rsidRPr="00E54DB1" w:rsidRDefault="008E2C1E" w:rsidP="00014585">
      <w:pPr>
        <w:pStyle w:val="BodyText"/>
        <w:spacing w:before="11" w:line="276" w:lineRule="auto"/>
        <w:rPr>
          <w:rFonts w:asciiTheme="majorHAnsi" w:hAnsiTheme="majorHAnsi" w:cstheme="majorHAnsi"/>
          <w:szCs w:val="22"/>
        </w:rPr>
      </w:pPr>
    </w:p>
    <w:p w14:paraId="3F7FF6AE" w14:textId="77777777" w:rsidR="008E2C1E" w:rsidRPr="00E54DB1" w:rsidRDefault="008E2C1E" w:rsidP="00014585">
      <w:pPr>
        <w:pStyle w:val="BodyText"/>
        <w:spacing w:before="1" w:line="276" w:lineRule="auto"/>
        <w:rPr>
          <w:rFonts w:asciiTheme="majorHAnsi" w:hAnsiTheme="majorHAnsi" w:cstheme="majorHAnsi"/>
          <w:szCs w:val="22"/>
        </w:rPr>
      </w:pPr>
      <w:r w:rsidRPr="00E54DB1">
        <w:rPr>
          <w:rFonts w:asciiTheme="majorHAnsi" w:hAnsiTheme="majorHAnsi" w:cstheme="majorHAnsi"/>
          <w:szCs w:val="22"/>
        </w:rPr>
        <w:t>Each approval determination has specific implications pertaining to the conditions of approval being granted. Details</w:t>
      </w:r>
      <w:r w:rsidRPr="00E54DB1">
        <w:rPr>
          <w:rFonts w:asciiTheme="majorHAnsi" w:hAnsiTheme="majorHAnsi" w:cstheme="majorHAnsi"/>
          <w:spacing w:val="-3"/>
          <w:szCs w:val="22"/>
        </w:rPr>
        <w:t xml:space="preserve"> </w:t>
      </w:r>
      <w:r w:rsidRPr="00E54DB1">
        <w:rPr>
          <w:rFonts w:asciiTheme="majorHAnsi" w:hAnsiTheme="majorHAnsi" w:cstheme="majorHAnsi"/>
          <w:szCs w:val="22"/>
        </w:rPr>
        <w:t>of</w:t>
      </w:r>
      <w:r w:rsidRPr="00E54DB1">
        <w:rPr>
          <w:rFonts w:asciiTheme="majorHAnsi" w:hAnsiTheme="majorHAnsi" w:cstheme="majorHAnsi"/>
          <w:spacing w:val="-1"/>
          <w:szCs w:val="22"/>
        </w:rPr>
        <w:t xml:space="preserve"> </w:t>
      </w:r>
      <w:r w:rsidRPr="00E54DB1">
        <w:rPr>
          <w:rFonts w:asciiTheme="majorHAnsi" w:hAnsiTheme="majorHAnsi" w:cstheme="majorHAnsi"/>
          <w:szCs w:val="22"/>
        </w:rPr>
        <w:t>each</w:t>
      </w:r>
      <w:r w:rsidRPr="00E54DB1">
        <w:rPr>
          <w:rFonts w:asciiTheme="majorHAnsi" w:hAnsiTheme="majorHAnsi" w:cstheme="majorHAnsi"/>
          <w:spacing w:val="-2"/>
          <w:szCs w:val="22"/>
        </w:rPr>
        <w:t xml:space="preserve"> </w:t>
      </w:r>
      <w:r w:rsidRPr="00E54DB1">
        <w:rPr>
          <w:rFonts w:asciiTheme="majorHAnsi" w:hAnsiTheme="majorHAnsi" w:cstheme="majorHAnsi"/>
          <w:szCs w:val="22"/>
        </w:rPr>
        <w:t>are</w:t>
      </w:r>
      <w:r w:rsidRPr="00E54DB1">
        <w:rPr>
          <w:rFonts w:asciiTheme="majorHAnsi" w:hAnsiTheme="majorHAnsi" w:cstheme="majorHAnsi"/>
          <w:spacing w:val="-1"/>
          <w:szCs w:val="22"/>
        </w:rPr>
        <w:t xml:space="preserve"> </w:t>
      </w:r>
      <w:r w:rsidRPr="00E54DB1">
        <w:rPr>
          <w:rFonts w:asciiTheme="majorHAnsi" w:hAnsiTheme="majorHAnsi" w:cstheme="majorHAnsi"/>
          <w:szCs w:val="22"/>
        </w:rPr>
        <w:t>outlined</w:t>
      </w:r>
      <w:r w:rsidRPr="00E54DB1">
        <w:rPr>
          <w:rFonts w:asciiTheme="majorHAnsi" w:hAnsiTheme="majorHAnsi" w:cstheme="majorHAnsi"/>
          <w:spacing w:val="-1"/>
          <w:szCs w:val="22"/>
        </w:rPr>
        <w:t xml:space="preserve"> </w:t>
      </w:r>
      <w:r w:rsidRPr="00E54DB1">
        <w:rPr>
          <w:rFonts w:asciiTheme="majorHAnsi" w:hAnsiTheme="majorHAnsi" w:cstheme="majorHAnsi"/>
          <w:spacing w:val="-2"/>
          <w:szCs w:val="22"/>
        </w:rPr>
        <w:t>below.</w:t>
      </w:r>
    </w:p>
    <w:p w14:paraId="2B2753F8" w14:textId="77777777" w:rsidR="008E2C1E" w:rsidRPr="00E54DB1" w:rsidRDefault="008E2C1E" w:rsidP="008E2C1E">
      <w:pPr>
        <w:pStyle w:val="BodyText"/>
        <w:spacing w:before="5"/>
        <w:rPr>
          <w:rFonts w:asciiTheme="majorHAnsi" w:hAnsiTheme="majorHAnsi" w:cstheme="majorHAnsi"/>
          <w:szCs w:val="22"/>
        </w:rPr>
      </w:pPr>
    </w:p>
    <w:tbl>
      <w:tblPr>
        <w:tblStyle w:val="GridTable2-Accent1"/>
        <w:tblW w:w="9734" w:type="dxa"/>
        <w:tblLayout w:type="fixed"/>
        <w:tblLook w:val="04A0" w:firstRow="1" w:lastRow="0" w:firstColumn="1" w:lastColumn="0" w:noHBand="0" w:noVBand="1"/>
      </w:tblPr>
      <w:tblGrid>
        <w:gridCol w:w="1800"/>
        <w:gridCol w:w="3974"/>
        <w:gridCol w:w="3960"/>
      </w:tblGrid>
      <w:tr w:rsidR="008E2C1E" w:rsidRPr="00E54DB1" w14:paraId="5F7EEC38" w14:textId="77777777" w:rsidTr="004C06C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800" w:type="dxa"/>
          </w:tcPr>
          <w:p w14:paraId="1ECD1402" w14:textId="77777777" w:rsidR="008E2C1E" w:rsidRPr="007B2B94" w:rsidRDefault="008E2C1E" w:rsidP="00D17218">
            <w:pPr>
              <w:pStyle w:val="TableParagraph"/>
              <w:spacing w:line="248" w:lineRule="exact"/>
              <w:ind w:left="107"/>
              <w:rPr>
                <w:rFonts w:asciiTheme="majorHAnsi" w:hAnsiTheme="majorHAnsi" w:cstheme="majorHAnsi"/>
              </w:rPr>
            </w:pPr>
            <w:r w:rsidRPr="007B2B94">
              <w:rPr>
                <w:rFonts w:asciiTheme="majorHAnsi" w:hAnsiTheme="majorHAnsi" w:cstheme="majorHAnsi"/>
                <w:spacing w:val="-2"/>
              </w:rPr>
              <w:t>Determination</w:t>
            </w:r>
          </w:p>
        </w:tc>
        <w:tc>
          <w:tcPr>
            <w:tcW w:w="3974" w:type="dxa"/>
          </w:tcPr>
          <w:p w14:paraId="3C854C12" w14:textId="77777777" w:rsidR="008E2C1E" w:rsidRPr="00090190" w:rsidRDefault="008E2C1E" w:rsidP="00D17218">
            <w:pPr>
              <w:cnfStyle w:val="100000000000" w:firstRow="1" w:lastRow="0" w:firstColumn="0" w:lastColumn="0" w:oddVBand="0" w:evenVBand="0" w:oddHBand="0" w:evenHBand="0" w:firstRowFirstColumn="0" w:firstRowLastColumn="0" w:lastRowFirstColumn="0" w:lastRowLastColumn="0"/>
              <w:rPr>
                <w:rFonts w:cstheme="majorHAnsi"/>
              </w:rPr>
            </w:pPr>
            <w:r w:rsidRPr="00090190">
              <w:rPr>
                <w:rFonts w:cstheme="majorHAnsi"/>
              </w:rPr>
              <w:t xml:space="preserve">  Definition and Indicators</w:t>
            </w:r>
          </w:p>
        </w:tc>
        <w:tc>
          <w:tcPr>
            <w:tcW w:w="3960" w:type="dxa"/>
          </w:tcPr>
          <w:p w14:paraId="60C422FB" w14:textId="77777777" w:rsidR="008E2C1E" w:rsidRPr="00014585" w:rsidRDefault="008E2C1E" w:rsidP="00D17218">
            <w:pPr>
              <w:pStyle w:val="TableParagraph"/>
              <w:spacing w:line="248" w:lineRule="exact"/>
              <w:ind w:left="107"/>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090190">
              <w:rPr>
                <w:rFonts w:asciiTheme="majorHAnsi" w:hAnsiTheme="majorHAnsi" w:cstheme="majorHAnsi"/>
                <w:spacing w:val="-2"/>
              </w:rPr>
              <w:t>Implications</w:t>
            </w:r>
          </w:p>
        </w:tc>
      </w:tr>
      <w:tr w:rsidR="008E2C1E" w:rsidRPr="00E54DB1" w14:paraId="6DF921E2" w14:textId="77777777" w:rsidTr="004C06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tcPr>
          <w:p w14:paraId="233915E9" w14:textId="77777777" w:rsidR="008E2C1E" w:rsidRPr="00090190" w:rsidRDefault="008E2C1E" w:rsidP="00D17218">
            <w:pPr>
              <w:pStyle w:val="TableParagraph"/>
              <w:ind w:left="107" w:right="243"/>
              <w:rPr>
                <w:rFonts w:asciiTheme="majorHAnsi" w:hAnsiTheme="majorHAnsi" w:cstheme="majorHAnsi"/>
                <w:b w:val="0"/>
              </w:rPr>
            </w:pPr>
            <w:r w:rsidRPr="007B2B94">
              <w:rPr>
                <w:rFonts w:asciiTheme="majorHAnsi" w:hAnsiTheme="majorHAnsi" w:cstheme="majorHAnsi"/>
              </w:rPr>
              <w:t>Approved</w:t>
            </w:r>
            <w:r w:rsidRPr="007B2B94">
              <w:rPr>
                <w:rFonts w:asciiTheme="majorHAnsi" w:hAnsiTheme="majorHAnsi" w:cstheme="majorHAnsi"/>
                <w:spacing w:val="-13"/>
              </w:rPr>
              <w:t xml:space="preserve"> </w:t>
            </w:r>
            <w:r w:rsidRPr="00090190">
              <w:rPr>
                <w:rFonts w:asciiTheme="majorHAnsi" w:hAnsiTheme="majorHAnsi" w:cstheme="majorHAnsi"/>
              </w:rPr>
              <w:t xml:space="preserve">with </w:t>
            </w:r>
            <w:r w:rsidRPr="00090190">
              <w:rPr>
                <w:rFonts w:asciiTheme="majorHAnsi" w:hAnsiTheme="majorHAnsi" w:cstheme="majorHAnsi"/>
                <w:spacing w:val="-2"/>
              </w:rPr>
              <w:t>Distinction</w:t>
            </w:r>
          </w:p>
        </w:tc>
        <w:tc>
          <w:tcPr>
            <w:tcW w:w="3974" w:type="dxa"/>
          </w:tcPr>
          <w:p w14:paraId="600A3EE5" w14:textId="5538C91F" w:rsidR="008E2C1E" w:rsidRPr="00367C89" w:rsidRDefault="003766B0" w:rsidP="00D17218">
            <w:pPr>
              <w:pStyle w:val="TableParagraph"/>
              <w:ind w:left="107" w:right="13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67C89">
              <w:rPr>
                <w:rFonts w:asciiTheme="majorHAnsi" w:hAnsiTheme="majorHAnsi" w:cstheme="majorHAnsi"/>
              </w:rPr>
              <w:t>Approved</w:t>
            </w:r>
            <w:r w:rsidR="008E2C1E" w:rsidRPr="00367C89">
              <w:rPr>
                <w:rFonts w:asciiTheme="majorHAnsi" w:hAnsiTheme="majorHAnsi" w:cstheme="majorHAnsi"/>
              </w:rPr>
              <w:t xml:space="preserve"> with Distinction is the highest level of approval. A Sponsoring Organization granted approval with distinction has formal review domain and criteria ratings that have exceeded the already high bar for approval, demonstrating exemplary performance and compelling evidence of impact. The Sponsoring Organization is operating at such a high level that it could serve as a model for other providers in the state or nation.</w:t>
            </w:r>
          </w:p>
        </w:tc>
        <w:tc>
          <w:tcPr>
            <w:tcW w:w="3960" w:type="dxa"/>
          </w:tcPr>
          <w:p w14:paraId="041BBA53" w14:textId="77777777" w:rsidR="008E2C1E" w:rsidRPr="00367C89" w:rsidRDefault="008E2C1E" w:rsidP="000E41AB">
            <w:pPr>
              <w:pStyle w:val="TableParagraph"/>
              <w:numPr>
                <w:ilvl w:val="0"/>
                <w:numId w:val="34"/>
              </w:numPr>
              <w:tabs>
                <w:tab w:val="left" w:pos="467"/>
                <w:tab w:val="left" w:pos="468"/>
              </w:tabs>
              <w:ind w:right="9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67C89">
              <w:rPr>
                <w:rFonts w:asciiTheme="majorHAnsi" w:hAnsiTheme="majorHAnsi" w:cstheme="majorHAnsi"/>
              </w:rPr>
              <w:t>Program is authorized to endorse candidates for licensure</w:t>
            </w:r>
            <w:r w:rsidRPr="00367C89">
              <w:rPr>
                <w:rFonts w:asciiTheme="majorHAnsi" w:hAnsiTheme="majorHAnsi" w:cstheme="majorHAnsi"/>
                <w:spacing w:val="-13"/>
              </w:rPr>
              <w:t xml:space="preserve"> </w:t>
            </w:r>
            <w:r w:rsidRPr="00367C89">
              <w:rPr>
                <w:rFonts w:asciiTheme="majorHAnsi" w:hAnsiTheme="majorHAnsi" w:cstheme="majorHAnsi"/>
              </w:rPr>
              <w:t>with</w:t>
            </w:r>
            <w:r w:rsidRPr="00367C89">
              <w:rPr>
                <w:rFonts w:asciiTheme="majorHAnsi" w:hAnsiTheme="majorHAnsi" w:cstheme="majorHAnsi"/>
                <w:spacing w:val="-12"/>
              </w:rPr>
              <w:t xml:space="preserve"> </w:t>
            </w:r>
            <w:r w:rsidRPr="00367C89">
              <w:rPr>
                <w:rFonts w:asciiTheme="majorHAnsi" w:hAnsiTheme="majorHAnsi" w:cstheme="majorHAnsi"/>
              </w:rPr>
              <w:t>full</w:t>
            </w:r>
            <w:r w:rsidRPr="00367C89">
              <w:rPr>
                <w:rFonts w:asciiTheme="majorHAnsi" w:hAnsiTheme="majorHAnsi" w:cstheme="majorHAnsi"/>
                <w:spacing w:val="-11"/>
              </w:rPr>
              <w:t xml:space="preserve"> </w:t>
            </w:r>
            <w:r w:rsidRPr="00367C89">
              <w:rPr>
                <w:rFonts w:asciiTheme="majorHAnsi" w:hAnsiTheme="majorHAnsi" w:cstheme="majorHAnsi"/>
              </w:rPr>
              <w:t xml:space="preserve">reciprocity </w:t>
            </w:r>
            <w:r w:rsidRPr="00367C89">
              <w:rPr>
                <w:rFonts w:asciiTheme="majorHAnsi" w:hAnsiTheme="majorHAnsi" w:cstheme="majorHAnsi"/>
                <w:spacing w:val="-2"/>
              </w:rPr>
              <w:t>benefits</w:t>
            </w:r>
          </w:p>
          <w:p w14:paraId="36C7C18B" w14:textId="77777777" w:rsidR="008E2C1E" w:rsidRPr="00367C89" w:rsidRDefault="008E2C1E" w:rsidP="000E41AB">
            <w:pPr>
              <w:pStyle w:val="TableParagraph"/>
              <w:numPr>
                <w:ilvl w:val="0"/>
                <w:numId w:val="34"/>
              </w:numPr>
              <w:tabs>
                <w:tab w:val="left" w:pos="467"/>
                <w:tab w:val="left" w:pos="468"/>
              </w:tabs>
              <w:ind w:right="123" w:hanging="36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67C89">
              <w:rPr>
                <w:rFonts w:asciiTheme="majorHAnsi" w:hAnsiTheme="majorHAnsi" w:cstheme="majorHAnsi"/>
              </w:rPr>
              <w:t xml:space="preserve">Full term of approval (estimated to be 7 years), unless </w:t>
            </w:r>
            <w:r w:rsidRPr="00367C89">
              <w:rPr>
                <w:rFonts w:asciiTheme="majorHAnsi" w:hAnsiTheme="majorHAnsi" w:cstheme="majorHAnsi"/>
                <w:color w:val="0D0D0D"/>
              </w:rPr>
              <w:t>program ceases to meet requirements or DESE finds</w:t>
            </w:r>
            <w:r w:rsidRPr="00367C89">
              <w:rPr>
                <w:rFonts w:asciiTheme="majorHAnsi" w:hAnsiTheme="majorHAnsi" w:cstheme="majorHAnsi"/>
                <w:color w:val="0D0D0D"/>
                <w:spacing w:val="-13"/>
              </w:rPr>
              <w:t xml:space="preserve"> </w:t>
            </w:r>
            <w:r w:rsidRPr="00367C89">
              <w:rPr>
                <w:rFonts w:asciiTheme="majorHAnsi" w:hAnsiTheme="majorHAnsi" w:cstheme="majorHAnsi"/>
                <w:color w:val="0D0D0D"/>
              </w:rPr>
              <w:t>insufficient</w:t>
            </w:r>
            <w:r w:rsidRPr="00367C89">
              <w:rPr>
                <w:rFonts w:asciiTheme="majorHAnsi" w:hAnsiTheme="majorHAnsi" w:cstheme="majorHAnsi"/>
                <w:color w:val="0D0D0D"/>
                <w:spacing w:val="-12"/>
              </w:rPr>
              <w:t xml:space="preserve"> </w:t>
            </w:r>
            <w:r w:rsidRPr="00367C89">
              <w:rPr>
                <w:rFonts w:asciiTheme="majorHAnsi" w:hAnsiTheme="majorHAnsi" w:cstheme="majorHAnsi"/>
                <w:color w:val="0D0D0D"/>
              </w:rPr>
              <w:t>evidence</w:t>
            </w:r>
            <w:r w:rsidRPr="00367C89">
              <w:rPr>
                <w:rFonts w:asciiTheme="majorHAnsi" w:hAnsiTheme="majorHAnsi" w:cstheme="majorHAnsi"/>
                <w:color w:val="0D0D0D"/>
                <w:spacing w:val="-12"/>
              </w:rPr>
              <w:t xml:space="preserve"> </w:t>
            </w:r>
            <w:r w:rsidRPr="00367C89">
              <w:rPr>
                <w:rFonts w:asciiTheme="majorHAnsi" w:hAnsiTheme="majorHAnsi" w:cstheme="majorHAnsi"/>
                <w:color w:val="0D0D0D"/>
              </w:rPr>
              <w:t>of meeting standards</w:t>
            </w:r>
          </w:p>
          <w:p w14:paraId="2858BE99" w14:textId="7E889A93" w:rsidR="008E2C1E" w:rsidRPr="00367C89" w:rsidRDefault="007E3BCC" w:rsidP="000E41AB">
            <w:pPr>
              <w:pStyle w:val="TableParagraph"/>
              <w:numPr>
                <w:ilvl w:val="0"/>
                <w:numId w:val="34"/>
              </w:numPr>
              <w:tabs>
                <w:tab w:val="left" w:pos="467"/>
                <w:tab w:val="left" w:pos="468"/>
              </w:tabs>
              <w:ind w:right="110" w:hanging="36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67C89">
              <w:rPr>
                <w:rStyle w:val="normaltextrun"/>
                <w:rFonts w:asciiTheme="majorHAnsi" w:hAnsiTheme="majorHAnsi" w:cstheme="majorHAnsi"/>
              </w:rPr>
              <w:t xml:space="preserve">Sponsoring Organization </w:t>
            </w:r>
            <w:r w:rsidR="008E2C1E" w:rsidRPr="00367C89">
              <w:rPr>
                <w:rFonts w:asciiTheme="majorHAnsi" w:hAnsiTheme="majorHAnsi" w:cstheme="majorHAnsi"/>
              </w:rPr>
              <w:t>is granted additional autonomy in making substantial</w:t>
            </w:r>
            <w:r w:rsidR="008E2C1E" w:rsidRPr="00367C89">
              <w:rPr>
                <w:rFonts w:asciiTheme="majorHAnsi" w:hAnsiTheme="majorHAnsi" w:cstheme="majorHAnsi"/>
                <w:spacing w:val="-13"/>
              </w:rPr>
              <w:t xml:space="preserve"> </w:t>
            </w:r>
            <w:r w:rsidR="008E2C1E" w:rsidRPr="00367C89">
              <w:rPr>
                <w:rFonts w:asciiTheme="majorHAnsi" w:hAnsiTheme="majorHAnsi" w:cstheme="majorHAnsi"/>
              </w:rPr>
              <w:t>program</w:t>
            </w:r>
            <w:r w:rsidR="008E2C1E" w:rsidRPr="00367C89">
              <w:rPr>
                <w:rFonts w:asciiTheme="majorHAnsi" w:hAnsiTheme="majorHAnsi" w:cstheme="majorHAnsi"/>
                <w:spacing w:val="-12"/>
              </w:rPr>
              <w:t xml:space="preserve"> </w:t>
            </w:r>
            <w:r w:rsidR="008E2C1E" w:rsidRPr="00367C89">
              <w:rPr>
                <w:rFonts w:asciiTheme="majorHAnsi" w:hAnsiTheme="majorHAnsi" w:cstheme="majorHAnsi"/>
              </w:rPr>
              <w:t xml:space="preserve">changes </w:t>
            </w:r>
          </w:p>
          <w:p w14:paraId="6F94C9E6" w14:textId="645C7C37" w:rsidR="008E2C1E" w:rsidRPr="00367C89" w:rsidRDefault="007E3BCC" w:rsidP="000E41AB">
            <w:pPr>
              <w:pStyle w:val="TableParagraph"/>
              <w:numPr>
                <w:ilvl w:val="0"/>
                <w:numId w:val="34"/>
              </w:numPr>
              <w:tabs>
                <w:tab w:val="left" w:pos="467"/>
                <w:tab w:val="left" w:pos="468"/>
              </w:tabs>
              <w:ind w:right="110" w:hanging="36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67C89">
              <w:rPr>
                <w:rStyle w:val="normaltextrun"/>
                <w:rFonts w:asciiTheme="majorHAnsi" w:hAnsiTheme="majorHAnsi" w:cstheme="majorHAnsi"/>
              </w:rPr>
              <w:t>Sponsoring Organization</w:t>
            </w:r>
            <w:r w:rsidR="008E2C1E" w:rsidRPr="00367C89">
              <w:rPr>
                <w:rFonts w:asciiTheme="majorHAnsi" w:hAnsiTheme="majorHAnsi" w:cstheme="majorHAnsi"/>
              </w:rPr>
              <w:t xml:space="preserve"> may submit new programs for informal review at any time following review; the two-year moratorium does not apply</w:t>
            </w:r>
          </w:p>
          <w:p w14:paraId="3A125FFC" w14:textId="68038491" w:rsidR="008E2C1E" w:rsidRPr="00367C89" w:rsidRDefault="008E2C1E" w:rsidP="000E41AB">
            <w:pPr>
              <w:pStyle w:val="TableParagraph"/>
              <w:numPr>
                <w:ilvl w:val="0"/>
                <w:numId w:val="34"/>
              </w:numPr>
              <w:tabs>
                <w:tab w:val="left" w:pos="468"/>
                <w:tab w:val="left" w:pos="469"/>
              </w:tabs>
              <w:ind w:left="468" w:right="191" w:hanging="36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67C89">
              <w:rPr>
                <w:rFonts w:asciiTheme="majorHAnsi" w:hAnsiTheme="majorHAnsi" w:cstheme="majorHAnsi"/>
              </w:rPr>
              <w:t xml:space="preserve">Should opportunities arise, </w:t>
            </w:r>
            <w:r w:rsidR="007E3BCC" w:rsidRPr="00367C89">
              <w:rPr>
                <w:rFonts w:asciiTheme="majorHAnsi" w:hAnsiTheme="majorHAnsi" w:cstheme="majorHAnsi"/>
              </w:rPr>
              <w:t>Sponsoring Organizations</w:t>
            </w:r>
            <w:r w:rsidRPr="00367C89">
              <w:rPr>
                <w:rFonts w:asciiTheme="majorHAnsi" w:hAnsiTheme="majorHAnsi" w:cstheme="majorHAnsi"/>
                <w:spacing w:val="-10"/>
              </w:rPr>
              <w:t xml:space="preserve"> </w:t>
            </w:r>
            <w:r w:rsidRPr="00367C89">
              <w:rPr>
                <w:rFonts w:asciiTheme="majorHAnsi" w:hAnsiTheme="majorHAnsi" w:cstheme="majorHAnsi"/>
              </w:rPr>
              <w:t>that</w:t>
            </w:r>
            <w:r w:rsidRPr="00367C89">
              <w:rPr>
                <w:rFonts w:asciiTheme="majorHAnsi" w:hAnsiTheme="majorHAnsi" w:cstheme="majorHAnsi"/>
                <w:spacing w:val="-11"/>
              </w:rPr>
              <w:t xml:space="preserve"> </w:t>
            </w:r>
            <w:r w:rsidRPr="00367C89">
              <w:rPr>
                <w:rFonts w:asciiTheme="majorHAnsi" w:hAnsiTheme="majorHAnsi" w:cstheme="majorHAnsi"/>
              </w:rPr>
              <w:t>are</w:t>
            </w:r>
            <w:r w:rsidRPr="00367C89">
              <w:rPr>
                <w:rFonts w:asciiTheme="majorHAnsi" w:hAnsiTheme="majorHAnsi" w:cstheme="majorHAnsi"/>
                <w:spacing w:val="-9"/>
              </w:rPr>
              <w:t xml:space="preserve"> </w:t>
            </w:r>
            <w:r w:rsidRPr="00367C89">
              <w:rPr>
                <w:rFonts w:asciiTheme="majorHAnsi" w:hAnsiTheme="majorHAnsi" w:cstheme="majorHAnsi"/>
              </w:rPr>
              <w:lastRenderedPageBreak/>
              <w:t>approved</w:t>
            </w:r>
            <w:r w:rsidRPr="00367C89">
              <w:rPr>
                <w:rFonts w:asciiTheme="majorHAnsi" w:hAnsiTheme="majorHAnsi" w:cstheme="majorHAnsi"/>
                <w:spacing w:val="-11"/>
              </w:rPr>
              <w:t xml:space="preserve"> </w:t>
            </w:r>
            <w:r w:rsidRPr="00367C89">
              <w:rPr>
                <w:rFonts w:asciiTheme="majorHAnsi" w:hAnsiTheme="majorHAnsi" w:cstheme="majorHAnsi"/>
              </w:rPr>
              <w:t xml:space="preserve">with distinction will be afforded preference in DESE-funded </w:t>
            </w:r>
            <w:r w:rsidRPr="00367C89">
              <w:rPr>
                <w:rFonts w:asciiTheme="majorHAnsi" w:hAnsiTheme="majorHAnsi" w:cstheme="majorHAnsi"/>
                <w:spacing w:val="-2"/>
              </w:rPr>
              <w:t>initiatives</w:t>
            </w:r>
          </w:p>
        </w:tc>
      </w:tr>
      <w:tr w:rsidR="008E2C1E" w:rsidRPr="00E54DB1" w14:paraId="75A77F30" w14:textId="77777777" w:rsidTr="004C06C3">
        <w:trPr>
          <w:trHeight w:val="2867"/>
        </w:trPr>
        <w:tc>
          <w:tcPr>
            <w:cnfStyle w:val="001000000000" w:firstRow="0" w:lastRow="0" w:firstColumn="1" w:lastColumn="0" w:oddVBand="0" w:evenVBand="0" w:oddHBand="0" w:evenHBand="0" w:firstRowFirstColumn="0" w:firstRowLastColumn="0" w:lastRowFirstColumn="0" w:lastRowLastColumn="0"/>
            <w:tcW w:w="1800" w:type="dxa"/>
          </w:tcPr>
          <w:p w14:paraId="0995C50E" w14:textId="77777777" w:rsidR="008E2C1E" w:rsidRPr="007B2B94" w:rsidRDefault="008E2C1E" w:rsidP="00D17218">
            <w:pPr>
              <w:pStyle w:val="TableParagraph"/>
              <w:spacing w:line="268" w:lineRule="exact"/>
              <w:ind w:left="107"/>
              <w:rPr>
                <w:rFonts w:asciiTheme="majorHAnsi" w:hAnsiTheme="majorHAnsi" w:cstheme="majorHAnsi"/>
                <w:b w:val="0"/>
              </w:rPr>
            </w:pPr>
            <w:r w:rsidRPr="007B2B94">
              <w:rPr>
                <w:rFonts w:asciiTheme="majorHAnsi" w:hAnsiTheme="majorHAnsi" w:cstheme="majorHAnsi"/>
                <w:spacing w:val="-2"/>
              </w:rPr>
              <w:lastRenderedPageBreak/>
              <w:t>Approved</w:t>
            </w:r>
          </w:p>
        </w:tc>
        <w:tc>
          <w:tcPr>
            <w:tcW w:w="3974" w:type="dxa"/>
          </w:tcPr>
          <w:p w14:paraId="51B55791" w14:textId="77777777" w:rsidR="008E2C1E" w:rsidRPr="00090190" w:rsidRDefault="008E2C1E" w:rsidP="00D17218">
            <w:pPr>
              <w:pStyle w:val="TableParagraph"/>
              <w:ind w:left="107" w:right="9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90190">
              <w:rPr>
                <w:rFonts w:asciiTheme="majorHAnsi" w:hAnsiTheme="majorHAnsi" w:cstheme="majorHAnsi"/>
              </w:rPr>
              <w:t>A Sponsoring Organization or program that has been granted full approval is recognized by the state to have met state standards for preparing effective educators in Massachusetts. An approved determination signals that candidates are well-served by this organization, findings do not significantly impact candidate preparation, and they receive a high-quality preparation experience.</w:t>
            </w:r>
          </w:p>
        </w:tc>
        <w:tc>
          <w:tcPr>
            <w:tcW w:w="3960" w:type="dxa"/>
          </w:tcPr>
          <w:p w14:paraId="34ED3955" w14:textId="77777777" w:rsidR="008E2C1E" w:rsidRPr="00014585" w:rsidRDefault="008E2C1E" w:rsidP="000E41AB">
            <w:pPr>
              <w:pStyle w:val="TableParagraph"/>
              <w:numPr>
                <w:ilvl w:val="0"/>
                <w:numId w:val="33"/>
              </w:numPr>
              <w:tabs>
                <w:tab w:val="left" w:pos="467"/>
                <w:tab w:val="left" w:pos="468"/>
              </w:tabs>
              <w:ind w:right="9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14585">
              <w:rPr>
                <w:rFonts w:asciiTheme="majorHAnsi" w:hAnsiTheme="majorHAnsi" w:cstheme="majorHAnsi"/>
              </w:rPr>
              <w:t>Program is authorized to endorse candidates for licensure</w:t>
            </w:r>
            <w:r w:rsidRPr="00014585">
              <w:rPr>
                <w:rFonts w:asciiTheme="majorHAnsi" w:hAnsiTheme="majorHAnsi" w:cstheme="majorHAnsi"/>
                <w:spacing w:val="-13"/>
              </w:rPr>
              <w:t xml:space="preserve"> </w:t>
            </w:r>
            <w:r w:rsidRPr="00014585">
              <w:rPr>
                <w:rFonts w:asciiTheme="majorHAnsi" w:hAnsiTheme="majorHAnsi" w:cstheme="majorHAnsi"/>
              </w:rPr>
              <w:t>with</w:t>
            </w:r>
            <w:r w:rsidRPr="00014585">
              <w:rPr>
                <w:rFonts w:asciiTheme="majorHAnsi" w:hAnsiTheme="majorHAnsi" w:cstheme="majorHAnsi"/>
                <w:spacing w:val="-12"/>
              </w:rPr>
              <w:t xml:space="preserve"> </w:t>
            </w:r>
            <w:r w:rsidRPr="00014585">
              <w:rPr>
                <w:rFonts w:asciiTheme="majorHAnsi" w:hAnsiTheme="majorHAnsi" w:cstheme="majorHAnsi"/>
              </w:rPr>
              <w:t>full</w:t>
            </w:r>
            <w:r w:rsidRPr="00014585">
              <w:rPr>
                <w:rFonts w:asciiTheme="majorHAnsi" w:hAnsiTheme="majorHAnsi" w:cstheme="majorHAnsi"/>
                <w:spacing w:val="-11"/>
              </w:rPr>
              <w:t xml:space="preserve"> </w:t>
            </w:r>
            <w:r w:rsidRPr="00014585">
              <w:rPr>
                <w:rFonts w:asciiTheme="majorHAnsi" w:hAnsiTheme="majorHAnsi" w:cstheme="majorHAnsi"/>
              </w:rPr>
              <w:t xml:space="preserve">reciprocity </w:t>
            </w:r>
            <w:r w:rsidRPr="00014585">
              <w:rPr>
                <w:rFonts w:asciiTheme="majorHAnsi" w:hAnsiTheme="majorHAnsi" w:cstheme="majorHAnsi"/>
                <w:spacing w:val="-2"/>
              </w:rPr>
              <w:t>benefits</w:t>
            </w:r>
          </w:p>
          <w:p w14:paraId="0BBD3BB0" w14:textId="77777777" w:rsidR="008E2C1E" w:rsidRPr="00284DC3" w:rsidRDefault="008E2C1E" w:rsidP="000E41AB">
            <w:pPr>
              <w:pStyle w:val="TableParagraph"/>
              <w:numPr>
                <w:ilvl w:val="0"/>
                <w:numId w:val="33"/>
              </w:numPr>
              <w:tabs>
                <w:tab w:val="left" w:pos="467"/>
                <w:tab w:val="left" w:pos="468"/>
              </w:tabs>
              <w:ind w:right="123" w:hanging="36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C72D4">
              <w:rPr>
                <w:rFonts w:asciiTheme="majorHAnsi" w:hAnsiTheme="majorHAnsi" w:cstheme="majorHAnsi"/>
              </w:rPr>
              <w:t xml:space="preserve">Full term of approval (estimated to be 7 years), unless </w:t>
            </w:r>
            <w:r w:rsidRPr="00DD08F3">
              <w:rPr>
                <w:rFonts w:asciiTheme="majorHAnsi" w:hAnsiTheme="majorHAnsi" w:cstheme="majorHAnsi"/>
                <w:color w:val="0D0D0D"/>
              </w:rPr>
              <w:t>program ceases to meet requirements or DESE finds</w:t>
            </w:r>
            <w:r w:rsidRPr="001F3F72">
              <w:rPr>
                <w:rFonts w:asciiTheme="majorHAnsi" w:hAnsiTheme="majorHAnsi" w:cstheme="majorHAnsi"/>
                <w:color w:val="0D0D0D"/>
                <w:spacing w:val="-13"/>
              </w:rPr>
              <w:t xml:space="preserve"> </w:t>
            </w:r>
            <w:r w:rsidRPr="001F3F72">
              <w:rPr>
                <w:rFonts w:asciiTheme="majorHAnsi" w:hAnsiTheme="majorHAnsi" w:cstheme="majorHAnsi"/>
                <w:color w:val="0D0D0D"/>
              </w:rPr>
              <w:t>insufficient</w:t>
            </w:r>
            <w:r w:rsidRPr="001F3F72">
              <w:rPr>
                <w:rFonts w:asciiTheme="majorHAnsi" w:hAnsiTheme="majorHAnsi" w:cstheme="majorHAnsi"/>
                <w:color w:val="0D0D0D"/>
                <w:spacing w:val="-12"/>
              </w:rPr>
              <w:t xml:space="preserve"> </w:t>
            </w:r>
            <w:r w:rsidRPr="001F3F72">
              <w:rPr>
                <w:rFonts w:asciiTheme="majorHAnsi" w:hAnsiTheme="majorHAnsi" w:cstheme="majorHAnsi"/>
                <w:color w:val="0D0D0D"/>
              </w:rPr>
              <w:t>evidence</w:t>
            </w:r>
            <w:r w:rsidRPr="00284DC3">
              <w:rPr>
                <w:rFonts w:asciiTheme="majorHAnsi" w:hAnsiTheme="majorHAnsi" w:cstheme="majorHAnsi"/>
                <w:color w:val="0D0D0D"/>
                <w:spacing w:val="-12"/>
              </w:rPr>
              <w:t xml:space="preserve"> </w:t>
            </w:r>
            <w:r w:rsidRPr="00284DC3">
              <w:rPr>
                <w:rFonts w:asciiTheme="majorHAnsi" w:hAnsiTheme="majorHAnsi" w:cstheme="majorHAnsi"/>
                <w:color w:val="0D0D0D"/>
              </w:rPr>
              <w:t>of meeting standards</w:t>
            </w:r>
          </w:p>
        </w:tc>
      </w:tr>
      <w:tr w:rsidR="008E2C1E" w:rsidRPr="00E54DB1" w14:paraId="5F8A46EA" w14:textId="77777777" w:rsidTr="004C06C3">
        <w:trPr>
          <w:cnfStyle w:val="000000100000" w:firstRow="0" w:lastRow="0" w:firstColumn="0" w:lastColumn="0" w:oddVBand="0" w:evenVBand="0" w:oddHBand="1" w:evenHBand="0" w:firstRowFirstColumn="0" w:firstRowLastColumn="0" w:lastRowFirstColumn="0" w:lastRowLastColumn="0"/>
          <w:trHeight w:val="2957"/>
        </w:trPr>
        <w:tc>
          <w:tcPr>
            <w:cnfStyle w:val="001000000000" w:firstRow="0" w:lastRow="0" w:firstColumn="1" w:lastColumn="0" w:oddVBand="0" w:evenVBand="0" w:oddHBand="0" w:evenHBand="0" w:firstRowFirstColumn="0" w:firstRowLastColumn="0" w:lastRowFirstColumn="0" w:lastRowLastColumn="0"/>
            <w:tcW w:w="1800" w:type="dxa"/>
          </w:tcPr>
          <w:p w14:paraId="35C753BE" w14:textId="77777777" w:rsidR="008E2C1E" w:rsidRPr="00090190" w:rsidRDefault="008E2C1E" w:rsidP="00D17218">
            <w:pPr>
              <w:pStyle w:val="TableParagraph"/>
              <w:spacing w:line="268" w:lineRule="exact"/>
              <w:ind w:left="107"/>
              <w:rPr>
                <w:rFonts w:asciiTheme="majorHAnsi" w:hAnsiTheme="majorHAnsi" w:cstheme="majorHAnsi"/>
                <w:b w:val="0"/>
                <w:spacing w:val="-2"/>
              </w:rPr>
            </w:pPr>
            <w:r w:rsidRPr="007B2B94">
              <w:rPr>
                <w:rFonts w:asciiTheme="majorHAnsi" w:hAnsiTheme="majorHAnsi" w:cstheme="majorHAnsi"/>
              </w:rPr>
              <w:t>Approved</w:t>
            </w:r>
            <w:r w:rsidRPr="007B2B94">
              <w:rPr>
                <w:rFonts w:asciiTheme="majorHAnsi" w:hAnsiTheme="majorHAnsi" w:cstheme="majorHAnsi"/>
                <w:spacing w:val="-13"/>
              </w:rPr>
              <w:t xml:space="preserve"> </w:t>
            </w:r>
            <w:r w:rsidRPr="007B2B94">
              <w:rPr>
                <w:rFonts w:asciiTheme="majorHAnsi" w:hAnsiTheme="majorHAnsi" w:cstheme="majorHAnsi"/>
              </w:rPr>
              <w:t xml:space="preserve">with </w:t>
            </w:r>
            <w:r w:rsidRPr="00090190">
              <w:rPr>
                <w:rFonts w:asciiTheme="majorHAnsi" w:hAnsiTheme="majorHAnsi" w:cstheme="majorHAnsi"/>
                <w:spacing w:val="-2"/>
              </w:rPr>
              <w:t>Conditions</w:t>
            </w:r>
          </w:p>
        </w:tc>
        <w:tc>
          <w:tcPr>
            <w:tcW w:w="3974" w:type="dxa"/>
          </w:tcPr>
          <w:p w14:paraId="3AE46AE1" w14:textId="77777777" w:rsidR="008E2C1E" w:rsidRPr="00014585" w:rsidRDefault="008E2C1E" w:rsidP="00D17218">
            <w:pPr>
              <w:pStyle w:val="TableParagraph"/>
              <w:ind w:left="107" w:right="9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90190">
              <w:rPr>
                <w:rFonts w:asciiTheme="majorHAnsi" w:hAnsiTheme="majorHAnsi" w:cstheme="majorHAnsi"/>
              </w:rPr>
              <w:t>A Sponsoring Organization or program that is approved with conditions has demonst</w:t>
            </w:r>
            <w:r w:rsidRPr="00014585">
              <w:rPr>
                <w:rFonts w:asciiTheme="majorHAnsi" w:hAnsiTheme="majorHAnsi" w:cstheme="majorHAnsi"/>
              </w:rPr>
              <w:t>rated overall program readiness for impact and a commitment to improvement, despite substantial findings in a report.</w:t>
            </w:r>
          </w:p>
          <w:p w14:paraId="67E4FED2" w14:textId="3ED13AAF" w:rsidR="008E2C1E" w:rsidRPr="00014585" w:rsidRDefault="008E2C1E" w:rsidP="00D17218">
            <w:pPr>
              <w:pStyle w:val="TableParagraph"/>
              <w:ind w:left="107" w:right="9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14585">
              <w:rPr>
                <w:rFonts w:asciiTheme="majorHAnsi" w:hAnsiTheme="majorHAnsi" w:cstheme="majorHAnsi"/>
              </w:rPr>
              <w:t xml:space="preserve">Conditional approval signals areas of concern or inconsistencies that negatively impact candidates’ experiences and significant areas that must be addressed in order for the </w:t>
            </w:r>
            <w:r w:rsidR="007E3BCC" w:rsidRPr="00014585">
              <w:rPr>
                <w:rStyle w:val="normaltextrun"/>
                <w:rFonts w:asciiTheme="majorHAnsi" w:hAnsiTheme="majorHAnsi" w:cstheme="majorHAnsi"/>
              </w:rPr>
              <w:t>Sponsoring Organization</w:t>
            </w:r>
            <w:r w:rsidRPr="00014585">
              <w:rPr>
                <w:rFonts w:asciiTheme="majorHAnsi" w:hAnsiTheme="majorHAnsi" w:cstheme="majorHAnsi"/>
              </w:rPr>
              <w:t xml:space="preserve"> to be found to meet all state standards. PK-12 students, however, may not be at risk of receiving an ineffective education as a result of these findings.</w:t>
            </w:r>
          </w:p>
        </w:tc>
        <w:tc>
          <w:tcPr>
            <w:tcW w:w="3960" w:type="dxa"/>
          </w:tcPr>
          <w:p w14:paraId="5710AA42" w14:textId="77777777" w:rsidR="008E2C1E" w:rsidRPr="00284DC3" w:rsidRDefault="008E2C1E" w:rsidP="000E41AB">
            <w:pPr>
              <w:pStyle w:val="TableParagraph"/>
              <w:numPr>
                <w:ilvl w:val="0"/>
                <w:numId w:val="33"/>
              </w:numPr>
              <w:tabs>
                <w:tab w:val="left" w:pos="467"/>
                <w:tab w:val="left" w:pos="468"/>
              </w:tabs>
              <w:ind w:right="478"/>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C72D4">
              <w:rPr>
                <w:rFonts w:asciiTheme="majorHAnsi" w:hAnsiTheme="majorHAnsi" w:cstheme="majorHAnsi"/>
              </w:rPr>
              <w:t>Program</w:t>
            </w:r>
            <w:r w:rsidRPr="00DD08F3">
              <w:rPr>
                <w:rFonts w:asciiTheme="majorHAnsi" w:hAnsiTheme="majorHAnsi" w:cstheme="majorHAnsi"/>
                <w:spacing w:val="-12"/>
              </w:rPr>
              <w:t xml:space="preserve"> </w:t>
            </w:r>
            <w:r w:rsidRPr="001F3F72">
              <w:rPr>
                <w:rFonts w:asciiTheme="majorHAnsi" w:hAnsiTheme="majorHAnsi" w:cstheme="majorHAnsi"/>
              </w:rPr>
              <w:t>is</w:t>
            </w:r>
            <w:r w:rsidRPr="001F3F72">
              <w:rPr>
                <w:rFonts w:asciiTheme="majorHAnsi" w:hAnsiTheme="majorHAnsi" w:cstheme="majorHAnsi"/>
                <w:spacing w:val="-12"/>
              </w:rPr>
              <w:t xml:space="preserve"> </w:t>
            </w:r>
            <w:r w:rsidRPr="001F3F72">
              <w:rPr>
                <w:rFonts w:asciiTheme="majorHAnsi" w:hAnsiTheme="majorHAnsi" w:cstheme="majorHAnsi"/>
              </w:rPr>
              <w:t>authorized</w:t>
            </w:r>
            <w:r w:rsidRPr="00284DC3">
              <w:rPr>
                <w:rFonts w:asciiTheme="majorHAnsi" w:hAnsiTheme="majorHAnsi" w:cstheme="majorHAnsi"/>
                <w:spacing w:val="-12"/>
              </w:rPr>
              <w:t xml:space="preserve"> </w:t>
            </w:r>
            <w:r w:rsidRPr="00284DC3">
              <w:rPr>
                <w:rFonts w:asciiTheme="majorHAnsi" w:hAnsiTheme="majorHAnsi" w:cstheme="majorHAnsi"/>
              </w:rPr>
              <w:t xml:space="preserve">to endorse candidates for </w:t>
            </w:r>
            <w:r w:rsidRPr="00284DC3">
              <w:rPr>
                <w:rFonts w:asciiTheme="majorHAnsi" w:hAnsiTheme="majorHAnsi" w:cstheme="majorHAnsi"/>
                <w:spacing w:val="-2"/>
              </w:rPr>
              <w:t>licensure</w:t>
            </w:r>
          </w:p>
          <w:p w14:paraId="35609C5D" w14:textId="77777777" w:rsidR="008E2C1E" w:rsidRPr="00367C89" w:rsidRDefault="008E2C1E" w:rsidP="000E41AB">
            <w:pPr>
              <w:pStyle w:val="TableParagraph"/>
              <w:numPr>
                <w:ilvl w:val="0"/>
                <w:numId w:val="33"/>
              </w:numPr>
              <w:tabs>
                <w:tab w:val="left" w:pos="467"/>
                <w:tab w:val="left" w:pos="468"/>
              </w:tabs>
              <w:ind w:right="363"/>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67C89">
              <w:rPr>
                <w:rFonts w:asciiTheme="majorHAnsi" w:hAnsiTheme="majorHAnsi" w:cstheme="majorHAnsi"/>
              </w:rPr>
              <w:t>Candidates</w:t>
            </w:r>
            <w:r w:rsidRPr="00367C89">
              <w:rPr>
                <w:rFonts w:asciiTheme="majorHAnsi" w:hAnsiTheme="majorHAnsi" w:cstheme="majorHAnsi"/>
                <w:spacing w:val="-13"/>
              </w:rPr>
              <w:t xml:space="preserve"> </w:t>
            </w:r>
            <w:r w:rsidRPr="00367C89">
              <w:rPr>
                <w:rFonts w:asciiTheme="majorHAnsi" w:hAnsiTheme="majorHAnsi" w:cstheme="majorHAnsi"/>
              </w:rPr>
              <w:t>may</w:t>
            </w:r>
            <w:r w:rsidRPr="00367C89">
              <w:rPr>
                <w:rFonts w:asciiTheme="majorHAnsi" w:hAnsiTheme="majorHAnsi" w:cstheme="majorHAnsi"/>
                <w:spacing w:val="-10"/>
              </w:rPr>
              <w:t xml:space="preserve"> </w:t>
            </w:r>
            <w:r w:rsidRPr="00367C89">
              <w:rPr>
                <w:rFonts w:asciiTheme="majorHAnsi" w:hAnsiTheme="majorHAnsi" w:cstheme="majorHAnsi"/>
              </w:rPr>
              <w:t>not</w:t>
            </w:r>
            <w:r w:rsidRPr="00367C89">
              <w:rPr>
                <w:rFonts w:asciiTheme="majorHAnsi" w:hAnsiTheme="majorHAnsi" w:cstheme="majorHAnsi"/>
                <w:spacing w:val="-13"/>
              </w:rPr>
              <w:t xml:space="preserve"> </w:t>
            </w:r>
            <w:r w:rsidRPr="00367C89">
              <w:rPr>
                <w:rFonts w:asciiTheme="majorHAnsi" w:hAnsiTheme="majorHAnsi" w:cstheme="majorHAnsi"/>
              </w:rPr>
              <w:t>enjoy full reciprocity benefits outside of Massachusetts</w:t>
            </w:r>
          </w:p>
          <w:p w14:paraId="565B7553" w14:textId="77777777" w:rsidR="008E2C1E" w:rsidRPr="00367C89" w:rsidRDefault="008E2C1E" w:rsidP="000E41AB">
            <w:pPr>
              <w:pStyle w:val="TableParagraph"/>
              <w:numPr>
                <w:ilvl w:val="0"/>
                <w:numId w:val="33"/>
              </w:numPr>
              <w:tabs>
                <w:tab w:val="left" w:pos="467"/>
                <w:tab w:val="left" w:pos="468"/>
              </w:tabs>
              <w:ind w:right="123"/>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67C89">
              <w:rPr>
                <w:rFonts w:asciiTheme="majorHAnsi" w:hAnsiTheme="majorHAnsi" w:cstheme="majorHAnsi"/>
              </w:rPr>
              <w:t xml:space="preserve">Full term of approval (estimated to be 7 years), unless </w:t>
            </w:r>
            <w:r w:rsidRPr="00367C89">
              <w:rPr>
                <w:rFonts w:asciiTheme="majorHAnsi" w:hAnsiTheme="majorHAnsi" w:cstheme="majorHAnsi"/>
                <w:color w:val="0D0D0D"/>
              </w:rPr>
              <w:t>program ceases to meet requirements or DESE finds</w:t>
            </w:r>
            <w:r w:rsidRPr="00367C89">
              <w:rPr>
                <w:rFonts w:asciiTheme="majorHAnsi" w:hAnsiTheme="majorHAnsi" w:cstheme="majorHAnsi"/>
                <w:color w:val="0D0D0D"/>
                <w:spacing w:val="-13"/>
              </w:rPr>
              <w:t xml:space="preserve"> </w:t>
            </w:r>
            <w:r w:rsidRPr="00367C89">
              <w:rPr>
                <w:rFonts w:asciiTheme="majorHAnsi" w:hAnsiTheme="majorHAnsi" w:cstheme="majorHAnsi"/>
                <w:color w:val="0D0D0D"/>
              </w:rPr>
              <w:t>insufficient</w:t>
            </w:r>
            <w:r w:rsidRPr="00367C89">
              <w:rPr>
                <w:rFonts w:asciiTheme="majorHAnsi" w:hAnsiTheme="majorHAnsi" w:cstheme="majorHAnsi"/>
                <w:color w:val="0D0D0D"/>
                <w:spacing w:val="-12"/>
              </w:rPr>
              <w:t xml:space="preserve"> </w:t>
            </w:r>
            <w:r w:rsidRPr="00367C89">
              <w:rPr>
                <w:rFonts w:asciiTheme="majorHAnsi" w:hAnsiTheme="majorHAnsi" w:cstheme="majorHAnsi"/>
                <w:color w:val="0D0D0D"/>
              </w:rPr>
              <w:t>evidence</w:t>
            </w:r>
            <w:r w:rsidRPr="00367C89">
              <w:rPr>
                <w:rFonts w:asciiTheme="majorHAnsi" w:hAnsiTheme="majorHAnsi" w:cstheme="majorHAnsi"/>
                <w:color w:val="0D0D0D"/>
                <w:spacing w:val="-12"/>
              </w:rPr>
              <w:t xml:space="preserve"> </w:t>
            </w:r>
            <w:r w:rsidRPr="00367C89">
              <w:rPr>
                <w:rFonts w:asciiTheme="majorHAnsi" w:hAnsiTheme="majorHAnsi" w:cstheme="majorHAnsi"/>
                <w:color w:val="0D0D0D"/>
              </w:rPr>
              <w:t>of meeting standards</w:t>
            </w:r>
          </w:p>
          <w:p w14:paraId="0DB0CD51" w14:textId="77777777" w:rsidR="008E2C1E" w:rsidRPr="00367C89" w:rsidRDefault="008E2C1E" w:rsidP="000E41AB">
            <w:pPr>
              <w:pStyle w:val="TableParagraph"/>
              <w:numPr>
                <w:ilvl w:val="0"/>
                <w:numId w:val="33"/>
              </w:numPr>
              <w:tabs>
                <w:tab w:val="left" w:pos="467"/>
                <w:tab w:val="left" w:pos="468"/>
              </w:tabs>
              <w:ind w:right="26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67C89">
              <w:rPr>
                <w:rFonts w:asciiTheme="majorHAnsi" w:hAnsiTheme="majorHAnsi" w:cstheme="majorHAnsi"/>
              </w:rPr>
              <w:t>DESE will impose conditions specific</w:t>
            </w:r>
            <w:r w:rsidRPr="00367C89">
              <w:rPr>
                <w:rFonts w:asciiTheme="majorHAnsi" w:hAnsiTheme="majorHAnsi" w:cstheme="majorHAnsi"/>
                <w:spacing w:val="-11"/>
              </w:rPr>
              <w:t xml:space="preserve"> </w:t>
            </w:r>
            <w:r w:rsidRPr="00367C89">
              <w:rPr>
                <w:rFonts w:asciiTheme="majorHAnsi" w:hAnsiTheme="majorHAnsi" w:cstheme="majorHAnsi"/>
              </w:rPr>
              <w:t>to</w:t>
            </w:r>
            <w:r w:rsidRPr="00367C89">
              <w:rPr>
                <w:rFonts w:asciiTheme="majorHAnsi" w:hAnsiTheme="majorHAnsi" w:cstheme="majorHAnsi"/>
                <w:spacing w:val="-12"/>
              </w:rPr>
              <w:t xml:space="preserve"> </w:t>
            </w:r>
            <w:r w:rsidRPr="00367C89">
              <w:rPr>
                <w:rFonts w:asciiTheme="majorHAnsi" w:hAnsiTheme="majorHAnsi" w:cstheme="majorHAnsi"/>
              </w:rPr>
              <w:t>the</w:t>
            </w:r>
            <w:r w:rsidRPr="00367C89">
              <w:rPr>
                <w:rFonts w:asciiTheme="majorHAnsi" w:hAnsiTheme="majorHAnsi" w:cstheme="majorHAnsi"/>
                <w:spacing w:val="-13"/>
              </w:rPr>
              <w:t xml:space="preserve"> </w:t>
            </w:r>
            <w:r w:rsidRPr="00367C89">
              <w:rPr>
                <w:rFonts w:asciiTheme="majorHAnsi" w:hAnsiTheme="majorHAnsi" w:cstheme="majorHAnsi"/>
              </w:rPr>
              <w:t xml:space="preserve">organization and will describe the timeline to meet those </w:t>
            </w:r>
            <w:r w:rsidRPr="00367C89">
              <w:rPr>
                <w:rFonts w:asciiTheme="majorHAnsi" w:hAnsiTheme="majorHAnsi" w:cstheme="majorHAnsi"/>
                <w:spacing w:val="-2"/>
              </w:rPr>
              <w:t>conditions</w:t>
            </w:r>
          </w:p>
          <w:p w14:paraId="52C15FEF" w14:textId="6E681D70" w:rsidR="008E2C1E" w:rsidRPr="00367C89" w:rsidRDefault="008E2C1E" w:rsidP="000E41AB">
            <w:pPr>
              <w:pStyle w:val="TableParagraph"/>
              <w:numPr>
                <w:ilvl w:val="0"/>
                <w:numId w:val="33"/>
              </w:numPr>
              <w:tabs>
                <w:tab w:val="left" w:pos="467"/>
                <w:tab w:val="left" w:pos="468"/>
              </w:tabs>
              <w:ind w:right="9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67C89">
              <w:rPr>
                <w:rFonts w:asciiTheme="majorHAnsi" w:hAnsiTheme="majorHAnsi" w:cstheme="majorHAnsi"/>
              </w:rPr>
              <w:t xml:space="preserve">Approval status and improvement plan must be publicly posted on </w:t>
            </w:r>
            <w:r w:rsidR="007E3BCC" w:rsidRPr="00367C89">
              <w:rPr>
                <w:rFonts w:asciiTheme="majorHAnsi" w:hAnsiTheme="majorHAnsi" w:cstheme="majorHAnsi"/>
              </w:rPr>
              <w:t>Sponsoring Organization’s</w:t>
            </w:r>
            <w:r w:rsidRPr="00367C89">
              <w:rPr>
                <w:rFonts w:asciiTheme="majorHAnsi" w:hAnsiTheme="majorHAnsi" w:cstheme="majorHAnsi"/>
              </w:rPr>
              <w:t xml:space="preserve"> website</w:t>
            </w:r>
          </w:p>
        </w:tc>
      </w:tr>
      <w:tr w:rsidR="008E2C1E" w:rsidRPr="00E54DB1" w14:paraId="7A85043E" w14:textId="77777777" w:rsidTr="004C06C3">
        <w:trPr>
          <w:trHeight w:val="2270"/>
        </w:trPr>
        <w:tc>
          <w:tcPr>
            <w:cnfStyle w:val="001000000000" w:firstRow="0" w:lastRow="0" w:firstColumn="1" w:lastColumn="0" w:oddVBand="0" w:evenVBand="0" w:oddHBand="0" w:evenHBand="0" w:firstRowFirstColumn="0" w:firstRowLastColumn="0" w:lastRowFirstColumn="0" w:lastRowLastColumn="0"/>
            <w:tcW w:w="1800" w:type="dxa"/>
          </w:tcPr>
          <w:p w14:paraId="56CF58D9" w14:textId="77777777" w:rsidR="008E2C1E" w:rsidRPr="007B2B94" w:rsidRDefault="008E2C1E" w:rsidP="00D17218">
            <w:pPr>
              <w:pStyle w:val="TableParagraph"/>
              <w:spacing w:line="268" w:lineRule="exact"/>
              <w:ind w:left="107"/>
              <w:rPr>
                <w:rFonts w:asciiTheme="majorHAnsi" w:hAnsiTheme="majorHAnsi" w:cstheme="majorHAnsi"/>
                <w:b w:val="0"/>
              </w:rPr>
            </w:pPr>
            <w:r w:rsidRPr="007B2B94">
              <w:rPr>
                <w:rFonts w:asciiTheme="majorHAnsi" w:hAnsiTheme="majorHAnsi" w:cstheme="majorHAnsi"/>
                <w:spacing w:val="-2"/>
              </w:rPr>
              <w:t>Probationary Approval</w:t>
            </w:r>
          </w:p>
        </w:tc>
        <w:tc>
          <w:tcPr>
            <w:tcW w:w="3974" w:type="dxa"/>
          </w:tcPr>
          <w:p w14:paraId="6B904E80" w14:textId="77777777" w:rsidR="008E2C1E" w:rsidRPr="007B2B94" w:rsidRDefault="008E2C1E" w:rsidP="00D17218">
            <w:pPr>
              <w:pStyle w:val="TableParagraph"/>
              <w:ind w:left="107" w:right="13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B2B94">
              <w:rPr>
                <w:rFonts w:asciiTheme="majorHAnsi" w:hAnsiTheme="majorHAnsi" w:cstheme="majorHAnsi"/>
              </w:rPr>
              <w:t>A Sponsoring Organization or program that is granted probationary approval has insufficiently met state standards.</w:t>
            </w:r>
          </w:p>
          <w:p w14:paraId="1A208441" w14:textId="73A42A08" w:rsidR="008E2C1E" w:rsidRPr="007B2B94" w:rsidRDefault="008E2C1E" w:rsidP="00D17218">
            <w:pPr>
              <w:pStyle w:val="TableParagraph"/>
              <w:ind w:left="107" w:right="115"/>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5E5DEAB0">
              <w:rPr>
                <w:rFonts w:asciiTheme="majorHAnsi" w:hAnsiTheme="majorHAnsi" w:cstheme="majorBidi"/>
              </w:rPr>
              <w:t>Probationary approval signals that candidate</w:t>
            </w:r>
            <w:r w:rsidR="00F149F6" w:rsidRPr="5E5DEAB0">
              <w:rPr>
                <w:rFonts w:asciiTheme="majorHAnsi" w:hAnsiTheme="majorHAnsi" w:cstheme="majorBidi"/>
              </w:rPr>
              <w:t>s’</w:t>
            </w:r>
            <w:r w:rsidRPr="5E5DEAB0">
              <w:rPr>
                <w:rFonts w:asciiTheme="majorHAnsi" w:hAnsiTheme="majorHAnsi" w:cstheme="majorBidi"/>
              </w:rPr>
              <w:t xml:space="preserve"> experience in the program </w:t>
            </w:r>
            <w:r w:rsidR="00F149F6" w:rsidRPr="5E5DEAB0">
              <w:rPr>
                <w:rFonts w:asciiTheme="majorHAnsi" w:hAnsiTheme="majorHAnsi" w:cstheme="majorBidi"/>
              </w:rPr>
              <w:t xml:space="preserve">and/or completer efficacy </w:t>
            </w:r>
            <w:r w:rsidRPr="5E5DEAB0">
              <w:rPr>
                <w:rFonts w:asciiTheme="majorHAnsi" w:hAnsiTheme="majorHAnsi" w:cstheme="majorBidi"/>
              </w:rPr>
              <w:t>is not consistently assured to be high</w:t>
            </w:r>
            <w:r w:rsidR="376DB470" w:rsidRPr="5E5DEAB0">
              <w:rPr>
                <w:rFonts w:asciiTheme="majorHAnsi" w:hAnsiTheme="majorHAnsi" w:cstheme="majorBidi"/>
              </w:rPr>
              <w:t>-</w:t>
            </w:r>
            <w:r w:rsidRPr="5E5DEAB0">
              <w:rPr>
                <w:rFonts w:asciiTheme="majorHAnsi" w:hAnsiTheme="majorHAnsi" w:cstheme="majorBidi"/>
              </w:rPr>
              <w:t xml:space="preserve">quality, significant areas that must be addressed in order for the </w:t>
            </w:r>
            <w:r w:rsidR="007E3BCC" w:rsidRPr="5E5DEAB0">
              <w:rPr>
                <w:rStyle w:val="normaltextrun"/>
                <w:rFonts w:asciiTheme="majorHAnsi" w:hAnsiTheme="majorHAnsi" w:cstheme="majorBidi"/>
              </w:rPr>
              <w:t>Sponsoring Organization</w:t>
            </w:r>
            <w:r w:rsidRPr="5E5DEAB0">
              <w:rPr>
                <w:rFonts w:asciiTheme="majorHAnsi" w:hAnsiTheme="majorHAnsi" w:cstheme="majorBidi"/>
              </w:rPr>
              <w:t xml:space="preserve"> to be found to meet state standards, and preparation is placing PK-12 students at risk of receiving an ineffective education.</w:t>
            </w:r>
          </w:p>
          <w:p w14:paraId="6C7E7FE9" w14:textId="77777777" w:rsidR="008E2C1E" w:rsidRPr="00090190" w:rsidRDefault="008E2C1E" w:rsidP="00D17218">
            <w:pPr>
              <w:pStyle w:val="TableParagraph"/>
              <w:ind w:left="107" w:right="9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3960" w:type="dxa"/>
          </w:tcPr>
          <w:p w14:paraId="4BFE06BA" w14:textId="77777777" w:rsidR="008E2C1E" w:rsidRPr="00014585" w:rsidRDefault="008E2C1E" w:rsidP="000E41AB">
            <w:pPr>
              <w:pStyle w:val="TableParagraph"/>
              <w:numPr>
                <w:ilvl w:val="0"/>
                <w:numId w:val="33"/>
              </w:numPr>
              <w:tabs>
                <w:tab w:val="left" w:pos="467"/>
                <w:tab w:val="left" w:pos="468"/>
              </w:tabs>
              <w:ind w:right="34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90190">
              <w:rPr>
                <w:rFonts w:asciiTheme="majorHAnsi" w:hAnsiTheme="majorHAnsi" w:cstheme="majorHAnsi"/>
              </w:rPr>
              <w:t>Program is authorized to endorse candidates for licensure;</w:t>
            </w:r>
            <w:r w:rsidRPr="00090190">
              <w:rPr>
                <w:rFonts w:asciiTheme="majorHAnsi" w:hAnsiTheme="majorHAnsi" w:cstheme="majorHAnsi"/>
                <w:spacing w:val="-13"/>
              </w:rPr>
              <w:t xml:space="preserve"> </w:t>
            </w:r>
            <w:r w:rsidRPr="00090190">
              <w:rPr>
                <w:rFonts w:asciiTheme="majorHAnsi" w:hAnsiTheme="majorHAnsi" w:cstheme="majorHAnsi"/>
              </w:rPr>
              <w:t>e</w:t>
            </w:r>
            <w:r w:rsidRPr="00014585">
              <w:rPr>
                <w:rFonts w:asciiTheme="majorHAnsi" w:hAnsiTheme="majorHAnsi" w:cstheme="majorHAnsi"/>
              </w:rPr>
              <w:t>nrollment</w:t>
            </w:r>
            <w:r w:rsidRPr="00014585">
              <w:rPr>
                <w:rFonts w:asciiTheme="majorHAnsi" w:hAnsiTheme="majorHAnsi" w:cstheme="majorHAnsi"/>
                <w:spacing w:val="-12"/>
              </w:rPr>
              <w:t xml:space="preserve"> </w:t>
            </w:r>
            <w:r w:rsidRPr="00014585">
              <w:rPr>
                <w:rFonts w:asciiTheme="majorHAnsi" w:hAnsiTheme="majorHAnsi" w:cstheme="majorHAnsi"/>
              </w:rPr>
              <w:t>may be restricted</w:t>
            </w:r>
          </w:p>
          <w:p w14:paraId="6B54FBCA" w14:textId="44758EA3" w:rsidR="008E2C1E" w:rsidRPr="007B2B94" w:rsidRDefault="007B2B94" w:rsidP="000E41AB">
            <w:pPr>
              <w:pStyle w:val="TableParagraph"/>
              <w:numPr>
                <w:ilvl w:val="0"/>
                <w:numId w:val="33"/>
              </w:numPr>
              <w:tabs>
                <w:tab w:val="left" w:pos="467"/>
                <w:tab w:val="left" w:pos="468"/>
              </w:tabs>
              <w:ind w:right="36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67C89">
              <w:rPr>
                <w:rFonts w:asciiTheme="majorHAnsi" w:hAnsiTheme="majorHAnsi" w:cstheme="majorHAnsi"/>
              </w:rPr>
              <w:t>C</w:t>
            </w:r>
            <w:r>
              <w:rPr>
                <w:rFonts w:asciiTheme="majorHAnsi" w:hAnsiTheme="majorHAnsi" w:cstheme="majorHAnsi"/>
              </w:rPr>
              <w:t>ompleter</w:t>
            </w:r>
            <w:r w:rsidRPr="007B2B94">
              <w:rPr>
                <w:rFonts w:asciiTheme="majorHAnsi" w:hAnsiTheme="majorHAnsi" w:cstheme="majorHAnsi"/>
              </w:rPr>
              <w:t>s</w:t>
            </w:r>
            <w:r w:rsidRPr="007B2B94">
              <w:rPr>
                <w:rFonts w:asciiTheme="majorHAnsi" w:hAnsiTheme="majorHAnsi" w:cstheme="majorHAnsi"/>
                <w:spacing w:val="-13"/>
              </w:rPr>
              <w:t xml:space="preserve"> </w:t>
            </w:r>
            <w:r w:rsidR="008E2C1E" w:rsidRPr="007B2B94">
              <w:rPr>
                <w:rFonts w:asciiTheme="majorHAnsi" w:hAnsiTheme="majorHAnsi" w:cstheme="majorHAnsi"/>
              </w:rPr>
              <w:t>may</w:t>
            </w:r>
            <w:r w:rsidR="008E2C1E" w:rsidRPr="007B2B94">
              <w:rPr>
                <w:rFonts w:asciiTheme="majorHAnsi" w:hAnsiTheme="majorHAnsi" w:cstheme="majorHAnsi"/>
                <w:spacing w:val="-10"/>
              </w:rPr>
              <w:t xml:space="preserve"> </w:t>
            </w:r>
            <w:r w:rsidR="008E2C1E" w:rsidRPr="007B2B94">
              <w:rPr>
                <w:rFonts w:asciiTheme="majorHAnsi" w:hAnsiTheme="majorHAnsi" w:cstheme="majorHAnsi"/>
              </w:rPr>
              <w:t>not</w:t>
            </w:r>
            <w:r w:rsidR="008E2C1E" w:rsidRPr="007B2B94">
              <w:rPr>
                <w:rFonts w:asciiTheme="majorHAnsi" w:hAnsiTheme="majorHAnsi" w:cstheme="majorHAnsi"/>
                <w:spacing w:val="-13"/>
              </w:rPr>
              <w:t xml:space="preserve"> </w:t>
            </w:r>
            <w:r w:rsidR="008E2C1E" w:rsidRPr="007B2B94">
              <w:rPr>
                <w:rFonts w:asciiTheme="majorHAnsi" w:hAnsiTheme="majorHAnsi" w:cstheme="majorHAnsi"/>
              </w:rPr>
              <w:t>enjoy full reciprocity benefits outside of Massachusetts</w:t>
            </w:r>
          </w:p>
          <w:p w14:paraId="364C55A4" w14:textId="77777777" w:rsidR="008E2C1E" w:rsidRPr="00014585" w:rsidRDefault="008E2C1E" w:rsidP="000E41AB">
            <w:pPr>
              <w:pStyle w:val="TableParagraph"/>
              <w:numPr>
                <w:ilvl w:val="0"/>
                <w:numId w:val="33"/>
              </w:numPr>
              <w:tabs>
                <w:tab w:val="left" w:pos="468"/>
                <w:tab w:val="left" w:pos="469"/>
              </w:tabs>
              <w:ind w:right="12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90190">
              <w:rPr>
                <w:rFonts w:asciiTheme="majorHAnsi" w:hAnsiTheme="majorHAnsi" w:cstheme="majorHAnsi"/>
              </w:rPr>
              <w:t xml:space="preserve">3-year term of approval, unless </w:t>
            </w:r>
            <w:r w:rsidRPr="00090190">
              <w:rPr>
                <w:rFonts w:asciiTheme="majorHAnsi" w:hAnsiTheme="majorHAnsi" w:cstheme="majorHAnsi"/>
                <w:color w:val="0D0D0D"/>
              </w:rPr>
              <w:t>program ceases to meet requirements or DESE finds</w:t>
            </w:r>
            <w:r w:rsidRPr="00090190">
              <w:rPr>
                <w:rFonts w:asciiTheme="majorHAnsi" w:hAnsiTheme="majorHAnsi" w:cstheme="majorHAnsi"/>
                <w:color w:val="0D0D0D"/>
                <w:spacing w:val="-13"/>
              </w:rPr>
              <w:t xml:space="preserve"> </w:t>
            </w:r>
            <w:r w:rsidRPr="00014585">
              <w:rPr>
                <w:rFonts w:asciiTheme="majorHAnsi" w:hAnsiTheme="majorHAnsi" w:cstheme="majorHAnsi"/>
                <w:color w:val="0D0D0D"/>
              </w:rPr>
              <w:t>insufficient</w:t>
            </w:r>
            <w:r w:rsidRPr="00014585">
              <w:rPr>
                <w:rFonts w:asciiTheme="majorHAnsi" w:hAnsiTheme="majorHAnsi" w:cstheme="majorHAnsi"/>
                <w:color w:val="0D0D0D"/>
                <w:spacing w:val="-12"/>
              </w:rPr>
              <w:t xml:space="preserve"> </w:t>
            </w:r>
            <w:r w:rsidRPr="00014585">
              <w:rPr>
                <w:rFonts w:asciiTheme="majorHAnsi" w:hAnsiTheme="majorHAnsi" w:cstheme="majorHAnsi"/>
                <w:color w:val="0D0D0D"/>
              </w:rPr>
              <w:t>evidence</w:t>
            </w:r>
            <w:r w:rsidRPr="00014585">
              <w:rPr>
                <w:rFonts w:asciiTheme="majorHAnsi" w:hAnsiTheme="majorHAnsi" w:cstheme="majorHAnsi"/>
                <w:color w:val="0D0D0D"/>
                <w:spacing w:val="-12"/>
              </w:rPr>
              <w:t xml:space="preserve"> </w:t>
            </w:r>
            <w:r w:rsidRPr="00014585">
              <w:rPr>
                <w:rFonts w:asciiTheme="majorHAnsi" w:hAnsiTheme="majorHAnsi" w:cstheme="majorHAnsi"/>
                <w:color w:val="0D0D0D"/>
              </w:rPr>
              <w:t>of meeting standards or program is also designated “</w:t>
            </w:r>
            <w:r w:rsidRPr="00014585" w:rsidDel="4F2839D7">
              <w:rPr>
                <w:rFonts w:asciiTheme="majorHAnsi" w:hAnsiTheme="majorHAnsi" w:cstheme="majorHAnsi"/>
                <w:color w:val="0D0D0D"/>
              </w:rPr>
              <w:t>l</w:t>
            </w:r>
            <w:r w:rsidR="4F2839D7" w:rsidRPr="00014585">
              <w:rPr>
                <w:rFonts w:asciiTheme="majorHAnsi" w:hAnsiTheme="majorHAnsi" w:cstheme="majorHAnsi"/>
                <w:color w:val="0D0D0D"/>
              </w:rPr>
              <w:t xml:space="preserve">ow </w:t>
            </w:r>
            <w:r w:rsidRPr="00014585">
              <w:rPr>
                <w:rFonts w:asciiTheme="majorHAnsi" w:hAnsiTheme="majorHAnsi" w:cstheme="majorHAnsi"/>
                <w:color w:val="0D0D0D"/>
              </w:rPr>
              <w:t>performing”</w:t>
            </w:r>
          </w:p>
          <w:p w14:paraId="297E45BA" w14:textId="77777777" w:rsidR="008E2C1E" w:rsidRPr="00284DC3" w:rsidRDefault="008E2C1E" w:rsidP="000E41AB">
            <w:pPr>
              <w:pStyle w:val="TableParagraph"/>
              <w:numPr>
                <w:ilvl w:val="0"/>
                <w:numId w:val="33"/>
              </w:numPr>
              <w:tabs>
                <w:tab w:val="left" w:pos="467"/>
                <w:tab w:val="left" w:pos="468"/>
              </w:tabs>
              <w:ind w:right="26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14585">
              <w:rPr>
                <w:rFonts w:asciiTheme="majorHAnsi" w:hAnsiTheme="majorHAnsi" w:cstheme="majorHAnsi"/>
              </w:rPr>
              <w:t xml:space="preserve">DESE will impose conditions </w:t>
            </w:r>
            <w:r w:rsidRPr="00014585">
              <w:rPr>
                <w:rFonts w:asciiTheme="majorHAnsi" w:hAnsiTheme="majorHAnsi" w:cstheme="majorHAnsi"/>
              </w:rPr>
              <w:lastRenderedPageBreak/>
              <w:t>specific</w:t>
            </w:r>
            <w:r w:rsidRPr="00AC72D4">
              <w:rPr>
                <w:rFonts w:asciiTheme="majorHAnsi" w:hAnsiTheme="majorHAnsi" w:cstheme="majorHAnsi"/>
                <w:spacing w:val="-11"/>
              </w:rPr>
              <w:t xml:space="preserve"> </w:t>
            </w:r>
            <w:r w:rsidRPr="00DD08F3">
              <w:rPr>
                <w:rFonts w:asciiTheme="majorHAnsi" w:hAnsiTheme="majorHAnsi" w:cstheme="majorHAnsi"/>
              </w:rPr>
              <w:t>to</w:t>
            </w:r>
            <w:r w:rsidRPr="001F3F72">
              <w:rPr>
                <w:rFonts w:asciiTheme="majorHAnsi" w:hAnsiTheme="majorHAnsi" w:cstheme="majorHAnsi"/>
                <w:spacing w:val="-12"/>
              </w:rPr>
              <w:t xml:space="preserve"> </w:t>
            </w:r>
            <w:r w:rsidRPr="001F3F72">
              <w:rPr>
                <w:rFonts w:asciiTheme="majorHAnsi" w:hAnsiTheme="majorHAnsi" w:cstheme="majorHAnsi"/>
              </w:rPr>
              <w:t>the</w:t>
            </w:r>
            <w:r w:rsidRPr="001F3F72">
              <w:rPr>
                <w:rFonts w:asciiTheme="majorHAnsi" w:hAnsiTheme="majorHAnsi" w:cstheme="majorHAnsi"/>
                <w:spacing w:val="-13"/>
              </w:rPr>
              <w:t xml:space="preserve"> </w:t>
            </w:r>
            <w:r w:rsidRPr="001F3F72">
              <w:rPr>
                <w:rFonts w:asciiTheme="majorHAnsi" w:hAnsiTheme="majorHAnsi" w:cstheme="majorHAnsi"/>
              </w:rPr>
              <w:t xml:space="preserve">organization and will describe the timeline </w:t>
            </w:r>
            <w:r w:rsidRPr="00284DC3">
              <w:rPr>
                <w:rFonts w:asciiTheme="majorHAnsi" w:hAnsiTheme="majorHAnsi" w:cstheme="majorHAnsi"/>
              </w:rPr>
              <w:t xml:space="preserve">to meet those </w:t>
            </w:r>
            <w:r w:rsidRPr="00284DC3">
              <w:rPr>
                <w:rFonts w:asciiTheme="majorHAnsi" w:hAnsiTheme="majorHAnsi" w:cstheme="majorHAnsi"/>
                <w:spacing w:val="-2"/>
              </w:rPr>
              <w:t>conditions</w:t>
            </w:r>
          </w:p>
          <w:p w14:paraId="6C45BF8B" w14:textId="77777777" w:rsidR="008E2C1E" w:rsidRPr="00367C89" w:rsidRDefault="008E2C1E" w:rsidP="000E41AB">
            <w:pPr>
              <w:pStyle w:val="TableParagraph"/>
              <w:numPr>
                <w:ilvl w:val="0"/>
                <w:numId w:val="33"/>
              </w:numPr>
              <w:tabs>
                <w:tab w:val="left" w:pos="468"/>
                <w:tab w:val="left" w:pos="469"/>
              </w:tabs>
              <w:ind w:right="10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84DC3">
              <w:rPr>
                <w:rFonts w:asciiTheme="majorHAnsi" w:hAnsiTheme="majorHAnsi" w:cstheme="majorHAnsi"/>
              </w:rPr>
              <w:t xml:space="preserve">Status designation as At-Risk or Low Performing </w:t>
            </w:r>
          </w:p>
          <w:p w14:paraId="4AD22291" w14:textId="0DD60C3D" w:rsidR="008E2C1E" w:rsidRPr="00367C89" w:rsidRDefault="008E2C1E" w:rsidP="000E41AB">
            <w:pPr>
              <w:pStyle w:val="TableParagraph"/>
              <w:numPr>
                <w:ilvl w:val="0"/>
                <w:numId w:val="33"/>
              </w:numPr>
              <w:tabs>
                <w:tab w:val="left" w:pos="467"/>
                <w:tab w:val="left" w:pos="468"/>
              </w:tabs>
              <w:ind w:right="47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67C89">
              <w:rPr>
                <w:rFonts w:asciiTheme="majorHAnsi" w:hAnsiTheme="majorHAnsi" w:cstheme="majorHAnsi"/>
              </w:rPr>
              <w:t xml:space="preserve">Approval status and improvement plan must be publicly posted on </w:t>
            </w:r>
            <w:r w:rsidR="007E3BCC" w:rsidRPr="00367C89">
              <w:rPr>
                <w:rFonts w:asciiTheme="majorHAnsi" w:hAnsiTheme="majorHAnsi" w:cstheme="majorHAnsi"/>
              </w:rPr>
              <w:t>Sponsoring Organization’s</w:t>
            </w:r>
            <w:r w:rsidRPr="00367C89">
              <w:rPr>
                <w:rFonts w:asciiTheme="majorHAnsi" w:hAnsiTheme="majorHAnsi" w:cstheme="majorHAnsi"/>
              </w:rPr>
              <w:t xml:space="preserve"> website</w:t>
            </w:r>
          </w:p>
        </w:tc>
      </w:tr>
      <w:tr w:rsidR="008E2C1E" w:rsidRPr="00E54DB1" w14:paraId="260476D0" w14:textId="77777777" w:rsidTr="004C06C3">
        <w:trPr>
          <w:cnfStyle w:val="000000100000" w:firstRow="0" w:lastRow="0" w:firstColumn="0" w:lastColumn="0" w:oddVBand="0" w:evenVBand="0" w:oddHBand="1" w:evenHBand="0" w:firstRowFirstColumn="0" w:firstRowLastColumn="0" w:lastRowFirstColumn="0" w:lastRowLastColumn="0"/>
          <w:trHeight w:val="2957"/>
        </w:trPr>
        <w:tc>
          <w:tcPr>
            <w:cnfStyle w:val="001000000000" w:firstRow="0" w:lastRow="0" w:firstColumn="1" w:lastColumn="0" w:oddVBand="0" w:evenVBand="0" w:oddHBand="0" w:evenHBand="0" w:firstRowFirstColumn="0" w:firstRowLastColumn="0" w:lastRowFirstColumn="0" w:lastRowLastColumn="0"/>
            <w:tcW w:w="1800" w:type="dxa"/>
          </w:tcPr>
          <w:p w14:paraId="5C00AA1E" w14:textId="77777777" w:rsidR="008E2C1E" w:rsidRPr="007B2B94" w:rsidRDefault="008E2C1E" w:rsidP="00D17218">
            <w:pPr>
              <w:pStyle w:val="TableParagraph"/>
              <w:spacing w:line="268" w:lineRule="exact"/>
              <w:ind w:left="107"/>
              <w:rPr>
                <w:rFonts w:asciiTheme="majorHAnsi" w:hAnsiTheme="majorHAnsi" w:cstheme="majorHAnsi"/>
                <w:b w:val="0"/>
                <w:spacing w:val="-2"/>
              </w:rPr>
            </w:pPr>
            <w:r w:rsidRPr="007B2B94">
              <w:rPr>
                <w:rFonts w:asciiTheme="majorHAnsi" w:hAnsiTheme="majorHAnsi" w:cstheme="majorHAnsi"/>
                <w:spacing w:val="-2"/>
              </w:rPr>
              <w:lastRenderedPageBreak/>
              <w:t>Not Approved</w:t>
            </w:r>
          </w:p>
        </w:tc>
        <w:tc>
          <w:tcPr>
            <w:tcW w:w="3974" w:type="dxa"/>
          </w:tcPr>
          <w:p w14:paraId="208B3ACF" w14:textId="59422305" w:rsidR="008E2C1E" w:rsidRPr="00014585" w:rsidRDefault="008E2C1E" w:rsidP="00D17218">
            <w:pPr>
              <w:pStyle w:val="TableParagraph"/>
              <w:ind w:left="107" w:right="16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90190">
              <w:rPr>
                <w:rFonts w:asciiTheme="majorHAnsi" w:hAnsiTheme="majorHAnsi" w:cstheme="majorHAnsi"/>
              </w:rPr>
              <w:t xml:space="preserve">A Sponsoring Organization or program that is determined to be not approved has not met state standards. Not Approved denotes deep and substantial findings and significant deficiencies relative to state standards. The </w:t>
            </w:r>
            <w:r w:rsidR="007E3BCC" w:rsidRPr="00090190">
              <w:rPr>
                <w:rStyle w:val="normaltextrun"/>
                <w:rFonts w:asciiTheme="majorHAnsi" w:hAnsiTheme="majorHAnsi" w:cstheme="majorHAnsi"/>
              </w:rPr>
              <w:t>Sponsoring Organization</w:t>
            </w:r>
            <w:r w:rsidRPr="00090190">
              <w:rPr>
                <w:rFonts w:asciiTheme="majorHAnsi" w:hAnsiTheme="majorHAnsi" w:cstheme="majorHAnsi"/>
              </w:rPr>
              <w:t xml:space="preserve"> is lacking comp</w:t>
            </w:r>
            <w:r w:rsidRPr="00014585">
              <w:rPr>
                <w:rFonts w:asciiTheme="majorHAnsi" w:hAnsiTheme="majorHAnsi" w:cstheme="majorHAnsi"/>
              </w:rPr>
              <w:t>elling evidence of impact relative to effectively preparing candidates for the licensure role. DESE has evidence that PK-12 students taught by program completers are/will be at risk of an ineffective education.</w:t>
            </w:r>
          </w:p>
          <w:p w14:paraId="185BDEFC" w14:textId="77777777" w:rsidR="008E2C1E" w:rsidRPr="00014585" w:rsidRDefault="008E2C1E" w:rsidP="00D17218">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7861D7A" w14:textId="5CDE2813" w:rsidR="008E2C1E" w:rsidRPr="00DD08F3" w:rsidRDefault="008E2C1E" w:rsidP="00D17218">
            <w:pPr>
              <w:pStyle w:val="TableParagraph"/>
              <w:ind w:left="107" w:right="13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14585">
              <w:rPr>
                <w:rFonts w:asciiTheme="majorHAnsi" w:hAnsiTheme="majorHAnsi" w:cstheme="majorHAnsi"/>
              </w:rPr>
              <w:t xml:space="preserve">New Sponsoring Organizations or programs submitted through informal review may not be approved if evidence indicates the program(s) will not meet DESE expectations. </w:t>
            </w:r>
            <w:r w:rsidR="007E3BCC" w:rsidRPr="00014585">
              <w:rPr>
                <w:rFonts w:asciiTheme="majorHAnsi" w:hAnsiTheme="majorHAnsi" w:cstheme="majorHAnsi"/>
              </w:rPr>
              <w:t>Sponsoring Organizations</w:t>
            </w:r>
            <w:r w:rsidRPr="00014585">
              <w:rPr>
                <w:rFonts w:asciiTheme="majorHAnsi" w:hAnsiTheme="majorHAnsi" w:cstheme="majorHAnsi"/>
              </w:rPr>
              <w:t xml:space="preserve"> will have the option to resubmit for informal approval within a timeline</w:t>
            </w:r>
            <w:r w:rsidRPr="00AC72D4">
              <w:rPr>
                <w:rFonts w:asciiTheme="majorHAnsi" w:hAnsiTheme="majorHAnsi" w:cstheme="majorHAnsi"/>
              </w:rPr>
              <w:t xml:space="preserve"> determined by DESE. </w:t>
            </w:r>
          </w:p>
        </w:tc>
        <w:tc>
          <w:tcPr>
            <w:tcW w:w="3960" w:type="dxa"/>
          </w:tcPr>
          <w:p w14:paraId="0F258014" w14:textId="0B4F706A" w:rsidR="008E2C1E" w:rsidRPr="00367C89" w:rsidRDefault="007E3BCC" w:rsidP="000E41AB">
            <w:pPr>
              <w:pStyle w:val="TableParagraph"/>
              <w:numPr>
                <w:ilvl w:val="0"/>
                <w:numId w:val="33"/>
              </w:numPr>
              <w:tabs>
                <w:tab w:val="left" w:pos="468"/>
              </w:tabs>
              <w:ind w:right="14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1F3F72">
              <w:rPr>
                <w:rFonts w:asciiTheme="majorHAnsi" w:hAnsiTheme="majorHAnsi" w:cstheme="majorHAnsi"/>
              </w:rPr>
              <w:t>Sponsoring Organizations</w:t>
            </w:r>
            <w:r w:rsidR="008E2C1E" w:rsidRPr="001F3F72">
              <w:rPr>
                <w:rFonts w:asciiTheme="majorHAnsi" w:hAnsiTheme="majorHAnsi" w:cstheme="majorHAnsi"/>
                <w:spacing w:val="-11"/>
              </w:rPr>
              <w:t xml:space="preserve"> </w:t>
            </w:r>
            <w:r w:rsidR="008E2C1E" w:rsidRPr="001F3F72">
              <w:rPr>
                <w:rFonts w:asciiTheme="majorHAnsi" w:hAnsiTheme="majorHAnsi" w:cstheme="majorHAnsi"/>
              </w:rPr>
              <w:t>are</w:t>
            </w:r>
            <w:r w:rsidR="008E2C1E" w:rsidRPr="00284DC3">
              <w:rPr>
                <w:rFonts w:asciiTheme="majorHAnsi" w:hAnsiTheme="majorHAnsi" w:cstheme="majorHAnsi"/>
                <w:spacing w:val="-9"/>
              </w:rPr>
              <w:t xml:space="preserve"> </w:t>
            </w:r>
            <w:r w:rsidR="008E2C1E" w:rsidRPr="00284DC3">
              <w:rPr>
                <w:rFonts w:asciiTheme="majorHAnsi" w:hAnsiTheme="majorHAnsi" w:cstheme="majorHAnsi"/>
              </w:rPr>
              <w:t>not</w:t>
            </w:r>
            <w:r w:rsidR="008E2C1E" w:rsidRPr="00284DC3">
              <w:rPr>
                <w:rFonts w:asciiTheme="majorHAnsi" w:hAnsiTheme="majorHAnsi" w:cstheme="majorHAnsi"/>
                <w:spacing w:val="-9"/>
              </w:rPr>
              <w:t xml:space="preserve"> </w:t>
            </w:r>
            <w:r w:rsidR="008E2C1E" w:rsidRPr="00284DC3">
              <w:rPr>
                <w:rFonts w:asciiTheme="majorHAnsi" w:hAnsiTheme="majorHAnsi" w:cstheme="majorHAnsi"/>
              </w:rPr>
              <w:t>allowed</w:t>
            </w:r>
            <w:r w:rsidR="008E2C1E" w:rsidRPr="00367C89">
              <w:rPr>
                <w:rFonts w:asciiTheme="majorHAnsi" w:hAnsiTheme="majorHAnsi" w:cstheme="majorHAnsi"/>
                <w:spacing w:val="-10"/>
              </w:rPr>
              <w:t xml:space="preserve"> </w:t>
            </w:r>
            <w:r w:rsidR="008E2C1E" w:rsidRPr="00367C89">
              <w:rPr>
                <w:rFonts w:asciiTheme="majorHAnsi" w:hAnsiTheme="majorHAnsi" w:cstheme="majorHAnsi"/>
              </w:rPr>
              <w:t>to recruit, prepare, or endorse candidates for licensure</w:t>
            </w:r>
          </w:p>
          <w:p w14:paraId="2CAF3FEE" w14:textId="48829493" w:rsidR="008E2C1E" w:rsidRPr="00367C89" w:rsidRDefault="008E2C1E" w:rsidP="000E41AB">
            <w:pPr>
              <w:pStyle w:val="TableParagraph"/>
              <w:numPr>
                <w:ilvl w:val="0"/>
                <w:numId w:val="33"/>
              </w:numPr>
              <w:tabs>
                <w:tab w:val="left" w:pos="467"/>
                <w:tab w:val="left" w:pos="468"/>
              </w:tabs>
              <w:ind w:right="14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67C89">
              <w:rPr>
                <w:rFonts w:asciiTheme="majorHAnsi" w:hAnsiTheme="majorHAnsi" w:cstheme="majorHAnsi"/>
              </w:rPr>
              <w:t>DESE</w:t>
            </w:r>
            <w:r w:rsidRPr="00367C89">
              <w:rPr>
                <w:rFonts w:asciiTheme="majorHAnsi" w:hAnsiTheme="majorHAnsi" w:cstheme="majorHAnsi"/>
                <w:spacing w:val="-9"/>
              </w:rPr>
              <w:t xml:space="preserve"> </w:t>
            </w:r>
            <w:r w:rsidRPr="00367C89">
              <w:rPr>
                <w:rFonts w:asciiTheme="majorHAnsi" w:hAnsiTheme="majorHAnsi" w:cstheme="majorHAnsi"/>
              </w:rPr>
              <w:t>will</w:t>
            </w:r>
            <w:r w:rsidRPr="00367C89">
              <w:rPr>
                <w:rFonts w:asciiTheme="majorHAnsi" w:hAnsiTheme="majorHAnsi" w:cstheme="majorHAnsi"/>
                <w:spacing w:val="-12"/>
              </w:rPr>
              <w:t xml:space="preserve"> </w:t>
            </w:r>
            <w:r w:rsidRPr="00367C89">
              <w:rPr>
                <w:rFonts w:asciiTheme="majorHAnsi" w:hAnsiTheme="majorHAnsi" w:cstheme="majorHAnsi"/>
              </w:rPr>
              <w:t>work</w:t>
            </w:r>
            <w:r w:rsidRPr="00367C89">
              <w:rPr>
                <w:rFonts w:asciiTheme="majorHAnsi" w:hAnsiTheme="majorHAnsi" w:cstheme="majorHAnsi"/>
                <w:spacing w:val="-9"/>
              </w:rPr>
              <w:t xml:space="preserve"> </w:t>
            </w:r>
            <w:r w:rsidRPr="00367C89">
              <w:rPr>
                <w:rFonts w:asciiTheme="majorHAnsi" w:hAnsiTheme="majorHAnsi" w:cstheme="majorHAnsi"/>
              </w:rPr>
              <w:t>with</w:t>
            </w:r>
            <w:r w:rsidRPr="00367C89">
              <w:rPr>
                <w:rFonts w:asciiTheme="majorHAnsi" w:hAnsiTheme="majorHAnsi" w:cstheme="majorHAnsi"/>
                <w:spacing w:val="-10"/>
              </w:rPr>
              <w:t xml:space="preserve"> </w:t>
            </w:r>
            <w:r w:rsidRPr="00367C89">
              <w:rPr>
                <w:rFonts w:asciiTheme="majorHAnsi" w:hAnsiTheme="majorHAnsi" w:cstheme="majorHAnsi"/>
              </w:rPr>
              <w:t xml:space="preserve">individual </w:t>
            </w:r>
            <w:r w:rsidR="007E3BCC" w:rsidRPr="00367C89">
              <w:rPr>
                <w:rFonts w:asciiTheme="majorHAnsi" w:hAnsiTheme="majorHAnsi" w:cstheme="majorHAnsi"/>
              </w:rPr>
              <w:t>Sponsoring Organizations</w:t>
            </w:r>
            <w:r w:rsidRPr="00367C89">
              <w:rPr>
                <w:rFonts w:asciiTheme="majorHAnsi" w:hAnsiTheme="majorHAnsi" w:cstheme="majorHAnsi"/>
              </w:rPr>
              <w:t xml:space="preserve"> to develop a teach-out plan for affected program areas and hold candidates harmless to the extent </w:t>
            </w:r>
            <w:r w:rsidRPr="00367C89">
              <w:rPr>
                <w:rFonts w:asciiTheme="majorHAnsi" w:hAnsiTheme="majorHAnsi" w:cstheme="majorHAnsi"/>
                <w:spacing w:val="-2"/>
              </w:rPr>
              <w:t>possible</w:t>
            </w:r>
          </w:p>
          <w:p w14:paraId="5A345DEF" w14:textId="77777777" w:rsidR="008E2C1E" w:rsidRPr="00367C89" w:rsidRDefault="008E2C1E" w:rsidP="00D17218">
            <w:pPr>
              <w:pStyle w:val="TableParagraph"/>
              <w:tabs>
                <w:tab w:val="left" w:pos="467"/>
                <w:tab w:val="left" w:pos="468"/>
              </w:tabs>
              <w:ind w:left="0" w:right="34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bl>
    <w:p w14:paraId="2E1B3EC2" w14:textId="77777777" w:rsidR="008E2C1E" w:rsidRPr="004C06C3" w:rsidRDefault="008E2C1E" w:rsidP="008E2C1E">
      <w:pPr>
        <w:rPr>
          <w:rFonts w:cstheme="majorHAnsi"/>
          <w:b/>
          <w:bCs/>
          <w:sz w:val="24"/>
          <w:szCs w:val="24"/>
        </w:rPr>
      </w:pPr>
    </w:p>
    <w:p w14:paraId="2D43E321" w14:textId="7B0B88F8" w:rsidR="00746EBB" w:rsidRPr="00BA67B6" w:rsidRDefault="00E54DB1">
      <w:pPr>
        <w:pStyle w:val="Heading1"/>
      </w:pPr>
      <w:bookmarkStart w:id="113" w:name="_Status_Designations "/>
      <w:bookmarkStart w:id="114" w:name="_Toc106003179"/>
      <w:bookmarkStart w:id="115" w:name="_Toc125575638"/>
      <w:bookmarkEnd w:id="113"/>
      <w:r>
        <w:t xml:space="preserve">Low Performing and At-Risk </w:t>
      </w:r>
      <w:r w:rsidR="00746EBB" w:rsidRPr="00174ECC">
        <w:t>Status</w:t>
      </w:r>
      <w:r w:rsidR="00746EBB" w:rsidRPr="00BA67B6">
        <w:t xml:space="preserve"> Designations</w:t>
      </w:r>
      <w:r w:rsidR="00746EBB" w:rsidRPr="00BA67B6">
        <w:rPr>
          <w:rStyle w:val="normaltextrun"/>
          <w:rFonts w:asciiTheme="majorHAnsi" w:hAnsiTheme="majorHAnsi" w:cstheme="majorHAnsi"/>
          <w:sz w:val="24"/>
          <w:szCs w:val="24"/>
        </w:rPr>
        <w:t> </w:t>
      </w:r>
      <w:bookmarkEnd w:id="114"/>
      <w:bookmarkEnd w:id="115"/>
      <w:r w:rsidR="00746EBB" w:rsidRPr="00BA67B6">
        <w:rPr>
          <w:rStyle w:val="eop"/>
          <w:rFonts w:asciiTheme="majorHAnsi" w:hAnsiTheme="majorHAnsi" w:cstheme="majorHAnsi"/>
          <w:sz w:val="24"/>
          <w:szCs w:val="24"/>
        </w:rPr>
        <w:t> </w:t>
      </w:r>
    </w:p>
    <w:p w14:paraId="206D3CAF" w14:textId="163BB20B" w:rsidR="00746EBB" w:rsidRPr="00084E37" w:rsidRDefault="00746EBB" w:rsidP="00084E37">
      <w:pPr>
        <w:pStyle w:val="paragraph"/>
        <w:spacing w:before="0" w:beforeAutospacing="0" w:after="0" w:afterAutospacing="0" w:line="276" w:lineRule="auto"/>
        <w:textAlignment w:val="baseline"/>
        <w:rPr>
          <w:rFonts w:asciiTheme="majorHAnsi" w:hAnsiTheme="majorHAnsi" w:cstheme="majorHAnsi"/>
          <w:sz w:val="22"/>
          <w:szCs w:val="22"/>
        </w:rPr>
      </w:pPr>
      <w:r w:rsidRPr="00084E37">
        <w:rPr>
          <w:rStyle w:val="normaltextrun"/>
          <w:rFonts w:asciiTheme="majorHAnsi" w:hAnsiTheme="majorHAnsi" w:cstheme="majorHAnsi"/>
          <w:sz w:val="22"/>
          <w:szCs w:val="22"/>
        </w:rPr>
        <w:t xml:space="preserve">As required by Title II of the Higher Education Act (HEA), each state must determine the criteria for assessing educator preparation programs and identifying educator preparation programs that are Low Performing or At-Risk of Becoming Low Performing. </w:t>
      </w:r>
    </w:p>
    <w:p w14:paraId="19BDDB4B" w14:textId="77777777" w:rsidR="00746EBB" w:rsidRPr="00084E37" w:rsidRDefault="00746EBB" w:rsidP="00084E37">
      <w:pPr>
        <w:pStyle w:val="paragraph"/>
        <w:spacing w:before="0" w:beforeAutospacing="0" w:after="0" w:afterAutospacing="0" w:line="276" w:lineRule="auto"/>
        <w:textAlignment w:val="baseline"/>
        <w:rPr>
          <w:rFonts w:asciiTheme="majorHAnsi" w:hAnsiTheme="majorHAnsi" w:cstheme="majorHAnsi"/>
          <w:sz w:val="22"/>
          <w:szCs w:val="22"/>
        </w:rPr>
      </w:pPr>
      <w:r w:rsidRPr="00084E37">
        <w:rPr>
          <w:rStyle w:val="eop"/>
          <w:rFonts w:asciiTheme="majorHAnsi" w:hAnsiTheme="majorHAnsi" w:cstheme="majorHAnsi"/>
          <w:sz w:val="22"/>
          <w:szCs w:val="22"/>
        </w:rPr>
        <w:t> </w:t>
      </w:r>
    </w:p>
    <w:p w14:paraId="14662D85" w14:textId="4B354573" w:rsidR="00746EBB" w:rsidRPr="008478C2" w:rsidRDefault="00746EBB" w:rsidP="008478C2">
      <w:pPr>
        <w:pStyle w:val="paragraph"/>
        <w:spacing w:before="0" w:beforeAutospacing="0" w:after="0" w:afterAutospacing="0" w:line="276" w:lineRule="auto"/>
        <w:textAlignment w:val="baseline"/>
        <w:rPr>
          <w:rFonts w:asciiTheme="majorHAnsi" w:hAnsiTheme="majorHAnsi" w:cstheme="majorBidi"/>
          <w:sz w:val="22"/>
          <w:szCs w:val="22"/>
        </w:rPr>
      </w:pPr>
      <w:r w:rsidRPr="4DBB3A3B">
        <w:rPr>
          <w:rStyle w:val="normaltextrun"/>
          <w:rFonts w:asciiTheme="majorHAnsi" w:hAnsiTheme="majorHAnsi" w:cstheme="majorBidi"/>
          <w:sz w:val="22"/>
          <w:szCs w:val="22"/>
        </w:rPr>
        <w:t>Status designations</w:t>
      </w:r>
      <w:r w:rsidR="00823CC2" w:rsidRPr="4DBB3A3B">
        <w:rPr>
          <w:rStyle w:val="normaltextrun"/>
          <w:rFonts w:asciiTheme="majorHAnsi" w:hAnsiTheme="majorHAnsi" w:cstheme="majorBidi"/>
          <w:sz w:val="22"/>
          <w:szCs w:val="22"/>
        </w:rPr>
        <w:t xml:space="preserve"> are associated with Probationary Approval. </w:t>
      </w:r>
      <w:r w:rsidRPr="4DBB3A3B">
        <w:rPr>
          <w:rStyle w:val="normaltextrun"/>
          <w:rFonts w:asciiTheme="majorHAnsi" w:hAnsiTheme="majorHAnsi" w:cstheme="majorBidi"/>
          <w:sz w:val="22"/>
          <w:szCs w:val="22"/>
        </w:rPr>
        <w:t xml:space="preserve">If following a formal or interim review an approved Sponsoring Organization fails to meet the requirements and benchmarks set forth in the Program Approval Standards, and receives Probationary Approval, it shall receive a designation of at-risk </w:t>
      </w:r>
      <w:r w:rsidRPr="4DBB3A3B">
        <w:rPr>
          <w:rStyle w:val="normaltextrun"/>
          <w:rFonts w:asciiTheme="majorHAnsi" w:hAnsiTheme="majorHAnsi" w:cstheme="majorBidi"/>
          <w:sz w:val="22"/>
          <w:szCs w:val="22"/>
        </w:rPr>
        <w:lastRenderedPageBreak/>
        <w:t xml:space="preserve">or low performing. An at-risk designation results in a </w:t>
      </w:r>
      <w:r w:rsidR="00356E33" w:rsidRPr="4DBB3A3B">
        <w:rPr>
          <w:rStyle w:val="normaltextrun"/>
          <w:rFonts w:asciiTheme="majorHAnsi" w:hAnsiTheme="majorHAnsi" w:cstheme="majorBidi"/>
          <w:sz w:val="22"/>
          <w:szCs w:val="22"/>
        </w:rPr>
        <w:t>three</w:t>
      </w:r>
      <w:r w:rsidR="009810BE" w:rsidRPr="4DBB3A3B">
        <w:rPr>
          <w:rStyle w:val="normaltextrun"/>
          <w:rFonts w:asciiTheme="majorHAnsi" w:hAnsiTheme="majorHAnsi" w:cstheme="majorBidi"/>
          <w:sz w:val="22"/>
          <w:szCs w:val="22"/>
        </w:rPr>
        <w:t>-year</w:t>
      </w:r>
      <w:r w:rsidRPr="4DBB3A3B">
        <w:rPr>
          <w:rStyle w:val="normaltextrun"/>
          <w:rFonts w:asciiTheme="majorHAnsi" w:hAnsiTheme="majorHAnsi" w:cstheme="majorBidi"/>
          <w:sz w:val="22"/>
          <w:szCs w:val="22"/>
        </w:rPr>
        <w:t xml:space="preserve"> term of approval within which the </w:t>
      </w:r>
      <w:r w:rsidR="007E3BCC" w:rsidRPr="4DBB3A3B">
        <w:rPr>
          <w:rStyle w:val="normaltextrun"/>
          <w:rFonts w:asciiTheme="majorHAnsi" w:hAnsiTheme="majorHAnsi" w:cstheme="majorBidi"/>
          <w:sz w:val="22"/>
          <w:szCs w:val="22"/>
        </w:rPr>
        <w:t>Sponsoring Organization</w:t>
      </w:r>
      <w:r w:rsidRPr="4DBB3A3B">
        <w:rPr>
          <w:rStyle w:val="normaltextrun"/>
          <w:rFonts w:asciiTheme="majorHAnsi" w:hAnsiTheme="majorHAnsi" w:cstheme="majorBidi"/>
          <w:sz w:val="22"/>
          <w:szCs w:val="22"/>
        </w:rPr>
        <w:t xml:space="preserve"> must demonstrate improvement; a low performing designation results in a </w:t>
      </w:r>
      <w:r w:rsidR="00356E33" w:rsidRPr="4DBB3A3B">
        <w:rPr>
          <w:rStyle w:val="normaltextrun"/>
          <w:rFonts w:asciiTheme="majorHAnsi" w:hAnsiTheme="majorHAnsi" w:cstheme="majorBidi"/>
          <w:sz w:val="22"/>
          <w:szCs w:val="22"/>
        </w:rPr>
        <w:t>one-year</w:t>
      </w:r>
      <w:r w:rsidRPr="4DBB3A3B">
        <w:rPr>
          <w:rStyle w:val="normaltextrun"/>
          <w:rFonts w:asciiTheme="majorHAnsi" w:hAnsiTheme="majorHAnsi" w:cstheme="majorBidi"/>
          <w:sz w:val="22"/>
          <w:szCs w:val="22"/>
        </w:rPr>
        <w:t xml:space="preserve"> term of approval. Following such a designation, the </w:t>
      </w:r>
      <w:r w:rsidR="007E3BCC" w:rsidRPr="4DBB3A3B">
        <w:rPr>
          <w:rStyle w:val="normaltextrun"/>
          <w:rFonts w:asciiTheme="majorHAnsi" w:hAnsiTheme="majorHAnsi" w:cstheme="majorBidi"/>
          <w:sz w:val="22"/>
          <w:szCs w:val="22"/>
        </w:rPr>
        <w:t xml:space="preserve">Sponsoring Organization </w:t>
      </w:r>
      <w:r w:rsidRPr="4DBB3A3B">
        <w:rPr>
          <w:rStyle w:val="normaltextrun"/>
          <w:rFonts w:asciiTheme="majorHAnsi" w:hAnsiTheme="majorHAnsi" w:cstheme="majorBidi"/>
          <w:sz w:val="22"/>
          <w:szCs w:val="22"/>
        </w:rPr>
        <w:t xml:space="preserve">shall submit an improvement plan to DESE that addresses the criteria, domain(s), and/or program(s) contributing to the designation of at-risk or low performing within the approval period. The Department will monitor the </w:t>
      </w:r>
      <w:r w:rsidR="007E3BCC" w:rsidRPr="4DBB3A3B">
        <w:rPr>
          <w:rStyle w:val="normaltextrun"/>
          <w:rFonts w:asciiTheme="majorHAnsi" w:hAnsiTheme="majorHAnsi" w:cstheme="majorBidi"/>
          <w:sz w:val="22"/>
          <w:szCs w:val="22"/>
        </w:rPr>
        <w:t>Sponsoring Organization</w:t>
      </w:r>
      <w:r w:rsidRPr="4DBB3A3B">
        <w:rPr>
          <w:rStyle w:val="normaltextrun"/>
          <w:rFonts w:asciiTheme="majorHAnsi" w:hAnsiTheme="majorHAnsi" w:cstheme="majorBidi"/>
          <w:sz w:val="22"/>
          <w:szCs w:val="22"/>
        </w:rPr>
        <w:t>’s progress in meeting the goals of the improvement plan.</w:t>
      </w:r>
      <w:r w:rsidR="008478C2" w:rsidRPr="4DBB3A3B">
        <w:rPr>
          <w:rStyle w:val="normaltextrun"/>
          <w:rFonts w:asciiTheme="majorHAnsi" w:hAnsiTheme="majorHAnsi" w:cstheme="majorBidi"/>
          <w:sz w:val="22"/>
          <w:szCs w:val="22"/>
        </w:rPr>
        <w:t xml:space="preserve"> If, after three years under an at-risk determination, the Sponsoring Organization has not made satisfactory progress, DESE may shift its designation to low</w:t>
      </w:r>
      <w:r w:rsidR="51B296E0" w:rsidRPr="769DFC9F">
        <w:rPr>
          <w:rStyle w:val="normaltextrun"/>
          <w:rFonts w:asciiTheme="majorHAnsi" w:hAnsiTheme="majorHAnsi" w:cstheme="majorBidi"/>
          <w:sz w:val="22"/>
          <w:szCs w:val="22"/>
        </w:rPr>
        <w:t xml:space="preserve"> </w:t>
      </w:r>
      <w:r w:rsidR="008478C2" w:rsidRPr="4DBB3A3B">
        <w:rPr>
          <w:rStyle w:val="normaltextrun"/>
          <w:rFonts w:asciiTheme="majorHAnsi" w:hAnsiTheme="majorHAnsi" w:cstheme="majorBidi"/>
          <w:sz w:val="22"/>
          <w:szCs w:val="22"/>
        </w:rPr>
        <w:t>performing.</w:t>
      </w:r>
      <w:r w:rsidRPr="4DBB3A3B">
        <w:rPr>
          <w:rStyle w:val="normaltextrun"/>
          <w:rFonts w:asciiTheme="majorHAnsi" w:hAnsiTheme="majorHAnsi" w:cstheme="majorBidi"/>
          <w:sz w:val="22"/>
          <w:szCs w:val="22"/>
        </w:rPr>
        <w:t xml:space="preserve"> If, after one year under a low performing designation, the </w:t>
      </w:r>
      <w:r w:rsidR="007E3BCC" w:rsidRPr="4DBB3A3B">
        <w:rPr>
          <w:rStyle w:val="normaltextrun"/>
          <w:rFonts w:asciiTheme="majorHAnsi" w:hAnsiTheme="majorHAnsi" w:cstheme="majorBidi"/>
          <w:sz w:val="22"/>
          <w:szCs w:val="22"/>
        </w:rPr>
        <w:t xml:space="preserve">Sponsoring Organization </w:t>
      </w:r>
      <w:r w:rsidRPr="4DBB3A3B">
        <w:rPr>
          <w:rStyle w:val="normaltextrun"/>
          <w:rFonts w:asciiTheme="majorHAnsi" w:hAnsiTheme="majorHAnsi" w:cstheme="majorBidi"/>
          <w:sz w:val="22"/>
          <w:szCs w:val="22"/>
        </w:rPr>
        <w:t xml:space="preserve">has not made satisfactory progress, its approval may be revoked, in accordance with </w:t>
      </w:r>
      <w:hyperlink r:id="rId56">
        <w:r w:rsidR="2E6080D9" w:rsidRPr="4DBB3A3B">
          <w:rPr>
            <w:rStyle w:val="Hyperlink"/>
            <w:rFonts w:asciiTheme="majorHAnsi" w:hAnsiTheme="majorHAnsi" w:cstheme="majorBidi"/>
            <w:sz w:val="22"/>
            <w:szCs w:val="22"/>
          </w:rPr>
          <w:t>G.L. c. 30A,s. 13</w:t>
        </w:r>
      </w:hyperlink>
      <w:r w:rsidRPr="4DBB3A3B">
        <w:rPr>
          <w:rStyle w:val="normaltextrun"/>
          <w:rFonts w:asciiTheme="majorHAnsi" w:hAnsiTheme="majorHAnsi" w:cstheme="majorBidi"/>
          <w:sz w:val="22"/>
          <w:szCs w:val="22"/>
        </w:rPr>
        <w:t xml:space="preserve">. The burden of improvement rests solely with the </w:t>
      </w:r>
      <w:r w:rsidR="007E3BCC" w:rsidRPr="4DBB3A3B">
        <w:rPr>
          <w:rStyle w:val="normaltextrun"/>
          <w:rFonts w:asciiTheme="majorHAnsi" w:hAnsiTheme="majorHAnsi" w:cstheme="majorBidi"/>
          <w:sz w:val="22"/>
          <w:szCs w:val="22"/>
        </w:rPr>
        <w:t>Sponsoring Organization</w:t>
      </w:r>
      <w:r w:rsidRPr="4DBB3A3B">
        <w:rPr>
          <w:rStyle w:val="normaltextrun"/>
          <w:rFonts w:asciiTheme="majorHAnsi" w:hAnsiTheme="majorHAnsi" w:cstheme="majorBidi"/>
          <w:sz w:val="22"/>
          <w:szCs w:val="22"/>
        </w:rPr>
        <w:t>.</w:t>
      </w:r>
      <w:r w:rsidR="2E6080D9" w:rsidRPr="4DBB3A3B">
        <w:rPr>
          <w:rStyle w:val="normaltextrun"/>
          <w:rFonts w:asciiTheme="majorHAnsi" w:hAnsiTheme="majorHAnsi" w:cstheme="majorBidi"/>
          <w:sz w:val="22"/>
          <w:szCs w:val="22"/>
        </w:rPr>
        <w:t>  </w:t>
      </w:r>
      <w:r w:rsidRPr="4DBB3A3B">
        <w:rPr>
          <w:rStyle w:val="scxw183781499"/>
          <w:rFonts w:asciiTheme="majorHAnsi" w:hAnsiTheme="majorHAnsi" w:cstheme="majorBidi"/>
          <w:sz w:val="22"/>
          <w:szCs w:val="22"/>
        </w:rPr>
        <w:t> </w:t>
      </w:r>
      <w:r>
        <w:br/>
      </w:r>
      <w:r w:rsidRPr="4DBB3A3B">
        <w:rPr>
          <w:rStyle w:val="eop"/>
          <w:rFonts w:asciiTheme="majorHAnsi" w:hAnsiTheme="majorHAnsi" w:cstheme="majorBidi"/>
          <w:sz w:val="22"/>
          <w:szCs w:val="22"/>
        </w:rPr>
        <w:t> </w:t>
      </w:r>
    </w:p>
    <w:p w14:paraId="58494248" w14:textId="237ECCC9" w:rsidR="00746EBB" w:rsidRPr="005D0AA6" w:rsidRDefault="00746EBB" w:rsidP="008478C2">
      <w:pPr>
        <w:pStyle w:val="paragraph"/>
        <w:spacing w:before="0" w:beforeAutospacing="0" w:after="0" w:afterAutospacing="0" w:line="276" w:lineRule="auto"/>
        <w:textAlignment w:val="baseline"/>
        <w:rPr>
          <w:rFonts w:asciiTheme="majorHAnsi" w:hAnsiTheme="majorHAnsi" w:cstheme="majorHAnsi"/>
          <w:sz w:val="22"/>
          <w:szCs w:val="22"/>
        </w:rPr>
      </w:pPr>
      <w:r w:rsidRPr="008478C2">
        <w:rPr>
          <w:rStyle w:val="normaltextrun"/>
          <w:rFonts w:asciiTheme="majorHAnsi" w:hAnsiTheme="majorHAnsi" w:cstheme="majorHAnsi"/>
          <w:sz w:val="22"/>
          <w:szCs w:val="22"/>
        </w:rPr>
        <w:t xml:space="preserve">Any </w:t>
      </w:r>
      <w:r w:rsidR="007E3BCC" w:rsidRPr="008478C2">
        <w:rPr>
          <w:rStyle w:val="normaltextrun"/>
          <w:rFonts w:asciiTheme="majorHAnsi" w:hAnsiTheme="majorHAnsi" w:cstheme="majorHAnsi"/>
          <w:sz w:val="22"/>
          <w:szCs w:val="22"/>
        </w:rPr>
        <w:t>Sponsoring Organization</w:t>
      </w:r>
      <w:r w:rsidRPr="008478C2">
        <w:rPr>
          <w:rStyle w:val="normaltextrun"/>
          <w:rFonts w:asciiTheme="majorHAnsi" w:hAnsiTheme="majorHAnsi" w:cstheme="majorHAnsi"/>
          <w:sz w:val="22"/>
          <w:szCs w:val="22"/>
        </w:rPr>
        <w:t xml:space="preserve"> with a status designation of at-risk or low performing may contest the designation by submitting a rejoinder response within 15 days of notification</w:t>
      </w:r>
      <w:r w:rsidRPr="00090190">
        <w:rPr>
          <w:rStyle w:val="normaltextrun"/>
          <w:rFonts w:asciiTheme="majorHAnsi" w:hAnsiTheme="majorHAnsi" w:cstheme="majorHAnsi"/>
          <w:sz w:val="22"/>
          <w:szCs w:val="22"/>
        </w:rPr>
        <w:t xml:space="preserve"> of the status designation. The rejoinder response must be submitted using the DESE-provided template. DESE will review the rejoinder response, and the Commissioner may modify the status designation solely at their discretion.</w:t>
      </w:r>
      <w:r w:rsidRPr="005D0AA6">
        <w:rPr>
          <w:rStyle w:val="normaltextrun"/>
          <w:rFonts w:asciiTheme="majorHAnsi" w:hAnsiTheme="majorHAnsi" w:cstheme="majorHAnsi"/>
          <w:sz w:val="22"/>
          <w:szCs w:val="22"/>
        </w:rPr>
        <w:t>   </w:t>
      </w:r>
      <w:r w:rsidRPr="005D0AA6">
        <w:rPr>
          <w:rStyle w:val="scxw183781499"/>
          <w:rFonts w:asciiTheme="majorHAnsi" w:hAnsiTheme="majorHAnsi" w:cstheme="majorHAnsi"/>
          <w:sz w:val="22"/>
          <w:szCs w:val="22"/>
        </w:rPr>
        <w:t> </w:t>
      </w:r>
    </w:p>
    <w:p w14:paraId="0D80B11B" w14:textId="77777777" w:rsidR="00746EBB" w:rsidRPr="00E54DB1" w:rsidRDefault="00746EBB" w:rsidP="00E54DB1">
      <w:pPr>
        <w:pStyle w:val="Heading2"/>
      </w:pPr>
      <w:bookmarkStart w:id="116" w:name="_Toc125547347"/>
      <w:bookmarkStart w:id="117" w:name="_Toc125574795"/>
      <w:bookmarkStart w:id="118" w:name="_Toc125575639"/>
      <w:r w:rsidRPr="00E54DB1">
        <w:rPr>
          <w:rStyle w:val="normaltextrun"/>
        </w:rPr>
        <w:t>Communication Concerning a Low Performing Designation with Stakeholders </w:t>
      </w:r>
      <w:bookmarkEnd w:id="116"/>
      <w:bookmarkEnd w:id="117"/>
      <w:bookmarkEnd w:id="118"/>
      <w:r w:rsidRPr="00E54DB1">
        <w:rPr>
          <w:rStyle w:val="eop"/>
        </w:rPr>
        <w:t> </w:t>
      </w:r>
    </w:p>
    <w:p w14:paraId="18DA5736" w14:textId="6B7D4301" w:rsidR="00746EBB" w:rsidRPr="00E54DB1" w:rsidRDefault="00746EBB" w:rsidP="005D0AA6">
      <w:pPr>
        <w:pStyle w:val="paragraph"/>
        <w:spacing w:before="0" w:beforeAutospacing="0" w:after="0" w:afterAutospacing="0" w:line="276" w:lineRule="auto"/>
        <w:textAlignment w:val="baseline"/>
        <w:rPr>
          <w:rFonts w:asciiTheme="majorHAnsi" w:hAnsiTheme="majorHAnsi" w:cstheme="majorHAnsi"/>
          <w:sz w:val="22"/>
          <w:szCs w:val="22"/>
        </w:rPr>
      </w:pPr>
      <w:r w:rsidRPr="00E54DB1">
        <w:rPr>
          <w:rStyle w:val="normaltextrun"/>
          <w:rFonts w:asciiTheme="majorHAnsi" w:hAnsiTheme="majorHAnsi" w:cstheme="majorHAnsi"/>
          <w:sz w:val="22"/>
          <w:szCs w:val="22"/>
        </w:rPr>
        <w:t>Given the heightened stakes around a low performing designation, there are several considerations to be aware of in terms of communicating the designation as well as its potential impact on candidates.  </w:t>
      </w:r>
      <w:r w:rsidRPr="00E54DB1">
        <w:rPr>
          <w:rStyle w:val="eop"/>
          <w:rFonts w:asciiTheme="majorHAnsi" w:hAnsiTheme="majorHAnsi" w:cstheme="majorHAnsi"/>
          <w:sz w:val="22"/>
          <w:szCs w:val="22"/>
        </w:rPr>
        <w:t> </w:t>
      </w:r>
    </w:p>
    <w:p w14:paraId="0B506D4A" w14:textId="77777777" w:rsidR="00746EBB" w:rsidRPr="00C66226" w:rsidRDefault="00746EBB" w:rsidP="00E54DB1">
      <w:pPr>
        <w:pStyle w:val="Heading3"/>
        <w:rPr>
          <w:color w:val="215868" w:themeColor="accent5" w:themeShade="80"/>
        </w:rPr>
      </w:pPr>
      <w:bookmarkStart w:id="119" w:name="_Toc125547348"/>
      <w:bookmarkStart w:id="120" w:name="_Toc125574796"/>
      <w:bookmarkStart w:id="121" w:name="_Toc125575640"/>
      <w:r w:rsidRPr="00C66226">
        <w:rPr>
          <w:color w:val="215868" w:themeColor="accent5" w:themeShade="80"/>
        </w:rPr>
        <w:t>Sponsoring Organization Communication</w:t>
      </w:r>
      <w:r w:rsidRPr="00C66226">
        <w:rPr>
          <w:rStyle w:val="normaltextrun"/>
          <w:rFonts w:ascii="Calibri" w:hAnsi="Calibri"/>
          <w:color w:val="215868" w:themeColor="accent5" w:themeShade="80"/>
          <w:szCs w:val="36"/>
        </w:rPr>
        <w:t> </w:t>
      </w:r>
      <w:bookmarkEnd w:id="119"/>
      <w:bookmarkEnd w:id="120"/>
      <w:bookmarkEnd w:id="121"/>
      <w:r w:rsidRPr="00C66226">
        <w:rPr>
          <w:rStyle w:val="eop"/>
          <w:rFonts w:ascii="Calibri" w:hAnsi="Calibri"/>
          <w:color w:val="215868" w:themeColor="accent5" w:themeShade="80"/>
          <w:szCs w:val="36"/>
        </w:rPr>
        <w:t> </w:t>
      </w:r>
    </w:p>
    <w:p w14:paraId="277D6BFA" w14:textId="0D0AA0B5" w:rsidR="00746EBB" w:rsidRPr="00E54DB1" w:rsidRDefault="00746EBB" w:rsidP="008478C2">
      <w:pPr>
        <w:pStyle w:val="paragraph"/>
        <w:spacing w:before="0" w:beforeAutospacing="0" w:after="0" w:afterAutospacing="0" w:line="276" w:lineRule="auto"/>
        <w:textAlignment w:val="baseline"/>
        <w:rPr>
          <w:rStyle w:val="eop"/>
          <w:rFonts w:asciiTheme="majorHAnsi" w:eastAsia="Arial" w:hAnsiTheme="majorHAnsi" w:cstheme="majorHAnsi"/>
          <w:color w:val="31849B" w:themeColor="accent5" w:themeShade="BF"/>
          <w:sz w:val="22"/>
          <w:szCs w:val="22"/>
        </w:rPr>
      </w:pPr>
      <w:r w:rsidRPr="00E54DB1">
        <w:rPr>
          <w:rStyle w:val="normaltextrun"/>
          <w:rFonts w:asciiTheme="majorHAnsi" w:hAnsiTheme="majorHAnsi" w:cstheme="majorHAnsi"/>
          <w:sz w:val="22"/>
          <w:szCs w:val="22"/>
        </w:rPr>
        <w:t xml:space="preserve">The </w:t>
      </w:r>
      <w:r w:rsidR="007E3BCC" w:rsidRPr="00E54DB1">
        <w:rPr>
          <w:rStyle w:val="normaltextrun"/>
          <w:rFonts w:asciiTheme="majorHAnsi" w:hAnsiTheme="majorHAnsi" w:cstheme="majorHAnsi"/>
          <w:sz w:val="22"/>
          <w:szCs w:val="22"/>
        </w:rPr>
        <w:t>Sponsoring Organization</w:t>
      </w:r>
      <w:r w:rsidR="00AD477F" w:rsidRPr="00E54DB1">
        <w:rPr>
          <w:rStyle w:val="normaltextrun"/>
          <w:rFonts w:asciiTheme="majorHAnsi" w:hAnsiTheme="majorHAnsi" w:cstheme="majorHAnsi"/>
          <w:sz w:val="22"/>
          <w:szCs w:val="22"/>
        </w:rPr>
        <w:t xml:space="preserve"> </w:t>
      </w:r>
      <w:r w:rsidRPr="00E54DB1">
        <w:rPr>
          <w:rStyle w:val="normaltextrun"/>
          <w:rFonts w:asciiTheme="majorHAnsi" w:hAnsiTheme="majorHAnsi" w:cstheme="majorHAnsi"/>
          <w:sz w:val="22"/>
          <w:szCs w:val="22"/>
        </w:rPr>
        <w:t xml:space="preserve">must communicate </w:t>
      </w:r>
      <w:r w:rsidR="00443462">
        <w:rPr>
          <w:rStyle w:val="normaltextrun"/>
          <w:rFonts w:asciiTheme="majorHAnsi" w:hAnsiTheme="majorHAnsi" w:cstheme="majorHAnsi"/>
          <w:sz w:val="22"/>
          <w:szCs w:val="22"/>
        </w:rPr>
        <w:t>a</w:t>
      </w:r>
      <w:r w:rsidR="00443462" w:rsidRPr="00E54DB1">
        <w:rPr>
          <w:rStyle w:val="normaltextrun"/>
          <w:rFonts w:asciiTheme="majorHAnsi" w:hAnsiTheme="majorHAnsi" w:cstheme="majorHAnsi"/>
          <w:sz w:val="22"/>
          <w:szCs w:val="22"/>
        </w:rPr>
        <w:t xml:space="preserve"> </w:t>
      </w:r>
      <w:r w:rsidRPr="00E54DB1">
        <w:rPr>
          <w:rStyle w:val="normaltextrun"/>
          <w:rFonts w:asciiTheme="majorHAnsi" w:hAnsiTheme="majorHAnsi" w:cstheme="majorHAnsi"/>
          <w:sz w:val="22"/>
          <w:szCs w:val="22"/>
        </w:rPr>
        <w:t xml:space="preserve">low performing designation with all stakeholders, including current and prospective candidates. The purpose of these communications is to ensure all stakeholders are informed that the </w:t>
      </w:r>
      <w:r w:rsidR="007E3BCC" w:rsidRPr="00E54DB1">
        <w:rPr>
          <w:rStyle w:val="normaltextrun"/>
          <w:rFonts w:asciiTheme="majorHAnsi" w:hAnsiTheme="majorHAnsi" w:cstheme="majorHAnsi"/>
          <w:sz w:val="22"/>
          <w:szCs w:val="22"/>
        </w:rPr>
        <w:t>Sponsoring Organization</w:t>
      </w:r>
      <w:r w:rsidRPr="00E54DB1">
        <w:rPr>
          <w:rStyle w:val="normaltextrun"/>
          <w:rFonts w:asciiTheme="majorHAnsi" w:hAnsiTheme="majorHAnsi" w:cstheme="majorHAnsi"/>
          <w:sz w:val="22"/>
          <w:szCs w:val="22"/>
        </w:rPr>
        <w:t>’s authority to endorse candidates for licensure beyond the approval date is in jeopardy. Notification must occur within 15 days of the conferred status. This includes: </w:t>
      </w:r>
      <w:r w:rsidRPr="00E54DB1">
        <w:rPr>
          <w:rStyle w:val="eop"/>
          <w:rFonts w:asciiTheme="majorHAnsi" w:hAnsiTheme="majorHAnsi" w:cstheme="majorHAnsi"/>
          <w:sz w:val="22"/>
          <w:szCs w:val="22"/>
        </w:rPr>
        <w:t> </w:t>
      </w:r>
    </w:p>
    <w:p w14:paraId="20C610F5" w14:textId="77777777" w:rsidR="009F7B80" w:rsidRPr="00E54DB1" w:rsidRDefault="009F7B80" w:rsidP="00090190">
      <w:pPr>
        <w:pStyle w:val="paragraph"/>
        <w:spacing w:before="0" w:beforeAutospacing="0" w:after="0" w:afterAutospacing="0" w:line="276" w:lineRule="auto"/>
        <w:textAlignment w:val="baseline"/>
        <w:rPr>
          <w:rFonts w:asciiTheme="majorHAnsi" w:hAnsiTheme="majorHAnsi" w:cstheme="majorHAnsi"/>
          <w:sz w:val="22"/>
          <w:szCs w:val="22"/>
        </w:rPr>
      </w:pPr>
    </w:p>
    <w:p w14:paraId="11A42339" w14:textId="77777777" w:rsidR="00746EBB" w:rsidRPr="00E54DB1" w:rsidRDefault="00746EBB" w:rsidP="00090190">
      <w:pPr>
        <w:pStyle w:val="paragraph"/>
        <w:numPr>
          <w:ilvl w:val="0"/>
          <w:numId w:val="36"/>
        </w:numPr>
        <w:spacing w:before="0" w:beforeAutospacing="0" w:after="0" w:afterAutospacing="0" w:line="276" w:lineRule="auto"/>
        <w:textAlignment w:val="baseline"/>
        <w:rPr>
          <w:rFonts w:asciiTheme="majorHAnsi" w:hAnsiTheme="majorHAnsi" w:cstheme="majorHAnsi"/>
          <w:sz w:val="22"/>
          <w:szCs w:val="22"/>
        </w:rPr>
      </w:pPr>
      <w:r w:rsidRPr="00E54DB1">
        <w:rPr>
          <w:rStyle w:val="normaltextrun"/>
          <w:rFonts w:asciiTheme="majorHAnsi" w:hAnsiTheme="majorHAnsi" w:cstheme="majorHAnsi"/>
          <w:sz w:val="22"/>
          <w:szCs w:val="22"/>
        </w:rPr>
        <w:t>Written documentation to all currently enrolled candidates </w:t>
      </w:r>
      <w:r w:rsidRPr="00E54DB1">
        <w:rPr>
          <w:rStyle w:val="eop"/>
          <w:rFonts w:asciiTheme="majorHAnsi" w:hAnsiTheme="majorHAnsi" w:cstheme="majorHAnsi"/>
          <w:sz w:val="22"/>
          <w:szCs w:val="22"/>
        </w:rPr>
        <w:t> </w:t>
      </w:r>
    </w:p>
    <w:p w14:paraId="60E80D88" w14:textId="77777777" w:rsidR="00746EBB" w:rsidRPr="00E54DB1" w:rsidRDefault="00746EBB" w:rsidP="00090190">
      <w:pPr>
        <w:pStyle w:val="paragraph"/>
        <w:numPr>
          <w:ilvl w:val="0"/>
          <w:numId w:val="36"/>
        </w:numPr>
        <w:spacing w:before="0" w:beforeAutospacing="0" w:after="0" w:afterAutospacing="0" w:line="276" w:lineRule="auto"/>
        <w:textAlignment w:val="baseline"/>
        <w:rPr>
          <w:rFonts w:asciiTheme="majorHAnsi" w:hAnsiTheme="majorHAnsi" w:cstheme="majorHAnsi"/>
          <w:sz w:val="22"/>
          <w:szCs w:val="22"/>
        </w:rPr>
      </w:pPr>
      <w:r w:rsidRPr="00E54DB1">
        <w:rPr>
          <w:rStyle w:val="normaltextrun"/>
          <w:rFonts w:asciiTheme="majorHAnsi" w:hAnsiTheme="majorHAnsi" w:cstheme="majorHAnsi"/>
          <w:sz w:val="22"/>
          <w:szCs w:val="22"/>
        </w:rPr>
        <w:t>Updated website/marketing materials available to prospective candidates </w:t>
      </w:r>
      <w:r w:rsidRPr="00E54DB1">
        <w:rPr>
          <w:rStyle w:val="eop"/>
          <w:rFonts w:asciiTheme="majorHAnsi" w:hAnsiTheme="majorHAnsi" w:cstheme="majorHAnsi"/>
          <w:sz w:val="22"/>
          <w:szCs w:val="22"/>
        </w:rPr>
        <w:t> </w:t>
      </w:r>
    </w:p>
    <w:p w14:paraId="415C13B7" w14:textId="77777777" w:rsidR="00746EBB" w:rsidRPr="00E54DB1" w:rsidRDefault="00746EBB" w:rsidP="00090190">
      <w:pPr>
        <w:pStyle w:val="paragraph"/>
        <w:numPr>
          <w:ilvl w:val="0"/>
          <w:numId w:val="36"/>
        </w:numPr>
        <w:spacing w:before="0" w:beforeAutospacing="0" w:after="0" w:afterAutospacing="0" w:line="276" w:lineRule="auto"/>
        <w:textAlignment w:val="baseline"/>
        <w:rPr>
          <w:rFonts w:asciiTheme="majorHAnsi" w:hAnsiTheme="majorHAnsi" w:cstheme="majorHAnsi"/>
          <w:sz w:val="22"/>
          <w:szCs w:val="22"/>
        </w:rPr>
      </w:pPr>
      <w:r w:rsidRPr="00E54DB1">
        <w:rPr>
          <w:rStyle w:val="normaltextrun"/>
          <w:rFonts w:asciiTheme="majorHAnsi" w:hAnsiTheme="majorHAnsi" w:cstheme="majorHAnsi"/>
          <w:sz w:val="22"/>
          <w:szCs w:val="22"/>
        </w:rPr>
        <w:t>Written documentation to all faculty/instructors and Program Supervisors</w:t>
      </w:r>
      <w:r w:rsidRPr="00E54DB1">
        <w:rPr>
          <w:rStyle w:val="eop"/>
          <w:rFonts w:asciiTheme="majorHAnsi" w:hAnsiTheme="majorHAnsi" w:cstheme="majorHAnsi"/>
          <w:sz w:val="22"/>
          <w:szCs w:val="22"/>
        </w:rPr>
        <w:t> </w:t>
      </w:r>
    </w:p>
    <w:p w14:paraId="046D303F" w14:textId="77777777" w:rsidR="00746EBB" w:rsidRPr="00E54DB1" w:rsidRDefault="00746EBB" w:rsidP="00014585">
      <w:pPr>
        <w:pStyle w:val="paragraph"/>
        <w:numPr>
          <w:ilvl w:val="0"/>
          <w:numId w:val="36"/>
        </w:numPr>
        <w:spacing w:before="0" w:beforeAutospacing="0" w:after="0" w:afterAutospacing="0" w:line="276" w:lineRule="auto"/>
        <w:textAlignment w:val="baseline"/>
        <w:rPr>
          <w:rFonts w:asciiTheme="majorHAnsi" w:hAnsiTheme="majorHAnsi" w:cstheme="majorHAnsi"/>
          <w:sz w:val="22"/>
          <w:szCs w:val="22"/>
        </w:rPr>
      </w:pPr>
      <w:r w:rsidRPr="00E54DB1">
        <w:rPr>
          <w:rStyle w:val="normaltextrun"/>
          <w:rFonts w:asciiTheme="majorHAnsi" w:hAnsiTheme="majorHAnsi" w:cstheme="majorHAnsi"/>
          <w:sz w:val="22"/>
          <w:szCs w:val="22"/>
        </w:rPr>
        <w:t>The term “low performing” must be present in the communication.  </w:t>
      </w:r>
      <w:r w:rsidRPr="00E54DB1">
        <w:rPr>
          <w:rStyle w:val="eop"/>
          <w:rFonts w:asciiTheme="majorHAnsi" w:hAnsiTheme="majorHAnsi" w:cstheme="majorHAnsi"/>
          <w:sz w:val="22"/>
          <w:szCs w:val="22"/>
        </w:rPr>
        <w:t> </w:t>
      </w:r>
    </w:p>
    <w:p w14:paraId="6BE08F6A" w14:textId="56BBAC4F" w:rsidR="00746EBB" w:rsidRPr="00E54DB1" w:rsidRDefault="00746EBB" w:rsidP="00014585">
      <w:pPr>
        <w:pStyle w:val="paragraph"/>
        <w:numPr>
          <w:ilvl w:val="0"/>
          <w:numId w:val="36"/>
        </w:numPr>
        <w:spacing w:before="0" w:beforeAutospacing="0" w:after="0" w:afterAutospacing="0" w:line="276" w:lineRule="auto"/>
        <w:textAlignment w:val="baseline"/>
        <w:rPr>
          <w:rFonts w:asciiTheme="majorHAnsi" w:hAnsiTheme="majorHAnsi" w:cstheme="majorHAnsi"/>
          <w:sz w:val="22"/>
          <w:szCs w:val="22"/>
        </w:rPr>
      </w:pPr>
      <w:r w:rsidRPr="00E54DB1">
        <w:rPr>
          <w:rStyle w:val="normaltextrun"/>
          <w:rFonts w:asciiTheme="majorHAnsi" w:hAnsiTheme="majorHAnsi" w:cstheme="majorHAnsi"/>
          <w:sz w:val="22"/>
          <w:szCs w:val="22"/>
        </w:rPr>
        <w:t xml:space="preserve">The communication must make clear that the </w:t>
      </w:r>
      <w:r w:rsidR="007E3BCC" w:rsidRPr="00E54DB1">
        <w:rPr>
          <w:rStyle w:val="normaltextrun"/>
          <w:rFonts w:asciiTheme="majorHAnsi" w:hAnsiTheme="majorHAnsi" w:cstheme="majorHAnsi"/>
          <w:sz w:val="22"/>
          <w:szCs w:val="22"/>
        </w:rPr>
        <w:t>Sponsoring Organization</w:t>
      </w:r>
      <w:r w:rsidRPr="00E54DB1">
        <w:rPr>
          <w:rStyle w:val="normaltextrun"/>
          <w:rFonts w:asciiTheme="majorHAnsi" w:hAnsiTheme="majorHAnsi" w:cstheme="majorHAnsi"/>
          <w:sz w:val="22"/>
          <w:szCs w:val="22"/>
        </w:rPr>
        <w:t>’s authority to endorse candidates for licensure beyond the current approval date is in jeopardy. </w:t>
      </w:r>
      <w:r w:rsidRPr="00E54DB1">
        <w:rPr>
          <w:rStyle w:val="eop"/>
          <w:rFonts w:asciiTheme="majorHAnsi" w:hAnsiTheme="majorHAnsi" w:cstheme="majorHAnsi"/>
          <w:sz w:val="22"/>
          <w:szCs w:val="22"/>
        </w:rPr>
        <w:t> </w:t>
      </w:r>
    </w:p>
    <w:p w14:paraId="20EACDFF" w14:textId="5AE16ACE" w:rsidR="00746EBB" w:rsidRPr="00E54DB1" w:rsidRDefault="007E3BCC" w:rsidP="00014585">
      <w:pPr>
        <w:pStyle w:val="paragraph"/>
        <w:numPr>
          <w:ilvl w:val="0"/>
          <w:numId w:val="36"/>
        </w:numPr>
        <w:spacing w:before="0" w:beforeAutospacing="0" w:after="0" w:afterAutospacing="0" w:line="276" w:lineRule="auto"/>
        <w:textAlignment w:val="baseline"/>
        <w:rPr>
          <w:rFonts w:asciiTheme="majorHAnsi" w:hAnsiTheme="majorHAnsi" w:cstheme="majorHAnsi"/>
          <w:sz w:val="22"/>
          <w:szCs w:val="22"/>
        </w:rPr>
      </w:pPr>
      <w:r w:rsidRPr="00E54DB1">
        <w:rPr>
          <w:rStyle w:val="normaltextrun"/>
          <w:rFonts w:asciiTheme="majorHAnsi" w:hAnsiTheme="majorHAnsi" w:cstheme="majorHAnsi"/>
          <w:sz w:val="22"/>
          <w:szCs w:val="22"/>
        </w:rPr>
        <w:t>The Sponsoring Organization</w:t>
      </w:r>
      <w:r w:rsidR="00746EBB" w:rsidRPr="00E54DB1">
        <w:rPr>
          <w:rStyle w:val="normaltextrun"/>
          <w:rFonts w:asciiTheme="majorHAnsi" w:hAnsiTheme="majorHAnsi" w:cstheme="majorHAnsi"/>
          <w:sz w:val="22"/>
          <w:szCs w:val="22"/>
        </w:rPr>
        <w:t xml:space="preserve"> should indicate that DESE will engage in ongoing monitoring during the upcoming academic year and that candidates, faculty, and supervisors may be subject to participation in the Department’s efforts to assess progress. </w:t>
      </w:r>
      <w:r w:rsidR="00746EBB" w:rsidRPr="00E54DB1">
        <w:rPr>
          <w:rStyle w:val="eop"/>
          <w:rFonts w:asciiTheme="majorHAnsi" w:hAnsiTheme="majorHAnsi" w:cstheme="majorHAnsi"/>
          <w:sz w:val="22"/>
          <w:szCs w:val="22"/>
        </w:rPr>
        <w:t> </w:t>
      </w:r>
    </w:p>
    <w:p w14:paraId="6AED661B" w14:textId="473FE1F2" w:rsidR="00746EBB" w:rsidRPr="00E54DB1" w:rsidRDefault="007E3BCC" w:rsidP="00014585">
      <w:pPr>
        <w:pStyle w:val="paragraph"/>
        <w:numPr>
          <w:ilvl w:val="0"/>
          <w:numId w:val="36"/>
        </w:numPr>
        <w:spacing w:before="0" w:beforeAutospacing="0" w:after="0" w:afterAutospacing="0" w:line="276" w:lineRule="auto"/>
        <w:textAlignment w:val="baseline"/>
        <w:rPr>
          <w:rStyle w:val="eop"/>
          <w:rFonts w:asciiTheme="majorHAnsi" w:hAnsiTheme="majorHAnsi" w:cstheme="majorHAnsi"/>
          <w:sz w:val="22"/>
          <w:szCs w:val="22"/>
        </w:rPr>
      </w:pPr>
      <w:r w:rsidRPr="00E54DB1">
        <w:rPr>
          <w:rStyle w:val="normaltextrun"/>
          <w:rFonts w:asciiTheme="majorHAnsi" w:hAnsiTheme="majorHAnsi" w:cstheme="majorHAnsi"/>
          <w:sz w:val="22"/>
          <w:szCs w:val="22"/>
        </w:rPr>
        <w:t xml:space="preserve">The Sponsoring Organization </w:t>
      </w:r>
      <w:r w:rsidR="00746EBB" w:rsidRPr="00E54DB1">
        <w:rPr>
          <w:rStyle w:val="normaltextrun"/>
          <w:rFonts w:asciiTheme="majorHAnsi" w:hAnsiTheme="majorHAnsi" w:cstheme="majorHAnsi"/>
          <w:sz w:val="22"/>
          <w:szCs w:val="22"/>
        </w:rPr>
        <w:t xml:space="preserve">should communicate the low performing designation to any other stakeholder or entity potentially affected by the status. For example, </w:t>
      </w:r>
      <w:r w:rsidRPr="00E54DB1">
        <w:rPr>
          <w:rStyle w:val="normaltextrun"/>
          <w:rFonts w:asciiTheme="majorHAnsi" w:hAnsiTheme="majorHAnsi" w:cstheme="majorHAnsi"/>
          <w:sz w:val="22"/>
          <w:szCs w:val="22"/>
        </w:rPr>
        <w:t xml:space="preserve">the Sponsoring </w:t>
      </w:r>
      <w:r w:rsidRPr="00E54DB1">
        <w:rPr>
          <w:rStyle w:val="normaltextrun"/>
          <w:rFonts w:asciiTheme="majorHAnsi" w:hAnsiTheme="majorHAnsi" w:cstheme="majorHAnsi"/>
          <w:sz w:val="22"/>
          <w:szCs w:val="22"/>
        </w:rPr>
        <w:lastRenderedPageBreak/>
        <w:t>Organization</w:t>
      </w:r>
      <w:r w:rsidR="00746EBB" w:rsidRPr="00E54DB1">
        <w:rPr>
          <w:rStyle w:val="normaltextrun"/>
          <w:rFonts w:asciiTheme="majorHAnsi" w:hAnsiTheme="majorHAnsi" w:cstheme="majorHAnsi"/>
          <w:sz w:val="22"/>
          <w:szCs w:val="22"/>
        </w:rPr>
        <w:t xml:space="preserve"> should not </w:t>
      </w:r>
      <w:r w:rsidR="00746EBB" w:rsidRPr="00E54DB1">
        <w:rPr>
          <w:rStyle w:val="advancedproofingissue"/>
          <w:rFonts w:asciiTheme="majorHAnsi" w:hAnsiTheme="majorHAnsi" w:cstheme="majorHAnsi"/>
          <w:sz w:val="22"/>
          <w:szCs w:val="22"/>
        </w:rPr>
        <w:t>enter into</w:t>
      </w:r>
      <w:r w:rsidR="00746EBB" w:rsidRPr="00E54DB1">
        <w:rPr>
          <w:rStyle w:val="normaltextrun"/>
          <w:rFonts w:asciiTheme="majorHAnsi" w:hAnsiTheme="majorHAnsi" w:cstheme="majorHAnsi"/>
          <w:sz w:val="22"/>
          <w:szCs w:val="22"/>
        </w:rPr>
        <w:t xml:space="preserve"> or renew a formal partnership agreement with a school/district without fully disclosing the designation.  </w:t>
      </w:r>
      <w:r w:rsidR="00746EBB" w:rsidRPr="00E54DB1">
        <w:rPr>
          <w:rStyle w:val="eop"/>
          <w:rFonts w:asciiTheme="majorHAnsi" w:hAnsiTheme="majorHAnsi" w:cstheme="majorHAnsi"/>
          <w:sz w:val="22"/>
          <w:szCs w:val="22"/>
        </w:rPr>
        <w:t> </w:t>
      </w:r>
    </w:p>
    <w:p w14:paraId="30731C09" w14:textId="77777777" w:rsidR="00746EBB" w:rsidRPr="00E54DB1" w:rsidRDefault="00746EBB" w:rsidP="00014585">
      <w:pPr>
        <w:pStyle w:val="paragraph"/>
        <w:spacing w:before="0" w:beforeAutospacing="0" w:after="0" w:afterAutospacing="0" w:line="276" w:lineRule="auto"/>
        <w:textAlignment w:val="baseline"/>
        <w:rPr>
          <w:rStyle w:val="eop"/>
          <w:rFonts w:asciiTheme="majorHAnsi" w:hAnsiTheme="majorHAnsi" w:cstheme="majorHAnsi"/>
          <w:sz w:val="22"/>
          <w:szCs w:val="22"/>
        </w:rPr>
      </w:pPr>
    </w:p>
    <w:p w14:paraId="4B07536B" w14:textId="6A5C9A11" w:rsidR="00746EBB" w:rsidRPr="00E54DB1" w:rsidRDefault="00746EBB" w:rsidP="00014585">
      <w:pPr>
        <w:pStyle w:val="paragraph"/>
        <w:spacing w:before="0" w:beforeAutospacing="0" w:after="0" w:afterAutospacing="0" w:line="276" w:lineRule="auto"/>
        <w:textAlignment w:val="baseline"/>
        <w:rPr>
          <w:rFonts w:asciiTheme="majorHAnsi" w:hAnsiTheme="majorHAnsi" w:cstheme="majorBidi"/>
          <w:sz w:val="22"/>
          <w:szCs w:val="22"/>
        </w:rPr>
      </w:pPr>
      <w:r w:rsidRPr="296E20D7">
        <w:rPr>
          <w:rStyle w:val="normaltextrun"/>
          <w:rFonts w:asciiTheme="majorHAnsi" w:hAnsiTheme="majorHAnsi" w:cstheme="majorBidi"/>
          <w:sz w:val="22"/>
          <w:szCs w:val="22"/>
        </w:rPr>
        <w:t xml:space="preserve">The </w:t>
      </w:r>
      <w:r w:rsidR="007E3BCC" w:rsidRPr="296E20D7">
        <w:rPr>
          <w:rStyle w:val="normaltextrun"/>
          <w:rFonts w:asciiTheme="majorHAnsi" w:hAnsiTheme="majorHAnsi" w:cstheme="majorBidi"/>
          <w:sz w:val="22"/>
          <w:szCs w:val="22"/>
        </w:rPr>
        <w:t>Sponsoring Organization</w:t>
      </w:r>
      <w:r w:rsidRPr="296E20D7">
        <w:rPr>
          <w:rStyle w:val="normaltextrun"/>
          <w:rFonts w:asciiTheme="majorHAnsi" w:hAnsiTheme="majorHAnsi" w:cstheme="majorBidi"/>
          <w:sz w:val="22"/>
          <w:szCs w:val="22"/>
        </w:rPr>
        <w:t xml:space="preserve"> must provide DESE with copies of communications sent to stakeholders as well as verification that the website and all other associated informational materials have been updated accordingly.  Evidence of communication should be submitted with or before the Improvement Plan. The </w:t>
      </w:r>
      <w:r w:rsidR="007E3BCC" w:rsidRPr="296E20D7">
        <w:rPr>
          <w:rStyle w:val="normaltextrun"/>
          <w:rFonts w:asciiTheme="majorHAnsi" w:hAnsiTheme="majorHAnsi" w:cstheme="majorBidi"/>
          <w:sz w:val="22"/>
          <w:szCs w:val="22"/>
        </w:rPr>
        <w:t xml:space="preserve">Sponsoring Organization </w:t>
      </w:r>
      <w:r w:rsidRPr="296E20D7">
        <w:rPr>
          <w:rStyle w:val="normaltextrun"/>
          <w:rFonts w:asciiTheme="majorHAnsi" w:hAnsiTheme="majorHAnsi" w:cstheme="majorBidi"/>
          <w:sz w:val="22"/>
          <w:szCs w:val="22"/>
        </w:rPr>
        <w:t>may use language from the approval letter, Final Report, these Guidelines, and/or regulations to communicate the designation status.</w:t>
      </w:r>
    </w:p>
    <w:p w14:paraId="73181B04" w14:textId="77777777" w:rsidR="00746EBB" w:rsidRPr="00E54DB1" w:rsidRDefault="00746EBB" w:rsidP="00014585">
      <w:pPr>
        <w:pStyle w:val="paragraph"/>
        <w:spacing w:before="0" w:beforeAutospacing="0" w:after="0" w:afterAutospacing="0" w:line="276" w:lineRule="auto"/>
        <w:textAlignment w:val="baseline"/>
        <w:rPr>
          <w:rFonts w:asciiTheme="majorHAnsi" w:hAnsiTheme="majorHAnsi" w:cstheme="majorHAnsi"/>
          <w:sz w:val="22"/>
          <w:szCs w:val="22"/>
        </w:rPr>
      </w:pPr>
      <w:r w:rsidRPr="00E54DB1">
        <w:rPr>
          <w:rStyle w:val="normaltextrun"/>
          <w:rFonts w:asciiTheme="majorHAnsi" w:hAnsiTheme="majorHAnsi" w:cstheme="majorHAnsi"/>
          <w:sz w:val="22"/>
          <w:szCs w:val="22"/>
        </w:rPr>
        <w:t> </w:t>
      </w:r>
      <w:r w:rsidRPr="00E54DB1">
        <w:rPr>
          <w:rStyle w:val="eop"/>
          <w:rFonts w:asciiTheme="majorHAnsi" w:hAnsiTheme="majorHAnsi" w:cstheme="majorHAnsi"/>
          <w:sz w:val="22"/>
          <w:szCs w:val="22"/>
        </w:rPr>
        <w:t> </w:t>
      </w:r>
    </w:p>
    <w:p w14:paraId="41331797" w14:textId="033854B3" w:rsidR="00746EBB" w:rsidRPr="00E54DB1" w:rsidRDefault="00746EBB" w:rsidP="00014585">
      <w:pPr>
        <w:pStyle w:val="paragraph"/>
        <w:spacing w:before="0" w:beforeAutospacing="0" w:after="0" w:afterAutospacing="0" w:line="276" w:lineRule="auto"/>
        <w:textAlignment w:val="baseline"/>
        <w:rPr>
          <w:rFonts w:asciiTheme="majorHAnsi" w:hAnsiTheme="majorHAnsi" w:cstheme="majorHAnsi"/>
          <w:sz w:val="22"/>
          <w:szCs w:val="22"/>
        </w:rPr>
      </w:pPr>
      <w:r w:rsidRPr="00E54DB1">
        <w:rPr>
          <w:rStyle w:val="normaltextrun"/>
          <w:rFonts w:asciiTheme="majorHAnsi" w:hAnsiTheme="majorHAnsi" w:cstheme="majorHAnsi"/>
          <w:sz w:val="22"/>
          <w:szCs w:val="22"/>
        </w:rPr>
        <w:t xml:space="preserve">Note: Should a challenge of the low performing designation extend beyond the current date of expiration for programs, the </w:t>
      </w:r>
      <w:r w:rsidR="007E3BCC" w:rsidRPr="00E54DB1">
        <w:rPr>
          <w:rStyle w:val="normaltextrun"/>
          <w:rFonts w:asciiTheme="majorHAnsi" w:hAnsiTheme="majorHAnsi" w:cstheme="majorHAnsi"/>
          <w:sz w:val="22"/>
          <w:szCs w:val="22"/>
        </w:rPr>
        <w:t>Sponsoring Organization</w:t>
      </w:r>
      <w:r w:rsidRPr="00E54DB1">
        <w:rPr>
          <w:rStyle w:val="normaltextrun"/>
          <w:rFonts w:asciiTheme="majorHAnsi" w:hAnsiTheme="majorHAnsi" w:cstheme="majorHAnsi"/>
          <w:sz w:val="22"/>
          <w:szCs w:val="22"/>
        </w:rPr>
        <w:t xml:space="preserve"> must publicly post and communicate with candidates (current and prospective) that approval of programs leading to licensure are pending re-approval by DESE. </w:t>
      </w:r>
      <w:r w:rsidRPr="00E54DB1">
        <w:rPr>
          <w:rStyle w:val="eop"/>
          <w:rFonts w:asciiTheme="majorHAnsi" w:hAnsiTheme="majorHAnsi" w:cstheme="majorHAnsi"/>
          <w:sz w:val="22"/>
          <w:szCs w:val="22"/>
        </w:rPr>
        <w:t> </w:t>
      </w:r>
    </w:p>
    <w:p w14:paraId="601CDAF0" w14:textId="77777777" w:rsidR="00746EBB" w:rsidRPr="00C66226" w:rsidRDefault="00746EBB" w:rsidP="00E54DB1">
      <w:pPr>
        <w:pStyle w:val="Heading3"/>
        <w:rPr>
          <w:color w:val="215868" w:themeColor="accent5" w:themeShade="80"/>
        </w:rPr>
      </w:pPr>
      <w:bookmarkStart w:id="122" w:name="_Toc125547349"/>
      <w:bookmarkStart w:id="123" w:name="_Toc125574797"/>
      <w:bookmarkStart w:id="124" w:name="_Toc125575641"/>
      <w:r w:rsidRPr="00C66226">
        <w:rPr>
          <w:color w:val="215868" w:themeColor="accent5" w:themeShade="80"/>
        </w:rPr>
        <w:t>DESE Communication</w:t>
      </w:r>
      <w:r w:rsidRPr="00C66226">
        <w:rPr>
          <w:rStyle w:val="normaltextrun"/>
          <w:rFonts w:ascii="Calibri" w:hAnsi="Calibri"/>
          <w:color w:val="215868" w:themeColor="accent5" w:themeShade="80"/>
          <w:szCs w:val="36"/>
        </w:rPr>
        <w:t> </w:t>
      </w:r>
      <w:bookmarkEnd w:id="122"/>
      <w:bookmarkEnd w:id="123"/>
      <w:bookmarkEnd w:id="124"/>
      <w:r w:rsidRPr="00C66226">
        <w:rPr>
          <w:rStyle w:val="eop"/>
          <w:rFonts w:asciiTheme="majorHAnsi" w:hAnsiTheme="majorHAnsi" w:cstheme="majorHAnsi"/>
          <w:color w:val="215868" w:themeColor="accent5" w:themeShade="80"/>
          <w:sz w:val="24"/>
          <w:szCs w:val="24"/>
        </w:rPr>
        <w:t> </w:t>
      </w:r>
    </w:p>
    <w:p w14:paraId="4E081648" w14:textId="4455345A" w:rsidR="00746EBB" w:rsidRPr="008478C2" w:rsidRDefault="00746EBB" w:rsidP="008478C2">
      <w:pPr>
        <w:pStyle w:val="paragraph"/>
        <w:spacing w:before="0" w:beforeAutospacing="0" w:after="0" w:afterAutospacing="0" w:line="276" w:lineRule="auto"/>
        <w:textAlignment w:val="baseline"/>
        <w:rPr>
          <w:rFonts w:asciiTheme="majorHAnsi" w:hAnsiTheme="majorHAnsi" w:cstheme="majorHAnsi"/>
          <w:sz w:val="22"/>
          <w:szCs w:val="22"/>
        </w:rPr>
      </w:pPr>
      <w:r w:rsidRPr="008478C2">
        <w:rPr>
          <w:rStyle w:val="normaltextrun"/>
          <w:rFonts w:asciiTheme="majorHAnsi" w:hAnsiTheme="majorHAnsi" w:cstheme="majorHAnsi"/>
          <w:sz w:val="22"/>
          <w:szCs w:val="22"/>
        </w:rPr>
        <w:t xml:space="preserve">DESE will communicate the low performing designation as required by state and federal requirements. </w:t>
      </w:r>
      <w:r w:rsidR="00E80C8D" w:rsidRPr="008478C2">
        <w:rPr>
          <w:rStyle w:val="normaltextrun"/>
          <w:rFonts w:asciiTheme="majorHAnsi" w:hAnsiTheme="majorHAnsi" w:cstheme="majorHAnsi"/>
          <w:sz w:val="22"/>
          <w:szCs w:val="22"/>
        </w:rPr>
        <w:t>I</w:t>
      </w:r>
      <w:r w:rsidRPr="008478C2">
        <w:rPr>
          <w:rStyle w:val="normaltextrun"/>
          <w:rFonts w:asciiTheme="majorHAnsi" w:hAnsiTheme="majorHAnsi" w:cstheme="majorHAnsi"/>
          <w:sz w:val="22"/>
          <w:szCs w:val="22"/>
        </w:rPr>
        <w:t>n DESE’s communication of the designation:  </w:t>
      </w:r>
      <w:r w:rsidRPr="008478C2">
        <w:rPr>
          <w:rStyle w:val="eop"/>
          <w:rFonts w:asciiTheme="majorHAnsi" w:hAnsiTheme="majorHAnsi" w:cstheme="majorHAnsi"/>
          <w:sz w:val="22"/>
          <w:szCs w:val="22"/>
        </w:rPr>
        <w:t> </w:t>
      </w:r>
    </w:p>
    <w:p w14:paraId="274BB3FB" w14:textId="590B0790" w:rsidR="00746EBB" w:rsidRPr="008478C2" w:rsidRDefault="00746EBB" w:rsidP="008478C2">
      <w:pPr>
        <w:pStyle w:val="paragraph"/>
        <w:numPr>
          <w:ilvl w:val="0"/>
          <w:numId w:val="37"/>
        </w:numPr>
        <w:tabs>
          <w:tab w:val="left" w:pos="450"/>
        </w:tabs>
        <w:spacing w:before="0" w:beforeAutospacing="0" w:after="0" w:afterAutospacing="0" w:line="276" w:lineRule="auto"/>
        <w:ind w:left="720" w:hanging="270"/>
        <w:textAlignment w:val="baseline"/>
        <w:rPr>
          <w:rFonts w:asciiTheme="majorHAnsi" w:hAnsiTheme="majorHAnsi" w:cstheme="majorHAnsi"/>
          <w:sz w:val="22"/>
          <w:szCs w:val="22"/>
        </w:rPr>
      </w:pPr>
      <w:r w:rsidRPr="008478C2">
        <w:rPr>
          <w:rStyle w:val="normaltextrun"/>
          <w:rFonts w:asciiTheme="majorHAnsi" w:hAnsiTheme="majorHAnsi" w:cstheme="majorHAnsi"/>
          <w:sz w:val="22"/>
          <w:szCs w:val="22"/>
        </w:rPr>
        <w:t xml:space="preserve">DESE will publicly post the low performing designation on </w:t>
      </w:r>
      <w:hyperlink r:id="rId57" w:tgtFrame="_blank" w:history="1">
        <w:r w:rsidR="009810BE" w:rsidRPr="005D0AA6">
          <w:rPr>
            <w:rStyle w:val="normaltextrun"/>
            <w:rFonts w:asciiTheme="majorHAnsi" w:hAnsiTheme="majorHAnsi" w:cstheme="majorHAnsi"/>
            <w:color w:val="0000FF"/>
            <w:sz w:val="22"/>
            <w:szCs w:val="22"/>
            <w:u w:val="single"/>
          </w:rPr>
          <w:t>a</w:t>
        </w:r>
        <w:r w:rsidRPr="005D0AA6">
          <w:rPr>
            <w:rStyle w:val="normaltextrun"/>
            <w:rFonts w:asciiTheme="majorHAnsi" w:hAnsiTheme="majorHAnsi" w:cstheme="majorHAnsi"/>
            <w:color w:val="0000FF"/>
            <w:sz w:val="22"/>
            <w:szCs w:val="22"/>
            <w:u w:val="single"/>
          </w:rPr>
          <w:t xml:space="preserve"> </w:t>
        </w:r>
        <w:r w:rsidR="007E3BCC" w:rsidRPr="005D0AA6">
          <w:rPr>
            <w:rStyle w:val="normaltextrun"/>
            <w:rFonts w:asciiTheme="majorHAnsi" w:hAnsiTheme="majorHAnsi" w:cstheme="majorHAnsi"/>
            <w:color w:val="0000FF"/>
            <w:sz w:val="22"/>
            <w:szCs w:val="22"/>
            <w:u w:val="single"/>
          </w:rPr>
          <w:t>Sponsoring Organization’s</w:t>
        </w:r>
        <w:r w:rsidRPr="005D0AA6">
          <w:rPr>
            <w:rStyle w:val="normaltextrun"/>
            <w:rFonts w:asciiTheme="majorHAnsi" w:hAnsiTheme="majorHAnsi" w:cstheme="majorHAnsi"/>
            <w:color w:val="0000FF"/>
            <w:sz w:val="22"/>
            <w:szCs w:val="22"/>
            <w:u w:val="single"/>
          </w:rPr>
          <w:t xml:space="preserve"> public profile</w:t>
        </w:r>
      </w:hyperlink>
      <w:r w:rsidRPr="008478C2">
        <w:rPr>
          <w:rStyle w:val="normaltextrun"/>
          <w:rFonts w:asciiTheme="majorHAnsi" w:hAnsiTheme="majorHAnsi" w:cstheme="majorHAnsi"/>
          <w:sz w:val="22"/>
          <w:szCs w:val="22"/>
        </w:rPr>
        <w:t xml:space="preserve"> three days after notifying the </w:t>
      </w:r>
      <w:r w:rsidR="007E3BCC" w:rsidRPr="008478C2">
        <w:rPr>
          <w:rStyle w:val="normaltextrun"/>
          <w:rFonts w:asciiTheme="majorHAnsi" w:hAnsiTheme="majorHAnsi" w:cstheme="majorHAnsi"/>
          <w:sz w:val="22"/>
          <w:szCs w:val="22"/>
        </w:rPr>
        <w:t xml:space="preserve">Sponsoring Organization </w:t>
      </w:r>
      <w:r w:rsidRPr="008478C2">
        <w:rPr>
          <w:rStyle w:val="normaltextrun"/>
          <w:rFonts w:asciiTheme="majorHAnsi" w:hAnsiTheme="majorHAnsi" w:cstheme="majorHAnsi"/>
          <w:sz w:val="22"/>
          <w:szCs w:val="22"/>
        </w:rPr>
        <w:t>of the status.  </w:t>
      </w:r>
      <w:r w:rsidRPr="008478C2">
        <w:rPr>
          <w:rStyle w:val="eop"/>
          <w:rFonts w:asciiTheme="majorHAnsi" w:hAnsiTheme="majorHAnsi" w:cstheme="majorHAnsi"/>
          <w:sz w:val="22"/>
          <w:szCs w:val="22"/>
        </w:rPr>
        <w:t> </w:t>
      </w:r>
    </w:p>
    <w:p w14:paraId="1E446646" w14:textId="0055F213" w:rsidR="00746EBB" w:rsidRPr="00014585" w:rsidRDefault="00746EBB" w:rsidP="00090190">
      <w:pPr>
        <w:pStyle w:val="paragraph"/>
        <w:numPr>
          <w:ilvl w:val="0"/>
          <w:numId w:val="37"/>
        </w:numPr>
        <w:tabs>
          <w:tab w:val="left" w:pos="450"/>
        </w:tabs>
        <w:spacing w:before="0" w:beforeAutospacing="0" w:after="0" w:afterAutospacing="0" w:line="276" w:lineRule="auto"/>
        <w:ind w:left="720" w:hanging="270"/>
        <w:textAlignment w:val="baseline"/>
        <w:rPr>
          <w:rFonts w:asciiTheme="majorHAnsi" w:hAnsiTheme="majorHAnsi" w:cstheme="majorHAnsi"/>
          <w:sz w:val="22"/>
          <w:szCs w:val="22"/>
        </w:rPr>
      </w:pPr>
      <w:r w:rsidRPr="00090190">
        <w:rPr>
          <w:rStyle w:val="normaltextrun"/>
          <w:rFonts w:asciiTheme="majorHAnsi" w:hAnsiTheme="majorHAnsi" w:cstheme="majorHAnsi"/>
          <w:sz w:val="22"/>
          <w:szCs w:val="22"/>
        </w:rPr>
        <w:t xml:space="preserve">DESE does not publicly post the </w:t>
      </w:r>
      <w:r w:rsidR="007E3BCC" w:rsidRPr="00090190">
        <w:rPr>
          <w:rStyle w:val="normaltextrun"/>
          <w:rFonts w:asciiTheme="majorHAnsi" w:hAnsiTheme="majorHAnsi" w:cstheme="majorHAnsi"/>
          <w:sz w:val="22"/>
          <w:szCs w:val="22"/>
        </w:rPr>
        <w:t>f</w:t>
      </w:r>
      <w:r w:rsidRPr="00090190">
        <w:rPr>
          <w:rStyle w:val="normaltextrun"/>
          <w:rFonts w:asciiTheme="majorHAnsi" w:hAnsiTheme="majorHAnsi" w:cstheme="majorHAnsi"/>
          <w:sz w:val="22"/>
          <w:szCs w:val="22"/>
        </w:rPr>
        <w:t xml:space="preserve">ormal </w:t>
      </w:r>
      <w:r w:rsidR="007E3BCC" w:rsidRPr="00090190">
        <w:rPr>
          <w:rStyle w:val="normaltextrun"/>
          <w:rFonts w:asciiTheme="majorHAnsi" w:hAnsiTheme="majorHAnsi" w:cstheme="majorHAnsi"/>
          <w:sz w:val="22"/>
          <w:szCs w:val="22"/>
        </w:rPr>
        <w:t>r</w:t>
      </w:r>
      <w:r w:rsidRPr="00014585">
        <w:rPr>
          <w:rStyle w:val="normaltextrun"/>
          <w:rFonts w:asciiTheme="majorHAnsi" w:hAnsiTheme="majorHAnsi" w:cstheme="majorHAnsi"/>
          <w:sz w:val="22"/>
          <w:szCs w:val="22"/>
        </w:rPr>
        <w:t>eview R</w:t>
      </w:r>
      <w:r w:rsidR="007E3BCC" w:rsidRPr="00014585">
        <w:rPr>
          <w:rStyle w:val="normaltextrun"/>
          <w:rFonts w:asciiTheme="majorHAnsi" w:hAnsiTheme="majorHAnsi" w:cstheme="majorHAnsi"/>
          <w:sz w:val="22"/>
          <w:szCs w:val="22"/>
        </w:rPr>
        <w:t>e</w:t>
      </w:r>
      <w:r w:rsidRPr="00014585">
        <w:rPr>
          <w:rStyle w:val="normaltextrun"/>
          <w:rFonts w:asciiTheme="majorHAnsi" w:hAnsiTheme="majorHAnsi" w:cstheme="majorHAnsi"/>
          <w:sz w:val="22"/>
          <w:szCs w:val="22"/>
        </w:rPr>
        <w:t xml:space="preserve">port provided to the SO; it is, however, considered a public document and is subject to release in accordance with the Public Records Law to interested parties upon request. DESE will notify the </w:t>
      </w:r>
      <w:r w:rsidR="007E3BCC" w:rsidRPr="00014585">
        <w:rPr>
          <w:rStyle w:val="normaltextrun"/>
          <w:rFonts w:asciiTheme="majorHAnsi" w:hAnsiTheme="majorHAnsi" w:cstheme="majorHAnsi"/>
          <w:sz w:val="22"/>
          <w:szCs w:val="22"/>
        </w:rPr>
        <w:t>Sponsoring Organization</w:t>
      </w:r>
      <w:r w:rsidRPr="00014585">
        <w:rPr>
          <w:rStyle w:val="normaltextrun"/>
          <w:rFonts w:asciiTheme="majorHAnsi" w:hAnsiTheme="majorHAnsi" w:cstheme="majorHAnsi"/>
          <w:sz w:val="22"/>
          <w:szCs w:val="22"/>
        </w:rPr>
        <w:t xml:space="preserve"> if such requests are made.  </w:t>
      </w:r>
      <w:r w:rsidRPr="00014585">
        <w:rPr>
          <w:rStyle w:val="eop"/>
          <w:rFonts w:asciiTheme="majorHAnsi" w:hAnsiTheme="majorHAnsi" w:cstheme="majorHAnsi"/>
          <w:sz w:val="22"/>
          <w:szCs w:val="22"/>
        </w:rPr>
        <w:t> </w:t>
      </w:r>
    </w:p>
    <w:p w14:paraId="411446D9" w14:textId="77777777" w:rsidR="00746EBB" w:rsidRPr="001F3F72" w:rsidRDefault="00746EBB" w:rsidP="00090190">
      <w:pPr>
        <w:pStyle w:val="paragraph"/>
        <w:numPr>
          <w:ilvl w:val="0"/>
          <w:numId w:val="37"/>
        </w:numPr>
        <w:tabs>
          <w:tab w:val="left" w:pos="450"/>
        </w:tabs>
        <w:spacing w:before="0" w:beforeAutospacing="0" w:after="0" w:afterAutospacing="0" w:line="276" w:lineRule="auto"/>
        <w:ind w:left="720" w:hanging="270"/>
        <w:textAlignment w:val="baseline"/>
        <w:rPr>
          <w:rFonts w:asciiTheme="majorHAnsi" w:hAnsiTheme="majorHAnsi" w:cstheme="majorHAnsi"/>
          <w:sz w:val="22"/>
          <w:szCs w:val="22"/>
        </w:rPr>
      </w:pPr>
      <w:r w:rsidRPr="00AC72D4">
        <w:rPr>
          <w:rStyle w:val="normaltextrun"/>
          <w:rFonts w:asciiTheme="majorHAnsi" w:hAnsiTheme="majorHAnsi" w:cstheme="majorHAnsi"/>
          <w:sz w:val="22"/>
          <w:szCs w:val="22"/>
        </w:rPr>
        <w:t>DESE wi</w:t>
      </w:r>
      <w:r w:rsidRPr="00DD08F3">
        <w:rPr>
          <w:rStyle w:val="normaltextrun"/>
          <w:rFonts w:asciiTheme="majorHAnsi" w:hAnsiTheme="majorHAnsi" w:cstheme="majorHAnsi"/>
          <w:sz w:val="22"/>
          <w:szCs w:val="22"/>
        </w:rPr>
        <w:t>ll share the designation and accompanying documents with the Board of Elementary and Second</w:t>
      </w:r>
      <w:r w:rsidRPr="001F3F72">
        <w:rPr>
          <w:rStyle w:val="normaltextrun"/>
          <w:rFonts w:asciiTheme="majorHAnsi" w:hAnsiTheme="majorHAnsi" w:cstheme="majorHAnsi"/>
          <w:sz w:val="22"/>
          <w:szCs w:val="22"/>
        </w:rPr>
        <w:t>ary Education, colleagues in the Department of Higher Education, and the Executive Office of Education, as deemed appropriate.  </w:t>
      </w:r>
      <w:r w:rsidRPr="001F3F72">
        <w:rPr>
          <w:rStyle w:val="eop"/>
          <w:rFonts w:asciiTheme="majorHAnsi" w:hAnsiTheme="majorHAnsi" w:cstheme="majorHAnsi"/>
          <w:sz w:val="22"/>
          <w:szCs w:val="22"/>
        </w:rPr>
        <w:t> </w:t>
      </w:r>
    </w:p>
    <w:p w14:paraId="41EECE3F" w14:textId="77777777" w:rsidR="00746EBB" w:rsidRPr="00367C89" w:rsidRDefault="00746EBB" w:rsidP="00090190">
      <w:pPr>
        <w:pStyle w:val="paragraph"/>
        <w:numPr>
          <w:ilvl w:val="0"/>
          <w:numId w:val="37"/>
        </w:numPr>
        <w:tabs>
          <w:tab w:val="left" w:pos="450"/>
        </w:tabs>
        <w:spacing w:before="0" w:beforeAutospacing="0" w:after="0" w:afterAutospacing="0" w:line="276" w:lineRule="auto"/>
        <w:ind w:left="720" w:hanging="270"/>
        <w:textAlignment w:val="baseline"/>
        <w:rPr>
          <w:rFonts w:asciiTheme="majorHAnsi" w:hAnsiTheme="majorHAnsi" w:cstheme="majorHAnsi"/>
          <w:sz w:val="22"/>
          <w:szCs w:val="22"/>
        </w:rPr>
      </w:pPr>
      <w:r w:rsidRPr="001F3F72">
        <w:rPr>
          <w:rStyle w:val="normaltextrun"/>
          <w:rFonts w:asciiTheme="majorHAnsi" w:hAnsiTheme="majorHAnsi" w:cstheme="majorHAnsi"/>
          <w:sz w:val="22"/>
          <w:szCs w:val="22"/>
        </w:rPr>
        <w:t>The designation will be shared, alo</w:t>
      </w:r>
      <w:r w:rsidRPr="00284DC3">
        <w:rPr>
          <w:rStyle w:val="normaltextrun"/>
          <w:rFonts w:asciiTheme="majorHAnsi" w:hAnsiTheme="majorHAnsi" w:cstheme="majorHAnsi"/>
          <w:sz w:val="22"/>
          <w:szCs w:val="22"/>
        </w:rPr>
        <w:t>ng with the outcomes of other Formal Reviews, in the annual Formal Review Summary report.  </w:t>
      </w:r>
      <w:r w:rsidRPr="00284DC3">
        <w:rPr>
          <w:rStyle w:val="eop"/>
          <w:rFonts w:asciiTheme="majorHAnsi" w:hAnsiTheme="majorHAnsi" w:cstheme="majorHAnsi"/>
          <w:sz w:val="22"/>
          <w:szCs w:val="22"/>
        </w:rPr>
        <w:t> </w:t>
      </w:r>
    </w:p>
    <w:p w14:paraId="016B1172" w14:textId="13C62E19" w:rsidR="00746EBB" w:rsidRPr="00367C89" w:rsidRDefault="00746EBB" w:rsidP="00090190">
      <w:pPr>
        <w:pStyle w:val="paragraph"/>
        <w:numPr>
          <w:ilvl w:val="0"/>
          <w:numId w:val="37"/>
        </w:numPr>
        <w:tabs>
          <w:tab w:val="left" w:pos="450"/>
        </w:tabs>
        <w:spacing w:before="0" w:beforeAutospacing="0" w:after="0" w:afterAutospacing="0" w:line="276" w:lineRule="auto"/>
        <w:ind w:left="720" w:hanging="270"/>
        <w:textAlignment w:val="baseline"/>
        <w:rPr>
          <w:rFonts w:asciiTheme="majorHAnsi" w:hAnsiTheme="majorHAnsi" w:cstheme="majorHAnsi"/>
          <w:sz w:val="22"/>
          <w:szCs w:val="22"/>
        </w:rPr>
      </w:pPr>
      <w:r w:rsidRPr="00367C89">
        <w:rPr>
          <w:rStyle w:val="normaltextrun"/>
          <w:rFonts w:asciiTheme="majorHAnsi" w:hAnsiTheme="majorHAnsi" w:cstheme="majorHAnsi"/>
          <w:sz w:val="22"/>
          <w:szCs w:val="22"/>
        </w:rPr>
        <w:t xml:space="preserve">DESE reserves the right, as deemed necessary, to communicate directly with </w:t>
      </w:r>
      <w:r w:rsidR="00C6465B" w:rsidRPr="00367C89">
        <w:rPr>
          <w:rStyle w:val="normaltextrun"/>
          <w:rFonts w:asciiTheme="majorHAnsi" w:hAnsiTheme="majorHAnsi" w:cstheme="majorHAnsi"/>
          <w:sz w:val="22"/>
          <w:szCs w:val="22"/>
        </w:rPr>
        <w:t>schools/</w:t>
      </w:r>
      <w:r w:rsidRPr="00367C89">
        <w:rPr>
          <w:rStyle w:val="normaltextrun"/>
          <w:rFonts w:asciiTheme="majorHAnsi" w:hAnsiTheme="majorHAnsi" w:cstheme="majorHAnsi"/>
          <w:sz w:val="22"/>
          <w:szCs w:val="22"/>
        </w:rPr>
        <w:t>districts significantly impacted by the provider’s low performing designation.  </w:t>
      </w:r>
      <w:r w:rsidRPr="00367C89">
        <w:rPr>
          <w:rStyle w:val="eop"/>
          <w:rFonts w:asciiTheme="majorHAnsi" w:hAnsiTheme="majorHAnsi" w:cstheme="majorHAnsi"/>
          <w:sz w:val="22"/>
          <w:szCs w:val="22"/>
        </w:rPr>
        <w:t> </w:t>
      </w:r>
    </w:p>
    <w:p w14:paraId="0388EBA1" w14:textId="77777777" w:rsidR="00746EBB" w:rsidRPr="008478C2" w:rsidRDefault="00746EBB" w:rsidP="00014585">
      <w:pPr>
        <w:pStyle w:val="paragraph"/>
        <w:numPr>
          <w:ilvl w:val="0"/>
          <w:numId w:val="37"/>
        </w:numPr>
        <w:tabs>
          <w:tab w:val="left" w:pos="450"/>
        </w:tabs>
        <w:spacing w:before="0" w:beforeAutospacing="0" w:after="0" w:afterAutospacing="0" w:line="276" w:lineRule="auto"/>
        <w:ind w:left="720" w:hanging="270"/>
        <w:textAlignment w:val="baseline"/>
        <w:rPr>
          <w:rFonts w:asciiTheme="majorHAnsi" w:hAnsiTheme="majorHAnsi" w:cstheme="majorHAnsi"/>
          <w:sz w:val="22"/>
          <w:szCs w:val="22"/>
        </w:rPr>
      </w:pPr>
      <w:r w:rsidRPr="00367C89">
        <w:rPr>
          <w:rStyle w:val="normaltextrun"/>
          <w:rFonts w:asciiTheme="majorHAnsi" w:hAnsiTheme="majorHAnsi" w:cstheme="majorHAnsi"/>
          <w:sz w:val="22"/>
          <w:szCs w:val="22"/>
        </w:rPr>
        <w:t>As required under Title II of the Higher Education Act, DESE will report the low performing designation in the state’s annual report due October 30</w:t>
      </w:r>
      <w:r w:rsidRPr="00367C89">
        <w:rPr>
          <w:rStyle w:val="normaltextrun"/>
          <w:rFonts w:asciiTheme="majorHAnsi" w:hAnsiTheme="majorHAnsi" w:cstheme="majorHAnsi"/>
          <w:sz w:val="22"/>
          <w:szCs w:val="22"/>
          <w:vertAlign w:val="superscript"/>
        </w:rPr>
        <w:t>th</w:t>
      </w:r>
      <w:r w:rsidRPr="00367C89">
        <w:rPr>
          <w:rStyle w:val="normaltextrun"/>
          <w:rFonts w:asciiTheme="majorHAnsi" w:hAnsiTheme="majorHAnsi" w:cstheme="majorHAnsi"/>
          <w:sz w:val="22"/>
          <w:szCs w:val="22"/>
        </w:rPr>
        <w:t xml:space="preserve"> of each year. State reports typically post to the federal Title II website: </w:t>
      </w:r>
      <w:hyperlink r:id="rId58" w:tgtFrame="_blank" w:history="1">
        <w:r w:rsidRPr="005D0AA6">
          <w:rPr>
            <w:rStyle w:val="normaltextrun"/>
            <w:rFonts w:asciiTheme="majorHAnsi" w:hAnsiTheme="majorHAnsi" w:cstheme="majorHAnsi"/>
            <w:color w:val="0000FF"/>
            <w:sz w:val="22"/>
            <w:szCs w:val="22"/>
            <w:u w:val="single"/>
          </w:rPr>
          <w:t>https://title2.ed.gov/Public/Home.aspx</w:t>
        </w:r>
      </w:hyperlink>
      <w:r w:rsidRPr="008478C2">
        <w:rPr>
          <w:rStyle w:val="normaltextrun"/>
          <w:rFonts w:asciiTheme="majorHAnsi" w:hAnsiTheme="majorHAnsi" w:cstheme="majorHAnsi"/>
          <w:sz w:val="22"/>
          <w:szCs w:val="22"/>
        </w:rPr>
        <w:t xml:space="preserve"> around December.  </w:t>
      </w:r>
      <w:r w:rsidRPr="008478C2">
        <w:rPr>
          <w:rStyle w:val="eop"/>
          <w:rFonts w:asciiTheme="majorHAnsi" w:hAnsiTheme="majorHAnsi" w:cstheme="majorHAnsi"/>
          <w:sz w:val="22"/>
          <w:szCs w:val="22"/>
        </w:rPr>
        <w:t> </w:t>
      </w:r>
    </w:p>
    <w:p w14:paraId="1F54515E" w14:textId="766314F7" w:rsidR="00746EBB" w:rsidRPr="00E54DB1" w:rsidRDefault="00746EBB" w:rsidP="00014585">
      <w:pPr>
        <w:pStyle w:val="paragraph"/>
        <w:numPr>
          <w:ilvl w:val="0"/>
          <w:numId w:val="37"/>
        </w:numPr>
        <w:tabs>
          <w:tab w:val="left" w:pos="450"/>
        </w:tabs>
        <w:spacing w:before="0" w:beforeAutospacing="0" w:after="0" w:afterAutospacing="0" w:line="276" w:lineRule="auto"/>
        <w:ind w:left="720" w:hanging="270"/>
        <w:textAlignment w:val="baseline"/>
        <w:rPr>
          <w:rFonts w:asciiTheme="majorHAnsi" w:hAnsiTheme="majorHAnsi" w:cstheme="majorHAnsi"/>
          <w:sz w:val="22"/>
          <w:szCs w:val="22"/>
        </w:rPr>
      </w:pPr>
      <w:r w:rsidRPr="008478C2">
        <w:rPr>
          <w:rStyle w:val="normaltextrun"/>
          <w:rFonts w:asciiTheme="majorHAnsi" w:hAnsiTheme="majorHAnsi" w:cstheme="majorHAnsi"/>
          <w:sz w:val="22"/>
          <w:szCs w:val="22"/>
        </w:rPr>
        <w:t>If contacted by individual candidates, prospective candidates, faculty, or partners of the SO, DESE will use language from the appro</w:t>
      </w:r>
      <w:r w:rsidRPr="00090190">
        <w:rPr>
          <w:rStyle w:val="normaltextrun"/>
          <w:rFonts w:asciiTheme="majorHAnsi" w:hAnsiTheme="majorHAnsi" w:cstheme="majorHAnsi"/>
          <w:sz w:val="22"/>
          <w:szCs w:val="22"/>
        </w:rPr>
        <w:t>val letter, these Guidelines, and/or regulations in order to communicate the designation status</w:t>
      </w:r>
      <w:r w:rsidRPr="00E54DB1">
        <w:rPr>
          <w:rStyle w:val="normaltextrun"/>
          <w:rFonts w:asciiTheme="majorHAnsi" w:hAnsiTheme="majorHAnsi" w:cstheme="majorHAnsi"/>
          <w:sz w:val="22"/>
          <w:szCs w:val="22"/>
        </w:rPr>
        <w:t>.  </w:t>
      </w:r>
      <w:r w:rsidRPr="00E54DB1">
        <w:rPr>
          <w:rStyle w:val="eop"/>
          <w:rFonts w:asciiTheme="majorHAnsi" w:hAnsiTheme="majorHAnsi" w:cstheme="majorHAnsi"/>
          <w:sz w:val="22"/>
          <w:szCs w:val="22"/>
        </w:rPr>
        <w:t> </w:t>
      </w:r>
    </w:p>
    <w:p w14:paraId="00C24B75" w14:textId="28A4549F" w:rsidR="00746EBB" w:rsidRPr="00E54DB1" w:rsidRDefault="00746EBB" w:rsidP="00E54DB1">
      <w:pPr>
        <w:pStyle w:val="Heading2"/>
      </w:pPr>
      <w:bookmarkStart w:id="125" w:name="_Toc125547350"/>
      <w:bookmarkStart w:id="126" w:name="_Toc125574798"/>
      <w:bookmarkStart w:id="127" w:name="_Toc125575642"/>
      <w:r w:rsidRPr="00E54DB1">
        <w:rPr>
          <w:rStyle w:val="normaltextrun"/>
        </w:rPr>
        <w:lastRenderedPageBreak/>
        <w:t>Impact on Current &amp; Future Candidates</w:t>
      </w:r>
      <w:bookmarkEnd w:id="125"/>
      <w:bookmarkEnd w:id="126"/>
      <w:bookmarkEnd w:id="127"/>
    </w:p>
    <w:p w14:paraId="38D585D8" w14:textId="40E396B9" w:rsidR="00746EBB" w:rsidRPr="00E54DB1" w:rsidRDefault="00504052" w:rsidP="008478C2">
      <w:pPr>
        <w:pStyle w:val="paragraph"/>
        <w:spacing w:before="0" w:beforeAutospacing="0" w:after="0" w:afterAutospacing="0" w:line="276" w:lineRule="auto"/>
        <w:textAlignment w:val="baseline"/>
        <w:rPr>
          <w:rFonts w:asciiTheme="majorHAnsi" w:hAnsiTheme="majorHAnsi" w:cstheme="majorHAnsi"/>
          <w:sz w:val="22"/>
          <w:szCs w:val="22"/>
        </w:rPr>
      </w:pPr>
      <w:r>
        <w:rPr>
          <w:rStyle w:val="normaltextrun"/>
          <w:rFonts w:asciiTheme="majorHAnsi" w:hAnsiTheme="majorHAnsi" w:cstheme="majorHAnsi"/>
          <w:sz w:val="22"/>
          <w:szCs w:val="22"/>
        </w:rPr>
        <w:t>A</w:t>
      </w:r>
      <w:r w:rsidR="00746EBB" w:rsidRPr="00E54DB1">
        <w:rPr>
          <w:rStyle w:val="normaltextrun"/>
          <w:rFonts w:asciiTheme="majorHAnsi" w:hAnsiTheme="majorHAnsi" w:cstheme="majorHAnsi"/>
          <w:sz w:val="22"/>
          <w:szCs w:val="22"/>
        </w:rPr>
        <w:t xml:space="preserve"> low performing designation indicates that there are serious concerns about the quality of preparation being provided to candidates within an organization. Providers with deficiencies that warrant the low performing designation threaten to undermine the quality of instruction and leadership in </w:t>
      </w:r>
      <w:r w:rsidR="008E1DF1">
        <w:rPr>
          <w:rStyle w:val="normaltextrun"/>
          <w:rFonts w:asciiTheme="majorHAnsi" w:hAnsiTheme="majorHAnsi" w:cstheme="majorHAnsi"/>
          <w:sz w:val="22"/>
          <w:szCs w:val="22"/>
        </w:rPr>
        <w:t>Massachusetts</w:t>
      </w:r>
      <w:r w:rsidR="008E1DF1" w:rsidRPr="00E54DB1">
        <w:rPr>
          <w:rStyle w:val="normaltextrun"/>
          <w:rFonts w:asciiTheme="majorHAnsi" w:hAnsiTheme="majorHAnsi" w:cstheme="majorHAnsi"/>
          <w:sz w:val="22"/>
          <w:szCs w:val="22"/>
        </w:rPr>
        <w:t xml:space="preserve"> </w:t>
      </w:r>
      <w:r w:rsidR="00746EBB" w:rsidRPr="00E54DB1">
        <w:rPr>
          <w:rStyle w:val="normaltextrun"/>
          <w:rFonts w:asciiTheme="majorHAnsi" w:hAnsiTheme="majorHAnsi" w:cstheme="majorHAnsi"/>
          <w:sz w:val="22"/>
          <w:szCs w:val="22"/>
        </w:rPr>
        <w:t xml:space="preserve">schools and therefore put student learning at risk. It is because of this that </w:t>
      </w:r>
      <w:r w:rsidR="008E1DF1">
        <w:rPr>
          <w:rStyle w:val="normaltextrun"/>
          <w:rFonts w:asciiTheme="majorHAnsi" w:hAnsiTheme="majorHAnsi" w:cstheme="majorHAnsi"/>
          <w:sz w:val="22"/>
          <w:szCs w:val="22"/>
        </w:rPr>
        <w:t>DESE</w:t>
      </w:r>
      <w:r w:rsidR="00746EBB" w:rsidRPr="00E54DB1">
        <w:rPr>
          <w:rStyle w:val="normaltextrun"/>
          <w:rFonts w:asciiTheme="majorHAnsi" w:hAnsiTheme="majorHAnsi" w:cstheme="majorHAnsi"/>
          <w:sz w:val="22"/>
          <w:szCs w:val="22"/>
        </w:rPr>
        <w:t xml:space="preserve"> require</w:t>
      </w:r>
      <w:r w:rsidR="008E1DF1">
        <w:rPr>
          <w:rStyle w:val="normaltextrun"/>
          <w:rFonts w:asciiTheme="majorHAnsi" w:hAnsiTheme="majorHAnsi" w:cstheme="majorHAnsi"/>
          <w:sz w:val="22"/>
          <w:szCs w:val="22"/>
        </w:rPr>
        <w:t>s</w:t>
      </w:r>
      <w:r w:rsidR="00746EBB" w:rsidRPr="00E54DB1">
        <w:rPr>
          <w:rStyle w:val="normaltextrun"/>
          <w:rFonts w:asciiTheme="majorHAnsi" w:hAnsiTheme="majorHAnsi" w:cstheme="majorHAnsi"/>
          <w:sz w:val="22"/>
          <w:szCs w:val="22"/>
        </w:rPr>
        <w:t xml:space="preserve"> deliberate and swift action to be taken in cases where the low performing designation is conferred.  </w:t>
      </w:r>
      <w:r w:rsidR="00746EBB" w:rsidRPr="00E54DB1">
        <w:rPr>
          <w:rStyle w:val="scxw183781499"/>
          <w:rFonts w:asciiTheme="majorHAnsi" w:hAnsiTheme="majorHAnsi" w:cstheme="majorHAnsi"/>
          <w:sz w:val="22"/>
          <w:szCs w:val="22"/>
        </w:rPr>
        <w:t> </w:t>
      </w:r>
      <w:r w:rsidR="00746EBB" w:rsidRPr="00E54DB1">
        <w:rPr>
          <w:rFonts w:asciiTheme="majorHAnsi" w:hAnsiTheme="majorHAnsi" w:cstheme="majorHAnsi"/>
          <w:sz w:val="22"/>
          <w:szCs w:val="22"/>
        </w:rPr>
        <w:br/>
      </w:r>
      <w:r w:rsidR="00746EBB" w:rsidRPr="00E54DB1">
        <w:rPr>
          <w:rStyle w:val="eop"/>
          <w:rFonts w:asciiTheme="majorHAnsi" w:hAnsiTheme="majorHAnsi" w:cstheme="majorHAnsi"/>
          <w:sz w:val="22"/>
          <w:szCs w:val="22"/>
        </w:rPr>
        <w:t> </w:t>
      </w:r>
    </w:p>
    <w:p w14:paraId="727C8E1A" w14:textId="5A22BDCE" w:rsidR="00746EBB" w:rsidRPr="00E54DB1" w:rsidRDefault="00746EBB" w:rsidP="00090190">
      <w:pPr>
        <w:pStyle w:val="paragraph"/>
        <w:spacing w:before="0" w:beforeAutospacing="0" w:after="0" w:afterAutospacing="0" w:line="276" w:lineRule="auto"/>
        <w:textAlignment w:val="baseline"/>
        <w:rPr>
          <w:rFonts w:asciiTheme="majorHAnsi" w:hAnsiTheme="majorHAnsi" w:cstheme="majorHAnsi"/>
          <w:sz w:val="22"/>
          <w:szCs w:val="22"/>
        </w:rPr>
      </w:pPr>
      <w:r w:rsidRPr="00E54DB1">
        <w:rPr>
          <w:rStyle w:val="normaltextrun"/>
          <w:rFonts w:asciiTheme="majorHAnsi" w:hAnsiTheme="majorHAnsi" w:cstheme="majorHAnsi"/>
          <w:sz w:val="22"/>
          <w:szCs w:val="22"/>
        </w:rPr>
        <w:t xml:space="preserve">It is important to note that a </w:t>
      </w:r>
      <w:r w:rsidR="007E3BCC" w:rsidRPr="00E54DB1">
        <w:rPr>
          <w:rStyle w:val="normaltextrun"/>
          <w:rFonts w:asciiTheme="majorHAnsi" w:hAnsiTheme="majorHAnsi" w:cstheme="majorHAnsi"/>
          <w:sz w:val="22"/>
          <w:szCs w:val="22"/>
        </w:rPr>
        <w:t>Sponsoring Organization’s</w:t>
      </w:r>
      <w:r w:rsidRPr="00E54DB1">
        <w:rPr>
          <w:rStyle w:val="normaltextrun"/>
          <w:rFonts w:asciiTheme="majorHAnsi" w:hAnsiTheme="majorHAnsi" w:cstheme="majorHAnsi"/>
          <w:sz w:val="22"/>
          <w:szCs w:val="22"/>
        </w:rPr>
        <w:t xml:space="preserve"> low performing status is a reflection on the quality of preparation provided by the organization, not necessarily the skills and abilities of individual educators enrolled in or previously endorsed through the program.  </w:t>
      </w:r>
      <w:r w:rsidRPr="00E54DB1">
        <w:rPr>
          <w:rStyle w:val="scxw183781499"/>
          <w:rFonts w:asciiTheme="majorHAnsi" w:hAnsiTheme="majorHAnsi" w:cstheme="majorHAnsi"/>
          <w:sz w:val="22"/>
          <w:szCs w:val="22"/>
        </w:rPr>
        <w:t> </w:t>
      </w:r>
      <w:r w:rsidRPr="00E54DB1">
        <w:rPr>
          <w:rFonts w:asciiTheme="majorHAnsi" w:hAnsiTheme="majorHAnsi" w:cstheme="majorHAnsi"/>
          <w:sz w:val="22"/>
          <w:szCs w:val="22"/>
        </w:rPr>
        <w:br/>
      </w:r>
      <w:r w:rsidRPr="00E54DB1">
        <w:rPr>
          <w:rStyle w:val="eop"/>
          <w:rFonts w:asciiTheme="majorHAnsi" w:hAnsiTheme="majorHAnsi" w:cstheme="majorHAnsi"/>
          <w:sz w:val="22"/>
          <w:szCs w:val="22"/>
        </w:rPr>
        <w:t> </w:t>
      </w:r>
    </w:p>
    <w:p w14:paraId="2F64708F" w14:textId="583993F8" w:rsidR="00746EBB" w:rsidRPr="00E54DB1" w:rsidRDefault="00746EBB" w:rsidP="00090190">
      <w:pPr>
        <w:pStyle w:val="paragraph"/>
        <w:spacing w:before="0" w:beforeAutospacing="0" w:after="0" w:afterAutospacing="0" w:line="276" w:lineRule="auto"/>
        <w:textAlignment w:val="baseline"/>
        <w:rPr>
          <w:rFonts w:asciiTheme="majorHAnsi" w:hAnsiTheme="majorHAnsi" w:cstheme="majorHAnsi"/>
          <w:sz w:val="22"/>
          <w:szCs w:val="22"/>
        </w:rPr>
      </w:pPr>
      <w:r w:rsidRPr="00E54DB1">
        <w:rPr>
          <w:rStyle w:val="normaltextrun"/>
          <w:rFonts w:asciiTheme="majorHAnsi" w:hAnsiTheme="majorHAnsi" w:cstheme="majorHAnsi"/>
          <w:sz w:val="22"/>
          <w:szCs w:val="22"/>
        </w:rPr>
        <w:t xml:space="preserve">Ultimately, DESE hopes the most significant impact of the low performing designation on current or future candidates will be the dramatically improved quality of preparation provided by the </w:t>
      </w:r>
      <w:r w:rsidR="00C91DEE" w:rsidRPr="00E54DB1">
        <w:rPr>
          <w:rStyle w:val="normaltextrun"/>
          <w:rFonts w:asciiTheme="majorHAnsi" w:hAnsiTheme="majorHAnsi" w:cstheme="majorHAnsi"/>
          <w:sz w:val="22"/>
          <w:szCs w:val="22"/>
        </w:rPr>
        <w:t>Sponsoring Organization</w:t>
      </w:r>
      <w:r w:rsidRPr="00E54DB1">
        <w:rPr>
          <w:rStyle w:val="normaltextrun"/>
          <w:rFonts w:asciiTheme="majorHAnsi" w:hAnsiTheme="majorHAnsi" w:cstheme="majorHAnsi"/>
          <w:sz w:val="22"/>
          <w:szCs w:val="22"/>
        </w:rPr>
        <w:t>.  </w:t>
      </w:r>
      <w:r w:rsidRPr="00E54DB1">
        <w:rPr>
          <w:rStyle w:val="scxw183781499"/>
          <w:rFonts w:asciiTheme="majorHAnsi" w:hAnsiTheme="majorHAnsi" w:cstheme="majorHAnsi"/>
          <w:sz w:val="22"/>
          <w:szCs w:val="22"/>
        </w:rPr>
        <w:t> </w:t>
      </w:r>
      <w:r w:rsidRPr="00E54DB1">
        <w:rPr>
          <w:rFonts w:asciiTheme="majorHAnsi" w:hAnsiTheme="majorHAnsi" w:cstheme="majorHAnsi"/>
          <w:sz w:val="22"/>
          <w:szCs w:val="22"/>
        </w:rPr>
        <w:br/>
      </w:r>
      <w:r w:rsidRPr="00E54DB1">
        <w:rPr>
          <w:rStyle w:val="eop"/>
          <w:rFonts w:asciiTheme="majorHAnsi" w:hAnsiTheme="majorHAnsi" w:cstheme="majorHAnsi"/>
          <w:sz w:val="22"/>
          <w:szCs w:val="22"/>
        </w:rPr>
        <w:t> </w:t>
      </w:r>
    </w:p>
    <w:p w14:paraId="4B651F13" w14:textId="24C12CCD" w:rsidR="00510357" w:rsidRPr="00E54DB1" w:rsidRDefault="00C91DEE" w:rsidP="00090190">
      <w:pPr>
        <w:pStyle w:val="paragraph"/>
        <w:spacing w:before="0" w:beforeAutospacing="0" w:after="0" w:afterAutospacing="0" w:line="276" w:lineRule="auto"/>
        <w:textAlignment w:val="baseline"/>
        <w:rPr>
          <w:rStyle w:val="normaltextrun"/>
          <w:rFonts w:asciiTheme="majorHAnsi" w:hAnsiTheme="majorHAnsi" w:cstheme="majorBidi"/>
          <w:sz w:val="22"/>
          <w:szCs w:val="22"/>
        </w:rPr>
      </w:pPr>
      <w:r w:rsidRPr="5E5DEAB0">
        <w:rPr>
          <w:rStyle w:val="normaltextrun"/>
          <w:rFonts w:asciiTheme="majorHAnsi" w:hAnsiTheme="majorHAnsi" w:cstheme="majorBidi"/>
          <w:sz w:val="22"/>
          <w:szCs w:val="22"/>
        </w:rPr>
        <w:t>A</w:t>
      </w:r>
      <w:r w:rsidR="00746EBB" w:rsidRPr="5E5DEAB0">
        <w:rPr>
          <w:rStyle w:val="normaltextrun"/>
          <w:rFonts w:asciiTheme="majorHAnsi" w:hAnsiTheme="majorHAnsi" w:cstheme="majorBidi"/>
          <w:sz w:val="22"/>
          <w:szCs w:val="22"/>
        </w:rPr>
        <w:t xml:space="preserve"> low performing designation may not interfere with a provider’s ability to enroll or endorse candidates for licensure programs. Additionally, there are no current state or federal regulatory implications for the funding or certification of candidates enrolled in the program. Under the federal Higher Education Ac</w:t>
      </w:r>
      <w:r w:rsidR="00847E65">
        <w:rPr>
          <w:rStyle w:val="normaltextrun"/>
          <w:rFonts w:asciiTheme="majorHAnsi" w:hAnsiTheme="majorHAnsi" w:cstheme="majorBidi"/>
          <w:sz w:val="22"/>
          <w:szCs w:val="22"/>
        </w:rPr>
        <w:t>t</w:t>
      </w:r>
      <w:r w:rsidR="00746EBB" w:rsidRPr="5E5DEAB0">
        <w:rPr>
          <w:rStyle w:val="normaltextrun"/>
          <w:rFonts w:asciiTheme="majorHAnsi" w:hAnsiTheme="majorHAnsi" w:cstheme="majorBidi"/>
          <w:sz w:val="22"/>
          <w:szCs w:val="22"/>
        </w:rPr>
        <w:t xml:space="preserve">, Section 207 and 208, funding eligibility for </w:t>
      </w:r>
      <w:r w:rsidR="009810BE" w:rsidRPr="5E5DEAB0">
        <w:rPr>
          <w:rStyle w:val="normaltextrun"/>
          <w:rFonts w:asciiTheme="majorHAnsi" w:hAnsiTheme="majorHAnsi" w:cstheme="majorBidi"/>
          <w:sz w:val="22"/>
          <w:szCs w:val="22"/>
        </w:rPr>
        <w:t>a</w:t>
      </w:r>
      <w:r w:rsidR="00746EBB" w:rsidRPr="5E5DEAB0">
        <w:rPr>
          <w:rStyle w:val="normaltextrun"/>
          <w:rFonts w:asciiTheme="majorHAnsi" w:hAnsiTheme="majorHAnsi" w:cstheme="majorBidi"/>
          <w:sz w:val="22"/>
          <w:szCs w:val="22"/>
        </w:rPr>
        <w:t xml:space="preserve"> </w:t>
      </w:r>
      <w:r w:rsidR="007E3BCC" w:rsidRPr="5E5DEAB0">
        <w:rPr>
          <w:rStyle w:val="normaltextrun"/>
          <w:rFonts w:asciiTheme="majorHAnsi" w:hAnsiTheme="majorHAnsi" w:cstheme="majorBidi"/>
          <w:sz w:val="22"/>
          <w:szCs w:val="22"/>
        </w:rPr>
        <w:t>Sponsoring Organization</w:t>
      </w:r>
      <w:r w:rsidR="00746EBB" w:rsidRPr="5E5DEAB0">
        <w:rPr>
          <w:rStyle w:val="normaltextrun"/>
          <w:rFonts w:asciiTheme="majorHAnsi" w:hAnsiTheme="majorHAnsi" w:cstheme="majorBidi"/>
          <w:sz w:val="22"/>
          <w:szCs w:val="22"/>
        </w:rPr>
        <w:t xml:space="preserve"> is only impacted if the state revokes approval:</w:t>
      </w:r>
      <w:r w:rsidR="2B51E18A" w:rsidRPr="5E5DEAB0">
        <w:rPr>
          <w:rStyle w:val="normaltextrun"/>
          <w:rFonts w:asciiTheme="majorHAnsi" w:hAnsiTheme="majorHAnsi" w:cstheme="majorBidi"/>
          <w:sz w:val="22"/>
          <w:szCs w:val="22"/>
        </w:rPr>
        <w:t> </w:t>
      </w:r>
    </w:p>
    <w:p w14:paraId="3B3EF431" w14:textId="4CC20C77" w:rsidR="00746EBB" w:rsidRPr="00E54DB1" w:rsidRDefault="00746EBB" w:rsidP="00090190">
      <w:pPr>
        <w:pStyle w:val="paragraph"/>
        <w:spacing w:before="0" w:beforeAutospacing="0" w:after="0" w:afterAutospacing="0" w:line="276" w:lineRule="auto"/>
        <w:textAlignment w:val="baseline"/>
        <w:rPr>
          <w:rFonts w:asciiTheme="majorHAnsi" w:hAnsiTheme="majorHAnsi" w:cstheme="majorHAnsi"/>
          <w:sz w:val="22"/>
          <w:szCs w:val="22"/>
        </w:rPr>
      </w:pPr>
      <w:r w:rsidRPr="00E54DB1">
        <w:rPr>
          <w:rStyle w:val="normaltextrun"/>
          <w:rFonts w:asciiTheme="majorHAnsi" w:hAnsiTheme="majorHAnsi" w:cstheme="majorHAnsi"/>
          <w:sz w:val="22"/>
          <w:szCs w:val="22"/>
        </w:rPr>
        <w:t>  </w:t>
      </w:r>
      <w:r w:rsidRPr="00E54DB1">
        <w:rPr>
          <w:rStyle w:val="eop"/>
          <w:rFonts w:asciiTheme="majorHAnsi" w:hAnsiTheme="majorHAnsi" w:cstheme="majorHAnsi"/>
          <w:sz w:val="22"/>
          <w:szCs w:val="22"/>
        </w:rPr>
        <w:t> </w:t>
      </w:r>
    </w:p>
    <w:p w14:paraId="792AD842" w14:textId="77777777" w:rsidR="00746EBB" w:rsidRPr="00E54DB1" w:rsidRDefault="00746EBB" w:rsidP="5E5DEAB0">
      <w:pPr>
        <w:pStyle w:val="paragraph"/>
        <w:shd w:val="clear" w:color="auto" w:fill="FFFFFF" w:themeFill="background1"/>
        <w:spacing w:before="0" w:beforeAutospacing="0" w:after="0" w:afterAutospacing="0" w:line="276" w:lineRule="auto"/>
        <w:ind w:left="720"/>
        <w:textAlignment w:val="baseline"/>
        <w:rPr>
          <w:rFonts w:asciiTheme="majorHAnsi" w:hAnsiTheme="majorHAnsi" w:cstheme="majorBidi"/>
          <w:sz w:val="22"/>
          <w:szCs w:val="22"/>
        </w:rPr>
      </w:pPr>
      <w:r w:rsidRPr="5E5DEAB0">
        <w:rPr>
          <w:rStyle w:val="normaltextrun"/>
          <w:rFonts w:asciiTheme="majorHAnsi" w:hAnsiTheme="majorHAnsi" w:cstheme="majorBidi"/>
          <w:color w:val="030A13"/>
          <w:sz w:val="22"/>
          <w:szCs w:val="22"/>
        </w:rPr>
        <w:t>(b) TERMINATION OF ELIGIBILITY – Any institution of higher education that offers a program of teacher preparation in which the State has withdrawn the State’s approval or terminated the State’s financial support due to the low performance of the institution’s teacher preparation program based upon the State assessment described in subsection (a)—</w:t>
      </w:r>
      <w:r w:rsidR="2B51E18A" w:rsidRPr="5E5DEAB0">
        <w:rPr>
          <w:rStyle w:val="normaltextrun"/>
          <w:rFonts w:asciiTheme="majorHAnsi" w:hAnsiTheme="majorHAnsi" w:cstheme="majorBidi"/>
          <w:color w:val="030A13"/>
          <w:sz w:val="22"/>
          <w:szCs w:val="22"/>
        </w:rPr>
        <w:t> </w:t>
      </w:r>
      <w:r w:rsidRPr="5E5DEAB0">
        <w:rPr>
          <w:rStyle w:val="eop"/>
          <w:rFonts w:asciiTheme="majorHAnsi" w:hAnsiTheme="majorHAnsi" w:cstheme="majorBidi"/>
          <w:color w:val="030A13"/>
          <w:sz w:val="22"/>
          <w:szCs w:val="22"/>
        </w:rPr>
        <w:t> </w:t>
      </w:r>
    </w:p>
    <w:p w14:paraId="7BB761B8" w14:textId="77777777" w:rsidR="00746EBB" w:rsidRPr="00E54DB1" w:rsidRDefault="00746EBB" w:rsidP="00014585">
      <w:pPr>
        <w:pStyle w:val="paragraph"/>
        <w:shd w:val="clear" w:color="auto" w:fill="FFFFFF"/>
        <w:spacing w:before="0" w:beforeAutospacing="0" w:after="0" w:afterAutospacing="0" w:line="276" w:lineRule="auto"/>
        <w:ind w:left="1440"/>
        <w:textAlignment w:val="baseline"/>
        <w:rPr>
          <w:rFonts w:asciiTheme="majorHAnsi" w:hAnsiTheme="majorHAnsi" w:cstheme="majorHAnsi"/>
          <w:sz w:val="22"/>
          <w:szCs w:val="22"/>
        </w:rPr>
      </w:pPr>
      <w:r w:rsidRPr="00E54DB1">
        <w:rPr>
          <w:rStyle w:val="normaltextrun"/>
          <w:rFonts w:asciiTheme="majorHAnsi" w:hAnsiTheme="majorHAnsi" w:cstheme="majorHAnsi"/>
          <w:color w:val="030A13"/>
          <w:sz w:val="22"/>
          <w:szCs w:val="22"/>
        </w:rPr>
        <w:t>(1) shall be ineligible for any funding for professional development activities awarded by the Department of Education; and </w:t>
      </w:r>
      <w:r w:rsidRPr="00E54DB1">
        <w:rPr>
          <w:rStyle w:val="eop"/>
          <w:rFonts w:asciiTheme="majorHAnsi" w:hAnsiTheme="majorHAnsi" w:cstheme="majorHAnsi"/>
          <w:color w:val="030A13"/>
          <w:sz w:val="22"/>
          <w:szCs w:val="22"/>
        </w:rPr>
        <w:t> </w:t>
      </w:r>
    </w:p>
    <w:p w14:paraId="452CD8E3" w14:textId="77777777" w:rsidR="00746EBB" w:rsidRPr="00E54DB1" w:rsidRDefault="00746EBB" w:rsidP="00014585">
      <w:pPr>
        <w:pStyle w:val="paragraph"/>
        <w:shd w:val="clear" w:color="auto" w:fill="FFFFFF"/>
        <w:spacing w:before="0" w:beforeAutospacing="0" w:after="0" w:afterAutospacing="0" w:line="276" w:lineRule="auto"/>
        <w:ind w:left="1440"/>
        <w:textAlignment w:val="baseline"/>
        <w:rPr>
          <w:rFonts w:asciiTheme="majorHAnsi" w:hAnsiTheme="majorHAnsi" w:cstheme="majorHAnsi"/>
          <w:sz w:val="22"/>
          <w:szCs w:val="22"/>
        </w:rPr>
      </w:pPr>
      <w:r w:rsidRPr="00E54DB1">
        <w:rPr>
          <w:rStyle w:val="normaltextrun"/>
          <w:rFonts w:asciiTheme="majorHAnsi" w:hAnsiTheme="majorHAnsi" w:cstheme="majorHAnsi"/>
          <w:color w:val="030A13"/>
          <w:sz w:val="22"/>
          <w:szCs w:val="22"/>
        </w:rPr>
        <w:t>(2) shall not be permitted to accept or enroll any student that receives aid under title IV of this Act in the institution’s teacher preparation program.</w:t>
      </w:r>
      <w:r w:rsidRPr="00E54DB1">
        <w:rPr>
          <w:rStyle w:val="normaltextrun"/>
          <w:rFonts w:asciiTheme="majorHAnsi" w:hAnsiTheme="majorHAnsi" w:cstheme="majorHAnsi"/>
          <w:color w:val="030A13"/>
          <w:sz w:val="22"/>
          <w:szCs w:val="22"/>
          <w:vertAlign w:val="superscript"/>
        </w:rPr>
        <w:t xml:space="preserve"> 3</w:t>
      </w:r>
      <w:r w:rsidRPr="00E54DB1">
        <w:rPr>
          <w:rStyle w:val="normaltextrun"/>
          <w:rFonts w:asciiTheme="majorHAnsi" w:hAnsiTheme="majorHAnsi" w:cstheme="majorHAnsi"/>
          <w:color w:val="030A13"/>
          <w:sz w:val="22"/>
          <w:szCs w:val="22"/>
        </w:rPr>
        <w:t> </w:t>
      </w:r>
      <w:r w:rsidRPr="00E54DB1">
        <w:rPr>
          <w:rStyle w:val="eop"/>
          <w:rFonts w:asciiTheme="majorHAnsi" w:hAnsiTheme="majorHAnsi" w:cstheme="majorHAnsi"/>
          <w:color w:val="030A13"/>
          <w:sz w:val="22"/>
          <w:szCs w:val="22"/>
        </w:rPr>
        <w:t> </w:t>
      </w:r>
    </w:p>
    <w:p w14:paraId="64895ED8" w14:textId="77777777" w:rsidR="00746EBB" w:rsidRPr="00E54DB1" w:rsidRDefault="00746EBB" w:rsidP="00014585">
      <w:pPr>
        <w:pStyle w:val="paragraph"/>
        <w:shd w:val="clear" w:color="auto" w:fill="FFFFFF"/>
        <w:spacing w:before="0" w:beforeAutospacing="0" w:after="0" w:afterAutospacing="0" w:line="276" w:lineRule="auto"/>
        <w:ind w:left="1440"/>
        <w:textAlignment w:val="baseline"/>
        <w:rPr>
          <w:rFonts w:asciiTheme="majorHAnsi" w:hAnsiTheme="majorHAnsi" w:cstheme="majorHAnsi"/>
          <w:sz w:val="22"/>
          <w:szCs w:val="22"/>
        </w:rPr>
      </w:pPr>
      <w:r w:rsidRPr="00E54DB1">
        <w:rPr>
          <w:rStyle w:val="normaltextrun"/>
          <w:rFonts w:asciiTheme="majorHAnsi" w:hAnsiTheme="majorHAnsi" w:cstheme="majorHAnsi"/>
          <w:color w:val="030A13"/>
          <w:sz w:val="22"/>
          <w:szCs w:val="22"/>
        </w:rPr>
        <w:t> </w:t>
      </w:r>
      <w:r w:rsidRPr="00E54DB1">
        <w:rPr>
          <w:rStyle w:val="eop"/>
          <w:rFonts w:asciiTheme="majorHAnsi" w:hAnsiTheme="majorHAnsi" w:cstheme="majorHAnsi"/>
          <w:color w:val="030A13"/>
          <w:sz w:val="22"/>
          <w:szCs w:val="22"/>
        </w:rPr>
        <w:t> </w:t>
      </w:r>
    </w:p>
    <w:p w14:paraId="05087145" w14:textId="7A5FA921" w:rsidR="00746EBB" w:rsidRPr="00E54DB1" w:rsidRDefault="00746EBB" w:rsidP="5E5DEAB0">
      <w:pPr>
        <w:pStyle w:val="paragraph"/>
        <w:shd w:val="clear" w:color="auto" w:fill="FFFFFF" w:themeFill="background1"/>
        <w:spacing w:before="0" w:beforeAutospacing="0" w:after="0" w:afterAutospacing="0" w:line="276" w:lineRule="auto"/>
        <w:textAlignment w:val="baseline"/>
        <w:rPr>
          <w:rStyle w:val="eop"/>
          <w:rFonts w:asciiTheme="majorHAnsi" w:hAnsiTheme="majorHAnsi" w:cstheme="majorBidi"/>
          <w:sz w:val="22"/>
          <w:szCs w:val="22"/>
        </w:rPr>
      </w:pPr>
      <w:r w:rsidRPr="5E5DEAB0">
        <w:rPr>
          <w:rStyle w:val="advancedproofingissue"/>
          <w:rFonts w:asciiTheme="majorHAnsi" w:hAnsiTheme="majorHAnsi" w:cstheme="majorBidi"/>
          <w:sz w:val="22"/>
          <w:szCs w:val="22"/>
        </w:rPr>
        <w:t>In the event that</w:t>
      </w:r>
      <w:r w:rsidRPr="5E5DEAB0">
        <w:rPr>
          <w:rStyle w:val="normaltextrun"/>
          <w:rFonts w:asciiTheme="majorHAnsi" w:hAnsiTheme="majorHAnsi" w:cstheme="majorBidi"/>
          <w:sz w:val="22"/>
          <w:szCs w:val="22"/>
        </w:rPr>
        <w:t xml:space="preserve"> </w:t>
      </w:r>
      <w:r w:rsidR="009810BE" w:rsidRPr="5E5DEAB0">
        <w:rPr>
          <w:rStyle w:val="normaltextrun"/>
          <w:rFonts w:asciiTheme="majorHAnsi" w:hAnsiTheme="majorHAnsi" w:cstheme="majorBidi"/>
          <w:sz w:val="22"/>
          <w:szCs w:val="22"/>
        </w:rPr>
        <w:t>a</w:t>
      </w:r>
      <w:r w:rsidRPr="5E5DEAB0">
        <w:rPr>
          <w:rStyle w:val="normaltextrun"/>
          <w:rFonts w:asciiTheme="majorHAnsi" w:hAnsiTheme="majorHAnsi" w:cstheme="majorBidi"/>
          <w:sz w:val="22"/>
          <w:szCs w:val="22"/>
        </w:rPr>
        <w:t xml:space="preserve"> </w:t>
      </w:r>
      <w:r w:rsidR="007E3BCC" w:rsidRPr="5E5DEAB0">
        <w:rPr>
          <w:rStyle w:val="normaltextrun"/>
          <w:rFonts w:asciiTheme="majorHAnsi" w:hAnsiTheme="majorHAnsi" w:cstheme="majorBidi"/>
          <w:sz w:val="22"/>
          <w:szCs w:val="22"/>
        </w:rPr>
        <w:t>Sponsoring Organization’s</w:t>
      </w:r>
      <w:r w:rsidRPr="5E5DEAB0">
        <w:rPr>
          <w:rStyle w:val="normaltextrun"/>
          <w:rFonts w:asciiTheme="majorHAnsi" w:hAnsiTheme="majorHAnsi" w:cstheme="majorBidi"/>
          <w:color w:val="030A13"/>
          <w:sz w:val="22"/>
          <w:szCs w:val="22"/>
        </w:rPr>
        <w:t xml:space="preserve"> appr</w:t>
      </w:r>
      <w:r w:rsidRPr="5E5DEAB0">
        <w:rPr>
          <w:rStyle w:val="normaltextrun"/>
          <w:rFonts w:asciiTheme="majorHAnsi" w:hAnsiTheme="majorHAnsi" w:cstheme="majorBidi"/>
          <w:sz w:val="22"/>
          <w:szCs w:val="22"/>
        </w:rPr>
        <w:t>oval is ultimately revoked, DESE w</w:t>
      </w:r>
      <w:r w:rsidRPr="5E5DEAB0">
        <w:rPr>
          <w:rStyle w:val="normaltextrun"/>
          <w:rFonts w:asciiTheme="majorHAnsi" w:hAnsiTheme="majorHAnsi" w:cstheme="majorBidi"/>
          <w:color w:val="030A13"/>
          <w:sz w:val="22"/>
          <w:szCs w:val="22"/>
        </w:rPr>
        <w:t xml:space="preserve">ill work with the </w:t>
      </w:r>
      <w:r w:rsidR="007E3BCC" w:rsidRPr="5E5DEAB0">
        <w:rPr>
          <w:rStyle w:val="normaltextrun"/>
          <w:rFonts w:asciiTheme="majorHAnsi" w:hAnsiTheme="majorHAnsi" w:cstheme="majorBidi"/>
          <w:sz w:val="22"/>
          <w:szCs w:val="22"/>
        </w:rPr>
        <w:t>Sponsoring Organization</w:t>
      </w:r>
      <w:r w:rsidRPr="5E5DEAB0">
        <w:rPr>
          <w:rStyle w:val="normaltextrun"/>
          <w:rFonts w:asciiTheme="majorHAnsi" w:hAnsiTheme="majorHAnsi" w:cstheme="majorBidi"/>
          <w:color w:val="030A13"/>
          <w:sz w:val="22"/>
          <w:szCs w:val="22"/>
        </w:rPr>
        <w:t xml:space="preserve"> on closure procedures that, to the extent possible, hold candidates harmless. In previous situations, where concerns about the quality of preparation were minimal or the quantity of affected candidates small, DESE has afforded providers the opportunity to “teach</w:t>
      </w:r>
      <w:r w:rsidR="5F7E1BEA" w:rsidRPr="5E5DEAB0">
        <w:rPr>
          <w:rStyle w:val="normaltextrun"/>
          <w:rFonts w:asciiTheme="majorHAnsi" w:hAnsiTheme="majorHAnsi" w:cstheme="majorBidi"/>
          <w:color w:val="030A13"/>
          <w:sz w:val="22"/>
          <w:szCs w:val="22"/>
        </w:rPr>
        <w:t xml:space="preserve"> </w:t>
      </w:r>
      <w:r w:rsidRPr="5E5DEAB0">
        <w:rPr>
          <w:rStyle w:val="normaltextrun"/>
          <w:rFonts w:asciiTheme="majorHAnsi" w:hAnsiTheme="majorHAnsi" w:cstheme="majorBidi"/>
          <w:color w:val="030A13"/>
          <w:sz w:val="22"/>
          <w:szCs w:val="22"/>
        </w:rPr>
        <w:t xml:space="preserve">out” the remaining cohort of candidates. Teach-out plans rarely extend beyond one year from the date of expiration. Provisions of closure for individual </w:t>
      </w:r>
      <w:r w:rsidR="007E3BCC" w:rsidRPr="5E5DEAB0">
        <w:rPr>
          <w:rStyle w:val="normaltextrun"/>
          <w:rFonts w:asciiTheme="majorHAnsi" w:hAnsiTheme="majorHAnsi" w:cstheme="majorBidi"/>
          <w:color w:val="030A13"/>
          <w:sz w:val="22"/>
          <w:szCs w:val="22"/>
        </w:rPr>
        <w:t>Sponsoring Organizations</w:t>
      </w:r>
      <w:r w:rsidRPr="5E5DEAB0">
        <w:rPr>
          <w:rStyle w:val="normaltextrun"/>
          <w:rFonts w:asciiTheme="majorHAnsi" w:hAnsiTheme="majorHAnsi" w:cstheme="majorBidi"/>
          <w:color w:val="030A13"/>
          <w:sz w:val="22"/>
          <w:szCs w:val="22"/>
        </w:rPr>
        <w:t xml:space="preserve">, if approval is revoked, will be determined at that point in time. Given this, a </w:t>
      </w:r>
      <w:r w:rsidR="007E3BCC" w:rsidRPr="5E5DEAB0">
        <w:rPr>
          <w:rStyle w:val="normaltextrun"/>
          <w:rFonts w:asciiTheme="majorHAnsi" w:hAnsiTheme="majorHAnsi" w:cstheme="majorBidi"/>
          <w:sz w:val="22"/>
          <w:szCs w:val="22"/>
        </w:rPr>
        <w:t>Sponsoring Organization</w:t>
      </w:r>
      <w:r w:rsidRPr="5E5DEAB0">
        <w:rPr>
          <w:rStyle w:val="normaltextrun"/>
          <w:rFonts w:asciiTheme="majorHAnsi" w:hAnsiTheme="majorHAnsi" w:cstheme="majorBidi"/>
          <w:color w:val="030A13"/>
          <w:sz w:val="22"/>
          <w:szCs w:val="22"/>
        </w:rPr>
        <w:t xml:space="preserve"> cannot assure candidate endorsement beyond the current approval date.</w:t>
      </w:r>
      <w:r w:rsidR="2B51E18A" w:rsidRPr="5E5DEAB0">
        <w:rPr>
          <w:rStyle w:val="normaltextrun"/>
          <w:rFonts w:asciiTheme="majorHAnsi" w:hAnsiTheme="majorHAnsi" w:cstheme="majorBidi"/>
          <w:color w:val="030A13"/>
          <w:sz w:val="22"/>
          <w:szCs w:val="22"/>
        </w:rPr>
        <w:t>  </w:t>
      </w:r>
      <w:r w:rsidRPr="5E5DEAB0">
        <w:rPr>
          <w:rStyle w:val="scxw183781499"/>
          <w:rFonts w:asciiTheme="majorHAnsi" w:hAnsiTheme="majorHAnsi" w:cstheme="majorBidi"/>
          <w:color w:val="030A13"/>
          <w:sz w:val="22"/>
          <w:szCs w:val="22"/>
        </w:rPr>
        <w:t> </w:t>
      </w:r>
    </w:p>
    <w:p w14:paraId="31A68863" w14:textId="77777777" w:rsidR="00C37719" w:rsidRPr="00E54DB1" w:rsidRDefault="00C37719" w:rsidP="00014585">
      <w:pPr>
        <w:pStyle w:val="paragraph"/>
        <w:shd w:val="clear" w:color="auto" w:fill="FFFFFF"/>
        <w:spacing w:before="0" w:beforeAutospacing="0" w:after="0" w:afterAutospacing="0" w:line="276" w:lineRule="auto"/>
        <w:textAlignment w:val="baseline"/>
        <w:rPr>
          <w:rFonts w:asciiTheme="majorHAnsi" w:hAnsiTheme="majorHAnsi" w:cstheme="majorHAnsi"/>
          <w:sz w:val="22"/>
          <w:szCs w:val="22"/>
        </w:rPr>
      </w:pPr>
    </w:p>
    <w:p w14:paraId="2A8D0E72" w14:textId="01545EF2" w:rsidR="00746EBB" w:rsidRPr="00E54DB1" w:rsidRDefault="00746EBB" w:rsidP="00014585">
      <w:pPr>
        <w:pStyle w:val="paragraph"/>
        <w:shd w:val="clear" w:color="auto" w:fill="FFFFFF"/>
        <w:spacing w:before="0" w:beforeAutospacing="0" w:after="0" w:afterAutospacing="0" w:line="276" w:lineRule="auto"/>
        <w:textAlignment w:val="baseline"/>
        <w:rPr>
          <w:sz w:val="22"/>
          <w:szCs w:val="22"/>
        </w:rPr>
      </w:pPr>
      <w:r w:rsidRPr="00E54DB1">
        <w:rPr>
          <w:rStyle w:val="normaltextrun"/>
          <w:rFonts w:asciiTheme="majorHAnsi" w:hAnsiTheme="majorHAnsi" w:cstheme="majorHAnsi"/>
          <w:color w:val="030A13"/>
          <w:sz w:val="22"/>
          <w:szCs w:val="22"/>
        </w:rPr>
        <w:lastRenderedPageBreak/>
        <w:t>If candidates wish to transfer to other providers in the state, the extent to which other providers choose to waive or accept credits/coursework from the low performing programs is at the sole discretion of individual Sponsoring Organizations.  </w:t>
      </w:r>
      <w:r w:rsidRPr="00E54DB1">
        <w:rPr>
          <w:rStyle w:val="eop"/>
          <w:rFonts w:asciiTheme="majorHAnsi" w:hAnsiTheme="majorHAnsi" w:cstheme="majorHAnsi"/>
          <w:color w:val="030A13"/>
          <w:sz w:val="22"/>
          <w:szCs w:val="22"/>
        </w:rPr>
        <w:t> </w:t>
      </w:r>
    </w:p>
    <w:p w14:paraId="669DAAB5" w14:textId="77777777" w:rsidR="00E54DB1" w:rsidRDefault="00E54DB1">
      <w:pPr>
        <w:rPr>
          <w:rFonts w:ascii="Calibri" w:hAnsi="Calibri"/>
          <w:b/>
          <w:color w:val="1F497D" w:themeColor="text2"/>
          <w:sz w:val="32"/>
          <w:szCs w:val="48"/>
        </w:rPr>
      </w:pPr>
      <w:bookmarkStart w:id="128" w:name="_Annual_Reporting"/>
      <w:bookmarkStart w:id="129" w:name="_Toc321389897"/>
      <w:bookmarkStart w:id="130" w:name="_Toc434876316"/>
      <w:bookmarkEnd w:id="128"/>
      <w:r>
        <w:br w:type="page"/>
      </w:r>
    </w:p>
    <w:p w14:paraId="660299D3" w14:textId="01D86B6B" w:rsidR="00596840" w:rsidRPr="00BA67B6" w:rsidRDefault="00596840">
      <w:pPr>
        <w:pStyle w:val="Heading1"/>
      </w:pPr>
      <w:bookmarkStart w:id="131" w:name="_Toc125575643"/>
      <w:r w:rsidRPr="00BA67B6">
        <w:lastRenderedPageBreak/>
        <w:t xml:space="preserve">Annual </w:t>
      </w:r>
      <w:r w:rsidRPr="00174ECC">
        <w:t>Reporting</w:t>
      </w:r>
      <w:bookmarkStart w:id="132" w:name="_Toc321389898"/>
      <w:bookmarkEnd w:id="129"/>
      <w:bookmarkEnd w:id="130"/>
      <w:bookmarkEnd w:id="131"/>
    </w:p>
    <w:p w14:paraId="0CD4107E" w14:textId="77777777" w:rsidR="00596840" w:rsidRPr="00E54DB1" w:rsidRDefault="00596840" w:rsidP="008478C2">
      <w:pPr>
        <w:spacing w:after="240"/>
        <w:rPr>
          <w:rFonts w:cstheme="majorHAnsi"/>
        </w:rPr>
      </w:pPr>
      <w:r w:rsidRPr="00E54DB1">
        <w:rPr>
          <w:rFonts w:cstheme="majorHAnsi"/>
        </w:rPr>
        <w:t>All Sponsoring Organizations with approved educator preparation programs are required to complete an annual submission of the State Annual Report (SAR) (</w:t>
      </w:r>
      <w:hyperlink r:id="rId59" w:history="1">
        <w:r w:rsidRPr="00E54DB1">
          <w:rPr>
            <w:rStyle w:val="Hyperlink"/>
            <w:rFonts w:cstheme="majorHAnsi"/>
          </w:rPr>
          <w:t>603 CMR 7.03 (4)</w:t>
        </w:r>
      </w:hyperlink>
      <w:r w:rsidRPr="00E54DB1">
        <w:rPr>
          <w:rFonts w:cstheme="majorHAnsi"/>
        </w:rPr>
        <w:t xml:space="preserve">). The period for each annual report mirrors the federal reporting year under Title II of the Higher Education Act: September 1 through August 31 of the year preceding the report (Example: SAR/Title II reporting year 2023 = program year 2021-22).    </w:t>
      </w:r>
    </w:p>
    <w:p w14:paraId="3E896746" w14:textId="3714DAA8" w:rsidR="00596840" w:rsidRPr="00E54DB1" w:rsidRDefault="00596840" w:rsidP="008478C2">
      <w:pPr>
        <w:spacing w:after="240"/>
        <w:rPr>
          <w:rFonts w:cstheme="majorBidi"/>
        </w:rPr>
      </w:pPr>
      <w:r w:rsidRPr="5E5DEAB0">
        <w:rPr>
          <w:rFonts w:cstheme="majorBidi"/>
        </w:rPr>
        <w:t xml:space="preserve">In addition, Sponsoring Organizations who offer educator preparation programs that lead to a candidate’s first Initial teaching license are required to submit data for Title II HEA federal reporting requirements. Title II Reporting Requirements, technical assistance information, and previously submitted State Reports can be found on the </w:t>
      </w:r>
      <w:hyperlink r:id="rId60">
        <w:r w:rsidRPr="5E5DEAB0">
          <w:rPr>
            <w:rStyle w:val="Hyperlink"/>
            <w:rFonts w:cstheme="majorBidi"/>
          </w:rPr>
          <w:t>Title II Higher Education Act website</w:t>
        </w:r>
      </w:hyperlink>
      <w:r w:rsidRPr="00304B5E">
        <w:rPr>
          <w:rStyle w:val="Hyperlink"/>
          <w:rFonts w:cstheme="majorBidi"/>
          <w:color w:val="000000" w:themeColor="text1"/>
          <w:u w:val="none"/>
        </w:rPr>
        <w:t>. As</w:t>
      </w:r>
      <w:r w:rsidRPr="5E5DEAB0">
        <w:rPr>
          <w:rStyle w:val="Hyperlink"/>
          <w:rFonts w:cstheme="majorBidi"/>
          <w:color w:val="000000" w:themeColor="text1"/>
          <w:u w:val="none"/>
        </w:rPr>
        <w:t xml:space="preserve"> of 2023, Sponsoring Organizations will submit Federal Title II HEA data using the USDE required reporting system.</w:t>
      </w:r>
    </w:p>
    <w:p w14:paraId="4BA2772C" w14:textId="6C037CC4" w:rsidR="00596840" w:rsidRPr="00E54DB1" w:rsidRDefault="00596840" w:rsidP="008478C2">
      <w:pPr>
        <w:rPr>
          <w:rFonts w:cstheme="majorHAnsi"/>
          <w:color w:val="000000" w:themeColor="text1"/>
        </w:rPr>
      </w:pPr>
      <w:r w:rsidRPr="00E54DB1">
        <w:rPr>
          <w:rFonts w:cstheme="majorHAnsi"/>
        </w:rPr>
        <w:t>Reporting requirements may change as required by state and federal regulations.</w:t>
      </w:r>
      <w:r w:rsidR="008B3581">
        <w:rPr>
          <w:rFonts w:cstheme="majorHAnsi"/>
        </w:rPr>
        <w:t xml:space="preserve"> </w:t>
      </w:r>
      <w:r w:rsidRPr="00E54DB1">
        <w:rPr>
          <w:rFonts w:cstheme="majorHAnsi"/>
        </w:rPr>
        <w:t xml:space="preserve">DESE uses Sponsoring Organization data submitted through Early ID/ELAR for SAR/Title II reporting and </w:t>
      </w:r>
      <w:hyperlink r:id="rId61" w:history="1">
        <w:r w:rsidR="00171E44" w:rsidRPr="00E54DB1">
          <w:rPr>
            <w:rStyle w:val="Hyperlink"/>
            <w:rFonts w:cstheme="majorHAnsi"/>
          </w:rPr>
          <w:t>Public Profiles</w:t>
        </w:r>
      </w:hyperlink>
      <w:r w:rsidRPr="00E54DB1">
        <w:rPr>
          <w:rFonts w:cstheme="majorHAnsi"/>
        </w:rPr>
        <w:t xml:space="preserve">. As a result, Sponsoring Organizations need to provide accurate and timely data to DESE using the Early ID/ELAR system.  </w:t>
      </w:r>
      <w:r w:rsidR="00C631CC" w:rsidRPr="00E54DB1">
        <w:rPr>
          <w:rFonts w:cstheme="majorHAnsi"/>
        </w:rPr>
        <w:br/>
      </w:r>
    </w:p>
    <w:p w14:paraId="53E78884" w14:textId="5F376F51" w:rsidR="002C7386" w:rsidRPr="00E54DB1" w:rsidRDefault="00596840" w:rsidP="008478C2">
      <w:pPr>
        <w:rPr>
          <w:rFonts w:cstheme="majorHAnsi"/>
        </w:rPr>
      </w:pPr>
      <w:r w:rsidRPr="00E54DB1">
        <w:rPr>
          <w:rFonts w:cstheme="majorHAnsi"/>
        </w:rPr>
        <w:t>In addition to candidate enrollment and completion data, Sponsoring Organizations are required to submit the following information as part of the State Annual Report:</w:t>
      </w:r>
      <w:r w:rsidR="00C631CC" w:rsidRPr="00E54DB1">
        <w:rPr>
          <w:rFonts w:cstheme="majorHAnsi"/>
        </w:rPr>
        <w:br/>
      </w:r>
    </w:p>
    <w:tbl>
      <w:tblPr>
        <w:tblStyle w:val="GridTable2-Accent1"/>
        <w:tblW w:w="0" w:type="auto"/>
        <w:tblLook w:val="04A0" w:firstRow="1" w:lastRow="0" w:firstColumn="1" w:lastColumn="0" w:noHBand="0" w:noVBand="1"/>
        <w:tblCaption w:val="Table: Annual Reporting"/>
        <w:tblDescription w:val="A table showing various data points reported by SOs"/>
      </w:tblPr>
      <w:tblGrid>
        <w:gridCol w:w="3194"/>
        <w:gridCol w:w="5716"/>
      </w:tblGrid>
      <w:tr w:rsidR="00596840" w:rsidRPr="00E54DB1" w14:paraId="2C1E5874" w14:textId="77777777" w:rsidTr="00AE1C20">
        <w:trPr>
          <w:cnfStyle w:val="100000000000" w:firstRow="1" w:lastRow="0" w:firstColumn="0" w:lastColumn="0" w:oddVBand="0" w:evenVBand="0" w:oddHBand="0" w:evenHBand="0" w:firstRowFirstColumn="0" w:firstRowLastColumn="0" w:lastRowFirstColumn="0" w:lastRowLastColumn="0"/>
          <w:trHeight w:val="2"/>
        </w:trPr>
        <w:tc>
          <w:tcPr>
            <w:cnfStyle w:val="001000000000" w:firstRow="0" w:lastRow="0" w:firstColumn="1" w:lastColumn="0" w:oddVBand="0" w:evenVBand="0" w:oddHBand="0" w:evenHBand="0" w:firstRowFirstColumn="0" w:firstRowLastColumn="0" w:lastRowFirstColumn="0" w:lastRowLastColumn="0"/>
            <w:tcW w:w="3194" w:type="dxa"/>
          </w:tcPr>
          <w:p w14:paraId="5D32BFBA" w14:textId="77777777" w:rsidR="00596840" w:rsidRPr="00E54DB1" w:rsidRDefault="00596840" w:rsidP="00D17218">
            <w:pPr>
              <w:rPr>
                <w:rFonts w:cstheme="majorHAnsi"/>
                <w:b w:val="0"/>
                <w:bCs w:val="0"/>
              </w:rPr>
            </w:pPr>
            <w:r w:rsidRPr="00E54DB1">
              <w:rPr>
                <w:rFonts w:cstheme="majorHAnsi"/>
              </w:rPr>
              <w:t>Data Category</w:t>
            </w:r>
          </w:p>
        </w:tc>
        <w:tc>
          <w:tcPr>
            <w:tcW w:w="5716" w:type="dxa"/>
          </w:tcPr>
          <w:p w14:paraId="7EF22FBD" w14:textId="77777777" w:rsidR="00596840" w:rsidRPr="00E54DB1" w:rsidRDefault="00596840" w:rsidP="00D17218">
            <w:pPr>
              <w:cnfStyle w:val="100000000000" w:firstRow="1" w:lastRow="0" w:firstColumn="0" w:lastColumn="0" w:oddVBand="0" w:evenVBand="0" w:oddHBand="0" w:evenHBand="0" w:firstRowFirstColumn="0" w:firstRowLastColumn="0" w:lastRowFirstColumn="0" w:lastRowLastColumn="0"/>
              <w:rPr>
                <w:rFonts w:cstheme="majorHAnsi"/>
                <w:b w:val="0"/>
                <w:bCs w:val="0"/>
              </w:rPr>
            </w:pPr>
            <w:r w:rsidRPr="00E54DB1">
              <w:rPr>
                <w:rFonts w:cstheme="majorHAnsi"/>
              </w:rPr>
              <w:t>Specific Data Collected</w:t>
            </w:r>
          </w:p>
        </w:tc>
      </w:tr>
      <w:tr w:rsidR="00596840" w:rsidRPr="00E54DB1" w14:paraId="7524CC9E" w14:textId="77777777" w:rsidTr="00AE1C20">
        <w:trPr>
          <w:cnfStyle w:val="000000100000" w:firstRow="0" w:lastRow="0" w:firstColumn="0" w:lastColumn="0" w:oddVBand="0" w:evenVBand="0" w:oddHBand="1" w:evenHBand="0" w:firstRowFirstColumn="0" w:firstRowLastColumn="0" w:lastRowFirstColumn="0" w:lastRowLastColumn="0"/>
          <w:trHeight w:val="8"/>
        </w:trPr>
        <w:tc>
          <w:tcPr>
            <w:cnfStyle w:val="001000000000" w:firstRow="0" w:lastRow="0" w:firstColumn="1" w:lastColumn="0" w:oddVBand="0" w:evenVBand="0" w:oddHBand="0" w:evenHBand="0" w:firstRowFirstColumn="0" w:firstRowLastColumn="0" w:lastRowFirstColumn="0" w:lastRowLastColumn="0"/>
            <w:tcW w:w="3194" w:type="dxa"/>
          </w:tcPr>
          <w:p w14:paraId="2334181C" w14:textId="77777777" w:rsidR="00596840" w:rsidRPr="00E54DB1" w:rsidRDefault="00596840" w:rsidP="00D17218">
            <w:pPr>
              <w:rPr>
                <w:rFonts w:cstheme="majorHAnsi"/>
                <w:b w:val="0"/>
                <w:bCs w:val="0"/>
              </w:rPr>
            </w:pPr>
            <w:r w:rsidRPr="00E54DB1">
              <w:rPr>
                <w:rFonts w:cstheme="majorHAnsi"/>
              </w:rPr>
              <w:t>Substantial Changes to Program</w:t>
            </w:r>
          </w:p>
        </w:tc>
        <w:tc>
          <w:tcPr>
            <w:tcW w:w="5716" w:type="dxa"/>
          </w:tcPr>
          <w:p w14:paraId="208DA5F8" w14:textId="36152AA3" w:rsidR="00596840" w:rsidRPr="00E54DB1" w:rsidRDefault="00596840" w:rsidP="00D17218">
            <w:pPr>
              <w:cnfStyle w:val="000000100000" w:firstRow="0" w:lastRow="0" w:firstColumn="0" w:lastColumn="0" w:oddVBand="0" w:evenVBand="0" w:oddHBand="1" w:evenHBand="0" w:firstRowFirstColumn="0" w:firstRowLastColumn="0" w:lastRowFirstColumn="0" w:lastRowLastColumn="0"/>
              <w:rPr>
                <w:rFonts w:cstheme="majorBidi"/>
              </w:rPr>
            </w:pPr>
            <w:r w:rsidRPr="5E5DEAB0">
              <w:rPr>
                <w:rFonts w:cstheme="majorBidi"/>
              </w:rPr>
              <w:t xml:space="preserve">Substantial Changes </w:t>
            </w:r>
            <w:r w:rsidR="009810BE" w:rsidRPr="5E5DEAB0">
              <w:rPr>
                <w:rFonts w:cstheme="majorBidi"/>
              </w:rPr>
              <w:t>to</w:t>
            </w:r>
            <w:r w:rsidRPr="5E5DEAB0">
              <w:rPr>
                <w:rFonts w:cstheme="majorBidi"/>
              </w:rPr>
              <w:t xml:space="preserve"> courses or seminars, field</w:t>
            </w:r>
            <w:r w:rsidR="0372A90A" w:rsidRPr="5E5DEAB0">
              <w:rPr>
                <w:rFonts w:cstheme="majorBidi"/>
              </w:rPr>
              <w:t>-</w:t>
            </w:r>
            <w:r w:rsidRPr="5E5DEAB0">
              <w:rPr>
                <w:rFonts w:cstheme="majorBidi"/>
              </w:rPr>
              <w:t>based experiences requirements, personnel, or any other significant changes in the substance of the program.</w:t>
            </w:r>
          </w:p>
        </w:tc>
      </w:tr>
      <w:tr w:rsidR="00596840" w:rsidRPr="00E54DB1" w14:paraId="5577877E" w14:textId="77777777" w:rsidTr="00AE1C20">
        <w:trPr>
          <w:trHeight w:val="19"/>
        </w:trPr>
        <w:tc>
          <w:tcPr>
            <w:cnfStyle w:val="001000000000" w:firstRow="0" w:lastRow="0" w:firstColumn="1" w:lastColumn="0" w:oddVBand="0" w:evenVBand="0" w:oddHBand="0" w:evenHBand="0" w:firstRowFirstColumn="0" w:firstRowLastColumn="0" w:lastRowFirstColumn="0" w:lastRowLastColumn="0"/>
            <w:tcW w:w="3194" w:type="dxa"/>
          </w:tcPr>
          <w:p w14:paraId="1FCACC13" w14:textId="77777777" w:rsidR="00596840" w:rsidRPr="00E54DB1" w:rsidRDefault="00596840" w:rsidP="00D17218">
            <w:pPr>
              <w:rPr>
                <w:rFonts w:cstheme="majorHAnsi"/>
                <w:b w:val="0"/>
                <w:bCs w:val="0"/>
              </w:rPr>
            </w:pPr>
            <w:r w:rsidRPr="00E54DB1">
              <w:rPr>
                <w:rFonts w:cstheme="majorHAnsi"/>
              </w:rPr>
              <w:t>Candidate Data</w:t>
            </w:r>
          </w:p>
        </w:tc>
        <w:tc>
          <w:tcPr>
            <w:tcW w:w="5716" w:type="dxa"/>
          </w:tcPr>
          <w:p w14:paraId="4203C659" w14:textId="77777777" w:rsidR="00596840" w:rsidRPr="00E54DB1" w:rsidRDefault="00596840" w:rsidP="000E41AB">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cstheme="majorHAnsi"/>
              </w:rPr>
            </w:pPr>
            <w:r w:rsidRPr="00E54DB1">
              <w:rPr>
                <w:rFonts w:cstheme="majorHAnsi"/>
              </w:rPr>
              <w:t>Number and list of candidates enrolled</w:t>
            </w:r>
          </w:p>
          <w:p w14:paraId="25DD2F2F" w14:textId="77777777" w:rsidR="00596840" w:rsidRPr="00E54DB1" w:rsidRDefault="00596840" w:rsidP="000E41AB">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cstheme="majorHAnsi"/>
              </w:rPr>
            </w:pPr>
            <w:r w:rsidRPr="00E54DB1">
              <w:rPr>
                <w:rFonts w:cstheme="majorHAnsi"/>
              </w:rPr>
              <w:t>Number and list of candidates completing all coursework, except the practicum/practicum equivalent</w:t>
            </w:r>
          </w:p>
          <w:p w14:paraId="3167D24D" w14:textId="77777777" w:rsidR="00596840" w:rsidRPr="00E54DB1" w:rsidRDefault="00596840" w:rsidP="000E41AB">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cstheme="majorHAnsi"/>
              </w:rPr>
            </w:pPr>
            <w:r w:rsidRPr="00E54DB1">
              <w:rPr>
                <w:rFonts w:cstheme="majorHAnsi"/>
              </w:rPr>
              <w:t>Number and list of program completers</w:t>
            </w:r>
          </w:p>
          <w:p w14:paraId="76FB9E99" w14:textId="77777777" w:rsidR="00596840" w:rsidRPr="00E54DB1" w:rsidRDefault="00596840" w:rsidP="000E41AB">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cstheme="majorHAnsi"/>
              </w:rPr>
            </w:pPr>
            <w:r w:rsidRPr="00E54DB1">
              <w:rPr>
                <w:rFonts w:cstheme="majorHAnsi"/>
              </w:rPr>
              <w:t>Demographics:</w:t>
            </w:r>
          </w:p>
          <w:p w14:paraId="2E00507D" w14:textId="77777777" w:rsidR="00596840" w:rsidRPr="00E54DB1" w:rsidRDefault="00596840" w:rsidP="000E41AB">
            <w:pPr>
              <w:pStyle w:val="ListParagraph"/>
              <w:numPr>
                <w:ilvl w:val="1"/>
                <w:numId w:val="39"/>
              </w:numPr>
              <w:cnfStyle w:val="000000000000" w:firstRow="0" w:lastRow="0" w:firstColumn="0" w:lastColumn="0" w:oddVBand="0" w:evenVBand="0" w:oddHBand="0" w:evenHBand="0" w:firstRowFirstColumn="0" w:firstRowLastColumn="0" w:lastRowFirstColumn="0" w:lastRowLastColumn="0"/>
              <w:rPr>
                <w:rFonts w:cstheme="majorHAnsi"/>
              </w:rPr>
            </w:pPr>
            <w:r w:rsidRPr="00E54DB1">
              <w:rPr>
                <w:rFonts w:cstheme="majorHAnsi"/>
              </w:rPr>
              <w:t>Race</w:t>
            </w:r>
          </w:p>
          <w:p w14:paraId="5D1C9D75" w14:textId="77777777" w:rsidR="00596840" w:rsidRPr="00E54DB1" w:rsidRDefault="00596840" w:rsidP="000E41AB">
            <w:pPr>
              <w:pStyle w:val="ListParagraph"/>
              <w:numPr>
                <w:ilvl w:val="1"/>
                <w:numId w:val="39"/>
              </w:numPr>
              <w:cnfStyle w:val="000000000000" w:firstRow="0" w:lastRow="0" w:firstColumn="0" w:lastColumn="0" w:oddVBand="0" w:evenVBand="0" w:oddHBand="0" w:evenHBand="0" w:firstRowFirstColumn="0" w:firstRowLastColumn="0" w:lastRowFirstColumn="0" w:lastRowLastColumn="0"/>
              <w:rPr>
                <w:rFonts w:cstheme="majorHAnsi"/>
              </w:rPr>
            </w:pPr>
            <w:r w:rsidRPr="00E54DB1">
              <w:rPr>
                <w:rFonts w:cstheme="majorHAnsi"/>
              </w:rPr>
              <w:t>Ethnicity</w:t>
            </w:r>
          </w:p>
          <w:p w14:paraId="2DD16760" w14:textId="77777777" w:rsidR="00596840" w:rsidRPr="00E54DB1" w:rsidRDefault="00596840" w:rsidP="000E41AB">
            <w:pPr>
              <w:pStyle w:val="ListParagraph"/>
              <w:numPr>
                <w:ilvl w:val="1"/>
                <w:numId w:val="39"/>
              </w:numPr>
              <w:cnfStyle w:val="000000000000" w:firstRow="0" w:lastRow="0" w:firstColumn="0" w:lastColumn="0" w:oddVBand="0" w:evenVBand="0" w:oddHBand="0" w:evenHBand="0" w:firstRowFirstColumn="0" w:firstRowLastColumn="0" w:lastRowFirstColumn="0" w:lastRowLastColumn="0"/>
              <w:rPr>
                <w:rFonts w:cstheme="majorHAnsi"/>
              </w:rPr>
            </w:pPr>
            <w:r w:rsidRPr="00E54DB1">
              <w:rPr>
                <w:rFonts w:cstheme="majorHAnsi"/>
              </w:rPr>
              <w:t>Gender</w:t>
            </w:r>
          </w:p>
        </w:tc>
      </w:tr>
      <w:tr w:rsidR="00596840" w:rsidRPr="00E54DB1" w14:paraId="2F62A999" w14:textId="77777777" w:rsidTr="00AE1C20">
        <w:trPr>
          <w:cnfStyle w:val="000000100000" w:firstRow="0" w:lastRow="0" w:firstColumn="0" w:lastColumn="0" w:oddVBand="0" w:evenVBand="0" w:oddHBand="1" w:evenHBand="0" w:firstRowFirstColumn="0" w:firstRowLastColumn="0" w:lastRowFirstColumn="0" w:lastRowLastColumn="0"/>
          <w:trHeight w:val="11"/>
        </w:trPr>
        <w:tc>
          <w:tcPr>
            <w:cnfStyle w:val="001000000000" w:firstRow="0" w:lastRow="0" w:firstColumn="1" w:lastColumn="0" w:oddVBand="0" w:evenVBand="0" w:oddHBand="0" w:evenHBand="0" w:firstRowFirstColumn="0" w:firstRowLastColumn="0" w:lastRowFirstColumn="0" w:lastRowLastColumn="0"/>
            <w:tcW w:w="3194" w:type="dxa"/>
          </w:tcPr>
          <w:p w14:paraId="6595E0C3" w14:textId="77777777" w:rsidR="00596840" w:rsidRPr="00E54DB1" w:rsidRDefault="00596840" w:rsidP="00D17218">
            <w:pPr>
              <w:rPr>
                <w:rFonts w:cstheme="majorHAnsi"/>
                <w:b w:val="0"/>
                <w:bCs w:val="0"/>
              </w:rPr>
            </w:pPr>
            <w:r w:rsidRPr="00E54DB1">
              <w:rPr>
                <w:rFonts w:cstheme="majorHAnsi"/>
              </w:rPr>
              <w:t>Faculty Data</w:t>
            </w:r>
          </w:p>
        </w:tc>
        <w:tc>
          <w:tcPr>
            <w:tcW w:w="5716" w:type="dxa"/>
          </w:tcPr>
          <w:p w14:paraId="41DC7993" w14:textId="100A622F" w:rsidR="00596840" w:rsidRPr="00E54DB1" w:rsidRDefault="00596840" w:rsidP="000E41AB">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cstheme="majorHAnsi"/>
              </w:rPr>
            </w:pPr>
            <w:r w:rsidRPr="00E54DB1">
              <w:rPr>
                <w:rFonts w:cstheme="majorHAnsi"/>
              </w:rPr>
              <w:t xml:space="preserve">Number of full-time </w:t>
            </w:r>
            <w:r w:rsidR="009810BE" w:rsidRPr="00E54DB1">
              <w:rPr>
                <w:rFonts w:cstheme="majorHAnsi"/>
              </w:rPr>
              <w:t>equivalents</w:t>
            </w:r>
          </w:p>
          <w:p w14:paraId="4230C2FC" w14:textId="75AB91CE" w:rsidR="00596840" w:rsidRPr="00E54DB1" w:rsidRDefault="00596840" w:rsidP="000E41AB">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cstheme="majorHAnsi"/>
              </w:rPr>
            </w:pPr>
            <w:r w:rsidRPr="00E54DB1">
              <w:rPr>
                <w:rFonts w:cstheme="majorHAnsi"/>
              </w:rPr>
              <w:t xml:space="preserve">Number of part-time </w:t>
            </w:r>
            <w:r w:rsidR="009810BE" w:rsidRPr="00E54DB1">
              <w:rPr>
                <w:rFonts w:cstheme="majorHAnsi"/>
              </w:rPr>
              <w:t>equivalents</w:t>
            </w:r>
          </w:p>
          <w:p w14:paraId="63B51B6E" w14:textId="77777777" w:rsidR="00596840" w:rsidRPr="00E54DB1" w:rsidRDefault="00596840" w:rsidP="000E41AB">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cstheme="majorHAnsi"/>
              </w:rPr>
            </w:pPr>
            <w:r w:rsidRPr="00E54DB1">
              <w:rPr>
                <w:rFonts w:cstheme="majorHAnsi"/>
              </w:rPr>
              <w:t>Demographics:</w:t>
            </w:r>
          </w:p>
          <w:p w14:paraId="35EA3BA7" w14:textId="77777777" w:rsidR="00596840" w:rsidRPr="00E54DB1" w:rsidRDefault="00596840" w:rsidP="000E41AB">
            <w:pPr>
              <w:pStyle w:val="ListParagraph"/>
              <w:numPr>
                <w:ilvl w:val="1"/>
                <w:numId w:val="40"/>
              </w:numPr>
              <w:cnfStyle w:val="000000100000" w:firstRow="0" w:lastRow="0" w:firstColumn="0" w:lastColumn="0" w:oddVBand="0" w:evenVBand="0" w:oddHBand="1" w:evenHBand="0" w:firstRowFirstColumn="0" w:firstRowLastColumn="0" w:lastRowFirstColumn="0" w:lastRowLastColumn="0"/>
              <w:rPr>
                <w:rFonts w:cstheme="majorHAnsi"/>
              </w:rPr>
            </w:pPr>
            <w:r w:rsidRPr="00E54DB1">
              <w:rPr>
                <w:rFonts w:cstheme="majorHAnsi"/>
              </w:rPr>
              <w:t>Race</w:t>
            </w:r>
          </w:p>
          <w:p w14:paraId="75FF56B2" w14:textId="77777777" w:rsidR="00596840" w:rsidRPr="00E54DB1" w:rsidRDefault="00596840" w:rsidP="000E41AB">
            <w:pPr>
              <w:pStyle w:val="ListParagraph"/>
              <w:numPr>
                <w:ilvl w:val="1"/>
                <w:numId w:val="40"/>
              </w:numPr>
              <w:cnfStyle w:val="000000100000" w:firstRow="0" w:lastRow="0" w:firstColumn="0" w:lastColumn="0" w:oddVBand="0" w:evenVBand="0" w:oddHBand="1" w:evenHBand="0" w:firstRowFirstColumn="0" w:firstRowLastColumn="0" w:lastRowFirstColumn="0" w:lastRowLastColumn="0"/>
              <w:rPr>
                <w:rFonts w:cstheme="majorHAnsi"/>
              </w:rPr>
            </w:pPr>
            <w:r w:rsidRPr="00E54DB1">
              <w:rPr>
                <w:rFonts w:cstheme="majorHAnsi"/>
              </w:rPr>
              <w:t>Ethnicity</w:t>
            </w:r>
          </w:p>
          <w:p w14:paraId="5FADF37B" w14:textId="77777777" w:rsidR="00596840" w:rsidRPr="00E54DB1" w:rsidRDefault="00596840" w:rsidP="000E41AB">
            <w:pPr>
              <w:pStyle w:val="ListParagraph"/>
              <w:numPr>
                <w:ilvl w:val="1"/>
                <w:numId w:val="40"/>
              </w:numPr>
              <w:cnfStyle w:val="000000100000" w:firstRow="0" w:lastRow="0" w:firstColumn="0" w:lastColumn="0" w:oddVBand="0" w:evenVBand="0" w:oddHBand="1" w:evenHBand="0" w:firstRowFirstColumn="0" w:firstRowLastColumn="0" w:lastRowFirstColumn="0" w:lastRowLastColumn="0"/>
              <w:rPr>
                <w:rFonts w:cstheme="majorHAnsi"/>
              </w:rPr>
            </w:pPr>
            <w:r w:rsidRPr="00E54DB1">
              <w:rPr>
                <w:rFonts w:cstheme="majorHAnsi"/>
              </w:rPr>
              <w:t>Gender</w:t>
            </w:r>
          </w:p>
        </w:tc>
      </w:tr>
      <w:tr w:rsidR="00596840" w:rsidRPr="00E54DB1" w14:paraId="3DF20961" w14:textId="77777777" w:rsidTr="00AE1C20">
        <w:trPr>
          <w:trHeight w:val="3"/>
        </w:trPr>
        <w:tc>
          <w:tcPr>
            <w:cnfStyle w:val="001000000000" w:firstRow="0" w:lastRow="0" w:firstColumn="1" w:lastColumn="0" w:oddVBand="0" w:evenVBand="0" w:oddHBand="0" w:evenHBand="0" w:firstRowFirstColumn="0" w:firstRowLastColumn="0" w:lastRowFirstColumn="0" w:lastRowLastColumn="0"/>
            <w:tcW w:w="3194" w:type="dxa"/>
          </w:tcPr>
          <w:p w14:paraId="77112C58" w14:textId="77777777" w:rsidR="00596840" w:rsidRPr="00E54DB1" w:rsidRDefault="00596840" w:rsidP="00D17218">
            <w:pPr>
              <w:rPr>
                <w:rFonts w:cstheme="majorHAnsi"/>
              </w:rPr>
            </w:pPr>
            <w:r w:rsidRPr="00E54DB1">
              <w:rPr>
                <w:rFonts w:eastAsia="Calibri" w:cstheme="majorHAnsi"/>
              </w:rPr>
              <w:t>Continuous Improvement Activities</w:t>
            </w:r>
          </w:p>
        </w:tc>
        <w:tc>
          <w:tcPr>
            <w:tcW w:w="5716" w:type="dxa"/>
          </w:tcPr>
          <w:p w14:paraId="68DF1D09" w14:textId="77777777" w:rsidR="00596840" w:rsidRPr="00E54DB1" w:rsidRDefault="00596840" w:rsidP="000E41AB">
            <w:pPr>
              <w:pStyle w:val="ListParagraph"/>
              <w:numPr>
                <w:ilvl w:val="0"/>
                <w:numId w:val="38"/>
              </w:numPr>
              <w:spacing w:after="200"/>
              <w:ind w:left="360"/>
              <w:cnfStyle w:val="000000000000" w:firstRow="0" w:lastRow="0" w:firstColumn="0" w:lastColumn="0" w:oddVBand="0" w:evenVBand="0" w:oddHBand="0" w:evenHBand="0" w:firstRowFirstColumn="0" w:firstRowLastColumn="0" w:lastRowFirstColumn="0" w:lastRowLastColumn="0"/>
              <w:rPr>
                <w:rFonts w:cstheme="majorHAnsi"/>
              </w:rPr>
            </w:pPr>
            <w:r w:rsidRPr="00E54DB1">
              <w:rPr>
                <w:rFonts w:eastAsia="Calibri" w:cstheme="majorHAnsi"/>
              </w:rPr>
              <w:t xml:space="preserve">List of what data is being collected on a regular basis, including but not limited to stakeholder feedback, state </w:t>
            </w:r>
            <w:r w:rsidRPr="00E54DB1">
              <w:rPr>
                <w:rFonts w:eastAsia="Calibri" w:cstheme="majorHAnsi"/>
              </w:rPr>
              <w:lastRenderedPageBreak/>
              <w:t>collected data, and evidence of completers’ and partnerships’ positive impact on PK-12 student outcomes</w:t>
            </w:r>
          </w:p>
          <w:p w14:paraId="5269BFDB" w14:textId="77777777" w:rsidR="00596840" w:rsidRPr="00E54DB1" w:rsidRDefault="00596840" w:rsidP="000E41AB">
            <w:pPr>
              <w:pStyle w:val="ListParagraph"/>
              <w:numPr>
                <w:ilvl w:val="0"/>
                <w:numId w:val="38"/>
              </w:numPr>
              <w:spacing w:after="200"/>
              <w:ind w:left="360"/>
              <w:cnfStyle w:val="000000000000" w:firstRow="0" w:lastRow="0" w:firstColumn="0" w:lastColumn="0" w:oddVBand="0" w:evenVBand="0" w:oddHBand="0" w:evenHBand="0" w:firstRowFirstColumn="0" w:firstRowLastColumn="0" w:lastRowFirstColumn="0" w:lastRowLastColumn="0"/>
              <w:rPr>
                <w:rFonts w:cstheme="majorHAnsi"/>
              </w:rPr>
            </w:pPr>
            <w:r w:rsidRPr="00E54DB1">
              <w:rPr>
                <w:rFonts w:eastAsia="Calibri" w:cstheme="majorHAnsi"/>
              </w:rPr>
              <w:t>Actions that have been taken in response to this data.</w:t>
            </w:r>
          </w:p>
        </w:tc>
      </w:tr>
      <w:tr w:rsidR="00596840" w:rsidRPr="00E54DB1" w14:paraId="70403601" w14:textId="77777777" w:rsidTr="00AE1C20">
        <w:trPr>
          <w:cnfStyle w:val="000000100000" w:firstRow="0" w:lastRow="0" w:firstColumn="0" w:lastColumn="0" w:oddVBand="0" w:evenVBand="0" w:oddHBand="1" w:evenHBand="0" w:firstRowFirstColumn="0" w:firstRowLastColumn="0" w:lastRowFirstColumn="0" w:lastRowLastColumn="0"/>
          <w:trHeight w:val="3"/>
        </w:trPr>
        <w:tc>
          <w:tcPr>
            <w:cnfStyle w:val="001000000000" w:firstRow="0" w:lastRow="0" w:firstColumn="1" w:lastColumn="0" w:oddVBand="0" w:evenVBand="0" w:oddHBand="0" w:evenHBand="0" w:firstRowFirstColumn="0" w:firstRowLastColumn="0" w:lastRowFirstColumn="0" w:lastRowLastColumn="0"/>
            <w:tcW w:w="3194" w:type="dxa"/>
          </w:tcPr>
          <w:p w14:paraId="095E9965" w14:textId="77777777" w:rsidR="00596840" w:rsidRPr="00E54DB1" w:rsidRDefault="00596840" w:rsidP="00D17218">
            <w:pPr>
              <w:rPr>
                <w:rFonts w:cstheme="majorHAnsi"/>
                <w:b w:val="0"/>
                <w:bCs w:val="0"/>
              </w:rPr>
            </w:pPr>
            <w:r w:rsidRPr="00E54DB1">
              <w:rPr>
                <w:rFonts w:cstheme="majorHAnsi"/>
              </w:rPr>
              <w:lastRenderedPageBreak/>
              <w:t>Annual Goals and Attainment</w:t>
            </w:r>
          </w:p>
        </w:tc>
        <w:tc>
          <w:tcPr>
            <w:tcW w:w="5716" w:type="dxa"/>
          </w:tcPr>
          <w:p w14:paraId="0D2F724A" w14:textId="77777777" w:rsidR="00596840" w:rsidRPr="00E54DB1" w:rsidRDefault="00596840" w:rsidP="00D17218">
            <w:pPr>
              <w:cnfStyle w:val="000000100000" w:firstRow="0" w:lastRow="0" w:firstColumn="0" w:lastColumn="0" w:oddVBand="0" w:evenVBand="0" w:oddHBand="1" w:evenHBand="0" w:firstRowFirstColumn="0" w:firstRowLastColumn="0" w:lastRowFirstColumn="0" w:lastRowLastColumn="0"/>
              <w:rPr>
                <w:rFonts w:cstheme="majorHAnsi"/>
              </w:rPr>
            </w:pPr>
            <w:r w:rsidRPr="00E54DB1">
              <w:rPr>
                <w:rFonts w:cstheme="majorHAnsi"/>
              </w:rPr>
              <w:t>Prior year goals, progress on prior year goals, and current year goals</w:t>
            </w:r>
          </w:p>
        </w:tc>
      </w:tr>
      <w:tr w:rsidR="00596840" w:rsidRPr="00E54DB1" w14:paraId="052293EE" w14:textId="77777777" w:rsidTr="00AE1C20">
        <w:trPr>
          <w:trHeight w:val="5"/>
        </w:trPr>
        <w:tc>
          <w:tcPr>
            <w:cnfStyle w:val="001000000000" w:firstRow="0" w:lastRow="0" w:firstColumn="1" w:lastColumn="0" w:oddVBand="0" w:evenVBand="0" w:oddHBand="0" w:evenHBand="0" w:firstRowFirstColumn="0" w:firstRowLastColumn="0" w:lastRowFirstColumn="0" w:lastRowLastColumn="0"/>
            <w:tcW w:w="3194" w:type="dxa"/>
          </w:tcPr>
          <w:p w14:paraId="6A64BC3F" w14:textId="77777777" w:rsidR="00596840" w:rsidRPr="00E54DB1" w:rsidRDefault="00596840" w:rsidP="00D17218">
            <w:pPr>
              <w:rPr>
                <w:rFonts w:cstheme="majorHAnsi"/>
                <w:b w:val="0"/>
                <w:bCs w:val="0"/>
              </w:rPr>
            </w:pPr>
            <w:r w:rsidRPr="00E54DB1">
              <w:rPr>
                <w:rFonts w:cstheme="majorHAnsi"/>
              </w:rPr>
              <w:t>Program with Zero Completers</w:t>
            </w:r>
          </w:p>
        </w:tc>
        <w:tc>
          <w:tcPr>
            <w:tcW w:w="5716" w:type="dxa"/>
          </w:tcPr>
          <w:p w14:paraId="3596AEB4" w14:textId="77777777" w:rsidR="00596840" w:rsidRPr="00E54DB1" w:rsidRDefault="00596840" w:rsidP="000E41AB">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cstheme="majorHAnsi"/>
              </w:rPr>
            </w:pPr>
            <w:r w:rsidRPr="00E54DB1">
              <w:rPr>
                <w:rFonts w:cstheme="majorHAnsi"/>
              </w:rPr>
              <w:t>Reasons for zero program completers</w:t>
            </w:r>
          </w:p>
          <w:p w14:paraId="70B905DB" w14:textId="77777777" w:rsidR="00596840" w:rsidRPr="00E54DB1" w:rsidRDefault="00596840" w:rsidP="000E41AB">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cstheme="majorHAnsi"/>
              </w:rPr>
            </w:pPr>
            <w:r w:rsidRPr="00E54DB1">
              <w:rPr>
                <w:rFonts w:cstheme="majorHAnsi"/>
              </w:rPr>
              <w:t>Plans for increasing enrollment and number of program completers</w:t>
            </w:r>
          </w:p>
        </w:tc>
      </w:tr>
      <w:tr w:rsidR="00596840" w:rsidRPr="00E54DB1" w14:paraId="2AFC2327" w14:textId="77777777" w:rsidTr="00AE1C20">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3194" w:type="dxa"/>
          </w:tcPr>
          <w:p w14:paraId="1A91BE32" w14:textId="77777777" w:rsidR="00596840" w:rsidRPr="00E54DB1" w:rsidRDefault="00596840" w:rsidP="00D17218">
            <w:pPr>
              <w:rPr>
                <w:rFonts w:cstheme="majorHAnsi"/>
                <w:b w:val="0"/>
                <w:bCs w:val="0"/>
              </w:rPr>
            </w:pPr>
            <w:r w:rsidRPr="00E54DB1">
              <w:rPr>
                <w:rFonts w:cstheme="majorHAnsi"/>
              </w:rPr>
              <w:t>Types of District Partnerships and Collaborations</w:t>
            </w:r>
          </w:p>
        </w:tc>
        <w:tc>
          <w:tcPr>
            <w:tcW w:w="5716" w:type="dxa"/>
          </w:tcPr>
          <w:p w14:paraId="643A487F" w14:textId="68D92A1C" w:rsidR="00596840" w:rsidRPr="00E54DB1" w:rsidRDefault="00596840" w:rsidP="00D17218">
            <w:pPr>
              <w:cnfStyle w:val="000000100000" w:firstRow="0" w:lastRow="0" w:firstColumn="0" w:lastColumn="0" w:oddVBand="0" w:evenVBand="0" w:oddHBand="1" w:evenHBand="0" w:firstRowFirstColumn="0" w:firstRowLastColumn="0" w:lastRowFirstColumn="0" w:lastRowLastColumn="0"/>
              <w:rPr>
                <w:rFonts w:cstheme="majorBidi"/>
              </w:rPr>
            </w:pPr>
            <w:r w:rsidRPr="5E5DEAB0">
              <w:rPr>
                <w:rFonts w:cstheme="majorBidi"/>
              </w:rPr>
              <w:t>List of partner districts, description of the partnership</w:t>
            </w:r>
            <w:r w:rsidR="06D90DA0" w:rsidRPr="5E5DEAB0">
              <w:rPr>
                <w:rFonts w:cstheme="majorBidi"/>
              </w:rPr>
              <w:t>(s)</w:t>
            </w:r>
          </w:p>
        </w:tc>
      </w:tr>
      <w:tr w:rsidR="00596840" w:rsidRPr="00E54DB1" w14:paraId="5A1C019C" w14:textId="77777777" w:rsidTr="00AE1C20">
        <w:trPr>
          <w:trHeight w:val="5"/>
        </w:trPr>
        <w:tc>
          <w:tcPr>
            <w:cnfStyle w:val="001000000000" w:firstRow="0" w:lastRow="0" w:firstColumn="1" w:lastColumn="0" w:oddVBand="0" w:evenVBand="0" w:oddHBand="0" w:evenHBand="0" w:firstRowFirstColumn="0" w:firstRowLastColumn="0" w:lastRowFirstColumn="0" w:lastRowLastColumn="0"/>
            <w:tcW w:w="3194" w:type="dxa"/>
          </w:tcPr>
          <w:p w14:paraId="25DD620A" w14:textId="77777777" w:rsidR="00596840" w:rsidRPr="00E54DB1" w:rsidRDefault="00596840" w:rsidP="00D17218">
            <w:pPr>
              <w:rPr>
                <w:rFonts w:cstheme="majorHAnsi"/>
                <w:bCs w:val="0"/>
              </w:rPr>
            </w:pPr>
            <w:r w:rsidRPr="00E54DB1">
              <w:rPr>
                <w:rFonts w:cstheme="majorHAnsi"/>
              </w:rPr>
              <w:t>Update on Review Findings</w:t>
            </w:r>
          </w:p>
        </w:tc>
        <w:tc>
          <w:tcPr>
            <w:tcW w:w="5716" w:type="dxa"/>
          </w:tcPr>
          <w:p w14:paraId="3906EF6D" w14:textId="77777777" w:rsidR="00596840" w:rsidRPr="00E54DB1" w:rsidRDefault="00596840" w:rsidP="00D17218">
            <w:pPr>
              <w:cnfStyle w:val="000000000000" w:firstRow="0" w:lastRow="0" w:firstColumn="0" w:lastColumn="0" w:oddVBand="0" w:evenVBand="0" w:oddHBand="0" w:evenHBand="0" w:firstRowFirstColumn="0" w:firstRowLastColumn="0" w:lastRowFirstColumn="0" w:lastRowLastColumn="0"/>
              <w:rPr>
                <w:rFonts w:cstheme="majorHAnsi"/>
              </w:rPr>
            </w:pPr>
            <w:r w:rsidRPr="00E54DB1">
              <w:rPr>
                <w:rFonts w:cstheme="majorHAnsi"/>
              </w:rPr>
              <w:t xml:space="preserve">Provide a brief summary of progress made in relation to the findings issued as a result of the last formal/interim review. </w:t>
            </w:r>
          </w:p>
        </w:tc>
      </w:tr>
    </w:tbl>
    <w:p w14:paraId="7C886D18" w14:textId="77777777" w:rsidR="00DA49D8" w:rsidRPr="00BA67B6" w:rsidRDefault="00DA49D8" w:rsidP="00596840">
      <w:pPr>
        <w:rPr>
          <w:rFonts w:cstheme="majorHAnsi"/>
          <w:sz w:val="24"/>
          <w:szCs w:val="24"/>
        </w:rPr>
      </w:pPr>
      <w:bookmarkStart w:id="133" w:name="_Public_Reporting"/>
      <w:bookmarkEnd w:id="133"/>
    </w:p>
    <w:p w14:paraId="66DB5E05" w14:textId="77777777" w:rsidR="00E54DB1" w:rsidRDefault="00E54DB1">
      <w:pPr>
        <w:rPr>
          <w:rFonts w:ascii="Calibri" w:hAnsi="Calibri"/>
          <w:b/>
          <w:color w:val="1F497D" w:themeColor="text2"/>
          <w:sz w:val="32"/>
          <w:szCs w:val="48"/>
        </w:rPr>
      </w:pPr>
      <w:bookmarkStart w:id="134" w:name="_Public_Reporting_1"/>
      <w:bookmarkStart w:id="135" w:name="_Toc434876317"/>
      <w:bookmarkEnd w:id="134"/>
      <w:r>
        <w:br w:type="page"/>
      </w:r>
    </w:p>
    <w:p w14:paraId="18CE1D9E" w14:textId="05C1620E" w:rsidR="00DA49D8" w:rsidRPr="00BA67B6" w:rsidRDefault="00DA49D8">
      <w:pPr>
        <w:pStyle w:val="Heading1"/>
      </w:pPr>
      <w:bookmarkStart w:id="136" w:name="_Toc125575644"/>
      <w:r w:rsidRPr="00BA67B6">
        <w:lastRenderedPageBreak/>
        <w:t xml:space="preserve">Public </w:t>
      </w:r>
      <w:r w:rsidRPr="00174ECC">
        <w:t>Reporting</w:t>
      </w:r>
      <w:bookmarkEnd w:id="135"/>
      <w:bookmarkEnd w:id="136"/>
    </w:p>
    <w:p w14:paraId="3652FF74" w14:textId="4B313E70" w:rsidR="00DA49D8" w:rsidRPr="00227779" w:rsidRDefault="00DA49D8" w:rsidP="00227779">
      <w:pPr>
        <w:rPr>
          <w:rFonts w:cstheme="majorHAnsi"/>
        </w:rPr>
      </w:pPr>
      <w:r w:rsidRPr="00227779">
        <w:rPr>
          <w:rFonts w:cstheme="majorHAnsi"/>
        </w:rPr>
        <w:t xml:space="preserve">DESE publicly reports educator preparation data in </w:t>
      </w:r>
      <w:hyperlink r:id="rId62" w:history="1">
        <w:r w:rsidR="00E54DB1" w:rsidRPr="00227779">
          <w:rPr>
            <w:rStyle w:val="Hyperlink"/>
            <w:rFonts w:cstheme="majorHAnsi"/>
          </w:rPr>
          <w:t>Public Profiles</w:t>
        </w:r>
      </w:hyperlink>
      <w:r w:rsidRPr="00227779">
        <w:rPr>
          <w:rFonts w:cstheme="majorHAnsi"/>
        </w:rPr>
        <w:t xml:space="preserve"> on DESE’s website. </w:t>
      </w:r>
    </w:p>
    <w:p w14:paraId="291EE2CD" w14:textId="77777777" w:rsidR="00DA49D8" w:rsidRPr="00090190" w:rsidRDefault="00DA49D8" w:rsidP="00227779">
      <w:pPr>
        <w:rPr>
          <w:rFonts w:cstheme="majorHAnsi"/>
        </w:rPr>
      </w:pPr>
    </w:p>
    <w:p w14:paraId="20EFAE43" w14:textId="65116D41" w:rsidR="00DA49D8" w:rsidRPr="00014585" w:rsidRDefault="00DA49D8" w:rsidP="00090190">
      <w:pPr>
        <w:rPr>
          <w:rFonts w:cstheme="majorBidi"/>
        </w:rPr>
      </w:pPr>
      <w:r w:rsidRPr="5E5DEAB0">
        <w:rPr>
          <w:rFonts w:cstheme="majorBidi"/>
        </w:rPr>
        <w:t xml:space="preserve">Much of the data collected in Early ID/ELAR and through the State Annual Report and Federal Title II HEA reporting are published on the DESE website. Additionally, DESE links data provided by Sponsoring Organization to employment and performance data associated with completers who are employed in Massachusetts public </w:t>
      </w:r>
      <w:r w:rsidR="1A3F9AC2" w:rsidRPr="5E5DEAB0">
        <w:rPr>
          <w:rFonts w:cstheme="majorBidi"/>
        </w:rPr>
        <w:t>school</w:t>
      </w:r>
      <w:r w:rsidR="0D3D852A" w:rsidRPr="5E5DEAB0">
        <w:rPr>
          <w:rFonts w:cstheme="majorBidi"/>
        </w:rPr>
        <w:t>s</w:t>
      </w:r>
      <w:r w:rsidR="1A3F9AC2" w:rsidRPr="5E5DEAB0">
        <w:rPr>
          <w:rFonts w:cstheme="majorBidi"/>
        </w:rPr>
        <w:t>.</w:t>
      </w:r>
      <w:r w:rsidRPr="5E5DEAB0">
        <w:rPr>
          <w:rFonts w:cstheme="majorBidi"/>
        </w:rPr>
        <w:t xml:space="preserve"> In this way, many reporting requirements focus on the impact of preparation programs. Such data include:  </w:t>
      </w:r>
    </w:p>
    <w:p w14:paraId="25FD0760" w14:textId="77777777" w:rsidR="00DA49D8" w:rsidRPr="00014585" w:rsidRDefault="00DA49D8" w:rsidP="00090190">
      <w:pPr>
        <w:pStyle w:val="ListParagraph"/>
        <w:numPr>
          <w:ilvl w:val="0"/>
          <w:numId w:val="56"/>
        </w:numPr>
        <w:rPr>
          <w:rFonts w:cstheme="majorHAnsi"/>
        </w:rPr>
      </w:pPr>
      <w:r w:rsidRPr="00014585">
        <w:rPr>
          <w:rFonts w:cstheme="majorHAnsi"/>
        </w:rPr>
        <w:t>Assessment data including MTEL pass rates</w:t>
      </w:r>
    </w:p>
    <w:p w14:paraId="7710A8D7" w14:textId="77777777" w:rsidR="00DA49D8" w:rsidRPr="00014585" w:rsidRDefault="00DA49D8" w:rsidP="00090190">
      <w:pPr>
        <w:pStyle w:val="ListParagraph"/>
        <w:numPr>
          <w:ilvl w:val="0"/>
          <w:numId w:val="56"/>
        </w:numPr>
        <w:rPr>
          <w:rFonts w:cstheme="majorHAnsi"/>
        </w:rPr>
      </w:pPr>
      <w:r w:rsidRPr="00014585">
        <w:rPr>
          <w:rFonts w:cstheme="majorHAnsi"/>
        </w:rPr>
        <w:t>Employment and retention rates</w:t>
      </w:r>
    </w:p>
    <w:p w14:paraId="552A3E6F" w14:textId="77777777" w:rsidR="00DA49D8" w:rsidRPr="00014585" w:rsidRDefault="00DA49D8" w:rsidP="00090190">
      <w:pPr>
        <w:pStyle w:val="ListParagraph"/>
        <w:numPr>
          <w:ilvl w:val="0"/>
          <w:numId w:val="56"/>
        </w:numPr>
        <w:rPr>
          <w:rFonts w:cstheme="majorHAnsi"/>
        </w:rPr>
      </w:pPr>
      <w:r w:rsidRPr="00014585">
        <w:rPr>
          <w:rFonts w:cstheme="majorHAnsi"/>
        </w:rPr>
        <w:t>Educator evaluation data</w:t>
      </w:r>
    </w:p>
    <w:p w14:paraId="50AA0BC1" w14:textId="55586151" w:rsidR="00DA49D8" w:rsidRPr="00014585" w:rsidRDefault="00DA49D8" w:rsidP="00014585">
      <w:pPr>
        <w:pStyle w:val="ListParagraph"/>
        <w:numPr>
          <w:ilvl w:val="0"/>
          <w:numId w:val="56"/>
        </w:numPr>
        <w:rPr>
          <w:rFonts w:cstheme="majorHAnsi"/>
        </w:rPr>
      </w:pPr>
      <w:r w:rsidRPr="00014585">
        <w:rPr>
          <w:rFonts w:cstheme="majorHAnsi"/>
        </w:rPr>
        <w:t>Surveys of stakeholders such as recent completers</w:t>
      </w:r>
      <w:r w:rsidRPr="00227779">
        <w:rPr>
          <w:rFonts w:cstheme="majorHAnsi"/>
        </w:rPr>
        <w:t>, recent completers after one year of employment, Supervising Practit</w:t>
      </w:r>
      <w:r w:rsidRPr="00090190">
        <w:rPr>
          <w:rFonts w:cstheme="majorHAnsi"/>
        </w:rPr>
        <w:t xml:space="preserve">ioners, and PK-12 </w:t>
      </w:r>
      <w:r w:rsidR="0093315B" w:rsidRPr="00090190">
        <w:rPr>
          <w:rFonts w:cstheme="majorHAnsi"/>
        </w:rPr>
        <w:t>hiring</w:t>
      </w:r>
      <w:r w:rsidRPr="00090190">
        <w:rPr>
          <w:rFonts w:cstheme="majorHAnsi"/>
        </w:rPr>
        <w:t xml:space="preserve"> </w:t>
      </w:r>
      <w:r w:rsidRPr="00014585">
        <w:rPr>
          <w:rFonts w:cstheme="majorHAnsi"/>
        </w:rPr>
        <w:t>principals as to whether the program provided completers with the necessary knowledge and skills for success in the licensure role</w:t>
      </w:r>
    </w:p>
    <w:p w14:paraId="2691C661" w14:textId="77777777" w:rsidR="00DA49D8" w:rsidRPr="00014585" w:rsidRDefault="00DA49D8" w:rsidP="00014585">
      <w:pPr>
        <w:rPr>
          <w:rFonts w:cstheme="majorHAnsi"/>
        </w:rPr>
      </w:pPr>
    </w:p>
    <w:p w14:paraId="417433DB" w14:textId="5CD65C32" w:rsidR="00DA49D8" w:rsidRPr="00090190" w:rsidRDefault="00DA49D8" w:rsidP="00014585">
      <w:pPr>
        <w:rPr>
          <w:rFonts w:cstheme="majorHAnsi"/>
        </w:rPr>
      </w:pPr>
      <w:r w:rsidRPr="00014585">
        <w:rPr>
          <w:rFonts w:cstheme="majorHAnsi"/>
        </w:rPr>
        <w:t xml:space="preserve">All data are reported in the aggregate </w:t>
      </w:r>
      <w:r w:rsidRPr="005D0AA6">
        <w:rPr>
          <w:rFonts w:cstheme="majorHAnsi"/>
        </w:rPr>
        <w:t xml:space="preserve">when the threshold of six or more has been met, including data at both the program and organizational level. Sponsoring Organizations have access to the data prior to publication via the </w:t>
      </w:r>
      <w:hyperlink r:id="rId63" w:history="1">
        <w:r w:rsidRPr="00227779">
          <w:rPr>
            <w:rStyle w:val="Hyperlink"/>
            <w:rFonts w:cstheme="majorHAnsi"/>
          </w:rPr>
          <w:t>Edwin Analytics</w:t>
        </w:r>
      </w:hyperlink>
      <w:r w:rsidRPr="00227779">
        <w:rPr>
          <w:rFonts w:cstheme="majorHAnsi"/>
        </w:rPr>
        <w:t xml:space="preserve"> reports. Outcome measures published on the Profiles are considered one source of evidence in the evaluation of programs in formal, informal, and interim reviews. </w:t>
      </w:r>
    </w:p>
    <w:p w14:paraId="21F63060" w14:textId="77777777" w:rsidR="00DA49D8" w:rsidRPr="00090190" w:rsidRDefault="00DA49D8" w:rsidP="00014585">
      <w:pPr>
        <w:rPr>
          <w:rFonts w:cstheme="majorHAnsi"/>
        </w:rPr>
      </w:pPr>
    </w:p>
    <w:p w14:paraId="7CAAA837" w14:textId="403CB1BA" w:rsidR="00DA49D8" w:rsidRPr="00227779" w:rsidRDefault="00DA49D8" w:rsidP="00014585">
      <w:pPr>
        <w:rPr>
          <w:rFonts w:cstheme="majorHAnsi"/>
        </w:rPr>
      </w:pPr>
      <w:r w:rsidRPr="00090190">
        <w:rPr>
          <w:rFonts w:cstheme="majorHAnsi"/>
        </w:rPr>
        <w:t xml:space="preserve">DESE publishes </w:t>
      </w:r>
      <w:r w:rsidR="00171E44" w:rsidRPr="00090190">
        <w:rPr>
          <w:rFonts w:cstheme="majorHAnsi"/>
        </w:rPr>
        <w:t>data</w:t>
      </w:r>
      <w:r w:rsidRPr="00014585">
        <w:rPr>
          <w:rFonts w:cstheme="majorHAnsi"/>
        </w:rPr>
        <w:t xml:space="preserve"> </w:t>
      </w:r>
      <w:r w:rsidR="00D85E59" w:rsidRPr="00014585">
        <w:rPr>
          <w:rFonts w:cstheme="majorHAnsi"/>
        </w:rPr>
        <w:t xml:space="preserve">on its website for each Sponsoring Organization and approved educator preparation program </w:t>
      </w:r>
      <w:r w:rsidRPr="00014585">
        <w:rPr>
          <w:rFonts w:cstheme="majorHAnsi"/>
        </w:rPr>
        <w:t xml:space="preserve">including, but not limited to, the following information </w:t>
      </w:r>
      <w:r w:rsidRPr="005D0AA6">
        <w:rPr>
          <w:rFonts w:cstheme="majorHAnsi"/>
        </w:rPr>
        <w:t>(</w:t>
      </w:r>
      <w:hyperlink r:id="rId64">
        <w:r w:rsidRPr="00227779">
          <w:rPr>
            <w:rStyle w:val="Hyperlink"/>
            <w:rFonts w:cstheme="majorHAnsi"/>
          </w:rPr>
          <w:t>603 CMR 7.03(5)):</w:t>
        </w:r>
      </w:hyperlink>
    </w:p>
    <w:p w14:paraId="3A0441EA" w14:textId="77777777" w:rsidR="00DA49D8" w:rsidRPr="00E54DB1" w:rsidRDefault="00DA49D8" w:rsidP="00DA49D8">
      <w:pPr>
        <w:spacing w:line="240" w:lineRule="auto"/>
        <w:rPr>
          <w:rFonts w:cstheme="majorHAnsi"/>
        </w:rPr>
      </w:pPr>
    </w:p>
    <w:tbl>
      <w:tblPr>
        <w:tblStyle w:val="GridTable2-Accent1"/>
        <w:tblW w:w="9360" w:type="dxa"/>
        <w:tblLook w:val="04A0" w:firstRow="1" w:lastRow="0" w:firstColumn="1" w:lastColumn="0" w:noHBand="0" w:noVBand="1"/>
        <w:tblCaption w:val="Table: Public reporting"/>
        <w:tblDescription w:val="A table showing various data points reported in online Profiles for each SO"/>
      </w:tblPr>
      <w:tblGrid>
        <w:gridCol w:w="2970"/>
        <w:gridCol w:w="4050"/>
        <w:gridCol w:w="2340"/>
      </w:tblGrid>
      <w:tr w:rsidR="00DA49D8" w:rsidRPr="00E54DB1" w14:paraId="08373072" w14:textId="77777777" w:rsidTr="00AE1C20">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970" w:type="dxa"/>
          </w:tcPr>
          <w:p w14:paraId="50617244" w14:textId="77777777" w:rsidR="00DA49D8" w:rsidRPr="00043194" w:rsidRDefault="00DA49D8" w:rsidP="00D17218">
            <w:pPr>
              <w:rPr>
                <w:rFonts w:cstheme="majorHAnsi"/>
                <w:b w:val="0"/>
                <w:bCs w:val="0"/>
              </w:rPr>
            </w:pPr>
            <w:r w:rsidRPr="00043194">
              <w:rPr>
                <w:rFonts w:cstheme="majorHAnsi"/>
              </w:rPr>
              <w:t>Regulations</w:t>
            </w:r>
          </w:p>
        </w:tc>
        <w:tc>
          <w:tcPr>
            <w:tcW w:w="4050" w:type="dxa"/>
          </w:tcPr>
          <w:p w14:paraId="456986C0" w14:textId="77777777" w:rsidR="00DA49D8" w:rsidRPr="00090190" w:rsidRDefault="00DA49D8" w:rsidP="00D17218">
            <w:pPr>
              <w:cnfStyle w:val="100000000000" w:firstRow="1" w:lastRow="0" w:firstColumn="0" w:lastColumn="0" w:oddVBand="0" w:evenVBand="0" w:oddHBand="0" w:evenHBand="0" w:firstRowFirstColumn="0" w:firstRowLastColumn="0" w:lastRowFirstColumn="0" w:lastRowLastColumn="0"/>
              <w:rPr>
                <w:rFonts w:cstheme="majorHAnsi"/>
                <w:b w:val="0"/>
                <w:bCs w:val="0"/>
              </w:rPr>
            </w:pPr>
            <w:r w:rsidRPr="00090190">
              <w:rPr>
                <w:rFonts w:cstheme="majorHAnsi"/>
              </w:rPr>
              <w:t>Online Profiles Elements</w:t>
            </w:r>
          </w:p>
        </w:tc>
        <w:tc>
          <w:tcPr>
            <w:tcW w:w="2340" w:type="dxa"/>
          </w:tcPr>
          <w:p w14:paraId="7C634ABD" w14:textId="77777777" w:rsidR="00DA49D8" w:rsidRPr="00014585" w:rsidRDefault="00DA49D8" w:rsidP="00D17218">
            <w:pPr>
              <w:cnfStyle w:val="100000000000" w:firstRow="1" w:lastRow="0" w:firstColumn="0" w:lastColumn="0" w:oddVBand="0" w:evenVBand="0" w:oddHBand="0" w:evenHBand="0" w:firstRowFirstColumn="0" w:firstRowLastColumn="0" w:lastRowFirstColumn="0" w:lastRowLastColumn="0"/>
              <w:rPr>
                <w:rFonts w:cstheme="majorHAnsi"/>
                <w:b w:val="0"/>
                <w:bCs w:val="0"/>
              </w:rPr>
            </w:pPr>
            <w:r w:rsidRPr="00090190">
              <w:rPr>
                <w:rFonts w:cstheme="majorHAnsi"/>
              </w:rPr>
              <w:t>Source of Data</w:t>
            </w:r>
          </w:p>
        </w:tc>
      </w:tr>
      <w:tr w:rsidR="00DA49D8" w:rsidRPr="00E54DB1" w14:paraId="093378B8" w14:textId="77777777" w:rsidTr="00AE1C2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970" w:type="dxa"/>
          </w:tcPr>
          <w:p w14:paraId="484A3B96" w14:textId="77777777" w:rsidR="00DA49D8" w:rsidRPr="00090190" w:rsidRDefault="00DA49D8" w:rsidP="00D17218">
            <w:pPr>
              <w:rPr>
                <w:rFonts w:cstheme="majorHAnsi"/>
                <w:b w:val="0"/>
                <w:bCs w:val="0"/>
              </w:rPr>
            </w:pPr>
            <w:r w:rsidRPr="00043194">
              <w:rPr>
                <w:rFonts w:cstheme="majorHAnsi"/>
              </w:rPr>
              <w:t>Sponsoring Organization general information</w:t>
            </w:r>
          </w:p>
        </w:tc>
        <w:tc>
          <w:tcPr>
            <w:tcW w:w="4050" w:type="dxa"/>
          </w:tcPr>
          <w:p w14:paraId="62DCCFD8" w14:textId="77777777" w:rsidR="00DA49D8" w:rsidRPr="00090190" w:rsidRDefault="00DA49D8" w:rsidP="000E41AB">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rFonts w:cstheme="majorHAnsi"/>
              </w:rPr>
            </w:pPr>
            <w:r w:rsidRPr="00090190">
              <w:rPr>
                <w:rFonts w:cstheme="majorHAnsi"/>
              </w:rPr>
              <w:t>Mission/vision statement</w:t>
            </w:r>
          </w:p>
          <w:p w14:paraId="4C1E6FF4" w14:textId="77777777" w:rsidR="00DA49D8" w:rsidRPr="00014585" w:rsidRDefault="00DA49D8" w:rsidP="000E41AB">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rFonts w:cstheme="majorHAnsi"/>
              </w:rPr>
            </w:pPr>
            <w:r w:rsidRPr="00014585">
              <w:rPr>
                <w:rFonts w:cstheme="majorHAnsi"/>
              </w:rPr>
              <w:t>Contact information</w:t>
            </w:r>
          </w:p>
          <w:p w14:paraId="46B9BF5A" w14:textId="68993FBC" w:rsidR="00DA49D8" w:rsidRPr="00014585" w:rsidRDefault="00DA49D8" w:rsidP="000E41AB">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rFonts w:cstheme="majorBidi"/>
              </w:rPr>
            </w:pPr>
            <w:r w:rsidRPr="5E5DEAB0">
              <w:rPr>
                <w:rFonts w:cstheme="majorBidi"/>
              </w:rPr>
              <w:t xml:space="preserve">Organization </w:t>
            </w:r>
            <w:r w:rsidR="0CF11408" w:rsidRPr="5E5DEAB0">
              <w:rPr>
                <w:rFonts w:cstheme="majorBidi"/>
              </w:rPr>
              <w:t>t</w:t>
            </w:r>
            <w:r w:rsidRPr="5E5DEAB0">
              <w:rPr>
                <w:rFonts w:cstheme="majorBidi"/>
              </w:rPr>
              <w:t>ype</w:t>
            </w:r>
          </w:p>
        </w:tc>
        <w:tc>
          <w:tcPr>
            <w:tcW w:w="2340" w:type="dxa"/>
          </w:tcPr>
          <w:p w14:paraId="5EEEC61F" w14:textId="77777777" w:rsidR="00DA49D8" w:rsidRPr="00014585" w:rsidRDefault="00DA49D8" w:rsidP="00D17218">
            <w:pPr>
              <w:cnfStyle w:val="000000100000" w:firstRow="0" w:lastRow="0" w:firstColumn="0" w:lastColumn="0" w:oddVBand="0" w:evenVBand="0" w:oddHBand="1" w:evenHBand="0" w:firstRowFirstColumn="0" w:firstRowLastColumn="0" w:lastRowFirstColumn="0" w:lastRowLastColumn="0"/>
              <w:rPr>
                <w:rFonts w:cstheme="majorHAnsi"/>
              </w:rPr>
            </w:pPr>
            <w:r w:rsidRPr="00014585">
              <w:rPr>
                <w:rFonts w:cstheme="majorHAnsi"/>
              </w:rPr>
              <w:t>Provided by SO in DA (ongoing updates)</w:t>
            </w:r>
          </w:p>
        </w:tc>
      </w:tr>
      <w:tr w:rsidR="00DA49D8" w:rsidRPr="00E54DB1" w14:paraId="5DFFDE54" w14:textId="77777777" w:rsidTr="00AE1C20">
        <w:trPr>
          <w:trHeight w:val="1861"/>
        </w:trPr>
        <w:tc>
          <w:tcPr>
            <w:cnfStyle w:val="001000000000" w:firstRow="0" w:lastRow="0" w:firstColumn="1" w:lastColumn="0" w:oddVBand="0" w:evenVBand="0" w:oddHBand="0" w:evenHBand="0" w:firstRowFirstColumn="0" w:firstRowLastColumn="0" w:lastRowFirstColumn="0" w:lastRowLastColumn="0"/>
            <w:tcW w:w="2970" w:type="dxa"/>
          </w:tcPr>
          <w:p w14:paraId="16AADC13" w14:textId="77777777" w:rsidR="00DA49D8" w:rsidRPr="00090190" w:rsidRDefault="00DA49D8" w:rsidP="00D17218">
            <w:pPr>
              <w:rPr>
                <w:rFonts w:cstheme="majorHAnsi"/>
                <w:b w:val="0"/>
                <w:bCs w:val="0"/>
              </w:rPr>
            </w:pPr>
            <w:r w:rsidRPr="00043194">
              <w:rPr>
                <w:rFonts w:cstheme="majorHAnsi"/>
              </w:rPr>
              <w:t>Candidate data (program level)</w:t>
            </w:r>
          </w:p>
        </w:tc>
        <w:tc>
          <w:tcPr>
            <w:tcW w:w="4050" w:type="dxa"/>
          </w:tcPr>
          <w:p w14:paraId="33C98557" w14:textId="77777777" w:rsidR="00DA49D8" w:rsidRPr="00090190" w:rsidRDefault="00DA49D8" w:rsidP="000E41AB">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cstheme="majorHAnsi"/>
              </w:rPr>
            </w:pPr>
            <w:r w:rsidRPr="00090190">
              <w:rPr>
                <w:rFonts w:cstheme="majorHAnsi"/>
              </w:rPr>
              <w:t>Total enrollment</w:t>
            </w:r>
          </w:p>
          <w:p w14:paraId="550D3C89" w14:textId="77777777" w:rsidR="00DA49D8" w:rsidRPr="00014585" w:rsidRDefault="00DA49D8" w:rsidP="000E41AB">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cstheme="majorHAnsi"/>
              </w:rPr>
            </w:pPr>
            <w:r w:rsidRPr="00090190">
              <w:rPr>
                <w:rFonts w:cstheme="majorHAnsi"/>
              </w:rPr>
              <w:t>Number of non-practicum completers</w:t>
            </w:r>
          </w:p>
          <w:p w14:paraId="77D83D1E" w14:textId="77777777" w:rsidR="00DA49D8" w:rsidRPr="00014585" w:rsidRDefault="00DA49D8" w:rsidP="000E41AB">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cstheme="majorHAnsi"/>
              </w:rPr>
            </w:pPr>
            <w:r w:rsidRPr="00014585">
              <w:rPr>
                <w:rFonts w:cstheme="majorHAnsi"/>
              </w:rPr>
              <w:t>Number of program completers</w:t>
            </w:r>
          </w:p>
          <w:p w14:paraId="3DAD9093" w14:textId="77777777" w:rsidR="00DA49D8" w:rsidRPr="00014585" w:rsidRDefault="00DA49D8" w:rsidP="000E41AB">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cstheme="majorHAnsi"/>
              </w:rPr>
            </w:pPr>
            <w:r w:rsidRPr="00014585">
              <w:rPr>
                <w:rFonts w:cstheme="majorHAnsi"/>
              </w:rPr>
              <w:t>Enrollment by gender</w:t>
            </w:r>
          </w:p>
          <w:p w14:paraId="469027CD" w14:textId="77777777" w:rsidR="00DA49D8" w:rsidRPr="00014585" w:rsidRDefault="00DA49D8" w:rsidP="000E41AB">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cstheme="majorHAnsi"/>
              </w:rPr>
            </w:pPr>
            <w:r w:rsidRPr="00014585">
              <w:rPr>
                <w:rFonts w:cstheme="majorHAnsi"/>
              </w:rPr>
              <w:t>Enrollment by race/ethnicity</w:t>
            </w:r>
          </w:p>
        </w:tc>
        <w:tc>
          <w:tcPr>
            <w:tcW w:w="2340" w:type="dxa"/>
          </w:tcPr>
          <w:p w14:paraId="2353B97E" w14:textId="77777777" w:rsidR="00DA49D8" w:rsidRPr="00DD08F3" w:rsidRDefault="00DA49D8" w:rsidP="00D17218">
            <w:pPr>
              <w:cnfStyle w:val="000000000000" w:firstRow="0" w:lastRow="0" w:firstColumn="0" w:lastColumn="0" w:oddVBand="0" w:evenVBand="0" w:oddHBand="0" w:evenHBand="0" w:firstRowFirstColumn="0" w:firstRowLastColumn="0" w:lastRowFirstColumn="0" w:lastRowLastColumn="0"/>
              <w:rPr>
                <w:rFonts w:cstheme="majorHAnsi"/>
              </w:rPr>
            </w:pPr>
            <w:r w:rsidRPr="00AC72D4">
              <w:rPr>
                <w:rFonts w:cstheme="majorHAnsi"/>
              </w:rPr>
              <w:t xml:space="preserve">Provided by SO in ELAR </w:t>
            </w:r>
          </w:p>
        </w:tc>
      </w:tr>
      <w:tr w:rsidR="00DA49D8" w:rsidRPr="00E54DB1" w14:paraId="1B1AF1E5" w14:textId="77777777" w:rsidTr="00AE1C2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970" w:type="dxa"/>
          </w:tcPr>
          <w:p w14:paraId="3C012843" w14:textId="77777777" w:rsidR="00DA49D8" w:rsidRPr="00090190" w:rsidRDefault="00DA49D8" w:rsidP="00D17218">
            <w:pPr>
              <w:rPr>
                <w:rFonts w:cstheme="majorHAnsi"/>
                <w:b w:val="0"/>
                <w:bCs w:val="0"/>
              </w:rPr>
            </w:pPr>
            <w:r w:rsidRPr="00043194">
              <w:rPr>
                <w:rFonts w:cstheme="majorHAnsi"/>
              </w:rPr>
              <w:t>Faculty and staff data (org level)</w:t>
            </w:r>
          </w:p>
        </w:tc>
        <w:tc>
          <w:tcPr>
            <w:tcW w:w="4050" w:type="dxa"/>
          </w:tcPr>
          <w:p w14:paraId="137273D3" w14:textId="77777777" w:rsidR="00DA49D8" w:rsidRPr="00090190" w:rsidRDefault="00DA49D8" w:rsidP="000E41AB">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cstheme="majorHAnsi"/>
              </w:rPr>
            </w:pPr>
            <w:r w:rsidRPr="00090190">
              <w:rPr>
                <w:rFonts w:cstheme="majorHAnsi"/>
              </w:rPr>
              <w:t xml:space="preserve">Full-time and part-time faculty </w:t>
            </w:r>
          </w:p>
          <w:p w14:paraId="28D22531" w14:textId="77777777" w:rsidR="00DA49D8" w:rsidRPr="00014585" w:rsidRDefault="00DA49D8" w:rsidP="000E41AB">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cstheme="majorHAnsi"/>
              </w:rPr>
            </w:pPr>
            <w:r w:rsidRPr="00090190">
              <w:rPr>
                <w:rFonts w:cstheme="majorHAnsi"/>
              </w:rPr>
              <w:t>Faculty gender</w:t>
            </w:r>
          </w:p>
          <w:p w14:paraId="20E9A3D7" w14:textId="77777777" w:rsidR="00DA49D8" w:rsidRPr="00014585" w:rsidRDefault="00DA49D8" w:rsidP="000E41AB">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cstheme="majorHAnsi"/>
              </w:rPr>
            </w:pPr>
            <w:r w:rsidRPr="00014585">
              <w:rPr>
                <w:rFonts w:cstheme="majorHAnsi"/>
              </w:rPr>
              <w:t>Faculty by race/ethnicity</w:t>
            </w:r>
          </w:p>
        </w:tc>
        <w:tc>
          <w:tcPr>
            <w:tcW w:w="2340" w:type="dxa"/>
          </w:tcPr>
          <w:p w14:paraId="3E3F3D2E" w14:textId="77777777" w:rsidR="00DA49D8" w:rsidRPr="00014585" w:rsidRDefault="00DA49D8" w:rsidP="00D17218">
            <w:pPr>
              <w:cnfStyle w:val="000000100000" w:firstRow="0" w:lastRow="0" w:firstColumn="0" w:lastColumn="0" w:oddVBand="0" w:evenVBand="0" w:oddHBand="1" w:evenHBand="0" w:firstRowFirstColumn="0" w:firstRowLastColumn="0" w:lastRowFirstColumn="0" w:lastRowLastColumn="0"/>
              <w:rPr>
                <w:rFonts w:cstheme="majorHAnsi"/>
              </w:rPr>
            </w:pPr>
            <w:r w:rsidRPr="00014585">
              <w:rPr>
                <w:rFonts w:cstheme="majorHAnsi"/>
              </w:rPr>
              <w:t>Provided by SO (annually collected in SAR data collection)</w:t>
            </w:r>
          </w:p>
        </w:tc>
      </w:tr>
      <w:tr w:rsidR="00DA49D8" w:rsidRPr="00E54DB1" w14:paraId="5B8F3963" w14:textId="77777777" w:rsidTr="00AE1C20">
        <w:trPr>
          <w:trHeight w:val="864"/>
        </w:trPr>
        <w:tc>
          <w:tcPr>
            <w:cnfStyle w:val="001000000000" w:firstRow="0" w:lastRow="0" w:firstColumn="1" w:lastColumn="0" w:oddVBand="0" w:evenVBand="0" w:oddHBand="0" w:evenHBand="0" w:firstRowFirstColumn="0" w:firstRowLastColumn="0" w:lastRowFirstColumn="0" w:lastRowLastColumn="0"/>
            <w:tcW w:w="2970" w:type="dxa"/>
          </w:tcPr>
          <w:p w14:paraId="73BE8C0B" w14:textId="77777777" w:rsidR="00DA49D8" w:rsidRPr="00090190" w:rsidRDefault="00DA49D8" w:rsidP="00D17218">
            <w:pPr>
              <w:rPr>
                <w:rFonts w:cstheme="majorHAnsi"/>
                <w:b w:val="0"/>
                <w:bCs w:val="0"/>
              </w:rPr>
            </w:pPr>
            <w:r w:rsidRPr="00043194">
              <w:rPr>
                <w:rFonts w:cstheme="majorHAnsi"/>
              </w:rPr>
              <w:t xml:space="preserve">District partnerships and </w:t>
            </w:r>
            <w:r w:rsidRPr="00090190">
              <w:rPr>
                <w:rFonts w:cstheme="majorHAnsi"/>
              </w:rPr>
              <w:t>collaborations (org level)</w:t>
            </w:r>
          </w:p>
        </w:tc>
        <w:tc>
          <w:tcPr>
            <w:tcW w:w="4050" w:type="dxa"/>
          </w:tcPr>
          <w:p w14:paraId="700F887D" w14:textId="77777777" w:rsidR="00DA49D8" w:rsidRPr="00090190" w:rsidRDefault="00DA49D8" w:rsidP="000E41AB">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cstheme="majorHAnsi"/>
              </w:rPr>
            </w:pPr>
            <w:r w:rsidRPr="00090190">
              <w:rPr>
                <w:rFonts w:cstheme="majorHAnsi"/>
              </w:rPr>
              <w:t>List of partner districts</w:t>
            </w:r>
          </w:p>
          <w:p w14:paraId="1EF4256A" w14:textId="77777777" w:rsidR="00DA49D8" w:rsidRPr="00014585" w:rsidRDefault="00DA49D8" w:rsidP="000E41AB">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cstheme="majorHAnsi"/>
              </w:rPr>
            </w:pPr>
            <w:r w:rsidRPr="00014585">
              <w:rPr>
                <w:rFonts w:cstheme="majorHAnsi"/>
              </w:rPr>
              <w:t>Description of partnerships</w:t>
            </w:r>
          </w:p>
        </w:tc>
        <w:tc>
          <w:tcPr>
            <w:tcW w:w="2340" w:type="dxa"/>
          </w:tcPr>
          <w:p w14:paraId="174C0CAE" w14:textId="77777777" w:rsidR="00DA49D8" w:rsidRPr="00014585" w:rsidRDefault="00DA49D8" w:rsidP="00D17218">
            <w:pPr>
              <w:cnfStyle w:val="000000000000" w:firstRow="0" w:lastRow="0" w:firstColumn="0" w:lastColumn="0" w:oddVBand="0" w:evenVBand="0" w:oddHBand="0" w:evenHBand="0" w:firstRowFirstColumn="0" w:firstRowLastColumn="0" w:lastRowFirstColumn="0" w:lastRowLastColumn="0"/>
              <w:rPr>
                <w:rFonts w:cstheme="majorHAnsi"/>
              </w:rPr>
            </w:pPr>
            <w:r w:rsidRPr="00014585">
              <w:rPr>
                <w:rFonts w:cstheme="majorHAnsi"/>
              </w:rPr>
              <w:t>Provided by SO in DA (ongoing updates)</w:t>
            </w:r>
          </w:p>
        </w:tc>
      </w:tr>
      <w:tr w:rsidR="00DA49D8" w:rsidRPr="00E54DB1" w14:paraId="5BFBDA4F" w14:textId="77777777" w:rsidTr="00AE1C2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970" w:type="dxa"/>
          </w:tcPr>
          <w:p w14:paraId="2099846D" w14:textId="77777777" w:rsidR="00DA49D8" w:rsidRPr="00090190" w:rsidRDefault="00DA49D8" w:rsidP="00D17218">
            <w:pPr>
              <w:rPr>
                <w:rFonts w:cstheme="majorHAnsi"/>
                <w:b w:val="0"/>
                <w:bCs w:val="0"/>
              </w:rPr>
            </w:pPr>
            <w:r w:rsidRPr="00043194">
              <w:rPr>
                <w:rFonts w:cstheme="majorHAnsi"/>
              </w:rPr>
              <w:lastRenderedPageBreak/>
              <w:t>Annual goals and attainment (org level)</w:t>
            </w:r>
          </w:p>
        </w:tc>
        <w:tc>
          <w:tcPr>
            <w:tcW w:w="4050" w:type="dxa"/>
          </w:tcPr>
          <w:p w14:paraId="3C7A0DEF" w14:textId="77777777" w:rsidR="00DA49D8" w:rsidRPr="00090190" w:rsidRDefault="00DA49D8" w:rsidP="000E41AB">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cstheme="majorHAnsi"/>
              </w:rPr>
            </w:pPr>
            <w:r w:rsidRPr="00090190">
              <w:rPr>
                <w:rFonts w:cstheme="majorHAnsi"/>
              </w:rPr>
              <w:t>Prior year goals</w:t>
            </w:r>
          </w:p>
          <w:p w14:paraId="3175567A" w14:textId="77777777" w:rsidR="00DA49D8" w:rsidRPr="00014585" w:rsidRDefault="00DA49D8" w:rsidP="000E41AB">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cstheme="majorHAnsi"/>
              </w:rPr>
            </w:pPr>
            <w:r w:rsidRPr="00090190">
              <w:rPr>
                <w:rFonts w:cstheme="majorHAnsi"/>
              </w:rPr>
              <w:t>Progress on goals</w:t>
            </w:r>
          </w:p>
          <w:p w14:paraId="7D835930" w14:textId="77777777" w:rsidR="00DA49D8" w:rsidRPr="00014585" w:rsidRDefault="00DA49D8" w:rsidP="000E41AB">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cstheme="majorHAnsi"/>
              </w:rPr>
            </w:pPr>
            <w:r w:rsidRPr="00014585">
              <w:rPr>
                <w:rFonts w:cstheme="majorHAnsi"/>
              </w:rPr>
              <w:t>Current year goals</w:t>
            </w:r>
          </w:p>
        </w:tc>
        <w:tc>
          <w:tcPr>
            <w:tcW w:w="2340" w:type="dxa"/>
          </w:tcPr>
          <w:p w14:paraId="33018298" w14:textId="77777777" w:rsidR="00DA49D8" w:rsidRPr="00014585" w:rsidRDefault="00DA49D8" w:rsidP="00D17218">
            <w:pPr>
              <w:cnfStyle w:val="000000100000" w:firstRow="0" w:lastRow="0" w:firstColumn="0" w:lastColumn="0" w:oddVBand="0" w:evenVBand="0" w:oddHBand="1" w:evenHBand="0" w:firstRowFirstColumn="0" w:firstRowLastColumn="0" w:lastRowFirstColumn="0" w:lastRowLastColumn="0"/>
              <w:rPr>
                <w:rFonts w:cstheme="majorHAnsi"/>
              </w:rPr>
            </w:pPr>
            <w:r w:rsidRPr="00014585">
              <w:rPr>
                <w:rFonts w:cstheme="majorHAnsi"/>
              </w:rPr>
              <w:t>Provided by SO (annually collected in SAR data collection)</w:t>
            </w:r>
          </w:p>
        </w:tc>
      </w:tr>
      <w:tr w:rsidR="00DA49D8" w:rsidRPr="00E54DB1" w14:paraId="599DE891" w14:textId="77777777" w:rsidTr="00AE1C20">
        <w:trPr>
          <w:trHeight w:val="864"/>
        </w:trPr>
        <w:tc>
          <w:tcPr>
            <w:cnfStyle w:val="001000000000" w:firstRow="0" w:lastRow="0" w:firstColumn="1" w:lastColumn="0" w:oddVBand="0" w:evenVBand="0" w:oddHBand="0" w:evenHBand="0" w:firstRowFirstColumn="0" w:firstRowLastColumn="0" w:lastRowFirstColumn="0" w:lastRowLastColumn="0"/>
            <w:tcW w:w="2970" w:type="dxa"/>
          </w:tcPr>
          <w:p w14:paraId="67F2E16A" w14:textId="77777777" w:rsidR="00DA49D8" w:rsidRPr="00043194" w:rsidRDefault="00DA49D8" w:rsidP="00D17218">
            <w:pPr>
              <w:rPr>
                <w:rFonts w:cstheme="majorHAnsi"/>
                <w:b w:val="0"/>
                <w:bCs w:val="0"/>
              </w:rPr>
            </w:pPr>
            <w:r w:rsidRPr="00043194">
              <w:rPr>
                <w:rFonts w:cstheme="majorHAnsi"/>
              </w:rPr>
              <w:t xml:space="preserve">List of approved programs </w:t>
            </w:r>
          </w:p>
        </w:tc>
        <w:tc>
          <w:tcPr>
            <w:tcW w:w="4050" w:type="dxa"/>
          </w:tcPr>
          <w:p w14:paraId="6BBE7BBE" w14:textId="77777777" w:rsidR="00DA49D8" w:rsidRPr="00090190" w:rsidRDefault="00DA49D8" w:rsidP="000E41AB">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cstheme="majorHAnsi"/>
              </w:rPr>
            </w:pPr>
            <w:r w:rsidRPr="00090190">
              <w:rPr>
                <w:rFonts w:cstheme="majorHAnsi"/>
              </w:rPr>
              <w:t>Programs offered</w:t>
            </w:r>
          </w:p>
          <w:p w14:paraId="059E18DF" w14:textId="5A2F096E" w:rsidR="00DA49D8" w:rsidRPr="00090190" w:rsidRDefault="00DA49D8" w:rsidP="000E41AB">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cstheme="majorBidi"/>
              </w:rPr>
            </w:pPr>
            <w:r w:rsidRPr="5E5DEAB0">
              <w:rPr>
                <w:rFonts w:cstheme="majorBidi"/>
              </w:rPr>
              <w:t xml:space="preserve">Approval </w:t>
            </w:r>
            <w:r w:rsidR="25F3F0D8" w:rsidRPr="5E5DEAB0">
              <w:rPr>
                <w:rFonts w:cstheme="majorBidi"/>
              </w:rPr>
              <w:t>d</w:t>
            </w:r>
            <w:r w:rsidRPr="5E5DEAB0">
              <w:rPr>
                <w:rFonts w:cstheme="majorBidi"/>
              </w:rPr>
              <w:t>etermination</w:t>
            </w:r>
          </w:p>
        </w:tc>
        <w:tc>
          <w:tcPr>
            <w:tcW w:w="2340" w:type="dxa"/>
          </w:tcPr>
          <w:p w14:paraId="1D2CC568" w14:textId="77777777" w:rsidR="00DA49D8" w:rsidRPr="00014585" w:rsidRDefault="00DA49D8" w:rsidP="00D17218">
            <w:pPr>
              <w:pStyle w:val="ListParagraph"/>
              <w:ind w:left="0"/>
              <w:cnfStyle w:val="000000000000" w:firstRow="0" w:lastRow="0" w:firstColumn="0" w:lastColumn="0" w:oddVBand="0" w:evenVBand="0" w:oddHBand="0" w:evenHBand="0" w:firstRowFirstColumn="0" w:firstRowLastColumn="0" w:lastRowFirstColumn="0" w:lastRowLastColumn="0"/>
              <w:rPr>
                <w:rFonts w:cstheme="majorHAnsi"/>
              </w:rPr>
            </w:pPr>
            <w:r w:rsidRPr="00014585">
              <w:rPr>
                <w:rFonts w:cstheme="majorHAnsi"/>
              </w:rPr>
              <w:t>DESE</w:t>
            </w:r>
          </w:p>
        </w:tc>
      </w:tr>
      <w:tr w:rsidR="00DA49D8" w:rsidRPr="00E54DB1" w14:paraId="5844BC0F" w14:textId="77777777" w:rsidTr="00AE1C2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970" w:type="dxa"/>
          </w:tcPr>
          <w:p w14:paraId="19EFEEF3" w14:textId="77777777" w:rsidR="00DA49D8" w:rsidRPr="00090190" w:rsidRDefault="00DA49D8" w:rsidP="00D17218">
            <w:pPr>
              <w:rPr>
                <w:rFonts w:cstheme="majorHAnsi"/>
                <w:b w:val="0"/>
                <w:bCs w:val="0"/>
              </w:rPr>
            </w:pPr>
            <w:r w:rsidRPr="00043194">
              <w:rPr>
                <w:rFonts w:cstheme="majorHAnsi"/>
              </w:rPr>
              <w:t>Admission requirements for approved programs</w:t>
            </w:r>
          </w:p>
        </w:tc>
        <w:tc>
          <w:tcPr>
            <w:tcW w:w="4050" w:type="dxa"/>
          </w:tcPr>
          <w:p w14:paraId="24AEA5D0" w14:textId="77777777" w:rsidR="00DA49D8" w:rsidRPr="00090190" w:rsidRDefault="00DA49D8" w:rsidP="000E41AB">
            <w:pPr>
              <w:pStyle w:val="ListParagraph"/>
              <w:numPr>
                <w:ilvl w:val="0"/>
                <w:numId w:val="55"/>
              </w:numPr>
              <w:cnfStyle w:val="000000100000" w:firstRow="0" w:lastRow="0" w:firstColumn="0" w:lastColumn="0" w:oddVBand="0" w:evenVBand="0" w:oddHBand="1" w:evenHBand="0" w:firstRowFirstColumn="0" w:firstRowLastColumn="0" w:lastRowFirstColumn="0" w:lastRowLastColumn="0"/>
              <w:rPr>
                <w:rFonts w:cstheme="majorHAnsi"/>
              </w:rPr>
            </w:pPr>
            <w:r w:rsidRPr="00090190">
              <w:rPr>
                <w:rFonts w:cstheme="majorHAnsi"/>
              </w:rPr>
              <w:t>Admissions requirements</w:t>
            </w:r>
          </w:p>
        </w:tc>
        <w:tc>
          <w:tcPr>
            <w:tcW w:w="2340" w:type="dxa"/>
          </w:tcPr>
          <w:p w14:paraId="5B1BE59E" w14:textId="77777777" w:rsidR="00DA49D8" w:rsidRPr="00014585" w:rsidRDefault="00DA49D8" w:rsidP="00D17218">
            <w:pPr>
              <w:cnfStyle w:val="000000100000" w:firstRow="0" w:lastRow="0" w:firstColumn="0" w:lastColumn="0" w:oddVBand="0" w:evenVBand="0" w:oddHBand="1" w:evenHBand="0" w:firstRowFirstColumn="0" w:firstRowLastColumn="0" w:lastRowFirstColumn="0" w:lastRowLastColumn="0"/>
              <w:rPr>
                <w:rFonts w:cstheme="majorHAnsi"/>
              </w:rPr>
            </w:pPr>
            <w:r w:rsidRPr="00090190">
              <w:rPr>
                <w:rFonts w:cstheme="majorHAnsi"/>
              </w:rPr>
              <w:t>Provided by SO (annually collected in Title II data collection)</w:t>
            </w:r>
          </w:p>
        </w:tc>
      </w:tr>
      <w:tr w:rsidR="00DA49D8" w:rsidRPr="00E54DB1" w14:paraId="675447F8" w14:textId="77777777" w:rsidTr="00AE1C20">
        <w:trPr>
          <w:trHeight w:val="864"/>
        </w:trPr>
        <w:tc>
          <w:tcPr>
            <w:cnfStyle w:val="001000000000" w:firstRow="0" w:lastRow="0" w:firstColumn="1" w:lastColumn="0" w:oddVBand="0" w:evenVBand="0" w:oddHBand="0" w:evenHBand="0" w:firstRowFirstColumn="0" w:firstRowLastColumn="0" w:lastRowFirstColumn="0" w:lastRowLastColumn="0"/>
            <w:tcW w:w="2970" w:type="dxa"/>
          </w:tcPr>
          <w:p w14:paraId="5FEF673C" w14:textId="77777777" w:rsidR="00DA49D8" w:rsidRPr="00090190" w:rsidRDefault="00DA49D8" w:rsidP="00D17218">
            <w:pPr>
              <w:rPr>
                <w:rFonts w:cstheme="majorHAnsi"/>
                <w:b w:val="0"/>
                <w:bCs w:val="0"/>
              </w:rPr>
            </w:pPr>
            <w:r w:rsidRPr="00043194">
              <w:rPr>
                <w:rFonts w:cstheme="majorHAnsi"/>
              </w:rPr>
              <w:t xml:space="preserve">Manner of exit from the </w:t>
            </w:r>
            <w:r w:rsidRPr="00090190">
              <w:rPr>
                <w:rFonts w:cstheme="majorHAnsi"/>
              </w:rPr>
              <w:t>approved program and persistence rates</w:t>
            </w:r>
          </w:p>
        </w:tc>
        <w:tc>
          <w:tcPr>
            <w:tcW w:w="4050" w:type="dxa"/>
          </w:tcPr>
          <w:p w14:paraId="7E585630" w14:textId="77777777" w:rsidR="00DA49D8" w:rsidRPr="00090190" w:rsidRDefault="00DA49D8" w:rsidP="000E41AB">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cstheme="majorHAnsi"/>
              </w:rPr>
            </w:pPr>
            <w:r w:rsidRPr="00090190">
              <w:rPr>
                <w:rFonts w:cstheme="majorHAnsi"/>
              </w:rPr>
              <w:t>Percent of enrolled candidates that complete a program</w:t>
            </w:r>
          </w:p>
          <w:p w14:paraId="1DEF7723" w14:textId="224AC0FC" w:rsidR="00DA49D8" w:rsidRPr="00043194" w:rsidRDefault="00DA49D8" w:rsidP="000E41AB">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cstheme="majorHAnsi"/>
              </w:rPr>
            </w:pPr>
            <w:r w:rsidRPr="00014585">
              <w:rPr>
                <w:rFonts w:cstheme="majorHAnsi"/>
              </w:rPr>
              <w:t>Percent of enrolled candidates that are exited from a program and the top three reasons for exit</w:t>
            </w:r>
          </w:p>
          <w:p w14:paraId="06BA2B65" w14:textId="77777777" w:rsidR="00DA49D8" w:rsidRPr="00090190" w:rsidRDefault="00DA49D8" w:rsidP="00502A2D">
            <w:pPr>
              <w:pStyle w:val="ListParagraph"/>
              <w:ind w:left="360"/>
              <w:cnfStyle w:val="000000000000" w:firstRow="0" w:lastRow="0" w:firstColumn="0" w:lastColumn="0" w:oddVBand="0" w:evenVBand="0" w:oddHBand="0" w:evenHBand="0" w:firstRowFirstColumn="0" w:firstRowLastColumn="0" w:lastRowFirstColumn="0" w:lastRowLastColumn="0"/>
              <w:rPr>
                <w:rFonts w:cstheme="majorHAnsi"/>
              </w:rPr>
            </w:pPr>
          </w:p>
        </w:tc>
        <w:tc>
          <w:tcPr>
            <w:tcW w:w="2340" w:type="dxa"/>
          </w:tcPr>
          <w:p w14:paraId="2F1F8594" w14:textId="77777777" w:rsidR="00DA49D8" w:rsidRPr="00090190" w:rsidRDefault="00DA49D8" w:rsidP="00D17218">
            <w:pPr>
              <w:pStyle w:val="ListParagraph"/>
              <w:ind w:left="0"/>
              <w:cnfStyle w:val="000000000000" w:firstRow="0" w:lastRow="0" w:firstColumn="0" w:lastColumn="0" w:oddVBand="0" w:evenVBand="0" w:oddHBand="0" w:evenHBand="0" w:firstRowFirstColumn="0" w:firstRowLastColumn="0" w:lastRowFirstColumn="0" w:lastRowLastColumn="0"/>
              <w:rPr>
                <w:rFonts w:cstheme="majorHAnsi"/>
              </w:rPr>
            </w:pPr>
            <w:r w:rsidRPr="00090190">
              <w:rPr>
                <w:rFonts w:cstheme="majorHAnsi"/>
              </w:rPr>
              <w:t xml:space="preserve">Calculations by DESE based on data provided by SO in ELAR </w:t>
            </w:r>
          </w:p>
        </w:tc>
      </w:tr>
      <w:tr w:rsidR="00DA49D8" w:rsidRPr="00E54DB1" w14:paraId="432FCB45" w14:textId="77777777" w:rsidTr="00AE1C2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970" w:type="dxa"/>
          </w:tcPr>
          <w:p w14:paraId="2759E0B1" w14:textId="77777777" w:rsidR="00DA49D8" w:rsidRPr="00090190" w:rsidRDefault="00DA49D8" w:rsidP="00D17218">
            <w:pPr>
              <w:rPr>
                <w:rFonts w:cstheme="majorHAnsi"/>
                <w:b w:val="0"/>
                <w:bCs w:val="0"/>
              </w:rPr>
            </w:pPr>
            <w:r w:rsidRPr="00043194">
              <w:rPr>
                <w:rFonts w:cstheme="majorHAnsi"/>
              </w:rPr>
              <w:t>MTEL: Single assessment and aggregate pass rates</w:t>
            </w:r>
          </w:p>
        </w:tc>
        <w:tc>
          <w:tcPr>
            <w:tcW w:w="4050" w:type="dxa"/>
          </w:tcPr>
          <w:p w14:paraId="3E0DB9D9" w14:textId="77777777" w:rsidR="00DA49D8" w:rsidRPr="00090190" w:rsidRDefault="00DA49D8" w:rsidP="000E41AB">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rFonts w:cstheme="majorHAnsi"/>
              </w:rPr>
            </w:pPr>
            <w:r w:rsidRPr="00090190">
              <w:rPr>
                <w:rFonts w:cstheme="majorHAnsi"/>
              </w:rPr>
              <w:t>All candidates pass rate</w:t>
            </w:r>
          </w:p>
          <w:p w14:paraId="2F9F819D" w14:textId="77777777" w:rsidR="00DA49D8" w:rsidRPr="00014585" w:rsidRDefault="00DA49D8" w:rsidP="000E41AB">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rFonts w:cstheme="majorHAnsi"/>
              </w:rPr>
            </w:pPr>
            <w:r w:rsidRPr="00090190">
              <w:rPr>
                <w:rFonts w:cstheme="majorHAnsi"/>
              </w:rPr>
              <w:t>Pass rate by assessment</w:t>
            </w:r>
          </w:p>
        </w:tc>
        <w:tc>
          <w:tcPr>
            <w:tcW w:w="2340" w:type="dxa"/>
          </w:tcPr>
          <w:p w14:paraId="153C3E54" w14:textId="77777777" w:rsidR="00DA49D8" w:rsidRPr="00014585" w:rsidRDefault="00DA49D8" w:rsidP="00D17218">
            <w:pPr>
              <w:cnfStyle w:val="000000100000" w:firstRow="0" w:lastRow="0" w:firstColumn="0" w:lastColumn="0" w:oddVBand="0" w:evenVBand="0" w:oddHBand="1" w:evenHBand="0" w:firstRowFirstColumn="0" w:firstRowLastColumn="0" w:lastRowFirstColumn="0" w:lastRowLastColumn="0"/>
              <w:rPr>
                <w:rFonts w:cstheme="majorHAnsi"/>
              </w:rPr>
            </w:pPr>
            <w:r w:rsidRPr="00014585">
              <w:rPr>
                <w:rFonts w:cstheme="majorHAnsi"/>
              </w:rPr>
              <w:t xml:space="preserve">Calculations by MTEL Vendor based on data provided by SO </w:t>
            </w:r>
          </w:p>
        </w:tc>
      </w:tr>
      <w:tr w:rsidR="00DA49D8" w:rsidRPr="00E54DB1" w14:paraId="41576E52" w14:textId="77777777" w:rsidTr="00AE1C20">
        <w:trPr>
          <w:trHeight w:val="1008"/>
        </w:trPr>
        <w:tc>
          <w:tcPr>
            <w:cnfStyle w:val="001000000000" w:firstRow="0" w:lastRow="0" w:firstColumn="1" w:lastColumn="0" w:oddVBand="0" w:evenVBand="0" w:oddHBand="0" w:evenHBand="0" w:firstRowFirstColumn="0" w:firstRowLastColumn="0" w:lastRowFirstColumn="0" w:lastRowLastColumn="0"/>
            <w:tcW w:w="2970" w:type="dxa"/>
          </w:tcPr>
          <w:p w14:paraId="1B95FD18" w14:textId="3AD44234" w:rsidR="00DA49D8" w:rsidRPr="00014585" w:rsidRDefault="00DA49D8" w:rsidP="00D17218">
            <w:pPr>
              <w:rPr>
                <w:rFonts w:cstheme="majorHAnsi"/>
                <w:b w:val="0"/>
                <w:bCs w:val="0"/>
              </w:rPr>
            </w:pPr>
            <w:r w:rsidRPr="00043194">
              <w:rPr>
                <w:rFonts w:cstheme="majorHAnsi"/>
              </w:rPr>
              <w:t xml:space="preserve">MTEL: Summary pass rates at the point </w:t>
            </w:r>
            <w:r w:rsidR="009810BE" w:rsidRPr="00090190">
              <w:rPr>
                <w:rFonts w:cstheme="majorHAnsi"/>
              </w:rPr>
              <w:t>of</w:t>
            </w:r>
            <w:r w:rsidRPr="00090190">
              <w:rPr>
                <w:rFonts w:cstheme="majorHAnsi"/>
              </w:rPr>
              <w:t xml:space="preserve"> enrollment, non-practicum completion, program completion</w:t>
            </w:r>
          </w:p>
        </w:tc>
        <w:tc>
          <w:tcPr>
            <w:tcW w:w="4050" w:type="dxa"/>
          </w:tcPr>
          <w:p w14:paraId="641B5231" w14:textId="77777777" w:rsidR="00DA49D8" w:rsidRPr="00014585" w:rsidRDefault="00DA49D8" w:rsidP="000E41AB">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rFonts w:cstheme="majorHAnsi"/>
              </w:rPr>
            </w:pPr>
            <w:r w:rsidRPr="00014585">
              <w:rPr>
                <w:rFonts w:cstheme="majorHAnsi"/>
              </w:rPr>
              <w:t>Pass rate at enrollment – all assessments</w:t>
            </w:r>
          </w:p>
          <w:p w14:paraId="072CFECA" w14:textId="77777777" w:rsidR="00DA49D8" w:rsidRPr="00014585" w:rsidRDefault="00DA49D8" w:rsidP="000E41AB">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rFonts w:cstheme="majorHAnsi"/>
              </w:rPr>
            </w:pPr>
            <w:r w:rsidRPr="00014585">
              <w:rPr>
                <w:rFonts w:cstheme="majorHAnsi"/>
              </w:rPr>
              <w:t>Pass rate at non-practicum completion – all assessments</w:t>
            </w:r>
          </w:p>
          <w:p w14:paraId="64374ED1" w14:textId="77777777" w:rsidR="00DA49D8" w:rsidRPr="00014585" w:rsidRDefault="00DA49D8" w:rsidP="000E41AB">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rFonts w:cstheme="majorHAnsi"/>
              </w:rPr>
            </w:pPr>
            <w:r w:rsidRPr="00014585">
              <w:rPr>
                <w:rFonts w:cstheme="majorHAnsi"/>
              </w:rPr>
              <w:t>Pass rate at program completion – all assessments</w:t>
            </w:r>
          </w:p>
        </w:tc>
        <w:tc>
          <w:tcPr>
            <w:tcW w:w="2340" w:type="dxa"/>
          </w:tcPr>
          <w:p w14:paraId="38D7940C" w14:textId="77777777" w:rsidR="00DA49D8" w:rsidRPr="00DD08F3" w:rsidRDefault="00DA49D8" w:rsidP="00D17218">
            <w:pPr>
              <w:cnfStyle w:val="000000000000" w:firstRow="0" w:lastRow="0" w:firstColumn="0" w:lastColumn="0" w:oddVBand="0" w:evenVBand="0" w:oddHBand="0" w:evenHBand="0" w:firstRowFirstColumn="0" w:firstRowLastColumn="0" w:lastRowFirstColumn="0" w:lastRowLastColumn="0"/>
              <w:rPr>
                <w:rFonts w:cstheme="majorHAnsi"/>
              </w:rPr>
            </w:pPr>
            <w:r w:rsidRPr="00014585">
              <w:rPr>
                <w:rFonts w:cstheme="majorHAnsi"/>
              </w:rPr>
              <w:t xml:space="preserve">Calculations by MTEL Vendor based on data </w:t>
            </w:r>
            <w:r w:rsidRPr="00AC72D4">
              <w:rPr>
                <w:rFonts w:cstheme="majorHAnsi"/>
              </w:rPr>
              <w:t>provided by SO</w:t>
            </w:r>
          </w:p>
        </w:tc>
      </w:tr>
      <w:tr w:rsidR="00DA49D8" w:rsidRPr="00E54DB1" w14:paraId="1C4FF562" w14:textId="77777777" w:rsidTr="00AE1C20">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970" w:type="dxa"/>
          </w:tcPr>
          <w:p w14:paraId="52301116" w14:textId="77777777" w:rsidR="00DA49D8" w:rsidRPr="00090190" w:rsidRDefault="00DA49D8" w:rsidP="00D17218">
            <w:pPr>
              <w:rPr>
                <w:rFonts w:cstheme="majorHAnsi"/>
                <w:b w:val="0"/>
                <w:bCs w:val="0"/>
              </w:rPr>
            </w:pPr>
            <w:r w:rsidRPr="00043194">
              <w:rPr>
                <w:rFonts w:cstheme="majorHAnsi"/>
              </w:rPr>
              <w:t>State administered survey data</w:t>
            </w:r>
          </w:p>
        </w:tc>
        <w:tc>
          <w:tcPr>
            <w:tcW w:w="4050" w:type="dxa"/>
          </w:tcPr>
          <w:p w14:paraId="190C55E8" w14:textId="77777777" w:rsidR="00DA49D8" w:rsidRPr="00090190" w:rsidRDefault="00DA49D8" w:rsidP="000E41AB">
            <w:pPr>
              <w:pStyle w:val="ListParagraph"/>
              <w:numPr>
                <w:ilvl w:val="0"/>
                <w:numId w:val="52"/>
              </w:numPr>
              <w:cnfStyle w:val="000000100000" w:firstRow="0" w:lastRow="0" w:firstColumn="0" w:lastColumn="0" w:oddVBand="0" w:evenVBand="0" w:oddHBand="1" w:evenHBand="0" w:firstRowFirstColumn="0" w:firstRowLastColumn="0" w:lastRowFirstColumn="0" w:lastRowLastColumn="0"/>
              <w:rPr>
                <w:rFonts w:cstheme="majorHAnsi"/>
              </w:rPr>
            </w:pPr>
            <w:r w:rsidRPr="00090190">
              <w:rPr>
                <w:rFonts w:cstheme="majorHAnsi"/>
              </w:rPr>
              <w:t>Response rate and responses by question for stakeholder groups such as:</w:t>
            </w:r>
          </w:p>
          <w:p w14:paraId="094861C1" w14:textId="77777777" w:rsidR="00DA49D8" w:rsidRPr="00014585" w:rsidRDefault="00DA49D8" w:rsidP="000E41AB">
            <w:pPr>
              <w:pStyle w:val="ListParagraph"/>
              <w:numPr>
                <w:ilvl w:val="0"/>
                <w:numId w:val="52"/>
              </w:numPr>
              <w:ind w:left="522" w:firstLine="0"/>
              <w:cnfStyle w:val="000000100000" w:firstRow="0" w:lastRow="0" w:firstColumn="0" w:lastColumn="0" w:oddVBand="0" w:evenVBand="0" w:oddHBand="1" w:evenHBand="0" w:firstRowFirstColumn="0" w:firstRowLastColumn="0" w:lastRowFirstColumn="0" w:lastRowLastColumn="0"/>
              <w:rPr>
                <w:rFonts w:cstheme="majorHAnsi"/>
              </w:rPr>
            </w:pPr>
            <w:r w:rsidRPr="00014585">
              <w:rPr>
                <w:rFonts w:cstheme="majorHAnsi"/>
              </w:rPr>
              <w:t>Recent completers</w:t>
            </w:r>
          </w:p>
          <w:p w14:paraId="38DACCA1" w14:textId="28DA49FB" w:rsidR="00DA49D8" w:rsidRPr="00043194" w:rsidRDefault="00DA49D8" w:rsidP="000E41AB">
            <w:pPr>
              <w:pStyle w:val="ListParagraph"/>
              <w:numPr>
                <w:ilvl w:val="0"/>
                <w:numId w:val="52"/>
              </w:numPr>
              <w:ind w:left="522" w:firstLine="0"/>
              <w:cnfStyle w:val="000000100000" w:firstRow="0" w:lastRow="0" w:firstColumn="0" w:lastColumn="0" w:oddVBand="0" w:evenVBand="0" w:oddHBand="1" w:evenHBand="0" w:firstRowFirstColumn="0" w:firstRowLastColumn="0" w:lastRowFirstColumn="0" w:lastRowLastColumn="0"/>
              <w:rPr>
                <w:rFonts w:cstheme="majorHAnsi"/>
              </w:rPr>
            </w:pPr>
            <w:r w:rsidRPr="00014585">
              <w:rPr>
                <w:rFonts w:cstheme="majorHAnsi"/>
              </w:rPr>
              <w:t>First year employed completers</w:t>
            </w:r>
          </w:p>
          <w:p w14:paraId="3CE91A13" w14:textId="77777777" w:rsidR="00DA49D8" w:rsidRPr="00043194" w:rsidRDefault="00DA49D8" w:rsidP="000E41AB">
            <w:pPr>
              <w:pStyle w:val="ListParagraph"/>
              <w:numPr>
                <w:ilvl w:val="0"/>
                <w:numId w:val="52"/>
              </w:numPr>
              <w:ind w:left="522" w:firstLine="0"/>
              <w:cnfStyle w:val="000000100000" w:firstRow="0" w:lastRow="0" w:firstColumn="0" w:lastColumn="0" w:oddVBand="0" w:evenVBand="0" w:oddHBand="1" w:evenHBand="0" w:firstRowFirstColumn="0" w:firstRowLastColumn="0" w:lastRowFirstColumn="0" w:lastRowLastColumn="0"/>
              <w:rPr>
                <w:rFonts w:cstheme="majorHAnsi"/>
              </w:rPr>
            </w:pPr>
            <w:r w:rsidRPr="00043194">
              <w:rPr>
                <w:rFonts w:cstheme="majorHAnsi"/>
              </w:rPr>
              <w:t>PK-12 hiring employers</w:t>
            </w:r>
          </w:p>
          <w:p w14:paraId="559A1FB8" w14:textId="77777777" w:rsidR="00DA49D8" w:rsidRPr="00090190" w:rsidRDefault="00DA49D8" w:rsidP="000E41AB">
            <w:pPr>
              <w:pStyle w:val="ListParagraph"/>
              <w:numPr>
                <w:ilvl w:val="0"/>
                <w:numId w:val="52"/>
              </w:numPr>
              <w:ind w:left="522" w:firstLine="0"/>
              <w:cnfStyle w:val="000000100000" w:firstRow="0" w:lastRow="0" w:firstColumn="0" w:lastColumn="0" w:oddVBand="0" w:evenVBand="0" w:oddHBand="1" w:evenHBand="0" w:firstRowFirstColumn="0" w:firstRowLastColumn="0" w:lastRowFirstColumn="0" w:lastRowLastColumn="0"/>
              <w:rPr>
                <w:rFonts w:cstheme="majorHAnsi"/>
              </w:rPr>
            </w:pPr>
            <w:r w:rsidRPr="00090190">
              <w:rPr>
                <w:rFonts w:cstheme="majorHAnsi"/>
              </w:rPr>
              <w:t>Supervising Practitioners</w:t>
            </w:r>
          </w:p>
        </w:tc>
        <w:tc>
          <w:tcPr>
            <w:tcW w:w="2340" w:type="dxa"/>
          </w:tcPr>
          <w:p w14:paraId="14BFC75D" w14:textId="77777777" w:rsidR="00DA49D8" w:rsidRPr="00090190" w:rsidRDefault="00DA49D8" w:rsidP="00D17218">
            <w:pPr>
              <w:cnfStyle w:val="000000100000" w:firstRow="0" w:lastRow="0" w:firstColumn="0" w:lastColumn="0" w:oddVBand="0" w:evenVBand="0" w:oddHBand="1" w:evenHBand="0" w:firstRowFirstColumn="0" w:firstRowLastColumn="0" w:lastRowFirstColumn="0" w:lastRowLastColumn="0"/>
              <w:rPr>
                <w:rFonts w:cstheme="majorHAnsi"/>
              </w:rPr>
            </w:pPr>
            <w:r w:rsidRPr="00090190">
              <w:rPr>
                <w:rFonts w:cstheme="majorHAnsi"/>
              </w:rPr>
              <w:t>DESE</w:t>
            </w:r>
          </w:p>
        </w:tc>
      </w:tr>
      <w:tr w:rsidR="00DA49D8" w:rsidRPr="00E54DB1" w14:paraId="18D19126" w14:textId="77777777" w:rsidTr="00AE1C20">
        <w:trPr>
          <w:trHeight w:val="864"/>
        </w:trPr>
        <w:tc>
          <w:tcPr>
            <w:cnfStyle w:val="001000000000" w:firstRow="0" w:lastRow="0" w:firstColumn="1" w:lastColumn="0" w:oddVBand="0" w:evenVBand="0" w:oddHBand="0" w:evenHBand="0" w:firstRowFirstColumn="0" w:firstRowLastColumn="0" w:lastRowFirstColumn="0" w:lastRowLastColumn="0"/>
            <w:tcW w:w="2970" w:type="dxa"/>
          </w:tcPr>
          <w:p w14:paraId="428565BA" w14:textId="77777777" w:rsidR="00DA49D8" w:rsidRPr="00043194" w:rsidRDefault="00DA49D8" w:rsidP="00D17218">
            <w:pPr>
              <w:rPr>
                <w:rFonts w:cstheme="majorHAnsi"/>
                <w:b w:val="0"/>
                <w:bCs w:val="0"/>
              </w:rPr>
            </w:pPr>
            <w:r w:rsidRPr="00043194">
              <w:rPr>
                <w:rFonts w:cstheme="majorHAnsi"/>
              </w:rPr>
              <w:t>Aggregate employment data</w:t>
            </w:r>
          </w:p>
        </w:tc>
        <w:tc>
          <w:tcPr>
            <w:tcW w:w="4050" w:type="dxa"/>
          </w:tcPr>
          <w:p w14:paraId="129C6218" w14:textId="77777777" w:rsidR="00DA49D8" w:rsidRPr="00090190" w:rsidRDefault="00DA49D8" w:rsidP="000E41AB">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cstheme="majorHAnsi"/>
              </w:rPr>
            </w:pPr>
            <w:r w:rsidRPr="00043194">
              <w:rPr>
                <w:rFonts w:cstheme="majorHAnsi"/>
              </w:rPr>
              <w:t xml:space="preserve">Percent employed in a MA public school </w:t>
            </w:r>
          </w:p>
          <w:p w14:paraId="146BFE2D" w14:textId="77777777" w:rsidR="00DA49D8" w:rsidRPr="00090190" w:rsidRDefault="00DA49D8" w:rsidP="000E41AB">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cstheme="majorHAnsi"/>
              </w:rPr>
            </w:pPr>
            <w:r w:rsidRPr="00090190">
              <w:rPr>
                <w:rFonts w:cstheme="majorHAnsi"/>
              </w:rPr>
              <w:t>Percent remaining employed for at least 2 years</w:t>
            </w:r>
          </w:p>
        </w:tc>
        <w:tc>
          <w:tcPr>
            <w:tcW w:w="2340" w:type="dxa"/>
          </w:tcPr>
          <w:p w14:paraId="0E02B474" w14:textId="49294903" w:rsidR="00DA49D8" w:rsidRPr="00014585" w:rsidRDefault="00DA49D8" w:rsidP="00D17218">
            <w:pPr>
              <w:cnfStyle w:val="000000000000" w:firstRow="0" w:lastRow="0" w:firstColumn="0" w:lastColumn="0" w:oddVBand="0" w:evenVBand="0" w:oddHBand="0" w:evenHBand="0" w:firstRowFirstColumn="0" w:firstRowLastColumn="0" w:lastRowFirstColumn="0" w:lastRowLastColumn="0"/>
              <w:rPr>
                <w:rFonts w:cstheme="majorHAnsi"/>
              </w:rPr>
            </w:pPr>
            <w:r w:rsidRPr="00014585">
              <w:rPr>
                <w:rFonts w:cstheme="majorHAnsi"/>
              </w:rPr>
              <w:t xml:space="preserve">Calculations by </w:t>
            </w:r>
            <w:r w:rsidR="00433FCC" w:rsidRPr="00014585">
              <w:rPr>
                <w:rFonts w:cstheme="majorHAnsi"/>
              </w:rPr>
              <w:t>D</w:t>
            </w:r>
            <w:r w:rsidRPr="00014585">
              <w:rPr>
                <w:rFonts w:cstheme="majorHAnsi"/>
              </w:rPr>
              <w:t>ESE based on data provided by SO in ELAR and districts in EPIMS</w:t>
            </w:r>
          </w:p>
        </w:tc>
      </w:tr>
      <w:tr w:rsidR="00DA49D8" w:rsidRPr="00E54DB1" w14:paraId="416BA4E7" w14:textId="77777777" w:rsidTr="00AE1C20">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2970" w:type="dxa"/>
          </w:tcPr>
          <w:p w14:paraId="3ABA0B76" w14:textId="77777777" w:rsidR="00DA49D8" w:rsidRPr="00043194" w:rsidRDefault="00DA49D8" w:rsidP="00D17218">
            <w:pPr>
              <w:rPr>
                <w:rFonts w:cstheme="majorHAnsi"/>
                <w:b w:val="0"/>
                <w:bCs w:val="0"/>
              </w:rPr>
            </w:pPr>
            <w:r w:rsidRPr="00043194">
              <w:rPr>
                <w:rFonts w:cstheme="majorHAnsi"/>
              </w:rPr>
              <w:t>Aggregate evaluation ratings</w:t>
            </w:r>
          </w:p>
        </w:tc>
        <w:tc>
          <w:tcPr>
            <w:tcW w:w="4050" w:type="dxa"/>
          </w:tcPr>
          <w:p w14:paraId="0E56919A" w14:textId="77777777" w:rsidR="00DA49D8" w:rsidRPr="00043194" w:rsidRDefault="00DA49D8" w:rsidP="000E41AB">
            <w:pPr>
              <w:pStyle w:val="ListParagraph"/>
              <w:numPr>
                <w:ilvl w:val="0"/>
                <w:numId w:val="54"/>
              </w:numPr>
              <w:cnfStyle w:val="000000100000" w:firstRow="0" w:lastRow="0" w:firstColumn="0" w:lastColumn="0" w:oddVBand="0" w:evenVBand="0" w:oddHBand="1" w:evenHBand="0" w:firstRowFirstColumn="0" w:firstRowLastColumn="0" w:lastRowFirstColumn="0" w:lastRowLastColumn="0"/>
              <w:rPr>
                <w:rFonts w:cstheme="majorHAnsi"/>
              </w:rPr>
            </w:pPr>
            <w:r w:rsidRPr="00043194">
              <w:rPr>
                <w:rFonts w:cstheme="majorHAnsi"/>
              </w:rPr>
              <w:t>Percent by summative rating</w:t>
            </w:r>
          </w:p>
          <w:p w14:paraId="2A1C6B5B" w14:textId="77777777" w:rsidR="00DA49D8" w:rsidRPr="00043194" w:rsidRDefault="00DA49D8" w:rsidP="00437A8B">
            <w:pPr>
              <w:pStyle w:val="ListParagraph"/>
              <w:ind w:left="360"/>
              <w:cnfStyle w:val="000000100000" w:firstRow="0" w:lastRow="0" w:firstColumn="0" w:lastColumn="0" w:oddVBand="0" w:evenVBand="0" w:oddHBand="1" w:evenHBand="0" w:firstRowFirstColumn="0" w:firstRowLastColumn="0" w:lastRowFirstColumn="0" w:lastRowLastColumn="0"/>
              <w:rPr>
                <w:rFonts w:cstheme="majorHAnsi"/>
              </w:rPr>
            </w:pPr>
          </w:p>
        </w:tc>
        <w:tc>
          <w:tcPr>
            <w:tcW w:w="2340" w:type="dxa"/>
          </w:tcPr>
          <w:p w14:paraId="1F4F548F" w14:textId="093722AC" w:rsidR="00DA49D8" w:rsidRPr="00014585" w:rsidRDefault="00DA49D8" w:rsidP="00D17218">
            <w:pPr>
              <w:cnfStyle w:val="000000100000" w:firstRow="0" w:lastRow="0" w:firstColumn="0" w:lastColumn="0" w:oddVBand="0" w:evenVBand="0" w:oddHBand="1" w:evenHBand="0" w:firstRowFirstColumn="0" w:firstRowLastColumn="0" w:lastRowFirstColumn="0" w:lastRowLastColumn="0"/>
              <w:rPr>
                <w:rFonts w:cstheme="majorHAnsi"/>
              </w:rPr>
            </w:pPr>
            <w:r w:rsidRPr="00090190">
              <w:rPr>
                <w:rFonts w:cstheme="majorHAnsi"/>
              </w:rPr>
              <w:t xml:space="preserve">Calculations by </w:t>
            </w:r>
            <w:r w:rsidR="00433FCC" w:rsidRPr="00090190">
              <w:rPr>
                <w:rFonts w:cstheme="majorHAnsi"/>
              </w:rPr>
              <w:t>D</w:t>
            </w:r>
            <w:r w:rsidRPr="00090190">
              <w:rPr>
                <w:rFonts w:cstheme="majorHAnsi"/>
              </w:rPr>
              <w:t xml:space="preserve">ESE </w:t>
            </w:r>
            <w:r w:rsidRPr="00014585">
              <w:rPr>
                <w:rFonts w:cstheme="majorHAnsi"/>
              </w:rPr>
              <w:t>based on data provided by SO in ELAR and districts in EPIMS</w:t>
            </w:r>
          </w:p>
        </w:tc>
      </w:tr>
    </w:tbl>
    <w:p w14:paraId="5CF9CE30" w14:textId="77777777" w:rsidR="00DA49D8" w:rsidRPr="00BA67B6" w:rsidRDefault="00DA49D8" w:rsidP="00596840">
      <w:pPr>
        <w:rPr>
          <w:rFonts w:cstheme="majorHAnsi"/>
          <w:sz w:val="24"/>
          <w:szCs w:val="24"/>
        </w:rPr>
      </w:pPr>
    </w:p>
    <w:p w14:paraId="0C5236F0" w14:textId="77777777" w:rsidR="00E54DB1" w:rsidRDefault="00E54DB1">
      <w:pPr>
        <w:rPr>
          <w:rStyle w:val="normaltextrun"/>
          <w:rFonts w:ascii="Calibri" w:hAnsi="Calibri"/>
          <w:b/>
          <w:color w:val="1F497D" w:themeColor="text2"/>
          <w:sz w:val="32"/>
          <w:szCs w:val="48"/>
        </w:rPr>
      </w:pPr>
      <w:bookmarkStart w:id="137" w:name="_National_Accreditation_&amp;"/>
      <w:bookmarkStart w:id="138" w:name="_Toc106003175"/>
      <w:bookmarkEnd w:id="137"/>
      <w:r>
        <w:rPr>
          <w:rStyle w:val="normaltextrun"/>
        </w:rPr>
        <w:br w:type="page"/>
      </w:r>
    </w:p>
    <w:p w14:paraId="338E7A72" w14:textId="1987DDBC" w:rsidR="00C70A63" w:rsidRPr="00C37719" w:rsidRDefault="00C70A63">
      <w:pPr>
        <w:pStyle w:val="Heading1"/>
      </w:pPr>
      <w:bookmarkStart w:id="139" w:name="_Toc125575645"/>
      <w:r w:rsidRPr="00174ECC">
        <w:rPr>
          <w:rStyle w:val="normaltextrun"/>
        </w:rPr>
        <w:lastRenderedPageBreak/>
        <w:t>National Accreditation &amp; State Program Approval</w:t>
      </w:r>
      <w:bookmarkEnd w:id="138"/>
      <w:bookmarkEnd w:id="139"/>
      <w:r w:rsidRPr="00174ECC">
        <w:rPr>
          <w:rStyle w:val="normaltextrun"/>
        </w:rPr>
        <w:t xml:space="preserve"> </w:t>
      </w:r>
    </w:p>
    <w:p w14:paraId="7BFC41C6" w14:textId="33CC6A65" w:rsidR="00C70A63" w:rsidRPr="00090190" w:rsidRDefault="00C70A63" w:rsidP="00437A8B">
      <w:pPr>
        <w:pStyle w:val="paragraph"/>
        <w:spacing w:before="0" w:beforeAutospacing="0" w:after="0" w:afterAutospacing="0" w:line="276" w:lineRule="auto"/>
        <w:textAlignment w:val="baseline"/>
        <w:rPr>
          <w:rFonts w:asciiTheme="majorHAnsi" w:hAnsiTheme="majorHAnsi" w:cstheme="majorHAnsi"/>
          <w:color w:val="000000" w:themeColor="text1"/>
          <w:sz w:val="22"/>
          <w:szCs w:val="22"/>
        </w:rPr>
      </w:pPr>
      <w:r w:rsidRPr="000E1B26">
        <w:rPr>
          <w:rStyle w:val="normaltextrun"/>
          <w:rFonts w:asciiTheme="majorHAnsi" w:hAnsiTheme="majorHAnsi" w:cstheme="majorHAnsi"/>
          <w:color w:val="000000" w:themeColor="text1"/>
          <w:sz w:val="22"/>
          <w:szCs w:val="22"/>
        </w:rPr>
        <w:t>National Accreditation is not required in Massachusetts. Massachusetts does not have any partnerships with national accrediting bodies for educator preparation. In December 2018, based on collaborative discussi</w:t>
      </w:r>
      <w:r w:rsidRPr="00090190">
        <w:rPr>
          <w:rStyle w:val="normaltextrun"/>
          <w:rFonts w:asciiTheme="majorHAnsi" w:hAnsiTheme="majorHAnsi" w:cstheme="majorHAnsi"/>
          <w:color w:val="000000" w:themeColor="text1"/>
          <w:sz w:val="22"/>
          <w:szCs w:val="22"/>
        </w:rPr>
        <w:t>ons with preparation programs and the Department of Higher Education, Massachusetts ended its partnership with the Council for the Accreditation of Educator Preparation (CAEP).</w:t>
      </w:r>
      <w:r w:rsidRPr="00090190">
        <w:rPr>
          <w:rStyle w:val="eop"/>
          <w:rFonts w:asciiTheme="majorHAnsi" w:hAnsiTheme="majorHAnsi" w:cstheme="majorHAnsi"/>
          <w:color w:val="000000" w:themeColor="text1"/>
          <w:sz w:val="22"/>
          <w:szCs w:val="22"/>
        </w:rPr>
        <w:t> </w:t>
      </w:r>
    </w:p>
    <w:p w14:paraId="17744B62" w14:textId="5E26EBAB" w:rsidR="00C70A63" w:rsidRPr="000E1B26" w:rsidRDefault="00C70A63" w:rsidP="00437A8B">
      <w:pPr>
        <w:pStyle w:val="paragraph"/>
        <w:spacing w:before="120" w:beforeAutospacing="0" w:after="0" w:afterAutospacing="0" w:line="276" w:lineRule="auto"/>
        <w:textAlignment w:val="baseline"/>
        <w:rPr>
          <w:rStyle w:val="normaltextrun"/>
          <w:rFonts w:asciiTheme="majorHAnsi" w:hAnsiTheme="majorHAnsi" w:cstheme="majorHAnsi"/>
          <w:color w:val="000000" w:themeColor="text1"/>
          <w:sz w:val="22"/>
          <w:szCs w:val="22"/>
        </w:rPr>
      </w:pPr>
      <w:r w:rsidRPr="00090190">
        <w:rPr>
          <w:rStyle w:val="normaltextrun"/>
          <w:rFonts w:asciiTheme="majorHAnsi" w:hAnsiTheme="majorHAnsi" w:cstheme="majorHAnsi"/>
          <w:color w:val="000000" w:themeColor="text1"/>
          <w:sz w:val="22"/>
          <w:szCs w:val="22"/>
        </w:rPr>
        <w:t xml:space="preserve">Sponsoring </w:t>
      </w:r>
      <w:r w:rsidRPr="00014585">
        <w:rPr>
          <w:rStyle w:val="normaltextrun"/>
          <w:rFonts w:asciiTheme="majorHAnsi" w:hAnsiTheme="majorHAnsi" w:cstheme="majorHAnsi"/>
          <w:color w:val="000000" w:themeColor="text1"/>
          <w:sz w:val="22"/>
          <w:szCs w:val="22"/>
        </w:rPr>
        <w:t>Organizations</w:t>
      </w:r>
      <w:r w:rsidR="00E54DB1" w:rsidRPr="000E1B26">
        <w:rPr>
          <w:rStyle w:val="FootnoteReference"/>
          <w:rFonts w:asciiTheme="majorHAnsi" w:hAnsiTheme="majorHAnsi" w:cstheme="majorHAnsi"/>
          <w:color w:val="000000" w:themeColor="text1"/>
          <w:sz w:val="22"/>
          <w:szCs w:val="22"/>
        </w:rPr>
        <w:footnoteReference w:id="26"/>
      </w:r>
      <w:r w:rsidRPr="000E1B26">
        <w:rPr>
          <w:rStyle w:val="normaltextrun"/>
          <w:rFonts w:asciiTheme="majorHAnsi" w:hAnsiTheme="majorHAnsi" w:cstheme="majorHAnsi"/>
          <w:color w:val="000000" w:themeColor="text1"/>
          <w:sz w:val="22"/>
          <w:szCs w:val="22"/>
        </w:rPr>
        <w:t xml:space="preserve"> that wish to seek national accreditation may do so but will still need to undergo state review and approval to operate as an approved preparation program in Massachusetts.</w:t>
      </w:r>
    </w:p>
    <w:p w14:paraId="553158FB" w14:textId="7E7C5601" w:rsidR="006554B5" w:rsidRDefault="006554B5">
      <w:pPr>
        <w:rPr>
          <w:rStyle w:val="normaltextrun"/>
          <w:rFonts w:eastAsia="Times New Roman" w:cstheme="majorHAnsi"/>
          <w:color w:val="000000" w:themeColor="text1"/>
          <w:sz w:val="24"/>
          <w:szCs w:val="24"/>
        </w:rPr>
      </w:pPr>
      <w:r>
        <w:rPr>
          <w:rStyle w:val="normaltextrun"/>
          <w:rFonts w:cstheme="majorHAnsi"/>
          <w:color w:val="000000" w:themeColor="text1"/>
        </w:rPr>
        <w:br w:type="page"/>
      </w:r>
    </w:p>
    <w:p w14:paraId="70104A9E" w14:textId="77777777" w:rsidR="00171E44" w:rsidRDefault="00A00A0C" w:rsidP="00171E44">
      <w:pPr>
        <w:pStyle w:val="Heading1"/>
      </w:pPr>
      <w:bookmarkStart w:id="140" w:name="_Appendix_A:_Regulations"/>
      <w:bookmarkStart w:id="141" w:name="_Toc125575646"/>
      <w:bookmarkEnd w:id="140"/>
      <w:r w:rsidRPr="00174ECC">
        <w:lastRenderedPageBreak/>
        <w:t xml:space="preserve">Appendix A: Regulations Governing Program </w:t>
      </w:r>
      <w:r w:rsidR="006554B5">
        <w:t>A</w:t>
      </w:r>
      <w:r w:rsidRPr="00174ECC">
        <w:t>pproval</w:t>
      </w:r>
      <w:bookmarkStart w:id="142" w:name="_Toc125547355"/>
      <w:bookmarkEnd w:id="141"/>
    </w:p>
    <w:p w14:paraId="1F732E96" w14:textId="1DF0B437" w:rsidR="00A00A0C" w:rsidRPr="00E54DB1" w:rsidRDefault="00A00A0C" w:rsidP="007125CB">
      <w:pPr>
        <w:pStyle w:val="Heading1"/>
        <w:rPr>
          <w:rFonts w:asciiTheme="majorHAnsi" w:hAnsiTheme="majorHAnsi" w:cstheme="majorHAnsi"/>
          <w:sz w:val="22"/>
          <w:szCs w:val="22"/>
        </w:rPr>
      </w:pPr>
      <w:bookmarkStart w:id="143" w:name="_Toc125574803"/>
      <w:bookmarkStart w:id="144" w:name="_Toc125575647"/>
      <w:r w:rsidRPr="00E54DB1">
        <w:rPr>
          <w:rFonts w:asciiTheme="majorHAnsi" w:hAnsiTheme="majorHAnsi" w:cstheme="majorHAnsi"/>
          <w:bCs/>
          <w:color w:val="222222"/>
          <w:sz w:val="22"/>
          <w:szCs w:val="22"/>
        </w:rPr>
        <w:t>603 CMR 7.00</w:t>
      </w:r>
      <w:r w:rsidRPr="00E54DB1">
        <w:rPr>
          <w:rFonts w:asciiTheme="majorHAnsi" w:hAnsiTheme="majorHAnsi" w:cstheme="majorHAnsi"/>
          <w:bCs/>
          <w:color w:val="222222"/>
          <w:sz w:val="22"/>
          <w:szCs w:val="22"/>
        </w:rPr>
        <w:br/>
      </w:r>
      <w:r w:rsidRPr="00E54DB1">
        <w:rPr>
          <w:rFonts w:asciiTheme="majorHAnsi" w:hAnsiTheme="majorHAnsi" w:cstheme="majorHAnsi"/>
          <w:bCs/>
          <w:color w:val="000000" w:themeColor="text1"/>
          <w:spacing w:val="12"/>
          <w:sz w:val="22"/>
          <w:szCs w:val="22"/>
        </w:rPr>
        <w:t>Educator Licensure and Preparation Program Approval Regulations</w:t>
      </w:r>
      <w:bookmarkEnd w:id="142"/>
      <w:r w:rsidRPr="00E54DB1">
        <w:rPr>
          <w:rFonts w:asciiTheme="majorHAnsi" w:hAnsiTheme="majorHAnsi" w:cstheme="majorHAnsi"/>
          <w:sz w:val="22"/>
          <w:szCs w:val="22"/>
        </w:rPr>
        <w:br/>
      </w:r>
      <w:r w:rsidRPr="00E54DB1">
        <w:rPr>
          <w:rFonts w:asciiTheme="majorHAnsi" w:hAnsiTheme="majorHAnsi" w:cstheme="majorHAnsi"/>
          <w:b w:val="0"/>
          <w:bCs/>
          <w:color w:val="222222"/>
          <w:sz w:val="22"/>
          <w:szCs w:val="22"/>
          <w:shd w:val="clear" w:color="auto" w:fill="FFFFFF"/>
        </w:rPr>
        <w:t>Most Recently Amended by the Board of Elementary and Secondary Education: June 28, 2022</w:t>
      </w:r>
      <w:bookmarkEnd w:id="143"/>
      <w:bookmarkEnd w:id="144"/>
    </w:p>
    <w:p w14:paraId="20CF0025" w14:textId="77777777" w:rsidR="00A00A0C" w:rsidRPr="00E54DB1" w:rsidRDefault="002E69EF" w:rsidP="00A00A0C">
      <w:pPr>
        <w:shd w:val="clear" w:color="auto" w:fill="FFFFFF"/>
        <w:spacing w:before="100" w:beforeAutospacing="1" w:after="100" w:afterAutospacing="1" w:line="240" w:lineRule="auto"/>
        <w:outlineLvl w:val="2"/>
        <w:rPr>
          <w:rFonts w:eastAsia="Times New Roman" w:cstheme="majorHAnsi"/>
          <w:b/>
          <w:bCs/>
          <w:color w:val="444444"/>
        </w:rPr>
      </w:pPr>
      <w:hyperlink r:id="rId65" w:history="1">
        <w:bookmarkStart w:id="145" w:name="_Toc125547356"/>
        <w:bookmarkStart w:id="146" w:name="_Toc125574804"/>
        <w:bookmarkStart w:id="147" w:name="_Toc125575648"/>
        <w:r w:rsidR="00A00A0C" w:rsidRPr="00E54DB1">
          <w:rPr>
            <w:rStyle w:val="Hyperlink"/>
            <w:rFonts w:eastAsia="Times New Roman" w:cstheme="majorHAnsi"/>
            <w:b/>
            <w:bCs/>
          </w:rPr>
          <w:t>7.03: Educator Preparation Program Approval</w:t>
        </w:r>
        <w:bookmarkEnd w:id="145"/>
        <w:bookmarkEnd w:id="146"/>
        <w:bookmarkEnd w:id="147"/>
      </w:hyperlink>
    </w:p>
    <w:p w14:paraId="40454224" w14:textId="77777777" w:rsidR="00A00A0C" w:rsidRPr="00E54DB1" w:rsidRDefault="00A00A0C" w:rsidP="00A00A0C">
      <w:p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(1) Program Approval. The Department shall issue Guidelines for Program Approval to be used in reviewing programs seeking state approval. The Guidelines for Program Approval will include detailed effectiveness indicators for each program approval standard set forth in 603 CMR 7.03 (2).</w:t>
      </w:r>
    </w:p>
    <w:p w14:paraId="3C07297C" w14:textId="77777777" w:rsidR="00A00A0C" w:rsidRPr="00E54DB1" w:rsidRDefault="00A00A0C" w:rsidP="000E41AB">
      <w:pPr>
        <w:numPr>
          <w:ilvl w:val="0"/>
          <w:numId w:val="57"/>
        </w:num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(a) Candidates may qualify for licensure through successful completion of an approved preparation program leading to the license sought, providing they meet all other requirements. Individuals who complete approved preparation programs may be eligible for licensure reciprocity with other states that are parties to the NASDTEC Interstate Agreement.</w:t>
      </w:r>
    </w:p>
    <w:p w14:paraId="79CF3BAE" w14:textId="77777777" w:rsidR="00A00A0C" w:rsidRPr="00E54DB1" w:rsidRDefault="00A00A0C" w:rsidP="000E41AB">
      <w:pPr>
        <w:numPr>
          <w:ilvl w:val="0"/>
          <w:numId w:val="57"/>
        </w:num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(b) Sponsoring organizations with approved preparation programs have the authority to review prior course work and work experience of their candidates and waive otherwise required course work, including the first half of the practicum or practicum equivalent, when designing programs of study for them. Granting such waivers is the official responsibility of the sponsoring organization. Records of candidates for whom coursework or other program requirements have been waived must be available during onsite review.</w:t>
      </w:r>
    </w:p>
    <w:p w14:paraId="1E3186E9" w14:textId="77777777" w:rsidR="00A00A0C" w:rsidRPr="00E54DB1" w:rsidRDefault="00A00A0C" w:rsidP="000E41AB">
      <w:pPr>
        <w:numPr>
          <w:ilvl w:val="0"/>
          <w:numId w:val="57"/>
        </w:num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(c) A sponsoring organization that has received approval of one or more of its preparation programs shall endorse candidates who complete the approved preparation program.</w:t>
      </w:r>
    </w:p>
    <w:p w14:paraId="6D11667E" w14:textId="77777777" w:rsidR="00A00A0C" w:rsidRPr="00E54DB1" w:rsidRDefault="00A00A0C" w:rsidP="000E41AB">
      <w:pPr>
        <w:numPr>
          <w:ilvl w:val="0"/>
          <w:numId w:val="57"/>
        </w:num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(d) A sponsoring organization seeking approval of its preparation program(s) shall invite the Department to review them. The sponsoring organization shall provide written evidence in accordance with the Guidelines for Program Approval, demonstrating that it satisfies the requirements set forth in 603 CMR 7.03 (1) through (4) for each program for which approval is sought. The Department shall review the written information for each proposed program and verify it through an onsite review at the sponsoring organization. The Department shall use the same standards in reviewing all programs and sponsoring organizations for approval.</w:t>
      </w:r>
    </w:p>
    <w:p w14:paraId="4F95E569" w14:textId="77777777" w:rsidR="00A00A0C" w:rsidRPr="00E54DB1" w:rsidRDefault="00A00A0C" w:rsidP="000E41AB">
      <w:pPr>
        <w:numPr>
          <w:ilvl w:val="0"/>
          <w:numId w:val="57"/>
        </w:num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(e) Program approval will be for a period of seven years, unless the program ceases to meet the requirements set forth in 603 CMR 7.03 (2) through (4) and in accordance with the Guidelines for Program Approval.</w:t>
      </w:r>
    </w:p>
    <w:p w14:paraId="448ECDE1" w14:textId="77777777" w:rsidR="00A00A0C" w:rsidRPr="00E54DB1" w:rsidRDefault="00A00A0C" w:rsidP="000E41AB">
      <w:pPr>
        <w:numPr>
          <w:ilvl w:val="0"/>
          <w:numId w:val="57"/>
        </w:num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(f) During the seven-year approval period a sponsoring organization that seeks approval of a new program may ask the Department for an informal review of that program. Sponsoring organizations seeking approval for the first time may also request an informal review. If the review is favorable, individual candidates who complete the program will be deemed to have met the requirements for licensure in Massachusetts, providing they meet all other requirements. Approval of the program will be considered at the time of the next seven-year program review.</w:t>
      </w:r>
    </w:p>
    <w:p w14:paraId="357CF752" w14:textId="77777777" w:rsidR="00A00A0C" w:rsidRPr="00E54DB1" w:rsidRDefault="00A00A0C" w:rsidP="00A00A0C">
      <w:p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lastRenderedPageBreak/>
        <w:t>(2) Program Approval Standards. Each sponsoring organization seeking approval of its preparation program(s) shall provide evidence addressing the following Program Approval Standards, in accordance with the Guidelines for Program Approval.</w:t>
      </w:r>
    </w:p>
    <w:p w14:paraId="1628E2AD" w14:textId="77777777" w:rsidR="00A00A0C" w:rsidRPr="00E54DB1" w:rsidRDefault="00A00A0C" w:rsidP="000E41AB">
      <w:pPr>
        <w:numPr>
          <w:ilvl w:val="0"/>
          <w:numId w:val="58"/>
        </w:num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(a) Continuous Improvement: Demonstrate continuous improvement by conducting an annual evaluation to assess program compliance, effectiveness, and impact using an evidence-based system that includes the analysis of state available data.</w:t>
      </w:r>
    </w:p>
    <w:p w14:paraId="398CD12D" w14:textId="77777777" w:rsidR="00A00A0C" w:rsidRPr="00E54DB1" w:rsidRDefault="00A00A0C" w:rsidP="000E41AB">
      <w:pPr>
        <w:numPr>
          <w:ilvl w:val="0"/>
          <w:numId w:val="58"/>
        </w:num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(b) Collaboration and Program Impact: Collaborate with school districts to ensure positive impact in meeting the needs of the districts.</w:t>
      </w:r>
    </w:p>
    <w:p w14:paraId="6A418C61" w14:textId="77777777" w:rsidR="00A00A0C" w:rsidRPr="00E54DB1" w:rsidRDefault="00A00A0C" w:rsidP="000E41AB">
      <w:pPr>
        <w:numPr>
          <w:ilvl w:val="0"/>
          <w:numId w:val="58"/>
        </w:num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(c) Capacity: Create, deliver and sustain effective preparation programs.</w:t>
      </w:r>
    </w:p>
    <w:p w14:paraId="6FB347B1" w14:textId="77777777" w:rsidR="00A00A0C" w:rsidRPr="00E54DB1" w:rsidRDefault="00A00A0C" w:rsidP="000E41AB">
      <w:pPr>
        <w:numPr>
          <w:ilvl w:val="0"/>
          <w:numId w:val="58"/>
        </w:numPr>
        <w:shd w:val="clear" w:color="auto" w:fill="FFFFFF"/>
        <w:spacing w:before="100" w:beforeAutospacing="1" w:after="100" w:afterAutospacing="1" w:line="240" w:lineRule="auto"/>
        <w:rPr>
          <w:rFonts w:eastAsia="Times New Roman" w:cstheme="majorHAnsi"/>
          <w:color w:val="212529"/>
        </w:rPr>
      </w:pPr>
      <w:r w:rsidRPr="00E54DB1">
        <w:rPr>
          <w:rFonts w:eastAsia="Times New Roman" w:cstheme="majorHAnsi"/>
          <w:color w:val="212529"/>
        </w:rPr>
        <w:t>(d) Subject Matter Knowledge:</w:t>
      </w:r>
    </w:p>
    <w:p w14:paraId="4BD24511" w14:textId="77777777" w:rsidR="00A00A0C" w:rsidRPr="00E54DB1" w:rsidRDefault="00A00A0C" w:rsidP="000E41AB">
      <w:pPr>
        <w:numPr>
          <w:ilvl w:val="1"/>
          <w:numId w:val="58"/>
        </w:numPr>
        <w:shd w:val="clear" w:color="auto" w:fill="FFFFFF"/>
        <w:spacing w:before="100" w:beforeAutospacing="1" w:after="100" w:afterAutospacing="1" w:line="240" w:lineRule="auto"/>
        <w:rPr>
          <w:rFonts w:eastAsia="Times New Roman" w:cstheme="majorHAnsi"/>
          <w:color w:val="212529"/>
        </w:rPr>
      </w:pPr>
      <w:r w:rsidRPr="00E54DB1">
        <w:rPr>
          <w:rFonts w:eastAsia="Times New Roman" w:cstheme="majorHAnsi"/>
          <w:color w:val="212529"/>
        </w:rPr>
        <w:t>Initial License — Subject Matter Knowledge: Demonstrate that program completers have content mastery based on the subject matter knowledge requirements; 603 CMR 7.06, 7.07, 7.09, and 7.11, at the level of an initially licensed educator.</w:t>
      </w:r>
    </w:p>
    <w:p w14:paraId="76BBFE2D" w14:textId="655BFFEB" w:rsidR="00A00A0C" w:rsidRPr="00E54DB1" w:rsidRDefault="00A00A0C" w:rsidP="000E41AB">
      <w:pPr>
        <w:numPr>
          <w:ilvl w:val="1"/>
          <w:numId w:val="58"/>
        </w:numPr>
        <w:shd w:val="clear" w:color="auto" w:fill="FFFFFF"/>
        <w:spacing w:before="100" w:beforeAutospacing="1" w:after="100" w:afterAutospacing="1" w:line="240" w:lineRule="auto"/>
        <w:rPr>
          <w:rFonts w:eastAsia="Times New Roman" w:cstheme="majorHAnsi"/>
          <w:color w:val="212529"/>
        </w:rPr>
      </w:pPr>
      <w:r w:rsidRPr="00E54DB1">
        <w:rPr>
          <w:rFonts w:eastAsia="Times New Roman" w:cstheme="majorHAnsi"/>
          <w:color w:val="212529"/>
        </w:rPr>
        <w:t>Professional License — Advanced Subject Matter Knowledge: Demonstrate that program completers have advanced content mastery based on the subject matter knowledge requirements; 603 CMR 7.06 and 7.07, at the level of a professionally licensed educator.</w:t>
      </w:r>
    </w:p>
    <w:p w14:paraId="2513035A" w14:textId="77777777" w:rsidR="00A00A0C" w:rsidRPr="00E54DB1" w:rsidRDefault="00A00A0C" w:rsidP="000E41AB">
      <w:pPr>
        <w:numPr>
          <w:ilvl w:val="0"/>
          <w:numId w:val="58"/>
        </w:numPr>
        <w:shd w:val="clear" w:color="auto" w:fill="FFFFFF"/>
        <w:spacing w:before="100" w:beforeAutospacing="1" w:after="100" w:afterAutospacing="1" w:line="240" w:lineRule="auto"/>
        <w:rPr>
          <w:rFonts w:eastAsia="Times New Roman" w:cstheme="majorHAnsi"/>
          <w:color w:val="212529"/>
        </w:rPr>
      </w:pPr>
      <w:r w:rsidRPr="00E54DB1">
        <w:rPr>
          <w:rFonts w:eastAsia="Times New Roman" w:cstheme="majorHAnsi"/>
          <w:color w:val="212529"/>
        </w:rPr>
        <w:t>(e) Professional Standards for Teachers:</w:t>
      </w:r>
    </w:p>
    <w:p w14:paraId="65746909" w14:textId="77777777" w:rsidR="00A00A0C" w:rsidRPr="00E54DB1" w:rsidRDefault="00A00A0C" w:rsidP="000E41AB">
      <w:pPr>
        <w:numPr>
          <w:ilvl w:val="1"/>
          <w:numId w:val="58"/>
        </w:numPr>
        <w:shd w:val="clear" w:color="auto" w:fill="FFFFFF"/>
        <w:spacing w:before="100" w:beforeAutospacing="1" w:after="100" w:afterAutospacing="1" w:line="240" w:lineRule="auto"/>
        <w:rPr>
          <w:rFonts w:eastAsia="Times New Roman" w:cstheme="majorHAnsi"/>
          <w:color w:val="212529"/>
        </w:rPr>
      </w:pPr>
      <w:r w:rsidRPr="00E54DB1">
        <w:rPr>
          <w:rFonts w:eastAsia="Times New Roman" w:cstheme="majorHAnsi"/>
          <w:color w:val="212529"/>
        </w:rPr>
        <w:t>Initial License — Professional Standards for Teachers: Demonstrate that program completers have been assessed and mastered the Professional Standards for Teachers at the level of an initially licensed teacher.</w:t>
      </w:r>
    </w:p>
    <w:p w14:paraId="00D2E101" w14:textId="73BED3BF" w:rsidR="00A00A0C" w:rsidRPr="004E5BA3" w:rsidRDefault="00A00A0C" w:rsidP="004E5BA3">
      <w:pPr>
        <w:numPr>
          <w:ilvl w:val="1"/>
          <w:numId w:val="58"/>
        </w:numPr>
        <w:shd w:val="clear" w:color="auto" w:fill="FFFFFF"/>
        <w:spacing w:before="100" w:beforeAutospacing="1" w:after="100" w:afterAutospacing="1" w:line="240" w:lineRule="auto"/>
        <w:rPr>
          <w:rFonts w:eastAsia="Times New Roman" w:cstheme="majorHAnsi"/>
          <w:color w:val="212529"/>
        </w:rPr>
      </w:pPr>
      <w:r w:rsidRPr="00E54DB1">
        <w:rPr>
          <w:rFonts w:eastAsia="Times New Roman" w:cstheme="majorHAnsi"/>
          <w:color w:val="212529"/>
        </w:rPr>
        <w:t>Professional License — Advanced Professional Standards for Teachers: Demonstrate that program completers have been assessed and mastered the Professional Standards for Teachers at the level of a professionally licensed teacher.</w:t>
      </w:r>
    </w:p>
    <w:p w14:paraId="350E9B1C" w14:textId="77777777" w:rsidR="00A00A0C" w:rsidRPr="00E54DB1" w:rsidRDefault="00A00A0C" w:rsidP="000E41AB">
      <w:pPr>
        <w:numPr>
          <w:ilvl w:val="0"/>
          <w:numId w:val="58"/>
        </w:num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(f) Professional Standards for Administrative Leadership: Demonstrate that program completers have been assessed and mastered the Professional Standards for Administrative Leadership at the level of an initially licensed administrator.</w:t>
      </w:r>
    </w:p>
    <w:p w14:paraId="0C616069" w14:textId="77777777" w:rsidR="00A00A0C" w:rsidRPr="00E54DB1" w:rsidRDefault="00A00A0C" w:rsidP="000E41AB">
      <w:pPr>
        <w:numPr>
          <w:ilvl w:val="0"/>
          <w:numId w:val="58"/>
        </w:num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(g) Educator Effectiveness: Demonstrate effectiveness of program completers using aggregate evaluation ratings data of program completers, employment data on program completers employed in the Commonwealth of Massachusetts, results of survey data, and other available data.</w:t>
      </w:r>
    </w:p>
    <w:p w14:paraId="0EBC55F4" w14:textId="77777777" w:rsidR="00A00A0C" w:rsidRPr="00E54DB1" w:rsidRDefault="00A00A0C" w:rsidP="00A00A0C">
      <w:p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(3) Preparation.</w:t>
      </w:r>
    </w:p>
    <w:p w14:paraId="6A3A3D81" w14:textId="77777777" w:rsidR="00A00A0C" w:rsidRPr="00E54DB1" w:rsidRDefault="00A00A0C" w:rsidP="000E41AB">
      <w:pPr>
        <w:numPr>
          <w:ilvl w:val="0"/>
          <w:numId w:val="59"/>
        </w:num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(a) Initial License. All sponsoring organizations with approved programs leading to the Initial license shall provide preparation that addresses requirements for the license, in accordance with the Subject Matter Knowledge Guidelines and the Guidelines for Program Approval</w:t>
      </w:r>
    </w:p>
    <w:p w14:paraId="57566779" w14:textId="77777777" w:rsidR="00A00A0C" w:rsidRPr="00E54DB1" w:rsidRDefault="00A00A0C" w:rsidP="000E41AB">
      <w:pPr>
        <w:numPr>
          <w:ilvl w:val="0"/>
          <w:numId w:val="59"/>
        </w:num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(b) Professional License. Sponsoring organizations with approved preparation programs leading to the Professional license shall provide preparation that satisfies the requirements for the license, in accordance with the Subject Matter Knowledge Guidelines and the Guidelines for Program Approval.</w:t>
      </w:r>
    </w:p>
    <w:p w14:paraId="28CC7ACE" w14:textId="77777777" w:rsidR="00A00A0C" w:rsidRPr="00E54DB1" w:rsidRDefault="00A00A0C" w:rsidP="000E41AB">
      <w:pPr>
        <w:numPr>
          <w:ilvl w:val="0"/>
          <w:numId w:val="59"/>
        </w:num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(c) Assistive and Alternative Technologies. All sponsoring organizations with approved programs leading to licenses for teachers of students with moderate disabilities or teachers of students with severe disabilities shall include in such programs instruction on the appropriate use of augmentative and alternative communication and other assistive technologies.</w:t>
      </w:r>
    </w:p>
    <w:p w14:paraId="478FEF40" w14:textId="77777777" w:rsidR="00A00A0C" w:rsidRPr="00E54DB1" w:rsidRDefault="00A00A0C" w:rsidP="00A00A0C">
      <w:p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lastRenderedPageBreak/>
        <w:t>(4) Annual Reporting. All sponsoring organizations shall submit to the Department an annual report that includes the following information for each approved preparation program, in a form prescribed by the Department:</w:t>
      </w:r>
    </w:p>
    <w:p w14:paraId="77DA4FDA" w14:textId="77777777" w:rsidR="00A00A0C" w:rsidRPr="00E54DB1" w:rsidRDefault="00A00A0C" w:rsidP="000E41AB">
      <w:pPr>
        <w:numPr>
          <w:ilvl w:val="0"/>
          <w:numId w:val="60"/>
        </w:num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(a) Substantial changes to a program</w:t>
      </w:r>
    </w:p>
    <w:p w14:paraId="0D3643BA" w14:textId="77777777" w:rsidR="00A00A0C" w:rsidRPr="00E54DB1" w:rsidRDefault="00A00A0C" w:rsidP="000E41AB">
      <w:pPr>
        <w:numPr>
          <w:ilvl w:val="0"/>
          <w:numId w:val="60"/>
        </w:numPr>
        <w:shd w:val="clear" w:color="auto" w:fill="FFFFFF"/>
        <w:spacing w:before="100" w:beforeAutospacing="1" w:after="100" w:afterAutospacing="1" w:line="240" w:lineRule="auto"/>
        <w:rPr>
          <w:rFonts w:eastAsia="Times New Roman" w:cstheme="majorHAnsi"/>
          <w:color w:val="212529"/>
        </w:rPr>
      </w:pPr>
      <w:r w:rsidRPr="00E54DB1">
        <w:rPr>
          <w:rFonts w:eastAsia="Times New Roman" w:cstheme="majorHAnsi"/>
          <w:color w:val="212529"/>
        </w:rPr>
        <w:t>(b) Candidate data:</w:t>
      </w:r>
    </w:p>
    <w:p w14:paraId="75D0EED7" w14:textId="77777777" w:rsidR="00A00A0C" w:rsidRPr="00E54DB1" w:rsidRDefault="00A00A0C" w:rsidP="000E41AB">
      <w:pPr>
        <w:numPr>
          <w:ilvl w:val="1"/>
          <w:numId w:val="60"/>
        </w:numPr>
        <w:shd w:val="clear" w:color="auto" w:fill="FFFFFF"/>
        <w:spacing w:before="100" w:beforeAutospacing="1" w:after="100" w:afterAutospacing="1" w:line="240" w:lineRule="auto"/>
        <w:rPr>
          <w:rFonts w:eastAsia="Times New Roman" w:cstheme="majorHAnsi"/>
          <w:color w:val="212529"/>
        </w:rPr>
      </w:pPr>
      <w:r w:rsidRPr="00E54DB1">
        <w:rPr>
          <w:rFonts w:eastAsia="Times New Roman" w:cstheme="majorHAnsi"/>
          <w:color w:val="212529"/>
        </w:rPr>
        <w:t>Number and list of candidates enrolled.</w:t>
      </w:r>
    </w:p>
    <w:p w14:paraId="6B6797C1" w14:textId="77777777" w:rsidR="00A00A0C" w:rsidRPr="00E54DB1" w:rsidRDefault="00A00A0C" w:rsidP="000E41AB">
      <w:pPr>
        <w:numPr>
          <w:ilvl w:val="1"/>
          <w:numId w:val="60"/>
        </w:numPr>
        <w:shd w:val="clear" w:color="auto" w:fill="FFFFFF"/>
        <w:spacing w:before="100" w:beforeAutospacing="1" w:after="100" w:afterAutospacing="1" w:line="240" w:lineRule="auto"/>
        <w:rPr>
          <w:rFonts w:eastAsia="Times New Roman" w:cstheme="majorHAnsi"/>
          <w:color w:val="212529"/>
        </w:rPr>
      </w:pPr>
      <w:r w:rsidRPr="00E54DB1">
        <w:rPr>
          <w:rFonts w:eastAsia="Times New Roman" w:cstheme="majorHAnsi"/>
          <w:color w:val="212529"/>
        </w:rPr>
        <w:t>Number and list of candidates completing all coursework, except the practicum/practicum equivalent.</w:t>
      </w:r>
    </w:p>
    <w:p w14:paraId="0035A574" w14:textId="77777777" w:rsidR="00A00A0C" w:rsidRPr="00E54DB1" w:rsidRDefault="00A00A0C" w:rsidP="000E41AB">
      <w:pPr>
        <w:numPr>
          <w:ilvl w:val="1"/>
          <w:numId w:val="60"/>
        </w:numPr>
        <w:shd w:val="clear" w:color="auto" w:fill="FFFFFF"/>
        <w:spacing w:before="100" w:beforeAutospacing="1" w:after="100" w:afterAutospacing="1" w:line="240" w:lineRule="auto"/>
        <w:rPr>
          <w:rFonts w:eastAsia="Times New Roman" w:cstheme="majorHAnsi"/>
          <w:color w:val="212529"/>
        </w:rPr>
      </w:pPr>
      <w:r w:rsidRPr="00E54DB1">
        <w:rPr>
          <w:rFonts w:eastAsia="Times New Roman" w:cstheme="majorHAnsi"/>
          <w:color w:val="212529"/>
        </w:rPr>
        <w:t>Number and list of program completers.</w:t>
      </w:r>
    </w:p>
    <w:p w14:paraId="2518FAA1" w14:textId="77777777" w:rsidR="00A00A0C" w:rsidRPr="00E54DB1" w:rsidRDefault="00A00A0C" w:rsidP="000E41AB">
      <w:pPr>
        <w:numPr>
          <w:ilvl w:val="1"/>
          <w:numId w:val="60"/>
        </w:numPr>
        <w:shd w:val="clear" w:color="auto" w:fill="FFFFFF"/>
        <w:spacing w:before="100" w:beforeAutospacing="1" w:after="100" w:afterAutospacing="1" w:line="240" w:lineRule="auto"/>
        <w:rPr>
          <w:rFonts w:eastAsia="Times New Roman" w:cstheme="majorHAnsi"/>
          <w:color w:val="212529"/>
        </w:rPr>
      </w:pPr>
      <w:r w:rsidRPr="00E54DB1">
        <w:rPr>
          <w:rFonts w:eastAsia="Times New Roman" w:cstheme="majorHAnsi"/>
          <w:color w:val="212529"/>
        </w:rPr>
        <w:t>Demographics:</w:t>
      </w:r>
    </w:p>
    <w:p w14:paraId="4A53C1C3" w14:textId="77777777" w:rsidR="00A00A0C" w:rsidRPr="00E54DB1" w:rsidRDefault="00A00A0C" w:rsidP="000E41AB">
      <w:pPr>
        <w:numPr>
          <w:ilvl w:val="2"/>
          <w:numId w:val="60"/>
        </w:numPr>
        <w:shd w:val="clear" w:color="auto" w:fill="FFFFFF"/>
        <w:spacing w:before="100" w:beforeAutospacing="1" w:after="100" w:afterAutospacing="1" w:line="240" w:lineRule="auto"/>
        <w:rPr>
          <w:rFonts w:eastAsia="Times New Roman" w:cstheme="majorHAnsi"/>
          <w:color w:val="212529"/>
        </w:rPr>
      </w:pPr>
      <w:r w:rsidRPr="00E54DB1">
        <w:rPr>
          <w:rFonts w:eastAsia="Times New Roman" w:cstheme="majorHAnsi"/>
          <w:color w:val="212529"/>
        </w:rPr>
        <w:t>Race</w:t>
      </w:r>
    </w:p>
    <w:p w14:paraId="0A3D44D0" w14:textId="77777777" w:rsidR="00A00A0C" w:rsidRPr="00E54DB1" w:rsidRDefault="00A00A0C" w:rsidP="000E41AB">
      <w:pPr>
        <w:numPr>
          <w:ilvl w:val="2"/>
          <w:numId w:val="60"/>
        </w:numPr>
        <w:shd w:val="clear" w:color="auto" w:fill="FFFFFF"/>
        <w:spacing w:before="100" w:beforeAutospacing="1" w:after="100" w:afterAutospacing="1" w:line="240" w:lineRule="auto"/>
        <w:rPr>
          <w:rFonts w:eastAsia="Times New Roman" w:cstheme="majorHAnsi"/>
          <w:color w:val="212529"/>
        </w:rPr>
      </w:pPr>
      <w:r w:rsidRPr="00E54DB1">
        <w:rPr>
          <w:rFonts w:eastAsia="Times New Roman" w:cstheme="majorHAnsi"/>
          <w:color w:val="212529"/>
        </w:rPr>
        <w:t>Ethnicity</w:t>
      </w:r>
    </w:p>
    <w:p w14:paraId="7E7517A8" w14:textId="3267289F" w:rsidR="00A00A0C" w:rsidRPr="00E54DB1" w:rsidRDefault="00A00A0C" w:rsidP="000E41AB">
      <w:pPr>
        <w:numPr>
          <w:ilvl w:val="2"/>
          <w:numId w:val="60"/>
        </w:numPr>
        <w:shd w:val="clear" w:color="auto" w:fill="FFFFFF"/>
        <w:spacing w:before="100" w:beforeAutospacing="1" w:after="100" w:afterAutospacing="1" w:line="240" w:lineRule="auto"/>
        <w:rPr>
          <w:rFonts w:eastAsia="Times New Roman" w:cstheme="majorHAnsi"/>
          <w:color w:val="212529"/>
        </w:rPr>
      </w:pPr>
      <w:r w:rsidRPr="00E54DB1">
        <w:rPr>
          <w:rFonts w:eastAsia="Times New Roman" w:cstheme="majorHAnsi"/>
          <w:color w:val="212529"/>
        </w:rPr>
        <w:t>Gender</w:t>
      </w:r>
    </w:p>
    <w:p w14:paraId="6D197340" w14:textId="77777777" w:rsidR="00A00A0C" w:rsidRPr="00E54DB1" w:rsidRDefault="00A00A0C" w:rsidP="000E41AB">
      <w:pPr>
        <w:numPr>
          <w:ilvl w:val="0"/>
          <w:numId w:val="60"/>
        </w:numPr>
        <w:shd w:val="clear" w:color="auto" w:fill="FFFFFF"/>
        <w:spacing w:before="100" w:beforeAutospacing="1" w:after="100" w:afterAutospacing="1" w:line="240" w:lineRule="auto"/>
        <w:rPr>
          <w:rFonts w:eastAsia="Times New Roman" w:cstheme="majorHAnsi"/>
          <w:color w:val="212529"/>
        </w:rPr>
      </w:pPr>
      <w:r w:rsidRPr="00E54DB1">
        <w:rPr>
          <w:rFonts w:eastAsia="Times New Roman" w:cstheme="majorHAnsi"/>
          <w:color w:val="212529"/>
        </w:rPr>
        <w:t>(c) Faculty and Staff data:</w:t>
      </w:r>
    </w:p>
    <w:p w14:paraId="04675BC2" w14:textId="77777777" w:rsidR="00A00A0C" w:rsidRPr="00E54DB1" w:rsidRDefault="00A00A0C" w:rsidP="000E41AB">
      <w:pPr>
        <w:numPr>
          <w:ilvl w:val="1"/>
          <w:numId w:val="60"/>
        </w:numPr>
        <w:shd w:val="clear" w:color="auto" w:fill="FFFFFF"/>
        <w:spacing w:before="100" w:beforeAutospacing="1" w:after="100" w:afterAutospacing="1" w:line="240" w:lineRule="auto"/>
        <w:rPr>
          <w:rFonts w:eastAsia="Times New Roman" w:cstheme="majorHAnsi"/>
          <w:color w:val="212529"/>
        </w:rPr>
      </w:pPr>
      <w:r w:rsidRPr="00E54DB1">
        <w:rPr>
          <w:rFonts w:eastAsia="Times New Roman" w:cstheme="majorHAnsi"/>
          <w:color w:val="212529"/>
        </w:rPr>
        <w:t>Number of full-time equivalent</w:t>
      </w:r>
    </w:p>
    <w:p w14:paraId="0C37DE8C" w14:textId="77777777" w:rsidR="00A00A0C" w:rsidRPr="00E54DB1" w:rsidRDefault="00A00A0C" w:rsidP="000E41AB">
      <w:pPr>
        <w:numPr>
          <w:ilvl w:val="1"/>
          <w:numId w:val="60"/>
        </w:numPr>
        <w:shd w:val="clear" w:color="auto" w:fill="FFFFFF"/>
        <w:spacing w:before="100" w:beforeAutospacing="1" w:after="100" w:afterAutospacing="1" w:line="240" w:lineRule="auto"/>
        <w:rPr>
          <w:rFonts w:eastAsia="Times New Roman" w:cstheme="majorHAnsi"/>
          <w:color w:val="212529"/>
        </w:rPr>
      </w:pPr>
      <w:r w:rsidRPr="00E54DB1">
        <w:rPr>
          <w:rFonts w:eastAsia="Times New Roman" w:cstheme="majorHAnsi"/>
          <w:color w:val="212529"/>
        </w:rPr>
        <w:t>Number of part-time equivalent</w:t>
      </w:r>
    </w:p>
    <w:p w14:paraId="566155C2" w14:textId="77777777" w:rsidR="00A00A0C" w:rsidRPr="00E54DB1" w:rsidRDefault="00A00A0C" w:rsidP="000E41AB">
      <w:pPr>
        <w:numPr>
          <w:ilvl w:val="1"/>
          <w:numId w:val="60"/>
        </w:numPr>
        <w:shd w:val="clear" w:color="auto" w:fill="FFFFFF"/>
        <w:spacing w:before="100" w:beforeAutospacing="1" w:after="100" w:afterAutospacing="1" w:line="240" w:lineRule="auto"/>
        <w:rPr>
          <w:rFonts w:eastAsia="Times New Roman" w:cstheme="majorHAnsi"/>
          <w:color w:val="212529"/>
        </w:rPr>
      </w:pPr>
      <w:r w:rsidRPr="00E54DB1">
        <w:rPr>
          <w:rFonts w:eastAsia="Times New Roman" w:cstheme="majorHAnsi"/>
          <w:color w:val="212529"/>
        </w:rPr>
        <w:t>Demographics:</w:t>
      </w:r>
    </w:p>
    <w:p w14:paraId="6F23D674" w14:textId="77777777" w:rsidR="00A00A0C" w:rsidRPr="00E54DB1" w:rsidRDefault="00A00A0C" w:rsidP="000E41AB">
      <w:pPr>
        <w:numPr>
          <w:ilvl w:val="2"/>
          <w:numId w:val="60"/>
        </w:numPr>
        <w:shd w:val="clear" w:color="auto" w:fill="FFFFFF"/>
        <w:spacing w:before="100" w:beforeAutospacing="1" w:after="100" w:afterAutospacing="1" w:line="240" w:lineRule="auto"/>
        <w:rPr>
          <w:rFonts w:eastAsia="Times New Roman" w:cstheme="majorHAnsi"/>
          <w:color w:val="212529"/>
        </w:rPr>
      </w:pPr>
      <w:r w:rsidRPr="00E54DB1">
        <w:rPr>
          <w:rFonts w:eastAsia="Times New Roman" w:cstheme="majorHAnsi"/>
          <w:color w:val="212529"/>
        </w:rPr>
        <w:t>Race</w:t>
      </w:r>
    </w:p>
    <w:p w14:paraId="4CE71E52" w14:textId="77777777" w:rsidR="00A00A0C" w:rsidRPr="00E54DB1" w:rsidRDefault="00A00A0C" w:rsidP="000E41AB">
      <w:pPr>
        <w:numPr>
          <w:ilvl w:val="2"/>
          <w:numId w:val="60"/>
        </w:numPr>
        <w:shd w:val="clear" w:color="auto" w:fill="FFFFFF"/>
        <w:spacing w:before="100" w:beforeAutospacing="1" w:after="100" w:afterAutospacing="1" w:line="240" w:lineRule="auto"/>
        <w:rPr>
          <w:rFonts w:eastAsia="Times New Roman" w:cstheme="majorHAnsi"/>
          <w:color w:val="212529"/>
        </w:rPr>
      </w:pPr>
      <w:r w:rsidRPr="00E54DB1">
        <w:rPr>
          <w:rFonts w:eastAsia="Times New Roman" w:cstheme="majorHAnsi"/>
          <w:color w:val="212529"/>
        </w:rPr>
        <w:t>Ethnicity</w:t>
      </w:r>
    </w:p>
    <w:p w14:paraId="1268BEEC" w14:textId="6B5D4DF1" w:rsidR="00A00A0C" w:rsidRPr="00E54DB1" w:rsidRDefault="00A00A0C" w:rsidP="000E41AB">
      <w:pPr>
        <w:numPr>
          <w:ilvl w:val="2"/>
          <w:numId w:val="60"/>
        </w:numPr>
        <w:shd w:val="clear" w:color="auto" w:fill="FFFFFF"/>
        <w:spacing w:before="100" w:beforeAutospacing="1" w:after="100" w:afterAutospacing="1" w:line="240" w:lineRule="auto"/>
        <w:rPr>
          <w:rFonts w:eastAsia="Times New Roman" w:cstheme="majorHAnsi"/>
          <w:color w:val="212529"/>
        </w:rPr>
      </w:pPr>
      <w:r w:rsidRPr="00E54DB1">
        <w:rPr>
          <w:rFonts w:eastAsia="Times New Roman" w:cstheme="majorHAnsi"/>
          <w:color w:val="212529"/>
        </w:rPr>
        <w:t>Gender</w:t>
      </w:r>
    </w:p>
    <w:p w14:paraId="577127D8" w14:textId="77777777" w:rsidR="00A00A0C" w:rsidRPr="00E54DB1" w:rsidRDefault="00A00A0C" w:rsidP="000E41AB">
      <w:pPr>
        <w:numPr>
          <w:ilvl w:val="0"/>
          <w:numId w:val="60"/>
        </w:num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(d) Annual Goals and Attainment</w:t>
      </w:r>
    </w:p>
    <w:p w14:paraId="2B126795" w14:textId="77777777" w:rsidR="00A00A0C" w:rsidRPr="008A4989" w:rsidRDefault="00A00A0C" w:rsidP="000E41AB">
      <w:pPr>
        <w:numPr>
          <w:ilvl w:val="0"/>
          <w:numId w:val="60"/>
        </w:numPr>
        <w:shd w:val="clear" w:color="auto" w:fill="FFFFFF"/>
        <w:spacing w:before="100" w:beforeAutospacing="1" w:after="100" w:afterAutospacing="1" w:line="240" w:lineRule="auto"/>
        <w:rPr>
          <w:rFonts w:eastAsia="Times New Roman" w:cstheme="majorHAnsi"/>
          <w:color w:val="212529"/>
          <w:lang w:val="pt-BR"/>
        </w:rPr>
      </w:pPr>
      <w:r w:rsidRPr="008A4989">
        <w:rPr>
          <w:rFonts w:eastAsia="Times New Roman" w:cstheme="majorHAnsi"/>
          <w:color w:val="212529"/>
          <w:lang w:val="pt-BR"/>
        </w:rPr>
        <w:t>(e) Program with Zero Program Completers:</w:t>
      </w:r>
    </w:p>
    <w:p w14:paraId="7C1C77FF" w14:textId="77777777" w:rsidR="00A00A0C" w:rsidRPr="00E54DB1" w:rsidRDefault="00A00A0C" w:rsidP="000E41AB">
      <w:pPr>
        <w:numPr>
          <w:ilvl w:val="1"/>
          <w:numId w:val="60"/>
        </w:numPr>
        <w:shd w:val="clear" w:color="auto" w:fill="FFFFFF"/>
        <w:spacing w:before="100" w:beforeAutospacing="1" w:after="100" w:afterAutospacing="1" w:line="240" w:lineRule="auto"/>
        <w:rPr>
          <w:rFonts w:eastAsia="Times New Roman" w:cstheme="majorHAnsi"/>
          <w:color w:val="212529"/>
        </w:rPr>
      </w:pPr>
      <w:r w:rsidRPr="00E54DB1">
        <w:rPr>
          <w:rFonts w:eastAsia="Times New Roman" w:cstheme="majorHAnsi"/>
          <w:color w:val="212529"/>
        </w:rPr>
        <w:t>Reasons for zero program completers</w:t>
      </w:r>
    </w:p>
    <w:p w14:paraId="5539BFDA" w14:textId="38B19173" w:rsidR="00A00A0C" w:rsidRPr="00E54DB1" w:rsidRDefault="00A00A0C" w:rsidP="000E41AB">
      <w:pPr>
        <w:numPr>
          <w:ilvl w:val="1"/>
          <w:numId w:val="60"/>
        </w:numPr>
        <w:shd w:val="clear" w:color="auto" w:fill="FFFFFF"/>
        <w:spacing w:before="100" w:beforeAutospacing="1" w:after="100" w:afterAutospacing="1" w:line="240" w:lineRule="auto"/>
        <w:rPr>
          <w:rFonts w:eastAsia="Times New Roman" w:cstheme="majorHAnsi"/>
          <w:color w:val="212529"/>
        </w:rPr>
      </w:pPr>
      <w:r w:rsidRPr="00E54DB1">
        <w:rPr>
          <w:rFonts w:eastAsia="Times New Roman" w:cstheme="majorHAnsi"/>
          <w:color w:val="212529"/>
        </w:rPr>
        <w:t>Plans for increasing enrollment and number of program completers.</w:t>
      </w:r>
    </w:p>
    <w:p w14:paraId="2381DF0C" w14:textId="77777777" w:rsidR="00A00A0C" w:rsidRPr="00E54DB1" w:rsidRDefault="00A00A0C" w:rsidP="000E41AB">
      <w:pPr>
        <w:numPr>
          <w:ilvl w:val="0"/>
          <w:numId w:val="60"/>
        </w:num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(f) Types of District Partnerships and Collaborations.</w:t>
      </w:r>
    </w:p>
    <w:p w14:paraId="48568276" w14:textId="77777777" w:rsidR="00A00A0C" w:rsidRPr="00E54DB1" w:rsidRDefault="00A00A0C" w:rsidP="00A00A0C">
      <w:p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(5) Public Reporting. The Department shall publish an annual report including, but not limited to the following information for each sponsoring organization and approved preparation programs:</w:t>
      </w:r>
    </w:p>
    <w:p w14:paraId="39D7BE10" w14:textId="77777777" w:rsidR="00A00A0C" w:rsidRPr="00E54DB1" w:rsidRDefault="00A00A0C" w:rsidP="000E41AB">
      <w:pPr>
        <w:numPr>
          <w:ilvl w:val="0"/>
          <w:numId w:val="61"/>
        </w:num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(a) Sponsoring Organization General Information</w:t>
      </w:r>
    </w:p>
    <w:p w14:paraId="24A33372" w14:textId="77777777" w:rsidR="00A00A0C" w:rsidRPr="00E54DB1" w:rsidRDefault="00A00A0C" w:rsidP="000E41AB">
      <w:pPr>
        <w:numPr>
          <w:ilvl w:val="0"/>
          <w:numId w:val="61"/>
        </w:num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(b) Candidate Data</w:t>
      </w:r>
    </w:p>
    <w:p w14:paraId="23F968C5" w14:textId="77777777" w:rsidR="00A00A0C" w:rsidRPr="00E54DB1" w:rsidRDefault="00A00A0C" w:rsidP="000E41AB">
      <w:pPr>
        <w:numPr>
          <w:ilvl w:val="0"/>
          <w:numId w:val="61"/>
        </w:num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(c) Faculty and Staff Data</w:t>
      </w:r>
    </w:p>
    <w:p w14:paraId="32350491" w14:textId="77777777" w:rsidR="00A00A0C" w:rsidRPr="00E54DB1" w:rsidRDefault="00A00A0C" w:rsidP="000E41AB">
      <w:pPr>
        <w:numPr>
          <w:ilvl w:val="0"/>
          <w:numId w:val="61"/>
        </w:num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(d) District Partnerships and Collaborations</w:t>
      </w:r>
    </w:p>
    <w:p w14:paraId="36FCEE97" w14:textId="77777777" w:rsidR="00A00A0C" w:rsidRPr="00E54DB1" w:rsidRDefault="00A00A0C" w:rsidP="000E41AB">
      <w:pPr>
        <w:numPr>
          <w:ilvl w:val="0"/>
          <w:numId w:val="61"/>
        </w:num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(e) Annual Goals and Attainment</w:t>
      </w:r>
    </w:p>
    <w:p w14:paraId="2059EE60" w14:textId="77777777" w:rsidR="00A00A0C" w:rsidRPr="00E54DB1" w:rsidRDefault="00A00A0C" w:rsidP="000E41AB">
      <w:pPr>
        <w:numPr>
          <w:ilvl w:val="0"/>
          <w:numId w:val="61"/>
        </w:num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(f) List of Approved Programs and Program of Study</w:t>
      </w:r>
    </w:p>
    <w:p w14:paraId="351A9259" w14:textId="77777777" w:rsidR="00A00A0C" w:rsidRPr="00E54DB1" w:rsidRDefault="00A00A0C" w:rsidP="000E41AB">
      <w:pPr>
        <w:numPr>
          <w:ilvl w:val="0"/>
          <w:numId w:val="61"/>
        </w:num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(g) Admission Requirements for Approved Programs</w:t>
      </w:r>
    </w:p>
    <w:p w14:paraId="576D2005" w14:textId="77777777" w:rsidR="00A00A0C" w:rsidRPr="00E54DB1" w:rsidRDefault="00A00A0C" w:rsidP="000E41AB">
      <w:pPr>
        <w:numPr>
          <w:ilvl w:val="0"/>
          <w:numId w:val="61"/>
        </w:num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(h) Manner of Exit from the Approved Program and Persistence Rates</w:t>
      </w:r>
    </w:p>
    <w:p w14:paraId="107248CB" w14:textId="77777777" w:rsidR="00A00A0C" w:rsidRPr="00E54DB1" w:rsidRDefault="00A00A0C" w:rsidP="000E41AB">
      <w:pPr>
        <w:numPr>
          <w:ilvl w:val="0"/>
          <w:numId w:val="61"/>
        </w:numPr>
        <w:shd w:val="clear" w:color="auto" w:fill="FFFFFF"/>
        <w:spacing w:before="100" w:beforeAutospacing="1" w:after="100" w:afterAutospacing="1" w:line="240" w:lineRule="auto"/>
        <w:rPr>
          <w:rFonts w:eastAsia="Times New Roman" w:cstheme="majorHAnsi"/>
          <w:color w:val="212529"/>
        </w:rPr>
      </w:pPr>
      <w:r w:rsidRPr="00E54DB1">
        <w:rPr>
          <w:rFonts w:eastAsia="Times New Roman" w:cstheme="majorHAnsi"/>
          <w:color w:val="212529"/>
        </w:rPr>
        <w:t>(i) MTEL Pass Rates:</w:t>
      </w:r>
    </w:p>
    <w:p w14:paraId="0B5F5995" w14:textId="77777777" w:rsidR="00A00A0C" w:rsidRPr="00E54DB1" w:rsidRDefault="00A00A0C" w:rsidP="000E41AB">
      <w:pPr>
        <w:numPr>
          <w:ilvl w:val="1"/>
          <w:numId w:val="61"/>
        </w:numPr>
        <w:shd w:val="clear" w:color="auto" w:fill="FFFFFF"/>
        <w:spacing w:before="100" w:beforeAutospacing="1" w:after="100" w:afterAutospacing="1" w:line="240" w:lineRule="auto"/>
        <w:rPr>
          <w:rFonts w:eastAsia="Times New Roman" w:cstheme="majorHAnsi"/>
          <w:color w:val="212529"/>
        </w:rPr>
      </w:pPr>
      <w:r w:rsidRPr="00E54DB1">
        <w:rPr>
          <w:rFonts w:eastAsia="Times New Roman" w:cstheme="majorHAnsi"/>
          <w:color w:val="212529"/>
        </w:rPr>
        <w:t>Single assessment and aggregate pass rates on licensing tests or assessments as required by 603 CMR 7.00.</w:t>
      </w:r>
    </w:p>
    <w:p w14:paraId="6522E4D7" w14:textId="2346A171" w:rsidR="00A00A0C" w:rsidRPr="00E54DB1" w:rsidRDefault="00A00A0C" w:rsidP="000E41AB">
      <w:pPr>
        <w:numPr>
          <w:ilvl w:val="1"/>
          <w:numId w:val="61"/>
        </w:numPr>
        <w:shd w:val="clear" w:color="auto" w:fill="FFFFFF"/>
        <w:spacing w:before="100" w:beforeAutospacing="1" w:after="100" w:afterAutospacing="1" w:line="240" w:lineRule="auto"/>
        <w:rPr>
          <w:rFonts w:eastAsia="Times New Roman" w:cstheme="majorHAnsi"/>
          <w:color w:val="212529"/>
        </w:rPr>
      </w:pPr>
      <w:r w:rsidRPr="00E54DB1">
        <w:rPr>
          <w:rFonts w:eastAsia="Times New Roman" w:cstheme="majorHAnsi"/>
          <w:color w:val="212529"/>
        </w:rPr>
        <w:t>Summary pass rates on licensing tests or assessments as required by 603 CMR 7.00 at the point of: enrollment, completion of all coursework but the practicum/practicum equivalent, and program completion.</w:t>
      </w:r>
    </w:p>
    <w:p w14:paraId="06B1E965" w14:textId="77777777" w:rsidR="00A00A0C" w:rsidRPr="00E54DB1" w:rsidRDefault="00A00A0C" w:rsidP="000E41AB">
      <w:pPr>
        <w:numPr>
          <w:ilvl w:val="0"/>
          <w:numId w:val="61"/>
        </w:numPr>
        <w:shd w:val="clear" w:color="auto" w:fill="FFFFFF"/>
        <w:spacing w:before="100" w:beforeAutospacing="1" w:after="100" w:afterAutospacing="1" w:line="240" w:lineRule="auto"/>
        <w:rPr>
          <w:rFonts w:eastAsia="Times New Roman" w:cstheme="majorHAnsi"/>
          <w:color w:val="212529"/>
        </w:rPr>
      </w:pPr>
      <w:r w:rsidRPr="00E54DB1">
        <w:rPr>
          <w:rFonts w:eastAsia="Times New Roman" w:cstheme="majorHAnsi"/>
          <w:color w:val="212529"/>
        </w:rPr>
        <w:t>(j) State Administered Survey Data from:</w:t>
      </w:r>
    </w:p>
    <w:p w14:paraId="725380A2" w14:textId="77777777" w:rsidR="00A00A0C" w:rsidRPr="00E54DB1" w:rsidRDefault="00A00A0C" w:rsidP="000E41AB">
      <w:pPr>
        <w:numPr>
          <w:ilvl w:val="1"/>
          <w:numId w:val="61"/>
        </w:numPr>
        <w:shd w:val="clear" w:color="auto" w:fill="FFFFFF"/>
        <w:spacing w:before="100" w:beforeAutospacing="1" w:after="100" w:afterAutospacing="1" w:line="240" w:lineRule="auto"/>
        <w:rPr>
          <w:rFonts w:eastAsia="Times New Roman" w:cstheme="majorHAnsi"/>
          <w:color w:val="212529"/>
        </w:rPr>
      </w:pPr>
      <w:r w:rsidRPr="00E54DB1">
        <w:rPr>
          <w:rFonts w:eastAsia="Times New Roman" w:cstheme="majorHAnsi"/>
          <w:color w:val="212529"/>
        </w:rPr>
        <w:t>Candidates enrolled in an approved program.</w:t>
      </w:r>
    </w:p>
    <w:p w14:paraId="087AC8DB" w14:textId="77777777" w:rsidR="00A00A0C" w:rsidRPr="00E54DB1" w:rsidRDefault="00A00A0C" w:rsidP="000E41AB">
      <w:pPr>
        <w:numPr>
          <w:ilvl w:val="1"/>
          <w:numId w:val="61"/>
        </w:numPr>
        <w:shd w:val="clear" w:color="auto" w:fill="FFFFFF"/>
        <w:spacing w:before="100" w:beforeAutospacing="1" w:after="100" w:afterAutospacing="1" w:line="240" w:lineRule="auto"/>
        <w:rPr>
          <w:rFonts w:eastAsia="Times New Roman" w:cstheme="majorHAnsi"/>
          <w:color w:val="212529"/>
        </w:rPr>
      </w:pPr>
      <w:r w:rsidRPr="00E54DB1">
        <w:rPr>
          <w:rFonts w:eastAsia="Times New Roman" w:cstheme="majorHAnsi"/>
          <w:color w:val="212529"/>
        </w:rPr>
        <w:lastRenderedPageBreak/>
        <w:t>Candidates who have completed all coursework, but the practicum/practicum equivalent.</w:t>
      </w:r>
    </w:p>
    <w:p w14:paraId="697832BA" w14:textId="77777777" w:rsidR="00A00A0C" w:rsidRPr="00E54DB1" w:rsidRDefault="00A00A0C" w:rsidP="000E41AB">
      <w:pPr>
        <w:numPr>
          <w:ilvl w:val="1"/>
          <w:numId w:val="61"/>
        </w:numPr>
        <w:shd w:val="clear" w:color="auto" w:fill="FFFFFF"/>
        <w:spacing w:before="100" w:beforeAutospacing="1" w:after="100" w:afterAutospacing="1" w:line="240" w:lineRule="auto"/>
        <w:rPr>
          <w:rFonts w:eastAsia="Times New Roman" w:cstheme="majorHAnsi"/>
          <w:color w:val="212529"/>
        </w:rPr>
      </w:pPr>
      <w:r w:rsidRPr="00E54DB1">
        <w:rPr>
          <w:rFonts w:eastAsia="Times New Roman" w:cstheme="majorHAnsi"/>
          <w:color w:val="212529"/>
        </w:rPr>
        <w:t>Program completers</w:t>
      </w:r>
    </w:p>
    <w:p w14:paraId="620DFDA1" w14:textId="5669EC3B" w:rsidR="00A00A0C" w:rsidRPr="00E54DB1" w:rsidRDefault="00A00A0C" w:rsidP="000E41AB">
      <w:pPr>
        <w:numPr>
          <w:ilvl w:val="1"/>
          <w:numId w:val="61"/>
        </w:numPr>
        <w:shd w:val="clear" w:color="auto" w:fill="FFFFFF"/>
        <w:spacing w:before="100" w:beforeAutospacing="1" w:after="100" w:afterAutospacing="1" w:line="240" w:lineRule="auto"/>
        <w:rPr>
          <w:rFonts w:eastAsia="Times New Roman" w:cstheme="majorHAnsi"/>
          <w:color w:val="212529"/>
        </w:rPr>
      </w:pPr>
      <w:r w:rsidRPr="00E54DB1">
        <w:rPr>
          <w:rFonts w:eastAsia="Times New Roman" w:cstheme="majorHAnsi"/>
          <w:color w:val="212529"/>
        </w:rPr>
        <w:t>District personnel</w:t>
      </w:r>
    </w:p>
    <w:p w14:paraId="4DC7F430" w14:textId="77777777" w:rsidR="00A00A0C" w:rsidRPr="00E54DB1" w:rsidRDefault="00A00A0C" w:rsidP="000E41AB">
      <w:pPr>
        <w:numPr>
          <w:ilvl w:val="0"/>
          <w:numId w:val="61"/>
        </w:num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(k) Aggregate Employment Data of Program Completers employed in the Commonwealth of Massachusetts</w:t>
      </w:r>
    </w:p>
    <w:p w14:paraId="0AEFA218" w14:textId="77777777" w:rsidR="00A00A0C" w:rsidRPr="00E54DB1" w:rsidRDefault="00A00A0C" w:rsidP="000E41AB">
      <w:pPr>
        <w:numPr>
          <w:ilvl w:val="0"/>
          <w:numId w:val="61"/>
        </w:num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(l) Aggregate Evaluation Ratings of Program Completers</w:t>
      </w:r>
    </w:p>
    <w:p w14:paraId="262A1F3A" w14:textId="77777777" w:rsidR="00A00A0C" w:rsidRPr="00E54DB1" w:rsidRDefault="00A00A0C" w:rsidP="00A00A0C">
      <w:p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(6) Revoking Approval.</w:t>
      </w:r>
    </w:p>
    <w:p w14:paraId="38FCC9DD" w14:textId="77777777" w:rsidR="00A00A0C" w:rsidRPr="00E54DB1" w:rsidRDefault="00A00A0C" w:rsidP="000E41AB">
      <w:pPr>
        <w:numPr>
          <w:ilvl w:val="0"/>
          <w:numId w:val="62"/>
        </w:num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(a) The Department may conduct an interim review of an approved preparation program on an as-needed basis to corroborate and augment the information provided by an approved preparation program pursuant to 603 CMR 7.03 (4), or during the seven-year cycle review.</w:t>
      </w:r>
    </w:p>
    <w:p w14:paraId="54D8FC4D" w14:textId="77777777" w:rsidR="00A00A0C" w:rsidRPr="00E54DB1" w:rsidRDefault="00A00A0C" w:rsidP="000E41AB">
      <w:pPr>
        <w:numPr>
          <w:ilvl w:val="0"/>
          <w:numId w:val="62"/>
        </w:num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(b) Following the interim review, if the approved preparation program fails to meet the requirements and benchmarks set forth in 7.03 (2) and (3) and the Guidelines for Program Approval, it shall receive a designation of low performing.</w:t>
      </w:r>
    </w:p>
    <w:p w14:paraId="2353E7B9" w14:textId="77777777" w:rsidR="00A00A0C" w:rsidRPr="00E54DB1" w:rsidRDefault="00A00A0C" w:rsidP="000E41AB">
      <w:pPr>
        <w:numPr>
          <w:ilvl w:val="0"/>
          <w:numId w:val="62"/>
        </w:num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(c) The sponsoring organization shall submit an improvement plan to the Department for any of its programs that receive the designation of low performing. The Department will monitor progress in meeting the goals of the improvement plan. If, after one year under review, a program has not made satisfactory progress, its approval may be revoked. The Commissioner may extend the review for a second year if additional data must be collected, e.g., for small programs with enrollment of less than ten.</w:t>
      </w:r>
    </w:p>
    <w:p w14:paraId="64ED5E33" w14:textId="77777777" w:rsidR="00A00A0C" w:rsidRPr="00E54DB1" w:rsidRDefault="00A00A0C" w:rsidP="000E41AB">
      <w:pPr>
        <w:numPr>
          <w:ilvl w:val="0"/>
          <w:numId w:val="62"/>
        </w:num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(d) The Commissioner will make the final determination regarding revocation of state approval.</w:t>
      </w:r>
    </w:p>
    <w:p w14:paraId="0143BB00" w14:textId="77777777" w:rsidR="00A00A0C" w:rsidRPr="00E54DB1" w:rsidRDefault="00A00A0C" w:rsidP="00A00A0C">
      <w:p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(7) Restoring Approval.</w:t>
      </w:r>
    </w:p>
    <w:p w14:paraId="1E6994C4" w14:textId="77777777" w:rsidR="00A00A0C" w:rsidRPr="00E54DB1" w:rsidRDefault="00A00A0C" w:rsidP="000E41AB">
      <w:pPr>
        <w:numPr>
          <w:ilvl w:val="0"/>
          <w:numId w:val="63"/>
        </w:num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(a) A sponsoring organization must wait two years after approval of an educator preparation program has been revoked before it can apply to the Department to restore approval. The sponsoring organization shall submit written documentation of how it will address the requirements set forth in 603 CMR 7.03 (2) through (4).</w:t>
      </w:r>
    </w:p>
    <w:p w14:paraId="537CEBA9" w14:textId="77777777" w:rsidR="00A00A0C" w:rsidRPr="00E54DB1" w:rsidRDefault="00A00A0C" w:rsidP="000E41AB">
      <w:pPr>
        <w:numPr>
          <w:ilvl w:val="0"/>
          <w:numId w:val="63"/>
        </w:num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(b) The Department will review the written documentation to determine whether the organization and its program(s) satisfy all of the requirements set forth in 603 CMR 7.03 (2) through (4). Programs that demonstrate that they satisfy the requirements set forth in 603 CMR 7.03 (2) and (3) will be allowed to recruit students.</w:t>
      </w:r>
    </w:p>
    <w:p w14:paraId="7A698A2B" w14:textId="77777777" w:rsidR="00A00A0C" w:rsidRPr="00E54DB1" w:rsidRDefault="00A00A0C" w:rsidP="00A00A0C">
      <w:p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(8) Implementation</w:t>
      </w:r>
    </w:p>
    <w:p w14:paraId="3DE69EFD" w14:textId="77777777" w:rsidR="00A00A0C" w:rsidRPr="00E54DB1" w:rsidRDefault="00A00A0C" w:rsidP="000E41AB">
      <w:pPr>
        <w:numPr>
          <w:ilvl w:val="0"/>
          <w:numId w:val="64"/>
        </w:num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(a) Approved programs leading to licenses set forth in 603 CMR 7.04 will be required to implement new subject matter knowledge in accordance with the Subject Matter Knowledge Guidelines within 18 months of issuance of the new or updated Subject Matter Knowledge Guidelines.</w:t>
      </w:r>
    </w:p>
    <w:p w14:paraId="536E240E" w14:textId="77777777" w:rsidR="00A00A0C" w:rsidRPr="00E54DB1" w:rsidRDefault="00A00A0C" w:rsidP="000E41AB">
      <w:pPr>
        <w:numPr>
          <w:ilvl w:val="0"/>
          <w:numId w:val="64"/>
        </w:num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t>(b) Approved programs leading to licenses set forth in 603 CMR 7.04 (3)(a) 1., 3., 6., 7., 9., 14., 22., 23., (b) 1., (c) 2. and (d) 1., will be required to implement the new license names, levels and license type requirements by July 1, 2019.</w:t>
      </w:r>
    </w:p>
    <w:p w14:paraId="557EA4EF" w14:textId="512786DC" w:rsidR="000135B7" w:rsidRPr="00E54DB1" w:rsidRDefault="00A00A0C" w:rsidP="00174ECC">
      <w:pPr>
        <w:shd w:val="clear" w:color="auto" w:fill="FFFFFF"/>
        <w:spacing w:after="100" w:afterAutospacing="1" w:line="240" w:lineRule="auto"/>
        <w:rPr>
          <w:rFonts w:eastAsia="Times New Roman" w:cstheme="majorHAnsi"/>
          <w:color w:val="222222"/>
        </w:rPr>
      </w:pPr>
      <w:r w:rsidRPr="00E54DB1">
        <w:rPr>
          <w:rFonts w:eastAsia="Times New Roman" w:cstheme="majorHAnsi"/>
          <w:color w:val="222222"/>
        </w:rPr>
        <w:lastRenderedPageBreak/>
        <w:t>Regulatory Authority:</w:t>
      </w:r>
      <w:r w:rsidRPr="00E54DB1">
        <w:rPr>
          <w:rFonts w:eastAsia="Times New Roman" w:cstheme="majorHAnsi"/>
          <w:color w:val="222222"/>
        </w:rPr>
        <w:br/>
        <w:t>M.G.L. c. 69, § 1B; c. 69, §§ 1J and 1K, as amended by St. 2010; c. 12, § 3; c. 71, §§ 38G, 38G ½; c. 71A, § 10; c. 76, § 19.</w:t>
      </w:r>
    </w:p>
    <w:p w14:paraId="746D97A9" w14:textId="77777777" w:rsidR="000135B7" w:rsidRDefault="000135B7">
      <w:pPr>
        <w:rPr>
          <w:rFonts w:eastAsia="Times New Roman" w:cstheme="majorHAnsi"/>
          <w:color w:val="222222"/>
          <w:sz w:val="24"/>
          <w:szCs w:val="24"/>
        </w:rPr>
      </w:pPr>
      <w:r>
        <w:rPr>
          <w:rFonts w:eastAsia="Times New Roman" w:cstheme="majorHAnsi"/>
          <w:color w:val="222222"/>
          <w:sz w:val="24"/>
          <w:szCs w:val="24"/>
        </w:rPr>
        <w:br w:type="page"/>
      </w:r>
    </w:p>
    <w:p w14:paraId="52D4568B" w14:textId="50AAE143" w:rsidR="00DA1F87" w:rsidRPr="009855B2" w:rsidRDefault="00DA1F87">
      <w:pPr>
        <w:pStyle w:val="Heading1"/>
      </w:pPr>
      <w:bookmarkStart w:id="148" w:name="_Appendix_B:_Program"/>
      <w:bookmarkStart w:id="149" w:name="_Toc125575649"/>
      <w:bookmarkEnd w:id="148"/>
      <w:r w:rsidRPr="00174ECC">
        <w:rPr>
          <w:rStyle w:val="normaltextrun"/>
        </w:rPr>
        <w:lastRenderedPageBreak/>
        <w:t>Appendix B: Program Approval Standards and Domain Crosswalk</w:t>
      </w:r>
      <w:bookmarkEnd w:id="149"/>
    </w:p>
    <w:p w14:paraId="620BFD8B" w14:textId="77777777" w:rsidR="009855B2" w:rsidRPr="00715D10" w:rsidRDefault="009855B2" w:rsidP="00174ECC"/>
    <w:tbl>
      <w:tblPr>
        <w:tblW w:w="9157"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tandards &amp; Dominas Crossswalk"/>
      </w:tblPr>
      <w:tblGrid>
        <w:gridCol w:w="1728"/>
        <w:gridCol w:w="7429"/>
      </w:tblGrid>
      <w:tr w:rsidR="00DA1F87" w:rsidRPr="00E54DB1" w14:paraId="0146A866" w14:textId="77777777" w:rsidTr="00D17218">
        <w:tc>
          <w:tcPr>
            <w:tcW w:w="1728"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708E2BF" w14:textId="77777777" w:rsidR="00DA1F87" w:rsidRPr="00E54DB1" w:rsidRDefault="00DA1F87" w:rsidP="00D17218">
            <w:pPr>
              <w:pStyle w:val="paragraph"/>
              <w:spacing w:before="0" w:beforeAutospacing="0" w:after="0" w:afterAutospacing="0"/>
              <w:ind w:firstLine="60"/>
              <w:textAlignment w:val="baseline"/>
              <w:rPr>
                <w:rFonts w:asciiTheme="majorHAnsi" w:hAnsiTheme="majorHAnsi" w:cstheme="majorHAnsi"/>
                <w:sz w:val="22"/>
                <w:szCs w:val="22"/>
              </w:rPr>
            </w:pPr>
            <w:r w:rsidRPr="00E54DB1">
              <w:rPr>
                <w:rStyle w:val="normaltextrun"/>
                <w:rFonts w:asciiTheme="majorHAnsi" w:hAnsiTheme="majorHAnsi" w:cstheme="majorHAnsi"/>
                <w:b/>
                <w:bCs/>
                <w:sz w:val="22"/>
                <w:szCs w:val="22"/>
              </w:rPr>
              <w:t>Domain</w:t>
            </w:r>
            <w:r w:rsidRPr="00E54DB1">
              <w:rPr>
                <w:rStyle w:val="eop"/>
                <w:rFonts w:asciiTheme="majorHAnsi" w:hAnsiTheme="majorHAnsi" w:cstheme="majorHAnsi"/>
                <w:sz w:val="22"/>
                <w:szCs w:val="22"/>
              </w:rPr>
              <w:t> </w:t>
            </w:r>
          </w:p>
        </w:tc>
        <w:tc>
          <w:tcPr>
            <w:tcW w:w="7429"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AEF8177" w14:textId="77777777" w:rsidR="00DA1F87" w:rsidRPr="00E54DB1" w:rsidRDefault="00DA1F87" w:rsidP="00D17218">
            <w:pPr>
              <w:pStyle w:val="paragraph"/>
              <w:spacing w:before="0" w:beforeAutospacing="0" w:after="0" w:afterAutospacing="0"/>
              <w:ind w:left="46"/>
              <w:textAlignment w:val="baseline"/>
              <w:rPr>
                <w:rFonts w:asciiTheme="majorHAnsi" w:hAnsiTheme="majorHAnsi" w:cstheme="majorHAnsi"/>
                <w:sz w:val="22"/>
                <w:szCs w:val="22"/>
              </w:rPr>
            </w:pPr>
            <w:r w:rsidRPr="00E54DB1">
              <w:rPr>
                <w:rStyle w:val="normaltextrun"/>
                <w:rFonts w:asciiTheme="majorHAnsi" w:hAnsiTheme="majorHAnsi" w:cstheme="majorHAnsi"/>
                <w:b/>
                <w:bCs/>
                <w:sz w:val="22"/>
                <w:szCs w:val="22"/>
              </w:rPr>
              <w:t>Program Approval Standards (603 CMR 7.04)</w:t>
            </w:r>
            <w:r w:rsidRPr="00E54DB1">
              <w:rPr>
                <w:rStyle w:val="eop"/>
                <w:rFonts w:asciiTheme="majorHAnsi" w:hAnsiTheme="majorHAnsi" w:cstheme="majorHAnsi"/>
                <w:sz w:val="22"/>
                <w:szCs w:val="22"/>
              </w:rPr>
              <w:t> </w:t>
            </w:r>
          </w:p>
        </w:tc>
      </w:tr>
      <w:tr w:rsidR="00DA1F87" w:rsidRPr="00E54DB1" w14:paraId="170B753A" w14:textId="77777777" w:rsidTr="00D17218">
        <w:trPr>
          <w:trHeight w:val="1215"/>
        </w:trPr>
        <w:tc>
          <w:tcPr>
            <w:tcW w:w="1728" w:type="dxa"/>
            <w:tcBorders>
              <w:top w:val="single" w:sz="6" w:space="0" w:color="auto"/>
              <w:left w:val="single" w:sz="6" w:space="0" w:color="auto"/>
              <w:bottom w:val="single" w:sz="6" w:space="0" w:color="auto"/>
              <w:right w:val="single" w:sz="6" w:space="0" w:color="auto"/>
            </w:tcBorders>
            <w:shd w:val="clear" w:color="auto" w:fill="DBE5F1"/>
            <w:vAlign w:val="center"/>
            <w:hideMark/>
          </w:tcPr>
          <w:p w14:paraId="0EB6EF67" w14:textId="77777777" w:rsidR="00DA1F87" w:rsidRPr="00E54DB1" w:rsidRDefault="00DA1F87" w:rsidP="00D17218">
            <w:pPr>
              <w:pStyle w:val="paragraph"/>
              <w:spacing w:before="0" w:beforeAutospacing="0" w:after="0" w:afterAutospacing="0"/>
              <w:ind w:firstLine="60"/>
              <w:textAlignment w:val="baseline"/>
              <w:rPr>
                <w:rFonts w:asciiTheme="majorHAnsi" w:hAnsiTheme="majorHAnsi" w:cstheme="majorHAnsi"/>
                <w:sz w:val="22"/>
                <w:szCs w:val="22"/>
              </w:rPr>
            </w:pPr>
            <w:r w:rsidRPr="00E54DB1">
              <w:rPr>
                <w:rStyle w:val="normaltextrun"/>
                <w:rFonts w:asciiTheme="majorHAnsi" w:hAnsiTheme="majorHAnsi" w:cstheme="majorHAnsi"/>
                <w:b/>
                <w:bCs/>
                <w:sz w:val="22"/>
                <w:szCs w:val="22"/>
              </w:rPr>
              <w:t>Organization </w:t>
            </w:r>
            <w:r w:rsidRPr="00E54DB1">
              <w:rPr>
                <w:rStyle w:val="eop"/>
                <w:rFonts w:asciiTheme="majorHAnsi" w:hAnsiTheme="majorHAnsi" w:cstheme="majorHAnsi"/>
                <w:sz w:val="22"/>
                <w:szCs w:val="22"/>
              </w:rPr>
              <w:t> </w:t>
            </w:r>
          </w:p>
          <w:p w14:paraId="1B0B0B8D" w14:textId="77777777" w:rsidR="00DA1F87" w:rsidRPr="00E54DB1" w:rsidRDefault="00DA1F87" w:rsidP="00D17218">
            <w:pPr>
              <w:pStyle w:val="paragraph"/>
              <w:spacing w:before="0" w:beforeAutospacing="0" w:after="0" w:afterAutospacing="0"/>
              <w:ind w:left="360" w:firstLine="60"/>
              <w:textAlignment w:val="baseline"/>
              <w:rPr>
                <w:rFonts w:asciiTheme="majorHAnsi" w:hAnsiTheme="majorHAnsi" w:cstheme="majorHAnsi"/>
                <w:sz w:val="22"/>
                <w:szCs w:val="22"/>
              </w:rPr>
            </w:pPr>
            <w:r w:rsidRPr="00E54DB1">
              <w:rPr>
                <w:rStyle w:val="eop"/>
                <w:rFonts w:asciiTheme="majorHAnsi" w:hAnsiTheme="majorHAnsi" w:cstheme="majorHAnsi"/>
                <w:sz w:val="22"/>
                <w:szCs w:val="22"/>
              </w:rPr>
              <w:t> </w:t>
            </w:r>
          </w:p>
        </w:tc>
        <w:tc>
          <w:tcPr>
            <w:tcW w:w="74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C6E9FE" w14:textId="77777777" w:rsidR="00DA1F87" w:rsidRPr="00E54DB1" w:rsidRDefault="00DA1F87" w:rsidP="00D17218">
            <w:pPr>
              <w:pStyle w:val="paragraph"/>
              <w:spacing w:before="0" w:beforeAutospacing="0" w:after="120" w:afterAutospacing="0"/>
              <w:ind w:left="46"/>
              <w:textAlignment w:val="baseline"/>
              <w:rPr>
                <w:rFonts w:asciiTheme="majorHAnsi" w:hAnsiTheme="majorHAnsi" w:cstheme="majorHAnsi"/>
                <w:sz w:val="22"/>
                <w:szCs w:val="22"/>
              </w:rPr>
            </w:pPr>
            <w:r w:rsidRPr="00E54DB1">
              <w:rPr>
                <w:rStyle w:val="normaltextrun"/>
                <w:rFonts w:asciiTheme="majorHAnsi" w:hAnsiTheme="majorHAnsi" w:cstheme="majorHAnsi"/>
                <w:sz w:val="22"/>
                <w:szCs w:val="22"/>
              </w:rPr>
              <w:t>Standard (C) Capacity: Create, deliver and sustain effective preparation programs. </w:t>
            </w:r>
            <w:r w:rsidRPr="00E54DB1">
              <w:rPr>
                <w:rStyle w:val="eop"/>
                <w:rFonts w:asciiTheme="majorHAnsi" w:hAnsiTheme="majorHAnsi" w:cstheme="majorHAnsi"/>
                <w:sz w:val="22"/>
                <w:szCs w:val="22"/>
              </w:rPr>
              <w:t> </w:t>
            </w:r>
          </w:p>
        </w:tc>
      </w:tr>
      <w:tr w:rsidR="00DA1F87" w:rsidRPr="00E54DB1" w14:paraId="4F66267F" w14:textId="77777777" w:rsidTr="00D17218">
        <w:trPr>
          <w:trHeight w:val="1470"/>
        </w:trPr>
        <w:tc>
          <w:tcPr>
            <w:tcW w:w="1728" w:type="dxa"/>
            <w:tcBorders>
              <w:top w:val="single" w:sz="6" w:space="0" w:color="auto"/>
              <w:left w:val="single" w:sz="6" w:space="0" w:color="auto"/>
              <w:bottom w:val="single" w:sz="6" w:space="0" w:color="auto"/>
              <w:right w:val="single" w:sz="6" w:space="0" w:color="auto"/>
            </w:tcBorders>
            <w:shd w:val="clear" w:color="auto" w:fill="F2DBDB"/>
            <w:vAlign w:val="center"/>
            <w:hideMark/>
          </w:tcPr>
          <w:p w14:paraId="2D9CF9E4" w14:textId="77777777" w:rsidR="00DA1F87" w:rsidRPr="00E54DB1" w:rsidRDefault="00DA1F87" w:rsidP="00D17218">
            <w:pPr>
              <w:pStyle w:val="paragraph"/>
              <w:spacing w:before="0" w:beforeAutospacing="0" w:after="0" w:afterAutospacing="0"/>
              <w:ind w:firstLine="60"/>
              <w:textAlignment w:val="baseline"/>
              <w:rPr>
                <w:rFonts w:asciiTheme="majorHAnsi" w:hAnsiTheme="majorHAnsi" w:cstheme="majorHAnsi"/>
                <w:sz w:val="22"/>
                <w:szCs w:val="22"/>
              </w:rPr>
            </w:pPr>
            <w:r w:rsidRPr="00E54DB1">
              <w:rPr>
                <w:rStyle w:val="normaltextrun"/>
                <w:rFonts w:asciiTheme="majorHAnsi" w:hAnsiTheme="majorHAnsi" w:cstheme="majorHAnsi"/>
                <w:b/>
                <w:bCs/>
                <w:sz w:val="22"/>
                <w:szCs w:val="22"/>
              </w:rPr>
              <w:t>Partnerships </w:t>
            </w:r>
            <w:r w:rsidRPr="00E54DB1">
              <w:rPr>
                <w:rStyle w:val="eop"/>
                <w:rFonts w:asciiTheme="majorHAnsi" w:hAnsiTheme="majorHAnsi" w:cstheme="majorHAnsi"/>
                <w:sz w:val="22"/>
                <w:szCs w:val="22"/>
              </w:rPr>
              <w:t> </w:t>
            </w:r>
          </w:p>
          <w:p w14:paraId="7A2B6A6B" w14:textId="77777777" w:rsidR="00DA1F87" w:rsidRPr="00E54DB1" w:rsidRDefault="00DA1F87" w:rsidP="00D17218">
            <w:pPr>
              <w:pStyle w:val="paragraph"/>
              <w:spacing w:before="0" w:beforeAutospacing="0" w:after="0" w:afterAutospacing="0"/>
              <w:ind w:firstLine="60"/>
              <w:textAlignment w:val="baseline"/>
              <w:rPr>
                <w:rFonts w:asciiTheme="majorHAnsi" w:hAnsiTheme="majorHAnsi" w:cstheme="majorHAnsi"/>
                <w:sz w:val="22"/>
                <w:szCs w:val="22"/>
              </w:rPr>
            </w:pPr>
            <w:r w:rsidRPr="00E54DB1">
              <w:rPr>
                <w:rStyle w:val="eop"/>
                <w:rFonts w:asciiTheme="majorHAnsi" w:hAnsiTheme="majorHAnsi" w:cstheme="majorHAnsi"/>
                <w:sz w:val="22"/>
                <w:szCs w:val="22"/>
              </w:rPr>
              <w:t> </w:t>
            </w:r>
          </w:p>
        </w:tc>
        <w:tc>
          <w:tcPr>
            <w:tcW w:w="74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9E711C" w14:textId="77777777" w:rsidR="00DA1F87" w:rsidRPr="00E54DB1" w:rsidRDefault="00DA1F87" w:rsidP="00D17218">
            <w:pPr>
              <w:pStyle w:val="paragraph"/>
              <w:spacing w:before="0" w:beforeAutospacing="0" w:after="120" w:afterAutospacing="0"/>
              <w:ind w:left="46"/>
              <w:textAlignment w:val="baseline"/>
              <w:rPr>
                <w:rFonts w:asciiTheme="majorHAnsi" w:hAnsiTheme="majorHAnsi" w:cstheme="majorHAnsi"/>
                <w:sz w:val="22"/>
                <w:szCs w:val="22"/>
              </w:rPr>
            </w:pPr>
            <w:r w:rsidRPr="00E54DB1">
              <w:rPr>
                <w:rStyle w:val="normaltextrun"/>
                <w:rFonts w:asciiTheme="majorHAnsi" w:hAnsiTheme="majorHAnsi" w:cstheme="majorHAnsi"/>
                <w:sz w:val="22"/>
                <w:szCs w:val="22"/>
              </w:rPr>
              <w:t>Standard (B) Collaboration and Program Impact: Collaborate with school districts to ensure positive impact in meeting the needs of the districts.</w:t>
            </w:r>
            <w:r w:rsidRPr="00E54DB1">
              <w:rPr>
                <w:rStyle w:val="eop"/>
                <w:rFonts w:asciiTheme="majorHAnsi" w:hAnsiTheme="majorHAnsi" w:cstheme="majorHAnsi"/>
                <w:sz w:val="22"/>
                <w:szCs w:val="22"/>
              </w:rPr>
              <w:t> </w:t>
            </w:r>
          </w:p>
        </w:tc>
      </w:tr>
      <w:tr w:rsidR="00DA1F87" w:rsidRPr="00E54DB1" w14:paraId="1D02ADC5" w14:textId="77777777" w:rsidTr="00D17218">
        <w:tc>
          <w:tcPr>
            <w:tcW w:w="1728" w:type="dxa"/>
            <w:vMerge w:val="restart"/>
            <w:tcBorders>
              <w:top w:val="single" w:sz="6" w:space="0" w:color="auto"/>
              <w:left w:val="single" w:sz="6" w:space="0" w:color="auto"/>
              <w:bottom w:val="single" w:sz="6" w:space="0" w:color="auto"/>
              <w:right w:val="single" w:sz="6" w:space="0" w:color="auto"/>
            </w:tcBorders>
            <w:shd w:val="clear" w:color="auto" w:fill="FDE9D9"/>
            <w:vAlign w:val="center"/>
            <w:hideMark/>
          </w:tcPr>
          <w:p w14:paraId="1CDFC28F" w14:textId="77777777" w:rsidR="00DA1F87" w:rsidRPr="00E54DB1" w:rsidRDefault="00DA1F87" w:rsidP="00D17218">
            <w:pPr>
              <w:pStyle w:val="paragraph"/>
              <w:spacing w:before="0" w:beforeAutospacing="0" w:after="0" w:afterAutospacing="0"/>
              <w:ind w:left="60"/>
              <w:textAlignment w:val="baseline"/>
              <w:rPr>
                <w:rFonts w:asciiTheme="majorHAnsi" w:hAnsiTheme="majorHAnsi" w:cstheme="majorHAnsi"/>
                <w:sz w:val="22"/>
                <w:szCs w:val="22"/>
              </w:rPr>
            </w:pPr>
            <w:r w:rsidRPr="00E54DB1">
              <w:rPr>
                <w:rStyle w:val="normaltextrun"/>
                <w:rFonts w:asciiTheme="majorHAnsi" w:hAnsiTheme="majorHAnsi" w:cstheme="majorHAnsi"/>
                <w:b/>
                <w:bCs/>
                <w:sz w:val="22"/>
                <w:szCs w:val="22"/>
              </w:rPr>
              <w:t>Continuous Improvement</w:t>
            </w:r>
            <w:r w:rsidRPr="00E54DB1">
              <w:rPr>
                <w:rStyle w:val="eop"/>
                <w:rFonts w:asciiTheme="majorHAnsi" w:hAnsiTheme="majorHAnsi" w:cstheme="majorHAnsi"/>
                <w:sz w:val="22"/>
                <w:szCs w:val="22"/>
              </w:rPr>
              <w:t> </w:t>
            </w:r>
          </w:p>
        </w:tc>
        <w:tc>
          <w:tcPr>
            <w:tcW w:w="74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37BB6B" w14:textId="77777777" w:rsidR="00DA1F87" w:rsidRPr="00E54DB1" w:rsidRDefault="00DA1F87" w:rsidP="00D17218">
            <w:pPr>
              <w:pStyle w:val="paragraph"/>
              <w:spacing w:before="0" w:beforeAutospacing="0" w:after="120" w:afterAutospacing="0"/>
              <w:ind w:left="46"/>
              <w:textAlignment w:val="baseline"/>
              <w:rPr>
                <w:rFonts w:asciiTheme="majorHAnsi" w:hAnsiTheme="majorHAnsi" w:cstheme="majorHAnsi"/>
                <w:sz w:val="22"/>
                <w:szCs w:val="22"/>
              </w:rPr>
            </w:pPr>
            <w:r w:rsidRPr="00E54DB1">
              <w:rPr>
                <w:rStyle w:val="normaltextrun"/>
                <w:rFonts w:asciiTheme="majorHAnsi" w:hAnsiTheme="majorHAnsi" w:cstheme="majorHAnsi"/>
                <w:sz w:val="22"/>
                <w:szCs w:val="22"/>
              </w:rPr>
              <w:t>Standard (A) Continuous Improvement</w:t>
            </w:r>
            <w:r w:rsidRPr="00E54DB1">
              <w:rPr>
                <w:rStyle w:val="eop"/>
                <w:rFonts w:asciiTheme="majorHAnsi" w:hAnsiTheme="majorHAnsi" w:cstheme="majorHAnsi"/>
                <w:sz w:val="22"/>
                <w:szCs w:val="22"/>
              </w:rPr>
              <w:t> </w:t>
            </w:r>
          </w:p>
          <w:p w14:paraId="281DDF0D" w14:textId="77777777" w:rsidR="00DA1F87" w:rsidRPr="00E54DB1" w:rsidRDefault="00DA1F87" w:rsidP="00D17218">
            <w:pPr>
              <w:pStyle w:val="paragraph"/>
              <w:spacing w:before="0" w:beforeAutospacing="0" w:after="120" w:afterAutospacing="0"/>
              <w:ind w:left="46"/>
              <w:textAlignment w:val="baseline"/>
              <w:rPr>
                <w:rFonts w:asciiTheme="majorHAnsi" w:hAnsiTheme="majorHAnsi" w:cstheme="majorHAnsi"/>
                <w:sz w:val="22"/>
                <w:szCs w:val="22"/>
              </w:rPr>
            </w:pPr>
            <w:r w:rsidRPr="00E54DB1">
              <w:rPr>
                <w:rStyle w:val="normaltextrun"/>
                <w:rFonts w:asciiTheme="majorHAnsi" w:hAnsiTheme="majorHAnsi" w:cstheme="majorHAnsi"/>
                <w:sz w:val="22"/>
                <w:szCs w:val="22"/>
              </w:rPr>
              <w:t>Conduct an annual evaluation to assess program compliance, effectiveness, and impact using a data driven system to ensure continuous improvement.</w:t>
            </w:r>
            <w:r w:rsidRPr="00E54DB1">
              <w:rPr>
                <w:rStyle w:val="eop"/>
                <w:rFonts w:asciiTheme="majorHAnsi" w:hAnsiTheme="majorHAnsi" w:cstheme="majorHAnsi"/>
                <w:sz w:val="22"/>
                <w:szCs w:val="22"/>
              </w:rPr>
              <w:t> </w:t>
            </w:r>
          </w:p>
        </w:tc>
      </w:tr>
      <w:tr w:rsidR="00DA1F87" w:rsidRPr="00E54DB1" w14:paraId="7DC747D7" w14:textId="77777777" w:rsidTr="00D17218">
        <w:trPr>
          <w:trHeight w:val="237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AD13350" w14:textId="77777777" w:rsidR="00DA1F87" w:rsidRPr="00E54DB1" w:rsidRDefault="00DA1F87" w:rsidP="00D17218">
            <w:pPr>
              <w:rPr>
                <w:rFonts w:cstheme="majorHAnsi"/>
              </w:rPr>
            </w:pPr>
          </w:p>
        </w:tc>
        <w:tc>
          <w:tcPr>
            <w:tcW w:w="74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AA4840" w14:textId="77777777" w:rsidR="00DA1F87" w:rsidRPr="00E54DB1" w:rsidRDefault="00DA1F87" w:rsidP="00D17218">
            <w:pPr>
              <w:pStyle w:val="paragraph"/>
              <w:spacing w:before="0" w:beforeAutospacing="0" w:after="120" w:afterAutospacing="0"/>
              <w:ind w:left="46"/>
              <w:textAlignment w:val="baseline"/>
              <w:rPr>
                <w:rFonts w:asciiTheme="majorHAnsi" w:hAnsiTheme="majorHAnsi" w:cstheme="majorHAnsi"/>
                <w:sz w:val="22"/>
                <w:szCs w:val="22"/>
              </w:rPr>
            </w:pPr>
            <w:r w:rsidRPr="00E54DB1">
              <w:rPr>
                <w:rStyle w:val="normaltextrun"/>
                <w:rFonts w:asciiTheme="majorHAnsi" w:hAnsiTheme="majorHAnsi" w:cstheme="majorHAnsi"/>
                <w:sz w:val="22"/>
                <w:szCs w:val="22"/>
              </w:rPr>
              <w:t>Standard (G) Educator Effectiveness </w:t>
            </w:r>
            <w:r w:rsidRPr="00E54DB1">
              <w:rPr>
                <w:rStyle w:val="eop"/>
                <w:rFonts w:asciiTheme="majorHAnsi" w:hAnsiTheme="majorHAnsi" w:cstheme="majorHAnsi"/>
                <w:sz w:val="22"/>
                <w:szCs w:val="22"/>
              </w:rPr>
              <w:t> </w:t>
            </w:r>
          </w:p>
          <w:p w14:paraId="1DA27DF8" w14:textId="77777777" w:rsidR="00DA1F87" w:rsidRPr="00E54DB1" w:rsidRDefault="00DA1F87" w:rsidP="00D17218">
            <w:pPr>
              <w:pStyle w:val="paragraph"/>
              <w:spacing w:before="0" w:beforeAutospacing="0" w:after="120" w:afterAutospacing="0"/>
              <w:ind w:left="46"/>
              <w:textAlignment w:val="baseline"/>
              <w:rPr>
                <w:rFonts w:asciiTheme="majorHAnsi" w:hAnsiTheme="majorHAnsi" w:cstheme="majorHAnsi"/>
                <w:sz w:val="22"/>
                <w:szCs w:val="22"/>
              </w:rPr>
            </w:pPr>
            <w:r w:rsidRPr="00E54DB1">
              <w:rPr>
                <w:rStyle w:val="normaltextrun"/>
                <w:rFonts w:asciiTheme="majorHAnsi" w:hAnsiTheme="majorHAnsi" w:cstheme="majorHAnsi"/>
                <w:sz w:val="22"/>
                <w:szCs w:val="22"/>
              </w:rPr>
              <w:t>Analyze and use: aggregate evaluation rating data of program completers, employment data on program completers employed in the Commonwealth of Massachusetts, results of survey data, and other available data to improve program effectiveness.</w:t>
            </w:r>
            <w:r w:rsidRPr="00E54DB1">
              <w:rPr>
                <w:rStyle w:val="eop"/>
                <w:rFonts w:asciiTheme="majorHAnsi" w:hAnsiTheme="majorHAnsi" w:cstheme="majorHAnsi"/>
                <w:sz w:val="22"/>
                <w:szCs w:val="22"/>
              </w:rPr>
              <w:t> </w:t>
            </w:r>
          </w:p>
        </w:tc>
      </w:tr>
      <w:tr w:rsidR="00DA1F87" w:rsidRPr="00E54DB1" w14:paraId="279E610F" w14:textId="77777777" w:rsidTr="00D17218">
        <w:tc>
          <w:tcPr>
            <w:tcW w:w="1728" w:type="dxa"/>
            <w:vMerge w:val="restart"/>
            <w:tcBorders>
              <w:top w:val="single" w:sz="6" w:space="0" w:color="auto"/>
              <w:left w:val="single" w:sz="6" w:space="0" w:color="auto"/>
              <w:bottom w:val="single" w:sz="6" w:space="0" w:color="auto"/>
              <w:right w:val="single" w:sz="6" w:space="0" w:color="auto"/>
            </w:tcBorders>
            <w:shd w:val="clear" w:color="auto" w:fill="EAF1DD"/>
            <w:vAlign w:val="center"/>
            <w:hideMark/>
          </w:tcPr>
          <w:p w14:paraId="611BFE83" w14:textId="77777777" w:rsidR="00DA1F87" w:rsidRPr="00E54DB1" w:rsidRDefault="00DA1F87" w:rsidP="00D17218">
            <w:pPr>
              <w:pStyle w:val="paragraph"/>
              <w:spacing w:before="0" w:beforeAutospacing="0" w:after="0" w:afterAutospacing="0"/>
              <w:ind w:firstLine="60"/>
              <w:textAlignment w:val="baseline"/>
              <w:rPr>
                <w:rFonts w:asciiTheme="majorHAnsi" w:hAnsiTheme="majorHAnsi" w:cstheme="majorHAnsi"/>
                <w:sz w:val="22"/>
                <w:szCs w:val="22"/>
              </w:rPr>
            </w:pPr>
            <w:r w:rsidRPr="00E54DB1">
              <w:rPr>
                <w:rStyle w:val="normaltextrun"/>
                <w:rFonts w:asciiTheme="majorHAnsi" w:hAnsiTheme="majorHAnsi" w:cstheme="majorHAnsi"/>
                <w:b/>
                <w:bCs/>
                <w:sz w:val="22"/>
                <w:szCs w:val="22"/>
              </w:rPr>
              <w:t>Candidate </w:t>
            </w:r>
            <w:r w:rsidRPr="00E54DB1">
              <w:rPr>
                <w:rStyle w:val="eop"/>
                <w:rFonts w:asciiTheme="majorHAnsi" w:hAnsiTheme="majorHAnsi" w:cstheme="majorHAnsi"/>
                <w:sz w:val="22"/>
                <w:szCs w:val="22"/>
              </w:rPr>
              <w:t> </w:t>
            </w:r>
          </w:p>
          <w:p w14:paraId="09FFC7BA" w14:textId="77777777" w:rsidR="00DA1F87" w:rsidRPr="00E54DB1" w:rsidRDefault="00DA1F87" w:rsidP="00D17218">
            <w:pPr>
              <w:pStyle w:val="paragraph"/>
              <w:spacing w:before="0" w:beforeAutospacing="0" w:after="0" w:afterAutospacing="0"/>
              <w:ind w:left="360"/>
              <w:textAlignment w:val="baseline"/>
              <w:rPr>
                <w:rFonts w:asciiTheme="majorHAnsi" w:hAnsiTheme="majorHAnsi" w:cstheme="majorHAnsi"/>
                <w:sz w:val="22"/>
                <w:szCs w:val="22"/>
              </w:rPr>
            </w:pPr>
            <w:r w:rsidRPr="00E54DB1">
              <w:rPr>
                <w:rStyle w:val="eop"/>
                <w:rFonts w:asciiTheme="majorHAnsi" w:hAnsiTheme="majorHAnsi" w:cstheme="majorHAnsi"/>
                <w:sz w:val="22"/>
                <w:szCs w:val="22"/>
              </w:rPr>
              <w:t> </w:t>
            </w:r>
          </w:p>
        </w:tc>
        <w:tc>
          <w:tcPr>
            <w:tcW w:w="74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9DDFC5" w14:textId="77777777" w:rsidR="00DA1F87" w:rsidRPr="00E54DB1" w:rsidRDefault="00DA1F87" w:rsidP="00D17218">
            <w:pPr>
              <w:pStyle w:val="paragraph"/>
              <w:spacing w:before="0" w:beforeAutospacing="0" w:after="120" w:afterAutospacing="0"/>
              <w:ind w:left="46"/>
              <w:textAlignment w:val="baseline"/>
              <w:rPr>
                <w:rFonts w:asciiTheme="majorHAnsi" w:hAnsiTheme="majorHAnsi" w:cstheme="majorHAnsi"/>
                <w:sz w:val="22"/>
                <w:szCs w:val="22"/>
              </w:rPr>
            </w:pPr>
            <w:r w:rsidRPr="00E54DB1">
              <w:rPr>
                <w:rStyle w:val="normaltextrun"/>
                <w:rFonts w:asciiTheme="majorHAnsi" w:hAnsiTheme="majorHAnsi" w:cstheme="majorHAnsi"/>
                <w:sz w:val="22"/>
                <w:szCs w:val="22"/>
              </w:rPr>
              <w:t>Standard (C) Capacity: Create, deliver and sustain effective preparation programs. </w:t>
            </w:r>
            <w:r w:rsidRPr="00E54DB1">
              <w:rPr>
                <w:rStyle w:val="eop"/>
                <w:rFonts w:asciiTheme="majorHAnsi" w:hAnsiTheme="majorHAnsi" w:cstheme="majorHAnsi"/>
                <w:sz w:val="22"/>
                <w:szCs w:val="22"/>
              </w:rPr>
              <w:t> </w:t>
            </w:r>
          </w:p>
        </w:tc>
      </w:tr>
      <w:tr w:rsidR="00DA1F87" w:rsidRPr="00E54DB1" w14:paraId="7BEB6FF6" w14:textId="77777777" w:rsidTr="00D17218">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1FE43C9" w14:textId="77777777" w:rsidR="00DA1F87" w:rsidRPr="00E54DB1" w:rsidRDefault="00DA1F87" w:rsidP="00D17218">
            <w:pPr>
              <w:rPr>
                <w:rFonts w:cstheme="majorHAnsi"/>
              </w:rPr>
            </w:pPr>
          </w:p>
        </w:tc>
        <w:tc>
          <w:tcPr>
            <w:tcW w:w="74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7B2680" w14:textId="77777777" w:rsidR="00DA1F87" w:rsidRPr="00E54DB1" w:rsidRDefault="00DA1F87" w:rsidP="00D17218">
            <w:pPr>
              <w:pStyle w:val="paragraph"/>
              <w:spacing w:before="0" w:beforeAutospacing="0" w:after="120" w:afterAutospacing="0"/>
              <w:ind w:left="46"/>
              <w:textAlignment w:val="baseline"/>
              <w:rPr>
                <w:rFonts w:asciiTheme="majorHAnsi" w:hAnsiTheme="majorHAnsi" w:cstheme="majorHAnsi"/>
                <w:sz w:val="22"/>
                <w:szCs w:val="22"/>
              </w:rPr>
            </w:pPr>
            <w:r w:rsidRPr="00E54DB1">
              <w:rPr>
                <w:rStyle w:val="normaltextrun"/>
                <w:rFonts w:asciiTheme="majorHAnsi" w:hAnsiTheme="majorHAnsi" w:cstheme="majorHAnsi"/>
                <w:sz w:val="22"/>
                <w:szCs w:val="22"/>
              </w:rPr>
              <w:t>Standard (D) Subject Matter Knowledge</w:t>
            </w:r>
            <w:r w:rsidRPr="00E54DB1">
              <w:rPr>
                <w:rStyle w:val="eop"/>
                <w:rFonts w:asciiTheme="majorHAnsi" w:hAnsiTheme="majorHAnsi" w:cstheme="majorHAnsi"/>
                <w:sz w:val="22"/>
                <w:szCs w:val="22"/>
              </w:rPr>
              <w:t> </w:t>
            </w:r>
          </w:p>
          <w:p w14:paraId="1980C3FD" w14:textId="77777777" w:rsidR="00DA1F87" w:rsidRPr="00E54DB1" w:rsidRDefault="00DA1F87" w:rsidP="00D17218">
            <w:pPr>
              <w:pStyle w:val="paragraph"/>
              <w:spacing w:before="0" w:beforeAutospacing="0" w:after="120" w:afterAutospacing="0"/>
              <w:ind w:left="46"/>
              <w:textAlignment w:val="baseline"/>
              <w:rPr>
                <w:rFonts w:asciiTheme="majorHAnsi" w:hAnsiTheme="majorHAnsi" w:cstheme="majorHAnsi"/>
                <w:sz w:val="22"/>
                <w:szCs w:val="22"/>
              </w:rPr>
            </w:pPr>
            <w:r w:rsidRPr="00E54DB1">
              <w:rPr>
                <w:rStyle w:val="normaltextrun"/>
                <w:rFonts w:asciiTheme="majorHAnsi" w:hAnsiTheme="majorHAnsi" w:cstheme="majorHAnsi"/>
                <w:b/>
                <w:bCs/>
                <w:sz w:val="22"/>
                <w:szCs w:val="22"/>
              </w:rPr>
              <w:t>Initial License</w:t>
            </w:r>
            <w:r w:rsidRPr="00E54DB1">
              <w:rPr>
                <w:rStyle w:val="normaltextrun"/>
                <w:rFonts w:asciiTheme="majorHAnsi" w:hAnsiTheme="majorHAnsi" w:cstheme="majorHAnsi"/>
                <w:sz w:val="22"/>
                <w:szCs w:val="22"/>
              </w:rPr>
              <w:t xml:space="preserve"> - Subject Matter Knowledge (SMK): Ensure that program completers have content mastery based on the subject matter knowledge </w:t>
            </w:r>
            <w:r w:rsidRPr="00E54DB1">
              <w:rPr>
                <w:rStyle w:val="contextualspellingandgrammarerror"/>
                <w:rFonts w:asciiTheme="majorHAnsi" w:hAnsiTheme="majorHAnsi" w:cstheme="majorHAnsi"/>
                <w:sz w:val="22"/>
                <w:szCs w:val="22"/>
              </w:rPr>
              <w:t>requirements;</w:t>
            </w:r>
            <w:r w:rsidRPr="00E54DB1">
              <w:rPr>
                <w:rStyle w:val="normaltextrun"/>
                <w:rFonts w:asciiTheme="majorHAnsi" w:hAnsiTheme="majorHAnsi" w:cstheme="majorHAnsi"/>
                <w:sz w:val="22"/>
                <w:szCs w:val="22"/>
              </w:rPr>
              <w:t xml:space="preserve"> </w:t>
            </w:r>
            <w:hyperlink r:id="rId66" w:tgtFrame="_blank" w:history="1">
              <w:r w:rsidRPr="00E54DB1">
                <w:rPr>
                  <w:rStyle w:val="normaltextrun"/>
                  <w:rFonts w:asciiTheme="majorHAnsi" w:hAnsiTheme="majorHAnsi" w:cstheme="majorHAnsi"/>
                  <w:color w:val="0000FF"/>
                  <w:sz w:val="22"/>
                  <w:szCs w:val="22"/>
                  <w:u w:val="single"/>
                </w:rPr>
                <w:t>603 CMR 7.06, 7.07, 7.09, and 7.11</w:t>
              </w:r>
            </w:hyperlink>
            <w:r w:rsidRPr="00E54DB1">
              <w:rPr>
                <w:rStyle w:val="normaltextrun"/>
                <w:rFonts w:asciiTheme="majorHAnsi" w:hAnsiTheme="majorHAnsi" w:cstheme="majorHAnsi"/>
                <w:sz w:val="22"/>
                <w:szCs w:val="22"/>
              </w:rPr>
              <w:t>, at the level of an initially licensed educator.</w:t>
            </w:r>
            <w:r w:rsidRPr="00E54DB1">
              <w:rPr>
                <w:rStyle w:val="eop"/>
                <w:rFonts w:asciiTheme="majorHAnsi" w:hAnsiTheme="majorHAnsi" w:cstheme="majorHAnsi"/>
                <w:sz w:val="22"/>
                <w:szCs w:val="22"/>
              </w:rPr>
              <w:t> </w:t>
            </w:r>
          </w:p>
        </w:tc>
      </w:tr>
      <w:tr w:rsidR="00DA1F87" w:rsidRPr="00E54DB1" w14:paraId="7476EFA4" w14:textId="77777777" w:rsidTr="00D17218">
        <w:trPr>
          <w:trHeight w:val="1305"/>
        </w:trPr>
        <w:tc>
          <w:tcPr>
            <w:tcW w:w="1728" w:type="dxa"/>
            <w:tcBorders>
              <w:top w:val="single" w:sz="6" w:space="0" w:color="auto"/>
              <w:left w:val="single" w:sz="6" w:space="0" w:color="auto"/>
              <w:bottom w:val="single" w:sz="6" w:space="0" w:color="auto"/>
              <w:right w:val="single" w:sz="6" w:space="0" w:color="auto"/>
            </w:tcBorders>
            <w:shd w:val="clear" w:color="auto" w:fill="DAEEF3"/>
            <w:vAlign w:val="center"/>
            <w:hideMark/>
          </w:tcPr>
          <w:p w14:paraId="12333345" w14:textId="77777777" w:rsidR="00DA1F87" w:rsidRPr="00E54DB1" w:rsidRDefault="00DA1F87" w:rsidP="00D17218">
            <w:pPr>
              <w:pStyle w:val="paragraph"/>
              <w:spacing w:before="0" w:beforeAutospacing="0" w:after="0" w:afterAutospacing="0"/>
              <w:ind w:left="60"/>
              <w:textAlignment w:val="baseline"/>
              <w:rPr>
                <w:rFonts w:asciiTheme="majorHAnsi" w:hAnsiTheme="majorHAnsi" w:cstheme="majorHAnsi"/>
                <w:sz w:val="22"/>
                <w:szCs w:val="22"/>
              </w:rPr>
            </w:pPr>
            <w:r w:rsidRPr="00E54DB1">
              <w:rPr>
                <w:rStyle w:val="normaltextrun"/>
                <w:rFonts w:asciiTheme="majorHAnsi" w:hAnsiTheme="majorHAnsi" w:cstheme="majorHAnsi"/>
                <w:b/>
                <w:bCs/>
                <w:sz w:val="22"/>
                <w:szCs w:val="22"/>
              </w:rPr>
              <w:t>Field-Based Experiences</w:t>
            </w:r>
            <w:r w:rsidRPr="00E54DB1">
              <w:rPr>
                <w:rStyle w:val="eop"/>
                <w:rFonts w:asciiTheme="majorHAnsi" w:hAnsiTheme="majorHAnsi" w:cstheme="majorHAnsi"/>
                <w:sz w:val="22"/>
                <w:szCs w:val="22"/>
              </w:rPr>
              <w:t> </w:t>
            </w:r>
          </w:p>
          <w:p w14:paraId="51429E21" w14:textId="77777777" w:rsidR="00DA1F87" w:rsidRPr="00E54DB1" w:rsidRDefault="00DA1F87" w:rsidP="00D17218">
            <w:pPr>
              <w:pStyle w:val="paragraph"/>
              <w:spacing w:before="0" w:beforeAutospacing="0" w:after="0" w:afterAutospacing="0"/>
              <w:ind w:left="720"/>
              <w:textAlignment w:val="baseline"/>
              <w:rPr>
                <w:rFonts w:asciiTheme="majorHAnsi" w:hAnsiTheme="majorHAnsi" w:cstheme="majorHAnsi"/>
                <w:sz w:val="22"/>
                <w:szCs w:val="22"/>
              </w:rPr>
            </w:pPr>
            <w:r w:rsidRPr="00E54DB1">
              <w:rPr>
                <w:rStyle w:val="eop"/>
                <w:rFonts w:asciiTheme="majorHAnsi" w:hAnsiTheme="majorHAnsi" w:cstheme="majorHAnsi"/>
                <w:sz w:val="22"/>
                <w:szCs w:val="22"/>
              </w:rPr>
              <w:t> </w:t>
            </w:r>
          </w:p>
        </w:tc>
        <w:tc>
          <w:tcPr>
            <w:tcW w:w="74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B93D72" w14:textId="77777777" w:rsidR="00DA1F87" w:rsidRPr="00E54DB1" w:rsidRDefault="00DA1F87" w:rsidP="00D17218">
            <w:pPr>
              <w:pStyle w:val="paragraph"/>
              <w:spacing w:before="0" w:beforeAutospacing="0" w:after="120" w:afterAutospacing="0"/>
              <w:ind w:left="46"/>
              <w:textAlignment w:val="baseline"/>
              <w:rPr>
                <w:rFonts w:asciiTheme="majorHAnsi" w:hAnsiTheme="majorHAnsi" w:cstheme="majorHAnsi"/>
                <w:sz w:val="22"/>
                <w:szCs w:val="22"/>
              </w:rPr>
            </w:pPr>
            <w:r w:rsidRPr="00E54DB1">
              <w:rPr>
                <w:rStyle w:val="normaltextrun"/>
                <w:rFonts w:asciiTheme="majorHAnsi" w:hAnsiTheme="majorHAnsi" w:cstheme="majorHAnsi"/>
                <w:sz w:val="22"/>
                <w:szCs w:val="22"/>
              </w:rPr>
              <w:t>Standard (C) Capacity: Create, deliver and sustain effective preparation programs. </w:t>
            </w:r>
            <w:r w:rsidRPr="00E54DB1">
              <w:rPr>
                <w:rStyle w:val="eop"/>
                <w:rFonts w:asciiTheme="majorHAnsi" w:hAnsiTheme="majorHAnsi" w:cstheme="majorHAnsi"/>
                <w:sz w:val="22"/>
                <w:szCs w:val="22"/>
              </w:rPr>
              <w:t> </w:t>
            </w:r>
          </w:p>
        </w:tc>
      </w:tr>
      <w:tr w:rsidR="00DA1F87" w:rsidRPr="00E54DB1" w14:paraId="586948C4" w14:textId="77777777" w:rsidTr="00D17218">
        <w:trPr>
          <w:trHeight w:val="945"/>
        </w:trPr>
        <w:tc>
          <w:tcPr>
            <w:tcW w:w="1728" w:type="dxa"/>
            <w:vMerge w:val="restart"/>
            <w:tcBorders>
              <w:top w:val="single" w:sz="6" w:space="0" w:color="auto"/>
              <w:left w:val="single" w:sz="6" w:space="0" w:color="auto"/>
              <w:bottom w:val="single" w:sz="6" w:space="0" w:color="auto"/>
              <w:right w:val="single" w:sz="6" w:space="0" w:color="auto"/>
            </w:tcBorders>
            <w:shd w:val="clear" w:color="auto" w:fill="E5DFEC"/>
            <w:vAlign w:val="center"/>
            <w:hideMark/>
          </w:tcPr>
          <w:p w14:paraId="11D44D62" w14:textId="77777777" w:rsidR="00DA1F87" w:rsidRPr="00E54DB1" w:rsidRDefault="00DA1F87" w:rsidP="00D17218">
            <w:pPr>
              <w:pStyle w:val="paragraph"/>
              <w:spacing w:before="0" w:beforeAutospacing="0" w:after="0" w:afterAutospacing="0"/>
              <w:ind w:firstLine="60"/>
              <w:textAlignment w:val="baseline"/>
              <w:rPr>
                <w:rFonts w:asciiTheme="majorHAnsi" w:hAnsiTheme="majorHAnsi" w:cstheme="majorHAnsi"/>
                <w:sz w:val="22"/>
                <w:szCs w:val="22"/>
              </w:rPr>
            </w:pPr>
            <w:r w:rsidRPr="00E54DB1">
              <w:rPr>
                <w:rStyle w:val="normaltextrun"/>
                <w:rFonts w:asciiTheme="majorHAnsi" w:hAnsiTheme="majorHAnsi" w:cstheme="majorHAnsi"/>
                <w:b/>
                <w:bCs/>
                <w:sz w:val="22"/>
                <w:szCs w:val="22"/>
              </w:rPr>
              <w:t>Instruction</w:t>
            </w:r>
            <w:r w:rsidRPr="00E54DB1">
              <w:rPr>
                <w:rStyle w:val="eop"/>
                <w:rFonts w:asciiTheme="majorHAnsi" w:hAnsiTheme="majorHAnsi" w:cstheme="majorHAnsi"/>
                <w:sz w:val="22"/>
                <w:szCs w:val="22"/>
              </w:rPr>
              <w:t> </w:t>
            </w:r>
          </w:p>
          <w:p w14:paraId="18A9642C" w14:textId="77777777" w:rsidR="00DA1F87" w:rsidRPr="00E54DB1" w:rsidRDefault="00DA1F87" w:rsidP="00D17218">
            <w:pPr>
              <w:pStyle w:val="paragraph"/>
              <w:spacing w:before="0" w:beforeAutospacing="0" w:after="0" w:afterAutospacing="0"/>
              <w:textAlignment w:val="baseline"/>
              <w:rPr>
                <w:rFonts w:asciiTheme="majorHAnsi" w:hAnsiTheme="majorHAnsi" w:cstheme="majorHAnsi"/>
                <w:sz w:val="22"/>
                <w:szCs w:val="22"/>
              </w:rPr>
            </w:pPr>
            <w:r w:rsidRPr="00E54DB1">
              <w:rPr>
                <w:rStyle w:val="eop"/>
                <w:rFonts w:asciiTheme="majorHAnsi" w:hAnsiTheme="majorHAnsi" w:cstheme="majorHAnsi"/>
                <w:sz w:val="22"/>
                <w:szCs w:val="22"/>
              </w:rPr>
              <w:t> </w:t>
            </w:r>
          </w:p>
        </w:tc>
        <w:tc>
          <w:tcPr>
            <w:tcW w:w="74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74AEF9" w14:textId="77777777" w:rsidR="00DA1F87" w:rsidRPr="00E54DB1" w:rsidRDefault="00DA1F87" w:rsidP="00D17218">
            <w:pPr>
              <w:pStyle w:val="paragraph"/>
              <w:spacing w:before="0" w:beforeAutospacing="0" w:after="120" w:afterAutospacing="0"/>
              <w:ind w:left="46"/>
              <w:textAlignment w:val="baseline"/>
              <w:rPr>
                <w:rFonts w:asciiTheme="majorHAnsi" w:hAnsiTheme="majorHAnsi" w:cstheme="majorHAnsi"/>
                <w:sz w:val="22"/>
                <w:szCs w:val="22"/>
              </w:rPr>
            </w:pPr>
            <w:r w:rsidRPr="00E54DB1">
              <w:rPr>
                <w:rStyle w:val="normaltextrun"/>
                <w:rFonts w:asciiTheme="majorHAnsi" w:hAnsiTheme="majorHAnsi" w:cstheme="majorHAnsi"/>
                <w:sz w:val="22"/>
                <w:szCs w:val="22"/>
              </w:rPr>
              <w:t>Standard (C) Capacity: Create, deliver and sustain effective preparation programs. </w:t>
            </w:r>
            <w:r w:rsidRPr="00E54DB1">
              <w:rPr>
                <w:rStyle w:val="eop"/>
                <w:rFonts w:asciiTheme="majorHAnsi" w:hAnsiTheme="majorHAnsi" w:cstheme="majorHAnsi"/>
                <w:sz w:val="22"/>
                <w:szCs w:val="22"/>
              </w:rPr>
              <w:t> </w:t>
            </w:r>
          </w:p>
        </w:tc>
      </w:tr>
      <w:tr w:rsidR="00DA1F87" w:rsidRPr="00E54DB1" w14:paraId="0BDBDABF" w14:textId="77777777" w:rsidTr="00D17218">
        <w:trPr>
          <w:trHeight w:val="9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A197DE3" w14:textId="77777777" w:rsidR="00DA1F87" w:rsidRPr="00E54DB1" w:rsidRDefault="00DA1F87" w:rsidP="00D17218">
            <w:pPr>
              <w:rPr>
                <w:rFonts w:cstheme="majorHAnsi"/>
              </w:rPr>
            </w:pPr>
          </w:p>
        </w:tc>
        <w:tc>
          <w:tcPr>
            <w:tcW w:w="7429"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EFF62E1" w14:textId="77777777" w:rsidR="00DA1F87" w:rsidRPr="00E54DB1" w:rsidRDefault="00DA1F87" w:rsidP="00D17218">
            <w:pPr>
              <w:pStyle w:val="paragraph"/>
              <w:spacing w:before="0" w:beforeAutospacing="0" w:after="120" w:afterAutospacing="0"/>
              <w:ind w:left="46"/>
              <w:textAlignment w:val="baseline"/>
              <w:rPr>
                <w:rFonts w:asciiTheme="majorHAnsi" w:hAnsiTheme="majorHAnsi" w:cstheme="majorHAnsi"/>
                <w:sz w:val="22"/>
                <w:szCs w:val="22"/>
              </w:rPr>
            </w:pPr>
            <w:r w:rsidRPr="00E54DB1">
              <w:rPr>
                <w:rStyle w:val="normaltextrun"/>
                <w:rFonts w:asciiTheme="majorHAnsi" w:hAnsiTheme="majorHAnsi" w:cstheme="majorHAnsi"/>
                <w:sz w:val="22"/>
                <w:szCs w:val="22"/>
              </w:rPr>
              <w:t>Standard (D) Subject Matter Knowledge</w:t>
            </w:r>
            <w:r w:rsidRPr="00E54DB1">
              <w:rPr>
                <w:rStyle w:val="eop"/>
                <w:rFonts w:asciiTheme="majorHAnsi" w:hAnsiTheme="majorHAnsi" w:cstheme="majorHAnsi"/>
                <w:sz w:val="22"/>
                <w:szCs w:val="22"/>
              </w:rPr>
              <w:t> </w:t>
            </w:r>
          </w:p>
          <w:p w14:paraId="46811D6A" w14:textId="77777777" w:rsidR="00DA1F87" w:rsidRPr="00E54DB1" w:rsidRDefault="00DA1F87" w:rsidP="00D17218">
            <w:pPr>
              <w:pStyle w:val="paragraph"/>
              <w:spacing w:before="0" w:beforeAutospacing="0" w:after="120" w:afterAutospacing="0"/>
              <w:ind w:left="46"/>
              <w:textAlignment w:val="baseline"/>
              <w:rPr>
                <w:rFonts w:asciiTheme="majorHAnsi" w:hAnsiTheme="majorHAnsi" w:cstheme="majorHAnsi"/>
                <w:sz w:val="22"/>
                <w:szCs w:val="22"/>
              </w:rPr>
            </w:pPr>
            <w:r w:rsidRPr="00E54DB1">
              <w:rPr>
                <w:rStyle w:val="normaltextrun"/>
                <w:rFonts w:asciiTheme="majorHAnsi" w:hAnsiTheme="majorHAnsi" w:cstheme="majorHAnsi"/>
                <w:b/>
                <w:bCs/>
                <w:sz w:val="22"/>
                <w:szCs w:val="22"/>
              </w:rPr>
              <w:t>Initial License</w:t>
            </w:r>
            <w:r w:rsidRPr="00E54DB1">
              <w:rPr>
                <w:rStyle w:val="normaltextrun"/>
                <w:rFonts w:asciiTheme="majorHAnsi" w:hAnsiTheme="majorHAnsi" w:cstheme="majorHAnsi"/>
                <w:sz w:val="22"/>
                <w:szCs w:val="22"/>
              </w:rPr>
              <w:t xml:space="preserve"> - Subject Matter Knowledge (SMK): Ensure that program completers have content mastery based on the subject matter knowledge </w:t>
            </w:r>
            <w:r w:rsidRPr="00E54DB1">
              <w:rPr>
                <w:rStyle w:val="contextualspellingandgrammarerror"/>
                <w:rFonts w:asciiTheme="majorHAnsi" w:hAnsiTheme="majorHAnsi" w:cstheme="majorHAnsi"/>
                <w:sz w:val="22"/>
                <w:szCs w:val="22"/>
              </w:rPr>
              <w:t>requirements;</w:t>
            </w:r>
            <w:r w:rsidRPr="00E54DB1">
              <w:rPr>
                <w:rStyle w:val="normaltextrun"/>
                <w:rFonts w:asciiTheme="majorHAnsi" w:hAnsiTheme="majorHAnsi" w:cstheme="majorHAnsi"/>
                <w:sz w:val="22"/>
                <w:szCs w:val="22"/>
              </w:rPr>
              <w:t xml:space="preserve"> </w:t>
            </w:r>
            <w:hyperlink r:id="rId67" w:tgtFrame="_blank" w:history="1">
              <w:r w:rsidRPr="00E54DB1">
                <w:rPr>
                  <w:rStyle w:val="normaltextrun"/>
                  <w:rFonts w:asciiTheme="majorHAnsi" w:hAnsiTheme="majorHAnsi" w:cstheme="majorHAnsi"/>
                  <w:color w:val="0000FF"/>
                  <w:sz w:val="22"/>
                  <w:szCs w:val="22"/>
                  <w:u w:val="single"/>
                </w:rPr>
                <w:t>603 CMR 7.06, 7.07, 7.09, and 7.11</w:t>
              </w:r>
            </w:hyperlink>
            <w:r w:rsidRPr="00E54DB1">
              <w:rPr>
                <w:rStyle w:val="normaltextrun"/>
                <w:rFonts w:asciiTheme="majorHAnsi" w:hAnsiTheme="majorHAnsi" w:cstheme="majorHAnsi"/>
                <w:sz w:val="22"/>
                <w:szCs w:val="22"/>
              </w:rPr>
              <w:t>, at the level of an initially licensed educator</w:t>
            </w:r>
            <w:r w:rsidRPr="00E54DB1">
              <w:rPr>
                <w:rStyle w:val="eop"/>
                <w:rFonts w:asciiTheme="majorHAnsi" w:hAnsiTheme="majorHAnsi" w:cstheme="majorHAnsi"/>
                <w:sz w:val="22"/>
                <w:szCs w:val="22"/>
              </w:rPr>
              <w:t> </w:t>
            </w:r>
          </w:p>
          <w:p w14:paraId="625256E1" w14:textId="77777777" w:rsidR="00DA1F87" w:rsidRPr="00E54DB1" w:rsidRDefault="00DA1F87" w:rsidP="00D17218">
            <w:pPr>
              <w:pStyle w:val="paragraph"/>
              <w:spacing w:before="0" w:beforeAutospacing="0" w:after="120" w:afterAutospacing="0"/>
              <w:ind w:left="46"/>
              <w:textAlignment w:val="baseline"/>
              <w:rPr>
                <w:rFonts w:asciiTheme="majorHAnsi" w:hAnsiTheme="majorHAnsi" w:cstheme="majorHAnsi"/>
                <w:sz w:val="22"/>
                <w:szCs w:val="22"/>
              </w:rPr>
            </w:pPr>
            <w:r w:rsidRPr="00E54DB1">
              <w:rPr>
                <w:rStyle w:val="normaltextrun"/>
                <w:rFonts w:asciiTheme="majorHAnsi" w:hAnsiTheme="majorHAnsi" w:cstheme="majorHAnsi"/>
                <w:b/>
                <w:bCs/>
                <w:sz w:val="22"/>
                <w:szCs w:val="22"/>
              </w:rPr>
              <w:t>Professional License</w:t>
            </w:r>
            <w:r w:rsidRPr="00E54DB1">
              <w:rPr>
                <w:rStyle w:val="normaltextrun"/>
                <w:rFonts w:asciiTheme="majorHAnsi" w:hAnsiTheme="majorHAnsi" w:cstheme="majorHAnsi"/>
                <w:sz w:val="22"/>
                <w:szCs w:val="22"/>
              </w:rPr>
              <w:t xml:space="preserve"> – Advanced Subject Matter Knowledge: Ensure that program completers have advanced content mastery based on the subject matter knowledge </w:t>
            </w:r>
            <w:r w:rsidRPr="00E54DB1">
              <w:rPr>
                <w:rStyle w:val="contextualspellingandgrammarerror"/>
                <w:rFonts w:asciiTheme="majorHAnsi" w:hAnsiTheme="majorHAnsi" w:cstheme="majorHAnsi"/>
                <w:sz w:val="22"/>
                <w:szCs w:val="22"/>
              </w:rPr>
              <w:t>requirements;</w:t>
            </w:r>
            <w:r w:rsidRPr="00E54DB1">
              <w:rPr>
                <w:rStyle w:val="normaltextrun"/>
                <w:rFonts w:asciiTheme="majorHAnsi" w:hAnsiTheme="majorHAnsi" w:cstheme="majorHAnsi"/>
                <w:sz w:val="22"/>
                <w:szCs w:val="22"/>
              </w:rPr>
              <w:t xml:space="preserve"> </w:t>
            </w:r>
            <w:hyperlink r:id="rId68" w:tgtFrame="_blank" w:history="1">
              <w:r w:rsidRPr="00E54DB1">
                <w:rPr>
                  <w:rStyle w:val="normaltextrun"/>
                  <w:rFonts w:asciiTheme="majorHAnsi" w:hAnsiTheme="majorHAnsi" w:cstheme="majorHAnsi"/>
                  <w:color w:val="0000FF"/>
                  <w:sz w:val="22"/>
                  <w:szCs w:val="22"/>
                  <w:u w:val="single"/>
                </w:rPr>
                <w:t>603 CMR 7.06 and 7.07</w:t>
              </w:r>
            </w:hyperlink>
            <w:r w:rsidRPr="00E54DB1">
              <w:rPr>
                <w:rStyle w:val="normaltextrun"/>
                <w:rFonts w:asciiTheme="majorHAnsi" w:hAnsiTheme="majorHAnsi" w:cstheme="majorHAnsi"/>
                <w:sz w:val="22"/>
                <w:szCs w:val="22"/>
              </w:rPr>
              <w:t xml:space="preserve"> at the level of a professionally licensed educator.</w:t>
            </w:r>
            <w:r w:rsidRPr="00E54DB1">
              <w:rPr>
                <w:rStyle w:val="eop"/>
                <w:rFonts w:asciiTheme="majorHAnsi" w:hAnsiTheme="majorHAnsi" w:cstheme="majorHAnsi"/>
                <w:sz w:val="22"/>
                <w:szCs w:val="22"/>
              </w:rPr>
              <w:t> </w:t>
            </w:r>
          </w:p>
        </w:tc>
      </w:tr>
      <w:tr w:rsidR="00DA1F87" w:rsidRPr="00E54DB1" w14:paraId="3E0A97B4" w14:textId="77777777" w:rsidTr="00D17218">
        <w:trPr>
          <w:trHeight w:val="64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637F2C" w14:textId="77777777" w:rsidR="00DA1F87" w:rsidRPr="00E54DB1" w:rsidRDefault="00DA1F87" w:rsidP="00D17218">
            <w:pPr>
              <w:rPr>
                <w:rFonts w:cstheme="majorHAnsi"/>
              </w:rPr>
            </w:pPr>
          </w:p>
        </w:tc>
        <w:tc>
          <w:tcPr>
            <w:tcW w:w="742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0126DC9" w14:textId="77777777" w:rsidR="00DA1F87" w:rsidRPr="00E54DB1" w:rsidRDefault="00DA1F87" w:rsidP="00D17218">
            <w:pPr>
              <w:spacing w:after="120"/>
              <w:ind w:left="46"/>
              <w:rPr>
                <w:rFonts w:cstheme="majorHAnsi"/>
              </w:rPr>
            </w:pPr>
          </w:p>
        </w:tc>
      </w:tr>
      <w:tr w:rsidR="00DA1F87" w:rsidRPr="00E54DB1" w14:paraId="1EF2F062" w14:textId="77777777" w:rsidTr="00D17218">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14:paraId="376AAC82" w14:textId="77777777" w:rsidR="00DA1F87" w:rsidRPr="00E54DB1" w:rsidRDefault="00DA1F87" w:rsidP="00D17218">
            <w:pPr>
              <w:rPr>
                <w:rFonts w:cstheme="majorHAnsi"/>
              </w:rPr>
            </w:pPr>
          </w:p>
        </w:tc>
        <w:tc>
          <w:tcPr>
            <w:tcW w:w="7429" w:type="dxa"/>
            <w:tcBorders>
              <w:top w:val="single" w:sz="6" w:space="0" w:color="auto"/>
              <w:left w:val="single" w:sz="6" w:space="0" w:color="auto"/>
              <w:bottom w:val="single" w:sz="6" w:space="0" w:color="auto"/>
              <w:right w:val="single" w:sz="6" w:space="0" w:color="auto"/>
            </w:tcBorders>
            <w:shd w:val="clear" w:color="auto" w:fill="auto"/>
            <w:vAlign w:val="center"/>
          </w:tcPr>
          <w:p w14:paraId="1268C215" w14:textId="77777777" w:rsidR="00DA1F87" w:rsidRPr="00E54DB1" w:rsidRDefault="00DA1F87" w:rsidP="00D17218">
            <w:pPr>
              <w:pStyle w:val="paragraph"/>
              <w:spacing w:before="0" w:beforeAutospacing="0" w:after="120" w:afterAutospacing="0"/>
              <w:ind w:left="46"/>
              <w:textAlignment w:val="baseline"/>
              <w:rPr>
                <w:rFonts w:asciiTheme="majorHAnsi" w:hAnsiTheme="majorHAnsi" w:cstheme="majorHAnsi"/>
                <w:sz w:val="22"/>
                <w:szCs w:val="22"/>
              </w:rPr>
            </w:pPr>
            <w:r w:rsidRPr="00E54DB1">
              <w:rPr>
                <w:rStyle w:val="normaltextrun"/>
                <w:rFonts w:asciiTheme="majorHAnsi" w:hAnsiTheme="majorHAnsi" w:cstheme="majorHAnsi"/>
                <w:sz w:val="22"/>
                <w:szCs w:val="22"/>
              </w:rPr>
              <w:t>Standard (E) Professional Standards for Teachers</w:t>
            </w:r>
            <w:r w:rsidRPr="00E54DB1">
              <w:rPr>
                <w:rStyle w:val="eop"/>
                <w:rFonts w:asciiTheme="majorHAnsi" w:hAnsiTheme="majorHAnsi" w:cstheme="majorHAnsi"/>
                <w:sz w:val="22"/>
                <w:szCs w:val="22"/>
              </w:rPr>
              <w:t> </w:t>
            </w:r>
          </w:p>
          <w:p w14:paraId="57EA64B6" w14:textId="77777777" w:rsidR="00DA1F87" w:rsidRPr="00E54DB1" w:rsidRDefault="00DA1F87" w:rsidP="00D17218">
            <w:pPr>
              <w:pStyle w:val="paragraph"/>
              <w:spacing w:before="0" w:beforeAutospacing="0" w:after="120" w:afterAutospacing="0"/>
              <w:ind w:left="46"/>
              <w:textAlignment w:val="baseline"/>
              <w:rPr>
                <w:rFonts w:asciiTheme="majorHAnsi" w:hAnsiTheme="majorHAnsi" w:cstheme="majorHAnsi"/>
                <w:sz w:val="22"/>
                <w:szCs w:val="22"/>
              </w:rPr>
            </w:pPr>
            <w:r w:rsidRPr="00E54DB1">
              <w:rPr>
                <w:rStyle w:val="normaltextrun"/>
                <w:rFonts w:asciiTheme="majorHAnsi" w:hAnsiTheme="majorHAnsi" w:cstheme="majorHAnsi"/>
                <w:b/>
                <w:bCs/>
                <w:sz w:val="22"/>
                <w:szCs w:val="22"/>
              </w:rPr>
              <w:t>Initial License</w:t>
            </w:r>
            <w:r w:rsidRPr="00E54DB1">
              <w:rPr>
                <w:rStyle w:val="normaltextrun"/>
                <w:rFonts w:asciiTheme="majorHAnsi" w:hAnsiTheme="majorHAnsi" w:cstheme="majorHAnsi"/>
                <w:sz w:val="22"/>
                <w:szCs w:val="22"/>
              </w:rPr>
              <w:t xml:space="preserve"> – Professional Standards for Teachers: Ensure that program completers have been assessed and mastered the Professional Standards for Teachers, </w:t>
            </w:r>
            <w:hyperlink r:id="rId69" w:tgtFrame="_blank" w:history="1">
              <w:r w:rsidRPr="00E54DB1">
                <w:rPr>
                  <w:rStyle w:val="normaltextrun"/>
                  <w:rFonts w:asciiTheme="majorHAnsi" w:hAnsiTheme="majorHAnsi" w:cstheme="majorHAnsi"/>
                  <w:color w:val="0000FF"/>
                  <w:sz w:val="22"/>
                  <w:szCs w:val="22"/>
                  <w:u w:val="single"/>
                </w:rPr>
                <w:t>603 CMR 7.08</w:t>
              </w:r>
            </w:hyperlink>
            <w:r w:rsidRPr="00E54DB1">
              <w:rPr>
                <w:rStyle w:val="normaltextrun"/>
                <w:rFonts w:asciiTheme="majorHAnsi" w:hAnsiTheme="majorHAnsi" w:cstheme="majorHAnsi"/>
                <w:sz w:val="22"/>
                <w:szCs w:val="22"/>
              </w:rPr>
              <w:t xml:space="preserve"> at the level of an initially licensed teacher.</w:t>
            </w:r>
            <w:r w:rsidRPr="00E54DB1">
              <w:rPr>
                <w:rStyle w:val="eop"/>
                <w:rFonts w:asciiTheme="majorHAnsi" w:hAnsiTheme="majorHAnsi" w:cstheme="majorHAnsi"/>
                <w:sz w:val="22"/>
                <w:szCs w:val="22"/>
              </w:rPr>
              <w:t> </w:t>
            </w:r>
          </w:p>
          <w:p w14:paraId="56268616" w14:textId="77777777" w:rsidR="00DA1F87" w:rsidRPr="00E54DB1" w:rsidRDefault="00DA1F87" w:rsidP="00D17218">
            <w:pPr>
              <w:pStyle w:val="paragraph"/>
              <w:spacing w:before="0" w:beforeAutospacing="0" w:after="120" w:afterAutospacing="0"/>
              <w:ind w:left="46"/>
              <w:textAlignment w:val="baseline"/>
              <w:rPr>
                <w:rStyle w:val="normaltextrun"/>
                <w:rFonts w:asciiTheme="majorHAnsi" w:hAnsiTheme="majorHAnsi" w:cstheme="majorHAnsi"/>
                <w:sz w:val="22"/>
                <w:szCs w:val="22"/>
              </w:rPr>
            </w:pPr>
            <w:r w:rsidRPr="00E54DB1">
              <w:rPr>
                <w:rStyle w:val="normaltextrun"/>
                <w:rFonts w:asciiTheme="majorHAnsi" w:hAnsiTheme="majorHAnsi" w:cstheme="majorHAnsi"/>
                <w:b/>
                <w:bCs/>
                <w:sz w:val="22"/>
                <w:szCs w:val="22"/>
              </w:rPr>
              <w:t>Professional License</w:t>
            </w:r>
            <w:r w:rsidRPr="00E54DB1">
              <w:rPr>
                <w:rStyle w:val="normaltextrun"/>
                <w:rFonts w:asciiTheme="majorHAnsi" w:hAnsiTheme="majorHAnsi" w:cstheme="majorHAnsi"/>
                <w:sz w:val="22"/>
                <w:szCs w:val="22"/>
              </w:rPr>
              <w:t xml:space="preserve"> – Advanced Professional Standards for Teachers: Ensure that program completers have been assessed and mastered the Professional Standards for Teachers at the level of a professionally licensed teacher.</w:t>
            </w:r>
            <w:r w:rsidRPr="00E54DB1">
              <w:rPr>
                <w:rStyle w:val="eop"/>
                <w:rFonts w:asciiTheme="majorHAnsi" w:hAnsiTheme="majorHAnsi" w:cstheme="majorHAnsi"/>
                <w:sz w:val="22"/>
                <w:szCs w:val="22"/>
              </w:rPr>
              <w:t> </w:t>
            </w:r>
          </w:p>
        </w:tc>
      </w:tr>
      <w:tr w:rsidR="00DA1F87" w:rsidRPr="00E54DB1" w14:paraId="524E7A2E" w14:textId="77777777" w:rsidTr="00D17218">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8FC92C7" w14:textId="77777777" w:rsidR="00DA1F87" w:rsidRPr="00E54DB1" w:rsidRDefault="00DA1F87" w:rsidP="00D17218">
            <w:pPr>
              <w:rPr>
                <w:rFonts w:cstheme="majorHAnsi"/>
              </w:rPr>
            </w:pPr>
          </w:p>
        </w:tc>
        <w:tc>
          <w:tcPr>
            <w:tcW w:w="74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97B875" w14:textId="77777777" w:rsidR="00DA1F87" w:rsidRPr="00E54DB1" w:rsidRDefault="00DA1F87" w:rsidP="00D17218">
            <w:pPr>
              <w:pStyle w:val="paragraph"/>
              <w:spacing w:before="0" w:beforeAutospacing="0" w:after="120" w:afterAutospacing="0"/>
              <w:ind w:left="46"/>
              <w:textAlignment w:val="baseline"/>
              <w:rPr>
                <w:rFonts w:asciiTheme="majorHAnsi" w:hAnsiTheme="majorHAnsi" w:cstheme="majorHAnsi"/>
                <w:sz w:val="22"/>
                <w:szCs w:val="22"/>
              </w:rPr>
            </w:pPr>
            <w:r w:rsidRPr="00E54DB1">
              <w:rPr>
                <w:rStyle w:val="normaltextrun"/>
                <w:rFonts w:asciiTheme="majorHAnsi" w:hAnsiTheme="majorHAnsi" w:cstheme="majorHAnsi"/>
                <w:sz w:val="22"/>
                <w:szCs w:val="22"/>
              </w:rPr>
              <w:t>Standard (F) Professional Standards for Administrative Leadership: </w:t>
            </w:r>
            <w:r w:rsidRPr="00E54DB1">
              <w:rPr>
                <w:rStyle w:val="eop"/>
                <w:rFonts w:asciiTheme="majorHAnsi" w:hAnsiTheme="majorHAnsi" w:cstheme="majorHAnsi"/>
                <w:sz w:val="22"/>
                <w:szCs w:val="22"/>
              </w:rPr>
              <w:t> </w:t>
            </w:r>
          </w:p>
          <w:p w14:paraId="238C2404" w14:textId="77777777" w:rsidR="00DA1F87" w:rsidRPr="00E54DB1" w:rsidRDefault="00DA1F87" w:rsidP="00D17218">
            <w:pPr>
              <w:pStyle w:val="paragraph"/>
              <w:spacing w:before="0" w:beforeAutospacing="0" w:after="120" w:afterAutospacing="0"/>
              <w:ind w:left="46"/>
              <w:textAlignment w:val="baseline"/>
              <w:rPr>
                <w:rFonts w:asciiTheme="majorHAnsi" w:hAnsiTheme="majorHAnsi" w:cstheme="majorHAnsi"/>
                <w:sz w:val="22"/>
                <w:szCs w:val="22"/>
              </w:rPr>
            </w:pPr>
            <w:r w:rsidRPr="00E54DB1">
              <w:rPr>
                <w:rStyle w:val="normaltextrun"/>
                <w:rFonts w:asciiTheme="majorHAnsi" w:hAnsiTheme="majorHAnsi" w:cstheme="majorHAnsi"/>
                <w:sz w:val="22"/>
                <w:szCs w:val="22"/>
              </w:rPr>
              <w:t>Ensure that program completers have been assessed and mastered the Professional Standards for Administrative Leadership at the level of an initially licensed administrator.</w:t>
            </w:r>
            <w:r w:rsidRPr="00E54DB1">
              <w:rPr>
                <w:rStyle w:val="eop"/>
                <w:rFonts w:asciiTheme="majorHAnsi" w:hAnsiTheme="majorHAnsi" w:cstheme="majorHAnsi"/>
                <w:sz w:val="22"/>
                <w:szCs w:val="22"/>
              </w:rPr>
              <w:t> </w:t>
            </w:r>
          </w:p>
        </w:tc>
      </w:tr>
      <w:tr w:rsidR="00DA1F87" w:rsidRPr="00E54DB1" w14:paraId="110EA496" w14:textId="77777777" w:rsidTr="00D17218">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B2108D" w14:textId="77777777" w:rsidR="00DA1F87" w:rsidRPr="00E54DB1" w:rsidRDefault="00DA1F87" w:rsidP="00D17218">
            <w:pPr>
              <w:rPr>
                <w:rFonts w:cstheme="majorHAnsi"/>
              </w:rPr>
            </w:pPr>
          </w:p>
        </w:tc>
        <w:tc>
          <w:tcPr>
            <w:tcW w:w="74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31C2E4" w14:textId="77777777" w:rsidR="00DA1F87" w:rsidRPr="00E54DB1" w:rsidRDefault="00DA1F87" w:rsidP="00D17218">
            <w:pPr>
              <w:pStyle w:val="paragraph"/>
              <w:spacing w:before="0" w:beforeAutospacing="0" w:after="120" w:afterAutospacing="0"/>
              <w:ind w:left="46"/>
              <w:textAlignment w:val="baseline"/>
              <w:rPr>
                <w:rFonts w:asciiTheme="majorHAnsi" w:hAnsiTheme="majorHAnsi" w:cstheme="majorHAnsi"/>
                <w:sz w:val="22"/>
                <w:szCs w:val="22"/>
              </w:rPr>
            </w:pPr>
            <w:r w:rsidRPr="00E54DB1">
              <w:rPr>
                <w:rStyle w:val="normaltextrun"/>
                <w:rFonts w:asciiTheme="majorHAnsi" w:hAnsiTheme="majorHAnsi" w:cstheme="majorHAnsi"/>
                <w:sz w:val="22"/>
                <w:szCs w:val="22"/>
              </w:rPr>
              <w:t>Standard (G) Educator Effectiveness:  Analyze and use: aggregate evaluation rating data of program completers, employment data on program completers employed in the Commonwealth of Massachusetts, results of survey data, and other available data to improve program effectiveness.</w:t>
            </w:r>
            <w:r w:rsidRPr="00E54DB1">
              <w:rPr>
                <w:rStyle w:val="eop"/>
                <w:rFonts w:asciiTheme="majorHAnsi" w:hAnsiTheme="majorHAnsi" w:cstheme="majorHAnsi"/>
                <w:sz w:val="22"/>
                <w:szCs w:val="22"/>
              </w:rPr>
              <w:t> </w:t>
            </w:r>
          </w:p>
        </w:tc>
      </w:tr>
    </w:tbl>
    <w:p w14:paraId="79CCB66D" w14:textId="767D9729" w:rsidR="0023416A" w:rsidRDefault="0023416A" w:rsidP="00DA1F87">
      <w:pPr>
        <w:rPr>
          <w:rFonts w:cstheme="majorHAnsi"/>
          <w:sz w:val="24"/>
          <w:szCs w:val="24"/>
        </w:rPr>
      </w:pPr>
    </w:p>
    <w:p w14:paraId="4B1CF3E2" w14:textId="77777777" w:rsidR="0023416A" w:rsidRDefault="0023416A">
      <w:pPr>
        <w:rPr>
          <w:rFonts w:cstheme="majorHAnsi"/>
          <w:sz w:val="24"/>
          <w:szCs w:val="24"/>
        </w:rPr>
      </w:pPr>
      <w:r>
        <w:rPr>
          <w:rFonts w:cstheme="majorHAnsi"/>
          <w:sz w:val="24"/>
          <w:szCs w:val="24"/>
        </w:rPr>
        <w:br w:type="page"/>
      </w:r>
    </w:p>
    <w:p w14:paraId="7663AC96" w14:textId="5EE2C3DF" w:rsidR="00C70A63" w:rsidRDefault="00235D7C">
      <w:pPr>
        <w:pStyle w:val="Heading1"/>
        <w:rPr>
          <w:rStyle w:val="normaltextrun"/>
        </w:rPr>
      </w:pPr>
      <w:bookmarkStart w:id="150" w:name="_Appendix_C"/>
      <w:bookmarkStart w:id="151" w:name="_Toc125575650"/>
      <w:bookmarkEnd w:id="150"/>
      <w:r w:rsidRPr="00174ECC">
        <w:rPr>
          <w:rStyle w:val="normaltextrun"/>
        </w:rPr>
        <w:lastRenderedPageBreak/>
        <w:t>Appendix C</w:t>
      </w:r>
      <w:r w:rsidR="0023416A">
        <w:rPr>
          <w:rStyle w:val="normaltextrun"/>
        </w:rPr>
        <w:t>: Program Approval Criteria</w:t>
      </w:r>
      <w:bookmarkEnd w:id="151"/>
    </w:p>
    <w:p w14:paraId="2E3A52ED" w14:textId="363E59E1" w:rsidR="005E4E7F" w:rsidRPr="005E4E7F" w:rsidRDefault="005E4E7F" w:rsidP="005E4E7F">
      <w:pPr>
        <w:spacing w:line="240" w:lineRule="auto"/>
        <w:textAlignment w:val="baseline"/>
        <w:rPr>
          <w:rFonts w:ascii="Segoe UI" w:eastAsia="Times New Roman" w:hAnsi="Segoe UI" w:cs="Segoe UI"/>
          <w:sz w:val="18"/>
          <w:szCs w:val="18"/>
        </w:rPr>
      </w:pPr>
      <w:r w:rsidRPr="005E4E7F">
        <w:rPr>
          <w:rFonts w:ascii="Calibri" w:eastAsia="Times New Roman" w:hAnsi="Calibri" w:cs="Calibri"/>
          <w:b/>
          <w:bCs/>
          <w:color w:val="000000"/>
        </w:rPr>
        <w:t>The Organization: The Sponsoring Organization is committed to achieving equitable outcomes for candidates and PK-12 students and has systems and structures in place to realize those outcomes.</w:t>
      </w:r>
      <w:r w:rsidR="007125CB">
        <w:rPr>
          <w:rFonts w:ascii="Calibri" w:eastAsia="Times New Roman" w:hAnsi="Calibri" w:cs="Calibri"/>
          <w:b/>
          <w:bCs/>
          <w:color w:val="000000"/>
        </w:rPr>
        <w:br/>
      </w:r>
      <w:r w:rsidRPr="005E4E7F">
        <w:rPr>
          <w:rFonts w:ascii="Calibri" w:eastAsia="Times New Roman" w:hAnsi="Calibri" w:cs="Calibri"/>
          <w:color w:val="000000"/>
        </w:rPr>
        <w:t> </w:t>
      </w:r>
    </w:p>
    <w:p w14:paraId="0E8C0A0B" w14:textId="110AD38C" w:rsidR="005E4E7F" w:rsidRPr="005E4E7F" w:rsidRDefault="005E4E7F" w:rsidP="005E4E7F">
      <w:pPr>
        <w:spacing w:line="240" w:lineRule="auto"/>
        <w:ind w:left="720"/>
        <w:textAlignment w:val="baseline"/>
        <w:rPr>
          <w:rFonts w:ascii="Segoe UI" w:eastAsia="Times New Roman" w:hAnsi="Segoe UI" w:cs="Segoe UI"/>
          <w:sz w:val="18"/>
          <w:szCs w:val="18"/>
        </w:rPr>
      </w:pPr>
      <w:r w:rsidRPr="005E4E7F">
        <w:rPr>
          <w:rFonts w:ascii="Calibri" w:eastAsia="Times New Roman" w:hAnsi="Calibri" w:cs="Calibri"/>
          <w:color w:val="000000"/>
        </w:rPr>
        <w:t>ORG 1: The Sponsoring Organization has the capacity and authority to make strategic decisions that sustain effective and equitable preparation programs. </w:t>
      </w:r>
      <w:r w:rsidR="007125CB" w:rsidRPr="00E54DB1">
        <w:rPr>
          <w:rFonts w:ascii="Calibri" w:eastAsia="Times New Roman" w:hAnsi="Calibri" w:cs="Calibri"/>
          <w:color w:val="000000"/>
        </w:rPr>
        <w:br/>
      </w:r>
    </w:p>
    <w:p w14:paraId="2D6A0776" w14:textId="77777777" w:rsidR="005E4E7F" w:rsidRPr="00E54DB1" w:rsidRDefault="005E4E7F" w:rsidP="005E4E7F">
      <w:pPr>
        <w:spacing w:line="240" w:lineRule="auto"/>
        <w:ind w:left="720"/>
        <w:textAlignment w:val="baseline"/>
        <w:rPr>
          <w:rFonts w:ascii="Calibri" w:eastAsia="Times New Roman" w:hAnsi="Calibri" w:cs="Calibri"/>
          <w:color w:val="000000"/>
        </w:rPr>
      </w:pPr>
      <w:r w:rsidRPr="005E4E7F">
        <w:rPr>
          <w:rFonts w:ascii="Calibri" w:eastAsia="Times New Roman" w:hAnsi="Calibri" w:cs="Calibri"/>
          <w:color w:val="000000"/>
        </w:rPr>
        <w:t>ORG 2: The Sponsoring Organization’s budget allocation is strategic and data-informed, with a focus on sustainable and equitable program experiences and candidate outcomes. </w:t>
      </w:r>
    </w:p>
    <w:p w14:paraId="462DCAD9" w14:textId="77777777" w:rsidR="007125CB" w:rsidRPr="005E4E7F" w:rsidRDefault="007125CB" w:rsidP="005E4E7F">
      <w:pPr>
        <w:spacing w:line="240" w:lineRule="auto"/>
        <w:ind w:left="720"/>
        <w:textAlignment w:val="baseline"/>
        <w:rPr>
          <w:rFonts w:ascii="Segoe UI" w:eastAsia="Times New Roman" w:hAnsi="Segoe UI" w:cs="Segoe UI"/>
          <w:sz w:val="18"/>
          <w:szCs w:val="18"/>
        </w:rPr>
      </w:pPr>
    </w:p>
    <w:p w14:paraId="57AD0DF0" w14:textId="77777777" w:rsidR="005E4E7F" w:rsidRPr="00E54DB1" w:rsidRDefault="005E4E7F" w:rsidP="005E4E7F">
      <w:pPr>
        <w:spacing w:line="240" w:lineRule="auto"/>
        <w:ind w:left="720"/>
        <w:textAlignment w:val="baseline"/>
        <w:rPr>
          <w:rFonts w:ascii="Calibri" w:eastAsia="Times New Roman" w:hAnsi="Calibri" w:cs="Calibri"/>
          <w:color w:val="000000"/>
        </w:rPr>
      </w:pPr>
      <w:r w:rsidRPr="005E4E7F">
        <w:rPr>
          <w:rFonts w:ascii="Calibri" w:eastAsia="Times New Roman" w:hAnsi="Calibri" w:cs="Calibri"/>
          <w:color w:val="000000"/>
        </w:rPr>
        <w:t>ORG 3: The Sponsoring Organization has systems and structures that support clear communication and collaboration across all personnel (including those involved in coursework, fieldwork, and candidate support), leading to cohesive and equitable program experiences. </w:t>
      </w:r>
    </w:p>
    <w:p w14:paraId="55EA69CD" w14:textId="77777777" w:rsidR="007125CB" w:rsidRPr="005E4E7F" w:rsidRDefault="007125CB" w:rsidP="005E4E7F">
      <w:pPr>
        <w:spacing w:line="240" w:lineRule="auto"/>
        <w:ind w:left="720"/>
        <w:textAlignment w:val="baseline"/>
        <w:rPr>
          <w:rFonts w:ascii="Segoe UI" w:eastAsia="Times New Roman" w:hAnsi="Segoe UI" w:cs="Segoe UI"/>
          <w:sz w:val="18"/>
          <w:szCs w:val="18"/>
        </w:rPr>
      </w:pPr>
    </w:p>
    <w:p w14:paraId="24FC8263" w14:textId="6E4B1E6A" w:rsidR="005E4E7F" w:rsidRPr="00E54DB1" w:rsidRDefault="005E4E7F" w:rsidP="005E4E7F">
      <w:pPr>
        <w:spacing w:line="240" w:lineRule="auto"/>
        <w:ind w:left="720"/>
        <w:textAlignment w:val="baseline"/>
        <w:rPr>
          <w:rFonts w:ascii="Calibri" w:eastAsia="Times New Roman" w:hAnsi="Calibri" w:cs="Calibri"/>
          <w:color w:val="000000"/>
        </w:rPr>
      </w:pPr>
      <w:r w:rsidRPr="005E4E7F">
        <w:rPr>
          <w:rFonts w:ascii="Calibri" w:eastAsia="Times New Roman" w:hAnsi="Calibri" w:cs="Calibri"/>
          <w:color w:val="000000"/>
        </w:rPr>
        <w:t xml:space="preserve">ORG 4: The Sponsoring Organization gathers data to inform recruitment, hiring, retention, and advancement practices in order to </w:t>
      </w:r>
      <w:r w:rsidR="00021944">
        <w:rPr>
          <w:rStyle w:val="normaltextrun"/>
          <w:rFonts w:ascii="Calibri" w:hAnsi="Calibri" w:cs="Calibri"/>
          <w:color w:val="000000"/>
          <w:bdr w:val="none" w:sz="0" w:space="0" w:color="auto" w:frame="1"/>
        </w:rPr>
        <w:t>cultivate a racially and ethnically diverse personnel</w:t>
      </w:r>
      <w:r w:rsidRPr="005E4E7F">
        <w:rPr>
          <w:rFonts w:ascii="Calibri" w:eastAsia="Times New Roman" w:hAnsi="Calibri" w:cs="Calibri"/>
          <w:color w:val="000000"/>
        </w:rPr>
        <w:t>. </w:t>
      </w:r>
    </w:p>
    <w:p w14:paraId="4D892577" w14:textId="77777777" w:rsidR="007125CB" w:rsidRPr="005E4E7F" w:rsidRDefault="007125CB" w:rsidP="005E4E7F">
      <w:pPr>
        <w:spacing w:line="240" w:lineRule="auto"/>
        <w:ind w:left="720"/>
        <w:textAlignment w:val="baseline"/>
        <w:rPr>
          <w:rFonts w:ascii="Segoe UI" w:eastAsia="Times New Roman" w:hAnsi="Segoe UI" w:cs="Segoe UI"/>
          <w:sz w:val="18"/>
          <w:szCs w:val="18"/>
        </w:rPr>
      </w:pPr>
    </w:p>
    <w:p w14:paraId="0622CD69" w14:textId="1F038D53" w:rsidR="005E4E7F" w:rsidRPr="005E4E7F" w:rsidRDefault="005E4E7F" w:rsidP="005E4E7F">
      <w:pPr>
        <w:spacing w:line="240" w:lineRule="auto"/>
        <w:ind w:left="720"/>
        <w:textAlignment w:val="baseline"/>
        <w:rPr>
          <w:rFonts w:ascii="Segoe UI" w:eastAsia="Times New Roman" w:hAnsi="Segoe UI" w:cs="Segoe UI"/>
          <w:sz w:val="18"/>
          <w:szCs w:val="18"/>
        </w:rPr>
      </w:pPr>
      <w:r w:rsidRPr="005E4E7F">
        <w:rPr>
          <w:rFonts w:ascii="Calibri" w:eastAsia="Times New Roman" w:hAnsi="Calibri" w:cs="Calibri"/>
          <w:color w:val="000000"/>
        </w:rPr>
        <w:t xml:space="preserve">ORG 5: </w:t>
      </w:r>
      <w:r w:rsidR="00113644" w:rsidRPr="00E44315">
        <w:rPr>
          <w:rStyle w:val="normaltextrun"/>
          <w:rFonts w:ascii="Calibri" w:hAnsi="Calibri" w:cs="Calibri"/>
          <w:color w:val="1D1C1D"/>
        </w:rPr>
        <w:t>The Sponsoring Organization ensures that all personnel are effective and continually improve in their ability</w:t>
      </w:r>
      <w:r w:rsidR="00113644" w:rsidRPr="00E44315">
        <w:rPr>
          <w:rStyle w:val="normaltextrun"/>
          <w:rFonts w:ascii="Calibri" w:hAnsi="Calibri" w:cs="Calibri"/>
          <w:color w:val="FF0000"/>
        </w:rPr>
        <w:t xml:space="preserve"> </w:t>
      </w:r>
      <w:r w:rsidR="00113644" w:rsidRPr="00E44315">
        <w:rPr>
          <w:rStyle w:val="normaltextrun"/>
          <w:rFonts w:ascii="Calibri" w:hAnsi="Calibri" w:cs="Calibri"/>
          <w:color w:val="1D1C1D"/>
        </w:rPr>
        <w:t xml:space="preserve">to </w:t>
      </w:r>
      <w:r w:rsidR="00113644" w:rsidRPr="00E44315">
        <w:rPr>
          <w:rStyle w:val="normaltextrun"/>
          <w:rFonts w:ascii="Calibri" w:hAnsi="Calibri" w:cs="Calibri"/>
          <w:color w:val="000000" w:themeColor="text1"/>
        </w:rPr>
        <w:t xml:space="preserve">equitably support and prepare </w:t>
      </w:r>
      <w:r w:rsidR="00113644" w:rsidRPr="00E44315">
        <w:rPr>
          <w:rStyle w:val="normaltextrun"/>
          <w:rFonts w:ascii="Calibri" w:hAnsi="Calibri" w:cs="Calibri"/>
          <w:color w:val="1D1C1D"/>
        </w:rPr>
        <w:t>all candidates (including candidates from all races, identity groups, and backgrounds) for full responsibility in the licensure role.</w:t>
      </w:r>
    </w:p>
    <w:p w14:paraId="002EE687" w14:textId="77777777" w:rsidR="005E4E7F" w:rsidRDefault="005E4E7F" w:rsidP="005E4E7F">
      <w:pPr>
        <w:spacing w:line="240" w:lineRule="auto"/>
        <w:textAlignment w:val="baseline"/>
        <w:rPr>
          <w:rFonts w:ascii="Calibri" w:eastAsia="Times New Roman" w:hAnsi="Calibri" w:cs="Calibri"/>
          <w:color w:val="000000"/>
        </w:rPr>
      </w:pPr>
      <w:r w:rsidRPr="005E4E7F">
        <w:rPr>
          <w:rFonts w:ascii="Calibri" w:eastAsia="Times New Roman" w:hAnsi="Calibri" w:cs="Calibri"/>
        </w:rPr>
        <w:t> </w:t>
      </w:r>
      <w:r w:rsidRPr="005E4E7F">
        <w:rPr>
          <w:rFonts w:ascii="Calibri" w:eastAsia="Times New Roman" w:hAnsi="Calibri" w:cs="Calibri"/>
        </w:rPr>
        <w:br/>
      </w:r>
      <w:r w:rsidRPr="005E4E7F">
        <w:rPr>
          <w:rFonts w:ascii="Calibri" w:eastAsia="Times New Roman" w:hAnsi="Calibri" w:cs="Calibri"/>
          <w:b/>
          <w:bCs/>
          <w:color w:val="000000"/>
        </w:rPr>
        <w:t>Continuous Improvement: The Sponsoring Organization engages in continuous improvement efforts that drive toward improved experiences and equitable outcomes for all candidates and the PK-12 students they serve.</w:t>
      </w:r>
      <w:r w:rsidRPr="005E4E7F">
        <w:rPr>
          <w:rFonts w:ascii="Calibri" w:eastAsia="Times New Roman" w:hAnsi="Calibri" w:cs="Calibri"/>
          <w:color w:val="000000"/>
        </w:rPr>
        <w:t> </w:t>
      </w:r>
    </w:p>
    <w:p w14:paraId="41BAA6DB" w14:textId="77777777" w:rsidR="007125CB" w:rsidRPr="005E4E7F" w:rsidRDefault="007125CB" w:rsidP="005E4E7F">
      <w:pPr>
        <w:spacing w:line="240" w:lineRule="auto"/>
        <w:textAlignment w:val="baseline"/>
        <w:rPr>
          <w:rFonts w:ascii="Segoe UI" w:eastAsia="Times New Roman" w:hAnsi="Segoe UI" w:cs="Segoe UI"/>
          <w:sz w:val="18"/>
          <w:szCs w:val="18"/>
        </w:rPr>
      </w:pPr>
    </w:p>
    <w:p w14:paraId="224E710F" w14:textId="77777777" w:rsidR="005E4E7F" w:rsidRDefault="005E4E7F" w:rsidP="005E4E7F">
      <w:pPr>
        <w:spacing w:line="240" w:lineRule="auto"/>
        <w:ind w:left="720"/>
        <w:textAlignment w:val="baseline"/>
        <w:rPr>
          <w:rFonts w:ascii="Calibri" w:eastAsia="Times New Roman" w:hAnsi="Calibri" w:cs="Calibri"/>
          <w:color w:val="000000"/>
        </w:rPr>
      </w:pPr>
      <w:r w:rsidRPr="005E4E7F">
        <w:rPr>
          <w:rFonts w:ascii="Calibri" w:eastAsia="Times New Roman" w:hAnsi="Calibri" w:cs="Calibri"/>
          <w:color w:val="000000"/>
        </w:rPr>
        <w:t>CI 1: The Sponsoring Organization’s continuous improvement efforts are intentionally designed to involve multiple viewpoints in decision-making, ensure equitable program experiences, and improve candidate outcomes. </w:t>
      </w:r>
    </w:p>
    <w:p w14:paraId="01E809FC" w14:textId="77777777" w:rsidR="007125CB" w:rsidRPr="005E4E7F" w:rsidRDefault="007125CB" w:rsidP="005E4E7F">
      <w:pPr>
        <w:spacing w:line="240" w:lineRule="auto"/>
        <w:ind w:left="720"/>
        <w:textAlignment w:val="baseline"/>
        <w:rPr>
          <w:rFonts w:ascii="Segoe UI" w:eastAsia="Times New Roman" w:hAnsi="Segoe UI" w:cs="Segoe UI"/>
          <w:sz w:val="18"/>
          <w:szCs w:val="18"/>
        </w:rPr>
      </w:pPr>
    </w:p>
    <w:p w14:paraId="3653FFC7" w14:textId="77777777" w:rsidR="005E4E7F" w:rsidRDefault="005E4E7F" w:rsidP="005E4E7F">
      <w:pPr>
        <w:spacing w:line="240" w:lineRule="auto"/>
        <w:ind w:left="720"/>
        <w:textAlignment w:val="baseline"/>
        <w:rPr>
          <w:rFonts w:ascii="Calibri" w:eastAsia="Times New Roman" w:hAnsi="Calibri" w:cs="Calibri"/>
          <w:color w:val="000000"/>
        </w:rPr>
      </w:pPr>
      <w:r w:rsidRPr="005E4E7F">
        <w:rPr>
          <w:rFonts w:ascii="Calibri" w:eastAsia="Times New Roman" w:hAnsi="Calibri" w:cs="Calibri"/>
          <w:color w:val="000000"/>
        </w:rPr>
        <w:t>CI 2: At least annually, the Sponsoring Organization collects and analyzes evidence from a variety of sources (including available state-collected data and stakeholder feedback) in order to understand the experiences and outcomes of candidates within and across identity groups and to identify strengths and areas for improvement.  </w:t>
      </w:r>
    </w:p>
    <w:p w14:paraId="7DB3316E" w14:textId="77777777" w:rsidR="007125CB" w:rsidRPr="005E4E7F" w:rsidRDefault="007125CB" w:rsidP="005E4E7F">
      <w:pPr>
        <w:spacing w:line="240" w:lineRule="auto"/>
        <w:ind w:left="720"/>
        <w:textAlignment w:val="baseline"/>
        <w:rPr>
          <w:rFonts w:ascii="Segoe UI" w:eastAsia="Times New Roman" w:hAnsi="Segoe UI" w:cs="Segoe UI"/>
          <w:sz w:val="18"/>
          <w:szCs w:val="18"/>
        </w:rPr>
      </w:pPr>
    </w:p>
    <w:p w14:paraId="4F88476A" w14:textId="77777777" w:rsidR="005E4E7F" w:rsidRDefault="005E4E7F" w:rsidP="005E4E7F">
      <w:pPr>
        <w:spacing w:line="240" w:lineRule="auto"/>
        <w:ind w:left="720"/>
        <w:textAlignment w:val="baseline"/>
        <w:rPr>
          <w:rFonts w:ascii="Calibri" w:eastAsia="Times New Roman" w:hAnsi="Calibri" w:cs="Calibri"/>
          <w:color w:val="000000"/>
        </w:rPr>
      </w:pPr>
      <w:r w:rsidRPr="005E4E7F">
        <w:rPr>
          <w:rFonts w:ascii="Calibri" w:eastAsia="Times New Roman" w:hAnsi="Calibri" w:cs="Calibri"/>
          <w:color w:val="000000"/>
        </w:rPr>
        <w:t>CI 3: The Sponsoring Organization makes evidence-informed, equity-centered decisions that lead to improved experiences and outcomes of candidates. </w:t>
      </w:r>
    </w:p>
    <w:p w14:paraId="604C2ACC" w14:textId="77777777" w:rsidR="007125CB" w:rsidRPr="005E4E7F" w:rsidRDefault="007125CB" w:rsidP="005E4E7F">
      <w:pPr>
        <w:spacing w:line="240" w:lineRule="auto"/>
        <w:ind w:left="720"/>
        <w:textAlignment w:val="baseline"/>
        <w:rPr>
          <w:rFonts w:ascii="Segoe UI" w:eastAsia="Times New Roman" w:hAnsi="Segoe UI" w:cs="Segoe UI"/>
          <w:sz w:val="18"/>
          <w:szCs w:val="18"/>
        </w:rPr>
      </w:pPr>
    </w:p>
    <w:p w14:paraId="3A288A58" w14:textId="77777777" w:rsidR="005E4E7F" w:rsidRPr="005E4E7F" w:rsidRDefault="005E4E7F" w:rsidP="005E4E7F">
      <w:pPr>
        <w:spacing w:line="240" w:lineRule="auto"/>
        <w:ind w:left="720"/>
        <w:textAlignment w:val="baseline"/>
        <w:rPr>
          <w:rFonts w:ascii="Segoe UI" w:eastAsia="Times New Roman" w:hAnsi="Segoe UI" w:cs="Segoe UI"/>
          <w:sz w:val="18"/>
          <w:szCs w:val="18"/>
        </w:rPr>
      </w:pPr>
      <w:r w:rsidRPr="005E4E7F">
        <w:rPr>
          <w:rFonts w:ascii="Calibri" w:eastAsia="Times New Roman" w:hAnsi="Calibri" w:cs="Calibri"/>
          <w:color w:val="000000"/>
        </w:rPr>
        <w:t>CI 4: At least annually, the Sponsoring Organization collects and analyzes evidence of completers’ and PK-12 school/district partnerships’ impac</w:t>
      </w:r>
      <w:r w:rsidRPr="005E4E7F">
        <w:rPr>
          <w:rFonts w:ascii="Calibri" w:eastAsia="Times New Roman" w:hAnsi="Calibri" w:cs="Calibri"/>
          <w:color w:val="000000" w:themeColor="text1"/>
        </w:rPr>
        <w:t>ts on PK-12 student outcomes and takes aligned actions to ensure positive impacts.  </w:t>
      </w:r>
      <w:r w:rsidRPr="005E4E7F">
        <w:rPr>
          <w:rFonts w:ascii="Calibri" w:eastAsia="Times New Roman" w:hAnsi="Calibri" w:cs="Calibri"/>
          <w:color w:val="000000"/>
        </w:rPr>
        <w:br/>
        <w:t> </w:t>
      </w:r>
    </w:p>
    <w:p w14:paraId="40502DD5" w14:textId="28A65FCB" w:rsidR="005E4E7F" w:rsidRDefault="005E4E7F" w:rsidP="005E4E7F">
      <w:pPr>
        <w:spacing w:line="240" w:lineRule="auto"/>
        <w:textAlignment w:val="baseline"/>
        <w:rPr>
          <w:rFonts w:ascii="Calibri" w:eastAsia="Times New Roman" w:hAnsi="Calibri" w:cs="Calibri"/>
          <w:color w:val="000000"/>
        </w:rPr>
      </w:pPr>
      <w:r w:rsidRPr="005E4E7F">
        <w:rPr>
          <w:rFonts w:ascii="Calibri" w:eastAsia="Times New Roman" w:hAnsi="Calibri" w:cs="Calibri"/>
          <w:b/>
          <w:bCs/>
          <w:color w:val="000000"/>
        </w:rPr>
        <w:t xml:space="preserve">The Candidate: </w:t>
      </w:r>
      <w:r w:rsidR="006C6374">
        <w:rPr>
          <w:rStyle w:val="normaltextrun"/>
          <w:rFonts w:ascii="Calibri" w:hAnsi="Calibri" w:cs="Calibri"/>
          <w:b/>
          <w:bCs/>
          <w:color w:val="000000"/>
          <w:shd w:val="clear" w:color="auto" w:fill="FFFFFF"/>
        </w:rPr>
        <w:t>All candidates are supported through recruitment, admission, and completion of the program to ensure that completers are prepared to create anti-racist, culturally and linguistically sustaining learning environments for all students.</w:t>
      </w:r>
    </w:p>
    <w:p w14:paraId="1B629587" w14:textId="77777777" w:rsidR="007125CB" w:rsidRPr="005E4E7F" w:rsidRDefault="007125CB" w:rsidP="005E4E7F">
      <w:pPr>
        <w:spacing w:line="240" w:lineRule="auto"/>
        <w:textAlignment w:val="baseline"/>
        <w:rPr>
          <w:rFonts w:ascii="Segoe UI" w:eastAsia="Times New Roman" w:hAnsi="Segoe UI" w:cs="Segoe UI"/>
          <w:sz w:val="18"/>
          <w:szCs w:val="18"/>
        </w:rPr>
      </w:pPr>
    </w:p>
    <w:p w14:paraId="5EFB1261" w14:textId="77777777" w:rsidR="005E4E7F" w:rsidRDefault="005E4E7F" w:rsidP="005E4E7F">
      <w:pPr>
        <w:spacing w:line="240" w:lineRule="auto"/>
        <w:ind w:left="720"/>
        <w:textAlignment w:val="baseline"/>
        <w:rPr>
          <w:rFonts w:ascii="Calibri" w:eastAsia="Times New Roman" w:hAnsi="Calibri" w:cs="Calibri"/>
          <w:color w:val="000000"/>
        </w:rPr>
      </w:pPr>
      <w:r w:rsidRPr="005E4E7F">
        <w:rPr>
          <w:rFonts w:ascii="Calibri" w:eastAsia="Times New Roman" w:hAnsi="Calibri" w:cs="Calibri"/>
          <w:color w:val="000000"/>
        </w:rPr>
        <w:lastRenderedPageBreak/>
        <w:t>CAN 1: The Sponsoring Organization continually examines recruitment, admissions, and retention data and adjusts policies and processes to remove systemically inequitable barriers to entry and completion, resulting in the increased racial diversity of completers. </w:t>
      </w:r>
    </w:p>
    <w:p w14:paraId="16B7A247" w14:textId="77777777" w:rsidR="007125CB" w:rsidRPr="005E4E7F" w:rsidRDefault="007125CB" w:rsidP="005E4E7F">
      <w:pPr>
        <w:spacing w:line="240" w:lineRule="auto"/>
        <w:ind w:left="720"/>
        <w:textAlignment w:val="baseline"/>
        <w:rPr>
          <w:rFonts w:ascii="Segoe UI" w:eastAsia="Times New Roman" w:hAnsi="Segoe UI" w:cs="Segoe UI"/>
          <w:sz w:val="18"/>
          <w:szCs w:val="18"/>
        </w:rPr>
      </w:pPr>
    </w:p>
    <w:p w14:paraId="16B52C51" w14:textId="77777777" w:rsidR="00507FA2" w:rsidRPr="00507FA2" w:rsidRDefault="00507FA2" w:rsidP="00507FA2">
      <w:pPr>
        <w:ind w:left="720"/>
        <w:rPr>
          <w:rFonts w:eastAsia="Calibri" w:cstheme="majorHAnsi"/>
          <w:color w:val="000000" w:themeColor="text1"/>
        </w:rPr>
      </w:pPr>
      <w:r w:rsidRPr="00E44315">
        <w:rPr>
          <w:rFonts w:eastAsia="Calibri" w:cstheme="majorHAnsi"/>
          <w:color w:val="000000" w:themeColor="text1"/>
        </w:rPr>
        <w:t>CAN 2: The Sponsoring Organization selects candidates for admission who demonstrate a commitment to educating all students (including students from all races, identity groups, and backgrounds).</w:t>
      </w:r>
    </w:p>
    <w:p w14:paraId="4C299A9E" w14:textId="77777777" w:rsidR="007125CB" w:rsidRPr="005E4E7F" w:rsidRDefault="007125CB" w:rsidP="005E4E7F">
      <w:pPr>
        <w:spacing w:line="240" w:lineRule="auto"/>
        <w:ind w:left="720"/>
        <w:textAlignment w:val="baseline"/>
        <w:rPr>
          <w:rFonts w:ascii="Segoe UI" w:eastAsia="Times New Roman" w:hAnsi="Segoe UI" w:cs="Segoe UI"/>
          <w:sz w:val="18"/>
          <w:szCs w:val="18"/>
        </w:rPr>
      </w:pPr>
    </w:p>
    <w:p w14:paraId="62A1441E" w14:textId="77777777" w:rsidR="005E4E7F" w:rsidRDefault="005E4E7F" w:rsidP="005E4E7F">
      <w:pPr>
        <w:spacing w:line="240" w:lineRule="auto"/>
        <w:ind w:left="720"/>
        <w:textAlignment w:val="baseline"/>
        <w:rPr>
          <w:rFonts w:ascii="Calibri" w:eastAsia="Times New Roman" w:hAnsi="Calibri" w:cs="Calibri"/>
          <w:color w:val="000000"/>
        </w:rPr>
      </w:pPr>
      <w:r w:rsidRPr="005E4E7F">
        <w:rPr>
          <w:rFonts w:ascii="Calibri" w:eastAsia="Times New Roman" w:hAnsi="Calibri" w:cs="Calibri"/>
          <w:color w:val="000000"/>
        </w:rPr>
        <w:t>CAN 3: The Sponsoring Organization positions all candidates (including candidates from all races, identity groups, and backgrounds) to be successful in their program, licensure, and career through effective guidance and comprehensive support systems.   </w:t>
      </w:r>
    </w:p>
    <w:p w14:paraId="657CF094" w14:textId="77777777" w:rsidR="007125CB" w:rsidRPr="005E4E7F" w:rsidRDefault="007125CB" w:rsidP="005E4E7F">
      <w:pPr>
        <w:spacing w:line="240" w:lineRule="auto"/>
        <w:ind w:left="720"/>
        <w:textAlignment w:val="baseline"/>
        <w:rPr>
          <w:rFonts w:ascii="Segoe UI" w:eastAsia="Times New Roman" w:hAnsi="Segoe UI" w:cs="Segoe UI"/>
          <w:sz w:val="18"/>
          <w:szCs w:val="18"/>
        </w:rPr>
      </w:pPr>
    </w:p>
    <w:p w14:paraId="5FBF12A8" w14:textId="77777777" w:rsidR="005E4E7F" w:rsidRDefault="005E4E7F" w:rsidP="005E4E7F">
      <w:pPr>
        <w:spacing w:line="240" w:lineRule="auto"/>
        <w:ind w:left="720"/>
        <w:textAlignment w:val="baseline"/>
        <w:rPr>
          <w:rFonts w:ascii="Calibri" w:eastAsia="Times New Roman" w:hAnsi="Calibri" w:cs="Calibri"/>
          <w:color w:val="000000"/>
        </w:rPr>
      </w:pPr>
      <w:r w:rsidRPr="005E4E7F">
        <w:rPr>
          <w:rFonts w:ascii="Calibri" w:eastAsia="Times New Roman" w:hAnsi="Calibri" w:cs="Calibri"/>
          <w:color w:val="000000"/>
        </w:rPr>
        <w:t>CAN 4: The Sponsoring Organization identifies and provides differentiated interventions for candidates who need additional support in coursework, fieldwork, or for their general well-being, leading all completers (including completers from all races, identity groups, and backgrounds) to be prepared to be effective anti-racist and culturally and linguistically sustaining educators. </w:t>
      </w:r>
    </w:p>
    <w:p w14:paraId="2988A071" w14:textId="77777777" w:rsidR="007125CB" w:rsidRPr="005E4E7F" w:rsidRDefault="007125CB" w:rsidP="005E4E7F">
      <w:pPr>
        <w:spacing w:line="240" w:lineRule="auto"/>
        <w:ind w:left="720"/>
        <w:textAlignment w:val="baseline"/>
        <w:rPr>
          <w:rFonts w:ascii="Segoe UI" w:eastAsia="Times New Roman" w:hAnsi="Segoe UI" w:cs="Segoe UI"/>
          <w:sz w:val="18"/>
          <w:szCs w:val="18"/>
        </w:rPr>
      </w:pPr>
    </w:p>
    <w:p w14:paraId="403B961E" w14:textId="77777777" w:rsidR="005E4E7F" w:rsidRDefault="005E4E7F" w:rsidP="005E4E7F">
      <w:pPr>
        <w:spacing w:line="240" w:lineRule="auto"/>
        <w:ind w:left="720"/>
        <w:textAlignment w:val="baseline"/>
        <w:rPr>
          <w:rFonts w:ascii="Calibri" w:eastAsia="Times New Roman" w:hAnsi="Calibri" w:cs="Calibri"/>
          <w:color w:val="000000"/>
        </w:rPr>
      </w:pPr>
      <w:r w:rsidRPr="005E4E7F">
        <w:rPr>
          <w:rFonts w:ascii="Calibri" w:eastAsia="Times New Roman" w:hAnsi="Calibri" w:cs="Calibri"/>
          <w:color w:val="000000"/>
        </w:rPr>
        <w:t>CAN 5:  The Sponsoring Organization’s waiver policy equitably ensures that academic and professional standards of the licensure role are met. </w:t>
      </w:r>
    </w:p>
    <w:p w14:paraId="3AF3C60D" w14:textId="77777777" w:rsidR="007125CB" w:rsidRPr="005E4E7F" w:rsidRDefault="007125CB" w:rsidP="005E4E7F">
      <w:pPr>
        <w:spacing w:line="240" w:lineRule="auto"/>
        <w:ind w:left="720"/>
        <w:textAlignment w:val="baseline"/>
        <w:rPr>
          <w:rFonts w:ascii="Segoe UI" w:eastAsia="Times New Roman" w:hAnsi="Segoe UI" w:cs="Segoe UI"/>
          <w:sz w:val="18"/>
          <w:szCs w:val="18"/>
        </w:rPr>
      </w:pPr>
    </w:p>
    <w:p w14:paraId="48FAC3A1" w14:textId="77777777" w:rsidR="005E4E7F" w:rsidRDefault="005E4E7F" w:rsidP="005E4E7F">
      <w:pPr>
        <w:spacing w:line="240" w:lineRule="auto"/>
        <w:textAlignment w:val="baseline"/>
        <w:rPr>
          <w:rFonts w:ascii="Calibri" w:eastAsia="Times New Roman" w:hAnsi="Calibri" w:cs="Calibri"/>
          <w:color w:val="000000"/>
        </w:rPr>
      </w:pPr>
      <w:r w:rsidRPr="005E4E7F">
        <w:rPr>
          <w:rFonts w:ascii="Calibri" w:eastAsia="Times New Roman" w:hAnsi="Calibri" w:cs="Calibri"/>
          <w:b/>
          <w:bCs/>
          <w:color w:val="000000"/>
        </w:rPr>
        <w:t>Partnerships: The Sponsoring Organization has intentional and collaborative partnerships that support strong pipelines and cultivate anti-racist and culturally and linguistically sustaining learning experiences for candidates and PK-12 students and contribute to a positive impact on outcomes for PK-12 students.</w:t>
      </w:r>
      <w:r w:rsidRPr="005E4E7F">
        <w:rPr>
          <w:rFonts w:ascii="Calibri" w:eastAsia="Times New Roman" w:hAnsi="Calibri" w:cs="Calibri"/>
          <w:color w:val="000000"/>
        </w:rPr>
        <w:t> </w:t>
      </w:r>
    </w:p>
    <w:p w14:paraId="1FFCE55D" w14:textId="77777777" w:rsidR="007125CB" w:rsidRPr="005E4E7F" w:rsidRDefault="007125CB" w:rsidP="005E4E7F">
      <w:pPr>
        <w:spacing w:line="240" w:lineRule="auto"/>
        <w:textAlignment w:val="baseline"/>
        <w:rPr>
          <w:rFonts w:ascii="Segoe UI" w:eastAsia="Times New Roman" w:hAnsi="Segoe UI" w:cs="Segoe UI"/>
          <w:sz w:val="18"/>
          <w:szCs w:val="18"/>
        </w:rPr>
      </w:pPr>
    </w:p>
    <w:p w14:paraId="572FE34F" w14:textId="77777777" w:rsidR="005E4E7F" w:rsidRDefault="005E4E7F" w:rsidP="005E4E7F">
      <w:pPr>
        <w:spacing w:line="240" w:lineRule="auto"/>
        <w:ind w:left="720"/>
        <w:textAlignment w:val="baseline"/>
        <w:rPr>
          <w:rFonts w:ascii="Calibri" w:eastAsia="Times New Roman" w:hAnsi="Calibri" w:cs="Calibri"/>
          <w:color w:val="000000"/>
        </w:rPr>
      </w:pPr>
      <w:r w:rsidRPr="005E4E7F">
        <w:rPr>
          <w:rFonts w:ascii="Calibri" w:eastAsia="Times New Roman" w:hAnsi="Calibri" w:cs="Calibri"/>
          <w:color w:val="000000"/>
        </w:rPr>
        <w:t>PAR 1: The Sponsoring Organization establishes, evaluates, and sustains partnerships with PK-12 schools/districts to ensure that all partnerships are meeting the needs of candidates and improves or discontinues those that are not meeting candidates’ needs. </w:t>
      </w:r>
    </w:p>
    <w:p w14:paraId="18937D9D" w14:textId="77777777" w:rsidR="007125CB" w:rsidRPr="005E4E7F" w:rsidRDefault="007125CB" w:rsidP="005E4E7F">
      <w:pPr>
        <w:spacing w:line="240" w:lineRule="auto"/>
        <w:ind w:left="720"/>
        <w:textAlignment w:val="baseline"/>
        <w:rPr>
          <w:rFonts w:ascii="Segoe UI" w:eastAsia="Times New Roman" w:hAnsi="Segoe UI" w:cs="Segoe UI"/>
          <w:sz w:val="18"/>
          <w:szCs w:val="18"/>
        </w:rPr>
      </w:pPr>
    </w:p>
    <w:p w14:paraId="63303626" w14:textId="11B5BCF9" w:rsidR="005E4E7F" w:rsidRDefault="005E4E7F" w:rsidP="005E4E7F">
      <w:pPr>
        <w:spacing w:line="240" w:lineRule="auto"/>
        <w:ind w:left="720"/>
        <w:textAlignment w:val="baseline"/>
        <w:rPr>
          <w:rFonts w:ascii="Calibri" w:eastAsia="Times New Roman" w:hAnsi="Calibri" w:cs="Calibri"/>
          <w:color w:val="000000"/>
        </w:rPr>
      </w:pPr>
      <w:r w:rsidRPr="005E4E7F">
        <w:rPr>
          <w:rFonts w:ascii="Calibri" w:eastAsia="Times New Roman" w:hAnsi="Calibri" w:cs="Calibri"/>
          <w:color w:val="000000"/>
        </w:rPr>
        <w:t>PAR 2: The Sponsoring Organization collaborates with partner schools/districts to understand and respond to their needs, leading to increasingly equitable learning experiences for the students the school/district serves (e.g., expanding pathways to licensure, professional development</w:t>
      </w:r>
      <w:r w:rsidR="00021944">
        <w:rPr>
          <w:rFonts w:ascii="Calibri" w:eastAsia="Times New Roman" w:hAnsi="Calibri" w:cs="Calibri"/>
          <w:color w:val="000000"/>
        </w:rPr>
        <w:t xml:space="preserve"> offerings</w:t>
      </w:r>
      <w:r w:rsidRPr="005E4E7F">
        <w:rPr>
          <w:rFonts w:ascii="Calibri" w:eastAsia="Times New Roman" w:hAnsi="Calibri" w:cs="Calibri"/>
          <w:color w:val="000000"/>
        </w:rPr>
        <w:t>, services for students).   </w:t>
      </w:r>
    </w:p>
    <w:p w14:paraId="4C5D0ED8" w14:textId="77777777" w:rsidR="007125CB" w:rsidRPr="005E4E7F" w:rsidRDefault="007125CB" w:rsidP="005E4E7F">
      <w:pPr>
        <w:spacing w:line="240" w:lineRule="auto"/>
        <w:ind w:left="720"/>
        <w:textAlignment w:val="baseline"/>
        <w:rPr>
          <w:rFonts w:ascii="Segoe UI" w:eastAsia="Times New Roman" w:hAnsi="Segoe UI" w:cs="Segoe UI"/>
          <w:sz w:val="18"/>
          <w:szCs w:val="18"/>
        </w:rPr>
      </w:pPr>
    </w:p>
    <w:p w14:paraId="4B9A3196" w14:textId="77777777" w:rsidR="005E4E7F" w:rsidRPr="005E4E7F" w:rsidRDefault="005E4E7F" w:rsidP="005E4E7F">
      <w:pPr>
        <w:spacing w:line="240" w:lineRule="auto"/>
        <w:ind w:left="720"/>
        <w:textAlignment w:val="baseline"/>
        <w:rPr>
          <w:rFonts w:ascii="Segoe UI" w:eastAsia="Times New Roman" w:hAnsi="Segoe UI" w:cs="Segoe UI"/>
          <w:sz w:val="18"/>
          <w:szCs w:val="18"/>
        </w:rPr>
      </w:pPr>
      <w:r w:rsidRPr="005E4E7F">
        <w:rPr>
          <w:rFonts w:ascii="Calibri" w:eastAsia="Times New Roman" w:hAnsi="Calibri" w:cs="Calibri"/>
          <w:color w:val="000000"/>
        </w:rPr>
        <w:t>PAR 3: The Sponsoring Organization solicits input from PK-12 partners to identify its strengths and areas for growth and takes actions (e.g., aligning preparation curriculum, strengthening field-based experiences) to improve candidate experiences and outcomes within the context of the partnership.   </w:t>
      </w:r>
    </w:p>
    <w:p w14:paraId="756D22E7" w14:textId="77777777" w:rsidR="005E4E7F" w:rsidRPr="005E4E7F" w:rsidRDefault="005E4E7F" w:rsidP="005E4E7F">
      <w:pPr>
        <w:spacing w:line="240" w:lineRule="auto"/>
        <w:ind w:left="720"/>
        <w:textAlignment w:val="baseline"/>
        <w:rPr>
          <w:rFonts w:ascii="Segoe UI" w:eastAsia="Times New Roman" w:hAnsi="Segoe UI" w:cs="Segoe UI"/>
          <w:sz w:val="18"/>
          <w:szCs w:val="18"/>
        </w:rPr>
      </w:pPr>
      <w:r w:rsidRPr="005E4E7F">
        <w:rPr>
          <w:rFonts w:ascii="Calibri" w:eastAsia="Times New Roman" w:hAnsi="Calibri" w:cs="Calibri"/>
          <w:color w:val="000000"/>
        </w:rPr>
        <w:t> </w:t>
      </w:r>
    </w:p>
    <w:p w14:paraId="76E0E8D5" w14:textId="77777777" w:rsidR="005E4E7F" w:rsidRDefault="005E4E7F" w:rsidP="005E4E7F">
      <w:pPr>
        <w:spacing w:line="240" w:lineRule="auto"/>
        <w:textAlignment w:val="baseline"/>
        <w:rPr>
          <w:rFonts w:ascii="Calibri" w:eastAsia="Times New Roman" w:hAnsi="Calibri" w:cs="Calibri"/>
          <w:color w:val="000000"/>
        </w:rPr>
      </w:pPr>
      <w:r w:rsidRPr="005E4E7F">
        <w:rPr>
          <w:rFonts w:ascii="Calibri" w:eastAsia="Times New Roman" w:hAnsi="Calibri" w:cs="Calibri"/>
          <w:b/>
          <w:bCs/>
          <w:color w:val="000000"/>
        </w:rPr>
        <w:t>Field-Based Experiences: All candidates engage in high-quality school-based experiences that prepare them to be effective anti-racist and culturally and linguistically sustaining educators for all students.</w:t>
      </w:r>
      <w:r w:rsidRPr="005E4E7F">
        <w:rPr>
          <w:rFonts w:ascii="Calibri" w:eastAsia="Times New Roman" w:hAnsi="Calibri" w:cs="Calibri"/>
          <w:color w:val="000000"/>
        </w:rPr>
        <w:t> </w:t>
      </w:r>
    </w:p>
    <w:p w14:paraId="4C7DEFE3" w14:textId="77777777" w:rsidR="007125CB" w:rsidRPr="005E4E7F" w:rsidRDefault="007125CB" w:rsidP="005E4E7F">
      <w:pPr>
        <w:spacing w:line="240" w:lineRule="auto"/>
        <w:textAlignment w:val="baseline"/>
        <w:rPr>
          <w:rFonts w:ascii="Segoe UI" w:eastAsia="Times New Roman" w:hAnsi="Segoe UI" w:cs="Segoe UI"/>
          <w:sz w:val="18"/>
          <w:szCs w:val="18"/>
        </w:rPr>
      </w:pPr>
    </w:p>
    <w:p w14:paraId="2D512964" w14:textId="39BCDEFC" w:rsidR="005E4E7F" w:rsidRPr="005E4E7F" w:rsidRDefault="005E4E7F" w:rsidP="005E4E7F">
      <w:pPr>
        <w:spacing w:line="240" w:lineRule="auto"/>
        <w:ind w:left="720"/>
        <w:textAlignment w:val="baseline"/>
        <w:rPr>
          <w:rFonts w:ascii="Segoe UI" w:eastAsia="Times New Roman" w:hAnsi="Segoe UI" w:cs="Segoe UI"/>
          <w:sz w:val="18"/>
          <w:szCs w:val="18"/>
        </w:rPr>
      </w:pPr>
      <w:r w:rsidRPr="005E4E7F">
        <w:rPr>
          <w:rFonts w:ascii="Calibri" w:eastAsia="Times New Roman" w:hAnsi="Calibri" w:cs="Calibri"/>
          <w:color w:val="000000"/>
        </w:rPr>
        <w:lastRenderedPageBreak/>
        <w:t>FBE 1: The Sponsoring Organization ensures all candidates are placed in settings for pre-practicum and practicum which prepare them to become effective educators. Candidates are exposed to a range of settings, including those with</w:t>
      </w:r>
      <w:r w:rsidR="00E44315">
        <w:rPr>
          <w:rStyle w:val="FootnoteReference"/>
          <w:rFonts w:ascii="Calibri" w:eastAsia="Times New Roman" w:hAnsi="Calibri" w:cs="Calibri"/>
          <w:color w:val="000000"/>
        </w:rPr>
        <w:footnoteReference w:id="27"/>
      </w:r>
      <w:r w:rsidRPr="005E4E7F">
        <w:rPr>
          <w:rFonts w:ascii="Calibri" w:eastAsia="Times New Roman" w:hAnsi="Calibri" w:cs="Calibri"/>
          <w:color w:val="000000"/>
        </w:rPr>
        <w:t>:   </w:t>
      </w:r>
    </w:p>
    <w:p w14:paraId="1DADBE77" w14:textId="77777777" w:rsidR="005E4E7F" w:rsidRPr="005E4E7F" w:rsidRDefault="005E4E7F" w:rsidP="000E41AB">
      <w:pPr>
        <w:numPr>
          <w:ilvl w:val="0"/>
          <w:numId w:val="78"/>
        </w:numPr>
        <w:spacing w:line="240" w:lineRule="auto"/>
        <w:ind w:left="1800" w:firstLine="0"/>
        <w:textAlignment w:val="baseline"/>
        <w:rPr>
          <w:rFonts w:ascii="Calibri" w:eastAsia="Times New Roman" w:hAnsi="Calibri" w:cs="Calibri"/>
        </w:rPr>
      </w:pPr>
      <w:r w:rsidRPr="005E4E7F">
        <w:rPr>
          <w:rFonts w:ascii="Calibri" w:eastAsia="Times New Roman" w:hAnsi="Calibri" w:cs="Calibri"/>
          <w:color w:val="000000"/>
        </w:rPr>
        <w:t>Access to high-quality curricular materials.   </w:t>
      </w:r>
    </w:p>
    <w:p w14:paraId="2D70AC9B" w14:textId="77777777" w:rsidR="005E4E7F" w:rsidRPr="005E4E7F" w:rsidRDefault="005E4E7F" w:rsidP="000E41AB">
      <w:pPr>
        <w:numPr>
          <w:ilvl w:val="0"/>
          <w:numId w:val="79"/>
        </w:numPr>
        <w:spacing w:line="240" w:lineRule="auto"/>
        <w:ind w:left="1800" w:firstLine="0"/>
        <w:textAlignment w:val="baseline"/>
        <w:rPr>
          <w:rFonts w:ascii="Calibri" w:eastAsia="Times New Roman" w:hAnsi="Calibri" w:cs="Calibri"/>
        </w:rPr>
      </w:pPr>
      <w:r w:rsidRPr="005E4E7F">
        <w:rPr>
          <w:rFonts w:ascii="Calibri" w:eastAsia="Times New Roman" w:hAnsi="Calibri" w:cs="Calibri"/>
          <w:color w:val="000000"/>
        </w:rPr>
        <w:t>Diversity of students (including racial, socioeconomic, linguistic diversity, and diversity of ability).   </w:t>
      </w:r>
    </w:p>
    <w:p w14:paraId="569A73D3" w14:textId="77777777" w:rsidR="005E4E7F" w:rsidRPr="005E4E7F" w:rsidRDefault="005E4E7F" w:rsidP="000E41AB">
      <w:pPr>
        <w:numPr>
          <w:ilvl w:val="0"/>
          <w:numId w:val="79"/>
        </w:numPr>
        <w:spacing w:line="240" w:lineRule="auto"/>
        <w:ind w:left="1800" w:firstLine="0"/>
        <w:textAlignment w:val="baseline"/>
        <w:rPr>
          <w:rFonts w:ascii="Calibri" w:eastAsia="Times New Roman" w:hAnsi="Calibri" w:cs="Calibri"/>
        </w:rPr>
      </w:pPr>
      <w:r w:rsidRPr="005E4E7F">
        <w:rPr>
          <w:rFonts w:ascii="Calibri" w:eastAsia="Times New Roman" w:hAnsi="Calibri" w:cs="Calibri"/>
          <w:color w:val="000000"/>
        </w:rPr>
        <w:t>Opportunities to integrate candidates into all components of the school community (e.g., staff meetings, professional development, family engagement opportunities).   </w:t>
      </w:r>
    </w:p>
    <w:p w14:paraId="7E5A445C" w14:textId="77777777" w:rsidR="005E4E7F" w:rsidRPr="007125CB" w:rsidRDefault="005E4E7F" w:rsidP="000E41AB">
      <w:pPr>
        <w:numPr>
          <w:ilvl w:val="0"/>
          <w:numId w:val="79"/>
        </w:numPr>
        <w:spacing w:line="240" w:lineRule="auto"/>
        <w:ind w:left="1800" w:firstLine="0"/>
        <w:textAlignment w:val="baseline"/>
        <w:rPr>
          <w:rFonts w:ascii="Calibri" w:eastAsia="Times New Roman" w:hAnsi="Calibri" w:cs="Calibri"/>
        </w:rPr>
      </w:pPr>
      <w:r w:rsidRPr="005E4E7F">
        <w:rPr>
          <w:rFonts w:ascii="Calibri" w:eastAsia="Times New Roman" w:hAnsi="Calibri" w:cs="Calibri"/>
          <w:color w:val="000000"/>
        </w:rPr>
        <w:t>Anti-racist and culturally and linguistically sustaining school culture. </w:t>
      </w:r>
    </w:p>
    <w:p w14:paraId="1378BDAA" w14:textId="77777777" w:rsidR="007125CB" w:rsidRPr="005E4E7F" w:rsidRDefault="007125CB" w:rsidP="007125CB">
      <w:pPr>
        <w:spacing w:line="240" w:lineRule="auto"/>
        <w:ind w:left="1800"/>
        <w:textAlignment w:val="baseline"/>
        <w:rPr>
          <w:rFonts w:ascii="Calibri" w:eastAsia="Times New Roman" w:hAnsi="Calibri" w:cs="Calibri"/>
        </w:rPr>
      </w:pPr>
    </w:p>
    <w:p w14:paraId="67FD6E09" w14:textId="76E305EF" w:rsidR="005E4E7F" w:rsidRPr="005E4E7F" w:rsidRDefault="005E4E7F" w:rsidP="005E4E7F">
      <w:pPr>
        <w:spacing w:line="240" w:lineRule="auto"/>
        <w:ind w:left="720"/>
        <w:textAlignment w:val="baseline"/>
        <w:rPr>
          <w:rFonts w:ascii="Segoe UI" w:eastAsia="Times New Roman" w:hAnsi="Segoe UI" w:cs="Segoe UI"/>
          <w:sz w:val="18"/>
          <w:szCs w:val="18"/>
        </w:rPr>
      </w:pPr>
      <w:r w:rsidRPr="005E4E7F">
        <w:rPr>
          <w:rFonts w:ascii="Calibri" w:eastAsia="Times New Roman" w:hAnsi="Calibri" w:cs="Calibri"/>
          <w:color w:val="000000"/>
        </w:rPr>
        <w:t xml:space="preserve">FBE 2: The Sponsoring Organization selects and matches Supervising Practitioners with </w:t>
      </w:r>
      <w:r w:rsidR="006C6374">
        <w:rPr>
          <w:rFonts w:ascii="Calibri" w:eastAsia="Times New Roman" w:hAnsi="Calibri" w:cs="Calibri"/>
          <w:color w:val="000000"/>
        </w:rPr>
        <w:t xml:space="preserve">individual </w:t>
      </w:r>
      <w:r w:rsidRPr="005E4E7F">
        <w:rPr>
          <w:rFonts w:ascii="Calibri" w:eastAsia="Times New Roman" w:hAnsi="Calibri" w:cs="Calibri"/>
          <w:color w:val="000000"/>
        </w:rPr>
        <w:t>candidates to ensure that all candidates’ (including candidates from all races, identity groups, and backgrounds) placements are appropriate and supportive by identifying Supervising Practitioners who:  </w:t>
      </w:r>
    </w:p>
    <w:p w14:paraId="00734FC7" w14:textId="14670F8C" w:rsidR="005E4E7F" w:rsidRPr="005E4E7F" w:rsidRDefault="005E4E7F" w:rsidP="000E41AB">
      <w:pPr>
        <w:numPr>
          <w:ilvl w:val="0"/>
          <w:numId w:val="80"/>
        </w:numPr>
        <w:spacing w:line="240" w:lineRule="auto"/>
        <w:ind w:left="1800" w:firstLine="0"/>
        <w:textAlignment w:val="baseline"/>
        <w:rPr>
          <w:rFonts w:ascii="Calibri" w:eastAsia="Times New Roman" w:hAnsi="Calibri" w:cs="Calibri"/>
        </w:rPr>
      </w:pPr>
      <w:r w:rsidRPr="005E4E7F">
        <w:rPr>
          <w:rFonts w:ascii="Calibri" w:eastAsia="Times New Roman" w:hAnsi="Calibri" w:cs="Calibri"/>
          <w:color w:val="000000"/>
        </w:rPr>
        <w:t>Model anti-racist and culturally and linguistically sustaining practices</w:t>
      </w:r>
      <w:r w:rsidR="00E44315">
        <w:rPr>
          <w:rStyle w:val="FootnoteReference"/>
          <w:rFonts w:ascii="Calibri" w:eastAsia="Times New Roman" w:hAnsi="Calibri" w:cs="Calibri"/>
          <w:color w:val="000000"/>
        </w:rPr>
        <w:footnoteReference w:id="28"/>
      </w:r>
      <w:r w:rsidRPr="005E4E7F">
        <w:rPr>
          <w:rFonts w:ascii="Calibri" w:eastAsia="Times New Roman" w:hAnsi="Calibri" w:cs="Calibri"/>
          <w:color w:val="000000"/>
        </w:rPr>
        <w:t>.  </w:t>
      </w:r>
    </w:p>
    <w:p w14:paraId="62C8261C" w14:textId="77777777" w:rsidR="005E4E7F" w:rsidRPr="005E4E7F" w:rsidRDefault="005E4E7F" w:rsidP="000E41AB">
      <w:pPr>
        <w:numPr>
          <w:ilvl w:val="0"/>
          <w:numId w:val="81"/>
        </w:numPr>
        <w:spacing w:line="240" w:lineRule="auto"/>
        <w:ind w:left="1800" w:firstLine="0"/>
        <w:textAlignment w:val="baseline"/>
        <w:rPr>
          <w:rFonts w:ascii="Calibri" w:eastAsia="Times New Roman" w:hAnsi="Calibri" w:cs="Calibri"/>
        </w:rPr>
      </w:pPr>
      <w:r w:rsidRPr="005E4E7F">
        <w:rPr>
          <w:rFonts w:ascii="Calibri" w:eastAsia="Times New Roman" w:hAnsi="Calibri" w:cs="Calibri"/>
          <w:color w:val="000000"/>
        </w:rPr>
        <w:t>Effectively support candidates of all races, identity groups, and backgrounds.  </w:t>
      </w:r>
    </w:p>
    <w:p w14:paraId="336AEF71" w14:textId="77777777" w:rsidR="005E4E7F" w:rsidRPr="007125CB" w:rsidRDefault="005E4E7F" w:rsidP="000E41AB">
      <w:pPr>
        <w:numPr>
          <w:ilvl w:val="0"/>
          <w:numId w:val="81"/>
        </w:numPr>
        <w:spacing w:line="240" w:lineRule="auto"/>
        <w:ind w:left="1800" w:firstLine="0"/>
        <w:textAlignment w:val="baseline"/>
        <w:rPr>
          <w:rFonts w:ascii="Calibri" w:eastAsia="Times New Roman" w:hAnsi="Calibri" w:cs="Calibri"/>
        </w:rPr>
      </w:pPr>
      <w:r w:rsidRPr="005E4E7F">
        <w:rPr>
          <w:rFonts w:ascii="Calibri" w:eastAsia="Times New Roman" w:hAnsi="Calibri" w:cs="Calibri"/>
          <w:color w:val="000000"/>
        </w:rPr>
        <w:t>Commit to meeting the Sponsoring Organization’s expectations of the role. </w:t>
      </w:r>
    </w:p>
    <w:p w14:paraId="492791DA" w14:textId="77777777" w:rsidR="007125CB" w:rsidRPr="005E4E7F" w:rsidRDefault="007125CB" w:rsidP="007125CB">
      <w:pPr>
        <w:spacing w:line="240" w:lineRule="auto"/>
        <w:ind w:left="1800"/>
        <w:textAlignment w:val="baseline"/>
        <w:rPr>
          <w:rFonts w:ascii="Calibri" w:eastAsia="Times New Roman" w:hAnsi="Calibri" w:cs="Calibri"/>
        </w:rPr>
      </w:pPr>
    </w:p>
    <w:p w14:paraId="28709D3E" w14:textId="041F6837" w:rsidR="005E4E7F" w:rsidRDefault="005E4E7F" w:rsidP="005E4E7F">
      <w:pPr>
        <w:spacing w:line="240" w:lineRule="auto"/>
        <w:ind w:left="720"/>
        <w:textAlignment w:val="baseline"/>
        <w:rPr>
          <w:rFonts w:ascii="Calibri" w:eastAsia="Times New Roman" w:hAnsi="Calibri" w:cs="Calibri"/>
          <w:color w:val="000000"/>
        </w:rPr>
      </w:pPr>
      <w:r w:rsidRPr="005E4E7F">
        <w:rPr>
          <w:rFonts w:ascii="Calibri" w:eastAsia="Times New Roman" w:hAnsi="Calibri" w:cs="Calibri"/>
          <w:color w:val="000000"/>
        </w:rPr>
        <w:t>FBE 3: The Sponsoring Organization supports and monitors all Supervising Practitioners and Program Supervisors to ensure that all candidates (including candidates from all races, identity groups, and backgrounds) receive robust supervision and mentorship, including high-quality feedback</w:t>
      </w:r>
      <w:r w:rsidR="00255EDF">
        <w:rPr>
          <w:rStyle w:val="FootnoteReference"/>
          <w:rFonts w:ascii="Calibri" w:eastAsia="Times New Roman" w:hAnsi="Calibri" w:cs="Calibri"/>
          <w:color w:val="000000"/>
        </w:rPr>
        <w:footnoteReference w:id="29"/>
      </w:r>
      <w:r w:rsidRPr="005E4E7F">
        <w:rPr>
          <w:rFonts w:ascii="Calibri" w:eastAsia="Times New Roman" w:hAnsi="Calibri" w:cs="Calibri"/>
          <w:color w:val="000000"/>
        </w:rPr>
        <w:t xml:space="preserve"> and evaluation that prepare candidates to be effective anti-racist and culturally and linguistically sustaining educators. </w:t>
      </w:r>
    </w:p>
    <w:p w14:paraId="30E4EE7F" w14:textId="77777777" w:rsidR="007125CB" w:rsidRPr="005E4E7F" w:rsidRDefault="007125CB" w:rsidP="005E4E7F">
      <w:pPr>
        <w:spacing w:line="240" w:lineRule="auto"/>
        <w:ind w:left="720"/>
        <w:textAlignment w:val="baseline"/>
        <w:rPr>
          <w:rFonts w:ascii="Segoe UI" w:eastAsia="Times New Roman" w:hAnsi="Segoe UI" w:cs="Segoe UI"/>
          <w:sz w:val="18"/>
          <w:szCs w:val="18"/>
        </w:rPr>
      </w:pPr>
    </w:p>
    <w:p w14:paraId="034D092D" w14:textId="77777777" w:rsidR="005E4E7F" w:rsidRDefault="005E4E7F" w:rsidP="005E4E7F">
      <w:pPr>
        <w:spacing w:line="240" w:lineRule="auto"/>
        <w:ind w:left="720"/>
        <w:textAlignment w:val="baseline"/>
        <w:rPr>
          <w:rFonts w:ascii="Calibri" w:eastAsia="Times New Roman" w:hAnsi="Calibri" w:cs="Calibri"/>
          <w:color w:val="000000"/>
        </w:rPr>
      </w:pPr>
      <w:r w:rsidRPr="005E4E7F">
        <w:rPr>
          <w:rFonts w:ascii="Calibri" w:eastAsia="Times New Roman" w:hAnsi="Calibri" w:cs="Calibri"/>
          <w:color w:val="000000"/>
        </w:rPr>
        <w:t>FBE 4: The Sponsoring Organization ensures that candidates’ pre-practicum and practicum experiences cover the full academic year and are structured to build to readiness for full responsibility in the licensure role. </w:t>
      </w:r>
    </w:p>
    <w:p w14:paraId="2A79A54E" w14:textId="77777777" w:rsidR="007125CB" w:rsidRPr="005E4E7F" w:rsidRDefault="007125CB" w:rsidP="005E4E7F">
      <w:pPr>
        <w:spacing w:line="240" w:lineRule="auto"/>
        <w:ind w:left="720"/>
        <w:textAlignment w:val="baseline"/>
        <w:rPr>
          <w:rFonts w:ascii="Segoe UI" w:eastAsia="Times New Roman" w:hAnsi="Segoe UI" w:cs="Segoe UI"/>
          <w:sz w:val="18"/>
          <w:szCs w:val="18"/>
        </w:rPr>
      </w:pPr>
    </w:p>
    <w:p w14:paraId="3D65B8EC" w14:textId="77777777" w:rsidR="005E4E7F" w:rsidRPr="005E4E7F" w:rsidRDefault="005E4E7F" w:rsidP="005E4E7F">
      <w:pPr>
        <w:spacing w:line="240" w:lineRule="auto"/>
        <w:ind w:left="720"/>
        <w:textAlignment w:val="baseline"/>
        <w:rPr>
          <w:rFonts w:ascii="Segoe UI" w:eastAsia="Times New Roman" w:hAnsi="Segoe UI" w:cs="Segoe UI"/>
          <w:sz w:val="18"/>
          <w:szCs w:val="18"/>
        </w:rPr>
      </w:pPr>
      <w:r w:rsidRPr="005E4E7F">
        <w:rPr>
          <w:rFonts w:ascii="Calibri" w:eastAsia="Times New Roman" w:hAnsi="Calibri" w:cs="Calibri"/>
          <w:color w:val="000000"/>
        </w:rPr>
        <w:t>FBE 5: Performance assessments are implemented consistently within and across programs to improve practice and ensure only candidates who are ready for full responsibility in the licensure role complete the program. For programs that do not use CAP, performance assessments are regularly evaluated to ensure assessments are effective. </w:t>
      </w:r>
    </w:p>
    <w:p w14:paraId="02740AB6" w14:textId="77777777" w:rsidR="005E4E7F" w:rsidRPr="005E4E7F" w:rsidRDefault="005E4E7F" w:rsidP="005E4E7F">
      <w:pPr>
        <w:spacing w:line="240" w:lineRule="auto"/>
        <w:ind w:left="720"/>
        <w:textAlignment w:val="baseline"/>
        <w:rPr>
          <w:rFonts w:ascii="Segoe UI" w:eastAsia="Times New Roman" w:hAnsi="Segoe UI" w:cs="Segoe UI"/>
          <w:sz w:val="18"/>
          <w:szCs w:val="18"/>
        </w:rPr>
      </w:pPr>
      <w:r w:rsidRPr="005E4E7F">
        <w:rPr>
          <w:rFonts w:ascii="Calibri" w:eastAsia="Times New Roman" w:hAnsi="Calibri" w:cs="Calibri"/>
        </w:rPr>
        <w:t> </w:t>
      </w:r>
      <w:r w:rsidRPr="005E4E7F">
        <w:rPr>
          <w:rFonts w:ascii="Calibri" w:eastAsia="Times New Roman" w:hAnsi="Calibri" w:cs="Calibri"/>
        </w:rPr>
        <w:br/>
      </w:r>
      <w:r w:rsidRPr="005E4E7F">
        <w:rPr>
          <w:rFonts w:ascii="Calibri" w:eastAsia="Times New Roman" w:hAnsi="Calibri" w:cs="Calibri"/>
          <w:color w:val="000000"/>
        </w:rPr>
        <w:t>FBE 6: Field-based experiences meet regulatory requirements:   </w:t>
      </w:r>
    </w:p>
    <w:p w14:paraId="38CB8B7C" w14:textId="77777777" w:rsidR="005E4E7F" w:rsidRPr="005E4E7F" w:rsidRDefault="005E4E7F" w:rsidP="000E41AB">
      <w:pPr>
        <w:numPr>
          <w:ilvl w:val="0"/>
          <w:numId w:val="82"/>
        </w:numPr>
        <w:spacing w:line="240" w:lineRule="auto"/>
        <w:ind w:left="1800" w:firstLine="0"/>
        <w:textAlignment w:val="baseline"/>
        <w:rPr>
          <w:rFonts w:ascii="Calibri" w:eastAsia="Times New Roman" w:hAnsi="Calibri" w:cs="Calibri"/>
        </w:rPr>
      </w:pPr>
      <w:r w:rsidRPr="005E4E7F">
        <w:rPr>
          <w:rFonts w:ascii="Calibri" w:eastAsia="Times New Roman" w:hAnsi="Calibri" w:cs="Calibri"/>
          <w:color w:val="000000"/>
        </w:rPr>
        <w:t>Practicum hours, including hours of full responsibility in the licensure role, meet regulatory requirements as per 603 CMR 7.04 (4);   </w:t>
      </w:r>
    </w:p>
    <w:p w14:paraId="73B2E3B2" w14:textId="77777777" w:rsidR="005E4E7F" w:rsidRPr="005E4E7F" w:rsidRDefault="005E4E7F" w:rsidP="000E41AB">
      <w:pPr>
        <w:numPr>
          <w:ilvl w:val="0"/>
          <w:numId w:val="83"/>
        </w:numPr>
        <w:spacing w:line="240" w:lineRule="auto"/>
        <w:ind w:left="1800" w:firstLine="0"/>
        <w:textAlignment w:val="baseline"/>
        <w:rPr>
          <w:rFonts w:ascii="Calibri" w:eastAsia="Times New Roman" w:hAnsi="Calibri" w:cs="Calibri"/>
        </w:rPr>
      </w:pPr>
      <w:r w:rsidRPr="005E4E7F">
        <w:rPr>
          <w:rFonts w:ascii="Calibri" w:eastAsia="Times New Roman" w:hAnsi="Calibri" w:cs="Calibri"/>
          <w:color w:val="000000"/>
        </w:rPr>
        <w:t>Placement(s) meet regulatory requirements as per 603 CMR 7.04 (4); and   </w:t>
      </w:r>
    </w:p>
    <w:p w14:paraId="30D617BB" w14:textId="77777777" w:rsidR="005E4E7F" w:rsidRPr="007125CB" w:rsidRDefault="005E4E7F" w:rsidP="000E41AB">
      <w:pPr>
        <w:numPr>
          <w:ilvl w:val="0"/>
          <w:numId w:val="84"/>
        </w:numPr>
        <w:spacing w:line="240" w:lineRule="auto"/>
        <w:ind w:left="1800" w:firstLine="0"/>
        <w:textAlignment w:val="baseline"/>
        <w:rPr>
          <w:rFonts w:ascii="Calibri" w:eastAsia="Times New Roman" w:hAnsi="Calibri" w:cs="Calibri"/>
        </w:rPr>
      </w:pPr>
      <w:r w:rsidRPr="005E4E7F">
        <w:rPr>
          <w:rFonts w:ascii="Calibri" w:eastAsia="Times New Roman" w:hAnsi="Calibri" w:cs="Calibri"/>
          <w:color w:val="000000"/>
        </w:rPr>
        <w:lastRenderedPageBreak/>
        <w:t>Supervising Practitioner qualifications meet regulatory requirements as per 603 CMR 7.02     </w:t>
      </w:r>
    </w:p>
    <w:p w14:paraId="57E1E0A5" w14:textId="77777777" w:rsidR="007125CB" w:rsidRPr="005E4E7F" w:rsidRDefault="007125CB" w:rsidP="00E10254">
      <w:pPr>
        <w:spacing w:line="240" w:lineRule="auto"/>
        <w:ind w:left="1800"/>
        <w:textAlignment w:val="baseline"/>
        <w:rPr>
          <w:rFonts w:ascii="Calibri" w:eastAsia="Times New Roman" w:hAnsi="Calibri" w:cs="Calibri"/>
        </w:rPr>
      </w:pPr>
    </w:p>
    <w:p w14:paraId="20592259" w14:textId="77777777" w:rsidR="005E4E7F" w:rsidRDefault="005E4E7F" w:rsidP="005E4E7F">
      <w:pPr>
        <w:spacing w:line="240" w:lineRule="auto"/>
        <w:textAlignment w:val="baseline"/>
        <w:rPr>
          <w:rFonts w:ascii="Calibri" w:eastAsia="Times New Roman" w:hAnsi="Calibri" w:cs="Calibri"/>
          <w:color w:val="000000"/>
        </w:rPr>
      </w:pPr>
      <w:r w:rsidRPr="005E4E7F">
        <w:rPr>
          <w:rFonts w:ascii="Calibri" w:eastAsia="Times New Roman" w:hAnsi="Calibri" w:cs="Calibri"/>
          <w:b/>
          <w:bCs/>
          <w:color w:val="000000"/>
        </w:rPr>
        <w:t>Instruction: Programs prepare candidates to have deep content knowledge, anti-racist and culturally and linguistically sustaining pedagogical skills, and the ability to continuously reflect on their identities, biases, and practices.</w:t>
      </w:r>
      <w:r w:rsidRPr="005E4E7F">
        <w:rPr>
          <w:rFonts w:ascii="Calibri" w:eastAsia="Times New Roman" w:hAnsi="Calibri" w:cs="Calibri"/>
          <w:color w:val="000000"/>
        </w:rPr>
        <w:t> </w:t>
      </w:r>
    </w:p>
    <w:p w14:paraId="6DE356C2" w14:textId="77777777" w:rsidR="007125CB" w:rsidRPr="005E4E7F" w:rsidRDefault="007125CB" w:rsidP="005E4E7F">
      <w:pPr>
        <w:spacing w:line="240" w:lineRule="auto"/>
        <w:textAlignment w:val="baseline"/>
        <w:rPr>
          <w:rFonts w:ascii="Segoe UI" w:eastAsia="Times New Roman" w:hAnsi="Segoe UI" w:cs="Segoe UI"/>
          <w:sz w:val="18"/>
          <w:szCs w:val="18"/>
        </w:rPr>
      </w:pPr>
    </w:p>
    <w:p w14:paraId="168779C4" w14:textId="77777777" w:rsidR="005E4E7F" w:rsidRPr="005E4E7F" w:rsidRDefault="005E4E7F" w:rsidP="005E4E7F">
      <w:pPr>
        <w:spacing w:line="240" w:lineRule="auto"/>
        <w:textAlignment w:val="baseline"/>
        <w:rPr>
          <w:rFonts w:ascii="Segoe UI" w:eastAsia="Times New Roman" w:hAnsi="Segoe UI" w:cs="Segoe UI"/>
          <w:sz w:val="18"/>
          <w:szCs w:val="18"/>
        </w:rPr>
      </w:pPr>
      <w:r w:rsidRPr="005E4E7F">
        <w:rPr>
          <w:rFonts w:ascii="Calibri" w:eastAsia="Times New Roman" w:hAnsi="Calibri" w:cs="Calibri"/>
          <w:b/>
          <w:bCs/>
          <w:i/>
          <w:iCs/>
          <w:color w:val="000000"/>
        </w:rPr>
        <w:t>Teacher Programs:</w:t>
      </w:r>
      <w:r w:rsidRPr="005E4E7F">
        <w:rPr>
          <w:rFonts w:ascii="Calibri" w:eastAsia="Times New Roman" w:hAnsi="Calibri" w:cs="Calibri"/>
          <w:color w:val="000000"/>
        </w:rPr>
        <w:t> </w:t>
      </w:r>
    </w:p>
    <w:p w14:paraId="665707FA" w14:textId="77777777" w:rsidR="005E4E7F" w:rsidRPr="005E4E7F" w:rsidRDefault="005E4E7F" w:rsidP="005E4E7F">
      <w:pPr>
        <w:spacing w:line="240" w:lineRule="auto"/>
        <w:ind w:left="720"/>
        <w:textAlignment w:val="baseline"/>
        <w:rPr>
          <w:rFonts w:ascii="Segoe UI" w:eastAsia="Times New Roman" w:hAnsi="Segoe UI" w:cs="Segoe UI"/>
          <w:sz w:val="18"/>
          <w:szCs w:val="18"/>
        </w:rPr>
      </w:pPr>
      <w:r w:rsidRPr="005E4E7F">
        <w:rPr>
          <w:rFonts w:ascii="Calibri" w:eastAsia="Times New Roman" w:hAnsi="Calibri" w:cs="Calibri"/>
          <w:color w:val="000000"/>
        </w:rPr>
        <w:t>INS 1: The Sponsoring Organization regularly interrogates and updates the program of study to ensure content and practices throughout the program that:  </w:t>
      </w:r>
    </w:p>
    <w:p w14:paraId="33D9EF5E" w14:textId="77777777" w:rsidR="005E4E7F" w:rsidRPr="005E4E7F" w:rsidRDefault="005E4E7F" w:rsidP="000E41AB">
      <w:pPr>
        <w:numPr>
          <w:ilvl w:val="0"/>
          <w:numId w:val="85"/>
        </w:numPr>
        <w:spacing w:line="240" w:lineRule="auto"/>
        <w:ind w:left="1800" w:firstLine="0"/>
        <w:textAlignment w:val="baseline"/>
        <w:rPr>
          <w:rFonts w:ascii="Calibri" w:eastAsia="Times New Roman" w:hAnsi="Calibri" w:cs="Calibri"/>
        </w:rPr>
      </w:pPr>
      <w:r w:rsidRPr="005E4E7F">
        <w:rPr>
          <w:rFonts w:ascii="Calibri" w:eastAsia="Times New Roman" w:hAnsi="Calibri" w:cs="Calibri"/>
          <w:color w:val="000000"/>
        </w:rPr>
        <w:t>Prepare anti-racist and culturally and linguistically sustaining educators; and </w:t>
      </w:r>
    </w:p>
    <w:p w14:paraId="4AC0B20E" w14:textId="77777777" w:rsidR="005E4E7F" w:rsidRPr="007125CB" w:rsidRDefault="005E4E7F" w:rsidP="000E41AB">
      <w:pPr>
        <w:numPr>
          <w:ilvl w:val="0"/>
          <w:numId w:val="85"/>
        </w:numPr>
        <w:spacing w:line="240" w:lineRule="auto"/>
        <w:ind w:left="1800" w:firstLine="0"/>
        <w:textAlignment w:val="baseline"/>
        <w:rPr>
          <w:rFonts w:ascii="Calibri" w:eastAsia="Times New Roman" w:hAnsi="Calibri" w:cs="Calibri"/>
        </w:rPr>
      </w:pPr>
      <w:r w:rsidRPr="005E4E7F">
        <w:rPr>
          <w:rFonts w:ascii="Calibri" w:eastAsia="Times New Roman" w:hAnsi="Calibri" w:cs="Calibri"/>
          <w:color w:val="000000"/>
        </w:rPr>
        <w:t>Align with current evidence-based practices.   </w:t>
      </w:r>
    </w:p>
    <w:p w14:paraId="7D381610" w14:textId="77777777" w:rsidR="007125CB" w:rsidRPr="005E4E7F" w:rsidRDefault="007125CB" w:rsidP="007125CB">
      <w:pPr>
        <w:spacing w:line="240" w:lineRule="auto"/>
        <w:ind w:left="1800"/>
        <w:textAlignment w:val="baseline"/>
        <w:rPr>
          <w:rFonts w:ascii="Calibri" w:eastAsia="Times New Roman" w:hAnsi="Calibri" w:cs="Calibri"/>
        </w:rPr>
      </w:pPr>
    </w:p>
    <w:p w14:paraId="5D7B92CF" w14:textId="5A11FEDD" w:rsidR="005E4E7F" w:rsidRPr="005E4E7F" w:rsidRDefault="005E4E7F" w:rsidP="005E4E7F">
      <w:pPr>
        <w:spacing w:line="240" w:lineRule="auto"/>
        <w:ind w:left="720"/>
        <w:textAlignment w:val="baseline"/>
        <w:rPr>
          <w:rFonts w:ascii="Segoe UI" w:eastAsia="Times New Roman" w:hAnsi="Segoe UI" w:cs="Segoe UI"/>
          <w:sz w:val="18"/>
          <w:szCs w:val="18"/>
        </w:rPr>
      </w:pPr>
      <w:r w:rsidRPr="005E4E7F">
        <w:rPr>
          <w:rFonts w:ascii="Calibri" w:eastAsia="Times New Roman" w:hAnsi="Calibri" w:cs="Calibri"/>
          <w:color w:val="000000"/>
        </w:rPr>
        <w:t>INS 2: The program(s) of study ensures all candidates (including candidates from all races, identity groups, and backgrounds) develop fluent content knowledge (a</w:t>
      </w:r>
      <w:r w:rsidRPr="005E4E7F">
        <w:rPr>
          <w:rFonts w:ascii="Calibri" w:eastAsia="Times New Roman" w:hAnsi="Calibri" w:cs="Calibri"/>
          <w:color w:val="333333"/>
        </w:rPr>
        <w:t>s articulated in the</w:t>
      </w:r>
      <w:hyperlink r:id="rId70" w:tgtFrame="_blank" w:history="1">
        <w:r w:rsidRPr="005E4E7F">
          <w:rPr>
            <w:rFonts w:ascii="Calibri" w:eastAsia="Times New Roman" w:hAnsi="Calibri" w:cs="Calibri"/>
            <w:color w:val="0563C1"/>
            <w:u w:val="single"/>
          </w:rPr>
          <w:t xml:space="preserve"> </w:t>
        </w:r>
        <w:r w:rsidRPr="00437A8B">
          <w:rPr>
            <w:rFonts w:ascii="Calibri" w:eastAsia="Times New Roman" w:hAnsi="Calibri" w:cs="Calibri"/>
            <w:color w:val="0000FF"/>
            <w:u w:val="single"/>
          </w:rPr>
          <w:t>Subject Matter Knowledge Guidelines</w:t>
        </w:r>
      </w:hyperlink>
      <w:r w:rsidRPr="005E4E7F">
        <w:rPr>
          <w:rFonts w:ascii="Calibri" w:eastAsia="Times New Roman" w:hAnsi="Calibri" w:cs="Calibri"/>
          <w:color w:val="000000"/>
        </w:rPr>
        <w:t>) to be ready for full responsibility in the licensure role.  </w:t>
      </w:r>
      <w:r w:rsidRPr="005E4E7F">
        <w:rPr>
          <w:rFonts w:ascii="Calibri" w:eastAsia="Times New Roman" w:hAnsi="Calibri" w:cs="Calibri"/>
          <w:color w:val="000000"/>
        </w:rPr>
        <w:br/>
      </w:r>
      <w:r w:rsidRPr="005E4E7F">
        <w:rPr>
          <w:rFonts w:ascii="Calibri" w:eastAsia="Times New Roman" w:hAnsi="Calibri" w:cs="Calibri"/>
          <w:i/>
          <w:iCs/>
          <w:color w:val="333333"/>
        </w:rPr>
        <w:t>For Professional licensure programs:</w:t>
      </w:r>
      <w:r w:rsidRPr="005E4E7F">
        <w:rPr>
          <w:rFonts w:ascii="Calibri" w:eastAsia="Times New Roman" w:hAnsi="Calibri" w:cs="Calibri"/>
          <w:color w:val="333333"/>
        </w:rPr>
        <w:t xml:space="preserve"> </w:t>
      </w:r>
      <w:r w:rsidRPr="005E4E7F">
        <w:rPr>
          <w:rFonts w:ascii="Calibri" w:eastAsia="Times New Roman" w:hAnsi="Calibri" w:cs="Calibri"/>
          <w:color w:val="000000"/>
        </w:rPr>
        <w:t>All candidates (including candidates from all races, identity groups, and backgrounds) develop expert content knowledge that makes them more effective in the licensure role. </w:t>
      </w:r>
      <w:r w:rsidR="00CD718A">
        <w:rPr>
          <w:rFonts w:ascii="Calibri" w:eastAsia="Times New Roman" w:hAnsi="Calibri" w:cs="Calibri"/>
          <w:color w:val="000000"/>
        </w:rPr>
        <w:br/>
      </w:r>
    </w:p>
    <w:p w14:paraId="68BBF33A" w14:textId="3C77B31F" w:rsidR="005E4E7F" w:rsidRDefault="005E4E7F" w:rsidP="005E4E7F">
      <w:pPr>
        <w:spacing w:line="240" w:lineRule="auto"/>
        <w:ind w:left="720"/>
        <w:textAlignment w:val="baseline"/>
        <w:rPr>
          <w:rFonts w:ascii="Calibri" w:eastAsia="Times New Roman" w:hAnsi="Calibri" w:cs="Calibri"/>
          <w:color w:val="000000"/>
        </w:rPr>
      </w:pPr>
      <w:r w:rsidRPr="005E4E7F">
        <w:rPr>
          <w:rFonts w:ascii="Calibri" w:eastAsia="Times New Roman" w:hAnsi="Calibri" w:cs="Calibri"/>
          <w:color w:val="000000"/>
        </w:rPr>
        <w:t>INS 3: The program(s) of study ensures that all candidates develop the pedagogical skills (as articulated in the</w:t>
      </w:r>
      <w:hyperlink r:id="rId71" w:tgtFrame="_blank" w:history="1">
        <w:r w:rsidR="009A4E01" w:rsidRPr="00437A8B">
          <w:rPr>
            <w:rFonts w:ascii="Calibri" w:eastAsia="Times New Roman" w:hAnsi="Calibri" w:cs="Calibri"/>
            <w:color w:val="0563C1"/>
          </w:rPr>
          <w:t xml:space="preserve"> </w:t>
        </w:r>
        <w:r w:rsidR="009A4E01" w:rsidRPr="00437A8B">
          <w:rPr>
            <w:rFonts w:ascii="Calibri" w:eastAsia="Times New Roman" w:hAnsi="Calibri" w:cs="Calibri"/>
            <w:color w:val="0000FF"/>
            <w:u w:val="single"/>
          </w:rPr>
          <w:t>Professional Standards for Teachers</w:t>
        </w:r>
      </w:hyperlink>
      <w:r w:rsidR="009A4E01" w:rsidRPr="00437A8B">
        <w:rPr>
          <w:rStyle w:val="FootnoteReference"/>
          <w:rFonts w:ascii="Calibri" w:eastAsia="Times New Roman" w:hAnsi="Calibri" w:cs="Calibri"/>
          <w:color w:val="000000" w:themeColor="text1"/>
        </w:rPr>
        <w:footnoteReference w:id="30"/>
      </w:r>
      <w:r w:rsidRPr="005E4E7F">
        <w:rPr>
          <w:rFonts w:ascii="Calibri" w:eastAsia="Times New Roman" w:hAnsi="Calibri" w:cs="Calibri"/>
          <w:color w:val="000000"/>
        </w:rPr>
        <w:t>) to be effective educators for all students (including students from all races, identity groups, and backgrounds) in the licensure role. </w:t>
      </w:r>
    </w:p>
    <w:p w14:paraId="5A2AF521" w14:textId="77777777" w:rsidR="007125CB" w:rsidRPr="005E4E7F" w:rsidRDefault="007125CB" w:rsidP="005E4E7F">
      <w:pPr>
        <w:spacing w:line="240" w:lineRule="auto"/>
        <w:ind w:left="720"/>
        <w:textAlignment w:val="baseline"/>
        <w:rPr>
          <w:rFonts w:ascii="Segoe UI" w:eastAsia="Times New Roman" w:hAnsi="Segoe UI" w:cs="Segoe UI"/>
          <w:sz w:val="18"/>
          <w:szCs w:val="18"/>
        </w:rPr>
      </w:pPr>
    </w:p>
    <w:p w14:paraId="0D6EE4B8" w14:textId="17B92777" w:rsidR="005E4E7F" w:rsidRPr="00090190" w:rsidRDefault="005E4E7F" w:rsidP="005E4E7F">
      <w:pPr>
        <w:spacing w:line="240" w:lineRule="auto"/>
        <w:ind w:left="720"/>
        <w:textAlignment w:val="baseline"/>
        <w:rPr>
          <w:rFonts w:ascii="Calibri" w:eastAsia="Times New Roman" w:hAnsi="Calibri" w:cs="Calibri"/>
          <w:color w:val="000000"/>
        </w:rPr>
      </w:pPr>
      <w:r w:rsidRPr="00CD718A">
        <w:rPr>
          <w:rFonts w:ascii="Calibri" w:eastAsia="Times New Roman" w:hAnsi="Calibri" w:cs="Calibri"/>
          <w:color w:val="000000"/>
        </w:rPr>
        <w:t xml:space="preserve">INS 4: The program(s) of study ensures that all candidates develop the curriculum literacy skills </w:t>
      </w:r>
      <w:r w:rsidRPr="00437A8B">
        <w:rPr>
          <w:rFonts w:ascii="Calibri" w:eastAsia="Times New Roman" w:hAnsi="Calibri" w:cs="Calibri"/>
          <w:color w:val="000000"/>
        </w:rPr>
        <w:t xml:space="preserve">(as articulated in </w:t>
      </w:r>
      <w:r w:rsidRPr="00437A8B">
        <w:rPr>
          <w:rFonts w:ascii="Calibri" w:eastAsia="Times New Roman" w:hAnsi="Calibri" w:cs="Calibri"/>
          <w:color w:val="0000FF"/>
          <w:u w:val="single"/>
        </w:rPr>
        <w:t>Appendix D: Curricular Literacy</w:t>
      </w:r>
      <w:r w:rsidRPr="00437A8B">
        <w:rPr>
          <w:rFonts w:ascii="Calibri" w:eastAsia="Times New Roman" w:hAnsi="Calibri" w:cs="Calibri"/>
          <w:color w:val="000000"/>
        </w:rPr>
        <w:t>) </w:t>
      </w:r>
      <w:r w:rsidRPr="00CD718A">
        <w:rPr>
          <w:rFonts w:ascii="Calibri" w:eastAsia="Times New Roman" w:hAnsi="Calibri" w:cs="Calibri"/>
          <w:color w:val="000000"/>
        </w:rPr>
        <w:t>to be ready for full responsibility in the licensure role through opportunities to critically analyze the quality of and skillfully use curricula</w:t>
      </w:r>
      <w:r w:rsidRPr="00090190">
        <w:rPr>
          <w:rFonts w:ascii="Calibri" w:eastAsia="Times New Roman" w:hAnsi="Calibri" w:cs="Calibri"/>
          <w:color w:val="000000"/>
        </w:rPr>
        <w:t>r materials, including leveraging known high-quality curricular materials when available. </w:t>
      </w:r>
    </w:p>
    <w:p w14:paraId="654C1110" w14:textId="77777777" w:rsidR="007125CB" w:rsidRPr="005E4E7F" w:rsidRDefault="007125CB" w:rsidP="005E4E7F">
      <w:pPr>
        <w:spacing w:line="240" w:lineRule="auto"/>
        <w:ind w:left="720"/>
        <w:textAlignment w:val="baseline"/>
        <w:rPr>
          <w:rFonts w:ascii="Segoe UI" w:eastAsia="Times New Roman" w:hAnsi="Segoe UI" w:cs="Segoe UI"/>
          <w:sz w:val="18"/>
          <w:szCs w:val="18"/>
        </w:rPr>
      </w:pPr>
    </w:p>
    <w:p w14:paraId="724928DA" w14:textId="77777777" w:rsidR="005E4E7F" w:rsidRDefault="005E4E7F" w:rsidP="005E4E7F">
      <w:pPr>
        <w:spacing w:line="240" w:lineRule="auto"/>
        <w:ind w:left="720"/>
        <w:textAlignment w:val="baseline"/>
        <w:rPr>
          <w:rFonts w:ascii="Calibri" w:eastAsia="Times New Roman" w:hAnsi="Calibri" w:cs="Calibri"/>
          <w:color w:val="000000"/>
        </w:rPr>
      </w:pPr>
      <w:r w:rsidRPr="005E4E7F">
        <w:rPr>
          <w:rFonts w:ascii="Calibri" w:eastAsia="Times New Roman" w:hAnsi="Calibri" w:cs="Calibri"/>
          <w:color w:val="000000"/>
        </w:rPr>
        <w:t>INS 5: The program(s) of study is intentionally designed such that sequencing and connections between courses build candidates’ readiness for full responsibility in the licensure role. </w:t>
      </w:r>
    </w:p>
    <w:p w14:paraId="13A65077" w14:textId="77777777" w:rsidR="007125CB" w:rsidRPr="005E4E7F" w:rsidRDefault="007125CB" w:rsidP="005E4E7F">
      <w:pPr>
        <w:spacing w:line="240" w:lineRule="auto"/>
        <w:ind w:left="720"/>
        <w:textAlignment w:val="baseline"/>
        <w:rPr>
          <w:rFonts w:ascii="Segoe UI" w:eastAsia="Times New Roman" w:hAnsi="Segoe UI" w:cs="Segoe UI"/>
          <w:sz w:val="18"/>
          <w:szCs w:val="18"/>
        </w:rPr>
      </w:pPr>
    </w:p>
    <w:p w14:paraId="7BB1345E" w14:textId="11D33408" w:rsidR="005E4E7F" w:rsidRDefault="005E4E7F" w:rsidP="005E4E7F">
      <w:pPr>
        <w:spacing w:line="240" w:lineRule="auto"/>
        <w:ind w:left="720"/>
        <w:textAlignment w:val="baseline"/>
        <w:rPr>
          <w:rFonts w:ascii="Calibri" w:eastAsia="Times New Roman" w:hAnsi="Calibri" w:cs="Calibri"/>
          <w:color w:val="000000"/>
        </w:rPr>
      </w:pPr>
      <w:r w:rsidRPr="005E4E7F">
        <w:rPr>
          <w:rFonts w:ascii="Calibri" w:eastAsia="Times New Roman" w:hAnsi="Calibri" w:cs="Calibri"/>
          <w:color w:val="000000"/>
        </w:rPr>
        <w:t>INS 6: The program(s) of study embeds field-based experiences such that candidates have opportunities to observe</w:t>
      </w:r>
      <w:r w:rsidR="00E10254">
        <w:rPr>
          <w:rFonts w:ascii="Calibri" w:eastAsia="Times New Roman" w:hAnsi="Calibri" w:cs="Calibri"/>
          <w:color w:val="000000"/>
        </w:rPr>
        <w:t>,</w:t>
      </w:r>
      <w:r w:rsidRPr="005E4E7F">
        <w:rPr>
          <w:rFonts w:ascii="Calibri" w:eastAsia="Times New Roman" w:hAnsi="Calibri" w:cs="Calibri"/>
          <w:color w:val="000000"/>
        </w:rPr>
        <w:t xml:space="preserve"> apply</w:t>
      </w:r>
      <w:r w:rsidR="00E10254">
        <w:rPr>
          <w:rFonts w:ascii="Calibri" w:eastAsia="Times New Roman" w:hAnsi="Calibri" w:cs="Calibri"/>
          <w:color w:val="000000"/>
        </w:rPr>
        <w:t>, and reflect on</w:t>
      </w:r>
      <w:r w:rsidRPr="005E4E7F">
        <w:rPr>
          <w:rFonts w:ascii="Calibri" w:eastAsia="Times New Roman" w:hAnsi="Calibri" w:cs="Calibri"/>
          <w:color w:val="000000"/>
        </w:rPr>
        <w:t xml:space="preserve"> theories in practice, including anti-racist and culturally and linguistically sustaining pedagogy. </w:t>
      </w:r>
    </w:p>
    <w:p w14:paraId="62BB38F1" w14:textId="77777777" w:rsidR="007125CB" w:rsidRPr="005E4E7F" w:rsidRDefault="007125CB" w:rsidP="005E4E7F">
      <w:pPr>
        <w:spacing w:line="240" w:lineRule="auto"/>
        <w:ind w:left="720"/>
        <w:textAlignment w:val="baseline"/>
        <w:rPr>
          <w:rFonts w:ascii="Segoe UI" w:eastAsia="Times New Roman" w:hAnsi="Segoe UI" w:cs="Segoe UI"/>
          <w:sz w:val="18"/>
          <w:szCs w:val="18"/>
        </w:rPr>
      </w:pPr>
    </w:p>
    <w:p w14:paraId="5833000B" w14:textId="77777777" w:rsidR="005E4E7F" w:rsidRPr="005E4E7F" w:rsidRDefault="005E4E7F" w:rsidP="005E4E7F">
      <w:pPr>
        <w:spacing w:line="240" w:lineRule="auto"/>
        <w:textAlignment w:val="baseline"/>
        <w:rPr>
          <w:rFonts w:ascii="Segoe UI" w:eastAsia="Times New Roman" w:hAnsi="Segoe UI" w:cs="Segoe UI"/>
          <w:sz w:val="18"/>
          <w:szCs w:val="18"/>
        </w:rPr>
      </w:pPr>
      <w:r w:rsidRPr="005E4E7F">
        <w:rPr>
          <w:rFonts w:ascii="Calibri" w:eastAsia="Times New Roman" w:hAnsi="Calibri" w:cs="Calibri"/>
          <w:b/>
          <w:bCs/>
          <w:i/>
          <w:iCs/>
          <w:color w:val="000000"/>
        </w:rPr>
        <w:t>Specialist Teacher Programs:</w:t>
      </w:r>
      <w:r w:rsidRPr="005E4E7F">
        <w:rPr>
          <w:rFonts w:ascii="Calibri" w:eastAsia="Times New Roman" w:hAnsi="Calibri" w:cs="Calibri"/>
          <w:color w:val="000000"/>
        </w:rPr>
        <w:t> </w:t>
      </w:r>
    </w:p>
    <w:p w14:paraId="3795969D" w14:textId="77777777" w:rsidR="005E4E7F" w:rsidRPr="005E4E7F" w:rsidRDefault="005E4E7F" w:rsidP="005E4E7F">
      <w:pPr>
        <w:spacing w:line="240" w:lineRule="auto"/>
        <w:ind w:left="720"/>
        <w:textAlignment w:val="baseline"/>
        <w:rPr>
          <w:rFonts w:ascii="Segoe UI" w:eastAsia="Times New Roman" w:hAnsi="Segoe UI" w:cs="Segoe UI"/>
          <w:sz w:val="18"/>
          <w:szCs w:val="18"/>
        </w:rPr>
      </w:pPr>
      <w:r w:rsidRPr="005E4E7F">
        <w:rPr>
          <w:rFonts w:ascii="Calibri" w:eastAsia="Times New Roman" w:hAnsi="Calibri" w:cs="Calibri"/>
          <w:color w:val="000000"/>
        </w:rPr>
        <w:t>INS 1: The Sponsoring Organization regularly interrogates and updates the program of study to ensure content and practices throughout the program that:  </w:t>
      </w:r>
    </w:p>
    <w:p w14:paraId="00BFDF1A" w14:textId="77777777" w:rsidR="005E4E7F" w:rsidRPr="005E4E7F" w:rsidRDefault="005E4E7F" w:rsidP="000E41AB">
      <w:pPr>
        <w:numPr>
          <w:ilvl w:val="0"/>
          <w:numId w:val="86"/>
        </w:numPr>
        <w:spacing w:line="240" w:lineRule="auto"/>
        <w:ind w:left="1800" w:firstLine="0"/>
        <w:textAlignment w:val="baseline"/>
        <w:rPr>
          <w:rFonts w:ascii="Calibri" w:eastAsia="Times New Roman" w:hAnsi="Calibri" w:cs="Calibri"/>
        </w:rPr>
      </w:pPr>
      <w:r w:rsidRPr="005E4E7F">
        <w:rPr>
          <w:rFonts w:ascii="Calibri" w:eastAsia="Times New Roman" w:hAnsi="Calibri" w:cs="Calibri"/>
          <w:color w:val="000000"/>
        </w:rPr>
        <w:t>Prepare anti-racist and culturally and linguistically sustaining educators; and </w:t>
      </w:r>
    </w:p>
    <w:p w14:paraId="5BDEA8A8" w14:textId="77777777" w:rsidR="005E4E7F" w:rsidRPr="007125CB" w:rsidRDefault="005E4E7F" w:rsidP="000E41AB">
      <w:pPr>
        <w:numPr>
          <w:ilvl w:val="0"/>
          <w:numId w:val="86"/>
        </w:numPr>
        <w:spacing w:line="240" w:lineRule="auto"/>
        <w:ind w:left="1800" w:firstLine="0"/>
        <w:textAlignment w:val="baseline"/>
        <w:rPr>
          <w:rFonts w:ascii="Calibri" w:eastAsia="Times New Roman" w:hAnsi="Calibri" w:cs="Calibri"/>
        </w:rPr>
      </w:pPr>
      <w:r w:rsidRPr="005E4E7F">
        <w:rPr>
          <w:rFonts w:ascii="Calibri" w:eastAsia="Times New Roman" w:hAnsi="Calibri" w:cs="Calibri"/>
          <w:color w:val="000000"/>
        </w:rPr>
        <w:t>Align with current evidence-based practices.   </w:t>
      </w:r>
    </w:p>
    <w:p w14:paraId="4AF9C68B" w14:textId="77777777" w:rsidR="007125CB" w:rsidRPr="005E4E7F" w:rsidRDefault="007125CB" w:rsidP="007125CB">
      <w:pPr>
        <w:spacing w:line="240" w:lineRule="auto"/>
        <w:ind w:left="1800"/>
        <w:textAlignment w:val="baseline"/>
        <w:rPr>
          <w:rFonts w:ascii="Calibri" w:eastAsia="Times New Roman" w:hAnsi="Calibri" w:cs="Calibri"/>
        </w:rPr>
      </w:pPr>
    </w:p>
    <w:p w14:paraId="07F9286D" w14:textId="571F75C4" w:rsidR="005E4E7F" w:rsidRDefault="005E4E7F" w:rsidP="005E4E7F">
      <w:pPr>
        <w:spacing w:line="240" w:lineRule="auto"/>
        <w:ind w:left="720"/>
        <w:textAlignment w:val="baseline"/>
        <w:rPr>
          <w:rFonts w:ascii="Calibri" w:eastAsia="Times New Roman" w:hAnsi="Calibri" w:cs="Calibri"/>
          <w:color w:val="333333"/>
        </w:rPr>
      </w:pPr>
      <w:r w:rsidRPr="005E4E7F">
        <w:rPr>
          <w:rFonts w:ascii="Calibri" w:eastAsia="Times New Roman" w:hAnsi="Calibri" w:cs="Calibri"/>
          <w:color w:val="000000"/>
        </w:rPr>
        <w:lastRenderedPageBreak/>
        <w:t>INS 2: The program(s) of study ensures all candidates (including candidates from all races, identity groups, and backgrounds) develop fluent content knowledge (a</w:t>
      </w:r>
      <w:r w:rsidRPr="005E4E7F">
        <w:rPr>
          <w:rFonts w:ascii="Calibri" w:eastAsia="Times New Roman" w:hAnsi="Calibri" w:cs="Calibri"/>
          <w:color w:val="333333"/>
        </w:rPr>
        <w:t>s articulated in the</w:t>
      </w:r>
      <w:hyperlink r:id="rId72" w:tgtFrame="_blank" w:history="1">
        <w:r w:rsidRPr="005E4E7F">
          <w:rPr>
            <w:rFonts w:ascii="Calibri" w:eastAsia="Times New Roman" w:hAnsi="Calibri" w:cs="Calibri"/>
            <w:color w:val="0563C1"/>
            <w:u w:val="single"/>
          </w:rPr>
          <w:t xml:space="preserve"> </w:t>
        </w:r>
        <w:r w:rsidRPr="00437A8B">
          <w:rPr>
            <w:rFonts w:ascii="Calibri" w:eastAsia="Times New Roman" w:hAnsi="Calibri" w:cs="Calibri"/>
            <w:color w:val="0000FF"/>
            <w:u w:val="single"/>
          </w:rPr>
          <w:t>Subject Matter Knowledge Guidelines</w:t>
        </w:r>
      </w:hyperlink>
      <w:r w:rsidRPr="005E4E7F">
        <w:rPr>
          <w:rFonts w:ascii="Calibri" w:eastAsia="Times New Roman" w:hAnsi="Calibri" w:cs="Calibri"/>
          <w:color w:val="000000"/>
        </w:rPr>
        <w:t>) to be ready for full responsibility in the licensure role.  </w:t>
      </w:r>
      <w:r w:rsidRPr="005E4E7F">
        <w:rPr>
          <w:rFonts w:ascii="Calibri" w:eastAsia="Times New Roman" w:hAnsi="Calibri" w:cs="Calibri"/>
          <w:color w:val="000000"/>
        </w:rPr>
        <w:br/>
      </w:r>
      <w:r w:rsidRPr="005E4E7F">
        <w:rPr>
          <w:rFonts w:ascii="Calibri" w:eastAsia="Times New Roman" w:hAnsi="Calibri" w:cs="Calibri"/>
        </w:rPr>
        <w:t> </w:t>
      </w:r>
      <w:r w:rsidRPr="005E4E7F">
        <w:rPr>
          <w:rFonts w:ascii="Calibri" w:eastAsia="Times New Roman" w:hAnsi="Calibri" w:cs="Calibri"/>
        </w:rPr>
        <w:br/>
      </w:r>
      <w:r w:rsidRPr="005E4E7F">
        <w:rPr>
          <w:rFonts w:ascii="Calibri" w:eastAsia="Times New Roman" w:hAnsi="Calibri" w:cs="Calibri"/>
          <w:color w:val="333333"/>
        </w:rPr>
        <w:t>INS 3: n/a </w:t>
      </w:r>
    </w:p>
    <w:p w14:paraId="77F28433" w14:textId="77777777" w:rsidR="007125CB" w:rsidRPr="005E4E7F" w:rsidRDefault="007125CB" w:rsidP="005E4E7F">
      <w:pPr>
        <w:spacing w:line="240" w:lineRule="auto"/>
        <w:ind w:left="720"/>
        <w:textAlignment w:val="baseline"/>
        <w:rPr>
          <w:rFonts w:ascii="Segoe UI" w:eastAsia="Times New Roman" w:hAnsi="Segoe UI" w:cs="Segoe UI"/>
          <w:sz w:val="18"/>
          <w:szCs w:val="18"/>
        </w:rPr>
      </w:pPr>
    </w:p>
    <w:p w14:paraId="7C90920B" w14:textId="77777777" w:rsidR="005E4E7F" w:rsidRDefault="005E4E7F" w:rsidP="005E4E7F">
      <w:pPr>
        <w:spacing w:line="240" w:lineRule="auto"/>
        <w:ind w:left="720"/>
        <w:textAlignment w:val="baseline"/>
        <w:rPr>
          <w:rFonts w:ascii="Calibri" w:eastAsia="Times New Roman" w:hAnsi="Calibri" w:cs="Calibri"/>
          <w:color w:val="000000"/>
        </w:rPr>
      </w:pPr>
      <w:r w:rsidRPr="005E4E7F">
        <w:rPr>
          <w:rFonts w:ascii="Calibri" w:eastAsia="Times New Roman" w:hAnsi="Calibri" w:cs="Calibri"/>
          <w:color w:val="000000"/>
        </w:rPr>
        <w:t xml:space="preserve">INS 4: </w:t>
      </w:r>
      <w:r w:rsidRPr="00CD718A">
        <w:rPr>
          <w:rFonts w:ascii="Calibri" w:eastAsia="Times New Roman" w:hAnsi="Calibri" w:cs="Calibri"/>
          <w:color w:val="000000"/>
        </w:rPr>
        <w:t xml:space="preserve">The program(s) of study ensures that all candidates develop the curriculum literacy skills </w:t>
      </w:r>
      <w:r w:rsidRPr="00437A8B">
        <w:rPr>
          <w:rFonts w:ascii="Calibri" w:eastAsia="Times New Roman" w:hAnsi="Calibri" w:cs="Calibri"/>
          <w:color w:val="000000"/>
        </w:rPr>
        <w:t xml:space="preserve">(as articulated in </w:t>
      </w:r>
      <w:r w:rsidRPr="00437A8B">
        <w:rPr>
          <w:rFonts w:ascii="Calibri" w:eastAsia="Times New Roman" w:hAnsi="Calibri" w:cs="Calibri"/>
          <w:color w:val="0000FF"/>
          <w:u w:val="single"/>
        </w:rPr>
        <w:t>Appendix D: Curricular Literacy</w:t>
      </w:r>
      <w:r w:rsidRPr="00437A8B">
        <w:rPr>
          <w:rFonts w:ascii="Calibri" w:eastAsia="Times New Roman" w:hAnsi="Calibri" w:cs="Calibri"/>
          <w:color w:val="000000"/>
        </w:rPr>
        <w:t xml:space="preserve">) </w:t>
      </w:r>
      <w:r w:rsidRPr="00CD718A">
        <w:rPr>
          <w:rFonts w:ascii="Calibri" w:eastAsia="Times New Roman" w:hAnsi="Calibri" w:cs="Calibri"/>
          <w:color w:val="000000"/>
        </w:rPr>
        <w:t xml:space="preserve">to be ready for full responsibility in the </w:t>
      </w:r>
      <w:r w:rsidRPr="00090190">
        <w:rPr>
          <w:rFonts w:ascii="Calibri" w:eastAsia="Times New Roman" w:hAnsi="Calibri" w:cs="Calibri"/>
          <w:color w:val="000000"/>
        </w:rPr>
        <w:t>licensure role through opportunities to critically analyze the quality of and skillfully use curricular materials, including leveraging known high-quality curricular materials when available.</w:t>
      </w:r>
      <w:r w:rsidRPr="005E4E7F">
        <w:rPr>
          <w:rFonts w:ascii="Calibri" w:eastAsia="Times New Roman" w:hAnsi="Calibri" w:cs="Calibri"/>
          <w:color w:val="000000"/>
        </w:rPr>
        <w:t> </w:t>
      </w:r>
    </w:p>
    <w:p w14:paraId="37AD065F" w14:textId="77777777" w:rsidR="007125CB" w:rsidRPr="005E4E7F" w:rsidRDefault="007125CB" w:rsidP="005E4E7F">
      <w:pPr>
        <w:spacing w:line="240" w:lineRule="auto"/>
        <w:ind w:left="720"/>
        <w:textAlignment w:val="baseline"/>
        <w:rPr>
          <w:rFonts w:ascii="Segoe UI" w:eastAsia="Times New Roman" w:hAnsi="Segoe UI" w:cs="Segoe UI"/>
          <w:sz w:val="18"/>
          <w:szCs w:val="18"/>
        </w:rPr>
      </w:pPr>
    </w:p>
    <w:p w14:paraId="513FB5E4" w14:textId="77777777" w:rsidR="005E4E7F" w:rsidRDefault="005E4E7F" w:rsidP="005E4E7F">
      <w:pPr>
        <w:spacing w:line="240" w:lineRule="auto"/>
        <w:ind w:left="720"/>
        <w:textAlignment w:val="baseline"/>
        <w:rPr>
          <w:rFonts w:ascii="Calibri" w:eastAsia="Times New Roman" w:hAnsi="Calibri" w:cs="Calibri"/>
          <w:color w:val="000000"/>
        </w:rPr>
      </w:pPr>
      <w:r w:rsidRPr="005E4E7F">
        <w:rPr>
          <w:rFonts w:ascii="Calibri" w:eastAsia="Times New Roman" w:hAnsi="Calibri" w:cs="Calibri"/>
          <w:color w:val="000000"/>
        </w:rPr>
        <w:t>INS 5: The program(s) of study is intentionally designed such that sequencing and connections between courses build candidates’ readiness for full responsibility in the licensure role. </w:t>
      </w:r>
    </w:p>
    <w:p w14:paraId="1CEEA0F8" w14:textId="77777777" w:rsidR="004D25AD" w:rsidRPr="005E4E7F" w:rsidRDefault="004D25AD" w:rsidP="005E4E7F">
      <w:pPr>
        <w:spacing w:line="240" w:lineRule="auto"/>
        <w:ind w:left="720"/>
        <w:textAlignment w:val="baseline"/>
        <w:rPr>
          <w:rFonts w:ascii="Segoe UI" w:eastAsia="Times New Roman" w:hAnsi="Segoe UI" w:cs="Segoe UI"/>
          <w:sz w:val="18"/>
          <w:szCs w:val="18"/>
        </w:rPr>
      </w:pPr>
    </w:p>
    <w:p w14:paraId="1431DC73" w14:textId="2C213FAC" w:rsidR="005E4E7F" w:rsidRDefault="005E4E7F" w:rsidP="005E4E7F">
      <w:pPr>
        <w:spacing w:line="240" w:lineRule="auto"/>
        <w:ind w:left="720"/>
        <w:textAlignment w:val="baseline"/>
        <w:rPr>
          <w:rFonts w:ascii="Calibri" w:eastAsia="Times New Roman" w:hAnsi="Calibri" w:cs="Calibri"/>
          <w:color w:val="000000"/>
        </w:rPr>
      </w:pPr>
      <w:r w:rsidRPr="005E4E7F">
        <w:rPr>
          <w:rFonts w:ascii="Calibri" w:eastAsia="Times New Roman" w:hAnsi="Calibri" w:cs="Calibri"/>
          <w:color w:val="000000"/>
        </w:rPr>
        <w:t>INS 6: The program(s) of study embeds field-based experiences such that candidates have opportunities to observe</w:t>
      </w:r>
      <w:r w:rsidR="00E10254">
        <w:rPr>
          <w:rFonts w:ascii="Calibri" w:eastAsia="Times New Roman" w:hAnsi="Calibri" w:cs="Calibri"/>
          <w:color w:val="000000"/>
        </w:rPr>
        <w:t>,</w:t>
      </w:r>
      <w:r w:rsidRPr="005E4E7F">
        <w:rPr>
          <w:rFonts w:ascii="Calibri" w:eastAsia="Times New Roman" w:hAnsi="Calibri" w:cs="Calibri"/>
          <w:color w:val="000000"/>
        </w:rPr>
        <w:t xml:space="preserve"> apply</w:t>
      </w:r>
      <w:r w:rsidR="00E10254">
        <w:rPr>
          <w:rFonts w:ascii="Calibri" w:eastAsia="Times New Roman" w:hAnsi="Calibri" w:cs="Calibri"/>
          <w:color w:val="000000"/>
        </w:rPr>
        <w:t>, and reflect on</w:t>
      </w:r>
      <w:r w:rsidRPr="005E4E7F">
        <w:rPr>
          <w:rFonts w:ascii="Calibri" w:eastAsia="Times New Roman" w:hAnsi="Calibri" w:cs="Calibri"/>
          <w:color w:val="000000"/>
        </w:rPr>
        <w:t xml:space="preserve"> theories in practice, including anti-racist and culturally and linguistically sustaining pedagogy. </w:t>
      </w:r>
    </w:p>
    <w:p w14:paraId="27EE0BAD" w14:textId="77777777" w:rsidR="004D25AD" w:rsidRPr="005E4E7F" w:rsidRDefault="004D25AD" w:rsidP="005E4E7F">
      <w:pPr>
        <w:spacing w:line="240" w:lineRule="auto"/>
        <w:ind w:left="720"/>
        <w:textAlignment w:val="baseline"/>
        <w:rPr>
          <w:rFonts w:ascii="Segoe UI" w:eastAsia="Times New Roman" w:hAnsi="Segoe UI" w:cs="Segoe UI"/>
          <w:sz w:val="18"/>
          <w:szCs w:val="18"/>
        </w:rPr>
      </w:pPr>
    </w:p>
    <w:p w14:paraId="57E2DB7A" w14:textId="77777777" w:rsidR="005E4E7F" w:rsidRPr="005E4E7F" w:rsidRDefault="005E4E7F" w:rsidP="005E4E7F">
      <w:pPr>
        <w:spacing w:line="240" w:lineRule="auto"/>
        <w:textAlignment w:val="baseline"/>
        <w:rPr>
          <w:rFonts w:ascii="Segoe UI" w:eastAsia="Times New Roman" w:hAnsi="Segoe UI" w:cs="Segoe UI"/>
          <w:sz w:val="18"/>
          <w:szCs w:val="18"/>
        </w:rPr>
      </w:pPr>
      <w:r w:rsidRPr="005E4E7F">
        <w:rPr>
          <w:rFonts w:ascii="Calibri" w:eastAsia="Times New Roman" w:hAnsi="Calibri" w:cs="Calibri"/>
          <w:b/>
          <w:bCs/>
          <w:i/>
          <w:iCs/>
          <w:color w:val="000000"/>
        </w:rPr>
        <w:t>School Support Personnel Programs:</w:t>
      </w:r>
      <w:r w:rsidRPr="005E4E7F">
        <w:rPr>
          <w:rFonts w:ascii="Calibri" w:eastAsia="Times New Roman" w:hAnsi="Calibri" w:cs="Calibri"/>
          <w:color w:val="000000"/>
        </w:rPr>
        <w:t> </w:t>
      </w:r>
    </w:p>
    <w:p w14:paraId="350ABDE6" w14:textId="77777777" w:rsidR="005E4E7F" w:rsidRPr="005E4E7F" w:rsidRDefault="005E4E7F" w:rsidP="005E4E7F">
      <w:pPr>
        <w:spacing w:line="240" w:lineRule="auto"/>
        <w:ind w:left="720"/>
        <w:textAlignment w:val="baseline"/>
        <w:rPr>
          <w:rFonts w:ascii="Segoe UI" w:eastAsia="Times New Roman" w:hAnsi="Segoe UI" w:cs="Segoe UI"/>
          <w:sz w:val="18"/>
          <w:szCs w:val="18"/>
        </w:rPr>
      </w:pPr>
      <w:r w:rsidRPr="005E4E7F">
        <w:rPr>
          <w:rFonts w:ascii="Calibri" w:eastAsia="Times New Roman" w:hAnsi="Calibri" w:cs="Calibri"/>
          <w:color w:val="000000"/>
        </w:rPr>
        <w:t>INS 1: The Sponsoring Organization regularly interrogates and updates the program of study to ensure content and practices throughout the program that:  </w:t>
      </w:r>
    </w:p>
    <w:p w14:paraId="7823ED94" w14:textId="77777777" w:rsidR="005E4E7F" w:rsidRPr="005E4E7F" w:rsidRDefault="005E4E7F" w:rsidP="000E41AB">
      <w:pPr>
        <w:numPr>
          <w:ilvl w:val="0"/>
          <w:numId w:val="87"/>
        </w:numPr>
        <w:spacing w:line="240" w:lineRule="auto"/>
        <w:ind w:left="1800" w:firstLine="0"/>
        <w:textAlignment w:val="baseline"/>
        <w:rPr>
          <w:rFonts w:ascii="Calibri" w:eastAsia="Times New Roman" w:hAnsi="Calibri" w:cs="Calibri"/>
        </w:rPr>
      </w:pPr>
      <w:r w:rsidRPr="005E4E7F">
        <w:rPr>
          <w:rFonts w:ascii="Calibri" w:eastAsia="Times New Roman" w:hAnsi="Calibri" w:cs="Calibri"/>
          <w:color w:val="000000"/>
        </w:rPr>
        <w:t>Prepare anti-racist and culturally and linguistically sustaining educators; and </w:t>
      </w:r>
    </w:p>
    <w:p w14:paraId="155E3C7B" w14:textId="77777777" w:rsidR="005E4E7F" w:rsidRPr="004D25AD" w:rsidRDefault="005E4E7F" w:rsidP="000E41AB">
      <w:pPr>
        <w:numPr>
          <w:ilvl w:val="0"/>
          <w:numId w:val="88"/>
        </w:numPr>
        <w:spacing w:line="240" w:lineRule="auto"/>
        <w:ind w:left="1800" w:firstLine="0"/>
        <w:textAlignment w:val="baseline"/>
        <w:rPr>
          <w:rFonts w:ascii="Calibri" w:eastAsia="Times New Roman" w:hAnsi="Calibri" w:cs="Calibri"/>
        </w:rPr>
      </w:pPr>
      <w:r w:rsidRPr="005E4E7F">
        <w:rPr>
          <w:rFonts w:ascii="Calibri" w:eastAsia="Times New Roman" w:hAnsi="Calibri" w:cs="Calibri"/>
          <w:color w:val="000000"/>
        </w:rPr>
        <w:t>Align with current evidence-based practices.   </w:t>
      </w:r>
    </w:p>
    <w:p w14:paraId="04BE1899" w14:textId="77777777" w:rsidR="004D25AD" w:rsidRPr="005E4E7F" w:rsidRDefault="004D25AD" w:rsidP="000E41AB">
      <w:pPr>
        <w:numPr>
          <w:ilvl w:val="0"/>
          <w:numId w:val="88"/>
        </w:numPr>
        <w:spacing w:line="240" w:lineRule="auto"/>
        <w:ind w:left="1800" w:firstLine="0"/>
        <w:textAlignment w:val="baseline"/>
        <w:rPr>
          <w:rFonts w:ascii="Calibri" w:eastAsia="Times New Roman" w:hAnsi="Calibri" w:cs="Calibri"/>
        </w:rPr>
      </w:pPr>
    </w:p>
    <w:p w14:paraId="5B42FBF2" w14:textId="6E5F6252" w:rsidR="005E4E7F" w:rsidRDefault="005E4E7F" w:rsidP="005E4E7F">
      <w:pPr>
        <w:spacing w:line="240" w:lineRule="auto"/>
        <w:ind w:left="720"/>
        <w:textAlignment w:val="baseline"/>
        <w:rPr>
          <w:rFonts w:ascii="Calibri" w:eastAsia="Times New Roman" w:hAnsi="Calibri" w:cs="Calibri"/>
          <w:color w:val="333333"/>
        </w:rPr>
      </w:pPr>
      <w:r w:rsidRPr="005E4E7F">
        <w:rPr>
          <w:rFonts w:ascii="Calibri" w:eastAsia="Times New Roman" w:hAnsi="Calibri" w:cs="Calibri"/>
          <w:color w:val="000000"/>
        </w:rPr>
        <w:t>INS 2: The program(s) of study ensures all candidates (including candidates from all races, identity groups, and backgrounds) develop fluent content knowledge (a</w:t>
      </w:r>
      <w:r w:rsidRPr="005E4E7F">
        <w:rPr>
          <w:rFonts w:ascii="Calibri" w:eastAsia="Times New Roman" w:hAnsi="Calibri" w:cs="Calibri"/>
          <w:color w:val="333333"/>
        </w:rPr>
        <w:t>s articulated in the</w:t>
      </w:r>
      <w:hyperlink r:id="rId73" w:tgtFrame="_blank" w:history="1">
        <w:r w:rsidRPr="005E4E7F">
          <w:rPr>
            <w:rFonts w:ascii="Calibri" w:eastAsia="Times New Roman" w:hAnsi="Calibri" w:cs="Calibri"/>
            <w:color w:val="0563C1"/>
            <w:u w:val="single"/>
          </w:rPr>
          <w:t xml:space="preserve"> </w:t>
        </w:r>
        <w:r w:rsidRPr="00437A8B">
          <w:rPr>
            <w:rFonts w:ascii="Calibri" w:eastAsia="Times New Roman" w:hAnsi="Calibri" w:cs="Calibri"/>
            <w:color w:val="0000FF"/>
            <w:u w:val="single"/>
          </w:rPr>
          <w:t>Subject Matter Knowledge Guidelines</w:t>
        </w:r>
      </w:hyperlink>
      <w:r w:rsidRPr="005E4E7F">
        <w:rPr>
          <w:rFonts w:ascii="Calibri" w:eastAsia="Times New Roman" w:hAnsi="Calibri" w:cs="Calibri"/>
          <w:color w:val="000000"/>
        </w:rPr>
        <w:t>) to be ready for full responsibility in the licensure role.  </w:t>
      </w:r>
      <w:r w:rsidRPr="005E4E7F">
        <w:rPr>
          <w:rFonts w:ascii="Calibri" w:eastAsia="Times New Roman" w:hAnsi="Calibri" w:cs="Calibri"/>
          <w:color w:val="000000"/>
        </w:rPr>
        <w:br/>
      </w:r>
      <w:r w:rsidRPr="005E4E7F">
        <w:rPr>
          <w:rFonts w:ascii="Calibri" w:eastAsia="Times New Roman" w:hAnsi="Calibri" w:cs="Calibri"/>
        </w:rPr>
        <w:t> </w:t>
      </w:r>
      <w:r w:rsidRPr="005E4E7F">
        <w:rPr>
          <w:rFonts w:ascii="Calibri" w:eastAsia="Times New Roman" w:hAnsi="Calibri" w:cs="Calibri"/>
        </w:rPr>
        <w:br/>
      </w:r>
      <w:r w:rsidRPr="005E4E7F">
        <w:rPr>
          <w:rFonts w:ascii="Calibri" w:eastAsia="Times New Roman" w:hAnsi="Calibri" w:cs="Calibri"/>
          <w:color w:val="333333"/>
        </w:rPr>
        <w:t>INS 3: n/a </w:t>
      </w:r>
    </w:p>
    <w:p w14:paraId="3B4F5591" w14:textId="77777777" w:rsidR="004D25AD" w:rsidRPr="005E4E7F" w:rsidRDefault="004D25AD" w:rsidP="005E4E7F">
      <w:pPr>
        <w:spacing w:line="240" w:lineRule="auto"/>
        <w:ind w:left="720"/>
        <w:textAlignment w:val="baseline"/>
        <w:rPr>
          <w:rFonts w:ascii="Segoe UI" w:eastAsia="Times New Roman" w:hAnsi="Segoe UI" w:cs="Segoe UI"/>
          <w:sz w:val="18"/>
          <w:szCs w:val="18"/>
        </w:rPr>
      </w:pPr>
    </w:p>
    <w:p w14:paraId="33C854C5" w14:textId="77777777" w:rsidR="005E4E7F" w:rsidRDefault="005E4E7F" w:rsidP="005E4E7F">
      <w:pPr>
        <w:spacing w:line="240" w:lineRule="auto"/>
        <w:ind w:left="720"/>
        <w:textAlignment w:val="baseline"/>
        <w:rPr>
          <w:rFonts w:ascii="Calibri" w:eastAsia="Times New Roman" w:hAnsi="Calibri" w:cs="Calibri"/>
          <w:color w:val="000000"/>
        </w:rPr>
      </w:pPr>
      <w:r w:rsidRPr="005E4E7F">
        <w:rPr>
          <w:rFonts w:ascii="Calibri" w:eastAsia="Times New Roman" w:hAnsi="Calibri" w:cs="Calibri"/>
          <w:color w:val="000000"/>
        </w:rPr>
        <w:t>INS 4: n/a </w:t>
      </w:r>
    </w:p>
    <w:p w14:paraId="2811CAD9" w14:textId="77777777" w:rsidR="004D25AD" w:rsidRPr="005E4E7F" w:rsidRDefault="004D25AD" w:rsidP="005E4E7F">
      <w:pPr>
        <w:spacing w:line="240" w:lineRule="auto"/>
        <w:ind w:left="720"/>
        <w:textAlignment w:val="baseline"/>
        <w:rPr>
          <w:rFonts w:ascii="Segoe UI" w:eastAsia="Times New Roman" w:hAnsi="Segoe UI" w:cs="Segoe UI"/>
          <w:sz w:val="18"/>
          <w:szCs w:val="18"/>
        </w:rPr>
      </w:pPr>
    </w:p>
    <w:p w14:paraId="2768EBF3" w14:textId="77777777" w:rsidR="005E4E7F" w:rsidRDefault="005E4E7F" w:rsidP="005E4E7F">
      <w:pPr>
        <w:spacing w:line="240" w:lineRule="auto"/>
        <w:ind w:left="720"/>
        <w:textAlignment w:val="baseline"/>
        <w:rPr>
          <w:rFonts w:ascii="Calibri" w:eastAsia="Times New Roman" w:hAnsi="Calibri" w:cs="Calibri"/>
          <w:color w:val="000000"/>
        </w:rPr>
      </w:pPr>
      <w:r w:rsidRPr="005E4E7F">
        <w:rPr>
          <w:rFonts w:ascii="Calibri" w:eastAsia="Times New Roman" w:hAnsi="Calibri" w:cs="Calibri"/>
          <w:color w:val="000000"/>
        </w:rPr>
        <w:t>INS 5: The program(s) of study is intentionally designed such that sequencing and connections between courses build candidates’ readiness for full responsibility in the licensure role. </w:t>
      </w:r>
    </w:p>
    <w:p w14:paraId="0402DFEB" w14:textId="77777777" w:rsidR="004D25AD" w:rsidRPr="005E4E7F" w:rsidRDefault="004D25AD" w:rsidP="005E4E7F">
      <w:pPr>
        <w:spacing w:line="240" w:lineRule="auto"/>
        <w:ind w:left="720"/>
        <w:textAlignment w:val="baseline"/>
        <w:rPr>
          <w:rFonts w:ascii="Segoe UI" w:eastAsia="Times New Roman" w:hAnsi="Segoe UI" w:cs="Segoe UI"/>
          <w:sz w:val="18"/>
          <w:szCs w:val="18"/>
        </w:rPr>
      </w:pPr>
    </w:p>
    <w:p w14:paraId="7F308FB5" w14:textId="3E5E00F4" w:rsidR="005E4E7F" w:rsidRDefault="005E4E7F" w:rsidP="005E4E7F">
      <w:pPr>
        <w:spacing w:line="240" w:lineRule="auto"/>
        <w:ind w:left="720"/>
        <w:textAlignment w:val="baseline"/>
        <w:rPr>
          <w:rFonts w:ascii="Calibri" w:eastAsia="Times New Roman" w:hAnsi="Calibri" w:cs="Calibri"/>
          <w:color w:val="000000"/>
        </w:rPr>
      </w:pPr>
      <w:r w:rsidRPr="005E4E7F">
        <w:rPr>
          <w:rFonts w:ascii="Calibri" w:eastAsia="Times New Roman" w:hAnsi="Calibri" w:cs="Calibri"/>
          <w:color w:val="000000"/>
        </w:rPr>
        <w:t>INS 6: The program(s) of study embeds field-based experiences such that candidates have opportunities to observe</w:t>
      </w:r>
      <w:r w:rsidR="00E10254">
        <w:rPr>
          <w:rFonts w:ascii="Calibri" w:eastAsia="Times New Roman" w:hAnsi="Calibri" w:cs="Calibri"/>
          <w:color w:val="000000"/>
        </w:rPr>
        <w:t>,</w:t>
      </w:r>
      <w:r w:rsidRPr="005E4E7F">
        <w:rPr>
          <w:rFonts w:ascii="Calibri" w:eastAsia="Times New Roman" w:hAnsi="Calibri" w:cs="Calibri"/>
          <w:color w:val="000000"/>
        </w:rPr>
        <w:t xml:space="preserve"> apply</w:t>
      </w:r>
      <w:r w:rsidR="00E10254">
        <w:rPr>
          <w:rFonts w:ascii="Calibri" w:eastAsia="Times New Roman" w:hAnsi="Calibri" w:cs="Calibri"/>
          <w:color w:val="000000"/>
        </w:rPr>
        <w:t>, and reflect on</w:t>
      </w:r>
      <w:r w:rsidRPr="005E4E7F">
        <w:rPr>
          <w:rFonts w:ascii="Calibri" w:eastAsia="Times New Roman" w:hAnsi="Calibri" w:cs="Calibri"/>
          <w:color w:val="000000"/>
        </w:rPr>
        <w:t xml:space="preserve"> theories in practice, including anti-racist and culturally and linguistically sustaining practices. </w:t>
      </w:r>
    </w:p>
    <w:p w14:paraId="40B392CB" w14:textId="77777777" w:rsidR="004D25AD" w:rsidRPr="005E4E7F" w:rsidRDefault="004D25AD" w:rsidP="005E4E7F">
      <w:pPr>
        <w:spacing w:line="240" w:lineRule="auto"/>
        <w:ind w:left="720"/>
        <w:textAlignment w:val="baseline"/>
        <w:rPr>
          <w:rFonts w:ascii="Segoe UI" w:eastAsia="Times New Roman" w:hAnsi="Segoe UI" w:cs="Segoe UI"/>
          <w:sz w:val="18"/>
          <w:szCs w:val="18"/>
        </w:rPr>
      </w:pPr>
    </w:p>
    <w:p w14:paraId="05060912" w14:textId="77777777" w:rsidR="005E4E7F" w:rsidRPr="005E4E7F" w:rsidRDefault="005E4E7F" w:rsidP="005E4E7F">
      <w:pPr>
        <w:spacing w:line="240" w:lineRule="auto"/>
        <w:textAlignment w:val="baseline"/>
        <w:rPr>
          <w:rFonts w:ascii="Segoe UI" w:eastAsia="Times New Roman" w:hAnsi="Segoe UI" w:cs="Segoe UI"/>
          <w:sz w:val="18"/>
          <w:szCs w:val="18"/>
        </w:rPr>
      </w:pPr>
      <w:r w:rsidRPr="005E4E7F">
        <w:rPr>
          <w:rFonts w:ascii="Calibri" w:eastAsia="Times New Roman" w:hAnsi="Calibri" w:cs="Calibri"/>
          <w:b/>
          <w:bCs/>
          <w:i/>
          <w:iCs/>
          <w:color w:val="000000"/>
        </w:rPr>
        <w:t>Administrator Programs:</w:t>
      </w:r>
      <w:r w:rsidRPr="005E4E7F">
        <w:rPr>
          <w:rFonts w:ascii="Calibri" w:eastAsia="Times New Roman" w:hAnsi="Calibri" w:cs="Calibri"/>
          <w:color w:val="000000"/>
        </w:rPr>
        <w:t> </w:t>
      </w:r>
    </w:p>
    <w:p w14:paraId="5396A3D2" w14:textId="77777777" w:rsidR="005E4E7F" w:rsidRPr="005E4E7F" w:rsidRDefault="005E4E7F" w:rsidP="005E4E7F">
      <w:pPr>
        <w:spacing w:line="240" w:lineRule="auto"/>
        <w:ind w:left="720"/>
        <w:textAlignment w:val="baseline"/>
        <w:rPr>
          <w:rFonts w:ascii="Segoe UI" w:eastAsia="Times New Roman" w:hAnsi="Segoe UI" w:cs="Segoe UI"/>
          <w:sz w:val="18"/>
          <w:szCs w:val="18"/>
        </w:rPr>
      </w:pPr>
      <w:r w:rsidRPr="005E4E7F">
        <w:rPr>
          <w:rFonts w:ascii="Calibri" w:eastAsia="Times New Roman" w:hAnsi="Calibri" w:cs="Calibri"/>
          <w:color w:val="000000"/>
        </w:rPr>
        <w:t>INS 1: The Sponsoring Organization regularly interrogates and updates the program of study to ensure content and practices throughout the program that:  </w:t>
      </w:r>
    </w:p>
    <w:p w14:paraId="5517968A" w14:textId="77777777" w:rsidR="005E4E7F" w:rsidRPr="005E4E7F" w:rsidRDefault="005E4E7F" w:rsidP="000E41AB">
      <w:pPr>
        <w:numPr>
          <w:ilvl w:val="0"/>
          <w:numId w:val="89"/>
        </w:numPr>
        <w:spacing w:line="240" w:lineRule="auto"/>
        <w:ind w:left="1800" w:firstLine="0"/>
        <w:textAlignment w:val="baseline"/>
        <w:rPr>
          <w:rFonts w:ascii="Calibri" w:eastAsia="Times New Roman" w:hAnsi="Calibri" w:cs="Calibri"/>
        </w:rPr>
      </w:pPr>
      <w:r w:rsidRPr="005E4E7F">
        <w:rPr>
          <w:rFonts w:ascii="Calibri" w:eastAsia="Times New Roman" w:hAnsi="Calibri" w:cs="Calibri"/>
          <w:color w:val="000000"/>
        </w:rPr>
        <w:t>Strengthen candidates’ commitment to and use of anti-racist and culturally and linguistically sustaining leadership practices; and </w:t>
      </w:r>
    </w:p>
    <w:p w14:paraId="04F71184" w14:textId="77777777" w:rsidR="005E4E7F" w:rsidRPr="004D25AD" w:rsidRDefault="005E4E7F" w:rsidP="000E41AB">
      <w:pPr>
        <w:numPr>
          <w:ilvl w:val="0"/>
          <w:numId w:val="89"/>
        </w:numPr>
        <w:spacing w:line="240" w:lineRule="auto"/>
        <w:ind w:left="1800" w:firstLine="0"/>
        <w:textAlignment w:val="baseline"/>
        <w:rPr>
          <w:rFonts w:ascii="Calibri" w:eastAsia="Times New Roman" w:hAnsi="Calibri" w:cs="Calibri"/>
        </w:rPr>
      </w:pPr>
      <w:r w:rsidRPr="005E4E7F">
        <w:rPr>
          <w:rFonts w:ascii="Calibri" w:eastAsia="Times New Roman" w:hAnsi="Calibri" w:cs="Calibri"/>
          <w:color w:val="000000"/>
        </w:rPr>
        <w:t>Align with current evidence-based practices.   </w:t>
      </w:r>
    </w:p>
    <w:p w14:paraId="34AFF5DB" w14:textId="77777777" w:rsidR="004D25AD" w:rsidRPr="005E4E7F" w:rsidRDefault="004D25AD" w:rsidP="004D25AD">
      <w:pPr>
        <w:spacing w:line="240" w:lineRule="auto"/>
        <w:ind w:left="1800"/>
        <w:textAlignment w:val="baseline"/>
        <w:rPr>
          <w:rFonts w:ascii="Calibri" w:eastAsia="Times New Roman" w:hAnsi="Calibri" w:cs="Calibri"/>
        </w:rPr>
      </w:pPr>
    </w:p>
    <w:p w14:paraId="15679F37" w14:textId="54DF2F11" w:rsidR="005E4E7F" w:rsidRDefault="005E4E7F" w:rsidP="005E4E7F">
      <w:pPr>
        <w:spacing w:line="240" w:lineRule="auto"/>
        <w:ind w:left="720"/>
        <w:textAlignment w:val="baseline"/>
        <w:rPr>
          <w:rFonts w:ascii="Calibri" w:eastAsia="Times New Roman" w:hAnsi="Calibri" w:cs="Calibri"/>
          <w:color w:val="333333"/>
        </w:rPr>
      </w:pPr>
      <w:r w:rsidRPr="005E4E7F">
        <w:rPr>
          <w:rFonts w:ascii="Calibri" w:eastAsia="Times New Roman" w:hAnsi="Calibri" w:cs="Calibri"/>
          <w:color w:val="000000"/>
        </w:rPr>
        <w:lastRenderedPageBreak/>
        <w:t>INS 2: The program(s) of study ensures all candidates (including candidates from all races, identity groups, and backgrounds) develop fluent content knowledge (a</w:t>
      </w:r>
      <w:r w:rsidRPr="005E4E7F">
        <w:rPr>
          <w:rFonts w:ascii="Calibri" w:eastAsia="Times New Roman" w:hAnsi="Calibri" w:cs="Calibri"/>
          <w:color w:val="333333"/>
        </w:rPr>
        <w:t>s articulated in the</w:t>
      </w:r>
      <w:hyperlink r:id="rId74" w:tgtFrame="_blank" w:history="1">
        <w:r w:rsidRPr="005E4E7F">
          <w:rPr>
            <w:rFonts w:ascii="Calibri" w:eastAsia="Times New Roman" w:hAnsi="Calibri" w:cs="Calibri"/>
            <w:color w:val="0563C1"/>
            <w:u w:val="single"/>
          </w:rPr>
          <w:t xml:space="preserve"> </w:t>
        </w:r>
        <w:r w:rsidRPr="00437A8B">
          <w:rPr>
            <w:rFonts w:ascii="Calibri" w:eastAsia="Times New Roman" w:hAnsi="Calibri" w:cs="Calibri"/>
            <w:color w:val="0000FF"/>
            <w:u w:val="single"/>
          </w:rPr>
          <w:t>Subject Matter Knowledge Guidelines</w:t>
        </w:r>
      </w:hyperlink>
      <w:r w:rsidRPr="005E4E7F">
        <w:rPr>
          <w:rFonts w:ascii="Calibri" w:eastAsia="Times New Roman" w:hAnsi="Calibri" w:cs="Calibri"/>
          <w:color w:val="000000"/>
        </w:rPr>
        <w:t>) to be ready for full responsibility in the licensure role.  </w:t>
      </w:r>
      <w:r w:rsidRPr="005E4E7F">
        <w:rPr>
          <w:rFonts w:ascii="Calibri" w:eastAsia="Times New Roman" w:hAnsi="Calibri" w:cs="Calibri"/>
          <w:color w:val="000000"/>
        </w:rPr>
        <w:br/>
      </w:r>
      <w:r w:rsidRPr="005E4E7F">
        <w:rPr>
          <w:rFonts w:ascii="Calibri" w:eastAsia="Times New Roman" w:hAnsi="Calibri" w:cs="Calibri"/>
          <w:color w:val="333333"/>
        </w:rPr>
        <w:t>(</w:t>
      </w:r>
      <w:r w:rsidR="009810BE" w:rsidRPr="005E4E7F">
        <w:rPr>
          <w:rFonts w:ascii="Calibri" w:eastAsia="Times New Roman" w:hAnsi="Calibri" w:cs="Calibri"/>
          <w:color w:val="333333"/>
        </w:rPr>
        <w:t>Applicable</w:t>
      </w:r>
      <w:r w:rsidRPr="005E4E7F">
        <w:rPr>
          <w:rFonts w:ascii="Calibri" w:eastAsia="Times New Roman" w:hAnsi="Calibri" w:cs="Calibri"/>
          <w:color w:val="333333"/>
        </w:rPr>
        <w:t xml:space="preserve"> only for School Business Administrator programs) </w:t>
      </w:r>
    </w:p>
    <w:p w14:paraId="087CB5F5" w14:textId="77777777" w:rsidR="00E10254" w:rsidRPr="005E4E7F" w:rsidRDefault="00E10254" w:rsidP="005E4E7F">
      <w:pPr>
        <w:spacing w:line="240" w:lineRule="auto"/>
        <w:ind w:left="720"/>
        <w:textAlignment w:val="baseline"/>
        <w:rPr>
          <w:rFonts w:ascii="Segoe UI" w:eastAsia="Times New Roman" w:hAnsi="Segoe UI" w:cs="Segoe UI"/>
          <w:sz w:val="18"/>
          <w:szCs w:val="18"/>
        </w:rPr>
      </w:pPr>
    </w:p>
    <w:p w14:paraId="4353C58A" w14:textId="3F9C6138" w:rsidR="005E4E7F" w:rsidRDefault="005E4E7F" w:rsidP="005E4E7F">
      <w:pPr>
        <w:spacing w:line="240" w:lineRule="auto"/>
        <w:ind w:left="720"/>
        <w:textAlignment w:val="baseline"/>
        <w:rPr>
          <w:rFonts w:ascii="Calibri" w:eastAsia="Times New Roman" w:hAnsi="Calibri" w:cs="Calibri"/>
          <w:color w:val="000000"/>
        </w:rPr>
      </w:pPr>
      <w:r w:rsidRPr="005E4E7F">
        <w:rPr>
          <w:rFonts w:ascii="Calibri" w:eastAsia="Times New Roman" w:hAnsi="Calibri" w:cs="Calibri"/>
          <w:color w:val="000000"/>
        </w:rPr>
        <w:t>INS 3: The program(s) of study ensures that all candidates develop the leadership skills (as articulated in the</w:t>
      </w:r>
      <w:hyperlink r:id="rId75" w:tgtFrame="_blank" w:history="1">
        <w:r w:rsidRPr="00437A8B">
          <w:rPr>
            <w:rFonts w:ascii="Calibri" w:eastAsia="Times New Roman" w:hAnsi="Calibri" w:cs="Calibri"/>
            <w:color w:val="0000FF"/>
          </w:rPr>
          <w:t xml:space="preserve"> </w:t>
        </w:r>
        <w:r w:rsidRPr="00437A8B">
          <w:rPr>
            <w:rFonts w:ascii="Calibri" w:eastAsia="Times New Roman" w:hAnsi="Calibri" w:cs="Calibri"/>
            <w:color w:val="0000FF"/>
            <w:u w:val="single"/>
          </w:rPr>
          <w:t>Professional Standards and Indicators for Administrative Leaders</w:t>
        </w:r>
      </w:hyperlink>
      <w:r w:rsidRPr="00437A8B">
        <w:rPr>
          <w:rFonts w:ascii="Calibri" w:eastAsia="Times New Roman" w:hAnsi="Calibri" w:cs="Calibri"/>
          <w:color w:val="0000FF"/>
          <w:u w:val="single"/>
        </w:rPr>
        <w:t>hip</w:t>
      </w:r>
      <w:r w:rsidRPr="005E4E7F">
        <w:rPr>
          <w:rFonts w:ascii="Calibri" w:eastAsia="Times New Roman" w:hAnsi="Calibri" w:cs="Calibri"/>
          <w:color w:val="000000"/>
        </w:rPr>
        <w:t>) to be effective educators for all students (including students from all races, identity groups, and backgrounds) in the licensure role. </w:t>
      </w:r>
    </w:p>
    <w:p w14:paraId="16B07280" w14:textId="77777777" w:rsidR="00E10254" w:rsidRPr="005E4E7F" w:rsidRDefault="00E10254" w:rsidP="005E4E7F">
      <w:pPr>
        <w:spacing w:line="240" w:lineRule="auto"/>
        <w:ind w:left="720"/>
        <w:textAlignment w:val="baseline"/>
        <w:rPr>
          <w:rFonts w:ascii="Segoe UI" w:eastAsia="Times New Roman" w:hAnsi="Segoe UI" w:cs="Segoe UI"/>
          <w:sz w:val="18"/>
          <w:szCs w:val="18"/>
        </w:rPr>
      </w:pPr>
    </w:p>
    <w:p w14:paraId="7FCE20B0" w14:textId="77777777" w:rsidR="005E4E7F" w:rsidRDefault="005E4E7F" w:rsidP="005E4E7F">
      <w:pPr>
        <w:spacing w:line="240" w:lineRule="auto"/>
        <w:ind w:left="720"/>
        <w:textAlignment w:val="baseline"/>
        <w:rPr>
          <w:rFonts w:ascii="Calibri" w:eastAsia="Times New Roman" w:hAnsi="Calibri" w:cs="Calibri"/>
          <w:color w:val="000000"/>
        </w:rPr>
      </w:pPr>
      <w:r w:rsidRPr="005E4E7F">
        <w:rPr>
          <w:rFonts w:ascii="Calibri" w:eastAsia="Times New Roman" w:hAnsi="Calibri" w:cs="Calibri"/>
          <w:color w:val="000000"/>
        </w:rPr>
        <w:t xml:space="preserve">INS 4: The program(s) of study ensures that all candidates are prepared to provide educators with </w:t>
      </w:r>
      <w:r w:rsidRPr="005E4E7F">
        <w:rPr>
          <w:rFonts w:eastAsia="Times New Roman" w:cstheme="majorHAnsi"/>
          <w:color w:val="000000"/>
        </w:rPr>
        <w:t xml:space="preserve">the knowledge, skills, support, and conditions to develop curriculum literacy (as articulated in </w:t>
      </w:r>
      <w:r w:rsidRPr="00437A8B">
        <w:rPr>
          <w:rFonts w:eastAsia="Times New Roman" w:cstheme="majorHAnsi"/>
          <w:color w:val="0000FF"/>
          <w:u w:val="single"/>
        </w:rPr>
        <w:t>Appendix D: Curricular Literacy</w:t>
      </w:r>
      <w:r w:rsidRPr="005E4E7F">
        <w:rPr>
          <w:rFonts w:eastAsia="Times New Roman" w:cstheme="majorHAnsi"/>
          <w:color w:val="000000"/>
        </w:rPr>
        <w:t>), including leveraging known high-quality curricular materials when available.</w:t>
      </w:r>
      <w:r w:rsidRPr="005E4E7F">
        <w:rPr>
          <w:rFonts w:ascii="Calibri" w:eastAsia="Times New Roman" w:hAnsi="Calibri" w:cs="Calibri"/>
          <w:color w:val="000000"/>
        </w:rPr>
        <w:t> </w:t>
      </w:r>
    </w:p>
    <w:p w14:paraId="5339CEFE" w14:textId="77777777" w:rsidR="00E10254" w:rsidRPr="005E4E7F" w:rsidRDefault="00E10254" w:rsidP="005E4E7F">
      <w:pPr>
        <w:spacing w:line="240" w:lineRule="auto"/>
        <w:ind w:left="720"/>
        <w:textAlignment w:val="baseline"/>
        <w:rPr>
          <w:rFonts w:ascii="Segoe UI" w:eastAsia="Times New Roman" w:hAnsi="Segoe UI" w:cs="Segoe UI"/>
          <w:sz w:val="18"/>
          <w:szCs w:val="18"/>
        </w:rPr>
      </w:pPr>
    </w:p>
    <w:p w14:paraId="21C8ECCF" w14:textId="77777777" w:rsidR="005E4E7F" w:rsidRDefault="005E4E7F" w:rsidP="005E4E7F">
      <w:pPr>
        <w:spacing w:line="240" w:lineRule="auto"/>
        <w:ind w:left="720"/>
        <w:textAlignment w:val="baseline"/>
        <w:rPr>
          <w:rFonts w:ascii="Calibri" w:eastAsia="Times New Roman" w:hAnsi="Calibri" w:cs="Calibri"/>
          <w:color w:val="000000"/>
        </w:rPr>
      </w:pPr>
      <w:r w:rsidRPr="005E4E7F">
        <w:rPr>
          <w:rFonts w:ascii="Calibri" w:eastAsia="Times New Roman" w:hAnsi="Calibri" w:cs="Calibri"/>
          <w:color w:val="000000"/>
        </w:rPr>
        <w:t>INS 5: The program(s) of study is intentionally designed such that sequencing and connections between courses build candidates’ readiness for full responsibility in the licensure role. </w:t>
      </w:r>
    </w:p>
    <w:p w14:paraId="672E37BA" w14:textId="77777777" w:rsidR="00E10254" w:rsidRPr="005E4E7F" w:rsidRDefault="00E10254" w:rsidP="005E4E7F">
      <w:pPr>
        <w:spacing w:line="240" w:lineRule="auto"/>
        <w:ind w:left="720"/>
        <w:textAlignment w:val="baseline"/>
        <w:rPr>
          <w:rFonts w:ascii="Segoe UI" w:eastAsia="Times New Roman" w:hAnsi="Segoe UI" w:cs="Segoe UI"/>
          <w:sz w:val="18"/>
          <w:szCs w:val="18"/>
        </w:rPr>
      </w:pPr>
    </w:p>
    <w:p w14:paraId="34319831" w14:textId="7DF0E966" w:rsidR="005E4E7F" w:rsidRPr="005E4E7F" w:rsidRDefault="005E4E7F" w:rsidP="005E4E7F">
      <w:pPr>
        <w:spacing w:line="240" w:lineRule="auto"/>
        <w:ind w:left="720"/>
        <w:textAlignment w:val="baseline"/>
        <w:rPr>
          <w:rFonts w:ascii="Segoe UI" w:eastAsia="Times New Roman" w:hAnsi="Segoe UI" w:cs="Segoe UI"/>
          <w:sz w:val="18"/>
          <w:szCs w:val="18"/>
        </w:rPr>
      </w:pPr>
      <w:r w:rsidRPr="005E4E7F">
        <w:rPr>
          <w:rFonts w:ascii="Calibri" w:eastAsia="Times New Roman" w:hAnsi="Calibri" w:cs="Calibri"/>
          <w:color w:val="000000"/>
        </w:rPr>
        <w:t>INS 6: The program(s) of study embeds field-based experiences such that candidates have opportunities to observe</w:t>
      </w:r>
      <w:r w:rsidR="00E10254">
        <w:rPr>
          <w:rFonts w:ascii="Calibri" w:eastAsia="Times New Roman" w:hAnsi="Calibri" w:cs="Calibri"/>
          <w:color w:val="000000"/>
        </w:rPr>
        <w:t>,</w:t>
      </w:r>
      <w:r w:rsidRPr="005E4E7F">
        <w:rPr>
          <w:rFonts w:ascii="Calibri" w:eastAsia="Times New Roman" w:hAnsi="Calibri" w:cs="Calibri"/>
          <w:color w:val="000000"/>
        </w:rPr>
        <w:t xml:space="preserve"> apply</w:t>
      </w:r>
      <w:r w:rsidR="00E10254">
        <w:rPr>
          <w:rFonts w:ascii="Calibri" w:eastAsia="Times New Roman" w:hAnsi="Calibri" w:cs="Calibri"/>
          <w:color w:val="000000"/>
        </w:rPr>
        <w:t>, and reflect on</w:t>
      </w:r>
      <w:r w:rsidRPr="005E4E7F">
        <w:rPr>
          <w:rFonts w:ascii="Calibri" w:eastAsia="Times New Roman" w:hAnsi="Calibri" w:cs="Calibri"/>
          <w:color w:val="000000"/>
        </w:rPr>
        <w:t xml:space="preserve"> theories in practice, including anti-racist and culturally and linguistically sustaining leadership practices. </w:t>
      </w:r>
    </w:p>
    <w:p w14:paraId="6DA86537" w14:textId="77777777" w:rsidR="005E4E7F" w:rsidRPr="005E4E7F" w:rsidRDefault="005E4E7F" w:rsidP="005E4E7F">
      <w:pPr>
        <w:spacing w:line="240" w:lineRule="auto"/>
        <w:ind w:left="720"/>
        <w:textAlignment w:val="baseline"/>
        <w:rPr>
          <w:rFonts w:ascii="Segoe UI" w:eastAsia="Times New Roman" w:hAnsi="Segoe UI" w:cs="Segoe UI"/>
          <w:sz w:val="18"/>
          <w:szCs w:val="18"/>
        </w:rPr>
      </w:pPr>
      <w:r w:rsidRPr="005E4E7F">
        <w:rPr>
          <w:rFonts w:ascii="Calibri" w:eastAsia="Times New Roman" w:hAnsi="Calibri" w:cs="Calibri"/>
          <w:color w:val="000000"/>
        </w:rPr>
        <w:t> </w:t>
      </w:r>
    </w:p>
    <w:p w14:paraId="3E453600" w14:textId="7CDB7E3A" w:rsidR="005E4E7F" w:rsidRDefault="005E4E7F">
      <w:r>
        <w:br w:type="page"/>
      </w:r>
    </w:p>
    <w:p w14:paraId="60B77D52" w14:textId="35418204" w:rsidR="003A4391" w:rsidRPr="00174ECC" w:rsidRDefault="00235D7C">
      <w:pPr>
        <w:pStyle w:val="Heading1"/>
      </w:pPr>
      <w:bookmarkStart w:id="152" w:name="_Appendix_D:_Curriculum"/>
      <w:bookmarkStart w:id="153" w:name="_Toc125575651"/>
      <w:bookmarkEnd w:id="152"/>
      <w:r w:rsidRPr="00174ECC">
        <w:lastRenderedPageBreak/>
        <w:t>Appendix</w:t>
      </w:r>
      <w:r w:rsidR="00035E6A" w:rsidRPr="00174ECC">
        <w:t xml:space="preserve"> </w:t>
      </w:r>
      <w:r w:rsidRPr="00174ECC">
        <w:t>D</w:t>
      </w:r>
      <w:r w:rsidR="00035E6A" w:rsidRPr="00174ECC">
        <w:t>:</w:t>
      </w:r>
      <w:r w:rsidRPr="00174ECC">
        <w:t xml:space="preserve"> Curriculum Literacy</w:t>
      </w:r>
      <w:bookmarkEnd w:id="153"/>
    </w:p>
    <w:p w14:paraId="4F08E012" w14:textId="51B44262" w:rsidR="00235D7C" w:rsidRPr="004721E5" w:rsidRDefault="00235D7C" w:rsidP="004721E5">
      <w:pPr>
        <w:pStyle w:val="paragraph"/>
        <w:spacing w:before="0" w:beforeAutospacing="0" w:after="0" w:afterAutospacing="0" w:line="276" w:lineRule="auto"/>
        <w:textAlignment w:val="baseline"/>
        <w:rPr>
          <w:rFonts w:asciiTheme="majorHAnsi" w:hAnsiTheme="majorHAnsi" w:cstheme="majorBidi"/>
          <w:sz w:val="22"/>
          <w:szCs w:val="22"/>
        </w:rPr>
      </w:pPr>
      <w:r w:rsidRPr="5E5DEAB0">
        <w:rPr>
          <w:rFonts w:asciiTheme="majorHAnsi" w:hAnsiTheme="majorHAnsi" w:cstheme="majorBidi"/>
          <w:sz w:val="22"/>
          <w:szCs w:val="22"/>
        </w:rPr>
        <w:t xml:space="preserve">A growing body of research indicates that </w:t>
      </w:r>
      <w:hyperlink r:id="rId76">
        <w:r w:rsidR="51BFE4BB" w:rsidRPr="5E5DEAB0">
          <w:rPr>
            <w:rStyle w:val="Hyperlink"/>
            <w:rFonts w:asciiTheme="majorHAnsi" w:hAnsiTheme="majorHAnsi" w:cstheme="majorBidi"/>
            <w:sz w:val="22"/>
            <w:szCs w:val="22"/>
          </w:rPr>
          <w:t xml:space="preserve">curricular </w:t>
        </w:r>
        <w:r w:rsidR="51BFE4BB" w:rsidRPr="5E5DEAB0">
          <w:rPr>
            <w:rStyle w:val="Hyperlink"/>
            <w:rFonts w:asciiTheme="majorHAnsi" w:hAnsiTheme="majorHAnsi" w:cstheme="majorBidi"/>
            <w:sz w:val="22"/>
            <w:szCs w:val="22"/>
            <w:lang w:val="en"/>
          </w:rPr>
          <w:t>materials</w:t>
        </w:r>
      </w:hyperlink>
      <w:r w:rsidRPr="5E5DEAB0">
        <w:rPr>
          <w:rStyle w:val="normaltextrun"/>
          <w:rFonts w:asciiTheme="majorHAnsi" w:hAnsiTheme="majorHAnsi" w:cstheme="majorBidi"/>
          <w:sz w:val="22"/>
          <w:szCs w:val="22"/>
          <w:lang w:val="en"/>
        </w:rPr>
        <w:t xml:space="preserve"> make a difference in student outcomes and can have a significant impact on ensuring educational equity. High</w:t>
      </w:r>
      <w:r w:rsidR="710586E8" w:rsidRPr="5E5DEAB0">
        <w:rPr>
          <w:rStyle w:val="normaltextrun"/>
          <w:rFonts w:asciiTheme="majorHAnsi" w:hAnsiTheme="majorHAnsi" w:cstheme="majorBidi"/>
          <w:sz w:val="22"/>
          <w:szCs w:val="22"/>
          <w:lang w:val="en"/>
        </w:rPr>
        <w:t>-</w:t>
      </w:r>
      <w:r w:rsidRPr="5E5DEAB0">
        <w:rPr>
          <w:rStyle w:val="normaltextrun"/>
          <w:rFonts w:asciiTheme="majorHAnsi" w:hAnsiTheme="majorHAnsi" w:cstheme="majorBidi"/>
          <w:sz w:val="22"/>
          <w:szCs w:val="22"/>
          <w:lang w:val="en"/>
        </w:rPr>
        <w:t>quality, better-aligned curriculum can prompt improvement in student outcomes that are:</w:t>
      </w:r>
      <w:r w:rsidRPr="5E5DEAB0">
        <w:rPr>
          <w:rStyle w:val="eop"/>
          <w:rFonts w:asciiTheme="majorHAnsi" w:hAnsiTheme="majorHAnsi" w:cstheme="majorBidi"/>
          <w:sz w:val="22"/>
          <w:szCs w:val="22"/>
        </w:rPr>
        <w:t> </w:t>
      </w:r>
    </w:p>
    <w:p w14:paraId="2288EC15" w14:textId="77777777" w:rsidR="00235D7C" w:rsidRPr="00CD718A" w:rsidRDefault="00235D7C" w:rsidP="004721E5">
      <w:pPr>
        <w:pStyle w:val="paragraph"/>
        <w:numPr>
          <w:ilvl w:val="0"/>
          <w:numId w:val="74"/>
        </w:numPr>
        <w:spacing w:before="0" w:beforeAutospacing="0" w:after="0" w:afterAutospacing="0" w:line="276" w:lineRule="auto"/>
        <w:textAlignment w:val="baseline"/>
        <w:rPr>
          <w:rFonts w:asciiTheme="majorHAnsi" w:hAnsiTheme="majorHAnsi" w:cstheme="majorHAnsi"/>
          <w:sz w:val="22"/>
          <w:szCs w:val="22"/>
        </w:rPr>
      </w:pPr>
      <w:r w:rsidRPr="004721E5">
        <w:rPr>
          <w:rStyle w:val="normaltextrun"/>
          <w:rFonts w:asciiTheme="majorHAnsi" w:hAnsiTheme="majorHAnsi" w:cstheme="majorHAnsi"/>
          <w:sz w:val="22"/>
          <w:szCs w:val="22"/>
          <w:lang w:val="en"/>
        </w:rPr>
        <w:t>Comparable t</w:t>
      </w:r>
      <w:r w:rsidRPr="004721E5">
        <w:rPr>
          <w:rStyle w:val="normaltextrun"/>
          <w:rFonts w:asciiTheme="majorHAnsi" w:hAnsiTheme="majorHAnsi" w:cstheme="majorHAnsi"/>
          <w:color w:val="333333"/>
          <w:sz w:val="22"/>
          <w:szCs w:val="22"/>
          <w:lang w:val="en"/>
        </w:rPr>
        <w:t xml:space="preserve">o </w:t>
      </w:r>
      <w:r w:rsidRPr="004721E5">
        <w:rPr>
          <w:rStyle w:val="normaltextrun"/>
          <w:rFonts w:asciiTheme="majorHAnsi" w:hAnsiTheme="majorHAnsi" w:cstheme="majorHAnsi"/>
          <w:sz w:val="22"/>
          <w:szCs w:val="22"/>
          <w:lang w:val="en"/>
        </w:rPr>
        <w:t xml:space="preserve">over half a year of additional learning (see </w:t>
      </w:r>
      <w:hyperlink r:id="rId77">
        <w:r w:rsidRPr="004721E5">
          <w:rPr>
            <w:rStyle w:val="normaltextrun"/>
            <w:rFonts w:asciiTheme="majorHAnsi" w:hAnsiTheme="majorHAnsi" w:cstheme="majorHAnsi"/>
            <w:color w:val="0000FF"/>
            <w:sz w:val="22"/>
            <w:szCs w:val="22"/>
            <w:u w:val="single"/>
            <w:lang w:val="en"/>
          </w:rPr>
          <w:t>Teaching Higher</w:t>
        </w:r>
      </w:hyperlink>
      <w:r w:rsidRPr="00CD718A">
        <w:rPr>
          <w:rStyle w:val="normaltextrun"/>
          <w:rFonts w:asciiTheme="majorHAnsi" w:hAnsiTheme="majorHAnsi" w:cstheme="majorHAnsi"/>
          <w:sz w:val="22"/>
          <w:szCs w:val="22"/>
          <w:lang w:val="en"/>
        </w:rPr>
        <w:t>)</w:t>
      </w:r>
      <w:r w:rsidRPr="00CD718A">
        <w:rPr>
          <w:rStyle w:val="eop"/>
          <w:rFonts w:asciiTheme="majorHAnsi" w:hAnsiTheme="majorHAnsi" w:cstheme="majorHAnsi"/>
          <w:sz w:val="22"/>
          <w:szCs w:val="22"/>
        </w:rPr>
        <w:t> </w:t>
      </w:r>
    </w:p>
    <w:p w14:paraId="79D5976D" w14:textId="77777777" w:rsidR="00235D7C" w:rsidRPr="00CD718A" w:rsidRDefault="00235D7C" w:rsidP="004721E5">
      <w:pPr>
        <w:pStyle w:val="paragraph"/>
        <w:numPr>
          <w:ilvl w:val="0"/>
          <w:numId w:val="74"/>
        </w:numPr>
        <w:spacing w:before="0" w:beforeAutospacing="0" w:after="0" w:afterAutospacing="0" w:line="276" w:lineRule="auto"/>
        <w:textAlignment w:val="baseline"/>
        <w:rPr>
          <w:rStyle w:val="eop"/>
          <w:rFonts w:asciiTheme="majorHAnsi" w:hAnsiTheme="majorHAnsi" w:cstheme="majorHAnsi"/>
          <w:sz w:val="22"/>
          <w:szCs w:val="22"/>
        </w:rPr>
      </w:pPr>
      <w:r w:rsidRPr="004721E5">
        <w:rPr>
          <w:rStyle w:val="normaltextrun"/>
          <w:rFonts w:asciiTheme="majorHAnsi" w:hAnsiTheme="majorHAnsi" w:cstheme="majorHAnsi"/>
          <w:sz w:val="22"/>
          <w:szCs w:val="22"/>
          <w:lang w:val="en"/>
        </w:rPr>
        <w:t>About</w:t>
      </w:r>
      <w:r w:rsidRPr="004721E5">
        <w:rPr>
          <w:rStyle w:val="normaltextrun"/>
          <w:rFonts w:asciiTheme="majorHAnsi" w:hAnsiTheme="majorHAnsi" w:cstheme="majorHAnsi"/>
          <w:color w:val="333333"/>
          <w:sz w:val="22"/>
          <w:szCs w:val="22"/>
          <w:lang w:val="en"/>
        </w:rPr>
        <w:t xml:space="preserve"> </w:t>
      </w:r>
      <w:r w:rsidRPr="004721E5">
        <w:rPr>
          <w:rStyle w:val="normaltextrun"/>
          <w:rFonts w:asciiTheme="majorHAnsi" w:hAnsiTheme="majorHAnsi" w:cstheme="majorHAnsi"/>
          <w:sz w:val="22"/>
          <w:szCs w:val="22"/>
          <w:lang w:val="en"/>
        </w:rPr>
        <w:t>1.5 times the difference</w:t>
      </w:r>
      <w:r w:rsidRPr="004721E5">
        <w:rPr>
          <w:rStyle w:val="normaltextrun"/>
          <w:rFonts w:asciiTheme="majorHAnsi" w:hAnsiTheme="majorHAnsi" w:cstheme="majorHAnsi"/>
          <w:color w:val="333333"/>
          <w:sz w:val="22"/>
          <w:szCs w:val="22"/>
          <w:lang w:val="en"/>
        </w:rPr>
        <w:t xml:space="preserve"> </w:t>
      </w:r>
      <w:r w:rsidRPr="004721E5">
        <w:rPr>
          <w:rStyle w:val="normaltextrun"/>
          <w:rFonts w:asciiTheme="majorHAnsi" w:hAnsiTheme="majorHAnsi" w:cstheme="majorHAnsi"/>
          <w:sz w:val="22"/>
          <w:szCs w:val="22"/>
          <w:lang w:val="en"/>
        </w:rPr>
        <w:t xml:space="preserve">between an average teacher and one at the 75th percentile (see </w:t>
      </w:r>
      <w:hyperlink r:id="rId78">
        <w:r w:rsidRPr="004721E5">
          <w:rPr>
            <w:rStyle w:val="normaltextrun"/>
            <w:rFonts w:asciiTheme="majorHAnsi" w:hAnsiTheme="majorHAnsi" w:cstheme="majorHAnsi"/>
            <w:color w:val="0000FF"/>
            <w:sz w:val="22"/>
            <w:szCs w:val="22"/>
            <w:u w:val="single"/>
            <w:lang w:val="en"/>
          </w:rPr>
          <w:t>Choosing Blindly</w:t>
        </w:r>
      </w:hyperlink>
      <w:r w:rsidRPr="00CD718A">
        <w:rPr>
          <w:rStyle w:val="normaltextrun"/>
          <w:rFonts w:asciiTheme="majorHAnsi" w:hAnsiTheme="majorHAnsi" w:cstheme="majorHAnsi"/>
          <w:sz w:val="22"/>
          <w:szCs w:val="22"/>
          <w:lang w:val="en"/>
        </w:rPr>
        <w:t>)</w:t>
      </w:r>
      <w:r w:rsidRPr="00CD718A">
        <w:rPr>
          <w:rStyle w:val="eop"/>
          <w:rFonts w:asciiTheme="majorHAnsi" w:hAnsiTheme="majorHAnsi" w:cstheme="majorHAnsi"/>
          <w:sz w:val="22"/>
          <w:szCs w:val="22"/>
        </w:rPr>
        <w:t> </w:t>
      </w:r>
    </w:p>
    <w:p w14:paraId="121F1A79" w14:textId="77777777" w:rsidR="00235D7C" w:rsidRPr="00CD718A" w:rsidRDefault="00235D7C" w:rsidP="004721E5">
      <w:pPr>
        <w:pStyle w:val="paragraph"/>
        <w:numPr>
          <w:ilvl w:val="0"/>
          <w:numId w:val="74"/>
        </w:numPr>
        <w:spacing w:before="0" w:beforeAutospacing="0" w:after="0" w:afterAutospacing="0" w:line="276" w:lineRule="auto"/>
        <w:textAlignment w:val="baseline"/>
        <w:rPr>
          <w:rFonts w:asciiTheme="majorHAnsi" w:hAnsiTheme="majorHAnsi" w:cstheme="majorHAnsi"/>
          <w:sz w:val="22"/>
          <w:szCs w:val="22"/>
        </w:rPr>
      </w:pPr>
      <w:r w:rsidRPr="004721E5">
        <w:rPr>
          <w:rStyle w:val="normaltextrun"/>
          <w:rFonts w:asciiTheme="majorHAnsi" w:hAnsiTheme="majorHAnsi" w:cstheme="majorHAnsi"/>
          <w:sz w:val="22"/>
          <w:szCs w:val="22"/>
          <w:lang w:val="en"/>
        </w:rPr>
        <w:t xml:space="preserve">Greater than the difference between a new teacher and one with three years of experience (see </w:t>
      </w:r>
      <w:hyperlink r:id="rId79">
        <w:r w:rsidRPr="004721E5">
          <w:rPr>
            <w:rStyle w:val="normaltextrun"/>
            <w:rFonts w:asciiTheme="majorHAnsi" w:hAnsiTheme="majorHAnsi" w:cstheme="majorHAnsi"/>
            <w:color w:val="0000FF"/>
            <w:sz w:val="22"/>
            <w:szCs w:val="22"/>
            <w:u w:val="single"/>
            <w:lang w:val="en"/>
          </w:rPr>
          <w:t>Never Judge a Book by Its Cover</w:t>
        </w:r>
      </w:hyperlink>
      <w:r w:rsidRPr="00CD718A">
        <w:rPr>
          <w:rStyle w:val="normaltextrun"/>
          <w:rFonts w:asciiTheme="majorHAnsi" w:hAnsiTheme="majorHAnsi" w:cstheme="majorHAnsi"/>
          <w:color w:val="0000FF"/>
          <w:sz w:val="22"/>
          <w:szCs w:val="22"/>
          <w:lang w:val="en"/>
        </w:rPr>
        <w:t>)</w:t>
      </w:r>
      <w:r w:rsidRPr="00CD718A">
        <w:rPr>
          <w:rStyle w:val="eop"/>
          <w:rFonts w:asciiTheme="majorHAnsi" w:hAnsiTheme="majorHAnsi" w:cstheme="majorHAnsi"/>
          <w:color w:val="0000FF"/>
          <w:sz w:val="22"/>
          <w:szCs w:val="22"/>
        </w:rPr>
        <w:t> </w:t>
      </w:r>
    </w:p>
    <w:p w14:paraId="4E4760C2" w14:textId="7F781269" w:rsidR="00235D7C" w:rsidRPr="00CD718A" w:rsidRDefault="00AB2DFC" w:rsidP="004721E5">
      <w:pPr>
        <w:pStyle w:val="paragraph"/>
        <w:numPr>
          <w:ilvl w:val="0"/>
          <w:numId w:val="74"/>
        </w:numPr>
        <w:spacing w:before="0" w:beforeAutospacing="0" w:after="0" w:afterAutospacing="0" w:line="276" w:lineRule="auto"/>
        <w:textAlignment w:val="baseline"/>
        <w:rPr>
          <w:rFonts w:asciiTheme="majorHAnsi" w:hAnsiTheme="majorHAnsi" w:cstheme="majorHAnsi"/>
          <w:sz w:val="22"/>
          <w:szCs w:val="22"/>
        </w:rPr>
      </w:pPr>
      <w:r w:rsidRPr="004721E5">
        <w:rPr>
          <w:rStyle w:val="eop"/>
          <w:rFonts w:asciiTheme="majorHAnsi" w:hAnsiTheme="majorHAnsi" w:cstheme="majorHAnsi"/>
          <w:sz w:val="22"/>
          <w:szCs w:val="22"/>
        </w:rPr>
        <w:t>Reflective of more</w:t>
      </w:r>
      <w:r w:rsidR="00235D7C" w:rsidRPr="004721E5">
        <w:rPr>
          <w:rStyle w:val="eop"/>
          <w:rFonts w:asciiTheme="majorHAnsi" w:hAnsiTheme="majorHAnsi" w:cstheme="majorHAnsi"/>
          <w:sz w:val="22"/>
          <w:szCs w:val="22"/>
        </w:rPr>
        <w:t xml:space="preserve"> equitable access to rigorous schoolwork, high expectations, and effective instruction (See </w:t>
      </w:r>
      <w:hyperlink r:id="rId80">
        <w:r w:rsidR="00235D7C" w:rsidRPr="004721E5">
          <w:rPr>
            <w:rStyle w:val="Hyperlink"/>
            <w:rFonts w:asciiTheme="majorHAnsi" w:hAnsiTheme="majorHAnsi" w:cstheme="majorHAnsi"/>
            <w:sz w:val="22"/>
            <w:szCs w:val="22"/>
          </w:rPr>
          <w:t>The Opportunity Myth</w:t>
        </w:r>
      </w:hyperlink>
      <w:r w:rsidR="00235D7C" w:rsidRPr="00CD718A">
        <w:rPr>
          <w:rStyle w:val="eop"/>
          <w:rFonts w:asciiTheme="majorHAnsi" w:hAnsiTheme="majorHAnsi" w:cstheme="majorHAnsi"/>
          <w:sz w:val="22"/>
          <w:szCs w:val="22"/>
        </w:rPr>
        <w:t>)</w:t>
      </w:r>
    </w:p>
    <w:p w14:paraId="2357D349" w14:textId="77777777" w:rsidR="00235D7C" w:rsidRPr="004721E5" w:rsidRDefault="00235D7C" w:rsidP="004721E5">
      <w:pPr>
        <w:pStyle w:val="paragraph"/>
        <w:spacing w:before="0" w:beforeAutospacing="0" w:after="0" w:afterAutospacing="0" w:line="276" w:lineRule="auto"/>
        <w:textAlignment w:val="baseline"/>
        <w:rPr>
          <w:rFonts w:asciiTheme="majorHAnsi" w:hAnsiTheme="majorHAnsi" w:cstheme="majorHAnsi"/>
          <w:sz w:val="22"/>
          <w:szCs w:val="22"/>
        </w:rPr>
      </w:pPr>
      <w:r w:rsidRPr="004721E5">
        <w:rPr>
          <w:rStyle w:val="eop"/>
          <w:rFonts w:asciiTheme="majorHAnsi" w:hAnsiTheme="majorHAnsi" w:cstheme="majorHAnsi"/>
          <w:sz w:val="22"/>
          <w:szCs w:val="22"/>
        </w:rPr>
        <w:t> </w:t>
      </w:r>
    </w:p>
    <w:p w14:paraId="7B516511" w14:textId="77777777" w:rsidR="00235D7C" w:rsidRPr="004721E5" w:rsidRDefault="00235D7C" w:rsidP="004721E5">
      <w:pPr>
        <w:rPr>
          <w:rFonts w:cstheme="majorHAnsi"/>
        </w:rPr>
      </w:pPr>
      <w:r w:rsidRPr="004721E5">
        <w:rPr>
          <w:rFonts w:cstheme="majorHAnsi"/>
        </w:rPr>
        <w:t>Educator candidates must be prepared with knowledge and skills to evaluate and skillfully use curricular materials with evidence-based, inclusive, and culturally responsive practices to ensure equitable outcomes and promote academic achievement, cultural competence, and sociopolitical awareness for every student. All educator candidates should have coursework and field-based experiences that prepare them to be curriculum literate. For candidates in Administrative Leadership programs, these experiences may focus on how to provide educators with the knowledge, skills, support, and conditions to develop curriculum literacy.</w:t>
      </w:r>
    </w:p>
    <w:p w14:paraId="467C1932" w14:textId="77777777" w:rsidR="003A4391" w:rsidRPr="004721E5" w:rsidRDefault="003A4391" w:rsidP="004721E5">
      <w:pPr>
        <w:rPr>
          <w:rFonts w:cstheme="majorHAnsi"/>
        </w:rPr>
      </w:pPr>
    </w:p>
    <w:p w14:paraId="7C9F3D4D" w14:textId="77777777" w:rsidR="00235D7C" w:rsidRPr="004721E5" w:rsidRDefault="00235D7C" w:rsidP="004721E5">
      <w:pPr>
        <w:pStyle w:val="paragraph"/>
        <w:spacing w:before="0" w:beforeAutospacing="0" w:after="0" w:afterAutospacing="0" w:line="276" w:lineRule="auto"/>
        <w:textAlignment w:val="baseline"/>
        <w:rPr>
          <w:rFonts w:asciiTheme="majorHAnsi" w:hAnsiTheme="majorHAnsi" w:cstheme="majorHAnsi"/>
          <w:sz w:val="22"/>
          <w:szCs w:val="22"/>
        </w:rPr>
      </w:pPr>
      <w:r w:rsidRPr="004721E5">
        <w:rPr>
          <w:rStyle w:val="eop"/>
          <w:rFonts w:asciiTheme="majorHAnsi" w:hAnsiTheme="majorHAnsi" w:cstheme="majorHAnsi"/>
          <w:sz w:val="22"/>
          <w:szCs w:val="22"/>
        </w:rPr>
        <w:t> </w:t>
      </w:r>
      <w:r w:rsidRPr="004721E5">
        <w:rPr>
          <w:rStyle w:val="normaltextrun"/>
          <w:rFonts w:asciiTheme="majorHAnsi" w:hAnsiTheme="majorHAnsi" w:cstheme="majorHAnsi"/>
          <w:b/>
          <w:bCs/>
          <w:sz w:val="22"/>
          <w:szCs w:val="22"/>
          <w:lang w:val="en"/>
        </w:rPr>
        <w:t>Curriculum literacy</w:t>
      </w:r>
      <w:r w:rsidRPr="004721E5">
        <w:rPr>
          <w:rStyle w:val="normaltextrun"/>
          <w:rFonts w:asciiTheme="majorHAnsi" w:hAnsiTheme="majorHAnsi" w:cstheme="majorHAnsi"/>
          <w:sz w:val="22"/>
          <w:szCs w:val="22"/>
          <w:lang w:val="en"/>
        </w:rPr>
        <w:t xml:space="preserve"> is the ability to: </w:t>
      </w:r>
      <w:r w:rsidRPr="004721E5">
        <w:rPr>
          <w:rStyle w:val="eop"/>
          <w:rFonts w:asciiTheme="majorHAnsi" w:hAnsiTheme="majorHAnsi" w:cstheme="majorHAnsi"/>
          <w:sz w:val="22"/>
          <w:szCs w:val="22"/>
        </w:rPr>
        <w:t> </w:t>
      </w:r>
    </w:p>
    <w:p w14:paraId="03FFA431" w14:textId="4A452E42" w:rsidR="00235D7C" w:rsidRPr="004721E5" w:rsidRDefault="00235D7C" w:rsidP="004721E5">
      <w:pPr>
        <w:pStyle w:val="paragraph"/>
        <w:numPr>
          <w:ilvl w:val="0"/>
          <w:numId w:val="72"/>
        </w:numPr>
        <w:spacing w:before="0" w:beforeAutospacing="0" w:after="0" w:afterAutospacing="0" w:line="276" w:lineRule="auto"/>
        <w:textAlignment w:val="baseline"/>
        <w:rPr>
          <w:rFonts w:asciiTheme="majorHAnsi" w:eastAsiaTheme="minorEastAsia" w:hAnsiTheme="majorHAnsi" w:cstheme="majorHAnsi"/>
          <w:sz w:val="22"/>
          <w:szCs w:val="22"/>
        </w:rPr>
      </w:pPr>
      <w:r w:rsidRPr="004721E5">
        <w:rPr>
          <w:rStyle w:val="normaltextrun"/>
          <w:rFonts w:asciiTheme="majorHAnsi" w:hAnsiTheme="majorHAnsi" w:cstheme="majorHAnsi"/>
          <w:sz w:val="22"/>
          <w:szCs w:val="22"/>
          <w:lang w:val="en"/>
        </w:rPr>
        <w:t>Understand that the integration and connections among content expectations, aligned curricular materials, and student engagement are at the core of high-quality</w:t>
      </w:r>
      <w:r w:rsidR="00DA1CF6" w:rsidRPr="004721E5">
        <w:rPr>
          <w:rStyle w:val="normaltextrun"/>
          <w:rFonts w:asciiTheme="majorHAnsi" w:hAnsiTheme="majorHAnsi" w:cstheme="majorHAnsi"/>
          <w:sz w:val="22"/>
          <w:szCs w:val="22"/>
          <w:lang w:val="en"/>
        </w:rPr>
        <w:t>,</w:t>
      </w:r>
      <w:r w:rsidRPr="004721E5">
        <w:rPr>
          <w:rStyle w:val="normaltextrun"/>
          <w:rFonts w:asciiTheme="majorHAnsi" w:hAnsiTheme="majorHAnsi" w:cstheme="majorHAnsi"/>
          <w:sz w:val="22"/>
          <w:szCs w:val="22"/>
          <w:lang w:val="en"/>
        </w:rPr>
        <w:t xml:space="preserve"> equitable instruction;</w:t>
      </w:r>
      <w:r w:rsidRPr="004721E5">
        <w:rPr>
          <w:rStyle w:val="eop"/>
          <w:rFonts w:asciiTheme="majorHAnsi" w:hAnsiTheme="majorHAnsi" w:cstheme="majorHAnsi"/>
          <w:sz w:val="22"/>
          <w:szCs w:val="22"/>
        </w:rPr>
        <w:t> </w:t>
      </w:r>
    </w:p>
    <w:p w14:paraId="014AB0F7" w14:textId="05BEA052" w:rsidR="00235D7C" w:rsidRPr="004721E5" w:rsidRDefault="00235D7C" w:rsidP="004721E5">
      <w:pPr>
        <w:pStyle w:val="paragraph"/>
        <w:numPr>
          <w:ilvl w:val="0"/>
          <w:numId w:val="72"/>
        </w:numPr>
        <w:spacing w:before="0" w:beforeAutospacing="0" w:after="0" w:afterAutospacing="0" w:line="276" w:lineRule="auto"/>
        <w:textAlignment w:val="baseline"/>
        <w:rPr>
          <w:rFonts w:asciiTheme="majorHAnsi" w:hAnsiTheme="majorHAnsi" w:cstheme="majorBidi"/>
          <w:sz w:val="22"/>
          <w:szCs w:val="22"/>
        </w:rPr>
      </w:pPr>
      <w:r w:rsidRPr="5E5DEAB0">
        <w:rPr>
          <w:rStyle w:val="normaltextrun"/>
          <w:rFonts w:asciiTheme="majorHAnsi" w:hAnsiTheme="majorHAnsi" w:cstheme="majorBidi"/>
          <w:sz w:val="22"/>
          <w:szCs w:val="22"/>
          <w:lang w:val="en"/>
        </w:rPr>
        <w:t>Discern high</w:t>
      </w:r>
      <w:r w:rsidR="2D61A076" w:rsidRPr="5E5DEAB0">
        <w:rPr>
          <w:rStyle w:val="normaltextrun"/>
          <w:rFonts w:asciiTheme="majorHAnsi" w:hAnsiTheme="majorHAnsi" w:cstheme="majorBidi"/>
          <w:sz w:val="22"/>
          <w:szCs w:val="22"/>
          <w:lang w:val="en"/>
        </w:rPr>
        <w:t>-</w:t>
      </w:r>
      <w:r w:rsidRPr="5E5DEAB0">
        <w:rPr>
          <w:rStyle w:val="normaltextrun"/>
          <w:rFonts w:asciiTheme="majorHAnsi" w:hAnsiTheme="majorHAnsi" w:cstheme="majorBidi"/>
          <w:sz w:val="22"/>
          <w:szCs w:val="22"/>
          <w:lang w:val="en"/>
        </w:rPr>
        <w:t>quality curricular materials from low quality curricular materials in order to advocate for high</w:t>
      </w:r>
      <w:r w:rsidR="270E54B0" w:rsidRPr="5E5DEAB0">
        <w:rPr>
          <w:rStyle w:val="normaltextrun"/>
          <w:rFonts w:asciiTheme="majorHAnsi" w:hAnsiTheme="majorHAnsi" w:cstheme="majorBidi"/>
          <w:sz w:val="22"/>
          <w:szCs w:val="22"/>
          <w:lang w:val="en"/>
        </w:rPr>
        <w:t>-</w:t>
      </w:r>
      <w:r w:rsidRPr="5E5DEAB0">
        <w:rPr>
          <w:rStyle w:val="normaltextrun"/>
          <w:rFonts w:asciiTheme="majorHAnsi" w:hAnsiTheme="majorHAnsi" w:cstheme="majorBidi"/>
          <w:sz w:val="22"/>
          <w:szCs w:val="22"/>
          <w:lang w:val="en"/>
        </w:rPr>
        <w:t>quality curricular materials; and </w:t>
      </w:r>
      <w:r w:rsidRPr="5E5DEAB0">
        <w:rPr>
          <w:rStyle w:val="eop"/>
          <w:rFonts w:asciiTheme="majorHAnsi" w:hAnsiTheme="majorHAnsi" w:cstheme="majorBidi"/>
          <w:sz w:val="22"/>
          <w:szCs w:val="22"/>
        </w:rPr>
        <w:t> </w:t>
      </w:r>
    </w:p>
    <w:p w14:paraId="297399F2" w14:textId="51BCF45E" w:rsidR="00235D7C" w:rsidRPr="004721E5" w:rsidRDefault="00235D7C" w:rsidP="004721E5">
      <w:pPr>
        <w:pStyle w:val="paragraph"/>
        <w:numPr>
          <w:ilvl w:val="0"/>
          <w:numId w:val="72"/>
        </w:numPr>
        <w:spacing w:before="0" w:beforeAutospacing="0" w:after="0" w:afterAutospacing="0" w:line="276" w:lineRule="auto"/>
        <w:textAlignment w:val="baseline"/>
        <w:rPr>
          <w:rFonts w:asciiTheme="majorHAnsi" w:hAnsiTheme="majorHAnsi" w:cstheme="majorHAnsi"/>
          <w:sz w:val="22"/>
          <w:szCs w:val="22"/>
        </w:rPr>
      </w:pPr>
      <w:r w:rsidRPr="004721E5">
        <w:rPr>
          <w:rStyle w:val="normaltextrun"/>
          <w:rFonts w:asciiTheme="majorHAnsi" w:hAnsiTheme="majorHAnsi" w:cstheme="majorHAnsi"/>
          <w:sz w:val="22"/>
          <w:szCs w:val="22"/>
          <w:lang w:val="en"/>
        </w:rPr>
        <w:t xml:space="preserve">Skillfully use materials through evidence-based, inclusive, and </w:t>
      </w:r>
      <w:hyperlink r:id="rId81" w:history="1">
        <w:r w:rsidRPr="004721E5">
          <w:rPr>
            <w:rStyle w:val="Hyperlink"/>
            <w:rFonts w:asciiTheme="majorHAnsi" w:hAnsiTheme="majorHAnsi" w:cstheme="majorHAnsi"/>
            <w:sz w:val="22"/>
            <w:szCs w:val="22"/>
            <w:lang w:val="en"/>
          </w:rPr>
          <w:t>culturally and linguistically sustaining practices</w:t>
        </w:r>
      </w:hyperlink>
      <w:r w:rsidRPr="00CD718A">
        <w:rPr>
          <w:rStyle w:val="normaltextrun"/>
          <w:rFonts w:asciiTheme="majorHAnsi" w:hAnsiTheme="majorHAnsi" w:cstheme="majorHAnsi"/>
          <w:sz w:val="22"/>
          <w:szCs w:val="22"/>
          <w:lang w:val="en"/>
        </w:rPr>
        <w:t xml:space="preserve">, to ensure the enacted curriculum supports and engages all students to reach their </w:t>
      </w:r>
      <w:r w:rsidRPr="004721E5">
        <w:rPr>
          <w:rStyle w:val="normaltextrun"/>
          <w:rFonts w:asciiTheme="majorHAnsi" w:hAnsiTheme="majorHAnsi" w:cstheme="majorHAnsi"/>
          <w:sz w:val="22"/>
          <w:szCs w:val="22"/>
          <w:lang w:val="en"/>
        </w:rPr>
        <w:t>full potential. </w:t>
      </w:r>
      <w:r w:rsidRPr="004721E5">
        <w:rPr>
          <w:rStyle w:val="eop"/>
          <w:rFonts w:asciiTheme="majorHAnsi" w:hAnsiTheme="majorHAnsi" w:cstheme="majorHAnsi"/>
          <w:sz w:val="22"/>
          <w:szCs w:val="22"/>
        </w:rPr>
        <w:t> </w:t>
      </w:r>
    </w:p>
    <w:p w14:paraId="52E5A4D1" w14:textId="77777777" w:rsidR="00235D7C" w:rsidRPr="004721E5" w:rsidRDefault="00235D7C" w:rsidP="004721E5">
      <w:pPr>
        <w:pStyle w:val="paragraph"/>
        <w:spacing w:before="0" w:beforeAutospacing="0" w:after="0" w:afterAutospacing="0" w:line="276" w:lineRule="auto"/>
        <w:textAlignment w:val="baseline"/>
        <w:rPr>
          <w:rFonts w:asciiTheme="majorHAnsi" w:hAnsiTheme="majorHAnsi" w:cstheme="majorHAnsi"/>
          <w:sz w:val="22"/>
          <w:szCs w:val="22"/>
        </w:rPr>
      </w:pPr>
      <w:r w:rsidRPr="004721E5">
        <w:rPr>
          <w:rStyle w:val="eop"/>
          <w:rFonts w:asciiTheme="majorHAnsi" w:hAnsiTheme="majorHAnsi" w:cstheme="majorHAnsi"/>
          <w:sz w:val="22"/>
          <w:szCs w:val="22"/>
        </w:rPr>
        <w:t> </w:t>
      </w:r>
    </w:p>
    <w:p w14:paraId="4EF0CB57" w14:textId="77777777" w:rsidR="00235D7C" w:rsidRPr="004721E5" w:rsidRDefault="00235D7C" w:rsidP="004721E5">
      <w:pPr>
        <w:pStyle w:val="paragraph"/>
        <w:spacing w:before="0" w:beforeAutospacing="0" w:after="0" w:afterAutospacing="0" w:line="276" w:lineRule="auto"/>
        <w:textAlignment w:val="baseline"/>
        <w:rPr>
          <w:rFonts w:asciiTheme="majorHAnsi" w:hAnsiTheme="majorHAnsi" w:cstheme="majorHAnsi"/>
          <w:sz w:val="22"/>
          <w:szCs w:val="22"/>
        </w:rPr>
      </w:pPr>
      <w:r w:rsidRPr="004721E5">
        <w:rPr>
          <w:rStyle w:val="normaltextrun"/>
          <w:rFonts w:asciiTheme="majorHAnsi" w:hAnsiTheme="majorHAnsi" w:cstheme="majorHAnsi"/>
          <w:b/>
          <w:bCs/>
          <w:sz w:val="22"/>
          <w:szCs w:val="22"/>
          <w:lang w:val="en"/>
        </w:rPr>
        <w:t>Curriculum literacy</w:t>
      </w:r>
      <w:r w:rsidRPr="004721E5">
        <w:rPr>
          <w:rStyle w:val="normaltextrun"/>
          <w:rFonts w:asciiTheme="majorHAnsi" w:hAnsiTheme="majorHAnsi" w:cstheme="majorHAnsi"/>
          <w:sz w:val="22"/>
          <w:szCs w:val="22"/>
          <w:lang w:val="en"/>
        </w:rPr>
        <w:t xml:space="preserve"> requires educators and educator preparation programs to shift from </w:t>
      </w:r>
      <w:r w:rsidRPr="004721E5">
        <w:rPr>
          <w:rStyle w:val="normaltextrun"/>
          <w:rFonts w:asciiTheme="majorHAnsi" w:hAnsiTheme="majorHAnsi" w:cstheme="majorHAnsi"/>
          <w:b/>
          <w:bCs/>
          <w:sz w:val="22"/>
          <w:szCs w:val="22"/>
          <w:lang w:val="en"/>
        </w:rPr>
        <w:t>creating</w:t>
      </w:r>
      <w:r w:rsidRPr="004721E5">
        <w:rPr>
          <w:rStyle w:val="normaltextrun"/>
          <w:rFonts w:asciiTheme="majorHAnsi" w:hAnsiTheme="majorHAnsi" w:cstheme="majorHAnsi"/>
          <w:sz w:val="22"/>
          <w:szCs w:val="22"/>
          <w:lang w:val="en"/>
        </w:rPr>
        <w:t xml:space="preserve"> </w:t>
      </w:r>
      <w:r w:rsidRPr="004721E5">
        <w:rPr>
          <w:rStyle w:val="normaltextrun"/>
          <w:rFonts w:asciiTheme="majorHAnsi" w:hAnsiTheme="majorHAnsi" w:cstheme="majorHAnsi"/>
          <w:b/>
          <w:bCs/>
          <w:sz w:val="22"/>
          <w:szCs w:val="22"/>
          <w:lang w:val="en"/>
        </w:rPr>
        <w:t xml:space="preserve">curriculum </w:t>
      </w:r>
      <w:r w:rsidRPr="004721E5">
        <w:rPr>
          <w:rStyle w:val="normaltextrun"/>
          <w:rFonts w:asciiTheme="majorHAnsi" w:hAnsiTheme="majorHAnsi" w:cstheme="majorHAnsi"/>
          <w:sz w:val="22"/>
          <w:szCs w:val="22"/>
          <w:lang w:val="en"/>
        </w:rPr>
        <w:t xml:space="preserve">to </w:t>
      </w:r>
      <w:r w:rsidRPr="004721E5">
        <w:rPr>
          <w:rStyle w:val="normaltextrun"/>
          <w:rFonts w:asciiTheme="majorHAnsi" w:hAnsiTheme="majorHAnsi" w:cstheme="majorHAnsi"/>
          <w:b/>
          <w:bCs/>
          <w:sz w:val="22"/>
          <w:szCs w:val="22"/>
          <w:lang w:val="en"/>
        </w:rPr>
        <w:t>effectively evaluating and implementing curriculum</w:t>
      </w:r>
      <w:r w:rsidRPr="004721E5">
        <w:rPr>
          <w:rStyle w:val="normaltextrun"/>
          <w:rFonts w:asciiTheme="majorHAnsi" w:hAnsiTheme="majorHAnsi" w:cstheme="majorHAnsi"/>
          <w:sz w:val="22"/>
          <w:szCs w:val="22"/>
          <w:lang w:val="en"/>
        </w:rPr>
        <w:t xml:space="preserve">. The following definitions anchor DESE’s use of </w:t>
      </w:r>
      <w:r w:rsidRPr="004721E5">
        <w:rPr>
          <w:rStyle w:val="normaltextrun"/>
          <w:rFonts w:asciiTheme="majorHAnsi" w:hAnsiTheme="majorHAnsi" w:cstheme="majorHAnsi"/>
          <w:b/>
          <w:bCs/>
          <w:sz w:val="22"/>
          <w:szCs w:val="22"/>
          <w:lang w:val="en"/>
        </w:rPr>
        <w:t>curriculum literacy</w:t>
      </w:r>
      <w:r w:rsidRPr="004721E5">
        <w:rPr>
          <w:rStyle w:val="normaltextrun"/>
          <w:rFonts w:asciiTheme="majorHAnsi" w:hAnsiTheme="majorHAnsi" w:cstheme="majorHAnsi"/>
          <w:sz w:val="22"/>
          <w:szCs w:val="22"/>
          <w:lang w:val="en"/>
        </w:rPr>
        <w:t>:</w:t>
      </w:r>
      <w:r w:rsidRPr="004721E5">
        <w:rPr>
          <w:rStyle w:val="eop"/>
          <w:rFonts w:asciiTheme="majorHAnsi" w:hAnsiTheme="majorHAnsi" w:cstheme="majorHAnsi"/>
          <w:sz w:val="22"/>
          <w:szCs w:val="22"/>
        </w:rPr>
        <w:t> </w:t>
      </w:r>
    </w:p>
    <w:p w14:paraId="06B5AFDC" w14:textId="77777777" w:rsidR="00235D7C" w:rsidRPr="004721E5" w:rsidRDefault="00235D7C" w:rsidP="004721E5">
      <w:pPr>
        <w:pStyle w:val="paragraph"/>
        <w:numPr>
          <w:ilvl w:val="0"/>
          <w:numId w:val="73"/>
        </w:numPr>
        <w:shd w:val="clear" w:color="auto" w:fill="FFFFFF" w:themeFill="background1"/>
        <w:spacing w:before="0" w:beforeAutospacing="0" w:after="0" w:afterAutospacing="0" w:line="276" w:lineRule="auto"/>
        <w:textAlignment w:val="baseline"/>
        <w:rPr>
          <w:rFonts w:asciiTheme="majorHAnsi" w:hAnsiTheme="majorHAnsi" w:cstheme="majorHAnsi"/>
          <w:sz w:val="22"/>
          <w:szCs w:val="22"/>
        </w:rPr>
      </w:pPr>
      <w:r w:rsidRPr="004721E5">
        <w:rPr>
          <w:rStyle w:val="normaltextrun"/>
          <w:rFonts w:asciiTheme="majorHAnsi" w:hAnsiTheme="majorHAnsi" w:cstheme="majorHAnsi"/>
          <w:b/>
          <w:bCs/>
          <w:sz w:val="22"/>
          <w:szCs w:val="22"/>
          <w:lang w:val="en"/>
        </w:rPr>
        <w:t>Curricular materials</w:t>
      </w:r>
      <w:r w:rsidRPr="004721E5">
        <w:rPr>
          <w:rStyle w:val="normaltextrun"/>
          <w:rFonts w:asciiTheme="majorHAnsi" w:hAnsiTheme="majorHAnsi" w:cstheme="majorHAnsi"/>
          <w:sz w:val="22"/>
          <w:szCs w:val="22"/>
          <w:lang w:val="en"/>
        </w:rPr>
        <w:t xml:space="preserve"> are resources teachers use to facilitate sequences of learning experiences (e.g., lesson and unit plans, texts); also referred to as adopted curriculum or written curriculum.</w:t>
      </w:r>
      <w:r w:rsidRPr="004721E5">
        <w:rPr>
          <w:rStyle w:val="eop"/>
          <w:rFonts w:asciiTheme="majorHAnsi" w:hAnsiTheme="majorHAnsi" w:cstheme="majorHAnsi"/>
          <w:sz w:val="22"/>
          <w:szCs w:val="22"/>
        </w:rPr>
        <w:t> </w:t>
      </w:r>
    </w:p>
    <w:p w14:paraId="032849F1" w14:textId="77777777" w:rsidR="00235D7C" w:rsidRPr="004721E5" w:rsidRDefault="00235D7C" w:rsidP="004721E5">
      <w:pPr>
        <w:pStyle w:val="paragraph"/>
        <w:numPr>
          <w:ilvl w:val="0"/>
          <w:numId w:val="73"/>
        </w:numPr>
        <w:shd w:val="clear" w:color="auto" w:fill="FFFFFF" w:themeFill="background1"/>
        <w:spacing w:before="0" w:beforeAutospacing="0" w:after="0" w:afterAutospacing="0" w:line="276" w:lineRule="auto"/>
        <w:textAlignment w:val="baseline"/>
        <w:rPr>
          <w:rFonts w:asciiTheme="majorHAnsi" w:hAnsiTheme="majorHAnsi" w:cstheme="majorHAnsi"/>
          <w:sz w:val="22"/>
          <w:szCs w:val="22"/>
        </w:rPr>
      </w:pPr>
      <w:r w:rsidRPr="004721E5">
        <w:rPr>
          <w:rStyle w:val="normaltextrun"/>
          <w:rFonts w:asciiTheme="majorHAnsi" w:hAnsiTheme="majorHAnsi" w:cstheme="majorHAnsi"/>
          <w:sz w:val="22"/>
          <w:szCs w:val="22"/>
          <w:lang w:val="en"/>
        </w:rPr>
        <w:t xml:space="preserve">A </w:t>
      </w:r>
      <w:r w:rsidRPr="004721E5">
        <w:rPr>
          <w:rStyle w:val="normaltextrun"/>
          <w:rFonts w:asciiTheme="majorHAnsi" w:hAnsiTheme="majorHAnsi" w:cstheme="majorHAnsi"/>
          <w:b/>
          <w:bCs/>
          <w:sz w:val="22"/>
          <w:szCs w:val="22"/>
          <w:lang w:val="en"/>
        </w:rPr>
        <w:t>curriculum</w:t>
      </w:r>
      <w:r w:rsidRPr="004721E5">
        <w:rPr>
          <w:rStyle w:val="normaltextrun"/>
          <w:rFonts w:asciiTheme="majorHAnsi" w:hAnsiTheme="majorHAnsi" w:cstheme="majorHAnsi"/>
          <w:sz w:val="22"/>
          <w:szCs w:val="22"/>
          <w:lang w:val="en"/>
        </w:rPr>
        <w:t xml:space="preserve"> is a sequence of student learning experiences that teachers facilitate using curricular materials as a foundation (not a script!); also referred to as enacted curriculum or taught curriculum.</w:t>
      </w:r>
      <w:r w:rsidRPr="004721E5">
        <w:rPr>
          <w:rStyle w:val="eop"/>
          <w:rFonts w:asciiTheme="majorHAnsi" w:hAnsiTheme="majorHAnsi" w:cstheme="majorHAnsi"/>
          <w:sz w:val="22"/>
          <w:szCs w:val="22"/>
        </w:rPr>
        <w:t> </w:t>
      </w:r>
    </w:p>
    <w:p w14:paraId="3BA94CD0" w14:textId="77777777" w:rsidR="00235D7C" w:rsidRPr="004721E5" w:rsidRDefault="00235D7C" w:rsidP="004721E5">
      <w:pPr>
        <w:rPr>
          <w:rFonts w:cstheme="majorHAnsi"/>
        </w:rPr>
      </w:pPr>
      <w:r w:rsidRPr="004721E5">
        <w:rPr>
          <w:rFonts w:cstheme="majorHAnsi"/>
        </w:rPr>
        <w:br/>
        <w:t xml:space="preserve">DESE strongly encourages Sponsoring Organizations to design coursework and experiences to build </w:t>
      </w:r>
      <w:r w:rsidRPr="004721E5">
        <w:rPr>
          <w:rFonts w:cstheme="majorHAnsi"/>
        </w:rPr>
        <w:lastRenderedPageBreak/>
        <w:t xml:space="preserve">familiarity with the components of high-quality curricula, including those used by partner and/or top hiring districts.  </w:t>
      </w:r>
    </w:p>
    <w:p w14:paraId="68F48C1F" w14:textId="77777777" w:rsidR="00235D7C" w:rsidRPr="004721E5" w:rsidRDefault="00235D7C" w:rsidP="004721E5">
      <w:pPr>
        <w:pStyle w:val="paragraph"/>
        <w:spacing w:before="0" w:beforeAutospacing="0" w:after="0" w:afterAutospacing="0" w:line="276" w:lineRule="auto"/>
        <w:textAlignment w:val="baseline"/>
        <w:rPr>
          <w:rStyle w:val="normaltextrun"/>
          <w:rFonts w:asciiTheme="majorHAnsi" w:hAnsiTheme="majorHAnsi" w:cstheme="majorHAnsi"/>
          <w:sz w:val="22"/>
          <w:szCs w:val="22"/>
          <w:lang w:val="en"/>
        </w:rPr>
      </w:pPr>
    </w:p>
    <w:p w14:paraId="08B079D3" w14:textId="58F79868" w:rsidR="00235D7C" w:rsidRPr="004721E5" w:rsidRDefault="00235D7C" w:rsidP="004721E5">
      <w:pPr>
        <w:pStyle w:val="paragraph"/>
        <w:spacing w:before="0" w:beforeAutospacing="0" w:after="0" w:afterAutospacing="0" w:line="276" w:lineRule="auto"/>
        <w:textAlignment w:val="baseline"/>
        <w:rPr>
          <w:rFonts w:asciiTheme="majorHAnsi" w:hAnsiTheme="majorHAnsi" w:cstheme="majorHAnsi"/>
          <w:sz w:val="22"/>
          <w:szCs w:val="22"/>
        </w:rPr>
      </w:pPr>
      <w:r w:rsidRPr="004721E5">
        <w:rPr>
          <w:rFonts w:asciiTheme="majorHAnsi" w:hAnsiTheme="majorHAnsi" w:cstheme="majorHAnsi"/>
          <w:sz w:val="22"/>
          <w:szCs w:val="22"/>
          <w:lang w:val="en"/>
        </w:rPr>
        <w:t>All educators, including administrators, coaches, educator candidates, novice educators, and veteran teachers should understand the following competencies as a means to be curriculum literate: </w:t>
      </w:r>
      <w:r w:rsidRPr="004721E5">
        <w:rPr>
          <w:rFonts w:asciiTheme="majorHAnsi" w:hAnsiTheme="majorHAnsi" w:cstheme="majorHAnsi"/>
          <w:sz w:val="22"/>
          <w:szCs w:val="22"/>
        </w:rPr>
        <w:t> </w:t>
      </w:r>
    </w:p>
    <w:p w14:paraId="753E5117" w14:textId="77777777" w:rsidR="00235D7C" w:rsidRPr="004721E5" w:rsidRDefault="00235D7C" w:rsidP="004721E5">
      <w:pPr>
        <w:pStyle w:val="ListParagraph"/>
        <w:numPr>
          <w:ilvl w:val="0"/>
          <w:numId w:val="71"/>
        </w:numPr>
        <w:textAlignment w:val="baseline"/>
        <w:rPr>
          <w:rFonts w:eastAsiaTheme="minorEastAsia" w:cstheme="majorHAnsi"/>
        </w:rPr>
      </w:pPr>
      <w:r w:rsidRPr="004721E5">
        <w:rPr>
          <w:rFonts w:eastAsia="Times New Roman" w:cstheme="majorHAnsi"/>
          <w:b/>
          <w:bCs/>
          <w:lang w:val="en"/>
        </w:rPr>
        <w:t xml:space="preserve">Understand that the integration and connections </w:t>
      </w:r>
      <w:r w:rsidRPr="004721E5">
        <w:rPr>
          <w:rFonts w:eastAsia="Times New Roman" w:cstheme="majorHAnsi"/>
          <w:lang w:val="en"/>
        </w:rPr>
        <w:t>among content expectations, aligned curricular materials, and student engagement are at the core of high-quality equitable instruction.</w:t>
      </w:r>
      <w:r w:rsidRPr="004721E5">
        <w:rPr>
          <w:rFonts w:eastAsia="Times New Roman" w:cstheme="majorHAnsi"/>
        </w:rPr>
        <w:t> </w:t>
      </w:r>
    </w:p>
    <w:p w14:paraId="72B9DD75" w14:textId="77777777" w:rsidR="00235D7C" w:rsidRPr="00CD718A" w:rsidRDefault="00235D7C" w:rsidP="004721E5">
      <w:pPr>
        <w:pStyle w:val="ListParagraph"/>
        <w:numPr>
          <w:ilvl w:val="0"/>
          <w:numId w:val="75"/>
        </w:numPr>
        <w:textAlignment w:val="baseline"/>
        <w:rPr>
          <w:rFonts w:cstheme="majorHAnsi"/>
        </w:rPr>
      </w:pPr>
      <w:r w:rsidRPr="004721E5">
        <w:rPr>
          <w:rFonts w:eastAsia="Times New Roman" w:cstheme="majorHAnsi"/>
          <w:lang w:val="en"/>
        </w:rPr>
        <w:t xml:space="preserve">Be fluent with the </w:t>
      </w:r>
      <w:hyperlink r:id="rId82">
        <w:r w:rsidRPr="00CD718A">
          <w:rPr>
            <w:rFonts w:eastAsia="Times New Roman" w:cstheme="majorHAnsi"/>
            <w:color w:val="0000FF"/>
            <w:u w:val="single"/>
            <w:lang w:val="en"/>
          </w:rPr>
          <w:t>state standards</w:t>
        </w:r>
      </w:hyperlink>
      <w:r w:rsidRPr="00CD718A">
        <w:rPr>
          <w:rFonts w:eastAsia="Times New Roman" w:cstheme="majorHAnsi"/>
          <w:lang w:val="en"/>
        </w:rPr>
        <w:t xml:space="preserve"> and </w:t>
      </w:r>
      <w:hyperlink r:id="rId83">
        <w:r w:rsidRPr="00CD718A">
          <w:rPr>
            <w:rFonts w:eastAsia="Times New Roman" w:cstheme="majorHAnsi"/>
            <w:color w:val="0000FF"/>
            <w:u w:val="single"/>
            <w:lang w:val="en"/>
          </w:rPr>
          <w:t>learning progressions</w:t>
        </w:r>
      </w:hyperlink>
      <w:r w:rsidRPr="00CD718A">
        <w:rPr>
          <w:rFonts w:eastAsia="Times New Roman" w:cstheme="majorHAnsi"/>
          <w:lang w:val="en"/>
        </w:rPr>
        <w:t xml:space="preserve"> within their content area</w:t>
      </w:r>
      <w:r w:rsidRPr="00CD718A">
        <w:rPr>
          <w:rFonts w:eastAsia="Times New Roman" w:cstheme="majorHAnsi"/>
        </w:rPr>
        <w:t> </w:t>
      </w:r>
    </w:p>
    <w:p w14:paraId="5F71C651" w14:textId="77777777" w:rsidR="00235D7C" w:rsidRPr="004721E5" w:rsidRDefault="00235D7C" w:rsidP="004721E5">
      <w:pPr>
        <w:pStyle w:val="ListParagraph"/>
        <w:numPr>
          <w:ilvl w:val="0"/>
          <w:numId w:val="75"/>
        </w:numPr>
        <w:textAlignment w:val="baseline"/>
        <w:rPr>
          <w:rFonts w:cstheme="majorHAnsi"/>
        </w:rPr>
      </w:pPr>
      <w:r w:rsidRPr="004721E5">
        <w:rPr>
          <w:rFonts w:eastAsia="Times New Roman" w:cstheme="majorHAnsi"/>
          <w:lang w:val="en"/>
        </w:rPr>
        <w:t xml:space="preserve">Be fluent with </w:t>
      </w:r>
      <w:r w:rsidRPr="004721E5">
        <w:rPr>
          <w:rFonts w:eastAsia="Times New Roman" w:cstheme="majorHAnsi"/>
          <w:color w:val="000000"/>
          <w:shd w:val="clear" w:color="auto" w:fill="FFFFFF"/>
          <w:lang w:val="en"/>
        </w:rPr>
        <w:t>evidence-based approaches to teaching the content (pedagogical content knowledge) </w:t>
      </w:r>
      <w:r w:rsidRPr="004721E5">
        <w:rPr>
          <w:rFonts w:eastAsia="Times New Roman" w:cstheme="majorHAnsi"/>
          <w:color w:val="000000"/>
        </w:rPr>
        <w:t> </w:t>
      </w:r>
    </w:p>
    <w:p w14:paraId="2AD1F229" w14:textId="77777777" w:rsidR="00235D7C" w:rsidRPr="00CD718A" w:rsidRDefault="00235D7C" w:rsidP="004721E5">
      <w:pPr>
        <w:pStyle w:val="ListParagraph"/>
        <w:numPr>
          <w:ilvl w:val="0"/>
          <w:numId w:val="75"/>
        </w:numPr>
        <w:textAlignment w:val="baseline"/>
        <w:rPr>
          <w:rFonts w:cstheme="majorHAnsi"/>
        </w:rPr>
      </w:pPr>
      <w:r w:rsidRPr="004721E5">
        <w:rPr>
          <w:rFonts w:eastAsia="Times New Roman" w:cstheme="majorHAnsi"/>
          <w:lang w:val="en"/>
        </w:rPr>
        <w:t>Understand the relationship between equity and challenging tasks outlined in reports such as </w:t>
      </w:r>
      <w:hyperlink r:id="rId84">
        <w:r w:rsidRPr="00CD718A">
          <w:rPr>
            <w:rFonts w:eastAsia="Times New Roman" w:cstheme="majorHAnsi"/>
            <w:color w:val="0000FF"/>
            <w:u w:val="single"/>
            <w:lang w:val="en"/>
          </w:rPr>
          <w:t>The Opportunity Myth</w:t>
        </w:r>
      </w:hyperlink>
      <w:r w:rsidRPr="00CD718A">
        <w:rPr>
          <w:rFonts w:eastAsia="MS Mincho" w:cstheme="majorHAnsi"/>
          <w:color w:val="0000FF"/>
          <w:lang w:val="en"/>
        </w:rPr>
        <w:t> </w:t>
      </w:r>
      <w:r w:rsidRPr="00CD718A">
        <w:rPr>
          <w:rFonts w:eastAsia="MS Mincho" w:cstheme="majorHAnsi"/>
          <w:color w:val="0000FF"/>
        </w:rPr>
        <w:t> </w:t>
      </w:r>
    </w:p>
    <w:p w14:paraId="5343D57A" w14:textId="0AA53589" w:rsidR="00235D7C" w:rsidRPr="004721E5" w:rsidRDefault="00235D7C" w:rsidP="004721E5">
      <w:pPr>
        <w:pStyle w:val="ListParagraph"/>
        <w:numPr>
          <w:ilvl w:val="0"/>
          <w:numId w:val="75"/>
        </w:numPr>
        <w:textAlignment w:val="baseline"/>
        <w:rPr>
          <w:rFonts w:cstheme="majorHAnsi"/>
        </w:rPr>
      </w:pPr>
      <w:r w:rsidRPr="004721E5">
        <w:rPr>
          <w:rFonts w:eastAsia="Times New Roman" w:cstheme="majorHAnsi"/>
          <w:lang w:val="en"/>
        </w:rPr>
        <w:t>Understand how materials support important content-specific instructional practices (such as explicit teaching of phonemic awareness in early literacy) </w:t>
      </w:r>
      <w:r w:rsidRPr="004721E5">
        <w:rPr>
          <w:rFonts w:eastAsia="Times New Roman" w:cstheme="majorHAnsi"/>
        </w:rPr>
        <w:t> </w:t>
      </w:r>
    </w:p>
    <w:p w14:paraId="6C618734" w14:textId="77777777" w:rsidR="00235D7C" w:rsidRPr="004721E5" w:rsidRDefault="00235D7C" w:rsidP="004721E5">
      <w:pPr>
        <w:pStyle w:val="ListParagraph"/>
        <w:numPr>
          <w:ilvl w:val="0"/>
          <w:numId w:val="75"/>
        </w:numPr>
        <w:textAlignment w:val="baseline"/>
        <w:rPr>
          <w:rFonts w:cstheme="majorHAnsi"/>
        </w:rPr>
      </w:pPr>
      <w:r w:rsidRPr="004721E5">
        <w:rPr>
          <w:rFonts w:eastAsia="Times New Roman" w:cstheme="majorHAnsi"/>
          <w:lang w:val="en"/>
        </w:rPr>
        <w:t>Understand the consequences of the lack of high-quality materials, such as low-quality tasks and low expectations for students </w:t>
      </w:r>
      <w:r w:rsidRPr="004721E5">
        <w:rPr>
          <w:rFonts w:eastAsia="Times New Roman" w:cstheme="majorHAnsi"/>
        </w:rPr>
        <w:t> </w:t>
      </w:r>
    </w:p>
    <w:p w14:paraId="748CC694" w14:textId="77777777" w:rsidR="00235D7C" w:rsidRPr="004721E5" w:rsidRDefault="00235D7C" w:rsidP="004721E5">
      <w:pPr>
        <w:pStyle w:val="ListParagraph"/>
        <w:numPr>
          <w:ilvl w:val="0"/>
          <w:numId w:val="75"/>
        </w:numPr>
        <w:textAlignment w:val="baseline"/>
        <w:rPr>
          <w:rFonts w:cstheme="majorHAnsi"/>
        </w:rPr>
      </w:pPr>
      <w:r w:rsidRPr="004721E5">
        <w:rPr>
          <w:rFonts w:eastAsia="Times New Roman" w:cstheme="majorHAnsi"/>
          <w:lang w:val="en"/>
        </w:rPr>
        <w:t>Be fluent in the features of high-quality materials, such as high-quality lessons that support culturally responsive practices and provide guidance for supporting multilingual learners, students with disabilities, students working above grade level, and students not yet meeting learning targets </w:t>
      </w:r>
    </w:p>
    <w:p w14:paraId="57AB2329" w14:textId="77777777" w:rsidR="00235D7C" w:rsidRPr="004721E5" w:rsidRDefault="00235D7C" w:rsidP="004721E5">
      <w:pPr>
        <w:ind w:left="720"/>
        <w:rPr>
          <w:rFonts w:eastAsia="Times New Roman" w:cstheme="majorHAnsi"/>
        </w:rPr>
      </w:pPr>
    </w:p>
    <w:p w14:paraId="5B70BE6D" w14:textId="64CD5AD0" w:rsidR="00235D7C" w:rsidRPr="004721E5" w:rsidRDefault="00235D7C" w:rsidP="004721E5">
      <w:pPr>
        <w:pStyle w:val="ListParagraph"/>
        <w:numPr>
          <w:ilvl w:val="0"/>
          <w:numId w:val="71"/>
        </w:numPr>
        <w:textAlignment w:val="baseline"/>
        <w:rPr>
          <w:rFonts w:eastAsiaTheme="minorEastAsia" w:cstheme="majorBidi"/>
        </w:rPr>
      </w:pPr>
      <w:r w:rsidRPr="5E5DEAB0">
        <w:rPr>
          <w:rFonts w:eastAsia="Times New Roman" w:cstheme="majorBidi"/>
          <w:b/>
          <w:lang w:val="en"/>
        </w:rPr>
        <w:t>Discern high</w:t>
      </w:r>
      <w:r w:rsidR="0B11A2A0" w:rsidRPr="5E5DEAB0">
        <w:rPr>
          <w:rFonts w:eastAsia="Times New Roman" w:cstheme="majorBidi"/>
          <w:b/>
          <w:bCs/>
          <w:lang w:val="en"/>
        </w:rPr>
        <w:t>-</w:t>
      </w:r>
      <w:r w:rsidRPr="5E5DEAB0">
        <w:rPr>
          <w:rFonts w:eastAsia="Times New Roman" w:cstheme="majorBidi"/>
          <w:b/>
          <w:lang w:val="en"/>
        </w:rPr>
        <w:t xml:space="preserve">quality curricular materials </w:t>
      </w:r>
      <w:r w:rsidRPr="5E5DEAB0">
        <w:rPr>
          <w:rFonts w:eastAsia="Times New Roman" w:cstheme="majorBidi"/>
          <w:lang w:val="en"/>
        </w:rPr>
        <w:t>from low</w:t>
      </w:r>
      <w:r w:rsidR="5B0FDDF1" w:rsidRPr="5E5DEAB0">
        <w:rPr>
          <w:rFonts w:eastAsia="Times New Roman" w:cstheme="majorBidi"/>
          <w:lang w:val="en"/>
        </w:rPr>
        <w:t>-</w:t>
      </w:r>
      <w:r w:rsidRPr="5E5DEAB0">
        <w:rPr>
          <w:rFonts w:eastAsia="Times New Roman" w:cstheme="majorBidi"/>
          <w:lang w:val="en"/>
        </w:rPr>
        <w:t>quality curricular materials in order to advocate for high</w:t>
      </w:r>
      <w:r w:rsidR="2830D0B1" w:rsidRPr="5E5DEAB0">
        <w:rPr>
          <w:rFonts w:eastAsia="Times New Roman" w:cstheme="majorBidi"/>
          <w:lang w:val="en"/>
        </w:rPr>
        <w:t>-</w:t>
      </w:r>
      <w:r w:rsidRPr="5E5DEAB0">
        <w:rPr>
          <w:rFonts w:eastAsia="Times New Roman" w:cstheme="majorBidi"/>
          <w:lang w:val="en"/>
        </w:rPr>
        <w:t>quality curricular materials</w:t>
      </w:r>
      <w:r w:rsidRPr="5E5DEAB0">
        <w:rPr>
          <w:rFonts w:eastAsia="Times New Roman" w:cstheme="majorBidi"/>
        </w:rPr>
        <w:t> </w:t>
      </w:r>
    </w:p>
    <w:p w14:paraId="0F462FF8" w14:textId="3521CE8E" w:rsidR="00235D7C" w:rsidRPr="004721E5" w:rsidRDefault="00235D7C" w:rsidP="004721E5">
      <w:pPr>
        <w:pStyle w:val="ListParagraph"/>
        <w:numPr>
          <w:ilvl w:val="1"/>
          <w:numId w:val="70"/>
        </w:numPr>
        <w:textAlignment w:val="baseline"/>
        <w:rPr>
          <w:rFonts w:eastAsiaTheme="minorEastAsia" w:cstheme="majorBidi"/>
        </w:rPr>
      </w:pPr>
      <w:r w:rsidRPr="5E5DEAB0">
        <w:rPr>
          <w:rFonts w:eastAsia="Times New Roman" w:cstheme="majorBidi"/>
          <w:lang w:val="en"/>
        </w:rPr>
        <w:t xml:space="preserve">Understand how to use credible curricular reviews, where available, including those from </w:t>
      </w:r>
      <w:hyperlink r:id="rId85">
        <w:proofErr w:type="spellStart"/>
        <w:r w:rsidRPr="5E5DEAB0">
          <w:rPr>
            <w:rFonts w:eastAsia="Times New Roman" w:cstheme="majorBidi"/>
            <w:color w:val="0000FF"/>
            <w:u w:val="single"/>
            <w:lang w:val="en"/>
          </w:rPr>
          <w:t>CUrriculum</w:t>
        </w:r>
        <w:proofErr w:type="spellEnd"/>
        <w:r w:rsidRPr="5E5DEAB0">
          <w:rPr>
            <w:rFonts w:eastAsia="Times New Roman" w:cstheme="majorBidi"/>
            <w:color w:val="0000FF"/>
            <w:u w:val="single"/>
            <w:lang w:val="en"/>
          </w:rPr>
          <w:t xml:space="preserve"> </w:t>
        </w:r>
        <w:proofErr w:type="spellStart"/>
        <w:r w:rsidRPr="5E5DEAB0">
          <w:rPr>
            <w:rFonts w:eastAsia="Times New Roman" w:cstheme="majorBidi"/>
            <w:color w:val="0000FF"/>
            <w:u w:val="single"/>
            <w:lang w:val="en"/>
          </w:rPr>
          <w:t>RAtings</w:t>
        </w:r>
        <w:proofErr w:type="spellEnd"/>
        <w:r w:rsidRPr="5E5DEAB0">
          <w:rPr>
            <w:rFonts w:eastAsia="Times New Roman" w:cstheme="majorBidi"/>
            <w:color w:val="0000FF"/>
            <w:u w:val="single"/>
            <w:lang w:val="en"/>
          </w:rPr>
          <w:t xml:space="preserve"> by </w:t>
        </w:r>
        <w:proofErr w:type="spellStart"/>
        <w:r w:rsidRPr="5E5DEAB0">
          <w:rPr>
            <w:rFonts w:eastAsia="Times New Roman" w:cstheme="majorBidi"/>
            <w:color w:val="0000FF"/>
            <w:u w:val="single"/>
            <w:lang w:val="en"/>
          </w:rPr>
          <w:t>TEachers</w:t>
        </w:r>
        <w:proofErr w:type="spellEnd"/>
        <w:r w:rsidRPr="5E5DEAB0">
          <w:rPr>
            <w:rFonts w:eastAsia="Times New Roman" w:cstheme="majorBidi"/>
            <w:color w:val="0000FF"/>
            <w:u w:val="single"/>
            <w:lang w:val="en"/>
          </w:rPr>
          <w:t xml:space="preserve"> (CURATE)</w:t>
        </w:r>
      </w:hyperlink>
      <w:hyperlink r:id="rId86">
        <w:r w:rsidR="51BFE4BB" w:rsidRPr="5E5DEAB0">
          <w:rPr>
            <w:rFonts w:eastAsia="Times New Roman" w:cstheme="majorBidi"/>
            <w:color w:val="0000FF"/>
            <w:lang w:val="en"/>
          </w:rPr>
          <w:t xml:space="preserve"> </w:t>
        </w:r>
      </w:hyperlink>
      <w:hyperlink r:id="rId87">
        <w:r w:rsidRPr="5E5DEAB0">
          <w:rPr>
            <w:rFonts w:eastAsia="Times New Roman" w:cstheme="majorBidi"/>
            <w:color w:val="0000FF"/>
            <w:u w:val="single"/>
            <w:lang w:val="en"/>
          </w:rPr>
          <w:t>EdReports</w:t>
        </w:r>
      </w:hyperlink>
      <w:r w:rsidRPr="5E5DEAB0">
        <w:rPr>
          <w:rFonts w:eastAsia="Times New Roman" w:cstheme="majorBidi"/>
          <w:lang w:val="en"/>
        </w:rPr>
        <w:t xml:space="preserve">, and </w:t>
      </w:r>
      <w:hyperlink r:id="rId88">
        <w:r w:rsidR="51BFE4BB" w:rsidRPr="5E5DEAB0">
          <w:rPr>
            <w:rStyle w:val="Hyperlink"/>
            <w:rFonts w:eastAsia="Calibri" w:cstheme="majorBidi"/>
            <w:lang w:val="en"/>
          </w:rPr>
          <w:t>STEM Learning Design</w:t>
        </w:r>
      </w:hyperlink>
      <w:r w:rsidRPr="5E5DEAB0">
        <w:rPr>
          <w:rStyle w:val="Hyperlink"/>
          <w:rFonts w:eastAsia="Calibri" w:cstheme="majorBidi"/>
          <w:lang w:val="en"/>
        </w:rPr>
        <w:t>,</w:t>
      </w:r>
      <w:r w:rsidR="009810BE" w:rsidRPr="5E5DEAB0">
        <w:rPr>
          <w:rStyle w:val="Hyperlink"/>
          <w:rFonts w:eastAsia="Calibri" w:cstheme="majorBidi"/>
          <w:lang w:val="en"/>
        </w:rPr>
        <w:t xml:space="preserve"> </w:t>
      </w:r>
      <w:r w:rsidRPr="5E5DEAB0">
        <w:rPr>
          <w:rFonts w:eastAsia="Times New Roman" w:cstheme="majorBidi"/>
          <w:lang w:val="en"/>
        </w:rPr>
        <w:t>as resources for identifying high</w:t>
      </w:r>
      <w:r w:rsidR="741ED972" w:rsidRPr="5E5DEAB0">
        <w:rPr>
          <w:rFonts w:eastAsia="Times New Roman" w:cstheme="majorBidi"/>
          <w:lang w:val="en"/>
        </w:rPr>
        <w:t>-</w:t>
      </w:r>
      <w:r w:rsidRPr="5E5DEAB0">
        <w:rPr>
          <w:rFonts w:eastAsia="Times New Roman" w:cstheme="majorBidi"/>
          <w:lang w:val="en"/>
        </w:rPr>
        <w:t>quality curricular materials </w:t>
      </w:r>
      <w:r w:rsidRPr="5E5DEAB0">
        <w:rPr>
          <w:rFonts w:eastAsia="Times New Roman" w:cstheme="majorBidi"/>
        </w:rPr>
        <w:t> </w:t>
      </w:r>
    </w:p>
    <w:p w14:paraId="12AB04CE" w14:textId="77777777" w:rsidR="00235D7C" w:rsidRPr="00CD718A" w:rsidRDefault="00235D7C" w:rsidP="004721E5">
      <w:pPr>
        <w:pStyle w:val="ListParagraph"/>
        <w:numPr>
          <w:ilvl w:val="1"/>
          <w:numId w:val="70"/>
        </w:numPr>
        <w:textAlignment w:val="baseline"/>
        <w:rPr>
          <w:rFonts w:cstheme="majorHAnsi"/>
        </w:rPr>
      </w:pPr>
      <w:r w:rsidRPr="004721E5">
        <w:rPr>
          <w:rFonts w:eastAsia="Times New Roman" w:cstheme="majorHAnsi"/>
          <w:lang w:val="en"/>
        </w:rPr>
        <w:t xml:space="preserve">Understand how to use tools such as the </w:t>
      </w:r>
      <w:hyperlink r:id="rId89">
        <w:r w:rsidRPr="00CD718A">
          <w:rPr>
            <w:rFonts w:eastAsia="Times New Roman" w:cstheme="majorHAnsi"/>
            <w:color w:val="0000FF"/>
            <w:u w:val="single"/>
            <w:lang w:val="en"/>
          </w:rPr>
          <w:t>CURATE rubrics</w:t>
        </w:r>
      </w:hyperlink>
      <w:r w:rsidRPr="00CD718A">
        <w:rPr>
          <w:rFonts w:eastAsia="Times New Roman" w:cstheme="majorHAnsi"/>
          <w:lang w:val="en"/>
        </w:rPr>
        <w:t xml:space="preserve"> for content areas where there are comprehensive curriculum or the </w:t>
      </w:r>
      <w:hyperlink r:id="rId90">
        <w:r w:rsidRPr="00CD718A">
          <w:rPr>
            <w:rFonts w:eastAsia="Times New Roman" w:cstheme="majorHAnsi"/>
            <w:color w:val="0000FF"/>
            <w:u w:val="single"/>
            <w:lang w:val="en"/>
          </w:rPr>
          <w:t>IMET (Instructional Materials Evaluation Tool)</w:t>
        </w:r>
      </w:hyperlink>
      <w:r w:rsidRPr="00CD718A">
        <w:rPr>
          <w:rFonts w:eastAsia="Times New Roman" w:cstheme="majorHAnsi"/>
          <w:color w:val="0000FF"/>
          <w:lang w:val="en"/>
        </w:rPr>
        <w:t xml:space="preserve"> </w:t>
      </w:r>
      <w:r w:rsidRPr="00CD718A">
        <w:rPr>
          <w:rFonts w:eastAsia="Times New Roman" w:cstheme="majorHAnsi"/>
          <w:lang w:val="en"/>
        </w:rPr>
        <w:t xml:space="preserve">and </w:t>
      </w:r>
      <w:hyperlink r:id="rId91">
        <w:proofErr w:type="spellStart"/>
        <w:r w:rsidRPr="00CD718A">
          <w:rPr>
            <w:rFonts w:eastAsia="Times New Roman" w:cstheme="majorHAnsi"/>
            <w:color w:val="0000FF"/>
            <w:u w:val="single"/>
            <w:lang w:val="en"/>
          </w:rPr>
          <w:t>EQuIP</w:t>
        </w:r>
        <w:proofErr w:type="spellEnd"/>
      </w:hyperlink>
      <w:r w:rsidRPr="00CD718A">
        <w:rPr>
          <w:rFonts w:eastAsia="Times New Roman" w:cstheme="majorHAnsi"/>
          <w:lang w:val="en"/>
        </w:rPr>
        <w:t xml:space="preserve"> tool in content areas that are not being rated by curricular reviews</w:t>
      </w:r>
      <w:r w:rsidRPr="00CD718A">
        <w:rPr>
          <w:rFonts w:eastAsia="Times New Roman" w:cstheme="majorHAnsi"/>
        </w:rPr>
        <w:t> </w:t>
      </w:r>
    </w:p>
    <w:p w14:paraId="45E3FFCB" w14:textId="77777777" w:rsidR="00235D7C" w:rsidRPr="004721E5" w:rsidRDefault="00235D7C" w:rsidP="004721E5">
      <w:pPr>
        <w:pStyle w:val="ListParagraph"/>
        <w:numPr>
          <w:ilvl w:val="1"/>
          <w:numId w:val="70"/>
        </w:numPr>
        <w:textAlignment w:val="baseline"/>
        <w:rPr>
          <w:rFonts w:cstheme="majorHAnsi"/>
        </w:rPr>
      </w:pPr>
      <w:r w:rsidRPr="00CD718A">
        <w:rPr>
          <w:rFonts w:eastAsia="Times New Roman" w:cstheme="majorHAnsi"/>
          <w:lang w:val="en"/>
        </w:rPr>
        <w:t xml:space="preserve">Understand how to use tools such as the </w:t>
      </w:r>
      <w:hyperlink r:id="rId92">
        <w:r w:rsidRPr="00CD718A">
          <w:rPr>
            <w:rFonts w:eastAsia="Times New Roman" w:cstheme="majorHAnsi"/>
            <w:color w:val="0000FF"/>
            <w:u w:val="single"/>
            <w:lang w:val="en"/>
          </w:rPr>
          <w:t>Culturally Responsive Curriculum Scorecard</w:t>
        </w:r>
      </w:hyperlink>
      <w:r w:rsidRPr="00CD718A">
        <w:rPr>
          <w:rFonts w:eastAsia="Times New Roman" w:cstheme="majorHAnsi"/>
          <w:lang w:val="en"/>
        </w:rPr>
        <w:t xml:space="preserve"> to evaluate the extent to which the curricular materials are culturally responsive and relevant</w:t>
      </w:r>
      <w:r w:rsidRPr="004721E5">
        <w:rPr>
          <w:rFonts w:eastAsia="Times New Roman" w:cstheme="majorHAnsi"/>
        </w:rPr>
        <w:t> </w:t>
      </w:r>
    </w:p>
    <w:p w14:paraId="56D8E7FC" w14:textId="77777777" w:rsidR="00235D7C" w:rsidRPr="004721E5" w:rsidRDefault="00235D7C" w:rsidP="004721E5">
      <w:pPr>
        <w:pStyle w:val="ListParagraph"/>
        <w:numPr>
          <w:ilvl w:val="1"/>
          <w:numId w:val="70"/>
        </w:numPr>
        <w:textAlignment w:val="baseline"/>
        <w:rPr>
          <w:rFonts w:cstheme="majorHAnsi"/>
        </w:rPr>
      </w:pPr>
      <w:r w:rsidRPr="004721E5">
        <w:rPr>
          <w:rFonts w:eastAsia="Times New Roman" w:cstheme="majorHAnsi"/>
          <w:lang w:val="en"/>
        </w:rPr>
        <w:t>Understand how a curriculum builds student understanding of the content over time by recognizing how lesson goals, scope, sequence, and tasks fit together to support that understanding</w:t>
      </w:r>
      <w:r w:rsidRPr="004721E5">
        <w:rPr>
          <w:rFonts w:eastAsia="Times New Roman" w:cstheme="majorHAnsi"/>
        </w:rPr>
        <w:t> </w:t>
      </w:r>
    </w:p>
    <w:p w14:paraId="5A489533" w14:textId="40D414FA" w:rsidR="00235D7C" w:rsidRPr="004721E5" w:rsidRDefault="00235D7C" w:rsidP="004721E5">
      <w:pPr>
        <w:pStyle w:val="ListParagraph"/>
        <w:numPr>
          <w:ilvl w:val="1"/>
          <w:numId w:val="70"/>
        </w:numPr>
        <w:textAlignment w:val="baseline"/>
        <w:rPr>
          <w:rFonts w:cstheme="majorHAnsi"/>
        </w:rPr>
      </w:pPr>
      <w:r w:rsidRPr="004721E5">
        <w:rPr>
          <w:rFonts w:eastAsia="Times New Roman" w:cstheme="majorHAnsi"/>
          <w:lang w:val="en"/>
        </w:rPr>
        <w:t>Understand how</w:t>
      </w:r>
      <w:r w:rsidRPr="004721E5" w:rsidDel="1D41C81A">
        <w:rPr>
          <w:rFonts w:eastAsia="Times New Roman" w:cstheme="majorHAnsi"/>
          <w:lang w:val="en"/>
        </w:rPr>
        <w:t xml:space="preserve"> </w:t>
      </w:r>
      <w:r w:rsidRPr="004721E5">
        <w:rPr>
          <w:rFonts w:eastAsia="Times New Roman" w:cstheme="majorHAnsi"/>
          <w:lang w:val="en"/>
        </w:rPr>
        <w:t>specific curricular materials</w:t>
      </w:r>
      <w:r w:rsidRPr="004721E5" w:rsidDel="001D4FE1">
        <w:rPr>
          <w:rFonts w:eastAsia="Times New Roman" w:cstheme="majorHAnsi"/>
          <w:lang w:val="en"/>
        </w:rPr>
        <w:t xml:space="preserve"> </w:t>
      </w:r>
      <w:r w:rsidRPr="004721E5">
        <w:rPr>
          <w:rFonts w:eastAsia="Times New Roman" w:cstheme="majorHAnsi"/>
          <w:lang w:val="en"/>
        </w:rPr>
        <w:t>represent, reflect, affirm, and support many student identities such as, but not limited to race, ethnicity, language, religion, family structures, ability, gender, and sexual orientation</w:t>
      </w:r>
      <w:r w:rsidRPr="004721E5">
        <w:rPr>
          <w:rFonts w:eastAsia="Times New Roman" w:cstheme="majorHAnsi"/>
        </w:rPr>
        <w:t> </w:t>
      </w:r>
    </w:p>
    <w:p w14:paraId="2D909986" w14:textId="77777777" w:rsidR="00235D7C" w:rsidRPr="004721E5" w:rsidRDefault="00235D7C" w:rsidP="004721E5">
      <w:pPr>
        <w:rPr>
          <w:rFonts w:eastAsiaTheme="minorEastAsia" w:cstheme="majorHAnsi"/>
        </w:rPr>
      </w:pPr>
    </w:p>
    <w:p w14:paraId="1F5E74E9" w14:textId="77777777" w:rsidR="00235D7C" w:rsidRPr="004721E5" w:rsidRDefault="00235D7C" w:rsidP="004721E5">
      <w:pPr>
        <w:pStyle w:val="ListParagraph"/>
        <w:numPr>
          <w:ilvl w:val="0"/>
          <w:numId w:val="71"/>
        </w:numPr>
        <w:textAlignment w:val="baseline"/>
        <w:rPr>
          <w:rFonts w:eastAsiaTheme="minorEastAsia" w:cstheme="majorHAnsi"/>
        </w:rPr>
      </w:pPr>
      <w:r w:rsidRPr="004721E5">
        <w:rPr>
          <w:rFonts w:eastAsia="Times New Roman" w:cstheme="majorHAnsi"/>
          <w:b/>
          <w:bCs/>
          <w:lang w:val="en"/>
        </w:rPr>
        <w:t xml:space="preserve">Skillfully use materials </w:t>
      </w:r>
      <w:r w:rsidRPr="004721E5">
        <w:rPr>
          <w:rFonts w:eastAsia="Times New Roman" w:cstheme="majorHAnsi"/>
          <w:lang w:val="en"/>
        </w:rPr>
        <w:t>through evidence-based, inclusive, and culturally responsive practices, to ensure the enacted curriculum supports and engages students to reach their full potential </w:t>
      </w:r>
      <w:r w:rsidRPr="004721E5">
        <w:rPr>
          <w:rFonts w:eastAsia="Times New Roman" w:cstheme="majorHAnsi"/>
        </w:rPr>
        <w:t> </w:t>
      </w:r>
    </w:p>
    <w:p w14:paraId="1365910A" w14:textId="77777777" w:rsidR="003A4391" w:rsidRPr="004721E5" w:rsidRDefault="003A4391" w:rsidP="004721E5">
      <w:pPr>
        <w:textAlignment w:val="baseline"/>
        <w:rPr>
          <w:rFonts w:eastAsiaTheme="minorEastAsia" w:cstheme="majorHAnsi"/>
        </w:rPr>
      </w:pPr>
    </w:p>
    <w:p w14:paraId="05B7D036" w14:textId="77777777" w:rsidR="00235D7C" w:rsidRPr="004721E5" w:rsidRDefault="00235D7C" w:rsidP="004721E5">
      <w:pPr>
        <w:pStyle w:val="ListParagraph"/>
        <w:numPr>
          <w:ilvl w:val="1"/>
          <w:numId w:val="69"/>
        </w:numPr>
        <w:textAlignment w:val="baseline"/>
        <w:rPr>
          <w:rFonts w:eastAsiaTheme="minorEastAsia" w:cstheme="majorHAnsi"/>
        </w:rPr>
      </w:pPr>
      <w:r w:rsidRPr="004721E5">
        <w:rPr>
          <w:rFonts w:eastAsia="Times New Roman" w:cstheme="majorHAnsi"/>
          <w:lang w:val="en"/>
        </w:rPr>
        <w:t>Grounding in the materials’ instructional approach</w:t>
      </w:r>
      <w:r w:rsidRPr="004721E5">
        <w:rPr>
          <w:rFonts w:eastAsia="Times New Roman" w:cstheme="majorHAnsi"/>
        </w:rPr>
        <w:t> </w:t>
      </w:r>
    </w:p>
    <w:p w14:paraId="77BB589E" w14:textId="77777777" w:rsidR="00235D7C" w:rsidRPr="004721E5" w:rsidRDefault="00235D7C" w:rsidP="004721E5">
      <w:pPr>
        <w:pStyle w:val="ListParagraph"/>
        <w:numPr>
          <w:ilvl w:val="2"/>
          <w:numId w:val="68"/>
        </w:numPr>
        <w:textAlignment w:val="baseline"/>
        <w:rPr>
          <w:rFonts w:cstheme="majorHAnsi"/>
        </w:rPr>
      </w:pPr>
      <w:r w:rsidRPr="004721E5">
        <w:rPr>
          <w:rFonts w:eastAsia="MS Mincho" w:cstheme="majorHAnsi"/>
          <w:lang w:val="en"/>
        </w:rPr>
        <w:t>Understand the instructional approach of the specific set of curricular materials </w:t>
      </w:r>
      <w:r w:rsidRPr="004721E5">
        <w:rPr>
          <w:rFonts w:eastAsia="MS Mincho" w:cstheme="majorHAnsi"/>
        </w:rPr>
        <w:t> </w:t>
      </w:r>
    </w:p>
    <w:p w14:paraId="69439DA8" w14:textId="77777777" w:rsidR="00235D7C" w:rsidRPr="004721E5" w:rsidRDefault="00235D7C" w:rsidP="004721E5">
      <w:pPr>
        <w:pStyle w:val="ListParagraph"/>
        <w:numPr>
          <w:ilvl w:val="2"/>
          <w:numId w:val="68"/>
        </w:numPr>
        <w:textAlignment w:val="baseline"/>
        <w:rPr>
          <w:rFonts w:cstheme="majorHAnsi"/>
        </w:rPr>
      </w:pPr>
      <w:r w:rsidRPr="004721E5">
        <w:rPr>
          <w:rFonts w:eastAsia="Times New Roman" w:cstheme="majorHAnsi"/>
          <w:lang w:val="en"/>
        </w:rPr>
        <w:t>Understand how the specific curricular materials build student understanding of the content over time through the lessons and units </w:t>
      </w:r>
      <w:r w:rsidRPr="004721E5">
        <w:rPr>
          <w:rFonts w:eastAsia="Times New Roman" w:cstheme="majorHAnsi"/>
        </w:rPr>
        <w:t> </w:t>
      </w:r>
    </w:p>
    <w:p w14:paraId="7086249E" w14:textId="78A841BD" w:rsidR="003A4391" w:rsidRPr="004721E5" w:rsidRDefault="00235D7C" w:rsidP="004721E5">
      <w:pPr>
        <w:pStyle w:val="ListParagraph"/>
        <w:numPr>
          <w:ilvl w:val="2"/>
          <w:numId w:val="68"/>
        </w:numPr>
        <w:textAlignment w:val="baseline"/>
        <w:rPr>
          <w:rFonts w:cstheme="majorHAnsi"/>
        </w:rPr>
      </w:pPr>
      <w:r w:rsidRPr="004721E5">
        <w:rPr>
          <w:rFonts w:eastAsia="Times New Roman" w:cstheme="majorHAnsi"/>
          <w:lang w:val="en"/>
        </w:rPr>
        <w:t>Understand the specific strengths and weaknesses of the materials, and ways that the materials should be supported to address any weaknesses </w:t>
      </w:r>
      <w:r w:rsidRPr="004721E5">
        <w:rPr>
          <w:rFonts w:eastAsia="Times New Roman" w:cstheme="majorHAnsi"/>
        </w:rPr>
        <w:t> </w:t>
      </w:r>
    </w:p>
    <w:p w14:paraId="53F54C3F" w14:textId="77777777" w:rsidR="00235D7C" w:rsidRPr="004721E5" w:rsidRDefault="00235D7C" w:rsidP="004721E5">
      <w:pPr>
        <w:pStyle w:val="ListParagraph"/>
        <w:numPr>
          <w:ilvl w:val="1"/>
          <w:numId w:val="69"/>
        </w:numPr>
        <w:textAlignment w:val="baseline"/>
        <w:rPr>
          <w:rFonts w:eastAsiaTheme="minorEastAsia" w:cstheme="majorHAnsi"/>
        </w:rPr>
      </w:pPr>
      <w:r w:rsidRPr="004721E5">
        <w:rPr>
          <w:rFonts w:eastAsia="Times New Roman" w:cstheme="majorHAnsi"/>
        </w:rPr>
        <w:t>Navigating the materials </w:t>
      </w:r>
    </w:p>
    <w:p w14:paraId="047AFC02" w14:textId="77777777" w:rsidR="00235D7C" w:rsidRPr="004721E5" w:rsidRDefault="00235D7C" w:rsidP="004721E5">
      <w:pPr>
        <w:pStyle w:val="ListParagraph"/>
        <w:numPr>
          <w:ilvl w:val="2"/>
          <w:numId w:val="67"/>
        </w:numPr>
        <w:textAlignment w:val="baseline"/>
        <w:rPr>
          <w:rFonts w:cstheme="majorHAnsi"/>
        </w:rPr>
      </w:pPr>
      <w:r w:rsidRPr="004721E5">
        <w:rPr>
          <w:rFonts w:eastAsia="Times New Roman" w:cstheme="majorHAnsi"/>
          <w:lang w:val="en"/>
        </w:rPr>
        <w:t>Understand how to navigate specific curricular materials and resources, including the teacher’s guide and high-quality resources outside of the curriculum, to plan for a lesson</w:t>
      </w:r>
      <w:r w:rsidRPr="004721E5">
        <w:rPr>
          <w:rFonts w:eastAsia="Times New Roman" w:cstheme="majorHAnsi"/>
        </w:rPr>
        <w:t> </w:t>
      </w:r>
    </w:p>
    <w:p w14:paraId="7D229A83" w14:textId="2CEC7C11" w:rsidR="00235D7C" w:rsidRPr="004721E5" w:rsidRDefault="00235D7C" w:rsidP="004721E5">
      <w:pPr>
        <w:pStyle w:val="ListParagraph"/>
        <w:numPr>
          <w:ilvl w:val="2"/>
          <w:numId w:val="67"/>
        </w:numPr>
        <w:textAlignment w:val="baseline"/>
        <w:rPr>
          <w:rFonts w:cstheme="majorHAnsi"/>
        </w:rPr>
      </w:pPr>
      <w:r w:rsidRPr="004721E5">
        <w:rPr>
          <w:rFonts w:eastAsia="Times New Roman" w:cstheme="majorHAnsi"/>
          <w:lang w:val="en"/>
        </w:rPr>
        <w:t>Understand the features of each unit and/or lesson and how it fits with other aspects of the curriculum (e.g., lesson, section, unit)</w:t>
      </w:r>
      <w:r w:rsidRPr="004721E5">
        <w:rPr>
          <w:rFonts w:eastAsia="Times New Roman" w:cstheme="majorHAnsi"/>
        </w:rPr>
        <w:t> </w:t>
      </w:r>
    </w:p>
    <w:p w14:paraId="7C03A00A" w14:textId="074311DC" w:rsidR="003A4391" w:rsidRPr="004721E5" w:rsidRDefault="00235D7C" w:rsidP="004721E5">
      <w:pPr>
        <w:pStyle w:val="ListParagraph"/>
        <w:numPr>
          <w:ilvl w:val="2"/>
          <w:numId w:val="67"/>
        </w:numPr>
        <w:textAlignment w:val="baseline"/>
        <w:rPr>
          <w:rFonts w:cstheme="majorHAnsi"/>
        </w:rPr>
      </w:pPr>
      <w:r w:rsidRPr="004721E5">
        <w:rPr>
          <w:rFonts w:eastAsia="Times New Roman" w:cstheme="majorHAnsi"/>
          <w:lang w:val="en"/>
        </w:rPr>
        <w:t>Be able to use the curricular materials effectively to plan a lesson by examining the lesson objectives, tasks, and expectations for student work and determine the preparation or learning teachers need to do to implement the lesson effectively</w:t>
      </w:r>
      <w:r w:rsidRPr="004721E5">
        <w:rPr>
          <w:rFonts w:eastAsia="Times New Roman" w:cstheme="majorHAnsi"/>
        </w:rPr>
        <w:t> </w:t>
      </w:r>
    </w:p>
    <w:p w14:paraId="7CCC06E4" w14:textId="77777777" w:rsidR="00235D7C" w:rsidRPr="004721E5" w:rsidRDefault="00235D7C" w:rsidP="004721E5">
      <w:pPr>
        <w:pStyle w:val="ListParagraph"/>
        <w:numPr>
          <w:ilvl w:val="1"/>
          <w:numId w:val="69"/>
        </w:numPr>
        <w:textAlignment w:val="baseline"/>
        <w:rPr>
          <w:rFonts w:eastAsiaTheme="minorEastAsia" w:cstheme="majorHAnsi"/>
        </w:rPr>
      </w:pPr>
      <w:r w:rsidRPr="004721E5">
        <w:rPr>
          <w:rFonts w:eastAsia="Times New Roman" w:cstheme="majorHAnsi"/>
          <w:lang w:val="en"/>
        </w:rPr>
        <w:t>Enacting curriculum</w:t>
      </w:r>
      <w:r w:rsidRPr="004721E5">
        <w:rPr>
          <w:rFonts w:eastAsia="Times New Roman" w:cstheme="majorHAnsi"/>
        </w:rPr>
        <w:t> </w:t>
      </w:r>
    </w:p>
    <w:p w14:paraId="3A314F37" w14:textId="77777777" w:rsidR="00235D7C" w:rsidRPr="004721E5" w:rsidRDefault="00235D7C" w:rsidP="004721E5">
      <w:pPr>
        <w:pStyle w:val="ListParagraph"/>
        <w:numPr>
          <w:ilvl w:val="2"/>
          <w:numId w:val="66"/>
        </w:numPr>
        <w:textAlignment w:val="baseline"/>
        <w:rPr>
          <w:rFonts w:cstheme="majorHAnsi"/>
        </w:rPr>
      </w:pPr>
      <w:r w:rsidRPr="004721E5">
        <w:rPr>
          <w:rFonts w:eastAsia="Times New Roman" w:cstheme="majorHAnsi"/>
          <w:lang w:val="en"/>
        </w:rPr>
        <w:t>Be able to implement materials effectively and skillfully (what to keep, what to emphasize, what to add, what to adjust, etc.) without undermining the coherence or rigor of the materials and addressing time constraints, specific student learning needs, etc.</w:t>
      </w:r>
      <w:r w:rsidRPr="004721E5">
        <w:rPr>
          <w:rFonts w:eastAsia="Times New Roman" w:cstheme="majorHAnsi"/>
        </w:rPr>
        <w:t> </w:t>
      </w:r>
    </w:p>
    <w:p w14:paraId="10B8CA86" w14:textId="77777777" w:rsidR="00235D7C" w:rsidRPr="004721E5" w:rsidRDefault="00235D7C" w:rsidP="004721E5">
      <w:pPr>
        <w:pStyle w:val="ListParagraph"/>
        <w:numPr>
          <w:ilvl w:val="2"/>
          <w:numId w:val="66"/>
        </w:numPr>
        <w:textAlignment w:val="baseline"/>
        <w:rPr>
          <w:rFonts w:cstheme="majorHAnsi"/>
        </w:rPr>
      </w:pPr>
      <w:r w:rsidRPr="004721E5">
        <w:rPr>
          <w:rFonts w:eastAsia="Times New Roman" w:cstheme="majorHAnsi"/>
          <w:lang w:val="en"/>
        </w:rPr>
        <w:t>Understand how to identify supplemental resources and practices needed to address specific student needs</w:t>
      </w:r>
    </w:p>
    <w:p w14:paraId="1C3E2C7B" w14:textId="77777777" w:rsidR="00235D7C" w:rsidRPr="004721E5" w:rsidRDefault="00235D7C" w:rsidP="004721E5">
      <w:pPr>
        <w:pStyle w:val="ListParagraph"/>
        <w:numPr>
          <w:ilvl w:val="2"/>
          <w:numId w:val="66"/>
        </w:numPr>
        <w:textAlignment w:val="baseline"/>
        <w:rPr>
          <w:rFonts w:cstheme="majorHAnsi"/>
        </w:rPr>
      </w:pPr>
      <w:r w:rsidRPr="004721E5">
        <w:rPr>
          <w:rFonts w:eastAsia="Times New Roman" w:cstheme="majorHAnsi"/>
          <w:lang w:val="en"/>
        </w:rPr>
        <w:t>Be able to use Tier 2 and Tier 3 instruction to support students not yet reaching learning goals </w:t>
      </w:r>
      <w:r w:rsidRPr="004721E5">
        <w:rPr>
          <w:rFonts w:eastAsia="Times New Roman" w:cstheme="majorHAnsi"/>
        </w:rPr>
        <w:t> </w:t>
      </w:r>
    </w:p>
    <w:p w14:paraId="183D2E32" w14:textId="77777777" w:rsidR="00235D7C" w:rsidRPr="004721E5" w:rsidRDefault="00235D7C" w:rsidP="004721E5">
      <w:pPr>
        <w:pStyle w:val="ListParagraph"/>
        <w:numPr>
          <w:ilvl w:val="2"/>
          <w:numId w:val="66"/>
        </w:numPr>
        <w:textAlignment w:val="baseline"/>
        <w:rPr>
          <w:rFonts w:cstheme="majorHAnsi"/>
        </w:rPr>
      </w:pPr>
      <w:r w:rsidRPr="004721E5">
        <w:rPr>
          <w:rFonts w:eastAsia="Times New Roman" w:cstheme="majorHAnsi"/>
          <w:lang w:val="en"/>
        </w:rPr>
        <w:t>Be able to use scaffolding to support students in accessing the curriculum – and removing scaffolds at the appropriate time  </w:t>
      </w:r>
      <w:r w:rsidRPr="004721E5">
        <w:rPr>
          <w:rFonts w:eastAsia="Times New Roman" w:cstheme="majorHAnsi"/>
        </w:rPr>
        <w:t> </w:t>
      </w:r>
    </w:p>
    <w:p w14:paraId="7E2200E3" w14:textId="77777777" w:rsidR="00235D7C" w:rsidRPr="004721E5" w:rsidRDefault="00235D7C" w:rsidP="004721E5">
      <w:pPr>
        <w:pStyle w:val="ListParagraph"/>
        <w:numPr>
          <w:ilvl w:val="2"/>
          <w:numId w:val="66"/>
        </w:numPr>
        <w:textAlignment w:val="baseline"/>
        <w:rPr>
          <w:rFonts w:cstheme="majorHAnsi"/>
        </w:rPr>
      </w:pPr>
      <w:r w:rsidRPr="004721E5">
        <w:rPr>
          <w:rFonts w:eastAsia="Times New Roman" w:cstheme="majorHAnsi"/>
          <w:lang w:val="en"/>
        </w:rPr>
        <w:t>Be able to use the content and pedagogical knowledge necessary to make instructional decisions based on inclusive and culturally responsive teaching practices</w:t>
      </w:r>
      <w:r w:rsidRPr="004721E5">
        <w:rPr>
          <w:rFonts w:eastAsia="Times New Roman" w:cstheme="majorHAnsi"/>
        </w:rPr>
        <w:t> </w:t>
      </w:r>
    </w:p>
    <w:p w14:paraId="576E5A7C" w14:textId="193573E4" w:rsidR="003A4391" w:rsidRPr="004721E5" w:rsidRDefault="00235D7C" w:rsidP="004721E5">
      <w:pPr>
        <w:pStyle w:val="ListParagraph"/>
        <w:numPr>
          <w:ilvl w:val="2"/>
          <w:numId w:val="66"/>
        </w:numPr>
        <w:textAlignment w:val="baseline"/>
        <w:rPr>
          <w:rFonts w:cstheme="majorHAnsi"/>
        </w:rPr>
      </w:pPr>
      <w:r w:rsidRPr="004721E5">
        <w:rPr>
          <w:rFonts w:eastAsia="Times New Roman" w:cstheme="majorHAnsi"/>
          <w:lang w:val="en"/>
        </w:rPr>
        <w:t>Be able to draw upon students’ cultural and linguistic backgrounds to enhance curricular materials and inform instructional decision making</w:t>
      </w:r>
      <w:r w:rsidRPr="004721E5">
        <w:rPr>
          <w:rFonts w:eastAsia="Times New Roman" w:cstheme="majorHAnsi"/>
        </w:rPr>
        <w:t> </w:t>
      </w:r>
    </w:p>
    <w:p w14:paraId="1884E5DF" w14:textId="77777777" w:rsidR="00235D7C" w:rsidRPr="004721E5" w:rsidRDefault="00235D7C" w:rsidP="004721E5">
      <w:pPr>
        <w:pStyle w:val="ListParagraph"/>
        <w:numPr>
          <w:ilvl w:val="1"/>
          <w:numId w:val="69"/>
        </w:numPr>
        <w:textAlignment w:val="baseline"/>
        <w:rPr>
          <w:rFonts w:eastAsiaTheme="minorEastAsia" w:cstheme="majorHAnsi"/>
        </w:rPr>
      </w:pPr>
      <w:r w:rsidRPr="004721E5">
        <w:rPr>
          <w:rFonts w:eastAsia="Times New Roman" w:cstheme="majorHAnsi"/>
          <w:lang w:val="en"/>
        </w:rPr>
        <w:t>Adjusting practice</w:t>
      </w:r>
      <w:r w:rsidRPr="004721E5">
        <w:rPr>
          <w:rFonts w:eastAsia="Times New Roman" w:cstheme="majorHAnsi"/>
        </w:rPr>
        <w:t> </w:t>
      </w:r>
    </w:p>
    <w:p w14:paraId="3D735615" w14:textId="77777777" w:rsidR="00235D7C" w:rsidRPr="004721E5" w:rsidRDefault="00235D7C" w:rsidP="004721E5">
      <w:pPr>
        <w:pStyle w:val="ListParagraph"/>
        <w:numPr>
          <w:ilvl w:val="2"/>
          <w:numId w:val="65"/>
        </w:numPr>
        <w:textAlignment w:val="baseline"/>
        <w:rPr>
          <w:rFonts w:cstheme="majorHAnsi"/>
        </w:rPr>
      </w:pPr>
      <w:r w:rsidRPr="004721E5">
        <w:rPr>
          <w:rFonts w:eastAsia="Times New Roman" w:cstheme="majorHAnsi"/>
          <w:lang w:val="en"/>
        </w:rPr>
        <w:t>Be able to analyze data from a wide range of sources, including formal and informal assessments and feedback from colleagues, students, and families</w:t>
      </w:r>
    </w:p>
    <w:p w14:paraId="0CBA34B4" w14:textId="77777777" w:rsidR="00235D7C" w:rsidRPr="004721E5" w:rsidRDefault="00235D7C" w:rsidP="004721E5">
      <w:pPr>
        <w:pStyle w:val="ListParagraph"/>
        <w:numPr>
          <w:ilvl w:val="2"/>
          <w:numId w:val="65"/>
        </w:numPr>
        <w:textAlignment w:val="baseline"/>
        <w:rPr>
          <w:rFonts w:cstheme="majorHAnsi"/>
        </w:rPr>
      </w:pPr>
      <w:r w:rsidRPr="004721E5">
        <w:rPr>
          <w:rFonts w:eastAsia="Times New Roman" w:cstheme="majorHAnsi"/>
        </w:rPr>
        <w:t>Be able to use data to adjust practice and implement differentiated supports</w:t>
      </w:r>
    </w:p>
    <w:p w14:paraId="5E84A565" w14:textId="77777777" w:rsidR="00235D7C" w:rsidRPr="004721E5" w:rsidRDefault="00235D7C" w:rsidP="004721E5">
      <w:pPr>
        <w:pStyle w:val="ListParagraph"/>
        <w:numPr>
          <w:ilvl w:val="2"/>
          <w:numId w:val="65"/>
        </w:numPr>
        <w:textAlignment w:val="baseline"/>
        <w:rPr>
          <w:rFonts w:cstheme="majorHAnsi"/>
        </w:rPr>
      </w:pPr>
      <w:r w:rsidRPr="004721E5">
        <w:rPr>
          <w:rFonts w:eastAsia="Times New Roman" w:cstheme="majorHAnsi"/>
        </w:rPr>
        <w:lastRenderedPageBreak/>
        <w:t>Be able to engage with families in constructive, asset-based conversations around students’ learning and progress and partner with them to understand, monitor, and improve student learning</w:t>
      </w:r>
    </w:p>
    <w:p w14:paraId="21CA02E3" w14:textId="77777777" w:rsidR="00235D7C" w:rsidRPr="004721E5" w:rsidRDefault="00235D7C" w:rsidP="004721E5">
      <w:pPr>
        <w:pStyle w:val="ListParagraph"/>
        <w:numPr>
          <w:ilvl w:val="2"/>
          <w:numId w:val="65"/>
        </w:numPr>
        <w:textAlignment w:val="baseline"/>
        <w:rPr>
          <w:rFonts w:cstheme="majorHAnsi"/>
        </w:rPr>
      </w:pPr>
      <w:r w:rsidRPr="004721E5">
        <w:rPr>
          <w:rFonts w:eastAsia="Times New Roman" w:cstheme="majorHAnsi"/>
        </w:rPr>
        <w:t>Be able to identify areas where an educator would benefit from additional professional development or coaching to more effectively use curricular materials</w:t>
      </w:r>
    </w:p>
    <w:p w14:paraId="2B6F0109" w14:textId="3DEE0C9F" w:rsidR="005E4E7F" w:rsidRPr="00E44315" w:rsidRDefault="005E4E7F" w:rsidP="00633DC4">
      <w:pPr>
        <w:spacing w:line="240" w:lineRule="auto"/>
        <w:rPr>
          <w:rStyle w:val="normaltextrun"/>
          <w:rFonts w:eastAsia="Times New Roman" w:cstheme="majorHAnsi"/>
          <w:color w:val="000000" w:themeColor="text1"/>
        </w:rPr>
      </w:pPr>
      <w:r w:rsidRPr="00E44315">
        <w:rPr>
          <w:rStyle w:val="normaltextrun"/>
          <w:rFonts w:cstheme="majorHAnsi"/>
          <w:color w:val="000000" w:themeColor="text1"/>
        </w:rPr>
        <w:br w:type="page"/>
      </w:r>
    </w:p>
    <w:p w14:paraId="2FB9DEA2" w14:textId="4CD2D45F" w:rsidR="00C7630E" w:rsidRPr="00174ECC" w:rsidRDefault="00C7630E">
      <w:pPr>
        <w:pStyle w:val="Heading1"/>
      </w:pPr>
      <w:bookmarkStart w:id="154" w:name="_Appendix_E:_"/>
      <w:bookmarkStart w:id="155" w:name="_Toc106003181"/>
      <w:bookmarkStart w:id="156" w:name="_Toc125575652"/>
      <w:bookmarkEnd w:id="154"/>
      <w:r w:rsidRPr="00174ECC">
        <w:rPr>
          <w:rStyle w:val="normaltextrun"/>
        </w:rPr>
        <w:lastRenderedPageBreak/>
        <w:t>Appendix E:  Massachusetts-based Off-Campus/Satellite Programs, Hybrid (online and face-to-face) and Online Delivery Models</w:t>
      </w:r>
      <w:bookmarkEnd w:id="155"/>
      <w:bookmarkEnd w:id="156"/>
    </w:p>
    <w:p w14:paraId="089EB157" w14:textId="77777777" w:rsidR="00C7630E" w:rsidRPr="00090190" w:rsidRDefault="00C7630E" w:rsidP="00437A8B">
      <w:pPr>
        <w:pStyle w:val="paragraph"/>
        <w:spacing w:before="0" w:beforeAutospacing="0" w:after="0" w:afterAutospacing="0" w:line="276" w:lineRule="auto"/>
        <w:textAlignment w:val="baseline"/>
        <w:rPr>
          <w:rFonts w:asciiTheme="majorHAnsi" w:hAnsiTheme="majorHAnsi" w:cstheme="majorHAnsi"/>
          <w:sz w:val="22"/>
          <w:szCs w:val="22"/>
        </w:rPr>
      </w:pPr>
      <w:r w:rsidRPr="006727CB">
        <w:rPr>
          <w:rStyle w:val="normaltextrun"/>
          <w:rFonts w:asciiTheme="majorHAnsi" w:hAnsiTheme="majorHAnsi" w:cstheme="majorHAnsi"/>
          <w:sz w:val="22"/>
          <w:szCs w:val="22"/>
        </w:rPr>
        <w:t>DESE recognizes that a variety of delivery models exist for educator preparation programs in Massachusetts and expects each program and delivery model to be in alignment with the regulations governing educator preparation and licensure. The program expectations should be consistent across all delivery mode</w:t>
      </w:r>
      <w:r w:rsidRPr="00090190">
        <w:rPr>
          <w:rStyle w:val="normaltextrun"/>
          <w:rFonts w:asciiTheme="majorHAnsi" w:hAnsiTheme="majorHAnsi" w:cstheme="majorHAnsi"/>
          <w:sz w:val="22"/>
          <w:szCs w:val="22"/>
        </w:rPr>
        <w:t>ls. Significant differences in delivery models should be presented at the point of the program document submission (informal or formal review) to DESE.  </w:t>
      </w:r>
      <w:r w:rsidRPr="00090190">
        <w:rPr>
          <w:rStyle w:val="eop"/>
          <w:rFonts w:asciiTheme="majorHAnsi" w:hAnsiTheme="majorHAnsi" w:cstheme="majorHAnsi"/>
          <w:sz w:val="22"/>
          <w:szCs w:val="22"/>
        </w:rPr>
        <w:t> </w:t>
      </w:r>
      <w:r w:rsidRPr="00090190">
        <w:rPr>
          <w:rStyle w:val="eop"/>
          <w:rFonts w:asciiTheme="majorHAnsi" w:hAnsiTheme="majorHAnsi" w:cstheme="majorHAnsi"/>
          <w:sz w:val="22"/>
          <w:szCs w:val="22"/>
        </w:rPr>
        <w:br/>
      </w:r>
    </w:p>
    <w:p w14:paraId="4B061655" w14:textId="77777777" w:rsidR="00C7630E" w:rsidRPr="00014585" w:rsidRDefault="00C7630E" w:rsidP="00437A8B">
      <w:pPr>
        <w:pStyle w:val="paragraph"/>
        <w:spacing w:before="0" w:beforeAutospacing="0" w:after="0" w:afterAutospacing="0" w:line="276" w:lineRule="auto"/>
        <w:textAlignment w:val="baseline"/>
        <w:rPr>
          <w:rFonts w:asciiTheme="majorHAnsi" w:hAnsiTheme="majorHAnsi" w:cstheme="majorHAnsi"/>
          <w:sz w:val="22"/>
          <w:szCs w:val="22"/>
        </w:rPr>
      </w:pPr>
      <w:r w:rsidRPr="00014585">
        <w:rPr>
          <w:rStyle w:val="normaltextrun"/>
          <w:rFonts w:asciiTheme="majorHAnsi" w:hAnsiTheme="majorHAnsi" w:cstheme="majorHAnsi"/>
          <w:sz w:val="22"/>
          <w:szCs w:val="22"/>
        </w:rPr>
        <w:t xml:space="preserve">Significant modifications to existing approved programs’ delivery models should be reported to DESE, including approved programs offered at off-campus/satellite locations within the Commonwealth of Massachusetts, or online. </w:t>
      </w:r>
      <w:r w:rsidRPr="00014585">
        <w:rPr>
          <w:rStyle w:val="eop"/>
          <w:rFonts w:asciiTheme="majorHAnsi" w:hAnsiTheme="majorHAnsi" w:cstheme="majorHAnsi"/>
          <w:sz w:val="22"/>
          <w:szCs w:val="22"/>
        </w:rPr>
        <w:t> </w:t>
      </w:r>
      <w:r w:rsidRPr="00014585">
        <w:rPr>
          <w:rStyle w:val="eop"/>
          <w:rFonts w:asciiTheme="majorHAnsi" w:hAnsiTheme="majorHAnsi" w:cstheme="majorHAnsi"/>
          <w:sz w:val="22"/>
          <w:szCs w:val="22"/>
        </w:rPr>
        <w:br/>
      </w:r>
    </w:p>
    <w:p w14:paraId="43939428" w14:textId="3BC015F5" w:rsidR="00C7630E" w:rsidRPr="00367C89" w:rsidRDefault="00C7630E" w:rsidP="00437A8B">
      <w:pPr>
        <w:pStyle w:val="paragraph"/>
        <w:spacing w:before="0" w:beforeAutospacing="0" w:after="0" w:afterAutospacing="0" w:line="276" w:lineRule="auto"/>
        <w:textAlignment w:val="baseline"/>
        <w:rPr>
          <w:rFonts w:asciiTheme="majorHAnsi" w:hAnsiTheme="majorHAnsi" w:cstheme="majorHAnsi"/>
          <w:sz w:val="22"/>
          <w:szCs w:val="22"/>
        </w:rPr>
      </w:pPr>
      <w:r w:rsidRPr="00014585">
        <w:rPr>
          <w:rStyle w:val="normaltextrun"/>
          <w:rFonts w:asciiTheme="majorHAnsi" w:hAnsiTheme="majorHAnsi" w:cstheme="majorHAnsi"/>
          <w:sz w:val="22"/>
          <w:szCs w:val="22"/>
        </w:rPr>
        <w:t xml:space="preserve">Programs offered at an </w:t>
      </w:r>
      <w:r w:rsidRPr="00014585">
        <w:rPr>
          <w:rStyle w:val="contextualspellingandgrammarerror"/>
          <w:rFonts w:asciiTheme="majorHAnsi" w:hAnsiTheme="majorHAnsi" w:cstheme="majorHAnsi"/>
          <w:sz w:val="22"/>
          <w:szCs w:val="22"/>
        </w:rPr>
        <w:t>off-campus</w:t>
      </w:r>
      <w:r w:rsidRPr="00014585">
        <w:rPr>
          <w:rStyle w:val="normaltextrun"/>
          <w:rFonts w:asciiTheme="majorHAnsi" w:hAnsiTheme="majorHAnsi" w:cstheme="majorHAnsi"/>
          <w:sz w:val="22"/>
          <w:szCs w:val="22"/>
        </w:rPr>
        <w:t xml:space="preserve">/satellite location, in-person/online hybrid approach, or fully online are reviewed at the same </w:t>
      </w:r>
      <w:r w:rsidRPr="00AC72D4">
        <w:rPr>
          <w:rStyle w:val="normaltextrun"/>
          <w:rFonts w:asciiTheme="majorHAnsi" w:hAnsiTheme="majorHAnsi" w:cstheme="majorHAnsi"/>
          <w:sz w:val="22"/>
          <w:szCs w:val="22"/>
        </w:rPr>
        <w:t>time and with the same program review evidence and expectations that educator preparation p</w:t>
      </w:r>
      <w:r w:rsidRPr="00DD08F3">
        <w:rPr>
          <w:rStyle w:val="normaltextrun"/>
          <w:rFonts w:asciiTheme="majorHAnsi" w:hAnsiTheme="majorHAnsi" w:cstheme="majorHAnsi"/>
          <w:sz w:val="22"/>
          <w:szCs w:val="22"/>
        </w:rPr>
        <w:t xml:space="preserve">rograms offered at a Sponsoring Organization’s main campus/facility are reviewed. When adding a new delivery model outside of formal review, </w:t>
      </w:r>
      <w:r w:rsidR="007E3BCC" w:rsidRPr="001F3F72">
        <w:rPr>
          <w:rStyle w:val="normaltextrun"/>
          <w:rFonts w:asciiTheme="majorHAnsi" w:hAnsiTheme="majorHAnsi" w:cstheme="majorHAnsi"/>
          <w:sz w:val="22"/>
          <w:szCs w:val="22"/>
        </w:rPr>
        <w:t>Sponsoring Organizations</w:t>
      </w:r>
      <w:r w:rsidRPr="001F3F72">
        <w:rPr>
          <w:rStyle w:val="normaltextrun"/>
          <w:rFonts w:asciiTheme="majorHAnsi" w:hAnsiTheme="majorHAnsi" w:cstheme="majorHAnsi"/>
          <w:sz w:val="22"/>
          <w:szCs w:val="22"/>
        </w:rPr>
        <w:t xml:space="preserve"> should submit a letter of intent with a succinct description and rationale for the proposed off campus/satellite location or online program, as well as programmatic information documenting alignment to the existing approved program. </w:t>
      </w:r>
      <w:r w:rsidRPr="00284DC3">
        <w:rPr>
          <w:rStyle w:val="eop"/>
          <w:rFonts w:asciiTheme="majorHAnsi" w:hAnsiTheme="majorHAnsi" w:cstheme="majorHAnsi"/>
          <w:sz w:val="22"/>
          <w:szCs w:val="22"/>
        </w:rPr>
        <w:t> </w:t>
      </w:r>
      <w:r w:rsidRPr="00284DC3">
        <w:rPr>
          <w:rStyle w:val="normaltextrun"/>
          <w:rFonts w:asciiTheme="majorHAnsi" w:hAnsiTheme="majorHAnsi" w:cstheme="majorHAnsi"/>
          <w:sz w:val="22"/>
          <w:szCs w:val="22"/>
        </w:rPr>
        <w:t> </w:t>
      </w:r>
      <w:r w:rsidRPr="00367C89">
        <w:rPr>
          <w:rStyle w:val="eop"/>
          <w:rFonts w:asciiTheme="majorHAnsi" w:hAnsiTheme="majorHAnsi" w:cstheme="majorHAnsi"/>
          <w:sz w:val="22"/>
          <w:szCs w:val="22"/>
        </w:rPr>
        <w:t> </w:t>
      </w:r>
      <w:r w:rsidRPr="00367C89">
        <w:rPr>
          <w:rStyle w:val="eop"/>
          <w:rFonts w:asciiTheme="majorHAnsi" w:hAnsiTheme="majorHAnsi" w:cstheme="majorHAnsi"/>
          <w:sz w:val="22"/>
          <w:szCs w:val="22"/>
        </w:rPr>
        <w:br/>
      </w:r>
    </w:p>
    <w:p w14:paraId="6C4A498C" w14:textId="142235E3" w:rsidR="005E4E7F" w:rsidRPr="00090190" w:rsidRDefault="00C7630E" w:rsidP="00437A8B">
      <w:pPr>
        <w:pStyle w:val="paragraph"/>
        <w:spacing w:before="0" w:beforeAutospacing="0" w:after="0" w:afterAutospacing="0" w:line="276" w:lineRule="auto"/>
        <w:textAlignment w:val="baseline"/>
        <w:rPr>
          <w:rFonts w:asciiTheme="majorHAnsi" w:hAnsiTheme="majorHAnsi" w:cstheme="majorHAnsi"/>
          <w:sz w:val="22"/>
          <w:szCs w:val="22"/>
        </w:rPr>
      </w:pPr>
      <w:r w:rsidRPr="00367C89">
        <w:rPr>
          <w:rStyle w:val="normaltextrun"/>
          <w:rFonts w:asciiTheme="majorHAnsi" w:hAnsiTheme="majorHAnsi" w:cstheme="majorHAnsi"/>
          <w:sz w:val="22"/>
          <w:szCs w:val="22"/>
        </w:rPr>
        <w:t xml:space="preserve">When considering an online or hybrid model of programming, </w:t>
      </w:r>
      <w:r w:rsidR="007E3BCC" w:rsidRPr="00367C89">
        <w:rPr>
          <w:rStyle w:val="normaltextrun"/>
          <w:rFonts w:asciiTheme="majorHAnsi" w:hAnsiTheme="majorHAnsi" w:cstheme="majorHAnsi"/>
          <w:sz w:val="22"/>
          <w:szCs w:val="22"/>
        </w:rPr>
        <w:t>Sponsoring Organizations</w:t>
      </w:r>
      <w:r w:rsidRPr="00367C89">
        <w:rPr>
          <w:rStyle w:val="normaltextrun"/>
          <w:rFonts w:asciiTheme="majorHAnsi" w:hAnsiTheme="majorHAnsi" w:cstheme="majorHAnsi"/>
          <w:sz w:val="22"/>
          <w:szCs w:val="22"/>
        </w:rPr>
        <w:t xml:space="preserve"> should ensure that progr</w:t>
      </w:r>
      <w:r w:rsidRPr="005D0AA6">
        <w:rPr>
          <w:rStyle w:val="normaltextrun"/>
          <w:rFonts w:asciiTheme="majorHAnsi" w:hAnsiTheme="majorHAnsi" w:cstheme="majorHAnsi"/>
          <w:sz w:val="22"/>
          <w:szCs w:val="22"/>
        </w:rPr>
        <w:t>amming is designed using current and effective online educational learning models. Asynchronous learning typically will not be considered commensurate with</w:t>
      </w:r>
      <w:r w:rsidR="006727CB" w:rsidRPr="005D0AA6">
        <w:rPr>
          <w:rStyle w:val="normaltextrun"/>
          <w:rFonts w:asciiTheme="majorHAnsi" w:hAnsiTheme="majorHAnsi" w:cstheme="majorHAnsi"/>
          <w:sz w:val="22"/>
          <w:szCs w:val="22"/>
        </w:rPr>
        <w:t xml:space="preserve"> synchronous or</w:t>
      </w:r>
      <w:r w:rsidRPr="00437A8B">
        <w:rPr>
          <w:rStyle w:val="normaltextrun"/>
          <w:rFonts w:asciiTheme="majorHAnsi" w:hAnsiTheme="majorHAnsi" w:cstheme="majorHAnsi"/>
          <w:sz w:val="22"/>
          <w:szCs w:val="22"/>
        </w:rPr>
        <w:t xml:space="preserve"> in-person</w:t>
      </w:r>
      <w:r w:rsidRPr="006727CB">
        <w:rPr>
          <w:rStyle w:val="normaltextrun"/>
          <w:rFonts w:asciiTheme="majorHAnsi" w:hAnsiTheme="majorHAnsi" w:cstheme="majorHAnsi"/>
          <w:sz w:val="22"/>
          <w:szCs w:val="22"/>
        </w:rPr>
        <w:t xml:space="preserve"> learning experiences. </w:t>
      </w:r>
      <w:r w:rsidR="007E3BCC" w:rsidRPr="006727CB">
        <w:rPr>
          <w:rStyle w:val="normaltextrun"/>
          <w:rFonts w:asciiTheme="majorHAnsi" w:hAnsiTheme="majorHAnsi" w:cstheme="majorHAnsi"/>
          <w:sz w:val="22"/>
          <w:szCs w:val="22"/>
        </w:rPr>
        <w:t>Sponsoring Organizations</w:t>
      </w:r>
      <w:r w:rsidRPr="006727CB">
        <w:rPr>
          <w:rStyle w:val="normaltextrun"/>
          <w:rFonts w:asciiTheme="majorHAnsi" w:hAnsiTheme="majorHAnsi" w:cstheme="majorHAnsi"/>
          <w:sz w:val="22"/>
          <w:szCs w:val="22"/>
        </w:rPr>
        <w:t xml:space="preserve"> will provide evidence of the amount of asynchronous learning in any online or hybrid program, including evidence of how they ensure asynchronous learning experiences are consistent with other delivery models,</w:t>
      </w:r>
      <w:r w:rsidRPr="00090190">
        <w:rPr>
          <w:rStyle w:val="normaltextrun"/>
          <w:rFonts w:asciiTheme="majorHAnsi" w:hAnsiTheme="majorHAnsi" w:cstheme="majorHAnsi"/>
          <w:sz w:val="22"/>
          <w:szCs w:val="22"/>
        </w:rPr>
        <w:t xml:space="preserve"> at the point of program document submission. There are also specific requirements for delivering the Sheltered English Immersion course online, including synchronous learning expectations. See SEI Course Requirement advisories </w:t>
      </w:r>
      <w:hyperlink r:id="rId93" w:tgtFrame="_blank" w:history="1">
        <w:r w:rsidRPr="00437A8B">
          <w:rPr>
            <w:rStyle w:val="normaltextrun"/>
            <w:rFonts w:asciiTheme="majorHAnsi" w:hAnsiTheme="majorHAnsi" w:cstheme="majorHAnsi"/>
            <w:color w:val="0000FF"/>
            <w:sz w:val="22"/>
            <w:szCs w:val="22"/>
            <w:u w:val="single"/>
          </w:rPr>
          <w:t>here</w:t>
        </w:r>
      </w:hyperlink>
      <w:r w:rsidRPr="00437A8B">
        <w:rPr>
          <w:rStyle w:val="normaltextrun"/>
          <w:rFonts w:asciiTheme="majorHAnsi" w:hAnsiTheme="majorHAnsi" w:cstheme="majorHAnsi"/>
          <w:color w:val="0000FF"/>
          <w:sz w:val="22"/>
          <w:szCs w:val="22"/>
        </w:rPr>
        <w:t xml:space="preserve"> </w:t>
      </w:r>
      <w:r w:rsidRPr="006727CB">
        <w:rPr>
          <w:rStyle w:val="normaltextrun"/>
          <w:rFonts w:asciiTheme="majorHAnsi" w:hAnsiTheme="majorHAnsi" w:cstheme="majorHAnsi"/>
          <w:sz w:val="22"/>
          <w:szCs w:val="22"/>
        </w:rPr>
        <w:t>when considering online delivery models for this programming.</w:t>
      </w:r>
      <w:r w:rsidRPr="006727CB">
        <w:rPr>
          <w:rStyle w:val="eop"/>
          <w:rFonts w:asciiTheme="majorHAnsi" w:hAnsiTheme="majorHAnsi" w:cstheme="majorHAnsi"/>
          <w:sz w:val="22"/>
          <w:szCs w:val="22"/>
        </w:rPr>
        <w:t> </w:t>
      </w:r>
      <w:r w:rsidRPr="006727CB">
        <w:rPr>
          <w:rStyle w:val="eop"/>
          <w:rFonts w:asciiTheme="majorHAnsi" w:hAnsiTheme="majorHAnsi" w:cstheme="majorHAnsi"/>
          <w:sz w:val="22"/>
          <w:szCs w:val="22"/>
        </w:rPr>
        <w:br/>
      </w:r>
    </w:p>
    <w:p w14:paraId="0330E411" w14:textId="77777777" w:rsidR="005E4E7F" w:rsidRDefault="005E4E7F">
      <w:pPr>
        <w:rPr>
          <w:rFonts w:eastAsia="Times New Roman" w:cstheme="majorHAnsi"/>
          <w:sz w:val="24"/>
          <w:szCs w:val="24"/>
        </w:rPr>
      </w:pPr>
      <w:r>
        <w:rPr>
          <w:rFonts w:cstheme="majorHAnsi"/>
        </w:rPr>
        <w:br w:type="page"/>
      </w:r>
    </w:p>
    <w:p w14:paraId="75A62197" w14:textId="5FAF877D" w:rsidR="00CD2CA9" w:rsidRPr="00E44315" w:rsidRDefault="00CD2CA9" w:rsidP="00E44315">
      <w:pPr>
        <w:pStyle w:val="Heading1"/>
      </w:pPr>
      <w:bookmarkStart w:id="157" w:name="_Appendix_F:_List"/>
      <w:bookmarkStart w:id="158" w:name="_Toc125575653"/>
      <w:bookmarkEnd w:id="157"/>
      <w:r w:rsidRPr="00174ECC">
        <w:lastRenderedPageBreak/>
        <w:t>Appendix F: List of Supporting Guidelines</w:t>
      </w:r>
      <w:bookmarkEnd w:id="158"/>
    </w:p>
    <w:p w14:paraId="1F744652" w14:textId="022DC45D" w:rsidR="006727CB" w:rsidRPr="006727CB" w:rsidRDefault="00857422" w:rsidP="00437A8B">
      <w:pPr>
        <w:spacing w:before="120" w:after="160"/>
        <w:rPr>
          <w:rFonts w:cstheme="majorHAnsi"/>
        </w:rPr>
      </w:pPr>
      <w:r>
        <w:rPr>
          <w:rFonts w:cstheme="majorHAnsi"/>
        </w:rPr>
        <w:t xml:space="preserve">All supporting Guidelines and Advisories can be found on the </w:t>
      </w:r>
      <w:hyperlink r:id="rId94" w:history="1">
        <w:r w:rsidRPr="00857422">
          <w:rPr>
            <w:rStyle w:val="Hyperlink"/>
            <w:rFonts w:cstheme="majorHAnsi"/>
          </w:rPr>
          <w:t>Educator Preparation Guidelines and Advisories</w:t>
        </w:r>
      </w:hyperlink>
      <w:r>
        <w:rPr>
          <w:rFonts w:cstheme="majorHAnsi"/>
        </w:rPr>
        <w:t xml:space="preserve"> webpage.</w:t>
      </w:r>
    </w:p>
    <w:p w14:paraId="01638A5B" w14:textId="15C0C5E3" w:rsidR="00CD2CA9" w:rsidRPr="00E44315" w:rsidRDefault="002E69EF" w:rsidP="00437A8B">
      <w:pPr>
        <w:pStyle w:val="ListParagraph"/>
        <w:numPr>
          <w:ilvl w:val="0"/>
          <w:numId w:val="76"/>
        </w:numPr>
        <w:spacing w:before="120" w:after="160"/>
        <w:contextualSpacing w:val="0"/>
        <w:rPr>
          <w:rFonts w:cstheme="majorHAnsi"/>
        </w:rPr>
      </w:pPr>
      <w:hyperlink r:id="rId95" w:history="1">
        <w:r w:rsidR="00CD2CA9" w:rsidRPr="00E44315">
          <w:rPr>
            <w:rStyle w:val="Hyperlink"/>
            <w:rFonts w:cstheme="majorHAnsi"/>
          </w:rPr>
          <w:t>Guidelines for the Preparation of Administrative Leaders</w:t>
        </w:r>
      </w:hyperlink>
    </w:p>
    <w:p w14:paraId="62BF7922" w14:textId="77777777" w:rsidR="00CD2CA9" w:rsidRPr="00E44315" w:rsidRDefault="002E69EF" w:rsidP="00437A8B">
      <w:pPr>
        <w:pStyle w:val="ListParagraph"/>
        <w:numPr>
          <w:ilvl w:val="0"/>
          <w:numId w:val="76"/>
        </w:numPr>
        <w:spacing w:before="120" w:after="160"/>
        <w:contextualSpacing w:val="0"/>
        <w:rPr>
          <w:rFonts w:cstheme="majorHAnsi"/>
        </w:rPr>
      </w:pPr>
      <w:hyperlink r:id="rId96" w:history="1">
        <w:r w:rsidR="00CD2CA9" w:rsidRPr="00E44315">
          <w:rPr>
            <w:rStyle w:val="Hyperlink"/>
            <w:rFonts w:cstheme="majorHAnsi"/>
          </w:rPr>
          <w:t>Guidelines for Pre-Practicum for Teachers</w:t>
        </w:r>
      </w:hyperlink>
    </w:p>
    <w:p w14:paraId="6696F068" w14:textId="77777777" w:rsidR="00CD2CA9" w:rsidRPr="00E44315" w:rsidRDefault="002E69EF" w:rsidP="00437A8B">
      <w:pPr>
        <w:pStyle w:val="ListParagraph"/>
        <w:numPr>
          <w:ilvl w:val="0"/>
          <w:numId w:val="76"/>
        </w:numPr>
        <w:spacing w:before="120" w:after="160"/>
        <w:contextualSpacing w:val="0"/>
        <w:rPr>
          <w:rFonts w:cstheme="majorHAnsi"/>
        </w:rPr>
      </w:pPr>
      <w:hyperlink r:id="rId97" w:history="1">
        <w:r w:rsidR="00CD2CA9" w:rsidRPr="00E44315">
          <w:rPr>
            <w:rStyle w:val="Hyperlink"/>
            <w:rFonts w:cstheme="majorHAnsi"/>
          </w:rPr>
          <w:t>Guidelines for the Candidate Assessment of Performance (CAP)</w:t>
        </w:r>
      </w:hyperlink>
      <w:r w:rsidR="00CD2CA9" w:rsidRPr="00E44315">
        <w:rPr>
          <w:rStyle w:val="FootnoteReference"/>
          <w:rFonts w:cstheme="majorHAnsi"/>
        </w:rPr>
        <w:footnoteReference w:id="31"/>
      </w:r>
    </w:p>
    <w:p w14:paraId="4791B008" w14:textId="77777777" w:rsidR="00CD2CA9" w:rsidRPr="00E44315" w:rsidRDefault="002E69EF" w:rsidP="00437A8B">
      <w:pPr>
        <w:pStyle w:val="ListParagraph"/>
        <w:numPr>
          <w:ilvl w:val="0"/>
          <w:numId w:val="76"/>
        </w:numPr>
        <w:spacing w:before="120" w:after="160"/>
        <w:contextualSpacing w:val="0"/>
        <w:rPr>
          <w:rFonts w:cstheme="majorHAnsi"/>
        </w:rPr>
      </w:pPr>
      <w:hyperlink r:id="rId98" w:history="1">
        <w:r w:rsidR="00CD2CA9" w:rsidRPr="00E44315">
          <w:rPr>
            <w:rStyle w:val="Hyperlink"/>
            <w:rFonts w:cstheme="majorHAnsi"/>
          </w:rPr>
          <w:t>Guidelines for the Professional Standards for Teachers</w:t>
        </w:r>
      </w:hyperlink>
      <w:r w:rsidR="00CD2CA9" w:rsidRPr="00E44315">
        <w:rPr>
          <w:rStyle w:val="FootnoteReference"/>
          <w:rFonts w:cstheme="majorHAnsi"/>
        </w:rPr>
        <w:footnoteReference w:id="32"/>
      </w:r>
      <w:r w:rsidR="00CD2CA9" w:rsidRPr="00E44315">
        <w:rPr>
          <w:rFonts w:cstheme="majorHAnsi"/>
        </w:rPr>
        <w:t xml:space="preserve"> (PST Guidelines)</w:t>
      </w:r>
    </w:p>
    <w:p w14:paraId="3B1AEC1D" w14:textId="77777777" w:rsidR="00CD2CA9" w:rsidRPr="00E44315" w:rsidRDefault="002E69EF" w:rsidP="00437A8B">
      <w:pPr>
        <w:pStyle w:val="ListParagraph"/>
        <w:numPr>
          <w:ilvl w:val="0"/>
          <w:numId w:val="76"/>
        </w:numPr>
        <w:spacing w:before="120" w:after="160"/>
        <w:contextualSpacing w:val="0"/>
        <w:rPr>
          <w:rFonts w:cstheme="majorHAnsi"/>
        </w:rPr>
      </w:pPr>
      <w:hyperlink r:id="rId99" w:history="1">
        <w:r w:rsidR="00CD2CA9" w:rsidRPr="00E44315">
          <w:rPr>
            <w:rStyle w:val="Hyperlink"/>
            <w:rFonts w:cstheme="majorHAnsi"/>
          </w:rPr>
          <w:t>Guidelines for Subject Matter Knowledge</w:t>
        </w:r>
      </w:hyperlink>
      <w:r w:rsidR="00CD2CA9" w:rsidRPr="00E44315">
        <w:rPr>
          <w:rFonts w:cstheme="majorHAnsi"/>
        </w:rPr>
        <w:t xml:space="preserve"> (SMK Guidelines)</w:t>
      </w:r>
    </w:p>
    <w:p w14:paraId="12E0D9C6" w14:textId="77777777" w:rsidR="00CD2CA9" w:rsidRPr="00E44315" w:rsidRDefault="002E69EF" w:rsidP="00437A8B">
      <w:pPr>
        <w:pStyle w:val="ListParagraph"/>
        <w:numPr>
          <w:ilvl w:val="0"/>
          <w:numId w:val="76"/>
        </w:numPr>
        <w:spacing w:before="120" w:after="160"/>
        <w:contextualSpacing w:val="0"/>
        <w:rPr>
          <w:rFonts w:cstheme="majorHAnsi"/>
        </w:rPr>
      </w:pPr>
      <w:hyperlink r:id="rId100" w:history="1">
        <w:r w:rsidR="00CD2CA9" w:rsidRPr="00E44315">
          <w:rPr>
            <w:rStyle w:val="Hyperlink"/>
            <w:rFonts w:cstheme="majorHAnsi"/>
          </w:rPr>
          <w:t>Guidelines for the Preparation of Teachers of Moderate and Severe Disabilities: Instruction on the appropriate use of augmentative and alternative communication and other assistive technologies</w:t>
        </w:r>
      </w:hyperlink>
    </w:p>
    <w:p w14:paraId="570F2E1C" w14:textId="77777777" w:rsidR="00CD2CA9" w:rsidRPr="00E44315" w:rsidRDefault="00CD2CA9" w:rsidP="00437A8B">
      <w:pPr>
        <w:pStyle w:val="ListParagraph"/>
        <w:numPr>
          <w:ilvl w:val="0"/>
          <w:numId w:val="76"/>
        </w:numPr>
        <w:spacing w:before="120" w:after="160"/>
        <w:contextualSpacing w:val="0"/>
        <w:rPr>
          <w:rFonts w:cstheme="majorHAnsi"/>
        </w:rPr>
      </w:pPr>
      <w:r w:rsidRPr="00E44315">
        <w:rPr>
          <w:rFonts w:cstheme="majorHAnsi"/>
        </w:rPr>
        <w:t>Endorsement Guidelines:</w:t>
      </w:r>
    </w:p>
    <w:p w14:paraId="7C68D650" w14:textId="77777777" w:rsidR="00CD2CA9" w:rsidRPr="00E44315" w:rsidRDefault="002E69EF" w:rsidP="00437A8B">
      <w:pPr>
        <w:pStyle w:val="ListParagraph"/>
        <w:numPr>
          <w:ilvl w:val="1"/>
          <w:numId w:val="76"/>
        </w:numPr>
        <w:spacing w:before="120" w:after="160"/>
        <w:contextualSpacing w:val="0"/>
        <w:rPr>
          <w:rFonts w:cstheme="majorHAnsi"/>
        </w:rPr>
      </w:pPr>
      <w:hyperlink r:id="rId101" w:history="1">
        <w:r w:rsidR="00CD2CA9" w:rsidRPr="00E44315">
          <w:rPr>
            <w:rStyle w:val="Hyperlink"/>
            <w:rFonts w:cstheme="majorHAnsi"/>
          </w:rPr>
          <w:t>Autism</w:t>
        </w:r>
      </w:hyperlink>
      <w:r w:rsidR="00CD2CA9" w:rsidRPr="00E44315">
        <w:rPr>
          <w:rFonts w:cstheme="majorHAnsi"/>
        </w:rPr>
        <w:t xml:space="preserve"> </w:t>
      </w:r>
    </w:p>
    <w:p w14:paraId="5CF2BBB7" w14:textId="77777777" w:rsidR="00CD2CA9" w:rsidRPr="00E44315" w:rsidRDefault="002E69EF" w:rsidP="00437A8B">
      <w:pPr>
        <w:pStyle w:val="ListParagraph"/>
        <w:numPr>
          <w:ilvl w:val="1"/>
          <w:numId w:val="76"/>
        </w:numPr>
        <w:spacing w:before="120" w:after="160"/>
        <w:contextualSpacing w:val="0"/>
        <w:rPr>
          <w:rFonts w:cstheme="majorHAnsi"/>
        </w:rPr>
      </w:pPr>
      <w:hyperlink r:id="rId102" w:history="1">
        <w:r w:rsidR="00CD2CA9" w:rsidRPr="00E44315">
          <w:rPr>
            <w:rStyle w:val="Hyperlink"/>
            <w:rFonts w:cstheme="majorHAnsi"/>
          </w:rPr>
          <w:t>Bilingual Education</w:t>
        </w:r>
      </w:hyperlink>
    </w:p>
    <w:p w14:paraId="2610247B" w14:textId="34493170" w:rsidR="00CD2CA9" w:rsidRPr="00E44315" w:rsidRDefault="002E69EF" w:rsidP="00ED1C24">
      <w:pPr>
        <w:spacing w:before="120" w:after="160"/>
        <w:rPr>
          <w:rFonts w:cstheme="majorBidi"/>
        </w:rPr>
      </w:pPr>
      <w:hyperlink r:id="rId103">
        <w:r w:rsidR="16BF4611" w:rsidRPr="5E5DEAB0">
          <w:rPr>
            <w:rStyle w:val="Hyperlink"/>
            <w:rFonts w:cstheme="majorBidi"/>
          </w:rPr>
          <w:t xml:space="preserve">Transition </w:t>
        </w:r>
        <w:proofErr w:type="spellStart"/>
        <w:r w:rsidR="16BF4611" w:rsidRPr="5E5DEAB0">
          <w:rPr>
            <w:rStyle w:val="Hyperlink"/>
            <w:rFonts w:cstheme="majorBidi"/>
          </w:rPr>
          <w:t>Specialist</w:t>
        </w:r>
      </w:hyperlink>
      <w:hyperlink r:id="rId104">
        <w:r w:rsidR="16BF4611" w:rsidRPr="5E5DEAB0">
          <w:rPr>
            <w:rStyle w:val="Hyperlink"/>
            <w:rFonts w:cstheme="majorBidi"/>
          </w:rPr>
          <w:t>SEI</w:t>
        </w:r>
        <w:proofErr w:type="spellEnd"/>
        <w:r w:rsidR="16BF4611" w:rsidRPr="5E5DEAB0">
          <w:rPr>
            <w:rStyle w:val="Hyperlink"/>
            <w:rFonts w:cstheme="majorBidi"/>
          </w:rPr>
          <w:t xml:space="preserve"> Stand-Alone Course Requirements</w:t>
        </w:r>
      </w:hyperlink>
      <w:r w:rsidR="16BF4611" w:rsidRPr="5E5DEAB0">
        <w:rPr>
          <w:rFonts w:cstheme="majorBidi"/>
        </w:rPr>
        <w:t xml:space="preserve"> </w:t>
      </w:r>
    </w:p>
    <w:p w14:paraId="0C54AE0A" w14:textId="4EDC70C2" w:rsidR="005E4E7F" w:rsidRDefault="005E4E7F">
      <w:pPr>
        <w:rPr>
          <w:rFonts w:cstheme="majorHAnsi"/>
          <w:sz w:val="24"/>
          <w:szCs w:val="24"/>
        </w:rPr>
      </w:pPr>
      <w:r>
        <w:rPr>
          <w:rFonts w:cstheme="majorHAnsi"/>
          <w:sz w:val="24"/>
          <w:szCs w:val="24"/>
        </w:rPr>
        <w:br w:type="page"/>
      </w:r>
    </w:p>
    <w:p w14:paraId="2E9B95BE" w14:textId="77777777" w:rsidR="00AE33E0" w:rsidRPr="005E4E7F" w:rsidRDefault="00AE33E0" w:rsidP="005E4E7F">
      <w:pPr>
        <w:pStyle w:val="Heading1"/>
      </w:pPr>
      <w:bookmarkStart w:id="159" w:name="_Appendix_H:_Glossary"/>
      <w:bookmarkStart w:id="160" w:name="_Toc125575654"/>
      <w:bookmarkEnd w:id="159"/>
      <w:r w:rsidRPr="005E4E7F">
        <w:lastRenderedPageBreak/>
        <w:t>Appendix H: Glossary of Terms</w:t>
      </w:r>
      <w:bookmarkEnd w:id="160"/>
    </w:p>
    <w:p w14:paraId="38BCD708" w14:textId="4690AEE4" w:rsidR="00AE33E0" w:rsidRPr="00090190" w:rsidRDefault="00AE33E0" w:rsidP="00437A8B">
      <w:pPr>
        <w:pStyle w:val="BodyText"/>
        <w:spacing w:line="276" w:lineRule="auto"/>
        <w:ind w:left="475" w:hanging="360"/>
        <w:rPr>
          <w:rFonts w:asciiTheme="majorHAnsi" w:hAnsiTheme="majorHAnsi" w:cstheme="majorHAnsi"/>
          <w:szCs w:val="22"/>
        </w:rPr>
      </w:pPr>
      <w:r w:rsidRPr="00857422">
        <w:rPr>
          <w:rFonts w:asciiTheme="majorHAnsi" w:hAnsiTheme="majorHAnsi" w:cstheme="majorHAnsi"/>
          <w:b/>
          <w:bCs/>
          <w:szCs w:val="22"/>
        </w:rPr>
        <w:t xml:space="preserve">All candidates/All students: </w:t>
      </w:r>
      <w:r w:rsidRPr="00857422">
        <w:rPr>
          <w:rFonts w:asciiTheme="majorHAnsi" w:hAnsiTheme="majorHAnsi" w:cstheme="majorHAnsi"/>
          <w:szCs w:val="22"/>
        </w:rPr>
        <w:t>When used in reference to any group of individuals throughout these criteria, “all” represents each and every member of that group, within and across identity groups and backgrounds, with particular focus on those who have been systematically marginalized or underserved by our education systems, including but not limited to those who identify as B</w:t>
      </w:r>
      <w:r w:rsidRPr="00090190">
        <w:rPr>
          <w:rFonts w:asciiTheme="majorHAnsi" w:hAnsiTheme="majorHAnsi" w:cstheme="majorHAnsi"/>
          <w:szCs w:val="22"/>
        </w:rPr>
        <w:t>lack, Latinx, Asian, Indigenous, and/or Multiracial.</w:t>
      </w:r>
    </w:p>
    <w:p w14:paraId="3F921982" w14:textId="77777777" w:rsidR="00AE33E0" w:rsidRPr="00090190" w:rsidRDefault="00AE33E0" w:rsidP="00437A8B">
      <w:pPr>
        <w:pStyle w:val="BodyText"/>
        <w:spacing w:before="8" w:line="276" w:lineRule="auto"/>
        <w:ind w:left="475" w:hanging="360"/>
        <w:rPr>
          <w:rFonts w:asciiTheme="majorHAnsi" w:hAnsiTheme="majorHAnsi" w:cstheme="majorHAnsi"/>
          <w:szCs w:val="22"/>
        </w:rPr>
      </w:pPr>
    </w:p>
    <w:p w14:paraId="62E974A1" w14:textId="77777777" w:rsidR="00AE33E0" w:rsidRPr="00014585" w:rsidRDefault="00AE33E0" w:rsidP="00437A8B">
      <w:pPr>
        <w:pStyle w:val="BodyText"/>
        <w:spacing w:before="8" w:line="276" w:lineRule="auto"/>
        <w:ind w:left="475" w:hanging="360"/>
        <w:rPr>
          <w:rFonts w:asciiTheme="majorHAnsi" w:hAnsiTheme="majorHAnsi" w:cstheme="majorHAnsi"/>
          <w:szCs w:val="22"/>
        </w:rPr>
      </w:pPr>
      <w:r w:rsidRPr="00014585">
        <w:rPr>
          <w:rFonts w:asciiTheme="majorHAnsi" w:hAnsiTheme="majorHAnsi" w:cstheme="majorHAnsi"/>
          <w:b/>
          <w:bCs/>
          <w:szCs w:val="22"/>
        </w:rPr>
        <w:t>Anti-racist Teacher and Leader:</w:t>
      </w:r>
      <w:r w:rsidRPr="00014585">
        <w:rPr>
          <w:rFonts w:asciiTheme="majorHAnsi" w:hAnsiTheme="majorHAnsi" w:cstheme="majorHAnsi"/>
          <w:szCs w:val="22"/>
        </w:rPr>
        <w:t xml:space="preserve"> Believes racial groups are equals in all their differences and continually engages in self-reflective work that leads to educational policies, practices, conditions, and cultures that resist and dismantle inequities due to individual and systemic racism to advance racial equity. (Guidelines for the Preparation of Administrative Leaders)</w:t>
      </w:r>
    </w:p>
    <w:p w14:paraId="312C2D9D" w14:textId="77777777" w:rsidR="00AE33E0" w:rsidRPr="00014585" w:rsidRDefault="00AE33E0" w:rsidP="00437A8B">
      <w:pPr>
        <w:pStyle w:val="BodyText"/>
        <w:spacing w:line="276" w:lineRule="auto"/>
        <w:ind w:left="475" w:hanging="360"/>
        <w:rPr>
          <w:rFonts w:asciiTheme="majorHAnsi" w:hAnsiTheme="majorHAnsi" w:cstheme="majorHAnsi"/>
          <w:szCs w:val="22"/>
        </w:rPr>
      </w:pPr>
    </w:p>
    <w:p w14:paraId="06DEB3CF" w14:textId="77777777" w:rsidR="00AE33E0" w:rsidRPr="00437A8B" w:rsidRDefault="00AE33E0" w:rsidP="00437A8B">
      <w:pPr>
        <w:pStyle w:val="BodyText"/>
        <w:spacing w:line="276" w:lineRule="auto"/>
        <w:ind w:left="475" w:hanging="360"/>
        <w:rPr>
          <w:rFonts w:asciiTheme="majorHAnsi" w:hAnsiTheme="majorHAnsi" w:cstheme="majorHAnsi"/>
          <w:szCs w:val="22"/>
        </w:rPr>
      </w:pPr>
      <w:r w:rsidRPr="00014585">
        <w:rPr>
          <w:rFonts w:asciiTheme="majorHAnsi" w:hAnsiTheme="majorHAnsi" w:cstheme="majorHAnsi"/>
          <w:b/>
          <w:bCs/>
          <w:szCs w:val="22"/>
        </w:rPr>
        <w:t>Approval</w:t>
      </w:r>
      <w:r w:rsidRPr="00014585">
        <w:rPr>
          <w:rFonts w:asciiTheme="majorHAnsi" w:hAnsiTheme="majorHAnsi" w:cstheme="majorHAnsi"/>
          <w:b/>
          <w:bCs/>
          <w:spacing w:val="-1"/>
          <w:szCs w:val="22"/>
        </w:rPr>
        <w:t xml:space="preserve"> </w:t>
      </w:r>
      <w:r w:rsidRPr="00AC72D4">
        <w:rPr>
          <w:rFonts w:asciiTheme="majorHAnsi" w:hAnsiTheme="majorHAnsi" w:cstheme="majorHAnsi"/>
          <w:b/>
          <w:bCs/>
          <w:szCs w:val="22"/>
        </w:rPr>
        <w:t>Determination</w:t>
      </w:r>
      <w:r w:rsidRPr="00DD08F3">
        <w:rPr>
          <w:rFonts w:asciiTheme="majorHAnsi" w:hAnsiTheme="majorHAnsi" w:cstheme="majorHAnsi"/>
          <w:szCs w:val="22"/>
        </w:rPr>
        <w:t>:</w:t>
      </w:r>
      <w:r w:rsidRPr="001F3F72">
        <w:rPr>
          <w:rFonts w:asciiTheme="majorHAnsi" w:hAnsiTheme="majorHAnsi" w:cstheme="majorHAnsi"/>
          <w:spacing w:val="-2"/>
          <w:szCs w:val="22"/>
        </w:rPr>
        <w:t xml:space="preserve"> </w:t>
      </w:r>
      <w:r w:rsidRPr="001F3F72">
        <w:rPr>
          <w:rFonts w:asciiTheme="majorHAnsi" w:hAnsiTheme="majorHAnsi" w:cstheme="majorHAnsi"/>
          <w:szCs w:val="22"/>
        </w:rPr>
        <w:t>The</w:t>
      </w:r>
      <w:r w:rsidRPr="001F3F72">
        <w:rPr>
          <w:rFonts w:asciiTheme="majorHAnsi" w:hAnsiTheme="majorHAnsi" w:cstheme="majorHAnsi"/>
          <w:spacing w:val="-2"/>
          <w:szCs w:val="22"/>
        </w:rPr>
        <w:t xml:space="preserve"> </w:t>
      </w:r>
      <w:r w:rsidRPr="00284DC3">
        <w:rPr>
          <w:rFonts w:asciiTheme="majorHAnsi" w:hAnsiTheme="majorHAnsi" w:cstheme="majorHAnsi"/>
          <w:szCs w:val="22"/>
        </w:rPr>
        <w:t>type</w:t>
      </w:r>
      <w:r w:rsidRPr="00284DC3">
        <w:rPr>
          <w:rFonts w:asciiTheme="majorHAnsi" w:hAnsiTheme="majorHAnsi" w:cstheme="majorHAnsi"/>
          <w:spacing w:val="-4"/>
          <w:szCs w:val="22"/>
        </w:rPr>
        <w:t xml:space="preserve"> </w:t>
      </w:r>
      <w:r w:rsidRPr="00367C89">
        <w:rPr>
          <w:rFonts w:asciiTheme="majorHAnsi" w:hAnsiTheme="majorHAnsi" w:cstheme="majorHAnsi"/>
          <w:szCs w:val="22"/>
        </w:rPr>
        <w:t>of</w:t>
      </w:r>
      <w:r w:rsidRPr="00367C89">
        <w:rPr>
          <w:rFonts w:asciiTheme="majorHAnsi" w:hAnsiTheme="majorHAnsi" w:cstheme="majorHAnsi"/>
          <w:spacing w:val="-4"/>
          <w:szCs w:val="22"/>
        </w:rPr>
        <w:t xml:space="preserve"> </w:t>
      </w:r>
      <w:r w:rsidRPr="00367C89">
        <w:rPr>
          <w:rFonts w:asciiTheme="majorHAnsi" w:hAnsiTheme="majorHAnsi" w:cstheme="majorHAnsi"/>
          <w:szCs w:val="22"/>
        </w:rPr>
        <w:t>approval</w:t>
      </w:r>
      <w:r w:rsidRPr="00367C89">
        <w:rPr>
          <w:rFonts w:asciiTheme="majorHAnsi" w:hAnsiTheme="majorHAnsi" w:cstheme="majorHAnsi"/>
          <w:spacing w:val="-2"/>
          <w:szCs w:val="22"/>
        </w:rPr>
        <w:t xml:space="preserve"> </w:t>
      </w:r>
      <w:r w:rsidRPr="00367C89">
        <w:rPr>
          <w:rFonts w:asciiTheme="majorHAnsi" w:hAnsiTheme="majorHAnsi" w:cstheme="majorHAnsi"/>
          <w:szCs w:val="22"/>
        </w:rPr>
        <w:t>a</w:t>
      </w:r>
      <w:r w:rsidRPr="00367C89">
        <w:rPr>
          <w:rFonts w:asciiTheme="majorHAnsi" w:hAnsiTheme="majorHAnsi" w:cstheme="majorHAnsi"/>
          <w:spacing w:val="-7"/>
          <w:szCs w:val="22"/>
        </w:rPr>
        <w:t xml:space="preserve"> </w:t>
      </w:r>
      <w:r w:rsidRPr="005D0AA6">
        <w:rPr>
          <w:rFonts w:asciiTheme="majorHAnsi" w:hAnsiTheme="majorHAnsi" w:cstheme="majorHAnsi"/>
          <w:szCs w:val="22"/>
        </w:rPr>
        <w:t>Sponsoring</w:t>
      </w:r>
      <w:r w:rsidRPr="005D0AA6">
        <w:rPr>
          <w:rFonts w:asciiTheme="majorHAnsi" w:hAnsiTheme="majorHAnsi" w:cstheme="majorHAnsi"/>
          <w:spacing w:val="-3"/>
          <w:szCs w:val="22"/>
        </w:rPr>
        <w:t xml:space="preserve"> </w:t>
      </w:r>
      <w:r w:rsidRPr="00437A8B">
        <w:rPr>
          <w:rFonts w:asciiTheme="majorHAnsi" w:hAnsiTheme="majorHAnsi" w:cstheme="majorHAnsi"/>
          <w:szCs w:val="22"/>
        </w:rPr>
        <w:t>Organization</w:t>
      </w:r>
      <w:r w:rsidRPr="00437A8B">
        <w:rPr>
          <w:rFonts w:asciiTheme="majorHAnsi" w:hAnsiTheme="majorHAnsi" w:cstheme="majorHAnsi"/>
          <w:spacing w:val="-4"/>
          <w:szCs w:val="22"/>
        </w:rPr>
        <w:t xml:space="preserve"> </w:t>
      </w:r>
      <w:r w:rsidRPr="00437A8B">
        <w:rPr>
          <w:rFonts w:asciiTheme="majorHAnsi" w:hAnsiTheme="majorHAnsi" w:cstheme="majorHAnsi"/>
          <w:szCs w:val="22"/>
        </w:rPr>
        <w:t>receives</w:t>
      </w:r>
      <w:r w:rsidRPr="00437A8B">
        <w:rPr>
          <w:rFonts w:asciiTheme="majorHAnsi" w:hAnsiTheme="majorHAnsi" w:cstheme="majorHAnsi"/>
          <w:spacing w:val="-3"/>
          <w:szCs w:val="22"/>
        </w:rPr>
        <w:t xml:space="preserve"> </w:t>
      </w:r>
      <w:r w:rsidRPr="00437A8B">
        <w:rPr>
          <w:rFonts w:asciiTheme="majorHAnsi" w:hAnsiTheme="majorHAnsi" w:cstheme="majorHAnsi"/>
          <w:szCs w:val="22"/>
        </w:rPr>
        <w:t>from</w:t>
      </w:r>
      <w:r w:rsidRPr="00437A8B">
        <w:rPr>
          <w:rFonts w:asciiTheme="majorHAnsi" w:hAnsiTheme="majorHAnsi" w:cstheme="majorHAnsi"/>
          <w:spacing w:val="-5"/>
          <w:szCs w:val="22"/>
        </w:rPr>
        <w:t xml:space="preserve"> </w:t>
      </w:r>
      <w:r w:rsidRPr="00437A8B">
        <w:rPr>
          <w:rFonts w:asciiTheme="majorHAnsi" w:hAnsiTheme="majorHAnsi" w:cstheme="majorHAnsi"/>
          <w:szCs w:val="22"/>
        </w:rPr>
        <w:t>formal review (Approved with Distinction, Approved, Approved with Conditions, Probationary Approval, or Not Approved). Formerly called Approval Status.</w:t>
      </w:r>
    </w:p>
    <w:p w14:paraId="28A4C286" w14:textId="77777777" w:rsidR="00AE33E0" w:rsidRPr="00437A8B" w:rsidRDefault="00AE33E0" w:rsidP="00437A8B">
      <w:pPr>
        <w:pStyle w:val="BodyText"/>
        <w:spacing w:line="276" w:lineRule="auto"/>
        <w:ind w:left="475" w:hanging="360"/>
        <w:rPr>
          <w:rFonts w:asciiTheme="majorHAnsi" w:hAnsiTheme="majorHAnsi" w:cstheme="majorHAnsi"/>
          <w:szCs w:val="22"/>
        </w:rPr>
      </w:pPr>
    </w:p>
    <w:p w14:paraId="53C75C9B" w14:textId="77777777" w:rsidR="00AE33E0" w:rsidRPr="00437A8B" w:rsidRDefault="00AE33E0" w:rsidP="00437A8B">
      <w:pPr>
        <w:pStyle w:val="BodyText"/>
        <w:spacing w:line="276" w:lineRule="auto"/>
        <w:ind w:left="475" w:hanging="360"/>
        <w:rPr>
          <w:rFonts w:asciiTheme="majorHAnsi" w:hAnsiTheme="majorHAnsi" w:cstheme="majorHAnsi"/>
          <w:szCs w:val="22"/>
        </w:rPr>
      </w:pPr>
      <w:r w:rsidRPr="00437A8B">
        <w:rPr>
          <w:rFonts w:asciiTheme="majorHAnsi" w:hAnsiTheme="majorHAnsi" w:cstheme="majorHAnsi"/>
          <w:b/>
          <w:bCs/>
          <w:szCs w:val="22"/>
        </w:rPr>
        <w:t>Bias:</w:t>
      </w:r>
      <w:r w:rsidRPr="00437A8B">
        <w:rPr>
          <w:rFonts w:asciiTheme="majorHAnsi" w:hAnsiTheme="majorHAnsi" w:cstheme="majorHAnsi"/>
          <w:szCs w:val="22"/>
        </w:rPr>
        <w:t xml:space="preserve"> A disproportionate weight that may be created intentionally or unintentionally in favor of or against an idea, thing, individual, or group.</w:t>
      </w:r>
    </w:p>
    <w:p w14:paraId="22387C8E" w14:textId="77777777" w:rsidR="00AE33E0" w:rsidRPr="00437A8B" w:rsidRDefault="00AE33E0" w:rsidP="00437A8B">
      <w:pPr>
        <w:spacing w:before="160"/>
        <w:ind w:left="475" w:hanging="360"/>
        <w:rPr>
          <w:rFonts w:cstheme="majorHAnsi"/>
        </w:rPr>
      </w:pPr>
      <w:r w:rsidRPr="00437A8B">
        <w:rPr>
          <w:rFonts w:cstheme="majorHAnsi"/>
          <w:b/>
          <w:bCs/>
        </w:rPr>
        <w:t>Candidate</w:t>
      </w:r>
      <w:r w:rsidRPr="00437A8B">
        <w:rPr>
          <w:rFonts w:cstheme="majorHAnsi"/>
          <w:i/>
          <w:iCs/>
        </w:rPr>
        <w:t>:</w:t>
      </w:r>
      <w:r w:rsidRPr="00437A8B">
        <w:rPr>
          <w:rFonts w:cstheme="majorHAnsi"/>
          <w:i/>
          <w:iCs/>
          <w:spacing w:val="-6"/>
        </w:rPr>
        <w:t xml:space="preserve"> </w:t>
      </w:r>
      <w:r w:rsidRPr="00437A8B">
        <w:rPr>
          <w:rFonts w:cstheme="majorHAnsi"/>
        </w:rPr>
        <w:t>A</w:t>
      </w:r>
      <w:r w:rsidRPr="00437A8B">
        <w:rPr>
          <w:rFonts w:cstheme="majorHAnsi"/>
          <w:spacing w:val="-2"/>
        </w:rPr>
        <w:t xml:space="preserve"> </w:t>
      </w:r>
      <w:r w:rsidRPr="00437A8B">
        <w:rPr>
          <w:rFonts w:cstheme="majorHAnsi"/>
        </w:rPr>
        <w:t>person</w:t>
      </w:r>
      <w:r w:rsidRPr="00437A8B">
        <w:rPr>
          <w:rFonts w:cstheme="majorHAnsi"/>
          <w:spacing w:val="-3"/>
        </w:rPr>
        <w:t xml:space="preserve"> </w:t>
      </w:r>
      <w:r w:rsidRPr="00437A8B">
        <w:rPr>
          <w:rFonts w:cstheme="majorHAnsi"/>
        </w:rPr>
        <w:t>who</w:t>
      </w:r>
      <w:r w:rsidRPr="00437A8B">
        <w:rPr>
          <w:rFonts w:cstheme="majorHAnsi"/>
          <w:spacing w:val="-2"/>
        </w:rPr>
        <w:t xml:space="preserve"> </w:t>
      </w:r>
      <w:r w:rsidRPr="00437A8B">
        <w:rPr>
          <w:rFonts w:cstheme="majorHAnsi"/>
        </w:rPr>
        <w:t>is</w:t>
      </w:r>
      <w:r w:rsidRPr="00437A8B">
        <w:rPr>
          <w:rFonts w:cstheme="majorHAnsi"/>
          <w:spacing w:val="-2"/>
        </w:rPr>
        <w:t xml:space="preserve"> </w:t>
      </w:r>
      <w:r w:rsidRPr="00437A8B">
        <w:rPr>
          <w:rFonts w:cstheme="majorHAnsi"/>
        </w:rPr>
        <w:t>currently</w:t>
      </w:r>
      <w:r w:rsidRPr="00437A8B">
        <w:rPr>
          <w:rFonts w:cstheme="majorHAnsi"/>
          <w:spacing w:val="-3"/>
        </w:rPr>
        <w:t xml:space="preserve"> </w:t>
      </w:r>
      <w:r w:rsidRPr="00437A8B">
        <w:rPr>
          <w:rFonts w:cstheme="majorHAnsi"/>
        </w:rPr>
        <w:t>enrolled</w:t>
      </w:r>
      <w:r w:rsidRPr="00437A8B">
        <w:rPr>
          <w:rFonts w:cstheme="majorHAnsi"/>
          <w:spacing w:val="-1"/>
        </w:rPr>
        <w:t xml:space="preserve"> </w:t>
      </w:r>
      <w:r w:rsidRPr="00437A8B">
        <w:rPr>
          <w:rFonts w:cstheme="majorHAnsi"/>
        </w:rPr>
        <w:t>in</w:t>
      </w:r>
      <w:r w:rsidRPr="00437A8B">
        <w:rPr>
          <w:rFonts w:cstheme="majorHAnsi"/>
          <w:spacing w:val="-3"/>
        </w:rPr>
        <w:t xml:space="preserve"> </w:t>
      </w:r>
      <w:r w:rsidRPr="00437A8B">
        <w:rPr>
          <w:rFonts w:cstheme="majorHAnsi"/>
        </w:rPr>
        <w:t>an</w:t>
      </w:r>
      <w:r w:rsidRPr="00437A8B">
        <w:rPr>
          <w:rFonts w:cstheme="majorHAnsi"/>
          <w:spacing w:val="-1"/>
        </w:rPr>
        <w:t xml:space="preserve"> educator preparation program</w:t>
      </w:r>
      <w:r w:rsidRPr="00437A8B">
        <w:rPr>
          <w:rFonts w:cstheme="majorHAnsi"/>
        </w:rPr>
        <w:t>;</w:t>
      </w:r>
      <w:r w:rsidRPr="00437A8B">
        <w:rPr>
          <w:rFonts w:cstheme="majorHAnsi"/>
          <w:spacing w:val="-1"/>
        </w:rPr>
        <w:t xml:space="preserve"> </w:t>
      </w:r>
      <w:r w:rsidRPr="00437A8B">
        <w:rPr>
          <w:rFonts w:cstheme="majorHAnsi"/>
          <w:i/>
          <w:iCs/>
          <w:spacing w:val="-2"/>
        </w:rPr>
        <w:t>student</w:t>
      </w:r>
      <w:r w:rsidRPr="00437A8B">
        <w:rPr>
          <w:rFonts w:cstheme="majorHAnsi"/>
          <w:spacing w:val="-2"/>
        </w:rPr>
        <w:t>.</w:t>
      </w:r>
    </w:p>
    <w:p w14:paraId="6C0F09AF" w14:textId="758A4F16" w:rsidR="00AE33E0" w:rsidRPr="00437A8B" w:rsidRDefault="00AE33E0" w:rsidP="00437A8B">
      <w:pPr>
        <w:pStyle w:val="BodyText"/>
        <w:spacing w:before="204" w:line="276" w:lineRule="auto"/>
        <w:ind w:left="475" w:hanging="360"/>
        <w:rPr>
          <w:rFonts w:asciiTheme="majorHAnsi" w:hAnsiTheme="majorHAnsi" w:cstheme="majorHAnsi"/>
          <w:szCs w:val="22"/>
        </w:rPr>
      </w:pPr>
      <w:r w:rsidRPr="00437A8B">
        <w:rPr>
          <w:rFonts w:asciiTheme="majorHAnsi" w:hAnsiTheme="majorHAnsi" w:cstheme="majorHAnsi"/>
          <w:b/>
          <w:bCs/>
          <w:szCs w:val="22"/>
        </w:rPr>
        <w:t>Commendation:</w:t>
      </w:r>
      <w:r w:rsidRPr="00437A8B">
        <w:rPr>
          <w:rFonts w:asciiTheme="majorHAnsi" w:hAnsiTheme="majorHAnsi" w:cstheme="majorHAnsi"/>
          <w:b/>
          <w:bCs/>
          <w:spacing w:val="-4"/>
          <w:szCs w:val="22"/>
        </w:rPr>
        <w:t xml:space="preserve"> </w:t>
      </w:r>
      <w:r w:rsidRPr="00437A8B">
        <w:rPr>
          <w:rFonts w:asciiTheme="majorHAnsi" w:hAnsiTheme="majorHAnsi" w:cstheme="majorHAnsi"/>
          <w:szCs w:val="22"/>
        </w:rPr>
        <w:t>Criteria</w:t>
      </w:r>
      <w:r w:rsidRPr="00437A8B">
        <w:rPr>
          <w:rFonts w:asciiTheme="majorHAnsi" w:hAnsiTheme="majorHAnsi" w:cstheme="majorHAnsi"/>
          <w:spacing w:val="-5"/>
          <w:szCs w:val="22"/>
        </w:rPr>
        <w:t xml:space="preserve"> </w:t>
      </w:r>
      <w:r w:rsidRPr="00437A8B">
        <w:rPr>
          <w:rFonts w:asciiTheme="majorHAnsi" w:hAnsiTheme="majorHAnsi" w:cstheme="majorHAnsi"/>
          <w:szCs w:val="22"/>
        </w:rPr>
        <w:t>rating</w:t>
      </w:r>
      <w:r w:rsidRPr="00437A8B">
        <w:rPr>
          <w:rFonts w:asciiTheme="majorHAnsi" w:hAnsiTheme="majorHAnsi" w:cstheme="majorHAnsi"/>
          <w:spacing w:val="-6"/>
          <w:szCs w:val="22"/>
        </w:rPr>
        <w:t xml:space="preserve"> </w:t>
      </w:r>
      <w:r w:rsidRPr="00437A8B">
        <w:rPr>
          <w:rFonts w:asciiTheme="majorHAnsi" w:hAnsiTheme="majorHAnsi" w:cstheme="majorHAnsi"/>
          <w:szCs w:val="22"/>
        </w:rPr>
        <w:t>in</w:t>
      </w:r>
      <w:r w:rsidRPr="00437A8B">
        <w:rPr>
          <w:rFonts w:asciiTheme="majorHAnsi" w:hAnsiTheme="majorHAnsi" w:cstheme="majorHAnsi"/>
          <w:spacing w:val="-1"/>
          <w:szCs w:val="22"/>
        </w:rPr>
        <w:t xml:space="preserve"> </w:t>
      </w:r>
      <w:r w:rsidRPr="00437A8B">
        <w:rPr>
          <w:rFonts w:asciiTheme="majorHAnsi" w:hAnsiTheme="majorHAnsi" w:cstheme="majorHAnsi"/>
          <w:szCs w:val="22"/>
        </w:rPr>
        <w:t>Formal</w:t>
      </w:r>
      <w:r w:rsidRPr="00437A8B">
        <w:rPr>
          <w:rFonts w:asciiTheme="majorHAnsi" w:hAnsiTheme="majorHAnsi" w:cstheme="majorHAnsi"/>
          <w:spacing w:val="-5"/>
          <w:szCs w:val="22"/>
        </w:rPr>
        <w:t xml:space="preserve"> </w:t>
      </w:r>
      <w:r w:rsidRPr="00437A8B">
        <w:rPr>
          <w:rFonts w:asciiTheme="majorHAnsi" w:hAnsiTheme="majorHAnsi" w:cstheme="majorHAnsi"/>
          <w:szCs w:val="22"/>
        </w:rPr>
        <w:t>Review</w:t>
      </w:r>
      <w:r w:rsidRPr="00437A8B">
        <w:rPr>
          <w:rFonts w:asciiTheme="majorHAnsi" w:hAnsiTheme="majorHAnsi" w:cstheme="majorHAnsi"/>
          <w:spacing w:val="-4"/>
          <w:szCs w:val="22"/>
        </w:rPr>
        <w:t xml:space="preserve"> </w:t>
      </w:r>
      <w:r w:rsidRPr="00437A8B">
        <w:rPr>
          <w:rFonts w:asciiTheme="majorHAnsi" w:hAnsiTheme="majorHAnsi" w:cstheme="majorHAnsi"/>
          <w:szCs w:val="22"/>
        </w:rPr>
        <w:t>reserved</w:t>
      </w:r>
      <w:r w:rsidRPr="00437A8B">
        <w:rPr>
          <w:rFonts w:asciiTheme="majorHAnsi" w:hAnsiTheme="majorHAnsi" w:cstheme="majorHAnsi"/>
          <w:spacing w:val="-4"/>
          <w:szCs w:val="22"/>
        </w:rPr>
        <w:t xml:space="preserve"> </w:t>
      </w:r>
      <w:r w:rsidRPr="00437A8B">
        <w:rPr>
          <w:rFonts w:asciiTheme="majorHAnsi" w:hAnsiTheme="majorHAnsi" w:cstheme="majorHAnsi"/>
          <w:szCs w:val="22"/>
        </w:rPr>
        <w:t>for</w:t>
      </w:r>
      <w:r w:rsidRPr="00437A8B">
        <w:rPr>
          <w:rFonts w:asciiTheme="majorHAnsi" w:hAnsiTheme="majorHAnsi" w:cstheme="majorHAnsi"/>
          <w:spacing w:val="-5"/>
          <w:szCs w:val="22"/>
        </w:rPr>
        <w:t xml:space="preserve"> </w:t>
      </w:r>
      <w:r w:rsidRPr="00437A8B">
        <w:rPr>
          <w:rFonts w:asciiTheme="majorHAnsi" w:hAnsiTheme="majorHAnsi" w:cstheme="majorHAnsi"/>
          <w:szCs w:val="22"/>
        </w:rPr>
        <w:t>truly</w:t>
      </w:r>
      <w:r w:rsidRPr="00437A8B">
        <w:rPr>
          <w:rFonts w:asciiTheme="majorHAnsi" w:hAnsiTheme="majorHAnsi" w:cstheme="majorHAnsi"/>
          <w:spacing w:val="-3"/>
          <w:szCs w:val="22"/>
        </w:rPr>
        <w:t xml:space="preserve"> extraordinary </w:t>
      </w:r>
      <w:r w:rsidRPr="00437A8B">
        <w:rPr>
          <w:rFonts w:asciiTheme="majorHAnsi" w:hAnsiTheme="majorHAnsi" w:cstheme="majorHAnsi"/>
          <w:szCs w:val="22"/>
        </w:rPr>
        <w:t>innovative,</w:t>
      </w:r>
      <w:r w:rsidRPr="00437A8B">
        <w:rPr>
          <w:rFonts w:asciiTheme="majorHAnsi" w:hAnsiTheme="majorHAnsi" w:cstheme="majorHAnsi"/>
          <w:spacing w:val="-5"/>
          <w:szCs w:val="22"/>
        </w:rPr>
        <w:t xml:space="preserve"> </w:t>
      </w:r>
      <w:r w:rsidRPr="00437A8B">
        <w:rPr>
          <w:rFonts w:asciiTheme="majorHAnsi" w:hAnsiTheme="majorHAnsi" w:cstheme="majorHAnsi"/>
          <w:szCs w:val="22"/>
        </w:rPr>
        <w:t xml:space="preserve">or outstanding practices. Commendations impact </w:t>
      </w:r>
      <w:r w:rsidR="009810BE" w:rsidRPr="00437A8B">
        <w:rPr>
          <w:rFonts w:asciiTheme="majorHAnsi" w:hAnsiTheme="majorHAnsi" w:cstheme="majorHAnsi"/>
          <w:szCs w:val="22"/>
        </w:rPr>
        <w:t>a</w:t>
      </w:r>
      <w:r w:rsidRPr="00437A8B">
        <w:rPr>
          <w:rFonts w:asciiTheme="majorHAnsi" w:hAnsiTheme="majorHAnsi" w:cstheme="majorHAnsi"/>
          <w:szCs w:val="22"/>
        </w:rPr>
        <w:t xml:space="preserve"> </w:t>
      </w:r>
      <w:r w:rsidR="007E3BCC" w:rsidRPr="00437A8B">
        <w:rPr>
          <w:rFonts w:asciiTheme="majorHAnsi" w:hAnsiTheme="majorHAnsi" w:cstheme="majorHAnsi"/>
          <w:szCs w:val="22"/>
        </w:rPr>
        <w:t>Sponsoring Organization’s</w:t>
      </w:r>
      <w:r w:rsidRPr="00437A8B">
        <w:rPr>
          <w:rFonts w:asciiTheme="majorHAnsi" w:hAnsiTheme="majorHAnsi" w:cstheme="majorHAnsi"/>
          <w:szCs w:val="22"/>
        </w:rPr>
        <w:t xml:space="preserve"> overall approval determination.</w:t>
      </w:r>
    </w:p>
    <w:p w14:paraId="17F35DF6" w14:textId="77777777" w:rsidR="00AE33E0" w:rsidRPr="00437A8B" w:rsidRDefault="00AE33E0" w:rsidP="00437A8B">
      <w:pPr>
        <w:pStyle w:val="BodyText"/>
        <w:spacing w:before="121" w:line="276" w:lineRule="auto"/>
        <w:ind w:left="475" w:hanging="360"/>
        <w:rPr>
          <w:rFonts w:asciiTheme="majorHAnsi" w:hAnsiTheme="majorHAnsi" w:cstheme="majorHAnsi"/>
          <w:szCs w:val="22"/>
        </w:rPr>
      </w:pPr>
      <w:r w:rsidRPr="00437A8B">
        <w:rPr>
          <w:rFonts w:asciiTheme="majorHAnsi" w:hAnsiTheme="majorHAnsi" w:cstheme="majorHAnsi"/>
          <w:b/>
          <w:szCs w:val="22"/>
        </w:rPr>
        <w:t>Completer</w:t>
      </w:r>
      <w:r w:rsidRPr="00437A8B">
        <w:rPr>
          <w:rFonts w:asciiTheme="majorHAnsi" w:hAnsiTheme="majorHAnsi" w:cstheme="majorHAnsi"/>
          <w:i/>
          <w:szCs w:val="22"/>
        </w:rPr>
        <w:t>:</w:t>
      </w:r>
      <w:r w:rsidRPr="00437A8B">
        <w:rPr>
          <w:rFonts w:asciiTheme="majorHAnsi" w:hAnsiTheme="majorHAnsi" w:cstheme="majorHAnsi"/>
          <w:i/>
          <w:spacing w:val="-6"/>
          <w:szCs w:val="22"/>
        </w:rPr>
        <w:t xml:space="preserve"> </w:t>
      </w:r>
      <w:r w:rsidRPr="00437A8B">
        <w:rPr>
          <w:rFonts w:asciiTheme="majorHAnsi" w:hAnsiTheme="majorHAnsi" w:cstheme="majorHAnsi"/>
          <w:szCs w:val="22"/>
        </w:rPr>
        <w:t>A</w:t>
      </w:r>
      <w:r w:rsidRPr="00437A8B">
        <w:rPr>
          <w:rFonts w:asciiTheme="majorHAnsi" w:hAnsiTheme="majorHAnsi" w:cstheme="majorHAnsi"/>
          <w:spacing w:val="-1"/>
          <w:szCs w:val="22"/>
        </w:rPr>
        <w:t xml:space="preserve"> </w:t>
      </w:r>
      <w:r w:rsidRPr="00437A8B">
        <w:rPr>
          <w:rFonts w:asciiTheme="majorHAnsi" w:hAnsiTheme="majorHAnsi" w:cstheme="majorHAnsi"/>
          <w:szCs w:val="22"/>
        </w:rPr>
        <w:t>person</w:t>
      </w:r>
      <w:r w:rsidRPr="00437A8B">
        <w:rPr>
          <w:rFonts w:asciiTheme="majorHAnsi" w:hAnsiTheme="majorHAnsi" w:cstheme="majorHAnsi"/>
          <w:spacing w:val="-4"/>
          <w:szCs w:val="22"/>
        </w:rPr>
        <w:t xml:space="preserve"> </w:t>
      </w:r>
      <w:r w:rsidRPr="00437A8B">
        <w:rPr>
          <w:rFonts w:asciiTheme="majorHAnsi" w:hAnsiTheme="majorHAnsi" w:cstheme="majorHAnsi"/>
          <w:szCs w:val="22"/>
        </w:rPr>
        <w:t>who</w:t>
      </w:r>
      <w:r w:rsidRPr="00437A8B">
        <w:rPr>
          <w:rFonts w:asciiTheme="majorHAnsi" w:hAnsiTheme="majorHAnsi" w:cstheme="majorHAnsi"/>
          <w:spacing w:val="-1"/>
          <w:szCs w:val="22"/>
        </w:rPr>
        <w:t xml:space="preserve"> </w:t>
      </w:r>
      <w:r w:rsidRPr="00437A8B">
        <w:rPr>
          <w:rFonts w:asciiTheme="majorHAnsi" w:hAnsiTheme="majorHAnsi" w:cstheme="majorHAnsi"/>
          <w:szCs w:val="22"/>
        </w:rPr>
        <w:t>has</w:t>
      </w:r>
      <w:r w:rsidRPr="00437A8B">
        <w:rPr>
          <w:rFonts w:asciiTheme="majorHAnsi" w:hAnsiTheme="majorHAnsi" w:cstheme="majorHAnsi"/>
          <w:spacing w:val="-3"/>
          <w:szCs w:val="22"/>
        </w:rPr>
        <w:t xml:space="preserve"> </w:t>
      </w:r>
      <w:r w:rsidRPr="00437A8B">
        <w:rPr>
          <w:rFonts w:asciiTheme="majorHAnsi" w:hAnsiTheme="majorHAnsi" w:cstheme="majorHAnsi"/>
          <w:szCs w:val="22"/>
        </w:rPr>
        <w:t>successfully</w:t>
      </w:r>
      <w:r w:rsidRPr="00437A8B">
        <w:rPr>
          <w:rFonts w:asciiTheme="majorHAnsi" w:hAnsiTheme="majorHAnsi" w:cstheme="majorHAnsi"/>
          <w:spacing w:val="-2"/>
          <w:szCs w:val="22"/>
        </w:rPr>
        <w:t xml:space="preserve"> </w:t>
      </w:r>
      <w:r w:rsidRPr="00437A8B">
        <w:rPr>
          <w:rFonts w:asciiTheme="majorHAnsi" w:hAnsiTheme="majorHAnsi" w:cstheme="majorHAnsi"/>
          <w:szCs w:val="22"/>
        </w:rPr>
        <w:t>completed</w:t>
      </w:r>
      <w:r w:rsidRPr="00437A8B">
        <w:rPr>
          <w:rFonts w:asciiTheme="majorHAnsi" w:hAnsiTheme="majorHAnsi" w:cstheme="majorHAnsi"/>
          <w:spacing w:val="-3"/>
          <w:szCs w:val="22"/>
        </w:rPr>
        <w:t xml:space="preserve"> </w:t>
      </w:r>
      <w:r w:rsidRPr="00437A8B">
        <w:rPr>
          <w:rFonts w:asciiTheme="majorHAnsi" w:hAnsiTheme="majorHAnsi" w:cstheme="majorHAnsi"/>
          <w:szCs w:val="22"/>
        </w:rPr>
        <w:t>an</w:t>
      </w:r>
      <w:r w:rsidRPr="00437A8B">
        <w:rPr>
          <w:rFonts w:asciiTheme="majorHAnsi" w:hAnsiTheme="majorHAnsi" w:cstheme="majorHAnsi"/>
          <w:spacing w:val="-4"/>
          <w:szCs w:val="22"/>
        </w:rPr>
        <w:t xml:space="preserve"> </w:t>
      </w:r>
      <w:r w:rsidRPr="00437A8B">
        <w:rPr>
          <w:rFonts w:asciiTheme="majorHAnsi" w:hAnsiTheme="majorHAnsi" w:cstheme="majorHAnsi"/>
          <w:szCs w:val="22"/>
        </w:rPr>
        <w:t>educator</w:t>
      </w:r>
      <w:r w:rsidRPr="00437A8B">
        <w:rPr>
          <w:rFonts w:asciiTheme="majorHAnsi" w:hAnsiTheme="majorHAnsi" w:cstheme="majorHAnsi"/>
          <w:spacing w:val="-1"/>
          <w:szCs w:val="22"/>
        </w:rPr>
        <w:t xml:space="preserve"> </w:t>
      </w:r>
      <w:r w:rsidRPr="00437A8B">
        <w:rPr>
          <w:rFonts w:asciiTheme="majorHAnsi" w:hAnsiTheme="majorHAnsi" w:cstheme="majorHAnsi"/>
          <w:szCs w:val="22"/>
        </w:rPr>
        <w:t>preparation</w:t>
      </w:r>
      <w:r w:rsidRPr="00437A8B">
        <w:rPr>
          <w:rFonts w:asciiTheme="majorHAnsi" w:hAnsiTheme="majorHAnsi" w:cstheme="majorHAnsi"/>
          <w:spacing w:val="-3"/>
          <w:szCs w:val="22"/>
        </w:rPr>
        <w:t xml:space="preserve"> </w:t>
      </w:r>
      <w:r w:rsidRPr="00437A8B">
        <w:rPr>
          <w:rFonts w:asciiTheme="majorHAnsi" w:hAnsiTheme="majorHAnsi" w:cstheme="majorHAnsi"/>
          <w:spacing w:val="-2"/>
          <w:szCs w:val="22"/>
        </w:rPr>
        <w:t>program;</w:t>
      </w:r>
    </w:p>
    <w:p w14:paraId="6E6862AF" w14:textId="77777777" w:rsidR="00AE33E0" w:rsidRPr="00437A8B" w:rsidRDefault="00AE33E0" w:rsidP="00437A8B">
      <w:pPr>
        <w:ind w:left="475" w:hanging="360"/>
        <w:rPr>
          <w:rFonts w:cstheme="majorHAnsi"/>
        </w:rPr>
      </w:pPr>
      <w:r w:rsidRPr="00437A8B">
        <w:rPr>
          <w:rFonts w:cstheme="majorHAnsi"/>
          <w:i/>
          <w:iCs/>
        </w:rPr>
        <w:t>alumnus,</w:t>
      </w:r>
      <w:r w:rsidRPr="00437A8B">
        <w:rPr>
          <w:rFonts w:cstheme="majorHAnsi"/>
          <w:i/>
          <w:iCs/>
          <w:spacing w:val="-2"/>
        </w:rPr>
        <w:t xml:space="preserve"> graduate</w:t>
      </w:r>
      <w:r w:rsidRPr="00437A8B">
        <w:rPr>
          <w:rFonts w:cstheme="majorHAnsi"/>
          <w:spacing w:val="-2"/>
        </w:rPr>
        <w:t>.</w:t>
      </w:r>
    </w:p>
    <w:p w14:paraId="359EB5E2" w14:textId="77777777" w:rsidR="00AE33E0" w:rsidRPr="00437A8B" w:rsidRDefault="00AE33E0" w:rsidP="00437A8B">
      <w:pPr>
        <w:ind w:left="475" w:hanging="360"/>
        <w:rPr>
          <w:rFonts w:cstheme="majorHAnsi"/>
          <w:b/>
          <w:bCs/>
        </w:rPr>
      </w:pPr>
    </w:p>
    <w:p w14:paraId="24B45E91" w14:textId="0B254D06" w:rsidR="00AE33E0" w:rsidRPr="00857422" w:rsidRDefault="6BEAA527" w:rsidP="00437A8B">
      <w:pPr>
        <w:ind w:left="475" w:hanging="360"/>
        <w:rPr>
          <w:rFonts w:cstheme="majorBidi"/>
        </w:rPr>
      </w:pPr>
      <w:r w:rsidRPr="5E5DEAB0">
        <w:rPr>
          <w:rFonts w:cstheme="majorBidi"/>
          <w:b/>
          <w:bCs/>
        </w:rPr>
        <w:t xml:space="preserve">Culturally </w:t>
      </w:r>
      <w:r w:rsidR="74485CE7" w:rsidRPr="5E5DEAB0">
        <w:rPr>
          <w:rFonts w:cstheme="majorBidi"/>
          <w:b/>
          <w:bCs/>
        </w:rPr>
        <w:t>and Linguistically Sustaining</w:t>
      </w:r>
      <w:r w:rsidRPr="5E5DEAB0">
        <w:rPr>
          <w:rFonts w:cstheme="majorBidi"/>
          <w:b/>
          <w:bCs/>
        </w:rPr>
        <w:t xml:space="preserve"> Practice:</w:t>
      </w:r>
      <w:r w:rsidRPr="5E5DEAB0">
        <w:rPr>
          <w:rFonts w:cstheme="majorBidi"/>
        </w:rPr>
        <w:t xml:space="preserve"> </w:t>
      </w:r>
      <w:r w:rsidR="74485CE7" w:rsidRPr="5E5DEAB0">
        <w:rPr>
          <w:rFonts w:cstheme="majorBidi"/>
        </w:rPr>
        <w:t xml:space="preserve">See DESE’s </w:t>
      </w:r>
      <w:hyperlink r:id="rId105">
        <w:r w:rsidR="74485CE7" w:rsidRPr="5E5DEAB0">
          <w:rPr>
            <w:rStyle w:val="Hyperlink"/>
            <w:rFonts w:cstheme="majorBidi"/>
          </w:rPr>
          <w:t>Culturally and Linguistically Sustaining</w:t>
        </w:r>
      </w:hyperlink>
      <w:r w:rsidR="74485CE7" w:rsidRPr="5E5DEAB0">
        <w:rPr>
          <w:rFonts w:cstheme="majorBidi"/>
        </w:rPr>
        <w:t xml:space="preserve"> definition</w:t>
      </w:r>
      <w:r w:rsidRPr="5E5DEAB0">
        <w:rPr>
          <w:rFonts w:cstheme="majorBidi"/>
        </w:rPr>
        <w:t xml:space="preserve">. </w:t>
      </w:r>
    </w:p>
    <w:p w14:paraId="34CED596" w14:textId="62C90B7F" w:rsidR="00AE33E0" w:rsidRPr="00857422" w:rsidRDefault="00AE33E0" w:rsidP="00ED1C24">
      <w:pPr>
        <w:spacing w:beforeAutospacing="1"/>
        <w:rPr>
          <w:rFonts w:cstheme="majorBidi"/>
          <w:color w:val="000000" w:themeColor="text1"/>
        </w:rPr>
      </w:pPr>
      <w:r w:rsidRPr="5E5DEAB0">
        <w:rPr>
          <w:rFonts w:cstheme="majorBidi"/>
          <w:b/>
        </w:rPr>
        <w:t>Curriculum Literacy</w:t>
      </w:r>
      <w:r w:rsidR="00857422" w:rsidRPr="5E5DEAB0">
        <w:rPr>
          <w:rFonts w:cstheme="majorBidi"/>
          <w:b/>
        </w:rPr>
        <w:t>:</w:t>
      </w:r>
      <w:r w:rsidRPr="5E5DEAB0">
        <w:rPr>
          <w:rFonts w:cstheme="majorBidi"/>
        </w:rPr>
        <w:t xml:space="preserve"> </w:t>
      </w:r>
      <w:proofErr w:type="spellStart"/>
      <w:r w:rsidRPr="5E5DEAB0">
        <w:rPr>
          <w:rFonts w:cstheme="majorBidi"/>
        </w:rPr>
        <w:t>T</w:t>
      </w:r>
      <w:r w:rsidRPr="5E5DEAB0">
        <w:rPr>
          <w:rStyle w:val="normaltextrun"/>
          <w:rFonts w:cstheme="majorBidi"/>
          <w:color w:val="000000" w:themeColor="text1"/>
          <w:lang w:val="en"/>
        </w:rPr>
        <w:t>he</w:t>
      </w:r>
      <w:proofErr w:type="spellEnd"/>
      <w:r w:rsidRPr="5E5DEAB0">
        <w:rPr>
          <w:rStyle w:val="normaltextrun"/>
          <w:rFonts w:cstheme="majorBidi"/>
          <w:color w:val="000000" w:themeColor="text1"/>
          <w:lang w:val="en"/>
        </w:rPr>
        <w:t xml:space="preserve"> ability to: </w:t>
      </w:r>
      <w:r w:rsidRPr="5E5DEAB0">
        <w:rPr>
          <w:rFonts w:cstheme="majorBidi"/>
          <w:color w:val="000000" w:themeColor="text1"/>
        </w:rPr>
        <w:t> </w:t>
      </w:r>
    </w:p>
    <w:p w14:paraId="7DE498EE" w14:textId="77777777" w:rsidR="00AE33E0" w:rsidRPr="00857422" w:rsidRDefault="00AE33E0" w:rsidP="00857422">
      <w:pPr>
        <w:pStyle w:val="ListParagraph"/>
        <w:widowControl w:val="0"/>
        <w:numPr>
          <w:ilvl w:val="0"/>
          <w:numId w:val="77"/>
        </w:numPr>
        <w:autoSpaceDE w:val="0"/>
        <w:autoSpaceDN w:val="0"/>
        <w:spacing w:beforeAutospacing="1"/>
        <w:ind w:left="475"/>
        <w:contextualSpacing w:val="0"/>
        <w:rPr>
          <w:rFonts w:eastAsiaTheme="minorEastAsia" w:cstheme="majorHAnsi"/>
          <w:color w:val="000000" w:themeColor="text1"/>
        </w:rPr>
      </w:pPr>
      <w:r w:rsidRPr="00857422">
        <w:rPr>
          <w:rStyle w:val="normaltextrun"/>
          <w:rFonts w:cstheme="majorHAnsi"/>
          <w:color w:val="000000" w:themeColor="text1"/>
          <w:lang w:val="en"/>
        </w:rPr>
        <w:t>Understand that the integration and connections among content expectations, aligned curricular materials, and student engagement are at the core of high-quality equitable instruction;</w:t>
      </w:r>
      <w:r w:rsidRPr="00857422">
        <w:rPr>
          <w:rFonts w:cstheme="majorHAnsi"/>
          <w:color w:val="000000" w:themeColor="text1"/>
        </w:rPr>
        <w:t> </w:t>
      </w:r>
    </w:p>
    <w:p w14:paraId="45CBE091" w14:textId="2C589DD6" w:rsidR="00AE33E0" w:rsidRPr="00857422" w:rsidRDefault="00AE33E0" w:rsidP="5E5DEAB0">
      <w:pPr>
        <w:pStyle w:val="ListParagraph"/>
        <w:widowControl w:val="0"/>
        <w:numPr>
          <w:ilvl w:val="0"/>
          <w:numId w:val="77"/>
        </w:numPr>
        <w:autoSpaceDE w:val="0"/>
        <w:autoSpaceDN w:val="0"/>
        <w:spacing w:beforeAutospacing="1"/>
        <w:ind w:left="475"/>
        <w:rPr>
          <w:rFonts w:eastAsiaTheme="minorEastAsia" w:cstheme="majorBidi"/>
          <w:color w:val="000000" w:themeColor="text1"/>
        </w:rPr>
      </w:pPr>
      <w:r w:rsidRPr="5E5DEAB0">
        <w:rPr>
          <w:rStyle w:val="normaltextrun"/>
          <w:rFonts w:cstheme="majorBidi"/>
          <w:color w:val="000000" w:themeColor="text1"/>
          <w:lang w:val="en"/>
        </w:rPr>
        <w:t>Discern high</w:t>
      </w:r>
      <w:r w:rsidR="71DF449A" w:rsidRPr="5E5DEAB0">
        <w:rPr>
          <w:rStyle w:val="normaltextrun"/>
          <w:rFonts w:cstheme="majorBidi"/>
          <w:color w:val="000000" w:themeColor="text1"/>
          <w:lang w:val="en"/>
        </w:rPr>
        <w:t>-</w:t>
      </w:r>
      <w:r w:rsidRPr="5E5DEAB0">
        <w:rPr>
          <w:rStyle w:val="normaltextrun"/>
          <w:rFonts w:cstheme="majorBidi"/>
          <w:color w:val="000000" w:themeColor="text1"/>
          <w:lang w:val="en"/>
        </w:rPr>
        <w:t>quality curricular materials from low quality curricular materials in order to advocate for high</w:t>
      </w:r>
      <w:r w:rsidR="626E3939" w:rsidRPr="5E5DEAB0">
        <w:rPr>
          <w:rStyle w:val="normaltextrun"/>
          <w:rFonts w:cstheme="majorBidi"/>
          <w:color w:val="000000" w:themeColor="text1"/>
          <w:lang w:val="en"/>
        </w:rPr>
        <w:t>-</w:t>
      </w:r>
      <w:r w:rsidRPr="5E5DEAB0">
        <w:rPr>
          <w:rStyle w:val="normaltextrun"/>
          <w:rFonts w:cstheme="majorBidi"/>
          <w:color w:val="000000" w:themeColor="text1"/>
          <w:lang w:val="en"/>
        </w:rPr>
        <w:t>quality curricular materials; and </w:t>
      </w:r>
      <w:r w:rsidRPr="5E5DEAB0">
        <w:rPr>
          <w:rFonts w:cstheme="majorBidi"/>
          <w:color w:val="000000" w:themeColor="text1"/>
        </w:rPr>
        <w:t> </w:t>
      </w:r>
    </w:p>
    <w:p w14:paraId="3972E920" w14:textId="3F8E2B95" w:rsidR="00AE33E0" w:rsidRPr="00857422" w:rsidRDefault="00AE33E0" w:rsidP="00857422">
      <w:pPr>
        <w:pStyle w:val="ListParagraph"/>
        <w:widowControl w:val="0"/>
        <w:numPr>
          <w:ilvl w:val="0"/>
          <w:numId w:val="77"/>
        </w:numPr>
        <w:autoSpaceDE w:val="0"/>
        <w:autoSpaceDN w:val="0"/>
        <w:ind w:left="475"/>
        <w:contextualSpacing w:val="0"/>
        <w:rPr>
          <w:rFonts w:eastAsiaTheme="minorEastAsia" w:cstheme="majorHAnsi"/>
          <w:color w:val="000000" w:themeColor="text1"/>
          <w:lang w:val="en"/>
        </w:rPr>
      </w:pPr>
      <w:r w:rsidRPr="00857422">
        <w:rPr>
          <w:rStyle w:val="normaltextrun"/>
          <w:rFonts w:cstheme="majorHAnsi"/>
          <w:color w:val="000000" w:themeColor="text1"/>
          <w:lang w:val="en"/>
        </w:rPr>
        <w:t xml:space="preserve">Skillfully use materials through evidence-based, inclusive, and culturally responsive practices, to ensure the enacted curriculum supports and engages all students to reach their full potential. </w:t>
      </w:r>
      <w:r w:rsidRPr="00857422">
        <w:rPr>
          <w:rFonts w:cstheme="majorHAnsi"/>
          <w:lang w:val="en"/>
        </w:rPr>
        <w:t>(</w:t>
      </w:r>
      <w:hyperlink r:id="rId106" w:history="1">
        <w:r w:rsidRPr="00857422">
          <w:rPr>
            <w:rStyle w:val="Hyperlink"/>
            <w:rFonts w:cstheme="majorHAnsi"/>
            <w:lang w:val="en"/>
          </w:rPr>
          <w:t>Curriculum Matters</w:t>
        </w:r>
      </w:hyperlink>
      <w:r w:rsidR="00857422">
        <w:rPr>
          <w:rStyle w:val="Hyperlink"/>
          <w:rFonts w:cstheme="majorHAnsi"/>
          <w:lang w:val="en"/>
        </w:rPr>
        <w:t xml:space="preserve">, also see </w:t>
      </w:r>
      <w:hyperlink w:anchor="_Appendix_D:_Curriculum" w:history="1">
        <w:r w:rsidR="00857422" w:rsidRPr="00857422">
          <w:rPr>
            <w:rStyle w:val="Hyperlink"/>
            <w:rFonts w:cstheme="majorHAnsi"/>
            <w:lang w:val="en"/>
          </w:rPr>
          <w:t>Appendix D</w:t>
        </w:r>
      </w:hyperlink>
      <w:r w:rsidR="00857422">
        <w:rPr>
          <w:rStyle w:val="Hyperlink"/>
          <w:rFonts w:cstheme="majorHAnsi"/>
          <w:lang w:val="en"/>
        </w:rPr>
        <w:t xml:space="preserve"> for additional information</w:t>
      </w:r>
      <w:r w:rsidRPr="00857422">
        <w:rPr>
          <w:rFonts w:cstheme="majorHAnsi"/>
          <w:lang w:val="en"/>
        </w:rPr>
        <w:t>)</w:t>
      </w:r>
    </w:p>
    <w:p w14:paraId="08665149" w14:textId="77777777" w:rsidR="00AE33E0" w:rsidRPr="00857422" w:rsidRDefault="00AE33E0" w:rsidP="00437A8B">
      <w:pPr>
        <w:ind w:left="475" w:hanging="360"/>
        <w:rPr>
          <w:rFonts w:cstheme="majorHAnsi"/>
        </w:rPr>
      </w:pPr>
    </w:p>
    <w:p w14:paraId="07EF835D" w14:textId="77777777" w:rsidR="00AE33E0" w:rsidRPr="00014585" w:rsidRDefault="00AE33E0" w:rsidP="00437A8B">
      <w:pPr>
        <w:pStyle w:val="BodyText"/>
        <w:spacing w:line="276" w:lineRule="auto"/>
        <w:ind w:left="475" w:hanging="360"/>
        <w:rPr>
          <w:rFonts w:asciiTheme="majorHAnsi" w:hAnsiTheme="majorHAnsi" w:cstheme="majorHAnsi"/>
          <w:szCs w:val="22"/>
        </w:rPr>
      </w:pPr>
      <w:r w:rsidRPr="00857422">
        <w:rPr>
          <w:rFonts w:asciiTheme="majorHAnsi" w:hAnsiTheme="majorHAnsi" w:cstheme="majorHAnsi"/>
          <w:b/>
          <w:bCs/>
          <w:szCs w:val="22"/>
        </w:rPr>
        <w:lastRenderedPageBreak/>
        <w:t xml:space="preserve">Enrollment: </w:t>
      </w:r>
      <w:r w:rsidRPr="00857422">
        <w:rPr>
          <w:rFonts w:asciiTheme="majorHAnsi" w:hAnsiTheme="majorHAnsi" w:cstheme="majorHAnsi"/>
          <w:szCs w:val="22"/>
        </w:rPr>
        <w:t>The point at which an individual has met all the Sponsoring Organization’s requirements</w:t>
      </w:r>
      <w:r w:rsidRPr="00857422">
        <w:rPr>
          <w:rFonts w:asciiTheme="majorHAnsi" w:hAnsiTheme="majorHAnsi" w:cstheme="majorHAnsi"/>
          <w:spacing w:val="-3"/>
          <w:szCs w:val="22"/>
        </w:rPr>
        <w:t xml:space="preserve"> </w:t>
      </w:r>
      <w:r w:rsidRPr="00857422">
        <w:rPr>
          <w:rFonts w:asciiTheme="majorHAnsi" w:hAnsiTheme="majorHAnsi" w:cstheme="majorHAnsi"/>
          <w:szCs w:val="22"/>
        </w:rPr>
        <w:t>in</w:t>
      </w:r>
      <w:r w:rsidRPr="00857422">
        <w:rPr>
          <w:rFonts w:asciiTheme="majorHAnsi" w:hAnsiTheme="majorHAnsi" w:cstheme="majorHAnsi"/>
          <w:spacing w:val="-1"/>
          <w:szCs w:val="22"/>
        </w:rPr>
        <w:t xml:space="preserve"> </w:t>
      </w:r>
      <w:r w:rsidRPr="00857422">
        <w:rPr>
          <w:rFonts w:asciiTheme="majorHAnsi" w:hAnsiTheme="majorHAnsi" w:cstheme="majorHAnsi"/>
          <w:szCs w:val="22"/>
        </w:rPr>
        <w:t>order</w:t>
      </w:r>
      <w:r w:rsidRPr="00857422">
        <w:rPr>
          <w:rFonts w:asciiTheme="majorHAnsi" w:hAnsiTheme="majorHAnsi" w:cstheme="majorHAnsi"/>
          <w:spacing w:val="-5"/>
          <w:szCs w:val="22"/>
        </w:rPr>
        <w:t xml:space="preserve"> </w:t>
      </w:r>
      <w:r w:rsidRPr="00857422">
        <w:rPr>
          <w:rFonts w:asciiTheme="majorHAnsi" w:hAnsiTheme="majorHAnsi" w:cstheme="majorHAnsi"/>
          <w:szCs w:val="22"/>
        </w:rPr>
        <w:t>to</w:t>
      </w:r>
      <w:r w:rsidRPr="00857422">
        <w:rPr>
          <w:rFonts w:asciiTheme="majorHAnsi" w:hAnsiTheme="majorHAnsi" w:cstheme="majorHAnsi"/>
          <w:spacing w:val="-4"/>
          <w:szCs w:val="22"/>
        </w:rPr>
        <w:t xml:space="preserve"> </w:t>
      </w:r>
      <w:r w:rsidRPr="00857422">
        <w:rPr>
          <w:rFonts w:asciiTheme="majorHAnsi" w:hAnsiTheme="majorHAnsi" w:cstheme="majorHAnsi"/>
          <w:szCs w:val="22"/>
        </w:rPr>
        <w:t>be</w:t>
      </w:r>
      <w:r w:rsidRPr="00857422">
        <w:rPr>
          <w:rFonts w:asciiTheme="majorHAnsi" w:hAnsiTheme="majorHAnsi" w:cstheme="majorHAnsi"/>
          <w:spacing w:val="-4"/>
          <w:szCs w:val="22"/>
        </w:rPr>
        <w:t xml:space="preserve"> </w:t>
      </w:r>
      <w:r w:rsidRPr="00857422">
        <w:rPr>
          <w:rFonts w:asciiTheme="majorHAnsi" w:hAnsiTheme="majorHAnsi" w:cstheme="majorHAnsi"/>
          <w:szCs w:val="22"/>
        </w:rPr>
        <w:t>formally</w:t>
      </w:r>
      <w:r w:rsidRPr="00857422">
        <w:rPr>
          <w:rFonts w:asciiTheme="majorHAnsi" w:hAnsiTheme="majorHAnsi" w:cstheme="majorHAnsi"/>
          <w:spacing w:val="-3"/>
          <w:szCs w:val="22"/>
        </w:rPr>
        <w:t xml:space="preserve"> </w:t>
      </w:r>
      <w:r w:rsidRPr="00857422">
        <w:rPr>
          <w:rFonts w:asciiTheme="majorHAnsi" w:hAnsiTheme="majorHAnsi" w:cstheme="majorHAnsi"/>
          <w:szCs w:val="22"/>
        </w:rPr>
        <w:t>admitted</w:t>
      </w:r>
      <w:r w:rsidRPr="00857422">
        <w:rPr>
          <w:rFonts w:asciiTheme="majorHAnsi" w:hAnsiTheme="majorHAnsi" w:cstheme="majorHAnsi"/>
          <w:spacing w:val="-4"/>
          <w:szCs w:val="22"/>
        </w:rPr>
        <w:t xml:space="preserve"> </w:t>
      </w:r>
      <w:r w:rsidRPr="00857422">
        <w:rPr>
          <w:rFonts w:asciiTheme="majorHAnsi" w:hAnsiTheme="majorHAnsi" w:cstheme="majorHAnsi"/>
          <w:szCs w:val="22"/>
        </w:rPr>
        <w:t>into</w:t>
      </w:r>
      <w:r w:rsidRPr="00857422">
        <w:rPr>
          <w:rFonts w:asciiTheme="majorHAnsi" w:hAnsiTheme="majorHAnsi" w:cstheme="majorHAnsi"/>
          <w:spacing w:val="-2"/>
          <w:szCs w:val="22"/>
        </w:rPr>
        <w:t xml:space="preserve"> </w:t>
      </w:r>
      <w:r w:rsidRPr="00857422">
        <w:rPr>
          <w:rFonts w:asciiTheme="majorHAnsi" w:hAnsiTheme="majorHAnsi" w:cstheme="majorHAnsi"/>
          <w:szCs w:val="22"/>
        </w:rPr>
        <w:t>the</w:t>
      </w:r>
      <w:r w:rsidRPr="00857422">
        <w:rPr>
          <w:rFonts w:asciiTheme="majorHAnsi" w:hAnsiTheme="majorHAnsi" w:cstheme="majorHAnsi"/>
          <w:spacing w:val="-2"/>
          <w:szCs w:val="22"/>
        </w:rPr>
        <w:t xml:space="preserve"> </w:t>
      </w:r>
      <w:r w:rsidRPr="00857422">
        <w:rPr>
          <w:rFonts w:asciiTheme="majorHAnsi" w:hAnsiTheme="majorHAnsi" w:cstheme="majorHAnsi"/>
          <w:szCs w:val="22"/>
        </w:rPr>
        <w:t>educator</w:t>
      </w:r>
      <w:r w:rsidRPr="00857422">
        <w:rPr>
          <w:rFonts w:asciiTheme="majorHAnsi" w:hAnsiTheme="majorHAnsi" w:cstheme="majorHAnsi"/>
          <w:spacing w:val="-5"/>
          <w:szCs w:val="22"/>
        </w:rPr>
        <w:t xml:space="preserve"> </w:t>
      </w:r>
      <w:r w:rsidRPr="00090190">
        <w:rPr>
          <w:rFonts w:asciiTheme="majorHAnsi" w:hAnsiTheme="majorHAnsi" w:cstheme="majorHAnsi"/>
          <w:szCs w:val="22"/>
        </w:rPr>
        <w:t>preparation</w:t>
      </w:r>
      <w:r w:rsidRPr="00090190">
        <w:rPr>
          <w:rFonts w:asciiTheme="majorHAnsi" w:hAnsiTheme="majorHAnsi" w:cstheme="majorHAnsi"/>
          <w:spacing w:val="-4"/>
          <w:szCs w:val="22"/>
        </w:rPr>
        <w:t xml:space="preserve"> </w:t>
      </w:r>
      <w:r w:rsidRPr="00090190">
        <w:rPr>
          <w:rFonts w:asciiTheme="majorHAnsi" w:hAnsiTheme="majorHAnsi" w:cstheme="majorHAnsi"/>
          <w:szCs w:val="22"/>
        </w:rPr>
        <w:t>program.</w:t>
      </w:r>
      <w:r w:rsidRPr="00090190">
        <w:rPr>
          <w:rFonts w:asciiTheme="majorHAnsi" w:hAnsiTheme="majorHAnsi" w:cstheme="majorHAnsi"/>
          <w:spacing w:val="-6"/>
          <w:szCs w:val="22"/>
        </w:rPr>
        <w:t xml:space="preserve"> </w:t>
      </w:r>
      <w:r w:rsidRPr="00014585">
        <w:rPr>
          <w:rFonts w:asciiTheme="majorHAnsi" w:hAnsiTheme="majorHAnsi" w:cstheme="majorHAnsi"/>
          <w:szCs w:val="22"/>
        </w:rPr>
        <w:t>Each Sponsoring Organization may define enrollment differently.</w:t>
      </w:r>
    </w:p>
    <w:p w14:paraId="0A8F2A61" w14:textId="77777777" w:rsidR="00AE33E0" w:rsidRPr="00014585" w:rsidRDefault="00AE33E0" w:rsidP="00437A8B">
      <w:pPr>
        <w:pStyle w:val="BodyText"/>
        <w:spacing w:line="276" w:lineRule="auto"/>
        <w:ind w:left="475" w:hanging="360"/>
        <w:rPr>
          <w:rFonts w:asciiTheme="majorHAnsi" w:hAnsiTheme="majorHAnsi" w:cstheme="majorHAnsi"/>
          <w:szCs w:val="22"/>
        </w:rPr>
      </w:pPr>
    </w:p>
    <w:p w14:paraId="3159896E" w14:textId="77777777" w:rsidR="00AE33E0" w:rsidRPr="00014585" w:rsidRDefault="00AE33E0" w:rsidP="00437A8B">
      <w:pPr>
        <w:pStyle w:val="BodyText"/>
        <w:spacing w:line="276" w:lineRule="auto"/>
        <w:ind w:left="475" w:hanging="360"/>
        <w:rPr>
          <w:rFonts w:asciiTheme="majorHAnsi" w:hAnsiTheme="majorHAnsi" w:cstheme="majorHAnsi"/>
          <w:szCs w:val="22"/>
        </w:rPr>
      </w:pPr>
      <w:r w:rsidRPr="00014585">
        <w:rPr>
          <w:rFonts w:asciiTheme="majorHAnsi" w:hAnsiTheme="majorHAnsi" w:cstheme="majorHAnsi"/>
          <w:b/>
          <w:bCs/>
          <w:szCs w:val="22"/>
        </w:rPr>
        <w:t xml:space="preserve">Equity: </w:t>
      </w:r>
      <w:r w:rsidRPr="00014585">
        <w:rPr>
          <w:rFonts w:asciiTheme="majorHAnsi" w:hAnsiTheme="majorHAnsi" w:cstheme="majorHAnsi"/>
          <w:szCs w:val="22"/>
        </w:rPr>
        <w:t>Exists when one’s identity (including but not limited to race, gender, ethnicity, language, disability and ability) can no longer be used to predict social, economic, and educational outcomes. Enacting steps towards equity means ensuring that opportunities and supports to eliminate bias and structural barriers are operationalized at every level of the education system and society. (Guidelines for the Preparation of Administrative Leaders)</w:t>
      </w:r>
    </w:p>
    <w:p w14:paraId="52FA11A8" w14:textId="77777777" w:rsidR="00AE33E0" w:rsidRPr="00AC72D4" w:rsidRDefault="00AE33E0" w:rsidP="00437A8B">
      <w:pPr>
        <w:pStyle w:val="BodyText"/>
        <w:spacing w:before="7" w:line="276" w:lineRule="auto"/>
        <w:ind w:left="475" w:hanging="360"/>
        <w:rPr>
          <w:rFonts w:asciiTheme="majorHAnsi" w:hAnsiTheme="majorHAnsi" w:cstheme="majorHAnsi"/>
          <w:szCs w:val="22"/>
        </w:rPr>
      </w:pPr>
    </w:p>
    <w:p w14:paraId="5E844BEC" w14:textId="1D0B916B" w:rsidR="00AE33E0" w:rsidRPr="00367C89" w:rsidRDefault="00AE33E0" w:rsidP="00437A8B">
      <w:pPr>
        <w:pStyle w:val="BodyText"/>
        <w:spacing w:before="7" w:line="276" w:lineRule="auto"/>
        <w:ind w:left="475" w:hanging="360"/>
        <w:rPr>
          <w:rFonts w:asciiTheme="majorHAnsi" w:hAnsiTheme="majorHAnsi" w:cstheme="majorHAnsi"/>
          <w:szCs w:val="22"/>
        </w:rPr>
      </w:pPr>
      <w:r w:rsidRPr="00DD08F3">
        <w:rPr>
          <w:rFonts w:asciiTheme="majorHAnsi" w:hAnsiTheme="majorHAnsi" w:cstheme="majorHAnsi"/>
          <w:b/>
          <w:bCs/>
          <w:szCs w:val="22"/>
        </w:rPr>
        <w:t xml:space="preserve">Evidence-based: </w:t>
      </w:r>
      <w:r w:rsidRPr="001F3F72">
        <w:rPr>
          <w:rFonts w:asciiTheme="majorHAnsi" w:hAnsiTheme="majorHAnsi" w:cstheme="majorHAnsi"/>
          <w:szCs w:val="22"/>
        </w:rPr>
        <w:t xml:space="preserve">Practices or programs that have evidence to show that they are effective at producing positive results and improving outcomes when implemented as supported by valid and reliable </w:t>
      </w:r>
      <w:r w:rsidR="009810BE" w:rsidRPr="001F3F72">
        <w:rPr>
          <w:rFonts w:asciiTheme="majorHAnsi" w:hAnsiTheme="majorHAnsi" w:cstheme="majorHAnsi"/>
          <w:szCs w:val="22"/>
        </w:rPr>
        <w:t>research (</w:t>
      </w:r>
      <w:r w:rsidRPr="00284DC3">
        <w:rPr>
          <w:rFonts w:asciiTheme="majorHAnsi" w:hAnsiTheme="majorHAnsi" w:cstheme="majorHAnsi"/>
          <w:szCs w:val="22"/>
        </w:rPr>
        <w:t>US Department of Education, Every Student Succeeds Act) Evidence-based practices include, but are not limited to, cultur</w:t>
      </w:r>
      <w:r w:rsidRPr="00367C89">
        <w:rPr>
          <w:rFonts w:asciiTheme="majorHAnsi" w:hAnsiTheme="majorHAnsi" w:cstheme="majorHAnsi"/>
          <w:szCs w:val="22"/>
        </w:rPr>
        <w:t>ally and linguistically sustaining practices and use of high-quality curricular materials. (US Department of Education, Every Student Succeeds Act)</w:t>
      </w:r>
    </w:p>
    <w:p w14:paraId="14617A2C" w14:textId="77777777" w:rsidR="00AE33E0" w:rsidRPr="00367C89" w:rsidRDefault="00AE33E0" w:rsidP="00437A8B">
      <w:pPr>
        <w:pStyle w:val="BodyText"/>
        <w:spacing w:before="7" w:line="276" w:lineRule="auto"/>
        <w:ind w:left="475" w:hanging="360"/>
        <w:rPr>
          <w:rFonts w:asciiTheme="majorHAnsi" w:hAnsiTheme="majorHAnsi" w:cstheme="majorHAnsi"/>
          <w:szCs w:val="22"/>
        </w:rPr>
      </w:pPr>
    </w:p>
    <w:p w14:paraId="7A98B0DD" w14:textId="025D71A3" w:rsidR="00AE33E0" w:rsidRPr="00437A8B" w:rsidRDefault="00AE33E0" w:rsidP="00437A8B">
      <w:pPr>
        <w:pStyle w:val="BodyText"/>
        <w:spacing w:before="1" w:line="276" w:lineRule="auto"/>
        <w:ind w:left="475" w:hanging="360"/>
        <w:rPr>
          <w:rFonts w:asciiTheme="majorHAnsi" w:hAnsiTheme="majorHAnsi" w:cstheme="majorBidi"/>
        </w:rPr>
      </w:pPr>
      <w:r w:rsidRPr="5E5DEAB0">
        <w:rPr>
          <w:rFonts w:asciiTheme="majorHAnsi" w:hAnsiTheme="majorHAnsi" w:cstheme="majorBidi"/>
          <w:b/>
        </w:rPr>
        <w:t>Field-</w:t>
      </w:r>
      <w:r w:rsidR="593B775C" w:rsidRPr="5E5DEAB0">
        <w:rPr>
          <w:rFonts w:asciiTheme="majorHAnsi" w:hAnsiTheme="majorHAnsi" w:cstheme="majorBidi"/>
          <w:b/>
          <w:bCs/>
        </w:rPr>
        <w:t>b</w:t>
      </w:r>
      <w:r w:rsidR="6BEAA527" w:rsidRPr="5E5DEAB0">
        <w:rPr>
          <w:rFonts w:asciiTheme="majorHAnsi" w:hAnsiTheme="majorHAnsi" w:cstheme="majorBidi"/>
          <w:b/>
          <w:bCs/>
        </w:rPr>
        <w:t xml:space="preserve">ased </w:t>
      </w:r>
      <w:r w:rsidR="781C7ABA" w:rsidRPr="5E5DEAB0">
        <w:rPr>
          <w:rFonts w:asciiTheme="majorHAnsi" w:hAnsiTheme="majorHAnsi" w:cstheme="majorBidi"/>
          <w:b/>
          <w:bCs/>
        </w:rPr>
        <w:t>e</w:t>
      </w:r>
      <w:r w:rsidRPr="5E5DEAB0">
        <w:rPr>
          <w:rFonts w:asciiTheme="majorHAnsi" w:hAnsiTheme="majorHAnsi" w:cstheme="majorBidi"/>
          <w:b/>
        </w:rPr>
        <w:t xml:space="preserve">xperiences: </w:t>
      </w:r>
      <w:r w:rsidRPr="5E5DEAB0">
        <w:rPr>
          <w:rFonts w:asciiTheme="majorHAnsi" w:hAnsiTheme="majorHAnsi" w:cstheme="majorBidi"/>
        </w:rPr>
        <w:t>Experiences in PK-12 schools and classrooms such as observation of a variety of classrooms, pre- practicum,</w:t>
      </w:r>
      <w:r w:rsidRPr="5E5DEAB0">
        <w:rPr>
          <w:rFonts w:asciiTheme="majorHAnsi" w:hAnsiTheme="majorHAnsi" w:cstheme="majorBidi"/>
          <w:spacing w:val="-6"/>
        </w:rPr>
        <w:t xml:space="preserve"> </w:t>
      </w:r>
      <w:r w:rsidRPr="5E5DEAB0">
        <w:rPr>
          <w:rFonts w:asciiTheme="majorHAnsi" w:hAnsiTheme="majorHAnsi" w:cstheme="majorBidi"/>
        </w:rPr>
        <w:t>practicum/practicum</w:t>
      </w:r>
      <w:r w:rsidRPr="5E5DEAB0">
        <w:rPr>
          <w:rFonts w:asciiTheme="majorHAnsi" w:hAnsiTheme="majorHAnsi" w:cstheme="majorBidi"/>
          <w:spacing w:val="-3"/>
        </w:rPr>
        <w:t xml:space="preserve"> </w:t>
      </w:r>
      <w:r w:rsidRPr="5E5DEAB0">
        <w:rPr>
          <w:rFonts w:asciiTheme="majorHAnsi" w:hAnsiTheme="majorHAnsi" w:cstheme="majorBidi"/>
        </w:rPr>
        <w:t>equivalent,</w:t>
      </w:r>
      <w:r w:rsidRPr="5E5DEAB0">
        <w:rPr>
          <w:rFonts w:asciiTheme="majorHAnsi" w:hAnsiTheme="majorHAnsi" w:cstheme="majorBidi"/>
          <w:spacing w:val="-6"/>
        </w:rPr>
        <w:t xml:space="preserve"> </w:t>
      </w:r>
      <w:r w:rsidRPr="5E5DEAB0">
        <w:rPr>
          <w:rFonts w:asciiTheme="majorHAnsi" w:hAnsiTheme="majorHAnsi" w:cstheme="majorBidi"/>
        </w:rPr>
        <w:t>internship,</w:t>
      </w:r>
      <w:r w:rsidRPr="5E5DEAB0">
        <w:rPr>
          <w:rFonts w:asciiTheme="majorHAnsi" w:hAnsiTheme="majorHAnsi" w:cstheme="majorBidi"/>
          <w:spacing w:val="-6"/>
        </w:rPr>
        <w:t xml:space="preserve"> </w:t>
      </w:r>
      <w:r w:rsidRPr="5E5DEAB0">
        <w:rPr>
          <w:rFonts w:asciiTheme="majorHAnsi" w:hAnsiTheme="majorHAnsi" w:cstheme="majorBidi"/>
        </w:rPr>
        <w:t>or</w:t>
      </w:r>
      <w:r w:rsidRPr="5E5DEAB0">
        <w:rPr>
          <w:rFonts w:asciiTheme="majorHAnsi" w:hAnsiTheme="majorHAnsi" w:cstheme="majorBidi"/>
          <w:spacing w:val="-6"/>
        </w:rPr>
        <w:t xml:space="preserve"> </w:t>
      </w:r>
      <w:r w:rsidRPr="5E5DEAB0">
        <w:rPr>
          <w:rFonts w:asciiTheme="majorHAnsi" w:hAnsiTheme="majorHAnsi" w:cstheme="majorBidi"/>
        </w:rPr>
        <w:t>apprenticeship</w:t>
      </w:r>
      <w:r w:rsidRPr="5E5DEAB0">
        <w:rPr>
          <w:rFonts w:asciiTheme="majorHAnsi" w:hAnsiTheme="majorHAnsi" w:cstheme="majorBidi"/>
          <w:spacing w:val="-5"/>
        </w:rPr>
        <w:t xml:space="preserve"> </w:t>
      </w:r>
      <w:r w:rsidRPr="5E5DEAB0">
        <w:rPr>
          <w:rFonts w:asciiTheme="majorHAnsi" w:hAnsiTheme="majorHAnsi" w:cstheme="majorBidi"/>
        </w:rPr>
        <w:t>that</w:t>
      </w:r>
      <w:r w:rsidRPr="5E5DEAB0">
        <w:rPr>
          <w:rFonts w:asciiTheme="majorHAnsi" w:hAnsiTheme="majorHAnsi" w:cstheme="majorBidi"/>
          <w:spacing w:val="-2"/>
        </w:rPr>
        <w:t xml:space="preserve"> </w:t>
      </w:r>
      <w:r w:rsidRPr="5E5DEAB0">
        <w:rPr>
          <w:rFonts w:asciiTheme="majorHAnsi" w:hAnsiTheme="majorHAnsi" w:cstheme="majorBidi"/>
        </w:rPr>
        <w:t>are</w:t>
      </w:r>
      <w:r w:rsidRPr="5E5DEAB0">
        <w:rPr>
          <w:rFonts w:asciiTheme="majorHAnsi" w:hAnsiTheme="majorHAnsi" w:cstheme="majorBidi"/>
          <w:spacing w:val="-5"/>
        </w:rPr>
        <w:t xml:space="preserve"> </w:t>
      </w:r>
      <w:r w:rsidRPr="5E5DEAB0">
        <w:rPr>
          <w:rFonts w:asciiTheme="majorHAnsi" w:hAnsiTheme="majorHAnsi" w:cstheme="majorBidi"/>
        </w:rPr>
        <w:t>integral components of any program for the preparation of educators.</w:t>
      </w:r>
    </w:p>
    <w:p w14:paraId="4EC6080B" w14:textId="77777777" w:rsidR="00AE33E0" w:rsidRPr="00437A8B" w:rsidRDefault="00AE33E0" w:rsidP="00437A8B">
      <w:pPr>
        <w:pStyle w:val="BodyText"/>
        <w:spacing w:before="9" w:line="276" w:lineRule="auto"/>
        <w:ind w:left="475" w:hanging="360"/>
        <w:rPr>
          <w:rFonts w:asciiTheme="majorHAnsi" w:hAnsiTheme="majorHAnsi" w:cstheme="majorHAnsi"/>
          <w:szCs w:val="22"/>
        </w:rPr>
      </w:pPr>
    </w:p>
    <w:p w14:paraId="1E2F6E48" w14:textId="77777777" w:rsidR="00AE33E0" w:rsidRPr="00437A8B" w:rsidRDefault="00AE33E0" w:rsidP="00437A8B">
      <w:pPr>
        <w:pStyle w:val="BodyText"/>
        <w:spacing w:before="1" w:line="276" w:lineRule="auto"/>
        <w:ind w:left="475" w:hanging="360"/>
        <w:rPr>
          <w:rFonts w:asciiTheme="majorHAnsi" w:hAnsiTheme="majorHAnsi" w:cstheme="majorHAnsi"/>
          <w:szCs w:val="22"/>
        </w:rPr>
      </w:pPr>
      <w:r w:rsidRPr="00437A8B">
        <w:rPr>
          <w:rFonts w:asciiTheme="majorHAnsi" w:hAnsiTheme="majorHAnsi" w:cstheme="majorHAnsi"/>
          <w:b/>
          <w:szCs w:val="22"/>
        </w:rPr>
        <w:t>Finding:</w:t>
      </w:r>
      <w:r w:rsidRPr="00437A8B">
        <w:rPr>
          <w:rFonts w:asciiTheme="majorHAnsi" w:hAnsiTheme="majorHAnsi" w:cstheme="majorHAnsi"/>
          <w:b/>
          <w:spacing w:val="-3"/>
          <w:szCs w:val="22"/>
        </w:rPr>
        <w:t xml:space="preserve"> </w:t>
      </w:r>
      <w:r w:rsidRPr="00437A8B">
        <w:rPr>
          <w:rFonts w:asciiTheme="majorHAnsi" w:hAnsiTheme="majorHAnsi" w:cstheme="majorHAnsi"/>
          <w:szCs w:val="22"/>
        </w:rPr>
        <w:t>Criteria</w:t>
      </w:r>
      <w:r w:rsidRPr="00437A8B">
        <w:rPr>
          <w:rFonts w:asciiTheme="majorHAnsi" w:hAnsiTheme="majorHAnsi" w:cstheme="majorHAnsi"/>
          <w:spacing w:val="-4"/>
          <w:szCs w:val="22"/>
        </w:rPr>
        <w:t xml:space="preserve"> </w:t>
      </w:r>
      <w:r w:rsidRPr="00437A8B">
        <w:rPr>
          <w:rFonts w:asciiTheme="majorHAnsi" w:hAnsiTheme="majorHAnsi" w:cstheme="majorHAnsi"/>
          <w:szCs w:val="22"/>
        </w:rPr>
        <w:t>rating</w:t>
      </w:r>
      <w:r w:rsidRPr="00437A8B">
        <w:rPr>
          <w:rFonts w:asciiTheme="majorHAnsi" w:hAnsiTheme="majorHAnsi" w:cstheme="majorHAnsi"/>
          <w:spacing w:val="-2"/>
          <w:szCs w:val="22"/>
        </w:rPr>
        <w:t xml:space="preserve"> </w:t>
      </w:r>
      <w:r w:rsidRPr="00437A8B">
        <w:rPr>
          <w:rFonts w:asciiTheme="majorHAnsi" w:hAnsiTheme="majorHAnsi" w:cstheme="majorHAnsi"/>
          <w:szCs w:val="22"/>
        </w:rPr>
        <w:t>in</w:t>
      </w:r>
      <w:r w:rsidRPr="00437A8B">
        <w:rPr>
          <w:rFonts w:asciiTheme="majorHAnsi" w:hAnsiTheme="majorHAnsi" w:cstheme="majorHAnsi"/>
          <w:spacing w:val="-2"/>
          <w:szCs w:val="22"/>
        </w:rPr>
        <w:t xml:space="preserve"> </w:t>
      </w:r>
      <w:r w:rsidRPr="00437A8B">
        <w:rPr>
          <w:rFonts w:asciiTheme="majorHAnsi" w:hAnsiTheme="majorHAnsi" w:cstheme="majorHAnsi"/>
          <w:szCs w:val="22"/>
        </w:rPr>
        <w:t>Formal</w:t>
      </w:r>
      <w:r w:rsidRPr="00437A8B">
        <w:rPr>
          <w:rFonts w:asciiTheme="majorHAnsi" w:hAnsiTheme="majorHAnsi" w:cstheme="majorHAnsi"/>
          <w:spacing w:val="-1"/>
          <w:szCs w:val="22"/>
        </w:rPr>
        <w:t xml:space="preserve"> </w:t>
      </w:r>
      <w:r w:rsidRPr="00437A8B">
        <w:rPr>
          <w:rFonts w:asciiTheme="majorHAnsi" w:hAnsiTheme="majorHAnsi" w:cstheme="majorHAnsi"/>
          <w:szCs w:val="22"/>
        </w:rPr>
        <w:t>Review</w:t>
      </w:r>
      <w:r w:rsidRPr="00437A8B">
        <w:rPr>
          <w:rFonts w:asciiTheme="majorHAnsi" w:hAnsiTheme="majorHAnsi" w:cstheme="majorHAnsi"/>
          <w:spacing w:val="-3"/>
          <w:szCs w:val="22"/>
        </w:rPr>
        <w:t xml:space="preserve"> </w:t>
      </w:r>
      <w:r w:rsidRPr="00437A8B">
        <w:rPr>
          <w:rFonts w:asciiTheme="majorHAnsi" w:hAnsiTheme="majorHAnsi" w:cstheme="majorHAnsi"/>
          <w:szCs w:val="22"/>
        </w:rPr>
        <w:t>for</w:t>
      </w:r>
      <w:r w:rsidRPr="00437A8B">
        <w:rPr>
          <w:rFonts w:asciiTheme="majorHAnsi" w:hAnsiTheme="majorHAnsi" w:cstheme="majorHAnsi"/>
          <w:spacing w:val="-4"/>
          <w:szCs w:val="22"/>
        </w:rPr>
        <w:t xml:space="preserve"> </w:t>
      </w:r>
      <w:r w:rsidRPr="00437A8B">
        <w:rPr>
          <w:rFonts w:asciiTheme="majorHAnsi" w:hAnsiTheme="majorHAnsi" w:cstheme="majorHAnsi"/>
          <w:szCs w:val="22"/>
        </w:rPr>
        <w:t>areas</w:t>
      </w:r>
      <w:r w:rsidRPr="00437A8B">
        <w:rPr>
          <w:rFonts w:asciiTheme="majorHAnsi" w:hAnsiTheme="majorHAnsi" w:cstheme="majorHAnsi"/>
          <w:spacing w:val="-3"/>
          <w:szCs w:val="22"/>
        </w:rPr>
        <w:t xml:space="preserve"> </w:t>
      </w:r>
      <w:r w:rsidRPr="00437A8B">
        <w:rPr>
          <w:rFonts w:asciiTheme="majorHAnsi" w:hAnsiTheme="majorHAnsi" w:cstheme="majorHAnsi"/>
          <w:szCs w:val="22"/>
        </w:rPr>
        <w:t>of</w:t>
      </w:r>
      <w:r w:rsidRPr="00437A8B">
        <w:rPr>
          <w:rFonts w:asciiTheme="majorHAnsi" w:hAnsiTheme="majorHAnsi" w:cstheme="majorHAnsi"/>
          <w:spacing w:val="-3"/>
          <w:szCs w:val="22"/>
        </w:rPr>
        <w:t xml:space="preserve"> </w:t>
      </w:r>
      <w:r w:rsidRPr="00437A8B">
        <w:rPr>
          <w:rFonts w:asciiTheme="majorHAnsi" w:hAnsiTheme="majorHAnsi" w:cstheme="majorHAnsi"/>
          <w:szCs w:val="22"/>
        </w:rPr>
        <w:t>concern</w:t>
      </w:r>
      <w:r w:rsidRPr="00437A8B">
        <w:rPr>
          <w:rFonts w:asciiTheme="majorHAnsi" w:hAnsiTheme="majorHAnsi" w:cstheme="majorHAnsi"/>
          <w:spacing w:val="-3"/>
          <w:szCs w:val="22"/>
        </w:rPr>
        <w:t xml:space="preserve"> </w:t>
      </w:r>
      <w:r w:rsidRPr="00437A8B">
        <w:rPr>
          <w:rFonts w:asciiTheme="majorHAnsi" w:hAnsiTheme="majorHAnsi" w:cstheme="majorHAnsi"/>
          <w:szCs w:val="22"/>
        </w:rPr>
        <w:t>requiring</w:t>
      </w:r>
      <w:r w:rsidRPr="00437A8B">
        <w:rPr>
          <w:rFonts w:asciiTheme="majorHAnsi" w:hAnsiTheme="majorHAnsi" w:cstheme="majorHAnsi"/>
          <w:spacing w:val="-1"/>
          <w:szCs w:val="22"/>
        </w:rPr>
        <w:t xml:space="preserve"> </w:t>
      </w:r>
      <w:r w:rsidRPr="00437A8B">
        <w:rPr>
          <w:rFonts w:asciiTheme="majorHAnsi" w:hAnsiTheme="majorHAnsi" w:cstheme="majorHAnsi"/>
          <w:szCs w:val="22"/>
        </w:rPr>
        <w:t xml:space="preserve">corrective </w:t>
      </w:r>
      <w:r w:rsidRPr="00437A8B">
        <w:rPr>
          <w:rFonts w:asciiTheme="majorHAnsi" w:hAnsiTheme="majorHAnsi" w:cstheme="majorHAnsi"/>
          <w:spacing w:val="-2"/>
          <w:szCs w:val="22"/>
        </w:rPr>
        <w:t>action.</w:t>
      </w:r>
    </w:p>
    <w:p w14:paraId="1CA6834B" w14:textId="65CF7F8A" w:rsidR="00AE33E0" w:rsidRPr="00437A8B" w:rsidRDefault="00AE33E0" w:rsidP="00437A8B">
      <w:pPr>
        <w:pStyle w:val="BodyText"/>
        <w:spacing w:line="276" w:lineRule="auto"/>
        <w:ind w:left="475" w:hanging="360"/>
        <w:rPr>
          <w:rFonts w:asciiTheme="majorHAnsi" w:hAnsiTheme="majorHAnsi" w:cstheme="majorHAnsi"/>
          <w:szCs w:val="22"/>
        </w:rPr>
      </w:pPr>
      <w:r w:rsidRPr="00437A8B">
        <w:rPr>
          <w:rFonts w:asciiTheme="majorHAnsi" w:hAnsiTheme="majorHAnsi" w:cstheme="majorHAnsi"/>
          <w:szCs w:val="22"/>
        </w:rPr>
        <w:t>Findings</w:t>
      </w:r>
      <w:r w:rsidR="00CB3BA9" w:rsidRPr="00437A8B">
        <w:rPr>
          <w:rFonts w:asciiTheme="majorHAnsi" w:hAnsiTheme="majorHAnsi" w:cstheme="majorHAnsi"/>
          <w:szCs w:val="22"/>
        </w:rPr>
        <w:t xml:space="preserve"> may</w:t>
      </w:r>
      <w:r w:rsidRPr="00437A8B">
        <w:rPr>
          <w:rFonts w:asciiTheme="majorHAnsi" w:hAnsiTheme="majorHAnsi" w:cstheme="majorHAnsi"/>
          <w:spacing w:val="-2"/>
          <w:szCs w:val="22"/>
        </w:rPr>
        <w:t xml:space="preserve"> </w:t>
      </w:r>
      <w:r w:rsidRPr="00437A8B">
        <w:rPr>
          <w:rFonts w:asciiTheme="majorHAnsi" w:hAnsiTheme="majorHAnsi" w:cstheme="majorHAnsi"/>
          <w:szCs w:val="22"/>
        </w:rPr>
        <w:t xml:space="preserve">impact </w:t>
      </w:r>
      <w:r w:rsidR="009810BE" w:rsidRPr="00437A8B">
        <w:rPr>
          <w:rFonts w:asciiTheme="majorHAnsi" w:hAnsiTheme="majorHAnsi" w:cstheme="majorHAnsi"/>
          <w:szCs w:val="22"/>
        </w:rPr>
        <w:t>a</w:t>
      </w:r>
      <w:r w:rsidRPr="00437A8B">
        <w:rPr>
          <w:rFonts w:asciiTheme="majorHAnsi" w:hAnsiTheme="majorHAnsi" w:cstheme="majorHAnsi"/>
          <w:szCs w:val="22"/>
        </w:rPr>
        <w:t xml:space="preserve"> </w:t>
      </w:r>
      <w:r w:rsidR="007E3BCC" w:rsidRPr="00437A8B">
        <w:rPr>
          <w:rFonts w:asciiTheme="majorHAnsi" w:hAnsiTheme="majorHAnsi" w:cstheme="majorHAnsi"/>
          <w:szCs w:val="22"/>
        </w:rPr>
        <w:t>Sponsoring Organization’s</w:t>
      </w:r>
      <w:r w:rsidRPr="00437A8B">
        <w:rPr>
          <w:rFonts w:asciiTheme="majorHAnsi" w:hAnsiTheme="majorHAnsi" w:cstheme="majorHAnsi"/>
          <w:spacing w:val="-4"/>
          <w:szCs w:val="22"/>
        </w:rPr>
        <w:t xml:space="preserve"> </w:t>
      </w:r>
      <w:r w:rsidRPr="00437A8B">
        <w:rPr>
          <w:rFonts w:asciiTheme="majorHAnsi" w:hAnsiTheme="majorHAnsi" w:cstheme="majorHAnsi"/>
          <w:szCs w:val="22"/>
        </w:rPr>
        <w:t>overall</w:t>
      </w:r>
      <w:r w:rsidRPr="00437A8B">
        <w:rPr>
          <w:rFonts w:asciiTheme="majorHAnsi" w:hAnsiTheme="majorHAnsi" w:cstheme="majorHAnsi"/>
          <w:spacing w:val="-1"/>
          <w:szCs w:val="22"/>
        </w:rPr>
        <w:t xml:space="preserve"> </w:t>
      </w:r>
      <w:r w:rsidRPr="00437A8B">
        <w:rPr>
          <w:rFonts w:asciiTheme="majorHAnsi" w:hAnsiTheme="majorHAnsi" w:cstheme="majorHAnsi"/>
          <w:szCs w:val="22"/>
        </w:rPr>
        <w:t>approval</w:t>
      </w:r>
      <w:r w:rsidRPr="00437A8B">
        <w:rPr>
          <w:rFonts w:asciiTheme="majorHAnsi" w:hAnsiTheme="majorHAnsi" w:cstheme="majorHAnsi"/>
          <w:spacing w:val="-3"/>
          <w:szCs w:val="22"/>
        </w:rPr>
        <w:t xml:space="preserve"> </w:t>
      </w:r>
      <w:r w:rsidRPr="00437A8B">
        <w:rPr>
          <w:rFonts w:asciiTheme="majorHAnsi" w:hAnsiTheme="majorHAnsi" w:cstheme="majorHAnsi"/>
          <w:spacing w:val="-2"/>
          <w:szCs w:val="22"/>
        </w:rPr>
        <w:t>determination.</w:t>
      </w:r>
    </w:p>
    <w:p w14:paraId="3B07A47F" w14:textId="77777777" w:rsidR="00AE33E0" w:rsidRPr="00437A8B" w:rsidRDefault="00AE33E0" w:rsidP="00437A8B">
      <w:pPr>
        <w:pStyle w:val="BodyText"/>
        <w:spacing w:line="276" w:lineRule="auto"/>
        <w:ind w:left="475" w:hanging="360"/>
        <w:rPr>
          <w:rFonts w:asciiTheme="majorHAnsi" w:hAnsiTheme="majorHAnsi" w:cstheme="majorHAnsi"/>
          <w:b/>
          <w:bCs/>
          <w:szCs w:val="22"/>
        </w:rPr>
      </w:pPr>
    </w:p>
    <w:p w14:paraId="2F3E6438" w14:textId="77777777" w:rsidR="00AE33E0" w:rsidRPr="00857422" w:rsidRDefault="00AE33E0" w:rsidP="00437A8B">
      <w:pPr>
        <w:pStyle w:val="BodyText"/>
        <w:spacing w:line="276" w:lineRule="auto"/>
        <w:ind w:left="475" w:hanging="360"/>
        <w:rPr>
          <w:rFonts w:asciiTheme="majorHAnsi" w:hAnsiTheme="majorHAnsi" w:cstheme="majorHAnsi"/>
          <w:szCs w:val="22"/>
        </w:rPr>
      </w:pPr>
      <w:r w:rsidRPr="00437A8B">
        <w:rPr>
          <w:rFonts w:asciiTheme="majorHAnsi" w:hAnsiTheme="majorHAnsi" w:cstheme="majorHAnsi"/>
          <w:b/>
          <w:bCs/>
          <w:szCs w:val="22"/>
        </w:rPr>
        <w:t>High-quality Curricular Materials:</w:t>
      </w:r>
      <w:r w:rsidRPr="00437A8B">
        <w:rPr>
          <w:rFonts w:asciiTheme="majorHAnsi" w:hAnsiTheme="majorHAnsi" w:cstheme="majorHAnsi"/>
          <w:szCs w:val="22"/>
        </w:rPr>
        <w:t xml:space="preserve"> High-quality curricular materials exhibit a coherent sequence of target skills and knowledge, empirical evidence of efficacy, and other characteristics such as engaging content and inclusive design. Some factors in quality are nonnegotiable, while others vary by context: for example, compatibility with a school’s technology infrastructure or cultural relevance to its student population. (</w:t>
      </w:r>
      <w:hyperlink r:id="rId107" w:history="1">
        <w:r w:rsidRPr="00437A8B">
          <w:rPr>
            <w:rStyle w:val="Hyperlink"/>
            <w:rFonts w:asciiTheme="majorHAnsi" w:hAnsiTheme="majorHAnsi" w:cstheme="majorHAnsi"/>
            <w:szCs w:val="22"/>
          </w:rPr>
          <w:t>Curriculum Matters</w:t>
        </w:r>
      </w:hyperlink>
      <w:r w:rsidRPr="00857422">
        <w:rPr>
          <w:rFonts w:asciiTheme="majorHAnsi" w:hAnsiTheme="majorHAnsi" w:cstheme="majorHAnsi"/>
          <w:szCs w:val="22"/>
        </w:rPr>
        <w:t>)</w:t>
      </w:r>
    </w:p>
    <w:p w14:paraId="01E7AE74" w14:textId="77777777" w:rsidR="000718B3" w:rsidRPr="00090190" w:rsidRDefault="000718B3" w:rsidP="00437A8B">
      <w:pPr>
        <w:pStyle w:val="BodyText"/>
        <w:spacing w:line="276" w:lineRule="auto"/>
        <w:ind w:left="475" w:hanging="360"/>
        <w:rPr>
          <w:rFonts w:asciiTheme="majorHAnsi" w:hAnsiTheme="majorHAnsi" w:cstheme="majorHAnsi"/>
          <w:szCs w:val="22"/>
        </w:rPr>
      </w:pPr>
    </w:p>
    <w:p w14:paraId="45C1FE46" w14:textId="219BEC10" w:rsidR="000718B3" w:rsidRPr="00014585" w:rsidRDefault="000718B3" w:rsidP="00437A8B">
      <w:pPr>
        <w:pStyle w:val="BodyText"/>
        <w:spacing w:line="276" w:lineRule="auto"/>
        <w:ind w:left="475" w:hanging="360"/>
        <w:rPr>
          <w:rFonts w:asciiTheme="majorHAnsi" w:hAnsiTheme="majorHAnsi" w:cstheme="majorBidi"/>
        </w:rPr>
      </w:pPr>
      <w:r w:rsidRPr="5E5DEAB0">
        <w:rPr>
          <w:rFonts w:asciiTheme="majorHAnsi" w:hAnsiTheme="majorHAnsi" w:cstheme="majorBidi"/>
          <w:b/>
        </w:rPr>
        <w:t xml:space="preserve">High-quality </w:t>
      </w:r>
      <w:r w:rsidR="1C969F80" w:rsidRPr="5E5DEAB0">
        <w:rPr>
          <w:rFonts w:asciiTheme="majorHAnsi" w:hAnsiTheme="majorHAnsi" w:cstheme="majorBidi"/>
          <w:b/>
          <w:bCs/>
        </w:rPr>
        <w:t>f</w:t>
      </w:r>
      <w:r w:rsidRPr="5E5DEAB0">
        <w:rPr>
          <w:rFonts w:asciiTheme="majorHAnsi" w:hAnsiTheme="majorHAnsi" w:cstheme="majorBidi"/>
          <w:b/>
        </w:rPr>
        <w:t>eedback:</w:t>
      </w:r>
      <w:r w:rsidRPr="5E5DEAB0">
        <w:rPr>
          <w:rFonts w:asciiTheme="majorHAnsi" w:hAnsiTheme="majorHAnsi" w:cstheme="majorBidi"/>
        </w:rPr>
        <w:t xml:space="preserve"> High</w:t>
      </w:r>
      <w:r w:rsidR="6B7A4884" w:rsidRPr="5E5DEAB0">
        <w:rPr>
          <w:rFonts w:asciiTheme="majorHAnsi" w:hAnsiTheme="majorHAnsi" w:cstheme="majorBidi"/>
        </w:rPr>
        <w:t>-</w:t>
      </w:r>
      <w:r w:rsidRPr="5E5DEAB0">
        <w:rPr>
          <w:rFonts w:asciiTheme="majorHAnsi" w:hAnsiTheme="majorHAnsi" w:cstheme="majorBidi"/>
        </w:rPr>
        <w:t>quality feedback is specific (evidence-based), concrete (related to quality, scope, and/or consistency of practice), useful (provides the candidate with clear next steps for improvement</w:t>
      </w:r>
      <w:r w:rsidR="009810BE" w:rsidRPr="5E5DEAB0">
        <w:rPr>
          <w:rFonts w:asciiTheme="majorHAnsi" w:hAnsiTheme="majorHAnsi" w:cstheme="majorBidi"/>
        </w:rPr>
        <w:t>) and</w:t>
      </w:r>
      <w:r w:rsidRPr="5E5DEAB0">
        <w:rPr>
          <w:rFonts w:asciiTheme="majorHAnsi" w:hAnsiTheme="majorHAnsi" w:cstheme="majorBidi"/>
        </w:rPr>
        <w:t xml:space="preserve"> addresses areas of both strength and improvement.</w:t>
      </w:r>
    </w:p>
    <w:p w14:paraId="07978825" w14:textId="77777777" w:rsidR="00AE33E0" w:rsidRPr="00014585" w:rsidRDefault="00AE33E0" w:rsidP="00437A8B">
      <w:pPr>
        <w:pStyle w:val="BodyText"/>
        <w:spacing w:before="7" w:line="276" w:lineRule="auto"/>
        <w:ind w:left="475" w:hanging="360"/>
        <w:rPr>
          <w:rFonts w:asciiTheme="majorHAnsi" w:hAnsiTheme="majorHAnsi" w:cstheme="majorHAnsi"/>
          <w:szCs w:val="22"/>
        </w:rPr>
      </w:pPr>
    </w:p>
    <w:p w14:paraId="65DBA02C" w14:textId="75BBE8B1" w:rsidR="00E03982" w:rsidRPr="00437A8B" w:rsidRDefault="00E03982" w:rsidP="00437A8B">
      <w:pPr>
        <w:pStyle w:val="BodyText"/>
        <w:spacing w:before="7" w:line="276" w:lineRule="auto"/>
        <w:ind w:left="475" w:hanging="360"/>
        <w:rPr>
          <w:rFonts w:asciiTheme="majorHAnsi" w:hAnsiTheme="majorHAnsi" w:cstheme="majorBidi"/>
          <w:b/>
        </w:rPr>
      </w:pPr>
      <w:r w:rsidRPr="5E5DEAB0">
        <w:rPr>
          <w:rFonts w:asciiTheme="majorHAnsi" w:hAnsiTheme="majorHAnsi" w:cstheme="majorBidi"/>
          <w:b/>
        </w:rPr>
        <w:t xml:space="preserve">Identity </w:t>
      </w:r>
      <w:r w:rsidR="534F6DCB" w:rsidRPr="5E5DEAB0">
        <w:rPr>
          <w:rFonts w:asciiTheme="majorHAnsi" w:hAnsiTheme="majorHAnsi" w:cstheme="majorBidi"/>
          <w:b/>
          <w:bCs/>
        </w:rPr>
        <w:t>g</w:t>
      </w:r>
      <w:r w:rsidRPr="5E5DEAB0">
        <w:rPr>
          <w:rFonts w:asciiTheme="majorHAnsi" w:hAnsiTheme="majorHAnsi" w:cstheme="majorBidi"/>
          <w:b/>
        </w:rPr>
        <w:t>roup</w:t>
      </w:r>
      <w:r w:rsidR="00791D2B" w:rsidRPr="5E5DEAB0">
        <w:rPr>
          <w:rFonts w:asciiTheme="majorHAnsi" w:hAnsiTheme="majorHAnsi" w:cstheme="majorBidi"/>
          <w:b/>
        </w:rPr>
        <w:t>s</w:t>
      </w:r>
      <w:r w:rsidRPr="5E5DEAB0">
        <w:rPr>
          <w:rFonts w:asciiTheme="majorHAnsi" w:hAnsiTheme="majorHAnsi" w:cstheme="majorBidi"/>
          <w:b/>
        </w:rPr>
        <w:t>:</w:t>
      </w:r>
      <w:r w:rsidR="001C4B1F" w:rsidRPr="5E5DEAB0">
        <w:rPr>
          <w:rFonts w:asciiTheme="majorHAnsi" w:hAnsiTheme="majorHAnsi" w:cstheme="majorBidi"/>
          <w:b/>
        </w:rPr>
        <w:t xml:space="preserve"> </w:t>
      </w:r>
      <w:r w:rsidR="00791D2B" w:rsidRPr="5E5DEAB0">
        <w:rPr>
          <w:rFonts w:asciiTheme="majorHAnsi" w:hAnsiTheme="majorHAnsi" w:cstheme="majorBidi"/>
        </w:rPr>
        <w:t xml:space="preserve">Groups </w:t>
      </w:r>
      <w:r w:rsidR="006B4018" w:rsidRPr="5E5DEAB0">
        <w:rPr>
          <w:rFonts w:asciiTheme="majorHAnsi" w:hAnsiTheme="majorHAnsi" w:cstheme="majorBidi"/>
        </w:rPr>
        <w:t xml:space="preserve">in which individuals are members based on their </w:t>
      </w:r>
      <w:r w:rsidR="00DB7A36" w:rsidRPr="5E5DEAB0">
        <w:rPr>
          <w:rFonts w:asciiTheme="majorHAnsi" w:hAnsiTheme="majorHAnsi" w:cstheme="majorBidi"/>
        </w:rPr>
        <w:t>social identity</w:t>
      </w:r>
      <w:r w:rsidR="00AC6D15" w:rsidRPr="5E5DEAB0">
        <w:rPr>
          <w:rFonts w:asciiTheme="majorHAnsi" w:hAnsiTheme="majorHAnsi" w:cstheme="majorBidi"/>
        </w:rPr>
        <w:t xml:space="preserve">, which may include </w:t>
      </w:r>
      <w:r w:rsidR="008F1C1D" w:rsidRPr="5E5DEAB0">
        <w:rPr>
          <w:rFonts w:asciiTheme="majorHAnsi" w:hAnsiTheme="majorHAnsi" w:cstheme="majorBidi"/>
        </w:rPr>
        <w:t xml:space="preserve">but are not limited to </w:t>
      </w:r>
      <w:r w:rsidR="00185102" w:rsidRPr="5E5DEAB0">
        <w:rPr>
          <w:rFonts w:asciiTheme="majorHAnsi" w:hAnsiTheme="majorHAnsi" w:cstheme="majorBidi"/>
        </w:rPr>
        <w:t xml:space="preserve">race, ethnicity, </w:t>
      </w:r>
      <w:r w:rsidR="0008394C" w:rsidRPr="5E5DEAB0">
        <w:rPr>
          <w:rFonts w:asciiTheme="majorHAnsi" w:hAnsiTheme="majorHAnsi" w:cstheme="majorBidi"/>
        </w:rPr>
        <w:t xml:space="preserve">language, </w:t>
      </w:r>
      <w:r w:rsidR="00185102" w:rsidRPr="5E5DEAB0">
        <w:rPr>
          <w:rFonts w:asciiTheme="majorHAnsi" w:hAnsiTheme="majorHAnsi" w:cstheme="majorBidi"/>
        </w:rPr>
        <w:t>gender</w:t>
      </w:r>
      <w:r w:rsidR="0008394C" w:rsidRPr="5E5DEAB0">
        <w:rPr>
          <w:rFonts w:asciiTheme="majorHAnsi" w:hAnsiTheme="majorHAnsi" w:cstheme="majorBidi"/>
        </w:rPr>
        <w:t>, gender identity</w:t>
      </w:r>
      <w:r w:rsidR="00185102" w:rsidRPr="5E5DEAB0">
        <w:rPr>
          <w:rFonts w:asciiTheme="majorHAnsi" w:hAnsiTheme="majorHAnsi" w:cstheme="majorBidi"/>
        </w:rPr>
        <w:t>, sexual orientation,</w:t>
      </w:r>
      <w:r w:rsidR="0008394C" w:rsidRPr="5E5DEAB0">
        <w:rPr>
          <w:rFonts w:asciiTheme="majorHAnsi" w:hAnsiTheme="majorHAnsi" w:cstheme="majorBidi"/>
        </w:rPr>
        <w:t xml:space="preserve"> or</w:t>
      </w:r>
      <w:r w:rsidR="00185102" w:rsidRPr="5E5DEAB0">
        <w:rPr>
          <w:rFonts w:asciiTheme="majorHAnsi" w:hAnsiTheme="majorHAnsi" w:cstheme="majorBidi"/>
        </w:rPr>
        <w:t xml:space="preserve"> </w:t>
      </w:r>
      <w:r w:rsidR="00AD7335" w:rsidRPr="5E5DEAB0">
        <w:rPr>
          <w:rFonts w:asciiTheme="majorHAnsi" w:hAnsiTheme="majorHAnsi" w:cstheme="majorBidi"/>
        </w:rPr>
        <w:t>citizenship</w:t>
      </w:r>
      <w:r w:rsidR="0008394C" w:rsidRPr="5E5DEAB0">
        <w:rPr>
          <w:rFonts w:asciiTheme="majorHAnsi" w:hAnsiTheme="majorHAnsi" w:cstheme="majorBidi"/>
        </w:rPr>
        <w:t>.</w:t>
      </w:r>
    </w:p>
    <w:p w14:paraId="41896038" w14:textId="77777777" w:rsidR="001C4B1F" w:rsidRPr="00437A8B" w:rsidRDefault="001C4B1F" w:rsidP="00437A8B">
      <w:pPr>
        <w:pStyle w:val="BodyText"/>
        <w:spacing w:before="7" w:line="276" w:lineRule="auto"/>
        <w:ind w:left="475" w:hanging="360"/>
        <w:rPr>
          <w:rFonts w:asciiTheme="majorHAnsi" w:hAnsiTheme="majorHAnsi" w:cstheme="majorHAnsi"/>
          <w:b/>
          <w:bCs/>
          <w:szCs w:val="22"/>
        </w:rPr>
      </w:pPr>
    </w:p>
    <w:p w14:paraId="5B4EB813" w14:textId="77777777" w:rsidR="00AE33E0" w:rsidRPr="00437A8B" w:rsidRDefault="00AE33E0" w:rsidP="00437A8B">
      <w:pPr>
        <w:pStyle w:val="BodyText"/>
        <w:spacing w:before="7" w:line="276" w:lineRule="auto"/>
        <w:ind w:left="475" w:hanging="360"/>
        <w:rPr>
          <w:rFonts w:asciiTheme="majorHAnsi" w:hAnsiTheme="majorHAnsi" w:cstheme="majorHAnsi"/>
          <w:szCs w:val="22"/>
        </w:rPr>
      </w:pPr>
      <w:r w:rsidRPr="00437A8B">
        <w:rPr>
          <w:rFonts w:asciiTheme="majorHAnsi" w:hAnsiTheme="majorHAnsi" w:cstheme="majorHAnsi"/>
          <w:b/>
          <w:bCs/>
          <w:szCs w:val="22"/>
        </w:rPr>
        <w:t>Inclusion:</w:t>
      </w:r>
      <w:r w:rsidRPr="00437A8B">
        <w:rPr>
          <w:rFonts w:asciiTheme="majorHAnsi" w:hAnsiTheme="majorHAnsi" w:cstheme="majorHAnsi"/>
          <w:szCs w:val="22"/>
        </w:rPr>
        <w:t xml:space="preserve"> Pursuing deliberate actions to create welcoming environments and ensure differences are actively sought and heard, and that every individual feels a sense of belonging and a role in impacting decision-making, practices, and policies.</w:t>
      </w:r>
    </w:p>
    <w:p w14:paraId="75F8996D" w14:textId="77777777" w:rsidR="00AE33E0" w:rsidRPr="00437A8B" w:rsidRDefault="00AE33E0" w:rsidP="00437A8B">
      <w:pPr>
        <w:pStyle w:val="BodyText"/>
        <w:spacing w:before="7" w:line="276" w:lineRule="auto"/>
        <w:ind w:left="475" w:hanging="360"/>
        <w:rPr>
          <w:rFonts w:asciiTheme="majorHAnsi" w:hAnsiTheme="majorHAnsi" w:cstheme="majorHAnsi"/>
          <w:szCs w:val="22"/>
        </w:rPr>
      </w:pPr>
    </w:p>
    <w:p w14:paraId="5D22D359" w14:textId="44DAC80F" w:rsidR="00AE33E0" w:rsidRPr="00437A8B" w:rsidRDefault="00AE33E0" w:rsidP="00437A8B">
      <w:pPr>
        <w:pStyle w:val="BodyText"/>
        <w:spacing w:line="276" w:lineRule="auto"/>
        <w:ind w:left="475" w:hanging="360"/>
        <w:rPr>
          <w:rFonts w:asciiTheme="majorHAnsi" w:hAnsiTheme="majorHAnsi" w:cstheme="majorBidi"/>
        </w:rPr>
      </w:pPr>
      <w:r w:rsidRPr="5E5DEAB0">
        <w:rPr>
          <w:rFonts w:asciiTheme="majorHAnsi" w:hAnsiTheme="majorHAnsi" w:cstheme="majorBidi"/>
          <w:b/>
        </w:rPr>
        <w:t xml:space="preserve">Input </w:t>
      </w:r>
      <w:r w:rsidR="73D50072" w:rsidRPr="5E5DEAB0">
        <w:rPr>
          <w:rFonts w:asciiTheme="majorHAnsi" w:hAnsiTheme="majorHAnsi" w:cstheme="majorBidi"/>
          <w:b/>
          <w:bCs/>
        </w:rPr>
        <w:t>m</w:t>
      </w:r>
      <w:r w:rsidRPr="5E5DEAB0">
        <w:rPr>
          <w:rFonts w:asciiTheme="majorHAnsi" w:hAnsiTheme="majorHAnsi" w:cstheme="majorBidi"/>
          <w:b/>
        </w:rPr>
        <w:t>easures</w:t>
      </w:r>
      <w:r w:rsidRPr="5E5DEAB0">
        <w:rPr>
          <w:rFonts w:asciiTheme="majorHAnsi" w:hAnsiTheme="majorHAnsi" w:cstheme="majorBidi"/>
        </w:rPr>
        <w:t>: Sources of evidence used to demonstrate actions and systems Sponsoring Organizations</w:t>
      </w:r>
      <w:r w:rsidRPr="5E5DEAB0">
        <w:rPr>
          <w:rFonts w:asciiTheme="majorHAnsi" w:hAnsiTheme="majorHAnsi" w:cstheme="majorBidi"/>
          <w:spacing w:val="-5"/>
        </w:rPr>
        <w:t xml:space="preserve"> </w:t>
      </w:r>
      <w:r w:rsidRPr="5E5DEAB0">
        <w:rPr>
          <w:rFonts w:asciiTheme="majorHAnsi" w:hAnsiTheme="majorHAnsi" w:cstheme="majorBidi"/>
        </w:rPr>
        <w:t>have</w:t>
      </w:r>
      <w:r w:rsidRPr="5E5DEAB0">
        <w:rPr>
          <w:rFonts w:asciiTheme="majorHAnsi" w:hAnsiTheme="majorHAnsi" w:cstheme="majorBidi"/>
          <w:spacing w:val="-4"/>
        </w:rPr>
        <w:t xml:space="preserve"> </w:t>
      </w:r>
      <w:r w:rsidRPr="5E5DEAB0">
        <w:rPr>
          <w:rFonts w:asciiTheme="majorHAnsi" w:hAnsiTheme="majorHAnsi" w:cstheme="majorBidi"/>
        </w:rPr>
        <w:t>in</w:t>
      </w:r>
      <w:r w:rsidRPr="5E5DEAB0">
        <w:rPr>
          <w:rFonts w:asciiTheme="majorHAnsi" w:hAnsiTheme="majorHAnsi" w:cstheme="majorBidi"/>
          <w:spacing w:val="-4"/>
        </w:rPr>
        <w:t xml:space="preserve"> </w:t>
      </w:r>
      <w:r w:rsidRPr="5E5DEAB0">
        <w:rPr>
          <w:rFonts w:asciiTheme="majorHAnsi" w:hAnsiTheme="majorHAnsi" w:cstheme="majorBidi"/>
        </w:rPr>
        <w:t>place</w:t>
      </w:r>
      <w:r w:rsidRPr="5E5DEAB0">
        <w:rPr>
          <w:rFonts w:asciiTheme="majorHAnsi" w:hAnsiTheme="majorHAnsi" w:cstheme="majorBidi"/>
          <w:spacing w:val="-2"/>
        </w:rPr>
        <w:t xml:space="preserve"> </w:t>
      </w:r>
      <w:r w:rsidRPr="5E5DEAB0">
        <w:rPr>
          <w:rFonts w:asciiTheme="majorHAnsi" w:hAnsiTheme="majorHAnsi" w:cstheme="majorBidi"/>
        </w:rPr>
        <w:t>to</w:t>
      </w:r>
      <w:r w:rsidRPr="5E5DEAB0">
        <w:rPr>
          <w:rFonts w:asciiTheme="majorHAnsi" w:hAnsiTheme="majorHAnsi" w:cstheme="majorBidi"/>
          <w:spacing w:val="-4"/>
        </w:rPr>
        <w:t xml:space="preserve"> </w:t>
      </w:r>
      <w:r w:rsidRPr="5E5DEAB0">
        <w:rPr>
          <w:rFonts w:asciiTheme="majorHAnsi" w:hAnsiTheme="majorHAnsi" w:cstheme="majorBidi"/>
        </w:rPr>
        <w:t>meet</w:t>
      </w:r>
      <w:r w:rsidRPr="5E5DEAB0">
        <w:rPr>
          <w:rFonts w:asciiTheme="majorHAnsi" w:hAnsiTheme="majorHAnsi" w:cstheme="majorBidi"/>
          <w:spacing w:val="-1"/>
        </w:rPr>
        <w:t xml:space="preserve"> </w:t>
      </w:r>
      <w:r w:rsidRPr="5E5DEAB0">
        <w:rPr>
          <w:rFonts w:asciiTheme="majorHAnsi" w:hAnsiTheme="majorHAnsi" w:cstheme="majorBidi"/>
        </w:rPr>
        <w:t>Formal</w:t>
      </w:r>
      <w:r w:rsidRPr="5E5DEAB0">
        <w:rPr>
          <w:rFonts w:asciiTheme="majorHAnsi" w:hAnsiTheme="majorHAnsi" w:cstheme="majorBidi"/>
          <w:spacing w:val="-2"/>
        </w:rPr>
        <w:t xml:space="preserve"> </w:t>
      </w:r>
      <w:r w:rsidRPr="5E5DEAB0">
        <w:rPr>
          <w:rFonts w:asciiTheme="majorHAnsi" w:hAnsiTheme="majorHAnsi" w:cstheme="majorBidi"/>
        </w:rPr>
        <w:t>Review</w:t>
      </w:r>
      <w:r w:rsidRPr="5E5DEAB0">
        <w:rPr>
          <w:rFonts w:asciiTheme="majorHAnsi" w:hAnsiTheme="majorHAnsi" w:cstheme="majorBidi"/>
          <w:spacing w:val="-4"/>
        </w:rPr>
        <w:t xml:space="preserve"> </w:t>
      </w:r>
      <w:r w:rsidRPr="5E5DEAB0">
        <w:rPr>
          <w:rFonts w:asciiTheme="majorHAnsi" w:hAnsiTheme="majorHAnsi" w:cstheme="majorBidi"/>
        </w:rPr>
        <w:t>criteria.</w:t>
      </w:r>
      <w:r w:rsidRPr="5E5DEAB0">
        <w:rPr>
          <w:rFonts w:asciiTheme="majorHAnsi" w:hAnsiTheme="majorHAnsi" w:cstheme="majorBidi"/>
          <w:spacing w:val="-4"/>
        </w:rPr>
        <w:t xml:space="preserve"> </w:t>
      </w:r>
      <w:r w:rsidRPr="5E5DEAB0">
        <w:rPr>
          <w:rFonts w:asciiTheme="majorHAnsi" w:hAnsiTheme="majorHAnsi" w:cstheme="majorBidi"/>
        </w:rPr>
        <w:t>These</w:t>
      </w:r>
      <w:r w:rsidRPr="5E5DEAB0">
        <w:rPr>
          <w:rFonts w:asciiTheme="majorHAnsi" w:hAnsiTheme="majorHAnsi" w:cstheme="majorBidi"/>
          <w:spacing w:val="-4"/>
        </w:rPr>
        <w:t xml:space="preserve"> </w:t>
      </w:r>
      <w:r w:rsidRPr="5E5DEAB0">
        <w:rPr>
          <w:rFonts w:asciiTheme="majorHAnsi" w:hAnsiTheme="majorHAnsi" w:cstheme="majorBidi"/>
        </w:rPr>
        <w:t>measures</w:t>
      </w:r>
      <w:r w:rsidRPr="5E5DEAB0">
        <w:rPr>
          <w:rFonts w:asciiTheme="majorHAnsi" w:hAnsiTheme="majorHAnsi" w:cstheme="majorBidi"/>
          <w:spacing w:val="-3"/>
        </w:rPr>
        <w:t xml:space="preserve"> </w:t>
      </w:r>
      <w:r w:rsidRPr="5E5DEAB0">
        <w:rPr>
          <w:rFonts w:asciiTheme="majorHAnsi" w:hAnsiTheme="majorHAnsi" w:cstheme="majorBidi"/>
        </w:rPr>
        <w:t>recognize</w:t>
      </w:r>
      <w:r w:rsidRPr="5E5DEAB0">
        <w:rPr>
          <w:rFonts w:asciiTheme="majorHAnsi" w:hAnsiTheme="majorHAnsi" w:cstheme="majorBidi"/>
          <w:spacing w:val="-4"/>
        </w:rPr>
        <w:t xml:space="preserve"> </w:t>
      </w:r>
      <w:r w:rsidRPr="5E5DEAB0">
        <w:rPr>
          <w:rFonts w:asciiTheme="majorHAnsi" w:hAnsiTheme="majorHAnsi" w:cstheme="majorBidi"/>
        </w:rPr>
        <w:t>that overall outcomes are influenced by programmatic inputs.</w:t>
      </w:r>
    </w:p>
    <w:p w14:paraId="1C12D4C7" w14:textId="77777777" w:rsidR="00AE33E0" w:rsidRPr="00437A8B" w:rsidRDefault="00AE33E0" w:rsidP="00437A8B">
      <w:pPr>
        <w:pStyle w:val="BodyText"/>
        <w:spacing w:before="8" w:line="276" w:lineRule="auto"/>
        <w:ind w:left="475" w:hanging="360"/>
        <w:rPr>
          <w:rFonts w:asciiTheme="majorHAnsi" w:hAnsiTheme="majorHAnsi" w:cstheme="majorHAnsi"/>
          <w:szCs w:val="22"/>
        </w:rPr>
      </w:pPr>
    </w:p>
    <w:p w14:paraId="197988CC" w14:textId="77777777" w:rsidR="00AE33E0" w:rsidRPr="00437A8B" w:rsidRDefault="00AE33E0" w:rsidP="00437A8B">
      <w:pPr>
        <w:pStyle w:val="BodyText"/>
        <w:spacing w:line="276" w:lineRule="auto"/>
        <w:ind w:left="475" w:right="66" w:hanging="360"/>
        <w:rPr>
          <w:rFonts w:asciiTheme="majorHAnsi" w:hAnsiTheme="majorHAnsi" w:cstheme="majorHAnsi"/>
          <w:szCs w:val="22"/>
        </w:rPr>
      </w:pPr>
      <w:r w:rsidRPr="00437A8B">
        <w:rPr>
          <w:rFonts w:asciiTheme="majorHAnsi" w:hAnsiTheme="majorHAnsi" w:cstheme="majorHAnsi"/>
          <w:b/>
          <w:szCs w:val="22"/>
        </w:rPr>
        <w:t>Massachusetts</w:t>
      </w:r>
      <w:r w:rsidRPr="00437A8B">
        <w:rPr>
          <w:rFonts w:asciiTheme="majorHAnsi" w:hAnsiTheme="majorHAnsi" w:cstheme="majorHAnsi"/>
          <w:b/>
          <w:spacing w:val="-4"/>
          <w:szCs w:val="22"/>
        </w:rPr>
        <w:t xml:space="preserve"> </w:t>
      </w:r>
      <w:r w:rsidRPr="00437A8B">
        <w:rPr>
          <w:rFonts w:asciiTheme="majorHAnsi" w:hAnsiTheme="majorHAnsi" w:cstheme="majorHAnsi"/>
          <w:b/>
          <w:szCs w:val="22"/>
        </w:rPr>
        <w:t>Curriculum</w:t>
      </w:r>
      <w:r w:rsidRPr="00437A8B">
        <w:rPr>
          <w:rFonts w:asciiTheme="majorHAnsi" w:hAnsiTheme="majorHAnsi" w:cstheme="majorHAnsi"/>
          <w:b/>
          <w:spacing w:val="-5"/>
          <w:szCs w:val="22"/>
        </w:rPr>
        <w:t xml:space="preserve"> </w:t>
      </w:r>
      <w:r w:rsidRPr="00437A8B">
        <w:rPr>
          <w:rFonts w:asciiTheme="majorHAnsi" w:hAnsiTheme="majorHAnsi" w:cstheme="majorHAnsi"/>
          <w:b/>
          <w:szCs w:val="22"/>
        </w:rPr>
        <w:t>Frameworks</w:t>
      </w:r>
      <w:r w:rsidRPr="00437A8B">
        <w:rPr>
          <w:rFonts w:asciiTheme="majorHAnsi" w:hAnsiTheme="majorHAnsi" w:cstheme="majorHAnsi"/>
          <w:szCs w:val="22"/>
        </w:rPr>
        <w:t>:</w:t>
      </w:r>
      <w:r w:rsidRPr="00437A8B">
        <w:rPr>
          <w:rFonts w:asciiTheme="majorHAnsi" w:hAnsiTheme="majorHAnsi" w:cstheme="majorHAnsi"/>
          <w:spacing w:val="-6"/>
          <w:szCs w:val="22"/>
        </w:rPr>
        <w:t xml:space="preserve"> </w:t>
      </w:r>
      <w:r w:rsidRPr="00437A8B">
        <w:rPr>
          <w:rFonts w:asciiTheme="majorHAnsi" w:hAnsiTheme="majorHAnsi" w:cstheme="majorHAnsi"/>
          <w:szCs w:val="22"/>
        </w:rPr>
        <w:t>The</w:t>
      </w:r>
      <w:r w:rsidRPr="00437A8B">
        <w:rPr>
          <w:rFonts w:asciiTheme="majorHAnsi" w:hAnsiTheme="majorHAnsi" w:cstheme="majorHAnsi"/>
          <w:spacing w:val="-6"/>
          <w:szCs w:val="22"/>
        </w:rPr>
        <w:t xml:space="preserve"> </w:t>
      </w:r>
      <w:r w:rsidRPr="00437A8B">
        <w:rPr>
          <w:rFonts w:asciiTheme="majorHAnsi" w:hAnsiTheme="majorHAnsi" w:cstheme="majorHAnsi"/>
          <w:szCs w:val="22"/>
        </w:rPr>
        <w:t>Massachusetts</w:t>
      </w:r>
      <w:r w:rsidRPr="00437A8B">
        <w:rPr>
          <w:rFonts w:asciiTheme="majorHAnsi" w:hAnsiTheme="majorHAnsi" w:cstheme="majorHAnsi"/>
          <w:spacing w:val="-5"/>
          <w:szCs w:val="22"/>
        </w:rPr>
        <w:t xml:space="preserve"> </w:t>
      </w:r>
      <w:r w:rsidRPr="00437A8B">
        <w:rPr>
          <w:rFonts w:asciiTheme="majorHAnsi" w:hAnsiTheme="majorHAnsi" w:cstheme="majorHAnsi"/>
          <w:szCs w:val="22"/>
        </w:rPr>
        <w:t>Curriculum</w:t>
      </w:r>
      <w:r w:rsidRPr="00437A8B">
        <w:rPr>
          <w:rFonts w:asciiTheme="majorHAnsi" w:hAnsiTheme="majorHAnsi" w:cstheme="majorHAnsi"/>
          <w:spacing w:val="-7"/>
          <w:szCs w:val="22"/>
        </w:rPr>
        <w:t xml:space="preserve"> </w:t>
      </w:r>
      <w:r w:rsidRPr="00437A8B">
        <w:rPr>
          <w:rFonts w:asciiTheme="majorHAnsi" w:hAnsiTheme="majorHAnsi" w:cstheme="majorHAnsi"/>
          <w:szCs w:val="22"/>
        </w:rPr>
        <w:t>Frameworks</w:t>
      </w:r>
      <w:r w:rsidRPr="00437A8B">
        <w:rPr>
          <w:rFonts w:asciiTheme="majorHAnsi" w:hAnsiTheme="majorHAnsi" w:cstheme="majorHAnsi"/>
          <w:spacing w:val="-5"/>
          <w:szCs w:val="22"/>
        </w:rPr>
        <w:t xml:space="preserve"> </w:t>
      </w:r>
      <w:r w:rsidRPr="00437A8B">
        <w:rPr>
          <w:rFonts w:asciiTheme="majorHAnsi" w:hAnsiTheme="majorHAnsi" w:cstheme="majorHAnsi"/>
          <w:szCs w:val="22"/>
        </w:rPr>
        <w:t>comprise the</w:t>
      </w:r>
      <w:r w:rsidRPr="00437A8B">
        <w:rPr>
          <w:rFonts w:asciiTheme="majorHAnsi" w:hAnsiTheme="majorHAnsi" w:cstheme="majorHAnsi"/>
          <w:spacing w:val="-1"/>
          <w:szCs w:val="22"/>
        </w:rPr>
        <w:t xml:space="preserve"> </w:t>
      </w:r>
      <w:r w:rsidRPr="00437A8B">
        <w:rPr>
          <w:rFonts w:asciiTheme="majorHAnsi" w:hAnsiTheme="majorHAnsi" w:cstheme="majorHAnsi"/>
          <w:szCs w:val="22"/>
        </w:rPr>
        <w:t>following subject</w:t>
      </w:r>
      <w:r w:rsidRPr="00437A8B">
        <w:rPr>
          <w:rFonts w:asciiTheme="majorHAnsi" w:hAnsiTheme="majorHAnsi" w:cstheme="majorHAnsi"/>
          <w:spacing w:val="-1"/>
          <w:szCs w:val="22"/>
        </w:rPr>
        <w:t xml:space="preserve"> </w:t>
      </w:r>
      <w:r w:rsidRPr="00437A8B">
        <w:rPr>
          <w:rFonts w:asciiTheme="majorHAnsi" w:hAnsiTheme="majorHAnsi" w:cstheme="majorHAnsi"/>
          <w:szCs w:val="22"/>
        </w:rPr>
        <w:t>areas: Arts,</w:t>
      </w:r>
      <w:r w:rsidRPr="00437A8B">
        <w:rPr>
          <w:rFonts w:asciiTheme="majorHAnsi" w:hAnsiTheme="majorHAnsi" w:cstheme="majorHAnsi"/>
          <w:spacing w:val="-2"/>
          <w:szCs w:val="22"/>
        </w:rPr>
        <w:t xml:space="preserve"> </w:t>
      </w:r>
      <w:r w:rsidRPr="00437A8B">
        <w:rPr>
          <w:rFonts w:asciiTheme="majorHAnsi" w:hAnsiTheme="majorHAnsi" w:cstheme="majorHAnsi"/>
          <w:szCs w:val="22"/>
        </w:rPr>
        <w:t>English Language Arts,</w:t>
      </w:r>
      <w:r w:rsidRPr="00437A8B">
        <w:rPr>
          <w:rFonts w:asciiTheme="majorHAnsi" w:hAnsiTheme="majorHAnsi" w:cstheme="majorHAnsi"/>
          <w:spacing w:val="-2"/>
          <w:szCs w:val="22"/>
        </w:rPr>
        <w:t xml:space="preserve"> </w:t>
      </w:r>
      <w:r w:rsidRPr="00437A8B">
        <w:rPr>
          <w:rFonts w:asciiTheme="majorHAnsi" w:hAnsiTheme="majorHAnsi" w:cstheme="majorHAnsi"/>
          <w:szCs w:val="22"/>
        </w:rPr>
        <w:t xml:space="preserve">Foreign Language, Comprehensive Health, Mathematics, History and Social Science, Science Technology and Engineering, English Language Proficiency Benchmarks and Outcomes, and Vocational Technical </w:t>
      </w:r>
      <w:r w:rsidRPr="00437A8B">
        <w:rPr>
          <w:rFonts w:asciiTheme="majorHAnsi" w:hAnsiTheme="majorHAnsi" w:cstheme="majorHAnsi"/>
          <w:spacing w:val="-2"/>
          <w:szCs w:val="22"/>
        </w:rPr>
        <w:t>Education.</w:t>
      </w:r>
    </w:p>
    <w:p w14:paraId="6681BDEB" w14:textId="77777777" w:rsidR="00AE33E0" w:rsidRPr="00437A8B" w:rsidRDefault="00AE33E0" w:rsidP="00437A8B">
      <w:pPr>
        <w:pStyle w:val="BodyText"/>
        <w:spacing w:before="7" w:line="276" w:lineRule="auto"/>
        <w:ind w:left="475" w:hanging="360"/>
        <w:rPr>
          <w:rFonts w:asciiTheme="majorHAnsi" w:hAnsiTheme="majorHAnsi" w:cstheme="majorHAnsi"/>
          <w:szCs w:val="22"/>
        </w:rPr>
      </w:pPr>
    </w:p>
    <w:p w14:paraId="67ADC1CF" w14:textId="77777777" w:rsidR="00AE33E0" w:rsidRPr="00437A8B" w:rsidRDefault="00AE33E0" w:rsidP="00437A8B">
      <w:pPr>
        <w:pStyle w:val="BodyText"/>
        <w:spacing w:before="41" w:line="276" w:lineRule="auto"/>
        <w:ind w:left="475" w:right="66" w:hanging="360"/>
        <w:rPr>
          <w:rFonts w:asciiTheme="majorHAnsi" w:hAnsiTheme="majorHAnsi" w:cstheme="majorHAnsi"/>
          <w:szCs w:val="22"/>
        </w:rPr>
      </w:pPr>
      <w:r w:rsidRPr="00437A8B">
        <w:rPr>
          <w:rFonts w:asciiTheme="majorHAnsi" w:hAnsiTheme="majorHAnsi" w:cstheme="majorHAnsi"/>
          <w:b/>
          <w:szCs w:val="22"/>
        </w:rPr>
        <w:t>NASDTEC</w:t>
      </w:r>
      <w:r w:rsidRPr="00437A8B">
        <w:rPr>
          <w:rFonts w:asciiTheme="majorHAnsi" w:hAnsiTheme="majorHAnsi" w:cstheme="majorHAnsi"/>
          <w:b/>
          <w:spacing w:val="-5"/>
          <w:szCs w:val="22"/>
        </w:rPr>
        <w:t xml:space="preserve"> </w:t>
      </w:r>
      <w:r w:rsidRPr="00437A8B">
        <w:rPr>
          <w:rFonts w:asciiTheme="majorHAnsi" w:hAnsiTheme="majorHAnsi" w:cstheme="majorHAnsi"/>
          <w:b/>
          <w:szCs w:val="22"/>
        </w:rPr>
        <w:t>Interstate</w:t>
      </w:r>
      <w:r w:rsidRPr="00437A8B">
        <w:rPr>
          <w:rFonts w:asciiTheme="majorHAnsi" w:hAnsiTheme="majorHAnsi" w:cstheme="majorHAnsi"/>
          <w:b/>
          <w:spacing w:val="-3"/>
          <w:szCs w:val="22"/>
        </w:rPr>
        <w:t xml:space="preserve"> </w:t>
      </w:r>
      <w:r w:rsidRPr="00437A8B">
        <w:rPr>
          <w:rFonts w:asciiTheme="majorHAnsi" w:hAnsiTheme="majorHAnsi" w:cstheme="majorHAnsi"/>
          <w:b/>
          <w:szCs w:val="22"/>
        </w:rPr>
        <w:t>Agreement:</w:t>
      </w:r>
      <w:r w:rsidRPr="00437A8B">
        <w:rPr>
          <w:rFonts w:asciiTheme="majorHAnsi" w:hAnsiTheme="majorHAnsi" w:cstheme="majorHAnsi"/>
          <w:b/>
          <w:spacing w:val="-1"/>
          <w:szCs w:val="22"/>
        </w:rPr>
        <w:t xml:space="preserve"> </w:t>
      </w:r>
      <w:r w:rsidRPr="00437A8B">
        <w:rPr>
          <w:rFonts w:asciiTheme="majorHAnsi" w:hAnsiTheme="majorHAnsi" w:cstheme="majorHAnsi"/>
          <w:szCs w:val="22"/>
        </w:rPr>
        <w:t>The</w:t>
      </w:r>
      <w:r w:rsidRPr="00437A8B">
        <w:rPr>
          <w:rFonts w:asciiTheme="majorHAnsi" w:hAnsiTheme="majorHAnsi" w:cstheme="majorHAnsi"/>
          <w:spacing w:val="-5"/>
          <w:szCs w:val="22"/>
        </w:rPr>
        <w:t xml:space="preserve"> </w:t>
      </w:r>
      <w:r w:rsidRPr="00437A8B">
        <w:rPr>
          <w:rFonts w:asciiTheme="majorHAnsi" w:hAnsiTheme="majorHAnsi" w:cstheme="majorHAnsi"/>
          <w:szCs w:val="22"/>
        </w:rPr>
        <w:t>agreement</w:t>
      </w:r>
      <w:r w:rsidRPr="00437A8B">
        <w:rPr>
          <w:rFonts w:asciiTheme="majorHAnsi" w:hAnsiTheme="majorHAnsi" w:cstheme="majorHAnsi"/>
          <w:spacing w:val="-6"/>
          <w:szCs w:val="22"/>
        </w:rPr>
        <w:t xml:space="preserve"> </w:t>
      </w:r>
      <w:r w:rsidRPr="00437A8B">
        <w:rPr>
          <w:rFonts w:asciiTheme="majorHAnsi" w:hAnsiTheme="majorHAnsi" w:cstheme="majorHAnsi"/>
          <w:szCs w:val="22"/>
        </w:rPr>
        <w:t>sponsored</w:t>
      </w:r>
      <w:r w:rsidRPr="00437A8B">
        <w:rPr>
          <w:rFonts w:asciiTheme="majorHAnsi" w:hAnsiTheme="majorHAnsi" w:cstheme="majorHAnsi"/>
          <w:spacing w:val="-4"/>
          <w:szCs w:val="22"/>
        </w:rPr>
        <w:t xml:space="preserve"> </w:t>
      </w:r>
      <w:r w:rsidRPr="00437A8B">
        <w:rPr>
          <w:rFonts w:asciiTheme="majorHAnsi" w:hAnsiTheme="majorHAnsi" w:cstheme="majorHAnsi"/>
          <w:szCs w:val="22"/>
        </w:rPr>
        <w:t>by</w:t>
      </w:r>
      <w:r w:rsidRPr="00437A8B">
        <w:rPr>
          <w:rFonts w:asciiTheme="majorHAnsi" w:hAnsiTheme="majorHAnsi" w:cstheme="majorHAnsi"/>
          <w:spacing w:val="-6"/>
          <w:szCs w:val="22"/>
        </w:rPr>
        <w:t xml:space="preserve"> </w:t>
      </w:r>
      <w:r w:rsidRPr="00437A8B">
        <w:rPr>
          <w:rFonts w:asciiTheme="majorHAnsi" w:hAnsiTheme="majorHAnsi" w:cstheme="majorHAnsi"/>
          <w:szCs w:val="22"/>
        </w:rPr>
        <w:t>the</w:t>
      </w:r>
      <w:r w:rsidRPr="00437A8B">
        <w:rPr>
          <w:rFonts w:asciiTheme="majorHAnsi" w:hAnsiTheme="majorHAnsi" w:cstheme="majorHAnsi"/>
          <w:spacing w:val="-4"/>
          <w:szCs w:val="22"/>
        </w:rPr>
        <w:t xml:space="preserve"> </w:t>
      </w:r>
      <w:r w:rsidRPr="00437A8B">
        <w:rPr>
          <w:rFonts w:asciiTheme="majorHAnsi" w:hAnsiTheme="majorHAnsi" w:cstheme="majorHAnsi"/>
          <w:szCs w:val="22"/>
        </w:rPr>
        <w:t>National</w:t>
      </w:r>
      <w:r w:rsidRPr="00437A8B">
        <w:rPr>
          <w:rFonts w:asciiTheme="majorHAnsi" w:hAnsiTheme="majorHAnsi" w:cstheme="majorHAnsi"/>
          <w:spacing w:val="-2"/>
          <w:szCs w:val="22"/>
        </w:rPr>
        <w:t xml:space="preserve"> </w:t>
      </w:r>
      <w:r w:rsidRPr="00437A8B">
        <w:rPr>
          <w:rFonts w:asciiTheme="majorHAnsi" w:hAnsiTheme="majorHAnsi" w:cstheme="majorHAnsi"/>
          <w:szCs w:val="22"/>
        </w:rPr>
        <w:t>Association</w:t>
      </w:r>
      <w:r w:rsidRPr="00437A8B">
        <w:rPr>
          <w:rFonts w:asciiTheme="majorHAnsi" w:hAnsiTheme="majorHAnsi" w:cstheme="majorHAnsi"/>
          <w:spacing w:val="-2"/>
          <w:szCs w:val="22"/>
        </w:rPr>
        <w:t xml:space="preserve"> </w:t>
      </w:r>
      <w:r w:rsidRPr="00437A8B">
        <w:rPr>
          <w:rFonts w:asciiTheme="majorHAnsi" w:hAnsiTheme="majorHAnsi" w:cstheme="majorHAnsi"/>
          <w:szCs w:val="22"/>
        </w:rPr>
        <w:t>of</w:t>
      </w:r>
      <w:r w:rsidRPr="00437A8B">
        <w:rPr>
          <w:rFonts w:asciiTheme="majorHAnsi" w:hAnsiTheme="majorHAnsi" w:cstheme="majorHAnsi"/>
          <w:spacing w:val="-1"/>
          <w:szCs w:val="22"/>
        </w:rPr>
        <w:t xml:space="preserve"> </w:t>
      </w:r>
      <w:r w:rsidRPr="00437A8B">
        <w:rPr>
          <w:rFonts w:asciiTheme="majorHAnsi" w:hAnsiTheme="majorHAnsi" w:cstheme="majorHAnsi"/>
          <w:szCs w:val="22"/>
        </w:rPr>
        <w:t>State Directors of Teacher Education and Certification (NASDTEC) concerning reciprocal licensing of educational personnel among participating jurisdictions.</w:t>
      </w:r>
    </w:p>
    <w:p w14:paraId="0FF11BBC" w14:textId="77777777" w:rsidR="00AE33E0" w:rsidRPr="00437A8B" w:rsidRDefault="00AE33E0" w:rsidP="00437A8B">
      <w:pPr>
        <w:pStyle w:val="BodyText"/>
        <w:spacing w:before="8" w:line="276" w:lineRule="auto"/>
        <w:ind w:left="475" w:hanging="360"/>
        <w:rPr>
          <w:rFonts w:asciiTheme="majorHAnsi" w:hAnsiTheme="majorHAnsi" w:cstheme="majorHAnsi"/>
          <w:szCs w:val="22"/>
        </w:rPr>
      </w:pPr>
    </w:p>
    <w:p w14:paraId="2FC1C69A" w14:textId="1839C7BC" w:rsidR="00AE33E0" w:rsidRPr="00437A8B" w:rsidRDefault="00AE33E0" w:rsidP="00437A8B">
      <w:pPr>
        <w:pStyle w:val="BodyText"/>
        <w:spacing w:line="276" w:lineRule="auto"/>
        <w:ind w:left="475" w:hanging="360"/>
        <w:rPr>
          <w:rFonts w:asciiTheme="majorHAnsi" w:hAnsiTheme="majorHAnsi" w:cstheme="majorBidi"/>
        </w:rPr>
      </w:pPr>
      <w:r w:rsidRPr="5E5DEAB0">
        <w:rPr>
          <w:rFonts w:asciiTheme="majorHAnsi" w:hAnsiTheme="majorHAnsi" w:cstheme="majorBidi"/>
          <w:b/>
        </w:rPr>
        <w:t>Output</w:t>
      </w:r>
      <w:r w:rsidRPr="5E5DEAB0">
        <w:rPr>
          <w:rFonts w:asciiTheme="majorHAnsi" w:hAnsiTheme="majorHAnsi" w:cstheme="majorBidi"/>
          <w:b/>
          <w:spacing w:val="-2"/>
        </w:rPr>
        <w:t xml:space="preserve"> </w:t>
      </w:r>
      <w:r w:rsidR="2C01140F" w:rsidRPr="5E5DEAB0">
        <w:rPr>
          <w:rFonts w:asciiTheme="majorHAnsi" w:hAnsiTheme="majorHAnsi" w:cstheme="majorBidi"/>
          <w:b/>
          <w:bCs/>
          <w:spacing w:val="-2"/>
        </w:rPr>
        <w:t>m</w:t>
      </w:r>
      <w:r w:rsidRPr="5E5DEAB0">
        <w:rPr>
          <w:rFonts w:asciiTheme="majorHAnsi" w:hAnsiTheme="majorHAnsi" w:cstheme="majorBidi"/>
          <w:b/>
        </w:rPr>
        <w:t>easures:</w:t>
      </w:r>
      <w:r w:rsidRPr="5E5DEAB0">
        <w:rPr>
          <w:rFonts w:asciiTheme="majorHAnsi" w:hAnsiTheme="majorHAnsi" w:cstheme="majorBidi"/>
          <w:b/>
          <w:spacing w:val="-3"/>
        </w:rPr>
        <w:t xml:space="preserve"> </w:t>
      </w:r>
      <w:r w:rsidRPr="5E5DEAB0">
        <w:rPr>
          <w:rFonts w:asciiTheme="majorHAnsi" w:hAnsiTheme="majorHAnsi" w:cstheme="majorBidi"/>
        </w:rPr>
        <w:t>Sources</w:t>
      </w:r>
      <w:r w:rsidRPr="5E5DEAB0">
        <w:rPr>
          <w:rFonts w:asciiTheme="majorHAnsi" w:hAnsiTheme="majorHAnsi" w:cstheme="majorBidi"/>
          <w:spacing w:val="-3"/>
        </w:rPr>
        <w:t xml:space="preserve"> </w:t>
      </w:r>
      <w:r w:rsidRPr="5E5DEAB0">
        <w:rPr>
          <w:rFonts w:asciiTheme="majorHAnsi" w:hAnsiTheme="majorHAnsi" w:cstheme="majorBidi"/>
        </w:rPr>
        <w:t>of</w:t>
      </w:r>
      <w:r w:rsidRPr="5E5DEAB0">
        <w:rPr>
          <w:rFonts w:asciiTheme="majorHAnsi" w:hAnsiTheme="majorHAnsi" w:cstheme="majorBidi"/>
          <w:spacing w:val="-3"/>
        </w:rPr>
        <w:t xml:space="preserve"> </w:t>
      </w:r>
      <w:r w:rsidRPr="5E5DEAB0">
        <w:rPr>
          <w:rFonts w:asciiTheme="majorHAnsi" w:hAnsiTheme="majorHAnsi" w:cstheme="majorBidi"/>
        </w:rPr>
        <w:t>evidence</w:t>
      </w:r>
      <w:r w:rsidRPr="5E5DEAB0">
        <w:rPr>
          <w:rFonts w:asciiTheme="majorHAnsi" w:hAnsiTheme="majorHAnsi" w:cstheme="majorBidi"/>
          <w:spacing w:val="-3"/>
        </w:rPr>
        <w:t xml:space="preserve"> </w:t>
      </w:r>
      <w:r w:rsidRPr="5E5DEAB0">
        <w:rPr>
          <w:rFonts w:asciiTheme="majorHAnsi" w:hAnsiTheme="majorHAnsi" w:cstheme="majorBidi"/>
        </w:rPr>
        <w:t>that</w:t>
      </w:r>
      <w:r w:rsidRPr="5E5DEAB0">
        <w:rPr>
          <w:rFonts w:asciiTheme="majorHAnsi" w:hAnsiTheme="majorHAnsi" w:cstheme="majorBidi"/>
          <w:spacing w:val="-1"/>
        </w:rPr>
        <w:t xml:space="preserve"> </w:t>
      </w:r>
      <w:r w:rsidRPr="5E5DEAB0">
        <w:rPr>
          <w:rFonts w:asciiTheme="majorHAnsi" w:hAnsiTheme="majorHAnsi" w:cstheme="majorBidi"/>
        </w:rPr>
        <w:t>link</w:t>
      </w:r>
      <w:r w:rsidRPr="5E5DEAB0">
        <w:rPr>
          <w:rFonts w:asciiTheme="majorHAnsi" w:hAnsiTheme="majorHAnsi" w:cstheme="majorBidi"/>
          <w:spacing w:val="-3"/>
        </w:rPr>
        <w:t xml:space="preserve"> </w:t>
      </w:r>
      <w:r w:rsidRPr="5E5DEAB0">
        <w:rPr>
          <w:rFonts w:asciiTheme="majorHAnsi" w:hAnsiTheme="majorHAnsi" w:cstheme="majorBidi"/>
        </w:rPr>
        <w:t>criteria</w:t>
      </w:r>
      <w:r w:rsidRPr="5E5DEAB0">
        <w:rPr>
          <w:rFonts w:asciiTheme="majorHAnsi" w:hAnsiTheme="majorHAnsi" w:cstheme="majorBidi"/>
          <w:spacing w:val="-4"/>
        </w:rPr>
        <w:t xml:space="preserve"> </w:t>
      </w:r>
      <w:r w:rsidRPr="5E5DEAB0">
        <w:rPr>
          <w:rFonts w:asciiTheme="majorHAnsi" w:hAnsiTheme="majorHAnsi" w:cstheme="majorBidi"/>
        </w:rPr>
        <w:t>with</w:t>
      </w:r>
      <w:r w:rsidRPr="5E5DEAB0">
        <w:rPr>
          <w:rFonts w:asciiTheme="majorHAnsi" w:hAnsiTheme="majorHAnsi" w:cstheme="majorBidi"/>
          <w:spacing w:val="-3"/>
        </w:rPr>
        <w:t xml:space="preserve"> qualitative evidence on from interviews, focus groups, and survey as well as </w:t>
      </w:r>
      <w:r w:rsidRPr="5E5DEAB0">
        <w:rPr>
          <w:rFonts w:asciiTheme="majorHAnsi" w:hAnsiTheme="majorHAnsi" w:cstheme="majorBidi"/>
        </w:rPr>
        <w:t>quantifiable</w:t>
      </w:r>
      <w:r w:rsidRPr="5E5DEAB0">
        <w:rPr>
          <w:rFonts w:asciiTheme="majorHAnsi" w:hAnsiTheme="majorHAnsi" w:cstheme="majorBidi"/>
          <w:spacing w:val="-4"/>
        </w:rPr>
        <w:t xml:space="preserve"> </w:t>
      </w:r>
      <w:r w:rsidRPr="5E5DEAB0">
        <w:rPr>
          <w:rFonts w:asciiTheme="majorHAnsi" w:hAnsiTheme="majorHAnsi" w:cstheme="majorBidi"/>
        </w:rPr>
        <w:t>data</w:t>
      </w:r>
      <w:r w:rsidRPr="5E5DEAB0">
        <w:rPr>
          <w:rFonts w:asciiTheme="majorHAnsi" w:hAnsiTheme="majorHAnsi" w:cstheme="majorBidi"/>
          <w:spacing w:val="-4"/>
        </w:rPr>
        <w:t xml:space="preserve"> </w:t>
      </w:r>
      <w:r w:rsidRPr="5E5DEAB0">
        <w:rPr>
          <w:rFonts w:asciiTheme="majorHAnsi" w:hAnsiTheme="majorHAnsi" w:cstheme="majorBidi"/>
        </w:rPr>
        <w:t>on</w:t>
      </w:r>
      <w:r w:rsidRPr="5E5DEAB0">
        <w:rPr>
          <w:rFonts w:asciiTheme="majorHAnsi" w:hAnsiTheme="majorHAnsi" w:cstheme="majorBidi"/>
          <w:spacing w:val="-3"/>
        </w:rPr>
        <w:t xml:space="preserve"> </w:t>
      </w:r>
      <w:r w:rsidRPr="5E5DEAB0">
        <w:rPr>
          <w:rFonts w:asciiTheme="majorHAnsi" w:hAnsiTheme="majorHAnsi" w:cstheme="majorBidi"/>
        </w:rPr>
        <w:t xml:space="preserve">program </w:t>
      </w:r>
      <w:r w:rsidRPr="5E5DEAB0">
        <w:rPr>
          <w:rFonts w:asciiTheme="majorHAnsi" w:hAnsiTheme="majorHAnsi" w:cstheme="majorBidi"/>
          <w:spacing w:val="-2"/>
        </w:rPr>
        <w:t>results.</w:t>
      </w:r>
    </w:p>
    <w:p w14:paraId="37ECCA7A" w14:textId="77777777" w:rsidR="00AE33E0" w:rsidRPr="00437A8B" w:rsidRDefault="00AE33E0" w:rsidP="00437A8B">
      <w:pPr>
        <w:pStyle w:val="BodyText"/>
        <w:spacing w:before="7" w:line="276" w:lineRule="auto"/>
        <w:ind w:left="475" w:hanging="360"/>
        <w:rPr>
          <w:rFonts w:asciiTheme="majorHAnsi" w:hAnsiTheme="majorHAnsi" w:cstheme="majorHAnsi"/>
          <w:szCs w:val="22"/>
        </w:rPr>
      </w:pPr>
    </w:p>
    <w:p w14:paraId="12207D92" w14:textId="4D8E664D" w:rsidR="00AE33E0" w:rsidRPr="00437A8B" w:rsidRDefault="00AE33E0" w:rsidP="00437A8B">
      <w:pPr>
        <w:pStyle w:val="BodyText"/>
        <w:spacing w:line="276" w:lineRule="auto"/>
        <w:ind w:left="475" w:right="214" w:hanging="360"/>
        <w:rPr>
          <w:rFonts w:asciiTheme="majorHAnsi" w:hAnsiTheme="majorHAnsi" w:cstheme="majorHAnsi"/>
          <w:szCs w:val="22"/>
        </w:rPr>
      </w:pPr>
      <w:r w:rsidRPr="00437A8B">
        <w:rPr>
          <w:rFonts w:asciiTheme="majorHAnsi" w:hAnsiTheme="majorHAnsi" w:cstheme="majorHAnsi"/>
          <w:b/>
          <w:bCs/>
          <w:szCs w:val="22"/>
        </w:rPr>
        <w:t>Partnership:</w:t>
      </w:r>
      <w:r w:rsidRPr="00437A8B">
        <w:rPr>
          <w:rFonts w:asciiTheme="majorHAnsi" w:hAnsiTheme="majorHAnsi" w:cstheme="majorHAnsi"/>
          <w:b/>
          <w:bCs/>
          <w:spacing w:val="-5"/>
          <w:szCs w:val="22"/>
        </w:rPr>
        <w:t xml:space="preserve"> </w:t>
      </w:r>
      <w:r w:rsidRPr="00437A8B">
        <w:rPr>
          <w:rFonts w:asciiTheme="majorHAnsi" w:hAnsiTheme="majorHAnsi" w:cstheme="majorHAnsi"/>
          <w:szCs w:val="22"/>
        </w:rPr>
        <w:t>Deliberate</w:t>
      </w:r>
      <w:r w:rsidRPr="00437A8B">
        <w:rPr>
          <w:rFonts w:asciiTheme="majorHAnsi" w:hAnsiTheme="majorHAnsi" w:cstheme="majorHAnsi"/>
          <w:spacing w:val="-8"/>
          <w:szCs w:val="22"/>
        </w:rPr>
        <w:t xml:space="preserve"> </w:t>
      </w:r>
      <w:r w:rsidRPr="00437A8B">
        <w:rPr>
          <w:rFonts w:asciiTheme="majorHAnsi" w:hAnsiTheme="majorHAnsi" w:cstheme="majorHAnsi"/>
          <w:szCs w:val="22"/>
        </w:rPr>
        <w:t>collaboration</w:t>
      </w:r>
      <w:r w:rsidRPr="00437A8B">
        <w:rPr>
          <w:rFonts w:asciiTheme="majorHAnsi" w:hAnsiTheme="majorHAnsi" w:cstheme="majorHAnsi"/>
          <w:spacing w:val="-5"/>
          <w:szCs w:val="22"/>
        </w:rPr>
        <w:t xml:space="preserve"> </w:t>
      </w:r>
      <w:r w:rsidRPr="00437A8B">
        <w:rPr>
          <w:rFonts w:asciiTheme="majorHAnsi" w:hAnsiTheme="majorHAnsi" w:cstheme="majorHAnsi"/>
          <w:szCs w:val="22"/>
        </w:rPr>
        <w:t>between</w:t>
      </w:r>
      <w:r w:rsidRPr="00437A8B">
        <w:rPr>
          <w:rFonts w:asciiTheme="majorHAnsi" w:hAnsiTheme="majorHAnsi" w:cstheme="majorHAnsi"/>
          <w:spacing w:val="-5"/>
          <w:szCs w:val="22"/>
        </w:rPr>
        <w:t xml:space="preserve"> </w:t>
      </w:r>
      <w:r w:rsidRPr="00437A8B">
        <w:rPr>
          <w:rFonts w:asciiTheme="majorHAnsi" w:hAnsiTheme="majorHAnsi" w:cstheme="majorHAnsi"/>
          <w:szCs w:val="22"/>
        </w:rPr>
        <w:t>Sponsoring</w:t>
      </w:r>
      <w:r w:rsidRPr="00437A8B">
        <w:rPr>
          <w:rFonts w:asciiTheme="majorHAnsi" w:hAnsiTheme="majorHAnsi" w:cstheme="majorHAnsi"/>
          <w:spacing w:val="-4"/>
          <w:szCs w:val="22"/>
        </w:rPr>
        <w:t xml:space="preserve"> </w:t>
      </w:r>
      <w:r w:rsidRPr="00437A8B">
        <w:rPr>
          <w:rFonts w:asciiTheme="majorHAnsi" w:hAnsiTheme="majorHAnsi" w:cstheme="majorHAnsi"/>
          <w:szCs w:val="22"/>
        </w:rPr>
        <w:t>Organizations</w:t>
      </w:r>
      <w:r w:rsidRPr="00437A8B">
        <w:rPr>
          <w:rFonts w:asciiTheme="majorHAnsi" w:hAnsiTheme="majorHAnsi" w:cstheme="majorHAnsi"/>
          <w:spacing w:val="-6"/>
          <w:szCs w:val="22"/>
        </w:rPr>
        <w:t xml:space="preserve"> </w:t>
      </w:r>
      <w:r w:rsidRPr="00437A8B">
        <w:rPr>
          <w:rFonts w:asciiTheme="majorHAnsi" w:hAnsiTheme="majorHAnsi" w:cstheme="majorHAnsi"/>
          <w:szCs w:val="22"/>
        </w:rPr>
        <w:t>and</w:t>
      </w:r>
      <w:r w:rsidRPr="00437A8B">
        <w:rPr>
          <w:rFonts w:asciiTheme="majorHAnsi" w:hAnsiTheme="majorHAnsi" w:cstheme="majorHAnsi"/>
          <w:spacing w:val="-5"/>
          <w:szCs w:val="22"/>
        </w:rPr>
        <w:t xml:space="preserve"> </w:t>
      </w:r>
      <w:r w:rsidRPr="00437A8B">
        <w:rPr>
          <w:rFonts w:asciiTheme="majorHAnsi" w:hAnsiTheme="majorHAnsi" w:cstheme="majorHAnsi"/>
          <w:szCs w:val="22"/>
        </w:rPr>
        <w:t>PK-12</w:t>
      </w:r>
      <w:r w:rsidRPr="00437A8B">
        <w:rPr>
          <w:rFonts w:asciiTheme="majorHAnsi" w:hAnsiTheme="majorHAnsi" w:cstheme="majorHAnsi"/>
          <w:spacing w:val="-5"/>
          <w:szCs w:val="22"/>
        </w:rPr>
        <w:t xml:space="preserve"> </w:t>
      </w:r>
      <w:r w:rsidRPr="00437A8B">
        <w:rPr>
          <w:rFonts w:asciiTheme="majorHAnsi" w:hAnsiTheme="majorHAnsi" w:cstheme="majorHAnsi"/>
          <w:szCs w:val="22"/>
        </w:rPr>
        <w:t>schools</w:t>
      </w:r>
      <w:r w:rsidR="00E00626" w:rsidRPr="00437A8B">
        <w:rPr>
          <w:rFonts w:asciiTheme="majorHAnsi" w:hAnsiTheme="majorHAnsi" w:cstheme="majorHAnsi"/>
          <w:szCs w:val="22"/>
        </w:rPr>
        <w:t>/districts</w:t>
      </w:r>
      <w:r w:rsidRPr="00437A8B">
        <w:rPr>
          <w:rFonts w:asciiTheme="majorHAnsi" w:hAnsiTheme="majorHAnsi" w:cstheme="majorHAnsi"/>
          <w:szCs w:val="22"/>
        </w:rPr>
        <w:t xml:space="preserve"> to ensure effective preparation that meets the needs of the Sponsoring Organization and PK-12 partner. For more information, see </w:t>
      </w:r>
      <w:r w:rsidRPr="00437A8B">
        <w:rPr>
          <w:rFonts w:asciiTheme="majorHAnsi" w:hAnsiTheme="majorHAnsi" w:cstheme="majorHAnsi"/>
          <w:color w:val="0000FF"/>
          <w:szCs w:val="22"/>
          <w:u w:val="single" w:color="0000FF"/>
        </w:rPr>
        <w:t>Stakeholders</w:t>
      </w:r>
      <w:r w:rsidRPr="00437A8B">
        <w:rPr>
          <w:rFonts w:asciiTheme="majorHAnsi" w:hAnsiTheme="majorHAnsi" w:cstheme="majorHAnsi"/>
          <w:color w:val="0000FF"/>
          <w:szCs w:val="22"/>
        </w:rPr>
        <w:t xml:space="preserve"> </w:t>
      </w:r>
      <w:r w:rsidRPr="00437A8B">
        <w:rPr>
          <w:rFonts w:asciiTheme="majorHAnsi" w:hAnsiTheme="majorHAnsi" w:cstheme="majorHAnsi"/>
          <w:szCs w:val="22"/>
        </w:rPr>
        <w:t>section.</w:t>
      </w:r>
    </w:p>
    <w:p w14:paraId="037DF5F3" w14:textId="77777777" w:rsidR="00AE33E0" w:rsidRPr="00437A8B" w:rsidRDefault="00AE33E0" w:rsidP="00437A8B">
      <w:pPr>
        <w:pStyle w:val="BodyText"/>
        <w:spacing w:before="8" w:line="276" w:lineRule="auto"/>
        <w:ind w:left="475" w:hanging="360"/>
        <w:rPr>
          <w:rFonts w:asciiTheme="majorHAnsi" w:hAnsiTheme="majorHAnsi" w:cstheme="majorHAnsi"/>
          <w:szCs w:val="22"/>
        </w:rPr>
      </w:pPr>
    </w:p>
    <w:p w14:paraId="12512FB1" w14:textId="7BB03A6E" w:rsidR="00AE33E0" w:rsidRPr="00437A8B" w:rsidRDefault="00AE33E0" w:rsidP="00437A8B">
      <w:pPr>
        <w:pStyle w:val="BodyText"/>
        <w:spacing w:before="51" w:line="276" w:lineRule="auto"/>
        <w:ind w:left="475" w:right="214" w:hanging="360"/>
        <w:rPr>
          <w:rFonts w:asciiTheme="majorHAnsi" w:hAnsiTheme="majorHAnsi" w:cstheme="majorBidi"/>
        </w:rPr>
      </w:pPr>
      <w:r w:rsidRPr="5E5DEAB0">
        <w:rPr>
          <w:rFonts w:asciiTheme="majorHAnsi" w:hAnsiTheme="majorHAnsi" w:cstheme="majorBidi"/>
          <w:b/>
        </w:rPr>
        <w:t xml:space="preserve">Persistence </w:t>
      </w:r>
      <w:r w:rsidR="72B06597" w:rsidRPr="5E5DEAB0">
        <w:rPr>
          <w:rFonts w:asciiTheme="majorHAnsi" w:hAnsiTheme="majorHAnsi" w:cstheme="majorBidi"/>
          <w:b/>
          <w:bCs/>
        </w:rPr>
        <w:t>r</w:t>
      </w:r>
      <w:r w:rsidRPr="5E5DEAB0">
        <w:rPr>
          <w:rFonts w:asciiTheme="majorHAnsi" w:hAnsiTheme="majorHAnsi" w:cstheme="majorBidi"/>
          <w:b/>
        </w:rPr>
        <w:t xml:space="preserve">ate: </w:t>
      </w:r>
      <w:r w:rsidRPr="5E5DEAB0">
        <w:rPr>
          <w:rFonts w:asciiTheme="majorHAnsi" w:hAnsiTheme="majorHAnsi" w:cstheme="majorBidi"/>
        </w:rPr>
        <w:t xml:space="preserve">Also known as </w:t>
      </w:r>
      <w:r w:rsidRPr="5E5DEAB0">
        <w:rPr>
          <w:rFonts w:asciiTheme="majorHAnsi" w:hAnsiTheme="majorHAnsi" w:cstheme="majorBidi"/>
          <w:b/>
        </w:rPr>
        <w:t>retention rate</w:t>
      </w:r>
      <w:r w:rsidRPr="5E5DEAB0">
        <w:rPr>
          <w:rFonts w:asciiTheme="majorHAnsi" w:hAnsiTheme="majorHAnsi" w:cstheme="majorBidi"/>
        </w:rPr>
        <w:t>. The percentage of students who return to the institution from one year to the next year. This data will be collected through ELAR and included in Public Profiles.</w:t>
      </w:r>
    </w:p>
    <w:p w14:paraId="4F9F468F" w14:textId="77777777" w:rsidR="00AE33E0" w:rsidRPr="00437A8B" w:rsidRDefault="00AE33E0" w:rsidP="00437A8B">
      <w:pPr>
        <w:pStyle w:val="BodyText"/>
        <w:spacing w:before="8" w:line="276" w:lineRule="auto"/>
        <w:ind w:left="475" w:hanging="360"/>
        <w:rPr>
          <w:rFonts w:asciiTheme="majorHAnsi" w:hAnsiTheme="majorHAnsi" w:cstheme="majorHAnsi"/>
          <w:szCs w:val="22"/>
        </w:rPr>
      </w:pPr>
    </w:p>
    <w:p w14:paraId="2C62AAB3" w14:textId="5D25DBFD" w:rsidR="00AE33E0" w:rsidRPr="00437A8B" w:rsidRDefault="00AE33E0" w:rsidP="00437A8B">
      <w:pPr>
        <w:pStyle w:val="BodyText"/>
        <w:spacing w:line="276" w:lineRule="auto"/>
        <w:ind w:left="475" w:hanging="360"/>
        <w:rPr>
          <w:rFonts w:asciiTheme="majorHAnsi" w:hAnsiTheme="majorHAnsi" w:cstheme="majorBidi"/>
        </w:rPr>
      </w:pPr>
      <w:r w:rsidRPr="5E5DEAB0">
        <w:rPr>
          <w:rFonts w:asciiTheme="majorHAnsi" w:hAnsiTheme="majorHAnsi" w:cstheme="majorBidi"/>
          <w:b/>
        </w:rPr>
        <w:t>Professional</w:t>
      </w:r>
      <w:r w:rsidRPr="5E5DEAB0">
        <w:rPr>
          <w:rFonts w:asciiTheme="majorHAnsi" w:hAnsiTheme="majorHAnsi" w:cstheme="majorBidi"/>
          <w:b/>
          <w:spacing w:val="-3"/>
        </w:rPr>
        <w:t xml:space="preserve"> </w:t>
      </w:r>
      <w:r w:rsidRPr="5E5DEAB0">
        <w:rPr>
          <w:rFonts w:asciiTheme="majorHAnsi" w:hAnsiTheme="majorHAnsi" w:cstheme="majorBidi"/>
          <w:b/>
        </w:rPr>
        <w:t>Suggestions:</w:t>
      </w:r>
      <w:r w:rsidRPr="5E5DEAB0">
        <w:rPr>
          <w:rFonts w:asciiTheme="majorHAnsi" w:hAnsiTheme="majorHAnsi" w:cstheme="majorBidi"/>
          <w:b/>
          <w:spacing w:val="-4"/>
        </w:rPr>
        <w:t xml:space="preserve"> </w:t>
      </w:r>
      <w:r w:rsidRPr="5E5DEAB0">
        <w:rPr>
          <w:rFonts w:asciiTheme="majorHAnsi" w:hAnsiTheme="majorHAnsi" w:cstheme="majorBidi"/>
        </w:rPr>
        <w:t>Professional</w:t>
      </w:r>
      <w:r w:rsidRPr="5E5DEAB0">
        <w:rPr>
          <w:rFonts w:asciiTheme="majorHAnsi" w:hAnsiTheme="majorHAnsi" w:cstheme="majorBidi"/>
          <w:spacing w:val="-4"/>
        </w:rPr>
        <w:t xml:space="preserve"> </w:t>
      </w:r>
      <w:r w:rsidRPr="5E5DEAB0">
        <w:rPr>
          <w:rFonts w:asciiTheme="majorHAnsi" w:hAnsiTheme="majorHAnsi" w:cstheme="majorBidi"/>
        </w:rPr>
        <w:t>Suggestions</w:t>
      </w:r>
      <w:r w:rsidRPr="5E5DEAB0">
        <w:rPr>
          <w:rFonts w:asciiTheme="majorHAnsi" w:hAnsiTheme="majorHAnsi" w:cstheme="majorBidi"/>
          <w:spacing w:val="-4"/>
        </w:rPr>
        <w:t xml:space="preserve"> </w:t>
      </w:r>
      <w:r w:rsidRPr="5E5DEAB0">
        <w:rPr>
          <w:rFonts w:asciiTheme="majorHAnsi" w:hAnsiTheme="majorHAnsi" w:cstheme="majorBidi"/>
        </w:rPr>
        <w:t>serve</w:t>
      </w:r>
      <w:r w:rsidRPr="5E5DEAB0">
        <w:rPr>
          <w:rFonts w:asciiTheme="majorHAnsi" w:hAnsiTheme="majorHAnsi" w:cstheme="majorBidi"/>
          <w:spacing w:val="-5"/>
        </w:rPr>
        <w:t xml:space="preserve"> </w:t>
      </w:r>
      <w:r w:rsidRPr="5E5DEAB0">
        <w:rPr>
          <w:rFonts w:asciiTheme="majorHAnsi" w:hAnsiTheme="majorHAnsi" w:cstheme="majorBidi"/>
        </w:rPr>
        <w:t>as</w:t>
      </w:r>
      <w:r w:rsidRPr="5E5DEAB0">
        <w:rPr>
          <w:rFonts w:asciiTheme="majorHAnsi" w:hAnsiTheme="majorHAnsi" w:cstheme="majorBidi"/>
          <w:spacing w:val="-4"/>
        </w:rPr>
        <w:t xml:space="preserve"> </w:t>
      </w:r>
      <w:r w:rsidRPr="5E5DEAB0">
        <w:rPr>
          <w:rFonts w:asciiTheme="majorHAnsi" w:hAnsiTheme="majorHAnsi" w:cstheme="majorBidi"/>
        </w:rPr>
        <w:t>recommendations</w:t>
      </w:r>
      <w:r w:rsidRPr="5E5DEAB0">
        <w:rPr>
          <w:rFonts w:asciiTheme="majorHAnsi" w:hAnsiTheme="majorHAnsi" w:cstheme="majorBidi"/>
          <w:spacing w:val="-6"/>
        </w:rPr>
        <w:t xml:space="preserve"> </w:t>
      </w:r>
      <w:r w:rsidRPr="5E5DEAB0">
        <w:rPr>
          <w:rFonts w:asciiTheme="majorHAnsi" w:hAnsiTheme="majorHAnsi" w:cstheme="majorBidi"/>
        </w:rPr>
        <w:t>for</w:t>
      </w:r>
      <w:r w:rsidRPr="5E5DEAB0">
        <w:rPr>
          <w:rFonts w:asciiTheme="majorHAnsi" w:hAnsiTheme="majorHAnsi" w:cstheme="majorBidi"/>
          <w:spacing w:val="-6"/>
        </w:rPr>
        <w:t xml:space="preserve"> </w:t>
      </w:r>
      <w:r w:rsidRPr="5E5DEAB0">
        <w:rPr>
          <w:rFonts w:asciiTheme="majorHAnsi" w:hAnsiTheme="majorHAnsi" w:cstheme="majorBidi"/>
        </w:rPr>
        <w:t>continuous improvement. They do not require a mandatory response or action.</w:t>
      </w:r>
    </w:p>
    <w:p w14:paraId="603B6B31" w14:textId="77777777" w:rsidR="00AE33E0" w:rsidRPr="00437A8B" w:rsidRDefault="00AE33E0" w:rsidP="00437A8B">
      <w:pPr>
        <w:pStyle w:val="BodyText"/>
        <w:spacing w:before="7" w:line="276" w:lineRule="auto"/>
        <w:ind w:left="475" w:hanging="360"/>
        <w:rPr>
          <w:rFonts w:asciiTheme="majorHAnsi" w:hAnsiTheme="majorHAnsi" w:cstheme="majorHAnsi"/>
          <w:szCs w:val="22"/>
        </w:rPr>
      </w:pPr>
    </w:p>
    <w:p w14:paraId="628C32A8" w14:textId="32BE8493" w:rsidR="00AE33E0" w:rsidRPr="00437A8B" w:rsidRDefault="00AE33E0" w:rsidP="00437A8B">
      <w:pPr>
        <w:pStyle w:val="BodyText"/>
        <w:spacing w:before="1" w:line="276" w:lineRule="auto"/>
        <w:ind w:left="475" w:right="66" w:hanging="360"/>
        <w:rPr>
          <w:rFonts w:asciiTheme="majorHAnsi" w:hAnsiTheme="majorHAnsi" w:cstheme="majorBidi"/>
        </w:rPr>
      </w:pPr>
      <w:r w:rsidRPr="5E5DEAB0">
        <w:rPr>
          <w:rFonts w:asciiTheme="majorHAnsi" w:hAnsiTheme="majorHAnsi" w:cstheme="majorBidi"/>
          <w:b/>
        </w:rPr>
        <w:t>Program</w:t>
      </w:r>
      <w:r w:rsidRPr="5E5DEAB0">
        <w:rPr>
          <w:rFonts w:asciiTheme="majorHAnsi" w:hAnsiTheme="majorHAnsi" w:cstheme="majorBidi"/>
          <w:b/>
          <w:spacing w:val="-3"/>
        </w:rPr>
        <w:t xml:space="preserve"> </w:t>
      </w:r>
      <w:r w:rsidR="1666BAAF" w:rsidRPr="5E5DEAB0">
        <w:rPr>
          <w:rFonts w:asciiTheme="majorHAnsi" w:hAnsiTheme="majorHAnsi" w:cstheme="majorBidi"/>
          <w:b/>
          <w:bCs/>
          <w:spacing w:val="-3"/>
        </w:rPr>
        <w:t>a</w:t>
      </w:r>
      <w:r w:rsidRPr="5E5DEAB0">
        <w:rPr>
          <w:rFonts w:asciiTheme="majorHAnsi" w:hAnsiTheme="majorHAnsi" w:cstheme="majorBidi"/>
          <w:b/>
        </w:rPr>
        <w:t>pproval:</w:t>
      </w:r>
      <w:r w:rsidRPr="5E5DEAB0">
        <w:rPr>
          <w:rFonts w:asciiTheme="majorHAnsi" w:hAnsiTheme="majorHAnsi" w:cstheme="majorBidi"/>
          <w:b/>
          <w:spacing w:val="-4"/>
        </w:rPr>
        <w:t xml:space="preserve"> </w:t>
      </w:r>
      <w:r w:rsidRPr="5E5DEAB0">
        <w:rPr>
          <w:rFonts w:asciiTheme="majorHAnsi" w:hAnsiTheme="majorHAnsi" w:cstheme="majorBidi"/>
        </w:rPr>
        <w:t>State</w:t>
      </w:r>
      <w:r w:rsidRPr="5E5DEAB0">
        <w:rPr>
          <w:rFonts w:asciiTheme="majorHAnsi" w:hAnsiTheme="majorHAnsi" w:cstheme="majorBidi"/>
          <w:spacing w:val="-4"/>
        </w:rPr>
        <w:t xml:space="preserve"> </w:t>
      </w:r>
      <w:r w:rsidRPr="5E5DEAB0">
        <w:rPr>
          <w:rFonts w:asciiTheme="majorHAnsi" w:hAnsiTheme="majorHAnsi" w:cstheme="majorBidi"/>
        </w:rPr>
        <w:t>authorization</w:t>
      </w:r>
      <w:r w:rsidRPr="5E5DEAB0">
        <w:rPr>
          <w:rFonts w:asciiTheme="majorHAnsi" w:hAnsiTheme="majorHAnsi" w:cstheme="majorBidi"/>
          <w:spacing w:val="-4"/>
        </w:rPr>
        <w:t xml:space="preserve"> </w:t>
      </w:r>
      <w:r w:rsidRPr="5E5DEAB0">
        <w:rPr>
          <w:rFonts w:asciiTheme="majorHAnsi" w:hAnsiTheme="majorHAnsi" w:cstheme="majorBidi"/>
        </w:rPr>
        <w:t>of</w:t>
      </w:r>
      <w:r w:rsidRPr="5E5DEAB0">
        <w:rPr>
          <w:rFonts w:asciiTheme="majorHAnsi" w:hAnsiTheme="majorHAnsi" w:cstheme="majorBidi"/>
          <w:spacing w:val="-4"/>
        </w:rPr>
        <w:t xml:space="preserve"> </w:t>
      </w:r>
      <w:r w:rsidRPr="5E5DEAB0">
        <w:rPr>
          <w:rFonts w:asciiTheme="majorHAnsi" w:hAnsiTheme="majorHAnsi" w:cstheme="majorBidi"/>
        </w:rPr>
        <w:t>an</w:t>
      </w:r>
      <w:r w:rsidRPr="5E5DEAB0">
        <w:rPr>
          <w:rFonts w:asciiTheme="majorHAnsi" w:hAnsiTheme="majorHAnsi" w:cstheme="majorBidi"/>
          <w:spacing w:val="-4"/>
        </w:rPr>
        <w:t xml:space="preserve"> </w:t>
      </w:r>
      <w:r w:rsidRPr="5E5DEAB0">
        <w:rPr>
          <w:rFonts w:asciiTheme="majorHAnsi" w:hAnsiTheme="majorHAnsi" w:cstheme="majorBidi"/>
        </w:rPr>
        <w:t>educator</w:t>
      </w:r>
      <w:r w:rsidRPr="5E5DEAB0">
        <w:rPr>
          <w:rFonts w:asciiTheme="majorHAnsi" w:hAnsiTheme="majorHAnsi" w:cstheme="majorBidi"/>
          <w:spacing w:val="-5"/>
        </w:rPr>
        <w:t xml:space="preserve"> </w:t>
      </w:r>
      <w:r w:rsidRPr="5E5DEAB0">
        <w:rPr>
          <w:rFonts w:asciiTheme="majorHAnsi" w:hAnsiTheme="majorHAnsi" w:cstheme="majorBidi"/>
        </w:rPr>
        <w:t>preparation</w:t>
      </w:r>
      <w:r w:rsidRPr="5E5DEAB0">
        <w:rPr>
          <w:rFonts w:asciiTheme="majorHAnsi" w:hAnsiTheme="majorHAnsi" w:cstheme="majorBidi"/>
          <w:spacing w:val="-4"/>
        </w:rPr>
        <w:t xml:space="preserve"> </w:t>
      </w:r>
      <w:r w:rsidRPr="5E5DEAB0">
        <w:rPr>
          <w:rFonts w:asciiTheme="majorHAnsi" w:hAnsiTheme="majorHAnsi" w:cstheme="majorBidi"/>
        </w:rPr>
        <w:t>program</w:t>
      </w:r>
      <w:r w:rsidRPr="5E5DEAB0">
        <w:rPr>
          <w:rFonts w:asciiTheme="majorHAnsi" w:hAnsiTheme="majorHAnsi" w:cstheme="majorBidi"/>
          <w:spacing w:val="-2"/>
        </w:rPr>
        <w:t xml:space="preserve"> </w:t>
      </w:r>
      <w:r w:rsidRPr="5E5DEAB0">
        <w:rPr>
          <w:rFonts w:asciiTheme="majorHAnsi" w:hAnsiTheme="majorHAnsi" w:cstheme="majorBidi"/>
        </w:rPr>
        <w:t>or</w:t>
      </w:r>
      <w:r w:rsidRPr="5E5DEAB0">
        <w:rPr>
          <w:rFonts w:asciiTheme="majorHAnsi" w:hAnsiTheme="majorHAnsi" w:cstheme="majorBidi"/>
          <w:spacing w:val="-2"/>
        </w:rPr>
        <w:t xml:space="preserve"> </w:t>
      </w:r>
      <w:r w:rsidRPr="5E5DEAB0">
        <w:rPr>
          <w:rFonts w:asciiTheme="majorHAnsi" w:hAnsiTheme="majorHAnsi" w:cstheme="majorBidi"/>
        </w:rPr>
        <w:t>its</w:t>
      </w:r>
      <w:r w:rsidRPr="5E5DEAB0">
        <w:rPr>
          <w:rFonts w:asciiTheme="majorHAnsi" w:hAnsiTheme="majorHAnsi" w:cstheme="majorBidi"/>
          <w:spacing w:val="-3"/>
        </w:rPr>
        <w:t xml:space="preserve"> </w:t>
      </w:r>
      <w:r w:rsidRPr="5E5DEAB0">
        <w:rPr>
          <w:rFonts w:asciiTheme="majorHAnsi" w:hAnsiTheme="majorHAnsi" w:cstheme="majorBidi"/>
        </w:rPr>
        <w:t>Sponsoring Organization to endorse program completers prepared in Massachusetts for educator licensure in the Commonwealth. Also, the process through which a program or Sponsoring Organization may receive state approval.</w:t>
      </w:r>
    </w:p>
    <w:p w14:paraId="37803A89" w14:textId="77777777" w:rsidR="00AE33E0" w:rsidRPr="00437A8B" w:rsidRDefault="00AE33E0" w:rsidP="00437A8B">
      <w:pPr>
        <w:pStyle w:val="BodyText"/>
        <w:spacing w:before="7" w:line="276" w:lineRule="auto"/>
        <w:ind w:left="475" w:hanging="360"/>
        <w:rPr>
          <w:rFonts w:asciiTheme="majorHAnsi" w:hAnsiTheme="majorHAnsi" w:cstheme="majorHAnsi"/>
          <w:szCs w:val="22"/>
        </w:rPr>
      </w:pPr>
    </w:p>
    <w:p w14:paraId="4D527C00" w14:textId="5518EC1E" w:rsidR="00AE33E0" w:rsidRPr="00437A8B" w:rsidRDefault="00AE33E0" w:rsidP="00437A8B">
      <w:pPr>
        <w:pStyle w:val="BodyText"/>
        <w:spacing w:line="276" w:lineRule="auto"/>
        <w:ind w:left="475" w:hanging="360"/>
        <w:rPr>
          <w:rFonts w:asciiTheme="majorHAnsi" w:hAnsiTheme="majorHAnsi" w:cstheme="majorHAnsi"/>
          <w:szCs w:val="22"/>
        </w:rPr>
      </w:pPr>
      <w:r w:rsidRPr="00437A8B">
        <w:rPr>
          <w:rFonts w:asciiTheme="majorHAnsi" w:hAnsiTheme="majorHAnsi" w:cstheme="majorHAnsi"/>
          <w:b/>
          <w:bCs/>
          <w:szCs w:val="22"/>
        </w:rPr>
        <w:t>Program</w:t>
      </w:r>
      <w:r w:rsidRPr="00437A8B">
        <w:rPr>
          <w:rFonts w:asciiTheme="majorHAnsi" w:hAnsiTheme="majorHAnsi" w:cstheme="majorHAnsi"/>
          <w:b/>
          <w:bCs/>
          <w:spacing w:val="-2"/>
          <w:szCs w:val="22"/>
        </w:rPr>
        <w:t xml:space="preserve"> </w:t>
      </w:r>
      <w:r w:rsidRPr="00437A8B">
        <w:rPr>
          <w:rFonts w:asciiTheme="majorHAnsi" w:hAnsiTheme="majorHAnsi" w:cstheme="majorHAnsi"/>
          <w:b/>
          <w:bCs/>
          <w:szCs w:val="22"/>
        </w:rPr>
        <w:t>Supervisor:</w:t>
      </w:r>
      <w:r w:rsidRPr="00437A8B">
        <w:rPr>
          <w:rFonts w:asciiTheme="majorHAnsi" w:hAnsiTheme="majorHAnsi" w:cstheme="majorHAnsi"/>
          <w:b/>
          <w:bCs/>
          <w:spacing w:val="-3"/>
          <w:szCs w:val="22"/>
        </w:rPr>
        <w:t xml:space="preserve"> </w:t>
      </w:r>
      <w:r w:rsidRPr="00437A8B">
        <w:rPr>
          <w:rFonts w:asciiTheme="majorHAnsi" w:hAnsiTheme="majorHAnsi" w:cstheme="majorHAnsi"/>
          <w:szCs w:val="22"/>
        </w:rPr>
        <w:t>A</w:t>
      </w:r>
      <w:r w:rsidRPr="00437A8B">
        <w:rPr>
          <w:rFonts w:asciiTheme="majorHAnsi" w:hAnsiTheme="majorHAnsi" w:cstheme="majorHAnsi"/>
          <w:spacing w:val="-4"/>
          <w:szCs w:val="22"/>
        </w:rPr>
        <w:t xml:space="preserve"> </w:t>
      </w:r>
      <w:r w:rsidRPr="00437A8B">
        <w:rPr>
          <w:rFonts w:asciiTheme="majorHAnsi" w:hAnsiTheme="majorHAnsi" w:cstheme="majorHAnsi"/>
          <w:szCs w:val="22"/>
        </w:rPr>
        <w:t>member</w:t>
      </w:r>
      <w:r w:rsidRPr="00437A8B">
        <w:rPr>
          <w:rFonts w:asciiTheme="majorHAnsi" w:hAnsiTheme="majorHAnsi" w:cstheme="majorHAnsi"/>
          <w:spacing w:val="-4"/>
          <w:szCs w:val="22"/>
        </w:rPr>
        <w:t xml:space="preserve"> </w:t>
      </w:r>
      <w:r w:rsidRPr="00437A8B">
        <w:rPr>
          <w:rFonts w:asciiTheme="majorHAnsi" w:hAnsiTheme="majorHAnsi" w:cstheme="majorHAnsi"/>
          <w:szCs w:val="22"/>
        </w:rPr>
        <w:t>of</w:t>
      </w:r>
      <w:r w:rsidRPr="00437A8B">
        <w:rPr>
          <w:rFonts w:asciiTheme="majorHAnsi" w:hAnsiTheme="majorHAnsi" w:cstheme="majorHAnsi"/>
          <w:spacing w:val="-3"/>
          <w:szCs w:val="22"/>
        </w:rPr>
        <w:t xml:space="preserve"> </w:t>
      </w:r>
      <w:r w:rsidRPr="00437A8B">
        <w:rPr>
          <w:rFonts w:asciiTheme="majorHAnsi" w:hAnsiTheme="majorHAnsi" w:cstheme="majorHAnsi"/>
          <w:szCs w:val="22"/>
        </w:rPr>
        <w:t>the</w:t>
      </w:r>
      <w:r w:rsidRPr="00437A8B">
        <w:rPr>
          <w:rFonts w:asciiTheme="majorHAnsi" w:hAnsiTheme="majorHAnsi" w:cstheme="majorHAnsi"/>
          <w:spacing w:val="-1"/>
          <w:szCs w:val="22"/>
        </w:rPr>
        <w:t xml:space="preserve"> </w:t>
      </w:r>
      <w:r w:rsidR="007E3BCC" w:rsidRPr="00437A8B">
        <w:rPr>
          <w:rStyle w:val="normaltextrun"/>
          <w:rFonts w:asciiTheme="majorHAnsi" w:hAnsiTheme="majorHAnsi" w:cstheme="majorHAnsi"/>
          <w:szCs w:val="22"/>
        </w:rPr>
        <w:t>Sponsoring Organization</w:t>
      </w:r>
      <w:r w:rsidRPr="00437A8B">
        <w:rPr>
          <w:rFonts w:asciiTheme="majorHAnsi" w:hAnsiTheme="majorHAnsi" w:cstheme="majorHAnsi"/>
          <w:spacing w:val="-5"/>
          <w:szCs w:val="22"/>
        </w:rPr>
        <w:t xml:space="preserve"> </w:t>
      </w:r>
      <w:r w:rsidRPr="00437A8B">
        <w:rPr>
          <w:rFonts w:asciiTheme="majorHAnsi" w:hAnsiTheme="majorHAnsi" w:cstheme="majorHAnsi"/>
          <w:szCs w:val="22"/>
        </w:rPr>
        <w:t>staff,</w:t>
      </w:r>
      <w:r w:rsidRPr="00437A8B">
        <w:rPr>
          <w:rFonts w:asciiTheme="majorHAnsi" w:hAnsiTheme="majorHAnsi" w:cstheme="majorHAnsi"/>
          <w:spacing w:val="-6"/>
          <w:szCs w:val="22"/>
        </w:rPr>
        <w:t xml:space="preserve"> </w:t>
      </w:r>
      <w:r w:rsidRPr="00437A8B">
        <w:rPr>
          <w:rFonts w:asciiTheme="majorHAnsi" w:hAnsiTheme="majorHAnsi" w:cstheme="majorHAnsi"/>
          <w:szCs w:val="22"/>
        </w:rPr>
        <w:t>the</w:t>
      </w:r>
      <w:r w:rsidRPr="00437A8B">
        <w:rPr>
          <w:rFonts w:asciiTheme="majorHAnsi" w:hAnsiTheme="majorHAnsi" w:cstheme="majorHAnsi"/>
          <w:spacing w:val="-3"/>
          <w:szCs w:val="22"/>
        </w:rPr>
        <w:t xml:space="preserve"> </w:t>
      </w:r>
      <w:r w:rsidRPr="00437A8B">
        <w:rPr>
          <w:rFonts w:asciiTheme="majorHAnsi" w:hAnsiTheme="majorHAnsi" w:cstheme="majorHAnsi"/>
          <w:szCs w:val="22"/>
        </w:rPr>
        <w:t>Program</w:t>
      </w:r>
      <w:r w:rsidRPr="00437A8B">
        <w:rPr>
          <w:rFonts w:asciiTheme="majorHAnsi" w:hAnsiTheme="majorHAnsi" w:cstheme="majorHAnsi"/>
          <w:spacing w:val="-1"/>
          <w:szCs w:val="22"/>
        </w:rPr>
        <w:t xml:space="preserve"> </w:t>
      </w:r>
      <w:r w:rsidRPr="00437A8B">
        <w:rPr>
          <w:rFonts w:asciiTheme="majorHAnsi" w:hAnsiTheme="majorHAnsi" w:cstheme="majorHAnsi"/>
          <w:szCs w:val="22"/>
        </w:rPr>
        <w:t>Supervisor</w:t>
      </w:r>
      <w:r w:rsidRPr="00437A8B">
        <w:rPr>
          <w:rFonts w:asciiTheme="majorHAnsi" w:hAnsiTheme="majorHAnsi" w:cstheme="majorHAnsi"/>
          <w:spacing w:val="-4"/>
          <w:szCs w:val="22"/>
        </w:rPr>
        <w:t xml:space="preserve"> </w:t>
      </w:r>
      <w:r w:rsidRPr="00437A8B">
        <w:rPr>
          <w:rFonts w:asciiTheme="majorHAnsi" w:hAnsiTheme="majorHAnsi" w:cstheme="majorHAnsi"/>
          <w:szCs w:val="22"/>
        </w:rPr>
        <w:t>serves</w:t>
      </w:r>
      <w:r w:rsidRPr="00437A8B">
        <w:rPr>
          <w:rFonts w:asciiTheme="majorHAnsi" w:hAnsiTheme="majorHAnsi" w:cstheme="majorHAnsi"/>
          <w:spacing w:val="-2"/>
          <w:szCs w:val="22"/>
        </w:rPr>
        <w:t xml:space="preserve"> </w:t>
      </w:r>
      <w:r w:rsidRPr="00437A8B">
        <w:rPr>
          <w:rFonts w:asciiTheme="majorHAnsi" w:hAnsiTheme="majorHAnsi" w:cstheme="majorHAnsi"/>
          <w:szCs w:val="22"/>
        </w:rPr>
        <w:t>as</w:t>
      </w:r>
      <w:r w:rsidRPr="00437A8B">
        <w:rPr>
          <w:rFonts w:asciiTheme="majorHAnsi" w:hAnsiTheme="majorHAnsi" w:cstheme="majorHAnsi"/>
          <w:spacing w:val="-4"/>
          <w:szCs w:val="22"/>
        </w:rPr>
        <w:t xml:space="preserve"> </w:t>
      </w:r>
      <w:r w:rsidRPr="00437A8B">
        <w:rPr>
          <w:rFonts w:asciiTheme="majorHAnsi" w:hAnsiTheme="majorHAnsi" w:cstheme="majorHAnsi"/>
          <w:szCs w:val="22"/>
        </w:rPr>
        <w:t>the</w:t>
      </w:r>
      <w:r w:rsidRPr="00437A8B">
        <w:rPr>
          <w:rFonts w:asciiTheme="majorHAnsi" w:hAnsiTheme="majorHAnsi" w:cstheme="majorHAnsi"/>
          <w:spacing w:val="-3"/>
          <w:szCs w:val="22"/>
        </w:rPr>
        <w:t xml:space="preserve"> </w:t>
      </w:r>
      <w:r w:rsidRPr="00437A8B">
        <w:rPr>
          <w:rFonts w:asciiTheme="majorHAnsi" w:hAnsiTheme="majorHAnsi" w:cstheme="majorHAnsi"/>
          <w:szCs w:val="22"/>
        </w:rPr>
        <w:t xml:space="preserve">liaison between the </w:t>
      </w:r>
      <w:r w:rsidR="007E3BCC" w:rsidRPr="00437A8B">
        <w:rPr>
          <w:rStyle w:val="normaltextrun"/>
          <w:rFonts w:asciiTheme="majorHAnsi" w:hAnsiTheme="majorHAnsi" w:cstheme="majorHAnsi"/>
          <w:szCs w:val="22"/>
        </w:rPr>
        <w:t>Sponsoring Organization</w:t>
      </w:r>
      <w:r w:rsidRPr="00437A8B">
        <w:rPr>
          <w:rFonts w:asciiTheme="majorHAnsi" w:hAnsiTheme="majorHAnsi" w:cstheme="majorHAnsi"/>
          <w:szCs w:val="22"/>
        </w:rPr>
        <w:t xml:space="preserve"> and the practicum placement. She/he is responsible for overseeing the student teaching experience, observing and providing feedback to the candidate alongside the Supervising Practitioner, and coordinating the assessment for program completion.</w:t>
      </w:r>
    </w:p>
    <w:p w14:paraId="706BEADB" w14:textId="77777777" w:rsidR="00AE33E0" w:rsidRPr="00437A8B" w:rsidRDefault="00AE33E0" w:rsidP="00437A8B">
      <w:pPr>
        <w:pStyle w:val="BodyText"/>
        <w:spacing w:before="7" w:line="276" w:lineRule="auto"/>
        <w:ind w:left="475" w:hanging="360"/>
        <w:rPr>
          <w:rFonts w:asciiTheme="majorHAnsi" w:hAnsiTheme="majorHAnsi" w:cstheme="majorHAnsi"/>
          <w:szCs w:val="22"/>
        </w:rPr>
      </w:pPr>
    </w:p>
    <w:p w14:paraId="771DD21C" w14:textId="77777777" w:rsidR="00AE33E0" w:rsidRPr="00437A8B" w:rsidRDefault="00AE33E0" w:rsidP="00437A8B">
      <w:pPr>
        <w:pStyle w:val="BodyText"/>
        <w:spacing w:line="276" w:lineRule="auto"/>
        <w:ind w:left="475" w:hanging="360"/>
        <w:rPr>
          <w:rFonts w:asciiTheme="majorHAnsi" w:hAnsiTheme="majorHAnsi" w:cstheme="majorHAnsi"/>
          <w:szCs w:val="22"/>
        </w:rPr>
      </w:pPr>
      <w:r w:rsidRPr="00437A8B">
        <w:rPr>
          <w:rFonts w:asciiTheme="majorHAnsi" w:hAnsiTheme="majorHAnsi" w:cstheme="majorHAnsi"/>
          <w:b/>
          <w:bCs/>
          <w:szCs w:val="22"/>
        </w:rPr>
        <w:t>Reviewer:</w:t>
      </w:r>
      <w:r w:rsidRPr="00437A8B">
        <w:rPr>
          <w:rFonts w:asciiTheme="majorHAnsi" w:hAnsiTheme="majorHAnsi" w:cstheme="majorHAnsi"/>
          <w:b/>
          <w:bCs/>
          <w:spacing w:val="-2"/>
          <w:szCs w:val="22"/>
        </w:rPr>
        <w:t xml:space="preserve"> </w:t>
      </w:r>
      <w:r w:rsidRPr="00437A8B">
        <w:rPr>
          <w:rFonts w:asciiTheme="majorHAnsi" w:hAnsiTheme="majorHAnsi" w:cstheme="majorHAnsi"/>
          <w:szCs w:val="22"/>
        </w:rPr>
        <w:t>Person</w:t>
      </w:r>
      <w:r w:rsidRPr="00437A8B">
        <w:rPr>
          <w:rFonts w:asciiTheme="majorHAnsi" w:hAnsiTheme="majorHAnsi" w:cstheme="majorHAnsi"/>
          <w:spacing w:val="-2"/>
          <w:szCs w:val="22"/>
        </w:rPr>
        <w:t xml:space="preserve"> </w:t>
      </w:r>
      <w:r w:rsidRPr="00437A8B">
        <w:rPr>
          <w:rFonts w:asciiTheme="majorHAnsi" w:hAnsiTheme="majorHAnsi" w:cstheme="majorHAnsi"/>
          <w:szCs w:val="22"/>
        </w:rPr>
        <w:t>identified</w:t>
      </w:r>
      <w:r w:rsidRPr="00437A8B">
        <w:rPr>
          <w:rFonts w:asciiTheme="majorHAnsi" w:hAnsiTheme="majorHAnsi" w:cstheme="majorHAnsi"/>
          <w:spacing w:val="-4"/>
          <w:szCs w:val="22"/>
        </w:rPr>
        <w:t xml:space="preserve"> </w:t>
      </w:r>
      <w:r w:rsidRPr="00437A8B">
        <w:rPr>
          <w:rFonts w:asciiTheme="majorHAnsi" w:hAnsiTheme="majorHAnsi" w:cstheme="majorHAnsi"/>
          <w:szCs w:val="22"/>
        </w:rPr>
        <w:t>by</w:t>
      </w:r>
      <w:r w:rsidRPr="00437A8B">
        <w:rPr>
          <w:rFonts w:asciiTheme="majorHAnsi" w:hAnsiTheme="majorHAnsi" w:cstheme="majorHAnsi"/>
          <w:spacing w:val="-3"/>
          <w:szCs w:val="22"/>
        </w:rPr>
        <w:t xml:space="preserve"> D</w:t>
      </w:r>
      <w:r w:rsidRPr="00437A8B">
        <w:rPr>
          <w:rFonts w:asciiTheme="majorHAnsi" w:hAnsiTheme="majorHAnsi" w:cstheme="majorHAnsi"/>
          <w:szCs w:val="22"/>
        </w:rPr>
        <w:t>ESE</w:t>
      </w:r>
      <w:r w:rsidRPr="00437A8B">
        <w:rPr>
          <w:rFonts w:asciiTheme="majorHAnsi" w:hAnsiTheme="majorHAnsi" w:cstheme="majorHAnsi"/>
          <w:spacing w:val="-5"/>
          <w:szCs w:val="22"/>
        </w:rPr>
        <w:t xml:space="preserve"> </w:t>
      </w:r>
      <w:r w:rsidRPr="00437A8B">
        <w:rPr>
          <w:rFonts w:asciiTheme="majorHAnsi" w:hAnsiTheme="majorHAnsi" w:cstheme="majorHAnsi"/>
          <w:szCs w:val="22"/>
        </w:rPr>
        <w:t>as</w:t>
      </w:r>
      <w:r w:rsidRPr="00437A8B">
        <w:rPr>
          <w:rFonts w:asciiTheme="majorHAnsi" w:hAnsiTheme="majorHAnsi" w:cstheme="majorHAnsi"/>
          <w:spacing w:val="-3"/>
          <w:szCs w:val="22"/>
        </w:rPr>
        <w:t xml:space="preserve"> </w:t>
      </w:r>
      <w:r w:rsidRPr="00437A8B">
        <w:rPr>
          <w:rFonts w:asciiTheme="majorHAnsi" w:hAnsiTheme="majorHAnsi" w:cstheme="majorHAnsi"/>
          <w:szCs w:val="22"/>
        </w:rPr>
        <w:t>someone</w:t>
      </w:r>
      <w:r w:rsidRPr="00437A8B">
        <w:rPr>
          <w:rFonts w:asciiTheme="majorHAnsi" w:hAnsiTheme="majorHAnsi" w:cstheme="majorHAnsi"/>
          <w:spacing w:val="-5"/>
          <w:szCs w:val="22"/>
        </w:rPr>
        <w:t xml:space="preserve"> </w:t>
      </w:r>
      <w:r w:rsidRPr="00437A8B">
        <w:rPr>
          <w:rFonts w:asciiTheme="majorHAnsi" w:hAnsiTheme="majorHAnsi" w:cstheme="majorHAnsi"/>
          <w:szCs w:val="22"/>
        </w:rPr>
        <w:t>with</w:t>
      </w:r>
      <w:r w:rsidRPr="00437A8B">
        <w:rPr>
          <w:rFonts w:asciiTheme="majorHAnsi" w:hAnsiTheme="majorHAnsi" w:cstheme="majorHAnsi"/>
          <w:spacing w:val="-4"/>
          <w:szCs w:val="22"/>
        </w:rPr>
        <w:t xml:space="preserve"> </w:t>
      </w:r>
      <w:r w:rsidRPr="00437A8B">
        <w:rPr>
          <w:rFonts w:asciiTheme="majorHAnsi" w:hAnsiTheme="majorHAnsi" w:cstheme="majorHAnsi"/>
          <w:szCs w:val="22"/>
        </w:rPr>
        <w:t>the</w:t>
      </w:r>
      <w:r w:rsidRPr="00437A8B">
        <w:rPr>
          <w:rFonts w:asciiTheme="majorHAnsi" w:hAnsiTheme="majorHAnsi" w:cstheme="majorHAnsi"/>
          <w:spacing w:val="-2"/>
          <w:szCs w:val="22"/>
        </w:rPr>
        <w:t xml:space="preserve"> </w:t>
      </w:r>
      <w:r w:rsidRPr="00437A8B">
        <w:rPr>
          <w:rFonts w:asciiTheme="majorHAnsi" w:hAnsiTheme="majorHAnsi" w:cstheme="majorHAnsi"/>
          <w:szCs w:val="22"/>
        </w:rPr>
        <w:t>knowledge</w:t>
      </w:r>
      <w:r w:rsidRPr="00437A8B">
        <w:rPr>
          <w:rFonts w:asciiTheme="majorHAnsi" w:hAnsiTheme="majorHAnsi" w:cstheme="majorHAnsi"/>
          <w:spacing w:val="-2"/>
          <w:szCs w:val="22"/>
        </w:rPr>
        <w:t xml:space="preserve"> </w:t>
      </w:r>
      <w:r w:rsidRPr="00437A8B">
        <w:rPr>
          <w:rFonts w:asciiTheme="majorHAnsi" w:hAnsiTheme="majorHAnsi" w:cstheme="majorHAnsi"/>
          <w:szCs w:val="22"/>
        </w:rPr>
        <w:t>and</w:t>
      </w:r>
      <w:r w:rsidRPr="00437A8B">
        <w:rPr>
          <w:rFonts w:asciiTheme="majorHAnsi" w:hAnsiTheme="majorHAnsi" w:cstheme="majorHAnsi"/>
          <w:spacing w:val="-4"/>
          <w:szCs w:val="22"/>
        </w:rPr>
        <w:t xml:space="preserve"> </w:t>
      </w:r>
      <w:r w:rsidRPr="00437A8B">
        <w:rPr>
          <w:rFonts w:asciiTheme="majorHAnsi" w:hAnsiTheme="majorHAnsi" w:cstheme="majorHAnsi"/>
          <w:szCs w:val="22"/>
        </w:rPr>
        <w:t>experience</w:t>
      </w:r>
      <w:r w:rsidRPr="00437A8B">
        <w:rPr>
          <w:rFonts w:asciiTheme="majorHAnsi" w:hAnsiTheme="majorHAnsi" w:cstheme="majorHAnsi"/>
          <w:spacing w:val="-3"/>
          <w:szCs w:val="22"/>
        </w:rPr>
        <w:t xml:space="preserve"> </w:t>
      </w:r>
      <w:r w:rsidRPr="00437A8B">
        <w:rPr>
          <w:rFonts w:asciiTheme="majorHAnsi" w:hAnsiTheme="majorHAnsi" w:cstheme="majorHAnsi"/>
          <w:szCs w:val="22"/>
        </w:rPr>
        <w:t>required</w:t>
      </w:r>
      <w:r w:rsidRPr="00437A8B">
        <w:rPr>
          <w:rFonts w:asciiTheme="majorHAnsi" w:hAnsiTheme="majorHAnsi" w:cstheme="majorHAnsi"/>
          <w:spacing w:val="-4"/>
          <w:szCs w:val="22"/>
        </w:rPr>
        <w:t xml:space="preserve"> </w:t>
      </w:r>
      <w:r w:rsidRPr="00437A8B">
        <w:rPr>
          <w:rFonts w:asciiTheme="majorHAnsi" w:hAnsiTheme="majorHAnsi" w:cstheme="majorHAnsi"/>
          <w:szCs w:val="22"/>
        </w:rPr>
        <w:t xml:space="preserve">to </w:t>
      </w:r>
      <w:r w:rsidRPr="00437A8B">
        <w:rPr>
          <w:rFonts w:asciiTheme="majorHAnsi" w:hAnsiTheme="majorHAnsi" w:cstheme="majorHAnsi"/>
          <w:szCs w:val="22"/>
        </w:rPr>
        <w:lastRenderedPageBreak/>
        <w:t>evaluate evidence of how programs meet review criteria. Reviewers are chosen based on their qualifications and screened for bias or potential conflicts of interest. Reviewers also receive extensive training and calibration to implement the review process.</w:t>
      </w:r>
    </w:p>
    <w:p w14:paraId="4E12746E" w14:textId="77777777" w:rsidR="00AE33E0" w:rsidRPr="00437A8B" w:rsidRDefault="00AE33E0" w:rsidP="00437A8B">
      <w:pPr>
        <w:pStyle w:val="BodyText"/>
        <w:spacing w:before="10" w:line="276" w:lineRule="auto"/>
        <w:ind w:left="475" w:hanging="360"/>
        <w:rPr>
          <w:rFonts w:asciiTheme="majorHAnsi" w:hAnsiTheme="majorHAnsi" w:cstheme="majorHAnsi"/>
          <w:szCs w:val="22"/>
        </w:rPr>
      </w:pPr>
    </w:p>
    <w:p w14:paraId="35098E55" w14:textId="77777777" w:rsidR="00AE33E0" w:rsidRPr="00437A8B" w:rsidRDefault="00AE33E0" w:rsidP="00437A8B">
      <w:pPr>
        <w:pStyle w:val="BodyText"/>
        <w:spacing w:line="276" w:lineRule="auto"/>
        <w:ind w:left="475" w:right="214" w:hanging="360"/>
        <w:rPr>
          <w:rFonts w:asciiTheme="majorHAnsi" w:hAnsiTheme="majorHAnsi" w:cstheme="majorHAnsi"/>
          <w:szCs w:val="22"/>
        </w:rPr>
      </w:pPr>
      <w:r w:rsidRPr="00437A8B">
        <w:rPr>
          <w:rFonts w:asciiTheme="majorHAnsi" w:hAnsiTheme="majorHAnsi" w:cstheme="majorHAnsi"/>
          <w:b/>
          <w:szCs w:val="22"/>
        </w:rPr>
        <w:t xml:space="preserve">Sponsoring Organization: </w:t>
      </w:r>
      <w:r w:rsidRPr="00437A8B">
        <w:rPr>
          <w:rFonts w:asciiTheme="majorHAnsi" w:hAnsiTheme="majorHAnsi" w:cstheme="majorHAnsi"/>
          <w:szCs w:val="22"/>
        </w:rPr>
        <w:t>Institution of higher education or alternative preparation organization</w:t>
      </w:r>
      <w:r w:rsidRPr="00437A8B">
        <w:rPr>
          <w:rFonts w:asciiTheme="majorHAnsi" w:hAnsiTheme="majorHAnsi" w:cstheme="majorHAnsi"/>
          <w:spacing w:val="-5"/>
          <w:szCs w:val="22"/>
        </w:rPr>
        <w:t xml:space="preserve"> </w:t>
      </w:r>
      <w:r w:rsidRPr="00437A8B">
        <w:rPr>
          <w:rFonts w:asciiTheme="majorHAnsi" w:hAnsiTheme="majorHAnsi" w:cstheme="majorHAnsi"/>
          <w:szCs w:val="22"/>
        </w:rPr>
        <w:t>that</w:t>
      </w:r>
      <w:r w:rsidRPr="00437A8B">
        <w:rPr>
          <w:rFonts w:asciiTheme="majorHAnsi" w:hAnsiTheme="majorHAnsi" w:cstheme="majorHAnsi"/>
          <w:spacing w:val="-5"/>
          <w:szCs w:val="22"/>
        </w:rPr>
        <w:t xml:space="preserve"> </w:t>
      </w:r>
      <w:r w:rsidRPr="00437A8B">
        <w:rPr>
          <w:rFonts w:asciiTheme="majorHAnsi" w:hAnsiTheme="majorHAnsi" w:cstheme="majorHAnsi"/>
          <w:szCs w:val="22"/>
        </w:rPr>
        <w:t>provides,</w:t>
      </w:r>
      <w:r w:rsidRPr="00437A8B">
        <w:rPr>
          <w:rFonts w:asciiTheme="majorHAnsi" w:hAnsiTheme="majorHAnsi" w:cstheme="majorHAnsi"/>
          <w:spacing w:val="-3"/>
          <w:szCs w:val="22"/>
        </w:rPr>
        <w:t xml:space="preserve"> </w:t>
      </w:r>
      <w:r w:rsidRPr="00437A8B">
        <w:rPr>
          <w:rFonts w:asciiTheme="majorHAnsi" w:hAnsiTheme="majorHAnsi" w:cstheme="majorHAnsi"/>
          <w:szCs w:val="22"/>
        </w:rPr>
        <w:t>or</w:t>
      </w:r>
      <w:r w:rsidRPr="00437A8B">
        <w:rPr>
          <w:rFonts w:asciiTheme="majorHAnsi" w:hAnsiTheme="majorHAnsi" w:cstheme="majorHAnsi"/>
          <w:spacing w:val="-3"/>
          <w:szCs w:val="22"/>
        </w:rPr>
        <w:t xml:space="preserve"> </w:t>
      </w:r>
      <w:r w:rsidRPr="00437A8B">
        <w:rPr>
          <w:rFonts w:asciiTheme="majorHAnsi" w:hAnsiTheme="majorHAnsi" w:cstheme="majorHAnsi"/>
          <w:szCs w:val="22"/>
        </w:rPr>
        <w:t>seeks</w:t>
      </w:r>
      <w:r w:rsidRPr="00437A8B">
        <w:rPr>
          <w:rFonts w:asciiTheme="majorHAnsi" w:hAnsiTheme="majorHAnsi" w:cstheme="majorHAnsi"/>
          <w:spacing w:val="-4"/>
          <w:szCs w:val="22"/>
        </w:rPr>
        <w:t xml:space="preserve"> </w:t>
      </w:r>
      <w:r w:rsidRPr="00437A8B">
        <w:rPr>
          <w:rFonts w:asciiTheme="majorHAnsi" w:hAnsiTheme="majorHAnsi" w:cstheme="majorHAnsi"/>
          <w:szCs w:val="22"/>
        </w:rPr>
        <w:t>to</w:t>
      </w:r>
      <w:r w:rsidRPr="00437A8B">
        <w:rPr>
          <w:rFonts w:asciiTheme="majorHAnsi" w:hAnsiTheme="majorHAnsi" w:cstheme="majorHAnsi"/>
          <w:spacing w:val="-5"/>
          <w:szCs w:val="22"/>
        </w:rPr>
        <w:t xml:space="preserve"> </w:t>
      </w:r>
      <w:r w:rsidRPr="00437A8B">
        <w:rPr>
          <w:rFonts w:asciiTheme="majorHAnsi" w:hAnsiTheme="majorHAnsi" w:cstheme="majorHAnsi"/>
          <w:szCs w:val="22"/>
        </w:rPr>
        <w:t>provide,</w:t>
      </w:r>
      <w:r w:rsidRPr="00437A8B">
        <w:rPr>
          <w:rFonts w:asciiTheme="majorHAnsi" w:hAnsiTheme="majorHAnsi" w:cstheme="majorHAnsi"/>
          <w:spacing w:val="-6"/>
          <w:szCs w:val="22"/>
        </w:rPr>
        <w:t xml:space="preserve"> </w:t>
      </w:r>
      <w:r w:rsidRPr="00437A8B">
        <w:rPr>
          <w:rFonts w:asciiTheme="majorHAnsi" w:hAnsiTheme="majorHAnsi" w:cstheme="majorHAnsi"/>
          <w:szCs w:val="22"/>
        </w:rPr>
        <w:t>approved</w:t>
      </w:r>
      <w:r w:rsidRPr="00437A8B">
        <w:rPr>
          <w:rFonts w:asciiTheme="majorHAnsi" w:hAnsiTheme="majorHAnsi" w:cstheme="majorHAnsi"/>
          <w:spacing w:val="-4"/>
          <w:szCs w:val="22"/>
        </w:rPr>
        <w:t xml:space="preserve"> </w:t>
      </w:r>
      <w:r w:rsidRPr="00437A8B">
        <w:rPr>
          <w:rFonts w:asciiTheme="majorHAnsi" w:hAnsiTheme="majorHAnsi" w:cstheme="majorHAnsi"/>
          <w:szCs w:val="22"/>
        </w:rPr>
        <w:t>preparation</w:t>
      </w:r>
      <w:r w:rsidRPr="00437A8B">
        <w:rPr>
          <w:rFonts w:asciiTheme="majorHAnsi" w:hAnsiTheme="majorHAnsi" w:cstheme="majorHAnsi"/>
          <w:spacing w:val="-5"/>
          <w:szCs w:val="22"/>
        </w:rPr>
        <w:t xml:space="preserve"> </w:t>
      </w:r>
      <w:r w:rsidRPr="00437A8B">
        <w:rPr>
          <w:rFonts w:asciiTheme="majorHAnsi" w:hAnsiTheme="majorHAnsi" w:cstheme="majorHAnsi"/>
          <w:szCs w:val="22"/>
        </w:rPr>
        <w:t>programs.</w:t>
      </w:r>
    </w:p>
    <w:p w14:paraId="4AA61BB5" w14:textId="77777777" w:rsidR="00AE33E0" w:rsidRPr="00437A8B" w:rsidRDefault="00AE33E0" w:rsidP="00437A8B">
      <w:pPr>
        <w:pStyle w:val="BodyText"/>
        <w:spacing w:before="8" w:line="276" w:lineRule="auto"/>
        <w:ind w:left="475" w:hanging="360"/>
        <w:rPr>
          <w:rFonts w:asciiTheme="majorHAnsi" w:hAnsiTheme="majorHAnsi" w:cstheme="majorHAnsi"/>
          <w:szCs w:val="22"/>
        </w:rPr>
      </w:pPr>
    </w:p>
    <w:p w14:paraId="6181DDDF" w14:textId="51F0C38F" w:rsidR="00AE33E0" w:rsidRPr="00437A8B" w:rsidRDefault="00AE33E0" w:rsidP="00437A8B">
      <w:pPr>
        <w:pStyle w:val="BodyText"/>
        <w:spacing w:line="276" w:lineRule="auto"/>
        <w:ind w:left="475" w:hanging="360"/>
        <w:rPr>
          <w:rFonts w:asciiTheme="majorHAnsi" w:hAnsiTheme="majorHAnsi" w:cstheme="majorBidi"/>
        </w:rPr>
      </w:pPr>
      <w:r w:rsidRPr="5E5DEAB0">
        <w:rPr>
          <w:rFonts w:asciiTheme="majorHAnsi" w:hAnsiTheme="majorHAnsi" w:cstheme="majorBidi"/>
          <w:b/>
        </w:rPr>
        <w:t>Status</w:t>
      </w:r>
      <w:r w:rsidRPr="5E5DEAB0">
        <w:rPr>
          <w:rFonts w:asciiTheme="majorHAnsi" w:hAnsiTheme="majorHAnsi" w:cstheme="majorBidi"/>
          <w:b/>
          <w:spacing w:val="-2"/>
        </w:rPr>
        <w:t xml:space="preserve"> </w:t>
      </w:r>
      <w:r w:rsidR="7DD6E43C" w:rsidRPr="5E5DEAB0">
        <w:rPr>
          <w:rFonts w:asciiTheme="majorHAnsi" w:hAnsiTheme="majorHAnsi" w:cstheme="majorBidi"/>
          <w:b/>
          <w:bCs/>
          <w:spacing w:val="-2"/>
        </w:rPr>
        <w:t>d</w:t>
      </w:r>
      <w:r w:rsidRPr="5E5DEAB0">
        <w:rPr>
          <w:rFonts w:asciiTheme="majorHAnsi" w:hAnsiTheme="majorHAnsi" w:cstheme="majorBidi"/>
          <w:b/>
        </w:rPr>
        <w:t>esignation:</w:t>
      </w:r>
      <w:r w:rsidRPr="5E5DEAB0">
        <w:rPr>
          <w:rFonts w:asciiTheme="majorHAnsi" w:hAnsiTheme="majorHAnsi" w:cstheme="majorBidi"/>
          <w:b/>
          <w:spacing w:val="-4"/>
        </w:rPr>
        <w:t xml:space="preserve"> </w:t>
      </w:r>
      <w:r w:rsidRPr="5E5DEAB0">
        <w:rPr>
          <w:rFonts w:asciiTheme="majorHAnsi" w:hAnsiTheme="majorHAnsi" w:cstheme="majorBidi"/>
        </w:rPr>
        <w:t>An</w:t>
      </w:r>
      <w:r w:rsidRPr="5E5DEAB0">
        <w:rPr>
          <w:rFonts w:asciiTheme="majorHAnsi" w:hAnsiTheme="majorHAnsi" w:cstheme="majorBidi"/>
          <w:spacing w:val="-4"/>
        </w:rPr>
        <w:t xml:space="preserve"> </w:t>
      </w:r>
      <w:r w:rsidRPr="5E5DEAB0">
        <w:rPr>
          <w:rFonts w:asciiTheme="majorHAnsi" w:hAnsiTheme="majorHAnsi" w:cstheme="majorBidi"/>
        </w:rPr>
        <w:t>assessment</w:t>
      </w:r>
      <w:r w:rsidRPr="5E5DEAB0">
        <w:rPr>
          <w:rFonts w:asciiTheme="majorHAnsi" w:hAnsiTheme="majorHAnsi" w:cstheme="majorBidi"/>
          <w:spacing w:val="-4"/>
        </w:rPr>
        <w:t xml:space="preserve"> </w:t>
      </w:r>
      <w:r w:rsidRPr="5E5DEAB0">
        <w:rPr>
          <w:rFonts w:asciiTheme="majorHAnsi" w:hAnsiTheme="majorHAnsi" w:cstheme="majorBidi"/>
        </w:rPr>
        <w:t>of</w:t>
      </w:r>
      <w:r w:rsidRPr="5E5DEAB0">
        <w:rPr>
          <w:rFonts w:asciiTheme="majorHAnsi" w:hAnsiTheme="majorHAnsi" w:cstheme="majorBidi"/>
          <w:spacing w:val="-4"/>
        </w:rPr>
        <w:t xml:space="preserve"> </w:t>
      </w:r>
      <w:r w:rsidRPr="5E5DEAB0">
        <w:rPr>
          <w:rFonts w:asciiTheme="majorHAnsi" w:hAnsiTheme="majorHAnsi" w:cstheme="majorBidi"/>
        </w:rPr>
        <w:t>a</w:t>
      </w:r>
      <w:r w:rsidRPr="5E5DEAB0">
        <w:rPr>
          <w:rFonts w:asciiTheme="majorHAnsi" w:hAnsiTheme="majorHAnsi" w:cstheme="majorBidi"/>
          <w:spacing w:val="-2"/>
        </w:rPr>
        <w:t xml:space="preserve"> </w:t>
      </w:r>
      <w:r w:rsidRPr="5E5DEAB0">
        <w:rPr>
          <w:rFonts w:asciiTheme="majorHAnsi" w:hAnsiTheme="majorHAnsi" w:cstheme="majorBidi"/>
        </w:rPr>
        <w:t>Sponsoring</w:t>
      </w:r>
      <w:r w:rsidRPr="5E5DEAB0">
        <w:rPr>
          <w:rFonts w:asciiTheme="majorHAnsi" w:hAnsiTheme="majorHAnsi" w:cstheme="majorBidi"/>
          <w:spacing w:val="-3"/>
        </w:rPr>
        <w:t xml:space="preserve"> </w:t>
      </w:r>
      <w:r w:rsidRPr="5E5DEAB0">
        <w:rPr>
          <w:rFonts w:asciiTheme="majorHAnsi" w:hAnsiTheme="majorHAnsi" w:cstheme="majorBidi"/>
        </w:rPr>
        <w:t>Organization’s</w:t>
      </w:r>
      <w:r w:rsidRPr="5E5DEAB0">
        <w:rPr>
          <w:rFonts w:asciiTheme="majorHAnsi" w:hAnsiTheme="majorHAnsi" w:cstheme="majorBidi"/>
          <w:spacing w:val="-5"/>
        </w:rPr>
        <w:t xml:space="preserve"> </w:t>
      </w:r>
      <w:r w:rsidRPr="5E5DEAB0">
        <w:rPr>
          <w:rFonts w:asciiTheme="majorHAnsi" w:hAnsiTheme="majorHAnsi" w:cstheme="majorBidi"/>
        </w:rPr>
        <w:t>performance</w:t>
      </w:r>
      <w:r w:rsidRPr="5E5DEAB0">
        <w:rPr>
          <w:rFonts w:asciiTheme="majorHAnsi" w:hAnsiTheme="majorHAnsi" w:cstheme="majorBidi"/>
          <w:spacing w:val="-2"/>
        </w:rPr>
        <w:t xml:space="preserve"> </w:t>
      </w:r>
      <w:r w:rsidRPr="5E5DEAB0">
        <w:rPr>
          <w:rFonts w:asciiTheme="majorHAnsi" w:hAnsiTheme="majorHAnsi" w:cstheme="majorBidi"/>
        </w:rPr>
        <w:t>as</w:t>
      </w:r>
      <w:r w:rsidRPr="5E5DEAB0">
        <w:rPr>
          <w:rFonts w:asciiTheme="majorHAnsi" w:hAnsiTheme="majorHAnsi" w:cstheme="majorBidi"/>
          <w:spacing w:val="-5"/>
        </w:rPr>
        <w:t xml:space="preserve"> </w:t>
      </w:r>
      <w:r w:rsidRPr="5E5DEAB0">
        <w:rPr>
          <w:rFonts w:asciiTheme="majorHAnsi" w:hAnsiTheme="majorHAnsi" w:cstheme="majorBidi"/>
        </w:rPr>
        <w:t>required</w:t>
      </w:r>
      <w:r w:rsidRPr="5E5DEAB0">
        <w:rPr>
          <w:rFonts w:asciiTheme="majorHAnsi" w:hAnsiTheme="majorHAnsi" w:cstheme="majorBidi"/>
          <w:spacing w:val="-2"/>
        </w:rPr>
        <w:t xml:space="preserve"> </w:t>
      </w:r>
      <w:r w:rsidRPr="5E5DEAB0">
        <w:rPr>
          <w:rFonts w:asciiTheme="majorHAnsi" w:hAnsiTheme="majorHAnsi" w:cstheme="majorBidi"/>
        </w:rPr>
        <w:t>by Title II of the Higher Education Act (high performing, at-risk, or low performing).</w:t>
      </w:r>
    </w:p>
    <w:p w14:paraId="4E299C29" w14:textId="77777777" w:rsidR="00AE33E0" w:rsidRPr="00437A8B" w:rsidRDefault="00AE33E0" w:rsidP="00437A8B">
      <w:pPr>
        <w:pStyle w:val="BodyText"/>
        <w:spacing w:before="7" w:line="276" w:lineRule="auto"/>
        <w:ind w:left="475" w:hanging="360"/>
        <w:rPr>
          <w:rFonts w:asciiTheme="majorHAnsi" w:hAnsiTheme="majorHAnsi" w:cstheme="majorHAnsi"/>
          <w:szCs w:val="22"/>
        </w:rPr>
      </w:pPr>
    </w:p>
    <w:p w14:paraId="2D58BD2B" w14:textId="77777777" w:rsidR="00AE33E0" w:rsidRPr="00437A8B" w:rsidRDefault="00AE33E0" w:rsidP="00437A8B">
      <w:pPr>
        <w:spacing w:before="1"/>
        <w:ind w:left="475" w:hanging="360"/>
        <w:rPr>
          <w:rFonts w:cstheme="majorHAnsi"/>
        </w:rPr>
      </w:pPr>
      <w:r w:rsidRPr="00437A8B">
        <w:rPr>
          <w:rFonts w:cstheme="majorHAnsi"/>
          <w:b/>
          <w:bCs/>
        </w:rPr>
        <w:t>Student:</w:t>
      </w:r>
      <w:r w:rsidRPr="00437A8B">
        <w:rPr>
          <w:rFonts w:cstheme="majorHAnsi"/>
          <w:b/>
          <w:bCs/>
          <w:spacing w:val="-4"/>
        </w:rPr>
        <w:t xml:space="preserve"> </w:t>
      </w:r>
      <w:r w:rsidRPr="00437A8B">
        <w:rPr>
          <w:rFonts w:cstheme="majorHAnsi"/>
        </w:rPr>
        <w:t xml:space="preserve"> A pupil enrolled in a PK-12 institution.</w:t>
      </w:r>
    </w:p>
    <w:p w14:paraId="405DE028" w14:textId="77777777" w:rsidR="00AE33E0" w:rsidRPr="00437A8B" w:rsidRDefault="00AE33E0" w:rsidP="00437A8B">
      <w:pPr>
        <w:pStyle w:val="BodyText"/>
        <w:spacing w:before="7" w:line="276" w:lineRule="auto"/>
        <w:ind w:left="475" w:hanging="360"/>
        <w:rPr>
          <w:rFonts w:asciiTheme="majorHAnsi" w:hAnsiTheme="majorHAnsi" w:cstheme="majorHAnsi"/>
          <w:szCs w:val="22"/>
        </w:rPr>
      </w:pPr>
    </w:p>
    <w:p w14:paraId="6C6D2795" w14:textId="77777777" w:rsidR="00AE33E0" w:rsidRPr="00437A8B" w:rsidRDefault="00AE33E0" w:rsidP="00437A8B">
      <w:pPr>
        <w:pStyle w:val="BodyText"/>
        <w:spacing w:line="276" w:lineRule="auto"/>
        <w:ind w:left="475" w:right="66" w:hanging="360"/>
        <w:rPr>
          <w:rFonts w:asciiTheme="majorHAnsi" w:hAnsiTheme="majorHAnsi" w:cstheme="majorHAnsi"/>
          <w:szCs w:val="22"/>
        </w:rPr>
      </w:pPr>
      <w:r w:rsidRPr="00437A8B">
        <w:rPr>
          <w:rFonts w:asciiTheme="majorHAnsi" w:hAnsiTheme="majorHAnsi" w:cstheme="majorHAnsi"/>
          <w:b/>
          <w:bCs/>
          <w:szCs w:val="22"/>
        </w:rPr>
        <w:t xml:space="preserve">Supervising Practitioner: </w:t>
      </w:r>
      <w:r w:rsidRPr="00437A8B">
        <w:rPr>
          <w:rFonts w:asciiTheme="majorHAnsi" w:hAnsiTheme="majorHAnsi" w:cstheme="majorHAnsi"/>
          <w:szCs w:val="22"/>
        </w:rPr>
        <w:t>A PK-12 educator who oversees a candidate’s field-based experience; cooperating teacher, mentor teacher. A Supervising Practitioner shall be supported and evaluated</w:t>
      </w:r>
      <w:r w:rsidRPr="00437A8B">
        <w:rPr>
          <w:rFonts w:asciiTheme="majorHAnsi" w:hAnsiTheme="majorHAnsi" w:cstheme="majorHAnsi"/>
          <w:spacing w:val="-4"/>
          <w:szCs w:val="22"/>
        </w:rPr>
        <w:t xml:space="preserve"> </w:t>
      </w:r>
      <w:r w:rsidRPr="00437A8B">
        <w:rPr>
          <w:rFonts w:asciiTheme="majorHAnsi" w:hAnsiTheme="majorHAnsi" w:cstheme="majorHAnsi"/>
          <w:szCs w:val="22"/>
        </w:rPr>
        <w:t>by</w:t>
      </w:r>
      <w:r w:rsidRPr="00437A8B">
        <w:rPr>
          <w:rFonts w:asciiTheme="majorHAnsi" w:hAnsiTheme="majorHAnsi" w:cstheme="majorHAnsi"/>
          <w:spacing w:val="-3"/>
          <w:szCs w:val="22"/>
        </w:rPr>
        <w:t xml:space="preserve"> </w:t>
      </w:r>
      <w:r w:rsidRPr="00437A8B">
        <w:rPr>
          <w:rFonts w:asciiTheme="majorHAnsi" w:hAnsiTheme="majorHAnsi" w:cstheme="majorHAnsi"/>
          <w:szCs w:val="22"/>
        </w:rPr>
        <w:t>the</w:t>
      </w:r>
      <w:r w:rsidRPr="00437A8B">
        <w:rPr>
          <w:rFonts w:asciiTheme="majorHAnsi" w:hAnsiTheme="majorHAnsi" w:cstheme="majorHAnsi"/>
          <w:spacing w:val="-4"/>
          <w:szCs w:val="22"/>
        </w:rPr>
        <w:t xml:space="preserve"> </w:t>
      </w:r>
      <w:r w:rsidRPr="00437A8B">
        <w:rPr>
          <w:rFonts w:asciiTheme="majorHAnsi" w:hAnsiTheme="majorHAnsi" w:cstheme="majorHAnsi"/>
          <w:szCs w:val="22"/>
        </w:rPr>
        <w:t>Sponsoring</w:t>
      </w:r>
      <w:r w:rsidRPr="00437A8B">
        <w:rPr>
          <w:rFonts w:asciiTheme="majorHAnsi" w:hAnsiTheme="majorHAnsi" w:cstheme="majorHAnsi"/>
          <w:spacing w:val="-3"/>
          <w:szCs w:val="22"/>
        </w:rPr>
        <w:t xml:space="preserve"> </w:t>
      </w:r>
      <w:r w:rsidRPr="00437A8B">
        <w:rPr>
          <w:rFonts w:asciiTheme="majorHAnsi" w:hAnsiTheme="majorHAnsi" w:cstheme="majorHAnsi"/>
          <w:szCs w:val="22"/>
        </w:rPr>
        <w:t>Organization,</w:t>
      </w:r>
      <w:r w:rsidRPr="00437A8B">
        <w:rPr>
          <w:rFonts w:asciiTheme="majorHAnsi" w:hAnsiTheme="majorHAnsi" w:cstheme="majorHAnsi"/>
          <w:spacing w:val="-5"/>
          <w:szCs w:val="22"/>
        </w:rPr>
        <w:t xml:space="preserve"> </w:t>
      </w:r>
      <w:r w:rsidRPr="00437A8B">
        <w:rPr>
          <w:rFonts w:asciiTheme="majorHAnsi" w:hAnsiTheme="majorHAnsi" w:cstheme="majorHAnsi"/>
          <w:szCs w:val="22"/>
        </w:rPr>
        <w:t>have</w:t>
      </w:r>
      <w:r w:rsidRPr="00437A8B">
        <w:rPr>
          <w:rFonts w:asciiTheme="majorHAnsi" w:hAnsiTheme="majorHAnsi" w:cstheme="majorHAnsi"/>
          <w:spacing w:val="-4"/>
          <w:szCs w:val="22"/>
        </w:rPr>
        <w:t xml:space="preserve"> </w:t>
      </w:r>
      <w:r w:rsidRPr="00437A8B">
        <w:rPr>
          <w:rFonts w:asciiTheme="majorHAnsi" w:hAnsiTheme="majorHAnsi" w:cstheme="majorHAnsi"/>
          <w:szCs w:val="22"/>
        </w:rPr>
        <w:t>at</w:t>
      </w:r>
      <w:r w:rsidRPr="00437A8B">
        <w:rPr>
          <w:rFonts w:asciiTheme="majorHAnsi" w:hAnsiTheme="majorHAnsi" w:cstheme="majorHAnsi"/>
          <w:spacing w:val="-1"/>
          <w:szCs w:val="22"/>
        </w:rPr>
        <w:t xml:space="preserve"> </w:t>
      </w:r>
      <w:r w:rsidRPr="00437A8B">
        <w:rPr>
          <w:rFonts w:asciiTheme="majorHAnsi" w:hAnsiTheme="majorHAnsi" w:cstheme="majorHAnsi"/>
          <w:szCs w:val="22"/>
        </w:rPr>
        <w:t>least</w:t>
      </w:r>
      <w:r w:rsidRPr="00437A8B">
        <w:rPr>
          <w:rFonts w:asciiTheme="majorHAnsi" w:hAnsiTheme="majorHAnsi" w:cstheme="majorHAnsi"/>
          <w:spacing w:val="-4"/>
          <w:szCs w:val="22"/>
        </w:rPr>
        <w:t xml:space="preserve"> </w:t>
      </w:r>
      <w:r w:rsidRPr="00437A8B">
        <w:rPr>
          <w:rFonts w:asciiTheme="majorHAnsi" w:hAnsiTheme="majorHAnsi" w:cstheme="majorHAnsi"/>
          <w:szCs w:val="22"/>
        </w:rPr>
        <w:t>three</w:t>
      </w:r>
      <w:r w:rsidRPr="00437A8B">
        <w:rPr>
          <w:rFonts w:asciiTheme="majorHAnsi" w:hAnsiTheme="majorHAnsi" w:cstheme="majorHAnsi"/>
          <w:spacing w:val="-2"/>
          <w:szCs w:val="22"/>
        </w:rPr>
        <w:t xml:space="preserve"> </w:t>
      </w:r>
      <w:r w:rsidRPr="00437A8B">
        <w:rPr>
          <w:rFonts w:asciiTheme="majorHAnsi" w:hAnsiTheme="majorHAnsi" w:cstheme="majorHAnsi"/>
          <w:szCs w:val="22"/>
        </w:rPr>
        <w:t>full</w:t>
      </w:r>
      <w:r w:rsidRPr="00437A8B">
        <w:rPr>
          <w:rFonts w:asciiTheme="majorHAnsi" w:hAnsiTheme="majorHAnsi" w:cstheme="majorHAnsi"/>
          <w:spacing w:val="-3"/>
          <w:szCs w:val="22"/>
        </w:rPr>
        <w:t xml:space="preserve"> </w:t>
      </w:r>
      <w:r w:rsidRPr="00437A8B">
        <w:rPr>
          <w:rFonts w:asciiTheme="majorHAnsi" w:hAnsiTheme="majorHAnsi" w:cstheme="majorHAnsi"/>
          <w:szCs w:val="22"/>
        </w:rPr>
        <w:t>years</w:t>
      </w:r>
      <w:r w:rsidRPr="00437A8B">
        <w:rPr>
          <w:rFonts w:asciiTheme="majorHAnsi" w:hAnsiTheme="majorHAnsi" w:cstheme="majorHAnsi"/>
          <w:spacing w:val="-3"/>
          <w:szCs w:val="22"/>
        </w:rPr>
        <w:t xml:space="preserve"> </w:t>
      </w:r>
      <w:r w:rsidRPr="00437A8B">
        <w:rPr>
          <w:rFonts w:asciiTheme="majorHAnsi" w:hAnsiTheme="majorHAnsi" w:cstheme="majorHAnsi"/>
          <w:szCs w:val="22"/>
        </w:rPr>
        <w:t>of</w:t>
      </w:r>
      <w:r w:rsidRPr="00437A8B">
        <w:rPr>
          <w:rFonts w:asciiTheme="majorHAnsi" w:hAnsiTheme="majorHAnsi" w:cstheme="majorHAnsi"/>
          <w:spacing w:val="-4"/>
          <w:szCs w:val="22"/>
        </w:rPr>
        <w:t xml:space="preserve"> </w:t>
      </w:r>
      <w:r w:rsidRPr="00437A8B">
        <w:rPr>
          <w:rFonts w:asciiTheme="majorHAnsi" w:hAnsiTheme="majorHAnsi" w:cstheme="majorHAnsi"/>
          <w:szCs w:val="22"/>
        </w:rPr>
        <w:t>experience</w:t>
      </w:r>
      <w:r w:rsidRPr="00437A8B">
        <w:rPr>
          <w:rFonts w:asciiTheme="majorHAnsi" w:hAnsiTheme="majorHAnsi" w:cstheme="majorHAnsi"/>
          <w:spacing w:val="-2"/>
          <w:szCs w:val="22"/>
        </w:rPr>
        <w:t xml:space="preserve"> </w:t>
      </w:r>
      <w:r w:rsidRPr="00437A8B">
        <w:rPr>
          <w:rFonts w:asciiTheme="majorHAnsi" w:hAnsiTheme="majorHAnsi" w:cstheme="majorHAnsi"/>
          <w:szCs w:val="22"/>
        </w:rPr>
        <w:t>under an appropriate</w:t>
      </w:r>
      <w:r w:rsidRPr="00437A8B">
        <w:rPr>
          <w:rFonts w:asciiTheme="majorHAnsi" w:hAnsiTheme="majorHAnsi" w:cstheme="majorHAnsi"/>
          <w:spacing w:val="-12"/>
          <w:szCs w:val="22"/>
        </w:rPr>
        <w:t xml:space="preserve"> </w:t>
      </w:r>
      <w:r w:rsidRPr="00437A8B">
        <w:rPr>
          <w:rFonts w:asciiTheme="majorHAnsi" w:hAnsiTheme="majorHAnsi" w:cstheme="majorHAnsi"/>
          <w:szCs w:val="22"/>
        </w:rPr>
        <w:t>Initial or Professional license, and have received a rating of proficient or higher on his/her most recent summative evaluation.</w:t>
      </w:r>
    </w:p>
    <w:p w14:paraId="32948327" w14:textId="77777777" w:rsidR="00AE33E0" w:rsidRPr="00437A8B" w:rsidRDefault="00AE33E0" w:rsidP="00437A8B">
      <w:pPr>
        <w:pStyle w:val="BodyText"/>
        <w:spacing w:line="276" w:lineRule="auto"/>
        <w:ind w:left="475" w:right="66" w:hanging="360"/>
        <w:rPr>
          <w:rFonts w:asciiTheme="majorHAnsi" w:hAnsiTheme="majorHAnsi" w:cstheme="majorHAnsi"/>
          <w:szCs w:val="22"/>
        </w:rPr>
      </w:pPr>
    </w:p>
    <w:p w14:paraId="06784B1C" w14:textId="1FB3225C" w:rsidR="00AE33E0" w:rsidRPr="00437A8B" w:rsidRDefault="00AE33E0" w:rsidP="00437A8B">
      <w:pPr>
        <w:pStyle w:val="BodyText"/>
        <w:spacing w:line="276" w:lineRule="auto"/>
        <w:ind w:left="475" w:right="66" w:hanging="360"/>
        <w:rPr>
          <w:rFonts w:asciiTheme="majorHAnsi" w:hAnsiTheme="majorHAnsi" w:cstheme="majorBidi"/>
        </w:rPr>
      </w:pPr>
      <w:r w:rsidRPr="5E5DEAB0">
        <w:rPr>
          <w:rFonts w:asciiTheme="majorHAnsi" w:hAnsiTheme="majorHAnsi" w:cstheme="majorBidi"/>
          <w:b/>
        </w:rPr>
        <w:t xml:space="preserve">Systemically </w:t>
      </w:r>
      <w:r w:rsidR="218C29E7" w:rsidRPr="5E5DEAB0">
        <w:rPr>
          <w:rFonts w:asciiTheme="majorHAnsi" w:hAnsiTheme="majorHAnsi" w:cstheme="majorBidi"/>
          <w:b/>
          <w:bCs/>
        </w:rPr>
        <w:t>m</w:t>
      </w:r>
      <w:r w:rsidR="6BEAA527" w:rsidRPr="5E5DEAB0">
        <w:rPr>
          <w:rFonts w:asciiTheme="majorHAnsi" w:hAnsiTheme="majorHAnsi" w:cstheme="majorBidi"/>
          <w:b/>
          <w:bCs/>
        </w:rPr>
        <w:t xml:space="preserve">arginalized </w:t>
      </w:r>
      <w:r w:rsidR="0E0FC251" w:rsidRPr="5E5DEAB0">
        <w:rPr>
          <w:rFonts w:asciiTheme="majorHAnsi" w:hAnsiTheme="majorHAnsi" w:cstheme="majorBidi"/>
          <w:b/>
          <w:bCs/>
        </w:rPr>
        <w:t>g</w:t>
      </w:r>
      <w:r w:rsidRPr="5E5DEAB0">
        <w:rPr>
          <w:rFonts w:asciiTheme="majorHAnsi" w:hAnsiTheme="majorHAnsi" w:cstheme="majorBidi"/>
          <w:b/>
        </w:rPr>
        <w:t>roups</w:t>
      </w:r>
      <w:r w:rsidRPr="5E5DEAB0">
        <w:rPr>
          <w:rFonts w:asciiTheme="majorHAnsi" w:hAnsiTheme="majorHAnsi" w:cstheme="majorBidi"/>
        </w:rPr>
        <w:t>: Groups and communities that experience discrimination and exclusion on a systemic level because of unequal power relationships across economic, political, social, and cultural dimensions. These groups include but are not limited to race, culture, language, sexual orientation, gender identity, gender, and ability. Significant disparities exist for marginalized people.</w:t>
      </w:r>
    </w:p>
    <w:p w14:paraId="4A5DEE62" w14:textId="3639E5F6" w:rsidR="00AE33E0" w:rsidRPr="00437A8B" w:rsidRDefault="00AE33E0" w:rsidP="00437A8B">
      <w:pPr>
        <w:pStyle w:val="BodyText"/>
        <w:spacing w:before="41" w:line="276" w:lineRule="auto"/>
        <w:ind w:left="475" w:right="116" w:hanging="360"/>
        <w:rPr>
          <w:rFonts w:asciiTheme="majorHAnsi" w:hAnsiTheme="majorHAnsi" w:cstheme="majorBidi"/>
        </w:rPr>
      </w:pPr>
      <w:r w:rsidRPr="5E5DEAB0">
        <w:rPr>
          <w:rFonts w:asciiTheme="majorHAnsi" w:hAnsiTheme="majorHAnsi" w:cstheme="majorBidi"/>
          <w:b/>
        </w:rPr>
        <w:t>Triggering</w:t>
      </w:r>
      <w:r w:rsidRPr="5E5DEAB0">
        <w:rPr>
          <w:rFonts w:asciiTheme="majorHAnsi" w:hAnsiTheme="majorHAnsi" w:cstheme="majorBidi"/>
          <w:b/>
          <w:spacing w:val="-1"/>
        </w:rPr>
        <w:t xml:space="preserve"> </w:t>
      </w:r>
      <w:r w:rsidR="195F6608" w:rsidRPr="5E5DEAB0">
        <w:rPr>
          <w:rFonts w:asciiTheme="majorHAnsi" w:hAnsiTheme="majorHAnsi" w:cstheme="majorBidi"/>
          <w:b/>
          <w:bCs/>
          <w:spacing w:val="-1"/>
        </w:rPr>
        <w:t>d</w:t>
      </w:r>
      <w:r w:rsidRPr="5E5DEAB0">
        <w:rPr>
          <w:rFonts w:asciiTheme="majorHAnsi" w:hAnsiTheme="majorHAnsi" w:cstheme="majorBidi"/>
          <w:b/>
        </w:rPr>
        <w:t>ata:</w:t>
      </w:r>
      <w:r w:rsidRPr="5E5DEAB0">
        <w:rPr>
          <w:rFonts w:asciiTheme="majorHAnsi" w:hAnsiTheme="majorHAnsi" w:cstheme="majorBidi"/>
          <w:b/>
          <w:spacing w:val="40"/>
        </w:rPr>
        <w:t xml:space="preserve"> </w:t>
      </w:r>
      <w:r w:rsidRPr="5E5DEAB0">
        <w:rPr>
          <w:rFonts w:asciiTheme="majorHAnsi" w:hAnsiTheme="majorHAnsi" w:cstheme="majorBidi"/>
        </w:rPr>
        <w:t>Any data that indicate an interim review</w:t>
      </w:r>
      <w:r w:rsidRPr="5E5DEAB0">
        <w:rPr>
          <w:rFonts w:asciiTheme="majorHAnsi" w:hAnsiTheme="majorHAnsi" w:cstheme="majorBidi"/>
          <w:spacing w:val="-1"/>
        </w:rPr>
        <w:t xml:space="preserve"> </w:t>
      </w:r>
      <w:r w:rsidRPr="5E5DEAB0">
        <w:rPr>
          <w:rFonts w:asciiTheme="majorHAnsi" w:hAnsiTheme="majorHAnsi" w:cstheme="majorBidi"/>
        </w:rPr>
        <w:t>of a</w:t>
      </w:r>
      <w:r w:rsidRPr="5E5DEAB0">
        <w:rPr>
          <w:rFonts w:asciiTheme="majorHAnsi" w:hAnsiTheme="majorHAnsi" w:cstheme="majorBidi"/>
          <w:spacing w:val="-2"/>
        </w:rPr>
        <w:t xml:space="preserve"> </w:t>
      </w:r>
      <w:r w:rsidRPr="5E5DEAB0">
        <w:rPr>
          <w:rFonts w:asciiTheme="majorHAnsi" w:hAnsiTheme="majorHAnsi" w:cstheme="majorBidi"/>
        </w:rPr>
        <w:t>Sponsoring Organization may</w:t>
      </w:r>
      <w:r w:rsidRPr="5E5DEAB0">
        <w:rPr>
          <w:rFonts w:asciiTheme="majorHAnsi" w:hAnsiTheme="majorHAnsi" w:cstheme="majorBidi"/>
          <w:spacing w:val="-3"/>
        </w:rPr>
        <w:t xml:space="preserve"> </w:t>
      </w:r>
      <w:r w:rsidRPr="5E5DEAB0">
        <w:rPr>
          <w:rFonts w:asciiTheme="majorHAnsi" w:hAnsiTheme="majorHAnsi" w:cstheme="majorBidi"/>
        </w:rPr>
        <w:t>be warranted. Data submitted annually to DESE</w:t>
      </w:r>
      <w:r w:rsidRPr="5E5DEAB0">
        <w:rPr>
          <w:rFonts w:asciiTheme="majorHAnsi" w:hAnsiTheme="majorHAnsi" w:cstheme="majorBidi"/>
          <w:spacing w:val="-2"/>
        </w:rPr>
        <w:t xml:space="preserve"> </w:t>
      </w:r>
      <w:r w:rsidRPr="5E5DEAB0">
        <w:rPr>
          <w:rFonts w:asciiTheme="majorHAnsi" w:hAnsiTheme="majorHAnsi" w:cstheme="majorBidi"/>
        </w:rPr>
        <w:t>by Sponsoring Organizations</w:t>
      </w:r>
      <w:r w:rsidRPr="5E5DEAB0">
        <w:rPr>
          <w:rFonts w:asciiTheme="majorHAnsi" w:hAnsiTheme="majorHAnsi" w:cstheme="majorBidi"/>
          <w:spacing w:val="-2"/>
        </w:rPr>
        <w:t xml:space="preserve"> </w:t>
      </w:r>
      <w:r w:rsidRPr="5E5DEAB0">
        <w:rPr>
          <w:rFonts w:asciiTheme="majorHAnsi" w:hAnsiTheme="majorHAnsi" w:cstheme="majorBidi"/>
        </w:rPr>
        <w:t>or collected</w:t>
      </w:r>
      <w:r w:rsidRPr="5E5DEAB0">
        <w:rPr>
          <w:rFonts w:asciiTheme="majorHAnsi" w:hAnsiTheme="majorHAnsi" w:cstheme="majorBidi"/>
          <w:spacing w:val="-1"/>
        </w:rPr>
        <w:t xml:space="preserve"> </w:t>
      </w:r>
      <w:r w:rsidRPr="5E5DEAB0">
        <w:rPr>
          <w:rFonts w:asciiTheme="majorHAnsi" w:hAnsiTheme="majorHAnsi" w:cstheme="majorBidi"/>
        </w:rPr>
        <w:t>by DESE from</w:t>
      </w:r>
      <w:r w:rsidRPr="5E5DEAB0">
        <w:rPr>
          <w:rFonts w:asciiTheme="majorHAnsi" w:hAnsiTheme="majorHAnsi" w:cstheme="majorBidi"/>
          <w:spacing w:val="-4"/>
        </w:rPr>
        <w:t xml:space="preserve"> </w:t>
      </w:r>
      <w:r w:rsidRPr="5E5DEAB0">
        <w:rPr>
          <w:rFonts w:asciiTheme="majorHAnsi" w:hAnsiTheme="majorHAnsi" w:cstheme="majorBidi"/>
        </w:rPr>
        <w:t>other</w:t>
      </w:r>
      <w:r w:rsidRPr="5E5DEAB0">
        <w:rPr>
          <w:rFonts w:asciiTheme="majorHAnsi" w:hAnsiTheme="majorHAnsi" w:cstheme="majorBidi"/>
          <w:spacing w:val="-1"/>
        </w:rPr>
        <w:t xml:space="preserve"> </w:t>
      </w:r>
      <w:r w:rsidRPr="5E5DEAB0">
        <w:rPr>
          <w:rFonts w:asciiTheme="majorHAnsi" w:hAnsiTheme="majorHAnsi" w:cstheme="majorBidi"/>
        </w:rPr>
        <w:t>stakeholders</w:t>
      </w:r>
      <w:r w:rsidRPr="5E5DEAB0">
        <w:rPr>
          <w:rFonts w:asciiTheme="majorHAnsi" w:hAnsiTheme="majorHAnsi" w:cstheme="majorBidi"/>
          <w:spacing w:val="-4"/>
        </w:rPr>
        <w:t xml:space="preserve"> </w:t>
      </w:r>
      <w:r w:rsidRPr="5E5DEAB0">
        <w:rPr>
          <w:rFonts w:asciiTheme="majorHAnsi" w:hAnsiTheme="majorHAnsi" w:cstheme="majorBidi"/>
        </w:rPr>
        <w:t>may</w:t>
      </w:r>
      <w:r w:rsidRPr="5E5DEAB0">
        <w:rPr>
          <w:rFonts w:asciiTheme="majorHAnsi" w:hAnsiTheme="majorHAnsi" w:cstheme="majorBidi"/>
          <w:spacing w:val="-2"/>
        </w:rPr>
        <w:t xml:space="preserve"> </w:t>
      </w:r>
      <w:r w:rsidRPr="5E5DEAB0">
        <w:rPr>
          <w:rFonts w:asciiTheme="majorHAnsi" w:hAnsiTheme="majorHAnsi" w:cstheme="majorBidi"/>
        </w:rPr>
        <w:t>trigger</w:t>
      </w:r>
      <w:r w:rsidRPr="5E5DEAB0">
        <w:rPr>
          <w:rFonts w:asciiTheme="majorHAnsi" w:hAnsiTheme="majorHAnsi" w:cstheme="majorBidi"/>
          <w:spacing w:val="-4"/>
        </w:rPr>
        <w:t xml:space="preserve"> </w:t>
      </w:r>
      <w:r w:rsidRPr="5E5DEAB0">
        <w:rPr>
          <w:rFonts w:asciiTheme="majorHAnsi" w:hAnsiTheme="majorHAnsi" w:cstheme="majorBidi"/>
        </w:rPr>
        <w:t>an</w:t>
      </w:r>
      <w:r w:rsidRPr="5E5DEAB0">
        <w:rPr>
          <w:rFonts w:asciiTheme="majorHAnsi" w:hAnsiTheme="majorHAnsi" w:cstheme="majorBidi"/>
          <w:spacing w:val="-3"/>
        </w:rPr>
        <w:t xml:space="preserve"> </w:t>
      </w:r>
      <w:r w:rsidRPr="5E5DEAB0">
        <w:rPr>
          <w:rFonts w:asciiTheme="majorHAnsi" w:hAnsiTheme="majorHAnsi" w:cstheme="majorBidi"/>
        </w:rPr>
        <w:t>interim</w:t>
      </w:r>
      <w:r w:rsidRPr="5E5DEAB0">
        <w:rPr>
          <w:rFonts w:asciiTheme="majorHAnsi" w:hAnsiTheme="majorHAnsi" w:cstheme="majorBidi"/>
          <w:spacing w:val="-4"/>
        </w:rPr>
        <w:t xml:space="preserve"> </w:t>
      </w:r>
      <w:r w:rsidRPr="5E5DEAB0">
        <w:rPr>
          <w:rFonts w:asciiTheme="majorHAnsi" w:hAnsiTheme="majorHAnsi" w:cstheme="majorBidi"/>
        </w:rPr>
        <w:t>review.</w:t>
      </w:r>
      <w:r w:rsidRPr="5E5DEAB0">
        <w:rPr>
          <w:rFonts w:asciiTheme="majorHAnsi" w:hAnsiTheme="majorHAnsi" w:cstheme="majorBidi"/>
          <w:spacing w:val="-2"/>
        </w:rPr>
        <w:t xml:space="preserve"> </w:t>
      </w:r>
      <w:r w:rsidRPr="5E5DEAB0">
        <w:rPr>
          <w:rFonts w:asciiTheme="majorHAnsi" w:hAnsiTheme="majorHAnsi" w:cstheme="majorBidi"/>
        </w:rPr>
        <w:t>Other</w:t>
      </w:r>
      <w:r w:rsidRPr="5E5DEAB0">
        <w:rPr>
          <w:rFonts w:asciiTheme="majorHAnsi" w:hAnsiTheme="majorHAnsi" w:cstheme="majorBidi"/>
          <w:spacing w:val="-4"/>
        </w:rPr>
        <w:t xml:space="preserve"> </w:t>
      </w:r>
      <w:r w:rsidRPr="5E5DEAB0">
        <w:rPr>
          <w:rFonts w:asciiTheme="majorHAnsi" w:hAnsiTheme="majorHAnsi" w:cstheme="majorBidi"/>
        </w:rPr>
        <w:t>triggering</w:t>
      </w:r>
      <w:r w:rsidRPr="5E5DEAB0">
        <w:rPr>
          <w:rFonts w:asciiTheme="majorHAnsi" w:hAnsiTheme="majorHAnsi" w:cstheme="majorBidi"/>
          <w:spacing w:val="-2"/>
        </w:rPr>
        <w:t xml:space="preserve"> </w:t>
      </w:r>
      <w:r w:rsidRPr="5E5DEAB0">
        <w:rPr>
          <w:rFonts w:asciiTheme="majorHAnsi" w:hAnsiTheme="majorHAnsi" w:cstheme="majorBidi"/>
        </w:rPr>
        <w:t>data</w:t>
      </w:r>
      <w:r w:rsidRPr="5E5DEAB0">
        <w:rPr>
          <w:rFonts w:asciiTheme="majorHAnsi" w:hAnsiTheme="majorHAnsi" w:cstheme="majorBidi"/>
          <w:spacing w:val="-2"/>
        </w:rPr>
        <w:t xml:space="preserve"> </w:t>
      </w:r>
      <w:r w:rsidRPr="5E5DEAB0">
        <w:rPr>
          <w:rFonts w:asciiTheme="majorHAnsi" w:hAnsiTheme="majorHAnsi" w:cstheme="majorBidi"/>
        </w:rPr>
        <w:t>may</w:t>
      </w:r>
      <w:r w:rsidRPr="5E5DEAB0">
        <w:rPr>
          <w:rFonts w:asciiTheme="majorHAnsi" w:hAnsiTheme="majorHAnsi" w:cstheme="majorBidi"/>
          <w:spacing w:val="-2"/>
        </w:rPr>
        <w:t xml:space="preserve"> </w:t>
      </w:r>
      <w:r w:rsidRPr="5E5DEAB0">
        <w:rPr>
          <w:rFonts w:asciiTheme="majorHAnsi" w:hAnsiTheme="majorHAnsi" w:cstheme="majorBidi"/>
        </w:rPr>
        <w:t>include:</w:t>
      </w:r>
      <w:r w:rsidRPr="5E5DEAB0">
        <w:rPr>
          <w:rFonts w:asciiTheme="majorHAnsi" w:hAnsiTheme="majorHAnsi" w:cstheme="majorBidi"/>
          <w:spacing w:val="-1"/>
        </w:rPr>
        <w:t xml:space="preserve"> </w:t>
      </w:r>
      <w:r w:rsidRPr="5E5DEAB0">
        <w:rPr>
          <w:rFonts w:asciiTheme="majorHAnsi" w:hAnsiTheme="majorHAnsi" w:cstheme="majorBidi"/>
        </w:rPr>
        <w:t xml:space="preserve">a high rate of staff or faculty turnover; checks on candidate files that reveal issues; zero program completers for multiple years; offering of large numbers of programs potentially compromising quality for quantity; and </w:t>
      </w:r>
      <w:r w:rsidR="009810BE" w:rsidRPr="5E5DEAB0">
        <w:rPr>
          <w:rFonts w:asciiTheme="majorHAnsi" w:hAnsiTheme="majorHAnsi" w:cstheme="majorBidi"/>
        </w:rPr>
        <w:t>watered-down</w:t>
      </w:r>
      <w:r w:rsidRPr="5E5DEAB0">
        <w:rPr>
          <w:rFonts w:asciiTheme="majorHAnsi" w:hAnsiTheme="majorHAnsi" w:cstheme="majorBidi"/>
        </w:rPr>
        <w:t xml:space="preserve"> general curriculum attempting to appease all potential candidates (large numbers of waivers).</w:t>
      </w:r>
    </w:p>
    <w:p w14:paraId="108EFE52" w14:textId="77777777" w:rsidR="00AE33E0" w:rsidRPr="00437A8B" w:rsidRDefault="00AE33E0" w:rsidP="00437A8B">
      <w:pPr>
        <w:pStyle w:val="BodyText"/>
        <w:spacing w:before="7" w:line="276" w:lineRule="auto"/>
        <w:ind w:left="475" w:hanging="360"/>
        <w:rPr>
          <w:rFonts w:asciiTheme="majorHAnsi" w:hAnsiTheme="majorHAnsi" w:cstheme="majorHAnsi"/>
          <w:szCs w:val="22"/>
        </w:rPr>
      </w:pPr>
    </w:p>
    <w:p w14:paraId="637CAB37" w14:textId="6637CD3B" w:rsidR="00C70A63" w:rsidRPr="00437A8B" w:rsidRDefault="00AE33E0" w:rsidP="00437A8B">
      <w:pPr>
        <w:pStyle w:val="BodyText"/>
        <w:spacing w:line="276" w:lineRule="auto"/>
        <w:ind w:left="475" w:right="126" w:hanging="360"/>
        <w:rPr>
          <w:rFonts w:asciiTheme="majorHAnsi" w:hAnsiTheme="majorHAnsi" w:cstheme="majorBidi"/>
        </w:rPr>
      </w:pPr>
      <w:r w:rsidRPr="5E5DEAB0">
        <w:rPr>
          <w:rFonts w:asciiTheme="majorHAnsi" w:hAnsiTheme="majorHAnsi" w:cstheme="majorBidi"/>
          <w:b/>
        </w:rPr>
        <w:t xml:space="preserve">Waiver </w:t>
      </w:r>
      <w:r w:rsidR="66046670" w:rsidRPr="5E5DEAB0">
        <w:rPr>
          <w:rFonts w:asciiTheme="majorHAnsi" w:hAnsiTheme="majorHAnsi" w:cstheme="majorBidi"/>
          <w:b/>
          <w:bCs/>
        </w:rPr>
        <w:t>p</w:t>
      </w:r>
      <w:r w:rsidRPr="5E5DEAB0">
        <w:rPr>
          <w:rFonts w:asciiTheme="majorHAnsi" w:hAnsiTheme="majorHAnsi" w:cstheme="majorBidi"/>
          <w:b/>
        </w:rPr>
        <w:t xml:space="preserve">olicy: </w:t>
      </w:r>
      <w:r w:rsidRPr="5E5DEAB0">
        <w:rPr>
          <w:rFonts w:asciiTheme="majorHAnsi" w:hAnsiTheme="majorHAnsi" w:cstheme="majorBidi"/>
        </w:rPr>
        <w:t>Regulations state (603 CMR 7.03 (1) (b)): Sponsoring Organizations with approved preparation programs have the authority to review prior course work and work experience</w:t>
      </w:r>
      <w:r w:rsidRPr="5E5DEAB0">
        <w:rPr>
          <w:rFonts w:asciiTheme="majorHAnsi" w:hAnsiTheme="majorHAnsi" w:cstheme="majorBidi"/>
          <w:spacing w:val="-3"/>
        </w:rPr>
        <w:t xml:space="preserve"> </w:t>
      </w:r>
      <w:r w:rsidRPr="5E5DEAB0">
        <w:rPr>
          <w:rFonts w:asciiTheme="majorHAnsi" w:hAnsiTheme="majorHAnsi" w:cstheme="majorBidi"/>
        </w:rPr>
        <w:t>of</w:t>
      </w:r>
      <w:r w:rsidRPr="5E5DEAB0">
        <w:rPr>
          <w:rFonts w:asciiTheme="majorHAnsi" w:hAnsiTheme="majorHAnsi" w:cstheme="majorBidi"/>
          <w:spacing w:val="-2"/>
        </w:rPr>
        <w:t xml:space="preserve"> </w:t>
      </w:r>
      <w:r w:rsidRPr="5E5DEAB0">
        <w:rPr>
          <w:rFonts w:asciiTheme="majorHAnsi" w:hAnsiTheme="majorHAnsi" w:cstheme="majorBidi"/>
        </w:rPr>
        <w:t>their</w:t>
      </w:r>
      <w:r w:rsidRPr="5E5DEAB0">
        <w:rPr>
          <w:rFonts w:asciiTheme="majorHAnsi" w:hAnsiTheme="majorHAnsi" w:cstheme="majorBidi"/>
          <w:spacing w:val="-6"/>
        </w:rPr>
        <w:t xml:space="preserve"> </w:t>
      </w:r>
      <w:r w:rsidRPr="5E5DEAB0">
        <w:rPr>
          <w:rFonts w:asciiTheme="majorHAnsi" w:hAnsiTheme="majorHAnsi" w:cstheme="majorBidi"/>
        </w:rPr>
        <w:t>candidates</w:t>
      </w:r>
      <w:r w:rsidRPr="5E5DEAB0">
        <w:rPr>
          <w:rFonts w:asciiTheme="majorHAnsi" w:hAnsiTheme="majorHAnsi" w:cstheme="majorBidi"/>
          <w:spacing w:val="-6"/>
        </w:rPr>
        <w:t xml:space="preserve"> </w:t>
      </w:r>
      <w:r w:rsidRPr="5E5DEAB0">
        <w:rPr>
          <w:rFonts w:asciiTheme="majorHAnsi" w:hAnsiTheme="majorHAnsi" w:cstheme="majorBidi"/>
        </w:rPr>
        <w:t>and</w:t>
      </w:r>
      <w:r w:rsidRPr="5E5DEAB0">
        <w:rPr>
          <w:rFonts w:asciiTheme="majorHAnsi" w:hAnsiTheme="majorHAnsi" w:cstheme="majorBidi"/>
          <w:spacing w:val="-2"/>
        </w:rPr>
        <w:t xml:space="preserve"> </w:t>
      </w:r>
      <w:r w:rsidRPr="5E5DEAB0">
        <w:rPr>
          <w:rFonts w:asciiTheme="majorHAnsi" w:hAnsiTheme="majorHAnsi" w:cstheme="majorBidi"/>
        </w:rPr>
        <w:t>waive</w:t>
      </w:r>
      <w:r w:rsidRPr="5E5DEAB0">
        <w:rPr>
          <w:rFonts w:asciiTheme="majorHAnsi" w:hAnsiTheme="majorHAnsi" w:cstheme="majorBidi"/>
          <w:spacing w:val="-3"/>
        </w:rPr>
        <w:t xml:space="preserve"> </w:t>
      </w:r>
      <w:r w:rsidRPr="5E5DEAB0">
        <w:rPr>
          <w:rFonts w:asciiTheme="majorHAnsi" w:hAnsiTheme="majorHAnsi" w:cstheme="majorBidi"/>
        </w:rPr>
        <w:t>otherwise</w:t>
      </w:r>
      <w:r w:rsidRPr="5E5DEAB0">
        <w:rPr>
          <w:rFonts w:asciiTheme="majorHAnsi" w:hAnsiTheme="majorHAnsi" w:cstheme="majorBidi"/>
          <w:spacing w:val="-3"/>
        </w:rPr>
        <w:t xml:space="preserve"> </w:t>
      </w:r>
      <w:r w:rsidRPr="5E5DEAB0">
        <w:rPr>
          <w:rFonts w:asciiTheme="majorHAnsi" w:hAnsiTheme="majorHAnsi" w:cstheme="majorBidi"/>
        </w:rPr>
        <w:t>required</w:t>
      </w:r>
      <w:r w:rsidRPr="5E5DEAB0">
        <w:rPr>
          <w:rFonts w:asciiTheme="majorHAnsi" w:hAnsiTheme="majorHAnsi" w:cstheme="majorBidi"/>
          <w:spacing w:val="-2"/>
        </w:rPr>
        <w:t xml:space="preserve"> </w:t>
      </w:r>
      <w:r w:rsidRPr="5E5DEAB0">
        <w:rPr>
          <w:rFonts w:asciiTheme="majorHAnsi" w:hAnsiTheme="majorHAnsi" w:cstheme="majorBidi"/>
        </w:rPr>
        <w:t>course</w:t>
      </w:r>
      <w:r w:rsidRPr="5E5DEAB0">
        <w:rPr>
          <w:rFonts w:asciiTheme="majorHAnsi" w:hAnsiTheme="majorHAnsi" w:cstheme="majorBidi"/>
          <w:spacing w:val="-3"/>
        </w:rPr>
        <w:t xml:space="preserve"> </w:t>
      </w:r>
      <w:r w:rsidRPr="5E5DEAB0">
        <w:rPr>
          <w:rFonts w:asciiTheme="majorHAnsi" w:hAnsiTheme="majorHAnsi" w:cstheme="majorBidi"/>
        </w:rPr>
        <w:t>work,</w:t>
      </w:r>
      <w:r w:rsidRPr="5E5DEAB0">
        <w:rPr>
          <w:rFonts w:asciiTheme="majorHAnsi" w:hAnsiTheme="majorHAnsi" w:cstheme="majorBidi"/>
          <w:spacing w:val="-6"/>
        </w:rPr>
        <w:t xml:space="preserve"> </w:t>
      </w:r>
      <w:r w:rsidRPr="5E5DEAB0">
        <w:rPr>
          <w:rFonts w:asciiTheme="majorHAnsi" w:hAnsiTheme="majorHAnsi" w:cstheme="majorBidi"/>
        </w:rPr>
        <w:t>including</w:t>
      </w:r>
      <w:r w:rsidRPr="5E5DEAB0">
        <w:rPr>
          <w:rFonts w:asciiTheme="majorHAnsi" w:hAnsiTheme="majorHAnsi" w:cstheme="majorBidi"/>
          <w:spacing w:val="-6"/>
        </w:rPr>
        <w:t xml:space="preserve"> </w:t>
      </w:r>
      <w:r w:rsidRPr="5E5DEAB0">
        <w:rPr>
          <w:rFonts w:asciiTheme="majorHAnsi" w:hAnsiTheme="majorHAnsi" w:cstheme="majorBidi"/>
        </w:rPr>
        <w:t>the</w:t>
      </w:r>
      <w:r w:rsidRPr="5E5DEAB0">
        <w:rPr>
          <w:rFonts w:asciiTheme="majorHAnsi" w:hAnsiTheme="majorHAnsi" w:cstheme="majorBidi"/>
          <w:spacing w:val="-3"/>
        </w:rPr>
        <w:t xml:space="preserve"> </w:t>
      </w:r>
      <w:r w:rsidRPr="5E5DEAB0">
        <w:rPr>
          <w:rFonts w:asciiTheme="majorHAnsi" w:hAnsiTheme="majorHAnsi" w:cstheme="majorBidi"/>
        </w:rPr>
        <w:t>first half of the practicum or practicum equivalent, when designing programs of study for them. Granting such waivers is the official responsibility of the Sponsoring Organization. Records</w:t>
      </w:r>
      <w:r w:rsidRPr="5E5DEAB0">
        <w:rPr>
          <w:rFonts w:asciiTheme="majorHAnsi" w:hAnsiTheme="majorHAnsi" w:cstheme="majorBidi"/>
          <w:spacing w:val="40"/>
        </w:rPr>
        <w:t xml:space="preserve"> </w:t>
      </w:r>
      <w:r w:rsidRPr="5E5DEAB0">
        <w:rPr>
          <w:rFonts w:asciiTheme="majorHAnsi" w:hAnsiTheme="majorHAnsi" w:cstheme="majorBidi"/>
        </w:rPr>
        <w:t>of candidates for whom coursework or other program requirements have been waived</w:t>
      </w:r>
      <w:r w:rsidRPr="5E5DEAB0">
        <w:rPr>
          <w:rFonts w:asciiTheme="majorHAnsi" w:hAnsiTheme="majorHAnsi" w:cstheme="majorBidi"/>
          <w:spacing w:val="40"/>
        </w:rPr>
        <w:t xml:space="preserve"> </w:t>
      </w:r>
      <w:r w:rsidRPr="5E5DEAB0">
        <w:rPr>
          <w:rFonts w:asciiTheme="majorHAnsi" w:hAnsiTheme="majorHAnsi" w:cstheme="majorBidi"/>
        </w:rPr>
        <w:t xml:space="preserve">must be available during onsite review. For more information, see </w:t>
      </w:r>
      <w:r w:rsidRPr="5E5DEAB0">
        <w:rPr>
          <w:rFonts w:asciiTheme="majorHAnsi" w:hAnsiTheme="majorHAnsi" w:cstheme="majorBidi"/>
          <w:color w:val="0000FF"/>
          <w:u w:val="single" w:color="0000FF"/>
        </w:rPr>
        <w:t>Implementation of</w:t>
      </w:r>
      <w:r w:rsidRPr="5E5DEAB0">
        <w:rPr>
          <w:rFonts w:asciiTheme="majorHAnsi" w:hAnsiTheme="majorHAnsi" w:cstheme="majorBidi"/>
          <w:color w:val="0000FF"/>
        </w:rPr>
        <w:t xml:space="preserve"> </w:t>
      </w:r>
      <w:r w:rsidRPr="5E5DEAB0">
        <w:rPr>
          <w:rFonts w:asciiTheme="majorHAnsi" w:hAnsiTheme="majorHAnsi" w:cstheme="majorBidi"/>
          <w:color w:val="0000FF"/>
          <w:u w:val="single" w:color="0000FF"/>
        </w:rPr>
        <w:t>Waivers in Approved Programs</w:t>
      </w:r>
      <w:r w:rsidRPr="5E5DEAB0">
        <w:rPr>
          <w:rFonts w:asciiTheme="majorHAnsi" w:hAnsiTheme="majorHAnsi" w:cstheme="majorBidi"/>
          <w:color w:val="0000FF"/>
        </w:rPr>
        <w:t xml:space="preserve"> </w:t>
      </w:r>
      <w:r w:rsidRPr="5E5DEAB0">
        <w:rPr>
          <w:rFonts w:asciiTheme="majorHAnsi" w:hAnsiTheme="majorHAnsi" w:cstheme="majorBidi"/>
        </w:rPr>
        <w:t>section.</w:t>
      </w:r>
    </w:p>
    <w:bookmarkEnd w:id="132"/>
    <w:p w14:paraId="286A23D2" w14:textId="41EE7E82" w:rsidR="006469B6" w:rsidRPr="00E44315" w:rsidRDefault="006469B6" w:rsidP="00277305">
      <w:pPr>
        <w:spacing w:line="240" w:lineRule="auto"/>
        <w:ind w:right="60"/>
        <w:textAlignment w:val="baseline"/>
        <w:rPr>
          <w:rFonts w:eastAsia="Times New Roman" w:cstheme="majorHAnsi"/>
        </w:rPr>
      </w:pPr>
    </w:p>
    <w:sectPr w:rsidR="006469B6" w:rsidRPr="00E44315" w:rsidSect="00E76E23">
      <w:headerReference w:type="even" r:id="rId108"/>
      <w:headerReference w:type="default" r:id="rId109"/>
      <w:footerReference w:type="default" r:id="rId110"/>
      <w:headerReference w:type="first" r:id="rId111"/>
      <w:footerReference w:type="first" r:id="rId112"/>
      <w:pgSz w:w="12240" w:h="15840"/>
      <w:pgMar w:top="1170" w:right="1428" w:bottom="1017" w:left="1440" w:header="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119BC" w14:textId="77777777" w:rsidR="002E69EF" w:rsidRDefault="002E69EF">
      <w:pPr>
        <w:spacing w:line="240" w:lineRule="auto"/>
      </w:pPr>
      <w:r>
        <w:separator/>
      </w:r>
    </w:p>
  </w:endnote>
  <w:endnote w:type="continuationSeparator" w:id="0">
    <w:p w14:paraId="31238103" w14:textId="77777777" w:rsidR="002E69EF" w:rsidRDefault="002E69EF">
      <w:pPr>
        <w:spacing w:line="240" w:lineRule="auto"/>
      </w:pPr>
      <w:r>
        <w:continuationSeparator/>
      </w:r>
    </w:p>
  </w:endnote>
  <w:endnote w:type="continuationNotice" w:id="1">
    <w:p w14:paraId="71F1A690" w14:textId="77777777" w:rsidR="002E69EF" w:rsidRDefault="002E69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529344013"/>
      <w:docPartObj>
        <w:docPartGallery w:val="Page Numbers (Bottom of Page)"/>
        <w:docPartUnique/>
      </w:docPartObj>
    </w:sdtPr>
    <w:sdtEndPr>
      <w:rPr>
        <w:rFonts w:cstheme="majorHAnsi"/>
      </w:rPr>
    </w:sdtEndPr>
    <w:sdtContent>
      <w:p w14:paraId="31717252" w14:textId="505BE3A9" w:rsidR="002C0E48" w:rsidRPr="003D4186" w:rsidRDefault="002C0E48">
        <w:pPr>
          <w:pStyle w:val="Footer"/>
          <w:jc w:val="right"/>
          <w:rPr>
            <w:rFonts w:cstheme="majorHAnsi"/>
            <w:sz w:val="20"/>
            <w:szCs w:val="20"/>
          </w:rPr>
        </w:pPr>
        <w:r w:rsidRPr="003D4186">
          <w:rPr>
            <w:rFonts w:cstheme="majorHAnsi"/>
            <w:sz w:val="20"/>
            <w:szCs w:val="20"/>
          </w:rPr>
          <w:fldChar w:fldCharType="begin"/>
        </w:r>
        <w:r w:rsidRPr="003D4186">
          <w:rPr>
            <w:rFonts w:cstheme="majorHAnsi"/>
            <w:sz w:val="20"/>
            <w:szCs w:val="20"/>
          </w:rPr>
          <w:instrText xml:space="preserve"> PAGE   \* MERGEFORMAT </w:instrText>
        </w:r>
        <w:r w:rsidRPr="003D4186">
          <w:rPr>
            <w:rFonts w:cstheme="majorHAnsi"/>
            <w:sz w:val="20"/>
            <w:szCs w:val="20"/>
          </w:rPr>
          <w:fldChar w:fldCharType="separate"/>
        </w:r>
        <w:r w:rsidRPr="003D4186">
          <w:rPr>
            <w:rFonts w:cstheme="majorHAnsi"/>
            <w:noProof/>
            <w:sz w:val="20"/>
            <w:szCs w:val="20"/>
          </w:rPr>
          <w:t>2</w:t>
        </w:r>
        <w:r w:rsidRPr="003D4186">
          <w:rPr>
            <w:rFonts w:cstheme="majorHAnsi"/>
            <w:noProof/>
            <w:sz w:val="20"/>
            <w:szCs w:val="20"/>
          </w:rPr>
          <w:fldChar w:fldCharType="end"/>
        </w:r>
      </w:p>
    </w:sdtContent>
  </w:sdt>
  <w:p w14:paraId="31EBCDFF" w14:textId="413AF639" w:rsidR="005A16E9" w:rsidRPr="003D4186" w:rsidRDefault="003D4186">
    <w:pPr>
      <w:pStyle w:val="Footer"/>
      <w:rPr>
        <w:rFonts w:cstheme="majorHAnsi"/>
        <w:b/>
        <w:bCs/>
        <w:sz w:val="20"/>
        <w:szCs w:val="20"/>
      </w:rPr>
    </w:pPr>
    <w:r w:rsidRPr="003D4186">
      <w:rPr>
        <w:rFonts w:cstheme="majorHAnsi"/>
        <w:b/>
        <w:bCs/>
        <w:sz w:val="20"/>
        <w:szCs w:val="20"/>
      </w:rPr>
      <w:t>Draft – Winter 2023 Public Comment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E5DEAB0" w14:paraId="1D810A9A" w14:textId="77777777" w:rsidTr="0024720C">
      <w:tc>
        <w:tcPr>
          <w:tcW w:w="3120" w:type="dxa"/>
        </w:tcPr>
        <w:p w14:paraId="6514102C" w14:textId="3285AD94" w:rsidR="5E5DEAB0" w:rsidRDefault="5E5DEAB0" w:rsidP="00ED1C24">
          <w:pPr>
            <w:pStyle w:val="Header"/>
            <w:ind w:left="-115"/>
          </w:pPr>
        </w:p>
      </w:tc>
      <w:tc>
        <w:tcPr>
          <w:tcW w:w="3120" w:type="dxa"/>
        </w:tcPr>
        <w:p w14:paraId="0D203E78" w14:textId="41DC6992" w:rsidR="5E5DEAB0" w:rsidRDefault="5E5DEAB0" w:rsidP="00ED1C24">
          <w:pPr>
            <w:pStyle w:val="Header"/>
            <w:jc w:val="center"/>
          </w:pPr>
        </w:p>
      </w:tc>
      <w:tc>
        <w:tcPr>
          <w:tcW w:w="3120" w:type="dxa"/>
        </w:tcPr>
        <w:p w14:paraId="3983513A" w14:textId="1155F399" w:rsidR="5E5DEAB0" w:rsidRDefault="5E5DEAB0" w:rsidP="00ED1C24">
          <w:pPr>
            <w:pStyle w:val="Header"/>
            <w:ind w:right="-115"/>
            <w:jc w:val="right"/>
          </w:pPr>
        </w:p>
      </w:tc>
    </w:tr>
  </w:tbl>
  <w:p w14:paraId="373F8C17" w14:textId="0B02D823" w:rsidR="00501742" w:rsidRDefault="00501742" w:rsidP="007E2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E8B48" w14:textId="77777777" w:rsidR="002E69EF" w:rsidRDefault="002E69EF">
      <w:pPr>
        <w:spacing w:line="240" w:lineRule="auto"/>
      </w:pPr>
      <w:bookmarkStart w:id="0" w:name="_Hlk126057626"/>
      <w:bookmarkEnd w:id="0"/>
      <w:r>
        <w:separator/>
      </w:r>
    </w:p>
  </w:footnote>
  <w:footnote w:type="continuationSeparator" w:id="0">
    <w:p w14:paraId="4CA5B954" w14:textId="77777777" w:rsidR="002E69EF" w:rsidRDefault="002E69EF">
      <w:pPr>
        <w:spacing w:line="240" w:lineRule="auto"/>
      </w:pPr>
      <w:r>
        <w:continuationSeparator/>
      </w:r>
    </w:p>
  </w:footnote>
  <w:footnote w:type="continuationNotice" w:id="1">
    <w:p w14:paraId="494C5E7D" w14:textId="77777777" w:rsidR="002E69EF" w:rsidRDefault="002E69EF">
      <w:pPr>
        <w:spacing w:line="240" w:lineRule="auto"/>
      </w:pPr>
    </w:p>
  </w:footnote>
  <w:footnote w:id="2">
    <w:p w14:paraId="78541424" w14:textId="64B41560" w:rsidR="60AF0697" w:rsidRPr="00B10631" w:rsidRDefault="60AF0697" w:rsidP="00885AA3">
      <w:pPr>
        <w:spacing w:line="240" w:lineRule="auto"/>
        <w:ind w:left="479" w:hanging="360"/>
        <w:rPr>
          <w:sz w:val="18"/>
          <w:szCs w:val="18"/>
        </w:rPr>
      </w:pPr>
      <w:r w:rsidRPr="00B10631">
        <w:rPr>
          <w:rStyle w:val="FootnoteReference"/>
          <w:rFonts w:cstheme="majorHAnsi"/>
          <w:sz w:val="18"/>
          <w:szCs w:val="18"/>
        </w:rPr>
        <w:footnoteRef/>
      </w:r>
      <w:r w:rsidRPr="00B10631">
        <w:rPr>
          <w:rFonts w:cstheme="majorHAnsi"/>
          <w:sz w:val="18"/>
          <w:szCs w:val="18"/>
        </w:rPr>
        <w:t xml:space="preserve"> </w:t>
      </w:r>
      <w:r w:rsidRPr="00B10631">
        <w:rPr>
          <w:rFonts w:eastAsia="Calibri" w:cstheme="majorHAnsi"/>
          <w:sz w:val="18"/>
          <w:szCs w:val="18"/>
        </w:rPr>
        <w:t>Equity: Exists when one’s identity (including but not limited to race, gender, ethnicity, language, disability and ability) can no longer be used to predict social, economic, and educational outcomes. Enacting steps towards equity means ensuring that opportunities and supports to eliminate bias and structural barriers are operationalized at every level of the education system and society.</w:t>
      </w:r>
    </w:p>
  </w:footnote>
  <w:footnote w:id="3">
    <w:p w14:paraId="40F7ADE1" w14:textId="6BA4FAB5" w:rsidR="004E68EB" w:rsidRPr="00B10631" w:rsidRDefault="004E68EB" w:rsidP="00885AA3">
      <w:pPr>
        <w:pStyle w:val="FootnoteText"/>
        <w:ind w:left="479" w:hanging="360"/>
        <w:rPr>
          <w:rFonts w:cstheme="majorHAnsi"/>
          <w:sz w:val="18"/>
          <w:szCs w:val="18"/>
        </w:rPr>
      </w:pPr>
      <w:r w:rsidRPr="00B10631">
        <w:rPr>
          <w:rStyle w:val="FootnoteReference"/>
          <w:rFonts w:cstheme="majorHAnsi"/>
          <w:sz w:val="18"/>
          <w:szCs w:val="18"/>
        </w:rPr>
        <w:footnoteRef/>
      </w:r>
      <w:r w:rsidRPr="00B10631">
        <w:rPr>
          <w:rFonts w:cstheme="majorHAnsi"/>
          <w:sz w:val="18"/>
          <w:szCs w:val="18"/>
        </w:rPr>
        <w:t xml:space="preserve"> </w:t>
      </w:r>
      <w:r w:rsidRPr="00B10631">
        <w:rPr>
          <w:rFonts w:eastAsia="Calibri" w:cstheme="majorHAnsi"/>
          <w:color w:val="000000" w:themeColor="text1"/>
          <w:sz w:val="18"/>
          <w:szCs w:val="18"/>
        </w:rPr>
        <w:t xml:space="preserve">When used in reference to any group of individuals throughout these Guidelines, “all” represents each and every member of that group, within and across identity groups and backgrounds, with particular focus on those who have been systematically marginalized or underserved by our education systems, including but not limited to those who identify as </w:t>
      </w:r>
      <w:r w:rsidR="007345B4" w:rsidRPr="00B10631">
        <w:rPr>
          <w:rFonts w:eastAsia="Calibri" w:cstheme="majorHAnsi"/>
          <w:color w:val="000000" w:themeColor="text1"/>
          <w:sz w:val="18"/>
          <w:szCs w:val="18"/>
        </w:rPr>
        <w:t>Black, Latinx, Asian, Indigenous, and</w:t>
      </w:r>
      <w:r w:rsidR="00002766" w:rsidRPr="00B10631">
        <w:rPr>
          <w:rFonts w:eastAsia="Calibri" w:cstheme="majorHAnsi"/>
          <w:color w:val="000000" w:themeColor="text1"/>
          <w:sz w:val="18"/>
          <w:szCs w:val="18"/>
        </w:rPr>
        <w:t>/or</w:t>
      </w:r>
      <w:r w:rsidR="007345B4" w:rsidRPr="00B10631">
        <w:rPr>
          <w:rFonts w:eastAsia="Calibri" w:cstheme="majorHAnsi"/>
          <w:color w:val="000000" w:themeColor="text1"/>
          <w:sz w:val="18"/>
          <w:szCs w:val="18"/>
        </w:rPr>
        <w:t xml:space="preserve"> Multiracial.</w:t>
      </w:r>
    </w:p>
  </w:footnote>
  <w:footnote w:id="4">
    <w:p w14:paraId="4A12089E" w14:textId="1C5B5A82" w:rsidR="00723B5E" w:rsidRPr="00633DC4" w:rsidRDefault="00723B5E" w:rsidP="00885AA3">
      <w:pPr>
        <w:pStyle w:val="FootnoteText"/>
        <w:rPr>
          <w:rFonts w:cstheme="majorHAnsi"/>
          <w:sz w:val="18"/>
          <w:szCs w:val="18"/>
        </w:rPr>
      </w:pPr>
      <w:r w:rsidRPr="00633DC4">
        <w:rPr>
          <w:rStyle w:val="FootnoteReference"/>
          <w:rFonts w:cstheme="majorHAnsi"/>
          <w:sz w:val="18"/>
          <w:szCs w:val="18"/>
        </w:rPr>
        <w:footnoteRef/>
      </w:r>
      <w:r w:rsidRPr="00633DC4">
        <w:rPr>
          <w:rFonts w:cstheme="majorHAnsi"/>
          <w:sz w:val="18"/>
          <w:szCs w:val="18"/>
        </w:rPr>
        <w:t xml:space="preserve"> </w:t>
      </w:r>
      <w:r w:rsidRPr="00633DC4">
        <w:rPr>
          <w:rFonts w:eastAsia="Calibri" w:cstheme="majorHAnsi"/>
          <w:color w:val="000000"/>
          <w:sz w:val="18"/>
          <w:szCs w:val="18"/>
        </w:rPr>
        <w:t xml:space="preserve">Massachusetts Educational Equity Partnership, </w:t>
      </w:r>
      <w:hyperlink r:id="rId1" w:history="1">
        <w:r w:rsidRPr="00633DC4">
          <w:rPr>
            <w:rStyle w:val="Hyperlink"/>
            <w:rFonts w:eastAsia="Calibri" w:cstheme="majorHAnsi"/>
            <w:sz w:val="18"/>
            <w:szCs w:val="18"/>
          </w:rPr>
          <w:t xml:space="preserve">Number One </w:t>
        </w:r>
        <w:r w:rsidR="002E7F08" w:rsidRPr="00633DC4">
          <w:rPr>
            <w:rStyle w:val="Hyperlink"/>
            <w:rFonts w:eastAsia="Calibri" w:cstheme="majorHAnsi"/>
            <w:sz w:val="18"/>
            <w:szCs w:val="18"/>
          </w:rPr>
          <w:t>f</w:t>
        </w:r>
        <w:r w:rsidRPr="00633DC4">
          <w:rPr>
            <w:rStyle w:val="Hyperlink"/>
            <w:rFonts w:eastAsia="Calibri" w:cstheme="majorHAnsi"/>
            <w:sz w:val="18"/>
            <w:szCs w:val="18"/>
          </w:rPr>
          <w:t>or Some</w:t>
        </w:r>
      </w:hyperlink>
      <w:r w:rsidRPr="00633DC4">
        <w:rPr>
          <w:rFonts w:eastAsia="Calibri" w:cstheme="majorHAnsi"/>
          <w:color w:val="000000"/>
          <w:sz w:val="18"/>
          <w:szCs w:val="18"/>
        </w:rPr>
        <w:t>, 2018</w:t>
      </w:r>
    </w:p>
  </w:footnote>
  <w:footnote w:id="5">
    <w:p w14:paraId="57917AEA" w14:textId="601D9ABF" w:rsidR="006036E3" w:rsidRPr="00633DC4" w:rsidRDefault="006036E3" w:rsidP="00885AA3">
      <w:pPr>
        <w:pStyle w:val="NormalWeb"/>
        <w:spacing w:before="0" w:beforeAutospacing="0" w:after="0" w:afterAutospacing="0"/>
        <w:ind w:left="567" w:hanging="567"/>
        <w:rPr>
          <w:rFonts w:asciiTheme="majorHAnsi" w:hAnsiTheme="majorHAnsi" w:cstheme="majorHAnsi"/>
          <w:sz w:val="18"/>
          <w:szCs w:val="18"/>
        </w:rPr>
      </w:pPr>
      <w:r w:rsidRPr="00633DC4">
        <w:rPr>
          <w:rStyle w:val="FootnoteReference"/>
          <w:rFonts w:asciiTheme="majorHAnsi" w:hAnsiTheme="majorHAnsi" w:cstheme="majorHAnsi"/>
          <w:sz w:val="18"/>
          <w:szCs w:val="18"/>
        </w:rPr>
        <w:footnoteRef/>
      </w:r>
      <w:r w:rsidRPr="00633DC4">
        <w:rPr>
          <w:rFonts w:asciiTheme="majorHAnsi" w:hAnsiTheme="majorHAnsi" w:cstheme="majorHAnsi"/>
          <w:sz w:val="18"/>
          <w:szCs w:val="18"/>
        </w:rPr>
        <w:t xml:space="preserve"> Hosp, John L. “</w:t>
      </w:r>
      <w:hyperlink r:id="rId2" w:history="1">
        <w:r w:rsidRPr="00633DC4">
          <w:rPr>
            <w:rStyle w:val="Hyperlink"/>
            <w:rFonts w:asciiTheme="majorHAnsi" w:hAnsiTheme="majorHAnsi" w:cstheme="majorHAnsi"/>
            <w:sz w:val="18"/>
            <w:szCs w:val="18"/>
          </w:rPr>
          <w:t>Response to Intervention and the Disproportionate Representation of Culturally and Linguistically Diverse Students in Special Education</w:t>
        </w:r>
      </w:hyperlink>
      <w:r w:rsidRPr="00633DC4">
        <w:rPr>
          <w:rFonts w:asciiTheme="majorHAnsi" w:hAnsiTheme="majorHAnsi" w:cstheme="majorHAnsi"/>
          <w:sz w:val="18"/>
          <w:szCs w:val="18"/>
        </w:rPr>
        <w:t xml:space="preserve">.” </w:t>
      </w:r>
      <w:r w:rsidRPr="00633DC4">
        <w:rPr>
          <w:rFonts w:asciiTheme="majorHAnsi" w:hAnsiTheme="majorHAnsi" w:cstheme="majorHAnsi"/>
          <w:i/>
          <w:iCs/>
          <w:sz w:val="18"/>
          <w:szCs w:val="18"/>
        </w:rPr>
        <w:t>Representation of Diverse Students in Special Education | RTI Action Network</w:t>
      </w:r>
      <w:r w:rsidRPr="00633DC4">
        <w:rPr>
          <w:rFonts w:asciiTheme="majorHAnsi" w:hAnsiTheme="majorHAnsi" w:cstheme="majorHAnsi"/>
          <w:sz w:val="18"/>
          <w:szCs w:val="18"/>
        </w:rPr>
        <w:t>, RTI Action Network</w:t>
      </w:r>
      <w:r w:rsidR="00713A61" w:rsidRPr="00633DC4">
        <w:rPr>
          <w:rFonts w:asciiTheme="majorHAnsi" w:hAnsiTheme="majorHAnsi" w:cstheme="majorHAnsi"/>
          <w:sz w:val="18"/>
          <w:szCs w:val="18"/>
        </w:rPr>
        <w:t>.</w:t>
      </w:r>
    </w:p>
  </w:footnote>
  <w:footnote w:id="6">
    <w:p w14:paraId="721A02A1" w14:textId="5FA6441D" w:rsidR="00B85EEC" w:rsidRPr="00B10631" w:rsidRDefault="00B85EEC" w:rsidP="00885AA3">
      <w:pPr>
        <w:pStyle w:val="FootnoteText"/>
        <w:rPr>
          <w:rFonts w:cstheme="majorHAnsi"/>
          <w:sz w:val="18"/>
          <w:szCs w:val="18"/>
        </w:rPr>
      </w:pPr>
      <w:r w:rsidRPr="00633DC4">
        <w:rPr>
          <w:rStyle w:val="FootnoteReference"/>
          <w:rFonts w:cstheme="majorHAnsi"/>
          <w:sz w:val="18"/>
          <w:szCs w:val="18"/>
        </w:rPr>
        <w:footnoteRef/>
      </w:r>
      <w:r w:rsidRPr="008A4989">
        <w:rPr>
          <w:rFonts w:cstheme="majorHAnsi"/>
          <w:sz w:val="18"/>
          <w:szCs w:val="18"/>
          <w:lang w:val="es-ES"/>
        </w:rPr>
        <w:t xml:space="preserve"> Jiménez-Castellanos, O., &amp; García, E. (2017). </w:t>
      </w:r>
      <w:hyperlink r:id="rId3" w:history="1">
        <w:r w:rsidRPr="00633DC4">
          <w:rPr>
            <w:rStyle w:val="Hyperlink"/>
            <w:rFonts w:cstheme="majorHAnsi"/>
            <w:sz w:val="18"/>
            <w:szCs w:val="18"/>
          </w:rPr>
          <w:t>Intersection of Language, Class, Ethnicity, and Policy: Toward Disrupting Inequality for English Language Learners</w:t>
        </w:r>
      </w:hyperlink>
      <w:r w:rsidRPr="00633DC4">
        <w:rPr>
          <w:rFonts w:cstheme="majorHAnsi"/>
          <w:sz w:val="18"/>
          <w:szCs w:val="18"/>
        </w:rPr>
        <w:t>. Review of Research in Education, 41(1), 428–452.</w:t>
      </w:r>
      <w:r w:rsidRPr="00B10631">
        <w:rPr>
          <w:rFonts w:cstheme="majorHAnsi"/>
          <w:sz w:val="18"/>
          <w:szCs w:val="18"/>
        </w:rPr>
        <w:t xml:space="preserve"> </w:t>
      </w:r>
    </w:p>
  </w:footnote>
  <w:footnote w:id="7">
    <w:p w14:paraId="0D66B08D" w14:textId="77777777" w:rsidR="006469B6" w:rsidRPr="00B10631" w:rsidRDefault="006469B6" w:rsidP="006469B6">
      <w:pPr>
        <w:rPr>
          <w:sz w:val="18"/>
          <w:szCs w:val="18"/>
        </w:rPr>
      </w:pPr>
      <w:r w:rsidRPr="00B10631">
        <w:rPr>
          <w:rStyle w:val="FootnoteReference"/>
          <w:sz w:val="18"/>
          <w:szCs w:val="18"/>
        </w:rPr>
        <w:footnoteRef/>
      </w:r>
      <w:r w:rsidRPr="00B10631">
        <w:rPr>
          <w:sz w:val="18"/>
          <w:szCs w:val="18"/>
        </w:rPr>
        <w:t xml:space="preserve"> </w:t>
      </w:r>
      <w:r w:rsidRPr="00B10631">
        <w:rPr>
          <w:rFonts w:ascii="Calibri" w:eastAsia="Calibri" w:hAnsi="Calibri" w:cs="Calibri"/>
          <w:color w:val="000000" w:themeColor="text1"/>
          <w:sz w:val="18"/>
          <w:szCs w:val="18"/>
        </w:rPr>
        <w:t>According to evidence from Massachusetts and nationally:</w:t>
      </w:r>
    </w:p>
    <w:p w14:paraId="378FCE84" w14:textId="4649853F" w:rsidR="006469B6" w:rsidRPr="00B10631" w:rsidRDefault="006469B6" w:rsidP="000E41AB">
      <w:pPr>
        <w:pStyle w:val="ListParagraph"/>
        <w:numPr>
          <w:ilvl w:val="0"/>
          <w:numId w:val="4"/>
        </w:numPr>
        <w:spacing w:after="160"/>
        <w:rPr>
          <w:rFonts w:eastAsiaTheme="minorEastAsia"/>
          <w:color w:val="000000" w:themeColor="text1"/>
          <w:sz w:val="18"/>
          <w:szCs w:val="18"/>
        </w:rPr>
      </w:pPr>
      <w:r w:rsidRPr="00B10631">
        <w:rPr>
          <w:rFonts w:ascii="Calibri" w:eastAsia="Calibri" w:hAnsi="Calibri" w:cs="Calibri"/>
          <w:color w:val="000000" w:themeColor="text1"/>
          <w:sz w:val="18"/>
          <w:szCs w:val="18"/>
        </w:rPr>
        <w:t xml:space="preserve">Student teachers are </w:t>
      </w:r>
      <w:r w:rsidRPr="00B10631">
        <w:rPr>
          <w:rFonts w:ascii="Calibri" w:eastAsia="Calibri" w:hAnsi="Calibri" w:cs="Calibri"/>
          <w:color w:val="0000FF"/>
          <w:sz w:val="18"/>
          <w:szCs w:val="18"/>
          <w:u w:val="single"/>
        </w:rPr>
        <w:t>more likely to teach where they complete their practicum</w:t>
      </w:r>
      <w:r w:rsidRPr="00B10631">
        <w:rPr>
          <w:rFonts w:ascii="Calibri" w:eastAsia="Calibri" w:hAnsi="Calibri" w:cs="Calibri"/>
          <w:color w:val="000000" w:themeColor="text1"/>
          <w:sz w:val="18"/>
          <w:szCs w:val="18"/>
        </w:rPr>
        <w:t xml:space="preserve"> </w:t>
      </w:r>
      <w:r w:rsidR="00AF61DC">
        <w:rPr>
          <w:rFonts w:ascii="Calibri" w:eastAsia="Calibri" w:hAnsi="Calibri" w:cs="Calibri"/>
          <w:color w:val="000000" w:themeColor="text1"/>
          <w:sz w:val="18"/>
          <w:szCs w:val="18"/>
        </w:rPr>
        <w:t xml:space="preserve">(Krieg, et al., </w:t>
      </w:r>
      <w:r w:rsidR="00E66AE3">
        <w:rPr>
          <w:rFonts w:ascii="Calibri" w:eastAsia="Calibri" w:hAnsi="Calibri" w:cs="Calibri"/>
          <w:color w:val="000000" w:themeColor="text1"/>
          <w:sz w:val="18"/>
          <w:szCs w:val="18"/>
        </w:rPr>
        <w:t>2016)</w:t>
      </w:r>
      <w:r w:rsidR="00AC39F4">
        <w:rPr>
          <w:rFonts w:ascii="Calibri" w:eastAsia="Calibri" w:hAnsi="Calibri" w:cs="Calibri"/>
          <w:color w:val="000000" w:themeColor="text1"/>
          <w:sz w:val="18"/>
          <w:szCs w:val="18"/>
        </w:rPr>
        <w:t xml:space="preserve">, and </w:t>
      </w:r>
      <w:r w:rsidR="00F646DB">
        <w:rPr>
          <w:rFonts w:ascii="Calibri" w:eastAsia="Calibri" w:hAnsi="Calibri" w:cs="Calibri"/>
          <w:color w:val="000000" w:themeColor="text1"/>
          <w:sz w:val="18"/>
          <w:szCs w:val="18"/>
        </w:rPr>
        <w:t>prospective teachers of color are more likely to teach</w:t>
      </w:r>
      <w:r w:rsidR="004321FD">
        <w:rPr>
          <w:rFonts w:ascii="Calibri" w:eastAsia="Calibri" w:hAnsi="Calibri" w:cs="Calibri"/>
          <w:color w:val="000000" w:themeColor="text1"/>
          <w:sz w:val="18"/>
          <w:szCs w:val="18"/>
        </w:rPr>
        <w:t xml:space="preserve"> close to their hometown (Rucinski, </w:t>
      </w:r>
      <w:r w:rsidR="004321FD">
        <w:rPr>
          <w:rFonts w:ascii="Calibri" w:eastAsia="Calibri" w:hAnsi="Calibri" w:cs="Calibri"/>
          <w:i/>
          <w:iCs/>
          <w:color w:val="000000" w:themeColor="text1"/>
          <w:sz w:val="18"/>
          <w:szCs w:val="18"/>
        </w:rPr>
        <w:t>pending</w:t>
      </w:r>
      <w:r w:rsidR="004321FD">
        <w:rPr>
          <w:rFonts w:ascii="Calibri" w:eastAsia="Calibri" w:hAnsi="Calibri" w:cs="Calibri"/>
          <w:color w:val="000000" w:themeColor="text1"/>
          <w:sz w:val="18"/>
          <w:szCs w:val="18"/>
        </w:rPr>
        <w:t>)</w:t>
      </w:r>
      <w:r w:rsidRPr="00B10631">
        <w:rPr>
          <w:rFonts w:ascii="Calibri" w:eastAsia="Calibri" w:hAnsi="Calibri" w:cs="Calibri"/>
          <w:color w:val="000000" w:themeColor="text1"/>
          <w:sz w:val="18"/>
          <w:szCs w:val="18"/>
        </w:rPr>
        <w:t xml:space="preserve"> creating a natural pipeline between student teaching placement and district employment. </w:t>
      </w:r>
    </w:p>
    <w:p w14:paraId="22F267C2" w14:textId="03B00187" w:rsidR="006469B6" w:rsidRPr="00B10631" w:rsidRDefault="006469B6" w:rsidP="000E41AB">
      <w:pPr>
        <w:pStyle w:val="ListParagraph"/>
        <w:numPr>
          <w:ilvl w:val="0"/>
          <w:numId w:val="4"/>
        </w:numPr>
        <w:spacing w:after="160"/>
        <w:rPr>
          <w:rFonts w:eastAsiaTheme="minorEastAsia"/>
          <w:color w:val="000000" w:themeColor="text1"/>
          <w:sz w:val="18"/>
          <w:szCs w:val="18"/>
        </w:rPr>
      </w:pPr>
      <w:r w:rsidRPr="00B10631">
        <w:rPr>
          <w:rFonts w:ascii="Calibri" w:eastAsia="Calibri" w:hAnsi="Calibri" w:cs="Calibri"/>
          <w:color w:val="000000" w:themeColor="text1"/>
          <w:sz w:val="18"/>
          <w:szCs w:val="18"/>
        </w:rPr>
        <w:t>Student teachers who complete their practicum in urban settings are more likely to stay in urban schools once employed, combating the higher rates of teacher turnover that persist in these districts</w:t>
      </w:r>
      <w:r w:rsidR="004A43DB">
        <w:rPr>
          <w:rFonts w:ascii="Calibri" w:eastAsia="Calibri" w:hAnsi="Calibri" w:cs="Calibri"/>
          <w:color w:val="000000" w:themeColor="text1"/>
          <w:sz w:val="18"/>
          <w:szCs w:val="18"/>
        </w:rPr>
        <w:t xml:space="preserve"> (Goldhaber, et al., </w:t>
      </w:r>
      <w:r w:rsidR="00DA3B77">
        <w:rPr>
          <w:rFonts w:ascii="Calibri" w:eastAsia="Calibri" w:hAnsi="Calibri" w:cs="Calibri"/>
          <w:color w:val="000000" w:themeColor="text1"/>
          <w:sz w:val="18"/>
          <w:szCs w:val="18"/>
        </w:rPr>
        <w:t>2020</w:t>
      </w:r>
      <w:r w:rsidR="00106B63">
        <w:rPr>
          <w:rFonts w:ascii="Calibri" w:eastAsia="Calibri" w:hAnsi="Calibri" w:cs="Calibri"/>
          <w:color w:val="000000" w:themeColor="text1"/>
          <w:sz w:val="18"/>
          <w:szCs w:val="18"/>
        </w:rPr>
        <w:t>a</w:t>
      </w:r>
      <w:r w:rsidR="004A43DB">
        <w:rPr>
          <w:rFonts w:ascii="Calibri" w:eastAsia="Calibri" w:hAnsi="Calibri" w:cs="Calibri"/>
          <w:color w:val="000000" w:themeColor="text1"/>
          <w:sz w:val="18"/>
          <w:szCs w:val="18"/>
        </w:rPr>
        <w:t>)</w:t>
      </w:r>
      <w:r w:rsidRPr="00B10631">
        <w:rPr>
          <w:rFonts w:ascii="Calibri" w:eastAsia="Calibri" w:hAnsi="Calibri" w:cs="Calibri"/>
          <w:color w:val="000000" w:themeColor="text1"/>
          <w:sz w:val="18"/>
          <w:szCs w:val="18"/>
        </w:rPr>
        <w:t>.</w:t>
      </w:r>
    </w:p>
    <w:p w14:paraId="48835418" w14:textId="77777777" w:rsidR="006469B6" w:rsidRPr="00B10631" w:rsidRDefault="006469B6" w:rsidP="000E41AB">
      <w:pPr>
        <w:pStyle w:val="ListParagraph"/>
        <w:numPr>
          <w:ilvl w:val="0"/>
          <w:numId w:val="4"/>
        </w:numPr>
        <w:spacing w:after="160"/>
        <w:rPr>
          <w:rFonts w:eastAsiaTheme="minorEastAsia"/>
          <w:color w:val="000000" w:themeColor="text1"/>
          <w:sz w:val="18"/>
          <w:szCs w:val="18"/>
        </w:rPr>
      </w:pPr>
      <w:r w:rsidRPr="00B10631">
        <w:rPr>
          <w:rFonts w:ascii="Calibri" w:eastAsia="Calibri" w:hAnsi="Calibri" w:cs="Calibri"/>
          <w:color w:val="000000" w:themeColor="text1"/>
          <w:sz w:val="18"/>
          <w:szCs w:val="18"/>
        </w:rPr>
        <w:t>Partnerships between districts and educator preparation organizations can result in the development and placement of more effective teachers in the often hard-to-staff roles.</w:t>
      </w:r>
    </w:p>
    <w:p w14:paraId="713DF5A8" w14:textId="0E377332" w:rsidR="006469B6" w:rsidRPr="00B10631" w:rsidRDefault="004953FC" w:rsidP="000E41AB">
      <w:pPr>
        <w:pStyle w:val="ListParagraph"/>
        <w:numPr>
          <w:ilvl w:val="0"/>
          <w:numId w:val="4"/>
        </w:numPr>
        <w:spacing w:after="160"/>
        <w:rPr>
          <w:sz w:val="18"/>
          <w:szCs w:val="18"/>
        </w:rPr>
      </w:pPr>
      <w:r>
        <w:rPr>
          <w:rFonts w:ascii="Calibri" w:eastAsia="Calibri" w:hAnsi="Calibri" w:cs="Calibri"/>
          <w:color w:val="000000" w:themeColor="text1"/>
          <w:sz w:val="18"/>
          <w:szCs w:val="18"/>
        </w:rPr>
        <w:t>T</w:t>
      </w:r>
      <w:r w:rsidRPr="004953FC">
        <w:rPr>
          <w:rFonts w:ascii="Calibri" w:eastAsia="Calibri" w:hAnsi="Calibri" w:cs="Calibri"/>
          <w:color w:val="000000" w:themeColor="text1"/>
          <w:sz w:val="18"/>
          <w:szCs w:val="18"/>
        </w:rPr>
        <w:t xml:space="preserve">eacher candidates who </w:t>
      </w:r>
      <w:r w:rsidR="007227F0">
        <w:rPr>
          <w:rFonts w:ascii="Calibri" w:eastAsia="Calibri" w:hAnsi="Calibri" w:cs="Calibri"/>
          <w:color w:val="000000" w:themeColor="text1"/>
          <w:sz w:val="18"/>
          <w:szCs w:val="18"/>
        </w:rPr>
        <w:t xml:space="preserve">complete their practicum </w:t>
      </w:r>
      <w:r>
        <w:rPr>
          <w:rFonts w:ascii="Calibri" w:eastAsia="Calibri" w:hAnsi="Calibri" w:cs="Calibri"/>
          <w:color w:val="000000" w:themeColor="text1"/>
          <w:sz w:val="18"/>
          <w:szCs w:val="18"/>
        </w:rPr>
        <w:t xml:space="preserve">with </w:t>
      </w:r>
      <w:r w:rsidRPr="004953FC">
        <w:rPr>
          <w:rFonts w:ascii="Calibri" w:eastAsia="Calibri" w:hAnsi="Calibri" w:cs="Calibri"/>
          <w:color w:val="000000" w:themeColor="text1"/>
          <w:sz w:val="18"/>
          <w:szCs w:val="18"/>
        </w:rPr>
        <w:t xml:space="preserve">effective </w:t>
      </w:r>
      <w:r w:rsidR="00B83F0C">
        <w:rPr>
          <w:rFonts w:ascii="Calibri" w:eastAsia="Calibri" w:hAnsi="Calibri" w:cs="Calibri"/>
          <w:color w:val="000000" w:themeColor="text1"/>
          <w:sz w:val="18"/>
          <w:szCs w:val="18"/>
        </w:rPr>
        <w:t>S</w:t>
      </w:r>
      <w:r>
        <w:rPr>
          <w:rFonts w:ascii="Calibri" w:eastAsia="Calibri" w:hAnsi="Calibri" w:cs="Calibri"/>
          <w:color w:val="000000" w:themeColor="text1"/>
          <w:sz w:val="18"/>
          <w:szCs w:val="18"/>
        </w:rPr>
        <w:t xml:space="preserve">upervising </w:t>
      </w:r>
      <w:r w:rsidR="00B83F0C">
        <w:rPr>
          <w:rFonts w:ascii="Calibri" w:eastAsia="Calibri" w:hAnsi="Calibri" w:cs="Calibri"/>
          <w:color w:val="000000" w:themeColor="text1"/>
          <w:sz w:val="18"/>
          <w:szCs w:val="18"/>
        </w:rPr>
        <w:t>P</w:t>
      </w:r>
      <w:r>
        <w:rPr>
          <w:rFonts w:ascii="Calibri" w:eastAsia="Calibri" w:hAnsi="Calibri" w:cs="Calibri"/>
          <w:color w:val="000000" w:themeColor="text1"/>
          <w:sz w:val="18"/>
          <w:szCs w:val="18"/>
        </w:rPr>
        <w:t>ractitioners</w:t>
      </w:r>
      <w:r w:rsidRPr="004953FC">
        <w:rPr>
          <w:rFonts w:ascii="Calibri" w:eastAsia="Calibri" w:hAnsi="Calibri" w:cs="Calibri"/>
          <w:color w:val="000000" w:themeColor="text1"/>
          <w:sz w:val="18"/>
          <w:szCs w:val="18"/>
        </w:rPr>
        <w:t xml:space="preserve"> </w:t>
      </w:r>
      <w:r w:rsidR="007227F0">
        <w:rPr>
          <w:rFonts w:ascii="Calibri" w:eastAsia="Calibri" w:hAnsi="Calibri" w:cs="Calibri"/>
          <w:color w:val="000000" w:themeColor="text1"/>
          <w:sz w:val="18"/>
          <w:szCs w:val="18"/>
        </w:rPr>
        <w:t xml:space="preserve">are </w:t>
      </w:r>
      <w:r w:rsidRPr="004953FC">
        <w:rPr>
          <w:rFonts w:ascii="Calibri" w:eastAsia="Calibri" w:hAnsi="Calibri" w:cs="Calibri"/>
          <w:color w:val="000000" w:themeColor="text1"/>
          <w:sz w:val="18"/>
          <w:szCs w:val="18"/>
        </w:rPr>
        <w:t>more effective once they enter the workforce</w:t>
      </w:r>
      <w:r w:rsidR="007B7FF0">
        <w:rPr>
          <w:rFonts w:ascii="Calibri" w:eastAsia="Calibri" w:hAnsi="Calibri" w:cs="Calibri"/>
          <w:color w:val="000000" w:themeColor="text1"/>
          <w:sz w:val="18"/>
          <w:szCs w:val="18"/>
        </w:rPr>
        <w:t xml:space="preserve"> (Goldhaber, et al., 2020</w:t>
      </w:r>
      <w:r w:rsidR="006D315F">
        <w:rPr>
          <w:rFonts w:ascii="Calibri" w:eastAsia="Calibri" w:hAnsi="Calibri" w:cs="Calibri"/>
          <w:color w:val="000000" w:themeColor="text1"/>
          <w:sz w:val="18"/>
          <w:szCs w:val="18"/>
        </w:rPr>
        <w:t>b</w:t>
      </w:r>
      <w:r w:rsidR="00CA76F4">
        <w:rPr>
          <w:rFonts w:ascii="Calibri" w:eastAsia="Calibri" w:hAnsi="Calibri" w:cs="Calibri"/>
          <w:color w:val="000000" w:themeColor="text1"/>
          <w:sz w:val="18"/>
          <w:szCs w:val="18"/>
        </w:rPr>
        <w:t>; Goldhaber, et al</w:t>
      </w:r>
      <w:r w:rsidR="008211C3">
        <w:rPr>
          <w:rFonts w:ascii="Calibri" w:eastAsia="Calibri" w:hAnsi="Calibri" w:cs="Calibri"/>
          <w:color w:val="000000" w:themeColor="text1"/>
          <w:sz w:val="18"/>
          <w:szCs w:val="18"/>
        </w:rPr>
        <w:t>., 2020c</w:t>
      </w:r>
      <w:r w:rsidR="006D315F">
        <w:rPr>
          <w:rFonts w:ascii="Calibri" w:eastAsia="Calibri" w:hAnsi="Calibri" w:cs="Calibri"/>
          <w:color w:val="000000" w:themeColor="text1"/>
          <w:sz w:val="18"/>
          <w:szCs w:val="18"/>
        </w:rPr>
        <w:t>)</w:t>
      </w:r>
      <w:r w:rsidR="006469B6" w:rsidRPr="00B10631">
        <w:rPr>
          <w:rFonts w:ascii="Calibri" w:eastAsia="Calibri" w:hAnsi="Calibri" w:cs="Calibri"/>
          <w:color w:val="000000" w:themeColor="text1"/>
          <w:sz w:val="18"/>
          <w:szCs w:val="18"/>
        </w:rPr>
        <w:t>.</w:t>
      </w:r>
    </w:p>
  </w:footnote>
  <w:footnote w:id="8">
    <w:p w14:paraId="71061F2C" w14:textId="46D657F2" w:rsidR="006469B6" w:rsidRPr="00E44315" w:rsidRDefault="006469B6" w:rsidP="006469B6">
      <w:pPr>
        <w:pStyle w:val="FootnoteText"/>
        <w:rPr>
          <w:sz w:val="18"/>
          <w:szCs w:val="18"/>
        </w:rPr>
      </w:pPr>
      <w:r w:rsidRPr="00E44315">
        <w:rPr>
          <w:rStyle w:val="FootnoteReference"/>
          <w:sz w:val="18"/>
          <w:szCs w:val="18"/>
        </w:rPr>
        <w:footnoteRef/>
      </w:r>
      <w:r w:rsidRPr="00E44315">
        <w:rPr>
          <w:sz w:val="18"/>
          <w:szCs w:val="18"/>
        </w:rPr>
        <w:t xml:space="preserve"> </w:t>
      </w:r>
      <w:r w:rsidRPr="00E44315">
        <w:rPr>
          <w:rStyle w:val="normaltextrun"/>
          <w:rFonts w:ascii="Calibri" w:hAnsi="Calibri" w:cs="Calibri"/>
          <w:color w:val="000000"/>
          <w:sz w:val="18"/>
          <w:szCs w:val="18"/>
          <w:shd w:val="clear" w:color="auto" w:fill="FFFFFF"/>
        </w:rPr>
        <w:t xml:space="preserve">The </w:t>
      </w:r>
      <w:hyperlink r:id="rId4" w:tgtFrame="_blank" w:history="1">
        <w:r w:rsidRPr="00AC72D4">
          <w:rPr>
            <w:rStyle w:val="normaltextrun"/>
            <w:rFonts w:ascii="Calibri" w:hAnsi="Calibri" w:cs="Calibri"/>
            <w:color w:val="0000FF"/>
            <w:sz w:val="18"/>
            <w:szCs w:val="18"/>
            <w:u w:val="single"/>
            <w:shd w:val="clear" w:color="auto" w:fill="FFFFFF"/>
          </w:rPr>
          <w:t>Classroom Teacher Model Educator Evaluation Rubric</w:t>
        </w:r>
      </w:hyperlink>
      <w:r w:rsidRPr="00E44315">
        <w:rPr>
          <w:rStyle w:val="normaltextrun"/>
          <w:rFonts w:ascii="Calibri" w:hAnsi="Calibri" w:cs="Calibri"/>
          <w:color w:val="000000"/>
          <w:sz w:val="18"/>
          <w:szCs w:val="18"/>
          <w:shd w:val="clear" w:color="auto" w:fill="FFFFFF"/>
        </w:rPr>
        <w:t xml:space="preserve"> is </w:t>
      </w:r>
      <w:r w:rsidR="009D2963">
        <w:rPr>
          <w:rStyle w:val="normaltextrun"/>
          <w:rFonts w:ascii="Calibri" w:hAnsi="Calibri" w:cs="Calibri"/>
          <w:color w:val="000000"/>
          <w:sz w:val="18"/>
          <w:szCs w:val="18"/>
          <w:shd w:val="clear" w:color="auto" w:fill="FFFFFF"/>
        </w:rPr>
        <w:t>under revision</w:t>
      </w:r>
      <w:r w:rsidR="00E16C39">
        <w:rPr>
          <w:rStyle w:val="normaltextrun"/>
          <w:rFonts w:ascii="Calibri" w:hAnsi="Calibri" w:cs="Calibri"/>
          <w:color w:val="000000"/>
          <w:sz w:val="18"/>
          <w:szCs w:val="18"/>
          <w:shd w:val="clear" w:color="auto" w:fill="FFFFFF"/>
        </w:rPr>
        <w:t xml:space="preserve"> and will be finalized by SY20</w:t>
      </w:r>
      <w:r w:rsidR="00F61B30">
        <w:rPr>
          <w:rStyle w:val="normaltextrun"/>
          <w:rFonts w:ascii="Calibri" w:hAnsi="Calibri" w:cs="Calibri"/>
          <w:color w:val="000000"/>
          <w:sz w:val="18"/>
          <w:szCs w:val="18"/>
          <w:shd w:val="clear" w:color="auto" w:fill="FFFFFF"/>
        </w:rPr>
        <w:t>24-25</w:t>
      </w:r>
      <w:r w:rsidR="004663EB">
        <w:rPr>
          <w:rStyle w:val="normaltextrun"/>
          <w:rFonts w:ascii="Calibri" w:hAnsi="Calibri" w:cs="Calibri"/>
          <w:color w:val="000000"/>
          <w:sz w:val="18"/>
          <w:szCs w:val="18"/>
          <w:shd w:val="clear" w:color="auto" w:fill="FFFFFF"/>
        </w:rPr>
        <w:t>, at which point</w:t>
      </w:r>
      <w:r w:rsidRPr="00E44315">
        <w:rPr>
          <w:rStyle w:val="normaltextrun"/>
          <w:rFonts w:ascii="Calibri" w:hAnsi="Calibri" w:cs="Calibri"/>
          <w:color w:val="000000"/>
          <w:sz w:val="18"/>
          <w:szCs w:val="18"/>
          <w:shd w:val="clear" w:color="auto" w:fill="FFFFFF"/>
        </w:rPr>
        <w:t xml:space="preserve"> the Professional Standards for Teachers will be updated to align. CAP will be updated following those revisions. Programs </w:t>
      </w:r>
      <w:r w:rsidR="00017310">
        <w:rPr>
          <w:rStyle w:val="normaltextrun"/>
          <w:rFonts w:ascii="Calibri" w:hAnsi="Calibri" w:cs="Calibri"/>
          <w:color w:val="000000"/>
          <w:sz w:val="18"/>
          <w:szCs w:val="18"/>
          <w:shd w:val="clear" w:color="auto" w:fill="FFFFFF"/>
        </w:rPr>
        <w:t>may</w:t>
      </w:r>
      <w:r w:rsidR="0006287E">
        <w:rPr>
          <w:rStyle w:val="normaltextrun"/>
          <w:rFonts w:ascii="Calibri" w:hAnsi="Calibri" w:cs="Calibri"/>
          <w:color w:val="000000"/>
          <w:sz w:val="18"/>
          <w:szCs w:val="18"/>
          <w:shd w:val="clear" w:color="auto" w:fill="FFFFFF"/>
        </w:rPr>
        <w:t xml:space="preserve"> access</w:t>
      </w:r>
      <w:r w:rsidR="00017310" w:rsidRPr="00E44315">
        <w:rPr>
          <w:rStyle w:val="normaltextrun"/>
          <w:rFonts w:ascii="Calibri" w:hAnsi="Calibri" w:cs="Calibri"/>
          <w:color w:val="000000"/>
          <w:sz w:val="18"/>
          <w:szCs w:val="18"/>
          <w:shd w:val="clear" w:color="auto" w:fill="FFFFFF"/>
        </w:rPr>
        <w:t xml:space="preserve"> </w:t>
      </w:r>
      <w:r w:rsidR="0006287E">
        <w:rPr>
          <w:rStyle w:val="normaltextrun"/>
          <w:rFonts w:ascii="Calibri" w:hAnsi="Calibri" w:cs="Calibri"/>
          <w:color w:val="000000"/>
          <w:sz w:val="18"/>
          <w:szCs w:val="18"/>
          <w:shd w:val="clear" w:color="auto" w:fill="FFFFFF"/>
        </w:rPr>
        <w:t>t</w:t>
      </w:r>
      <w:r w:rsidRPr="00E44315">
        <w:rPr>
          <w:rStyle w:val="normaltextrun"/>
          <w:rFonts w:ascii="Calibri" w:hAnsi="Calibri" w:cs="Calibri"/>
          <w:color w:val="000000"/>
          <w:sz w:val="18"/>
          <w:szCs w:val="18"/>
          <w:shd w:val="clear" w:color="auto" w:fill="FFFFFF"/>
        </w:rPr>
        <w:t>he draft rubric</w:t>
      </w:r>
      <w:r w:rsidR="0006287E">
        <w:rPr>
          <w:rStyle w:val="normaltextrun"/>
          <w:rFonts w:ascii="Calibri" w:hAnsi="Calibri" w:cs="Calibri"/>
          <w:color w:val="000000"/>
          <w:sz w:val="18"/>
          <w:szCs w:val="18"/>
          <w:shd w:val="clear" w:color="auto" w:fill="FFFFFF"/>
        </w:rPr>
        <w:t xml:space="preserve"> at</w:t>
      </w:r>
      <w:r w:rsidR="00F64167">
        <w:rPr>
          <w:rStyle w:val="normaltextrun"/>
          <w:rFonts w:ascii="Calibri" w:hAnsi="Calibri" w:cs="Calibri"/>
          <w:color w:val="000000"/>
          <w:sz w:val="18"/>
          <w:szCs w:val="18"/>
          <w:shd w:val="clear" w:color="auto" w:fill="FFFFFF"/>
        </w:rPr>
        <w:t xml:space="preserve"> </w:t>
      </w:r>
      <w:hyperlink r:id="rId5" w:history="1">
        <w:r w:rsidR="00F64167" w:rsidRPr="00D870C3">
          <w:rPr>
            <w:rStyle w:val="Hyperlink"/>
            <w:rFonts w:ascii="Calibri" w:hAnsi="Calibri" w:cs="Calibri"/>
            <w:sz w:val="18"/>
            <w:szCs w:val="18"/>
            <w:shd w:val="clear" w:color="auto" w:fill="FFFFFF"/>
          </w:rPr>
          <w:t>https://www.doe.mass.edu/edeval/rubrics/updates/</w:t>
        </w:r>
      </w:hyperlink>
      <w:r w:rsidR="00F64167">
        <w:rPr>
          <w:rStyle w:val="normaltextrun"/>
          <w:rFonts w:ascii="Calibri" w:hAnsi="Calibri" w:cs="Calibri"/>
          <w:color w:val="000000"/>
          <w:sz w:val="18"/>
          <w:szCs w:val="18"/>
          <w:shd w:val="clear" w:color="auto" w:fill="FFFFFF"/>
        </w:rPr>
        <w:t xml:space="preserve"> </w:t>
      </w:r>
      <w:r w:rsidRPr="00E44315">
        <w:rPr>
          <w:rStyle w:val="normaltextrun"/>
          <w:rFonts w:ascii="Calibri" w:hAnsi="Calibri" w:cs="Calibri"/>
          <w:color w:val="000000"/>
          <w:sz w:val="18"/>
          <w:szCs w:val="18"/>
          <w:shd w:val="clear" w:color="auto" w:fill="FFFFFF"/>
        </w:rPr>
        <w:t xml:space="preserve">to </w:t>
      </w:r>
      <w:r w:rsidR="00C41AFC">
        <w:rPr>
          <w:rStyle w:val="normaltextrun"/>
          <w:rFonts w:ascii="Calibri" w:hAnsi="Calibri" w:cs="Calibri"/>
          <w:color w:val="000000"/>
          <w:sz w:val="18"/>
          <w:szCs w:val="18"/>
          <w:shd w:val="clear" w:color="auto" w:fill="FFFFFF"/>
        </w:rPr>
        <w:t>monitor proposed revisions</w:t>
      </w:r>
      <w:r w:rsidRPr="00E44315">
        <w:rPr>
          <w:rStyle w:val="normaltextrun"/>
          <w:rFonts w:ascii="Calibri" w:hAnsi="Calibri" w:cs="Calibri"/>
          <w:color w:val="000000"/>
          <w:sz w:val="18"/>
          <w:szCs w:val="18"/>
          <w:shd w:val="clear" w:color="auto" w:fill="FFFFFF"/>
        </w:rPr>
        <w:t>.</w:t>
      </w:r>
      <w:r w:rsidRPr="00E44315">
        <w:rPr>
          <w:rStyle w:val="eop"/>
          <w:rFonts w:ascii="Calibri" w:hAnsi="Calibri" w:cs="Calibri"/>
          <w:color w:val="000000"/>
          <w:sz w:val="18"/>
          <w:szCs w:val="18"/>
          <w:shd w:val="clear" w:color="auto" w:fill="FFFFFF"/>
        </w:rPr>
        <w:t> </w:t>
      </w:r>
    </w:p>
  </w:footnote>
  <w:footnote w:id="9">
    <w:p w14:paraId="12E6BF9E" w14:textId="32FD9E73" w:rsidR="006469B6" w:rsidRPr="00E44315" w:rsidRDefault="006469B6" w:rsidP="006469B6">
      <w:pPr>
        <w:pStyle w:val="FootnoteText"/>
        <w:rPr>
          <w:sz w:val="18"/>
          <w:szCs w:val="18"/>
        </w:rPr>
      </w:pPr>
      <w:r w:rsidRPr="00E44315">
        <w:rPr>
          <w:rStyle w:val="FootnoteReference"/>
          <w:sz w:val="18"/>
          <w:szCs w:val="18"/>
        </w:rPr>
        <w:footnoteRef/>
      </w:r>
      <w:r w:rsidRPr="00E44315">
        <w:rPr>
          <w:sz w:val="18"/>
          <w:szCs w:val="18"/>
        </w:rPr>
        <w:t xml:space="preserve"> </w:t>
      </w:r>
      <w:r w:rsidR="004F382C">
        <w:rPr>
          <w:rStyle w:val="normaltextrun"/>
          <w:rFonts w:ascii="Calibri" w:hAnsi="Calibri" w:cs="Calibri"/>
          <w:color w:val="000000"/>
          <w:sz w:val="18"/>
          <w:szCs w:val="18"/>
          <w:shd w:val="clear" w:color="auto" w:fill="FFFFFF"/>
        </w:rPr>
        <w:t>See prior footnote</w:t>
      </w:r>
      <w:r w:rsidRPr="00E44315">
        <w:rPr>
          <w:rStyle w:val="normaltextrun"/>
          <w:rFonts w:ascii="Calibri" w:hAnsi="Calibri" w:cs="Calibri"/>
          <w:color w:val="000000"/>
          <w:sz w:val="18"/>
          <w:szCs w:val="18"/>
          <w:shd w:val="clear" w:color="auto" w:fill="FFFFFF"/>
        </w:rPr>
        <w:t>.</w:t>
      </w:r>
      <w:r w:rsidRPr="00E44315">
        <w:rPr>
          <w:rStyle w:val="eop"/>
          <w:rFonts w:ascii="Calibri" w:hAnsi="Calibri" w:cs="Calibri"/>
          <w:color w:val="000000"/>
          <w:sz w:val="18"/>
          <w:szCs w:val="18"/>
          <w:shd w:val="clear" w:color="auto" w:fill="FFFFFF"/>
        </w:rPr>
        <w:t> </w:t>
      </w:r>
    </w:p>
  </w:footnote>
  <w:footnote w:id="10">
    <w:p w14:paraId="4D609A80" w14:textId="7C19BA93" w:rsidR="00607481" w:rsidRPr="00E44315" w:rsidRDefault="00607481">
      <w:pPr>
        <w:pStyle w:val="FootnoteText"/>
        <w:rPr>
          <w:rFonts w:cstheme="majorHAnsi"/>
          <w:sz w:val="18"/>
          <w:szCs w:val="18"/>
        </w:rPr>
      </w:pPr>
      <w:r w:rsidRPr="00E44315">
        <w:rPr>
          <w:rStyle w:val="FootnoteReference"/>
          <w:rFonts w:cstheme="majorHAnsi"/>
          <w:sz w:val="18"/>
          <w:szCs w:val="18"/>
        </w:rPr>
        <w:footnoteRef/>
      </w:r>
      <w:r w:rsidRPr="00E44315">
        <w:rPr>
          <w:rFonts w:cstheme="majorHAnsi"/>
          <w:sz w:val="18"/>
          <w:szCs w:val="18"/>
        </w:rPr>
        <w:t xml:space="preserve"> </w:t>
      </w:r>
      <w:r w:rsidRPr="00E44315">
        <w:rPr>
          <w:rFonts w:cstheme="majorHAnsi"/>
          <w:color w:val="000000" w:themeColor="text1"/>
          <w:sz w:val="18"/>
          <w:szCs w:val="18"/>
          <w:shd w:val="clear" w:color="auto" w:fill="FFFFFF"/>
        </w:rPr>
        <w:t>Sponsoring Organizations can access the </w:t>
      </w:r>
      <w:hyperlink r:id="rId6" w:history="1">
        <w:r w:rsidRPr="001F3F72">
          <w:rPr>
            <w:rStyle w:val="Hyperlink"/>
            <w:rFonts w:cstheme="majorHAnsi"/>
            <w:color w:val="0000FF"/>
            <w:sz w:val="18"/>
            <w:szCs w:val="18"/>
            <w:shd w:val="clear" w:color="auto" w:fill="FFFFFF"/>
          </w:rPr>
          <w:t>Public Lookup for Educator Licensure</w:t>
        </w:r>
      </w:hyperlink>
      <w:r w:rsidRPr="00E44315">
        <w:rPr>
          <w:rFonts w:cstheme="majorHAnsi"/>
          <w:color w:val="000000" w:themeColor="text1"/>
          <w:sz w:val="18"/>
          <w:szCs w:val="18"/>
          <w:shd w:val="clear" w:color="auto" w:fill="FFFFFF"/>
        </w:rPr>
        <w:t> to confirm an educator’s license and use </w:t>
      </w:r>
      <w:hyperlink r:id="rId7" w:history="1">
        <w:r w:rsidRPr="00E44315">
          <w:rPr>
            <w:rStyle w:val="Hyperlink"/>
            <w:rFonts w:cstheme="majorHAnsi"/>
            <w:sz w:val="18"/>
            <w:szCs w:val="18"/>
            <w:shd w:val="clear" w:color="auto" w:fill="FFFFFF"/>
          </w:rPr>
          <w:t>th</w:t>
        </w:r>
        <w:r w:rsidR="006A0154" w:rsidRPr="00E44315">
          <w:rPr>
            <w:rStyle w:val="Hyperlink"/>
            <w:rFonts w:cstheme="majorHAnsi"/>
            <w:sz w:val="18"/>
            <w:szCs w:val="18"/>
          </w:rPr>
          <w:t>e list of equivalent licenses</w:t>
        </w:r>
      </w:hyperlink>
      <w:r w:rsidRPr="00E44315">
        <w:rPr>
          <w:rFonts w:cstheme="majorHAnsi"/>
          <w:color w:val="000000" w:themeColor="text1"/>
          <w:sz w:val="18"/>
          <w:szCs w:val="18"/>
          <w:shd w:val="clear" w:color="auto" w:fill="FFFFFF"/>
        </w:rPr>
        <w:t>  if your proposed Supervising Practitioner possesses a license that DESE no longer issues.</w:t>
      </w:r>
    </w:p>
  </w:footnote>
  <w:footnote w:id="11">
    <w:p w14:paraId="62A4DC9E" w14:textId="44D0CAA1" w:rsidR="00D317A3" w:rsidRPr="00620A95" w:rsidRDefault="00D317A3" w:rsidP="00D317A3">
      <w:pPr>
        <w:pStyle w:val="FootnoteText"/>
        <w:rPr>
          <w:sz w:val="18"/>
          <w:szCs w:val="18"/>
        </w:rPr>
      </w:pPr>
      <w:r w:rsidRPr="00E44315">
        <w:rPr>
          <w:rStyle w:val="FootnoteReference"/>
          <w:sz w:val="18"/>
          <w:szCs w:val="18"/>
        </w:rPr>
        <w:footnoteRef/>
      </w:r>
      <w:r w:rsidRPr="00E44315">
        <w:rPr>
          <w:sz w:val="18"/>
          <w:szCs w:val="18"/>
        </w:rPr>
        <w:t xml:space="preserve"> </w:t>
      </w:r>
      <w:r w:rsidR="00620A95" w:rsidRPr="00E44315">
        <w:rPr>
          <w:rStyle w:val="normaltextrun"/>
          <w:rFonts w:ascii="Calibri" w:hAnsi="Calibri" w:cs="Calibri"/>
          <w:color w:val="000000"/>
          <w:sz w:val="18"/>
          <w:szCs w:val="18"/>
          <w:shd w:val="clear" w:color="auto" w:fill="FFFFFF"/>
        </w:rPr>
        <w:t xml:space="preserve">The </w:t>
      </w:r>
      <w:hyperlink r:id="rId8" w:tgtFrame="_blank" w:history="1">
        <w:r w:rsidR="00620A95" w:rsidRPr="00E44315">
          <w:rPr>
            <w:rStyle w:val="normaltextrun"/>
            <w:rFonts w:ascii="Calibri" w:hAnsi="Calibri" w:cs="Calibri"/>
            <w:color w:val="0563C1"/>
            <w:sz w:val="18"/>
            <w:szCs w:val="18"/>
            <w:u w:val="single"/>
            <w:shd w:val="clear" w:color="auto" w:fill="FFFFFF"/>
          </w:rPr>
          <w:t>Classroom Teacher Model Educator Evaluation Rubric</w:t>
        </w:r>
      </w:hyperlink>
      <w:r w:rsidR="00620A95" w:rsidRPr="00E44315">
        <w:rPr>
          <w:rStyle w:val="normaltextrun"/>
          <w:rFonts w:ascii="Calibri" w:hAnsi="Calibri" w:cs="Calibri"/>
          <w:color w:val="000000"/>
          <w:sz w:val="18"/>
          <w:szCs w:val="18"/>
          <w:shd w:val="clear" w:color="auto" w:fill="FFFFFF"/>
        </w:rPr>
        <w:t xml:space="preserve"> is </w:t>
      </w:r>
      <w:r w:rsidR="00620A95">
        <w:rPr>
          <w:rStyle w:val="normaltextrun"/>
          <w:rFonts w:ascii="Calibri" w:hAnsi="Calibri" w:cs="Calibri"/>
          <w:color w:val="000000"/>
          <w:sz w:val="18"/>
          <w:szCs w:val="18"/>
          <w:shd w:val="clear" w:color="auto" w:fill="FFFFFF"/>
        </w:rPr>
        <w:t>under revision during SY2022-23 and SY2023-24</w:t>
      </w:r>
      <w:r w:rsidR="00620A95" w:rsidRPr="00E44315">
        <w:rPr>
          <w:rStyle w:val="normaltextrun"/>
          <w:rFonts w:ascii="Calibri" w:hAnsi="Calibri" w:cs="Calibri"/>
          <w:color w:val="000000"/>
          <w:sz w:val="18"/>
          <w:szCs w:val="18"/>
          <w:shd w:val="clear" w:color="auto" w:fill="FFFFFF"/>
        </w:rPr>
        <w:t>. Once finalized, the Professional Standards for Teachers will be updated to align</w:t>
      </w:r>
      <w:r w:rsidR="00620A95">
        <w:rPr>
          <w:rStyle w:val="normaltextrun"/>
          <w:rFonts w:ascii="Calibri" w:hAnsi="Calibri" w:cs="Calibri"/>
          <w:color w:val="000000"/>
          <w:sz w:val="18"/>
          <w:szCs w:val="18"/>
          <w:shd w:val="clear" w:color="auto" w:fill="FFFFFF"/>
        </w:rPr>
        <w:t>, and</w:t>
      </w:r>
      <w:r w:rsidR="00620A95" w:rsidRPr="00E44315">
        <w:rPr>
          <w:rStyle w:val="normaltextrun"/>
          <w:rFonts w:ascii="Calibri" w:hAnsi="Calibri" w:cs="Calibri"/>
          <w:color w:val="000000"/>
          <w:sz w:val="18"/>
          <w:szCs w:val="18"/>
          <w:shd w:val="clear" w:color="auto" w:fill="FFFFFF"/>
        </w:rPr>
        <w:t xml:space="preserve"> CAP will be updated following those revisions.</w:t>
      </w:r>
      <w:r w:rsidR="00620A95" w:rsidRPr="00E44315">
        <w:rPr>
          <w:rStyle w:val="eop"/>
          <w:rFonts w:ascii="Calibri" w:hAnsi="Calibri" w:cs="Calibri"/>
          <w:color w:val="000000"/>
          <w:sz w:val="18"/>
          <w:szCs w:val="18"/>
          <w:shd w:val="clear" w:color="auto" w:fill="FFFFFF"/>
        </w:rPr>
        <w:t> </w:t>
      </w:r>
    </w:p>
  </w:footnote>
  <w:footnote w:id="12">
    <w:p w14:paraId="69B07230" w14:textId="77777777" w:rsidR="00D317A3" w:rsidRPr="00E44315" w:rsidRDefault="00D317A3" w:rsidP="00D317A3">
      <w:pPr>
        <w:pStyle w:val="FootnoteText"/>
        <w:rPr>
          <w:rFonts w:cstheme="majorHAnsi"/>
          <w:sz w:val="18"/>
          <w:szCs w:val="18"/>
        </w:rPr>
      </w:pPr>
      <w:r w:rsidRPr="00E44315">
        <w:rPr>
          <w:rStyle w:val="FootnoteReference"/>
          <w:rFonts w:cstheme="majorHAnsi"/>
          <w:sz w:val="18"/>
          <w:szCs w:val="18"/>
        </w:rPr>
        <w:footnoteRef/>
      </w:r>
      <w:r w:rsidRPr="00E44315">
        <w:rPr>
          <w:rFonts w:cstheme="majorHAnsi"/>
          <w:sz w:val="18"/>
          <w:szCs w:val="18"/>
        </w:rPr>
        <w:t xml:space="preserve"> See the </w:t>
      </w:r>
      <w:hyperlink r:id="rId9" w:history="1">
        <w:r w:rsidRPr="00E44315">
          <w:rPr>
            <w:rStyle w:val="Hyperlink"/>
            <w:rFonts w:cstheme="majorHAnsi"/>
            <w:sz w:val="18"/>
            <w:szCs w:val="18"/>
          </w:rPr>
          <w:t>Resources and Information about PAL</w:t>
        </w:r>
      </w:hyperlink>
      <w:r w:rsidRPr="00E44315">
        <w:rPr>
          <w:rFonts w:cstheme="majorHAnsi"/>
          <w:sz w:val="18"/>
          <w:szCs w:val="18"/>
        </w:rPr>
        <w:t>, including the PAL Administrative Field Guide, for additional information about acceptable forms of support for candidates.</w:t>
      </w:r>
    </w:p>
  </w:footnote>
  <w:footnote w:id="13">
    <w:p w14:paraId="1998EAE3" w14:textId="5349EC68" w:rsidR="00D93873" w:rsidRPr="00666E3A" w:rsidRDefault="00D93873">
      <w:pPr>
        <w:pStyle w:val="FootnoteText"/>
        <w:rPr>
          <w:rFonts w:cstheme="majorHAnsi"/>
          <w:sz w:val="18"/>
          <w:szCs w:val="18"/>
        </w:rPr>
      </w:pPr>
      <w:r w:rsidRPr="00E44315">
        <w:rPr>
          <w:rStyle w:val="FootnoteReference"/>
          <w:rFonts w:cstheme="majorHAnsi"/>
          <w:sz w:val="18"/>
          <w:szCs w:val="18"/>
        </w:rPr>
        <w:footnoteRef/>
      </w:r>
      <w:r w:rsidRPr="00E44315">
        <w:rPr>
          <w:rFonts w:cstheme="majorHAnsi"/>
          <w:sz w:val="18"/>
          <w:szCs w:val="18"/>
        </w:rPr>
        <w:t xml:space="preserve"> </w:t>
      </w:r>
      <w:r w:rsidRPr="00E44315">
        <w:rPr>
          <w:rFonts w:eastAsia="Calibri" w:cstheme="majorHAnsi"/>
          <w:sz w:val="18"/>
          <w:szCs w:val="18"/>
        </w:rPr>
        <w:t xml:space="preserve">If </w:t>
      </w:r>
      <w:r w:rsidR="00E44315" w:rsidRPr="00E44315">
        <w:rPr>
          <w:rFonts w:eastAsia="Calibri" w:cstheme="majorHAnsi"/>
          <w:sz w:val="18"/>
          <w:szCs w:val="18"/>
        </w:rPr>
        <w:t>the most appropriate</w:t>
      </w:r>
      <w:r w:rsidRPr="00E44315">
        <w:rPr>
          <w:rFonts w:eastAsia="Calibri" w:cstheme="majorHAnsi"/>
          <w:sz w:val="18"/>
          <w:szCs w:val="18"/>
        </w:rPr>
        <w:t xml:space="preserve"> setting </w:t>
      </w:r>
      <w:r w:rsidR="00E44315" w:rsidRPr="00E44315">
        <w:rPr>
          <w:rFonts w:eastAsia="Calibri" w:cstheme="majorHAnsi"/>
          <w:sz w:val="18"/>
          <w:szCs w:val="18"/>
        </w:rPr>
        <w:t xml:space="preserve">for an individual candidate </w:t>
      </w:r>
      <w:r w:rsidRPr="00E44315">
        <w:rPr>
          <w:rFonts w:eastAsia="Calibri" w:cstheme="majorHAnsi"/>
          <w:sz w:val="18"/>
          <w:szCs w:val="18"/>
        </w:rPr>
        <w:t>does not have all these aspects in place, it is the responsibility of the SO to directly support the candidate in interrogating gap(s) within the specific setting and providing additional resources in that area. DESE may request evidence of these additional resources at the time of an interim or formal review.</w:t>
      </w:r>
    </w:p>
  </w:footnote>
  <w:footnote w:id="14">
    <w:p w14:paraId="1CF09518" w14:textId="78A3B18E" w:rsidR="00DC4292" w:rsidRPr="00666E3A" w:rsidRDefault="00DC4292">
      <w:pPr>
        <w:pStyle w:val="FootnoteText"/>
        <w:rPr>
          <w:rFonts w:eastAsia="Calibri" w:cstheme="majorHAnsi"/>
          <w:sz w:val="18"/>
          <w:szCs w:val="18"/>
        </w:rPr>
      </w:pPr>
      <w:r w:rsidRPr="00666E3A">
        <w:rPr>
          <w:rStyle w:val="FootnoteReference"/>
          <w:rFonts w:cstheme="majorHAnsi"/>
          <w:sz w:val="18"/>
          <w:szCs w:val="18"/>
        </w:rPr>
        <w:footnoteRef/>
      </w:r>
      <w:r w:rsidRPr="00666E3A">
        <w:rPr>
          <w:rFonts w:cstheme="majorHAnsi"/>
          <w:sz w:val="18"/>
          <w:szCs w:val="18"/>
        </w:rPr>
        <w:t xml:space="preserve"> </w:t>
      </w:r>
      <w:r w:rsidRPr="00666E3A">
        <w:rPr>
          <w:rFonts w:eastAsia="Calibri" w:cstheme="majorHAnsi"/>
          <w:sz w:val="18"/>
          <w:szCs w:val="18"/>
        </w:rPr>
        <w:t>If a</w:t>
      </w:r>
      <w:r w:rsidR="00E44315">
        <w:rPr>
          <w:rFonts w:eastAsia="Calibri" w:cstheme="majorHAnsi"/>
          <w:sz w:val="18"/>
          <w:szCs w:val="18"/>
        </w:rPr>
        <w:t>n individual</w:t>
      </w:r>
      <w:r w:rsidRPr="00666E3A">
        <w:rPr>
          <w:rFonts w:eastAsia="Calibri" w:cstheme="majorHAnsi"/>
          <w:sz w:val="18"/>
          <w:szCs w:val="18"/>
        </w:rPr>
        <w:t xml:space="preserve"> candidate is unable to be matched with a Supervising Practitioner that models anti-racist and culturally and linguistically sustaining practices,</w:t>
      </w:r>
      <w:r w:rsidR="00E44315">
        <w:rPr>
          <w:rFonts w:eastAsia="Calibri" w:cstheme="majorHAnsi"/>
          <w:sz w:val="18"/>
          <w:szCs w:val="18"/>
        </w:rPr>
        <w:t xml:space="preserve"> despite attempts by the SO to find such a Supervising Practitioner,</w:t>
      </w:r>
      <w:r w:rsidRPr="00666E3A">
        <w:rPr>
          <w:rFonts w:eastAsia="Calibri" w:cstheme="majorHAnsi"/>
          <w:sz w:val="18"/>
          <w:szCs w:val="18"/>
        </w:rPr>
        <w:t xml:space="preserve"> it is the responsibility of the SO to directly support the candidate with additional resources or support in that area. DESE may request evidence of these additional resources at the time of an interim or formal review</w:t>
      </w:r>
      <w:r w:rsidR="001505DB">
        <w:rPr>
          <w:rFonts w:eastAsia="Calibri" w:cstheme="majorHAnsi"/>
          <w:sz w:val="18"/>
          <w:szCs w:val="18"/>
        </w:rPr>
        <w:t>.</w:t>
      </w:r>
    </w:p>
  </w:footnote>
  <w:footnote w:id="15">
    <w:p w14:paraId="394A54CE" w14:textId="3954B6D4" w:rsidR="003758F5" w:rsidRPr="00B10631" w:rsidRDefault="003758F5" w:rsidP="003758F5">
      <w:pPr>
        <w:pStyle w:val="FootnoteText"/>
        <w:rPr>
          <w:rFonts w:asciiTheme="minorHAnsi" w:hAnsiTheme="minorHAnsi" w:cstheme="minorBidi"/>
          <w:sz w:val="18"/>
          <w:szCs w:val="18"/>
        </w:rPr>
      </w:pPr>
      <w:r w:rsidRPr="5E5DEAB0">
        <w:rPr>
          <w:rStyle w:val="FootnoteReference"/>
          <w:rFonts w:cstheme="majorBidi"/>
          <w:sz w:val="18"/>
          <w:szCs w:val="18"/>
        </w:rPr>
        <w:footnoteRef/>
      </w:r>
      <w:r w:rsidRPr="5E5DEAB0">
        <w:rPr>
          <w:rFonts w:cstheme="majorBidi"/>
          <w:sz w:val="18"/>
          <w:szCs w:val="18"/>
        </w:rPr>
        <w:t xml:space="preserve"> </w:t>
      </w:r>
      <w:r w:rsidR="00F4054B" w:rsidRPr="5E5DEAB0">
        <w:rPr>
          <w:rFonts w:cstheme="majorBidi"/>
          <w:sz w:val="18"/>
          <w:szCs w:val="18"/>
        </w:rPr>
        <w:t>High</w:t>
      </w:r>
      <w:r w:rsidR="5E5DEAB0" w:rsidRPr="5E5DEAB0">
        <w:rPr>
          <w:rFonts w:cstheme="majorBidi"/>
          <w:sz w:val="18"/>
          <w:szCs w:val="18"/>
        </w:rPr>
        <w:t>-</w:t>
      </w:r>
      <w:r w:rsidR="00F4054B" w:rsidRPr="5E5DEAB0">
        <w:rPr>
          <w:rFonts w:cstheme="majorBidi"/>
          <w:sz w:val="18"/>
          <w:szCs w:val="18"/>
        </w:rPr>
        <w:t>quality feedback is specific (evidence-based), concrete (related to quality, scope, and/or consistency of practice), useful (provides the candidate with clear next steps for improvement), and addresses areas of both strength and improvement.</w:t>
      </w:r>
    </w:p>
  </w:footnote>
  <w:footnote w:id="16">
    <w:p w14:paraId="0A114728" w14:textId="0F7BEB59" w:rsidR="00A42FC6" w:rsidRPr="00A42FC6" w:rsidRDefault="001F0A56" w:rsidP="00A42FC6">
      <w:pPr>
        <w:pStyle w:val="Calloutheading"/>
        <w:rPr>
          <w:rFonts w:asciiTheme="majorHAnsi" w:hAnsiTheme="majorHAnsi" w:cstheme="majorHAnsi"/>
          <w:b w:val="0"/>
          <w:bCs/>
          <w:color w:val="000000" w:themeColor="text1"/>
          <w:sz w:val="18"/>
          <w:szCs w:val="18"/>
        </w:rPr>
      </w:pPr>
      <w:r w:rsidRPr="00A42FC6">
        <w:rPr>
          <w:rStyle w:val="FootnoteReference"/>
          <w:b w:val="0"/>
          <w:bCs/>
          <w:color w:val="000000" w:themeColor="text1"/>
          <w:sz w:val="18"/>
          <w:szCs w:val="18"/>
        </w:rPr>
        <w:footnoteRef/>
      </w:r>
      <w:r w:rsidRPr="00A42FC6">
        <w:rPr>
          <w:b w:val="0"/>
          <w:bCs/>
          <w:color w:val="000000" w:themeColor="text1"/>
          <w:sz w:val="18"/>
          <w:szCs w:val="18"/>
        </w:rPr>
        <w:t xml:space="preserve"> </w:t>
      </w:r>
      <w:r w:rsidR="00A42FC6" w:rsidRPr="00A42FC6">
        <w:rPr>
          <w:rFonts w:asciiTheme="majorHAnsi" w:eastAsia="Arial" w:hAnsiTheme="majorHAnsi" w:cstheme="majorHAnsi"/>
          <w:b w:val="0"/>
          <w:bCs/>
          <w:color w:val="000000" w:themeColor="text1"/>
          <w:sz w:val="18"/>
          <w:szCs w:val="18"/>
        </w:rPr>
        <w:t>DESE reserves the authority to engage in more detailed reviews of specific programs to ensure they are aligned with current evidence-based practices.</w:t>
      </w:r>
    </w:p>
    <w:p w14:paraId="2E83092C" w14:textId="53E38FBD" w:rsidR="001F0A56" w:rsidRDefault="001F0A56">
      <w:pPr>
        <w:pStyle w:val="FootnoteText"/>
      </w:pPr>
    </w:p>
  </w:footnote>
  <w:footnote w:id="17">
    <w:p w14:paraId="7FE2577B" w14:textId="36F6F9D3" w:rsidR="009A4E01" w:rsidRPr="00947C70" w:rsidRDefault="009A4E01">
      <w:pPr>
        <w:pStyle w:val="FootnoteText"/>
        <w:rPr>
          <w:sz w:val="18"/>
          <w:szCs w:val="18"/>
        </w:rPr>
      </w:pPr>
      <w:r>
        <w:rPr>
          <w:rStyle w:val="FootnoteReference"/>
        </w:rPr>
        <w:footnoteRef/>
      </w:r>
      <w:r>
        <w:t xml:space="preserve"> </w:t>
      </w:r>
      <w:r w:rsidR="00197A70" w:rsidRPr="00E44315">
        <w:rPr>
          <w:rStyle w:val="normaltextrun"/>
          <w:rFonts w:ascii="Calibri" w:hAnsi="Calibri" w:cs="Calibri"/>
          <w:color w:val="000000"/>
          <w:sz w:val="18"/>
          <w:szCs w:val="18"/>
          <w:shd w:val="clear" w:color="auto" w:fill="FFFFFF"/>
        </w:rPr>
        <w:t xml:space="preserve">The </w:t>
      </w:r>
      <w:hyperlink r:id="rId10" w:tgtFrame="_blank" w:history="1">
        <w:r w:rsidR="00197A70" w:rsidRPr="00907698">
          <w:rPr>
            <w:rStyle w:val="normaltextrun"/>
            <w:rFonts w:ascii="Calibri" w:hAnsi="Calibri" w:cs="Calibri"/>
            <w:color w:val="0000FF"/>
            <w:sz w:val="18"/>
            <w:szCs w:val="18"/>
            <w:u w:val="single"/>
            <w:shd w:val="clear" w:color="auto" w:fill="FFFFFF"/>
          </w:rPr>
          <w:t>Classroom Teacher Model Educator Evaluation Rubric</w:t>
        </w:r>
      </w:hyperlink>
      <w:r w:rsidR="00197A70" w:rsidRPr="00E44315">
        <w:rPr>
          <w:rStyle w:val="normaltextrun"/>
          <w:rFonts w:ascii="Calibri" w:hAnsi="Calibri" w:cs="Calibri"/>
          <w:color w:val="000000"/>
          <w:sz w:val="18"/>
          <w:szCs w:val="18"/>
          <w:shd w:val="clear" w:color="auto" w:fill="FFFFFF"/>
        </w:rPr>
        <w:t xml:space="preserve"> is </w:t>
      </w:r>
      <w:r w:rsidR="00197A70">
        <w:rPr>
          <w:rStyle w:val="normaltextrun"/>
          <w:rFonts w:ascii="Calibri" w:hAnsi="Calibri" w:cs="Calibri"/>
          <w:color w:val="000000"/>
          <w:sz w:val="18"/>
          <w:szCs w:val="18"/>
          <w:shd w:val="clear" w:color="auto" w:fill="FFFFFF"/>
        </w:rPr>
        <w:t>under revision during SY2022-23 and SY2023-24</w:t>
      </w:r>
      <w:r w:rsidR="00197A70" w:rsidRPr="00E44315">
        <w:rPr>
          <w:rStyle w:val="normaltextrun"/>
          <w:rFonts w:ascii="Calibri" w:hAnsi="Calibri" w:cs="Calibri"/>
          <w:color w:val="000000"/>
          <w:sz w:val="18"/>
          <w:szCs w:val="18"/>
          <w:shd w:val="clear" w:color="auto" w:fill="FFFFFF"/>
        </w:rPr>
        <w:t>. Once finalized, the Professional Standards for Teachers will be updated to align</w:t>
      </w:r>
      <w:r w:rsidR="00197A70">
        <w:rPr>
          <w:rStyle w:val="normaltextrun"/>
          <w:rFonts w:ascii="Calibri" w:hAnsi="Calibri" w:cs="Calibri"/>
          <w:color w:val="000000"/>
          <w:sz w:val="18"/>
          <w:szCs w:val="18"/>
          <w:shd w:val="clear" w:color="auto" w:fill="FFFFFF"/>
        </w:rPr>
        <w:t>, and</w:t>
      </w:r>
      <w:r w:rsidR="00197A70" w:rsidRPr="00E44315">
        <w:rPr>
          <w:rStyle w:val="normaltextrun"/>
          <w:rFonts w:ascii="Calibri" w:hAnsi="Calibri" w:cs="Calibri"/>
          <w:color w:val="000000"/>
          <w:sz w:val="18"/>
          <w:szCs w:val="18"/>
          <w:shd w:val="clear" w:color="auto" w:fill="FFFFFF"/>
        </w:rPr>
        <w:t xml:space="preserve"> CAP will be updated following those revisions.</w:t>
      </w:r>
      <w:r w:rsidR="00197A70" w:rsidRPr="00E44315">
        <w:rPr>
          <w:rStyle w:val="eop"/>
          <w:rFonts w:ascii="Calibri" w:hAnsi="Calibri" w:cs="Calibri"/>
          <w:color w:val="000000"/>
          <w:sz w:val="18"/>
          <w:szCs w:val="18"/>
          <w:shd w:val="clear" w:color="auto" w:fill="FFFFFF"/>
        </w:rPr>
        <w:t> </w:t>
      </w:r>
    </w:p>
  </w:footnote>
  <w:footnote w:id="18">
    <w:p w14:paraId="05404FF2" w14:textId="58B6641B" w:rsidR="00BF3F7F" w:rsidRPr="00BF3F7F" w:rsidRDefault="00BF3F7F">
      <w:pPr>
        <w:pStyle w:val="FootnoteText"/>
        <w:rPr>
          <w:rFonts w:cstheme="majorHAnsi"/>
          <w:color w:val="000000" w:themeColor="text1"/>
          <w:sz w:val="18"/>
          <w:szCs w:val="18"/>
        </w:rPr>
      </w:pPr>
      <w:r w:rsidRPr="00BF3F7F">
        <w:rPr>
          <w:rStyle w:val="FootnoteReference"/>
          <w:sz w:val="18"/>
          <w:szCs w:val="18"/>
        </w:rPr>
        <w:footnoteRef/>
      </w:r>
      <w:r w:rsidRPr="00BF3F7F">
        <w:rPr>
          <w:sz w:val="18"/>
          <w:szCs w:val="18"/>
        </w:rPr>
        <w:t xml:space="preserve"> </w:t>
      </w:r>
      <w:r w:rsidRPr="00BF3F7F">
        <w:rPr>
          <w:rFonts w:cstheme="majorHAnsi"/>
          <w:color w:val="000000" w:themeColor="text1"/>
          <w:sz w:val="18"/>
          <w:szCs w:val="18"/>
        </w:rPr>
        <w:t>DESE reserves the authority to engage in more detailed reviews of specific programs to ensure they are aligned with current evidence-based practices</w:t>
      </w:r>
      <w:r>
        <w:rPr>
          <w:rFonts w:cstheme="majorHAnsi"/>
          <w:color w:val="000000" w:themeColor="text1"/>
          <w:sz w:val="18"/>
          <w:szCs w:val="18"/>
        </w:rPr>
        <w:t>.</w:t>
      </w:r>
    </w:p>
  </w:footnote>
  <w:footnote w:id="19">
    <w:p w14:paraId="604644D5" w14:textId="09FF51FE" w:rsidR="00BF3F7F" w:rsidRPr="00BF3F7F" w:rsidRDefault="00BF3F7F">
      <w:pPr>
        <w:pStyle w:val="FootnoteText"/>
        <w:rPr>
          <w:sz w:val="18"/>
          <w:szCs w:val="18"/>
        </w:rPr>
      </w:pPr>
      <w:r w:rsidRPr="00BF3F7F">
        <w:rPr>
          <w:rStyle w:val="FootnoteReference"/>
          <w:sz w:val="18"/>
          <w:szCs w:val="18"/>
        </w:rPr>
        <w:footnoteRef/>
      </w:r>
      <w:r w:rsidRPr="00BF3F7F">
        <w:rPr>
          <w:sz w:val="18"/>
          <w:szCs w:val="18"/>
        </w:rPr>
        <w:t xml:space="preserve"> </w:t>
      </w:r>
      <w:r w:rsidRPr="00BF3F7F">
        <w:rPr>
          <w:rFonts w:cstheme="majorHAnsi"/>
          <w:color w:val="000000" w:themeColor="text1"/>
          <w:sz w:val="18"/>
          <w:szCs w:val="18"/>
        </w:rPr>
        <w:t>DESE reserves the authority to engage in more detailed reviews of specific programs to ensure they are aligned with current evidence-based practices.</w:t>
      </w:r>
    </w:p>
  </w:footnote>
  <w:footnote w:id="20">
    <w:p w14:paraId="6F99A86D" w14:textId="10DEED35" w:rsidR="00BF3F7F" w:rsidRPr="00BF3F7F" w:rsidRDefault="00BF3F7F">
      <w:pPr>
        <w:pStyle w:val="FootnoteText"/>
        <w:rPr>
          <w:sz w:val="18"/>
          <w:szCs w:val="18"/>
        </w:rPr>
      </w:pPr>
      <w:r w:rsidRPr="00BF3F7F">
        <w:rPr>
          <w:rStyle w:val="FootnoteReference"/>
          <w:sz w:val="18"/>
          <w:szCs w:val="18"/>
        </w:rPr>
        <w:footnoteRef/>
      </w:r>
      <w:r w:rsidRPr="00BF3F7F">
        <w:rPr>
          <w:sz w:val="18"/>
          <w:szCs w:val="18"/>
        </w:rPr>
        <w:t xml:space="preserve"> </w:t>
      </w:r>
      <w:r w:rsidRPr="00BF3F7F">
        <w:rPr>
          <w:rFonts w:cstheme="majorHAnsi"/>
          <w:color w:val="000000" w:themeColor="text1"/>
          <w:sz w:val="18"/>
          <w:szCs w:val="18"/>
        </w:rPr>
        <w:t>DESE reserves the authority to engage in more detailed reviews of specific programs to ensure they are aligned with current evidence-based practices.</w:t>
      </w:r>
    </w:p>
  </w:footnote>
  <w:footnote w:id="21">
    <w:p w14:paraId="14364505" w14:textId="77777777" w:rsidR="00551C94" w:rsidRPr="00B10631" w:rsidRDefault="00551C94" w:rsidP="00551C94">
      <w:pPr>
        <w:spacing w:line="240" w:lineRule="auto"/>
        <w:rPr>
          <w:rFonts w:ascii="Calibri" w:eastAsia="Calibri" w:hAnsi="Calibri" w:cs="Calibri"/>
          <w:sz w:val="18"/>
          <w:szCs w:val="18"/>
        </w:rPr>
      </w:pPr>
      <w:r w:rsidRPr="00B10631">
        <w:rPr>
          <w:sz w:val="18"/>
          <w:szCs w:val="18"/>
          <w:vertAlign w:val="superscript"/>
        </w:rPr>
        <w:footnoteRef/>
      </w:r>
      <w:r w:rsidRPr="00B10631">
        <w:rPr>
          <w:sz w:val="18"/>
          <w:szCs w:val="18"/>
        </w:rPr>
        <w:t xml:space="preserve"> </w:t>
      </w:r>
      <w:r w:rsidRPr="00B10631">
        <w:rPr>
          <w:rFonts w:ascii="Calibri" w:eastAsia="Calibri" w:hAnsi="Calibri" w:cs="Calibri"/>
          <w:sz w:val="18"/>
          <w:szCs w:val="18"/>
        </w:rPr>
        <w:t xml:space="preserve">Candidates may qualify for licensure through successful completion of an approved preparation program leading to the license sought, provided they meet all other licensure requirements. Individuals who complete approved preparation programs may be eligible for licensure reciprocity with other states that are parties to the </w:t>
      </w:r>
      <w:r w:rsidRPr="00B10631">
        <w:rPr>
          <w:rFonts w:ascii="Calibri" w:eastAsia="Calibri" w:hAnsi="Calibri" w:cs="Calibri"/>
          <w:color w:val="0000FF"/>
          <w:sz w:val="18"/>
          <w:szCs w:val="18"/>
          <w:u w:val="single"/>
        </w:rPr>
        <w:t>NASDTEC Interstate Agreement</w:t>
      </w:r>
      <w:r w:rsidRPr="00B10631">
        <w:rPr>
          <w:rFonts w:ascii="Calibri" w:eastAsia="Calibri" w:hAnsi="Calibri" w:cs="Calibri"/>
          <w:sz w:val="18"/>
          <w:szCs w:val="18"/>
        </w:rPr>
        <w:t xml:space="preserve">. </w:t>
      </w:r>
    </w:p>
  </w:footnote>
  <w:footnote w:id="22">
    <w:p w14:paraId="27B5E3B7" w14:textId="77777777" w:rsidR="00773980" w:rsidRPr="00633DC4" w:rsidRDefault="00773980" w:rsidP="00773980">
      <w:pPr>
        <w:pStyle w:val="FootnoteText"/>
        <w:rPr>
          <w:rFonts w:eastAsia="Segoe UI" w:cstheme="majorHAnsi"/>
          <w:color w:val="333333"/>
          <w:sz w:val="18"/>
          <w:szCs w:val="18"/>
        </w:rPr>
      </w:pPr>
      <w:r w:rsidRPr="00633DC4">
        <w:rPr>
          <w:rStyle w:val="FootnoteReference"/>
          <w:rFonts w:cstheme="majorHAnsi"/>
          <w:sz w:val="18"/>
          <w:szCs w:val="18"/>
        </w:rPr>
        <w:footnoteRef/>
      </w:r>
      <w:r w:rsidRPr="00633DC4">
        <w:rPr>
          <w:rFonts w:eastAsia="Segoe UI" w:cstheme="majorHAnsi"/>
          <w:color w:val="333333"/>
          <w:sz w:val="18"/>
          <w:szCs w:val="18"/>
        </w:rPr>
        <w:t>As it will take time to have data available that will indicate evidence of impact associated with new expectations, implementation inputs will be weighed more heavily until academic year 2026-2027.</w:t>
      </w:r>
    </w:p>
  </w:footnote>
  <w:footnote w:id="23">
    <w:p w14:paraId="1FB91431" w14:textId="77777777" w:rsidR="00815BCE" w:rsidRPr="00633DC4" w:rsidRDefault="00815BCE" w:rsidP="00815BCE">
      <w:pPr>
        <w:spacing w:line="240" w:lineRule="auto"/>
        <w:rPr>
          <w:rFonts w:ascii="Calibri" w:eastAsia="Calibri" w:hAnsi="Calibri" w:cs="Calibri"/>
          <w:sz w:val="18"/>
          <w:szCs w:val="18"/>
        </w:rPr>
      </w:pPr>
      <w:r w:rsidRPr="00633DC4">
        <w:rPr>
          <w:rStyle w:val="FootnoteReference"/>
          <w:sz w:val="18"/>
          <w:szCs w:val="18"/>
        </w:rPr>
        <w:footnoteRef/>
      </w:r>
      <w:r w:rsidRPr="00633DC4">
        <w:rPr>
          <w:sz w:val="18"/>
          <w:szCs w:val="18"/>
        </w:rPr>
        <w:t xml:space="preserve"> Currently approved educator preparation programs may continue operating, even beyond the seven-year approval window, until DESE has conducted the formal review process, unless the Sponsoring Organization does not submit required materials for review. If a Sponsoring Organization fails to meet one or more deadlines associated with review, program(s) will expire on the established expiration date of approval.</w:t>
      </w:r>
    </w:p>
  </w:footnote>
  <w:footnote w:id="24">
    <w:p w14:paraId="1A4866A8" w14:textId="77777777" w:rsidR="00815BCE" w:rsidRPr="00633DC4" w:rsidRDefault="00815BCE" w:rsidP="00815BCE">
      <w:pPr>
        <w:pStyle w:val="FootnoteText"/>
        <w:rPr>
          <w:rFonts w:ascii="Calibri" w:eastAsia="Calibri" w:hAnsi="Calibri" w:cs="Calibri"/>
          <w:i/>
          <w:iCs/>
          <w:sz w:val="18"/>
          <w:szCs w:val="18"/>
        </w:rPr>
      </w:pPr>
      <w:r w:rsidRPr="00633DC4">
        <w:rPr>
          <w:rStyle w:val="FootnoteReference"/>
          <w:sz w:val="18"/>
          <w:szCs w:val="18"/>
        </w:rPr>
        <w:footnoteRef/>
      </w:r>
      <w:r w:rsidRPr="00633DC4">
        <w:rPr>
          <w:sz w:val="18"/>
          <w:szCs w:val="18"/>
        </w:rPr>
        <w:t xml:space="preserve"> </w:t>
      </w:r>
      <w:r w:rsidRPr="00633DC4">
        <w:rPr>
          <w:rFonts w:ascii="Calibri" w:eastAsia="Calibri" w:hAnsi="Calibri" w:cs="Calibri"/>
          <w:sz w:val="18"/>
          <w:szCs w:val="18"/>
        </w:rPr>
        <w:t>Timing estimates are provided as an overview of what to expect in each stage and reflect the minimum amount of time that may be provided for each step. Timelines will vary slightly between Sponsoring Organizations. Each Sponsoring Organization will be provided with an individualized review schedule during the Initiation step.</w:t>
      </w:r>
    </w:p>
  </w:footnote>
  <w:footnote w:id="25">
    <w:p w14:paraId="6697001D" w14:textId="77777777" w:rsidR="00815BCE" w:rsidRPr="00B10631" w:rsidRDefault="00815BCE" w:rsidP="00815BCE">
      <w:pPr>
        <w:pStyle w:val="FootnoteText"/>
        <w:rPr>
          <w:rStyle w:val="Hyperlink"/>
          <w:rFonts w:ascii="Calibri" w:eastAsia="Calibri" w:hAnsi="Calibri" w:cs="Calibri"/>
          <w:sz w:val="18"/>
          <w:szCs w:val="18"/>
        </w:rPr>
      </w:pPr>
      <w:r w:rsidRPr="00633DC4">
        <w:rPr>
          <w:rStyle w:val="FootnoteReference"/>
          <w:sz w:val="18"/>
          <w:szCs w:val="18"/>
        </w:rPr>
        <w:footnoteRef/>
      </w:r>
      <w:r w:rsidRPr="00633DC4">
        <w:rPr>
          <w:sz w:val="18"/>
          <w:szCs w:val="18"/>
        </w:rPr>
        <w:t xml:space="preserve"> </w:t>
      </w:r>
      <w:r w:rsidRPr="00633DC4">
        <w:rPr>
          <w:rFonts w:ascii="Calibri" w:eastAsia="Calibri" w:hAnsi="Calibri" w:cs="Calibri"/>
          <w:sz w:val="18"/>
          <w:szCs w:val="18"/>
        </w:rPr>
        <w:t xml:space="preserve">The anticipated academic year and cohort group or each Sponsoring Organization's next review can be found on </w:t>
      </w:r>
      <w:hyperlink r:id="rId11">
        <w:r w:rsidRPr="00633DC4">
          <w:rPr>
            <w:rStyle w:val="Hyperlink"/>
            <w:rFonts w:ascii="Calibri" w:eastAsia="Calibri" w:hAnsi="Calibri" w:cs="Calibri"/>
            <w:sz w:val="18"/>
            <w:szCs w:val="18"/>
          </w:rPr>
          <w:t>DESE’s website.</w:t>
        </w:r>
      </w:hyperlink>
    </w:p>
  </w:footnote>
  <w:footnote w:id="26">
    <w:p w14:paraId="162BEDCB" w14:textId="08ECEC2C" w:rsidR="00E54DB1" w:rsidRPr="00014585" w:rsidRDefault="00E54DB1">
      <w:pPr>
        <w:pStyle w:val="FootnoteText"/>
        <w:rPr>
          <w:sz w:val="18"/>
          <w:szCs w:val="18"/>
        </w:rPr>
      </w:pPr>
      <w:r w:rsidRPr="000E1B26">
        <w:rPr>
          <w:rStyle w:val="FootnoteReference"/>
          <w:sz w:val="18"/>
          <w:szCs w:val="18"/>
        </w:rPr>
        <w:footnoteRef/>
      </w:r>
      <w:r w:rsidRPr="000E1B26">
        <w:rPr>
          <w:sz w:val="18"/>
          <w:szCs w:val="18"/>
        </w:rPr>
        <w:t xml:space="preserve"> This refers to the Sponsoring Organization</w:t>
      </w:r>
      <w:r w:rsidR="00BA775D" w:rsidRPr="000E1B26">
        <w:rPr>
          <w:sz w:val="18"/>
          <w:szCs w:val="18"/>
        </w:rPr>
        <w:t xml:space="preserve"> overall</w:t>
      </w:r>
      <w:r w:rsidRPr="000E1B26">
        <w:rPr>
          <w:sz w:val="18"/>
          <w:szCs w:val="18"/>
        </w:rPr>
        <w:t xml:space="preserve">. </w:t>
      </w:r>
      <w:r w:rsidR="00BA775D" w:rsidRPr="000E1B26">
        <w:rPr>
          <w:sz w:val="18"/>
          <w:szCs w:val="18"/>
        </w:rPr>
        <w:t>Individual license areas that have associated national</w:t>
      </w:r>
      <w:r w:rsidR="00BA775D" w:rsidRPr="000E1B26">
        <w:rPr>
          <w:spacing w:val="-4"/>
          <w:sz w:val="18"/>
          <w:szCs w:val="18"/>
        </w:rPr>
        <w:t xml:space="preserve"> </w:t>
      </w:r>
      <w:r w:rsidR="00BA775D" w:rsidRPr="000E1B26">
        <w:rPr>
          <w:sz w:val="18"/>
          <w:szCs w:val="18"/>
        </w:rPr>
        <w:t>accreditation</w:t>
      </w:r>
      <w:r w:rsidR="00BA775D" w:rsidRPr="000E1B26">
        <w:rPr>
          <w:spacing w:val="-3"/>
          <w:sz w:val="18"/>
          <w:szCs w:val="18"/>
        </w:rPr>
        <w:t xml:space="preserve"> </w:t>
      </w:r>
      <w:r w:rsidR="00BA775D" w:rsidRPr="000E1B26">
        <w:rPr>
          <w:sz w:val="18"/>
          <w:szCs w:val="18"/>
        </w:rPr>
        <w:t>required</w:t>
      </w:r>
      <w:r w:rsidR="00BA775D" w:rsidRPr="000E1B26">
        <w:rPr>
          <w:spacing w:val="-4"/>
          <w:sz w:val="18"/>
          <w:szCs w:val="18"/>
        </w:rPr>
        <w:t xml:space="preserve"> </w:t>
      </w:r>
      <w:r w:rsidR="00BA775D" w:rsidRPr="000E1B26">
        <w:rPr>
          <w:sz w:val="18"/>
          <w:szCs w:val="18"/>
        </w:rPr>
        <w:t>as</w:t>
      </w:r>
      <w:r w:rsidR="00BA775D" w:rsidRPr="000E1B26">
        <w:rPr>
          <w:spacing w:val="-2"/>
          <w:sz w:val="18"/>
          <w:szCs w:val="18"/>
        </w:rPr>
        <w:t xml:space="preserve"> </w:t>
      </w:r>
      <w:r w:rsidR="00BA775D" w:rsidRPr="000E1B26">
        <w:rPr>
          <w:sz w:val="18"/>
          <w:szCs w:val="18"/>
        </w:rPr>
        <w:t>per</w:t>
      </w:r>
      <w:r w:rsidR="00BA775D" w:rsidRPr="000E1B26">
        <w:rPr>
          <w:spacing w:val="-4"/>
          <w:sz w:val="18"/>
          <w:szCs w:val="18"/>
        </w:rPr>
        <w:t xml:space="preserve"> </w:t>
      </w:r>
      <w:hyperlink r:id="rId12">
        <w:r w:rsidR="00BA775D" w:rsidRPr="00014585">
          <w:rPr>
            <w:color w:val="0000FF"/>
            <w:sz w:val="18"/>
            <w:szCs w:val="18"/>
            <w:u w:val="single" w:color="0000FF"/>
          </w:rPr>
          <w:t>603</w:t>
        </w:r>
        <w:r w:rsidR="00BA775D" w:rsidRPr="00014585">
          <w:rPr>
            <w:color w:val="0000FF"/>
            <w:spacing w:val="-4"/>
            <w:sz w:val="18"/>
            <w:szCs w:val="18"/>
            <w:u w:val="single" w:color="0000FF"/>
          </w:rPr>
          <w:t xml:space="preserve"> </w:t>
        </w:r>
        <w:r w:rsidR="00BA775D" w:rsidRPr="00014585">
          <w:rPr>
            <w:color w:val="0000FF"/>
            <w:sz w:val="18"/>
            <w:szCs w:val="18"/>
            <w:u w:val="single" w:color="0000FF"/>
          </w:rPr>
          <w:t>CMR</w:t>
        </w:r>
        <w:r w:rsidR="00BA775D" w:rsidRPr="00014585">
          <w:rPr>
            <w:color w:val="0000FF"/>
            <w:spacing w:val="-4"/>
            <w:sz w:val="18"/>
            <w:szCs w:val="18"/>
            <w:u w:val="single" w:color="0000FF"/>
          </w:rPr>
          <w:t xml:space="preserve"> </w:t>
        </w:r>
        <w:r w:rsidR="00BA775D" w:rsidRPr="00014585">
          <w:rPr>
            <w:color w:val="0000FF"/>
            <w:sz w:val="18"/>
            <w:szCs w:val="18"/>
            <w:u w:val="single" w:color="0000FF"/>
          </w:rPr>
          <w:t>7.00</w:t>
        </w:r>
      </w:hyperlink>
      <w:r w:rsidR="00BA775D" w:rsidRPr="000E1B26">
        <w:rPr>
          <w:color w:val="0000FF"/>
          <w:spacing w:val="-2"/>
          <w:sz w:val="18"/>
          <w:szCs w:val="18"/>
        </w:rPr>
        <w:t xml:space="preserve"> </w:t>
      </w:r>
      <w:r w:rsidR="000E1B26" w:rsidRPr="00014585">
        <w:rPr>
          <w:sz w:val="18"/>
          <w:szCs w:val="18"/>
        </w:rPr>
        <w:t>must</w:t>
      </w:r>
      <w:r w:rsidR="000E1B26" w:rsidRPr="00014585">
        <w:rPr>
          <w:spacing w:val="-4"/>
          <w:sz w:val="18"/>
          <w:szCs w:val="18"/>
        </w:rPr>
        <w:t xml:space="preserve"> </w:t>
      </w:r>
      <w:r w:rsidR="00BA775D" w:rsidRPr="00014585">
        <w:rPr>
          <w:sz w:val="18"/>
          <w:szCs w:val="18"/>
        </w:rPr>
        <w:t>use</w:t>
      </w:r>
      <w:r w:rsidR="00BA775D" w:rsidRPr="00014585">
        <w:rPr>
          <w:spacing w:val="-3"/>
          <w:sz w:val="18"/>
          <w:szCs w:val="18"/>
        </w:rPr>
        <w:t xml:space="preserve"> </w:t>
      </w:r>
      <w:r w:rsidR="00BA775D" w:rsidRPr="00014585">
        <w:rPr>
          <w:sz w:val="18"/>
          <w:szCs w:val="18"/>
        </w:rPr>
        <w:t>documentation</w:t>
      </w:r>
      <w:r w:rsidR="00BA775D" w:rsidRPr="00014585">
        <w:rPr>
          <w:spacing w:val="-3"/>
          <w:sz w:val="18"/>
          <w:szCs w:val="18"/>
        </w:rPr>
        <w:t xml:space="preserve"> </w:t>
      </w:r>
      <w:r w:rsidR="00BA775D" w:rsidRPr="00014585">
        <w:rPr>
          <w:sz w:val="18"/>
          <w:szCs w:val="18"/>
        </w:rPr>
        <w:t>of</w:t>
      </w:r>
      <w:r w:rsidR="00BA775D" w:rsidRPr="00014585">
        <w:rPr>
          <w:spacing w:val="-4"/>
          <w:sz w:val="18"/>
          <w:szCs w:val="18"/>
        </w:rPr>
        <w:t xml:space="preserve"> </w:t>
      </w:r>
      <w:r w:rsidR="00BA775D" w:rsidRPr="00014585">
        <w:rPr>
          <w:sz w:val="18"/>
          <w:szCs w:val="18"/>
        </w:rPr>
        <w:t>that accreditation to meet the expectations for program approval.</w:t>
      </w:r>
    </w:p>
  </w:footnote>
  <w:footnote w:id="27">
    <w:p w14:paraId="1DC3402B" w14:textId="186A6BD1" w:rsidR="00E44315" w:rsidRPr="00E44315" w:rsidRDefault="00E44315">
      <w:pPr>
        <w:pStyle w:val="FootnoteText"/>
        <w:rPr>
          <w:sz w:val="18"/>
          <w:szCs w:val="18"/>
        </w:rPr>
      </w:pPr>
      <w:r w:rsidRPr="00E44315">
        <w:rPr>
          <w:rStyle w:val="FootnoteReference"/>
          <w:sz w:val="18"/>
          <w:szCs w:val="18"/>
        </w:rPr>
        <w:footnoteRef/>
      </w:r>
      <w:r w:rsidRPr="00E44315">
        <w:rPr>
          <w:sz w:val="18"/>
          <w:szCs w:val="18"/>
        </w:rPr>
        <w:t xml:space="preserve"> </w:t>
      </w:r>
      <w:r w:rsidRPr="00E44315">
        <w:rPr>
          <w:rFonts w:eastAsia="Calibri" w:cstheme="majorHAnsi"/>
          <w:sz w:val="18"/>
          <w:szCs w:val="18"/>
        </w:rPr>
        <w:t>If the most appropriate setting for an individual candidate does not have all these aspects in place, it is the responsibility of the SO to directly support the candidate in interrogating gap(s) within the specific setting and providing additional resources in that area. DESE may request evidence of these additional resources at the time of an interim or formal review.</w:t>
      </w:r>
    </w:p>
  </w:footnote>
  <w:footnote w:id="28">
    <w:p w14:paraId="50CC2827" w14:textId="123794BC" w:rsidR="00E44315" w:rsidRPr="00E44315" w:rsidRDefault="00E44315">
      <w:pPr>
        <w:pStyle w:val="FootnoteText"/>
        <w:rPr>
          <w:sz w:val="18"/>
          <w:szCs w:val="18"/>
        </w:rPr>
      </w:pPr>
      <w:r w:rsidRPr="00E44315">
        <w:rPr>
          <w:rStyle w:val="FootnoteReference"/>
          <w:sz w:val="18"/>
          <w:szCs w:val="18"/>
        </w:rPr>
        <w:footnoteRef/>
      </w:r>
      <w:r w:rsidRPr="00E44315">
        <w:rPr>
          <w:sz w:val="18"/>
          <w:szCs w:val="18"/>
        </w:rPr>
        <w:t xml:space="preserve"> </w:t>
      </w:r>
      <w:r w:rsidRPr="00E44315">
        <w:rPr>
          <w:rFonts w:eastAsia="Calibri" w:cstheme="majorHAnsi"/>
          <w:sz w:val="18"/>
          <w:szCs w:val="18"/>
        </w:rPr>
        <w:t>If an individual candidate is unable to be matched with a Supervising Practitioner that models anti-racist and culturally and linguistically sustaining practices, despite attempts by the SO to find such a Supervising Practitioner, it is the responsibility of the SO to directly support the candidate with additional resources or support in that area. DESE may request evidence of these additional resources at the time of an interim or formal review.</w:t>
      </w:r>
    </w:p>
  </w:footnote>
  <w:footnote w:id="29">
    <w:p w14:paraId="50D85821" w14:textId="7686674F" w:rsidR="00255EDF" w:rsidRPr="00116264" w:rsidRDefault="00255EDF">
      <w:pPr>
        <w:pStyle w:val="FootnoteText"/>
        <w:rPr>
          <w:sz w:val="18"/>
          <w:szCs w:val="18"/>
        </w:rPr>
      </w:pPr>
      <w:r w:rsidRPr="00116264">
        <w:rPr>
          <w:rStyle w:val="FootnoteReference"/>
          <w:sz w:val="18"/>
          <w:szCs w:val="18"/>
        </w:rPr>
        <w:footnoteRef/>
      </w:r>
      <w:r w:rsidRPr="00116264">
        <w:rPr>
          <w:sz w:val="18"/>
          <w:szCs w:val="18"/>
        </w:rPr>
        <w:t xml:space="preserve"> </w:t>
      </w:r>
      <w:r w:rsidRPr="00255EDF">
        <w:rPr>
          <w:sz w:val="18"/>
          <w:szCs w:val="18"/>
        </w:rPr>
        <w:t>High</w:t>
      </w:r>
      <w:r w:rsidR="5E5DEAB0" w:rsidRPr="00255EDF">
        <w:rPr>
          <w:sz w:val="18"/>
          <w:szCs w:val="18"/>
        </w:rPr>
        <w:t>-</w:t>
      </w:r>
      <w:r w:rsidRPr="00255EDF">
        <w:rPr>
          <w:sz w:val="18"/>
          <w:szCs w:val="18"/>
        </w:rPr>
        <w:t>quality feedback is specific (evidence-based), concrete (related to quality, scope, and/or consistency of practice), useful (provides the candidate with clear next steps for improvement), and addresses areas of both strength and improvement.</w:t>
      </w:r>
    </w:p>
  </w:footnote>
  <w:footnote w:id="30">
    <w:p w14:paraId="340EA06D" w14:textId="78D03E78" w:rsidR="009A4E01" w:rsidRPr="00947C70" w:rsidRDefault="009A4E01">
      <w:pPr>
        <w:pStyle w:val="FootnoteText"/>
        <w:rPr>
          <w:sz w:val="18"/>
          <w:szCs w:val="18"/>
        </w:rPr>
      </w:pPr>
      <w:r w:rsidRPr="00633DC4">
        <w:rPr>
          <w:rStyle w:val="FootnoteReference"/>
          <w:rFonts w:cstheme="majorHAnsi"/>
          <w:sz w:val="18"/>
          <w:szCs w:val="18"/>
        </w:rPr>
        <w:footnoteRef/>
      </w:r>
      <w:r w:rsidRPr="00633DC4">
        <w:rPr>
          <w:rFonts w:cstheme="majorHAnsi"/>
          <w:sz w:val="18"/>
          <w:szCs w:val="18"/>
        </w:rPr>
        <w:t xml:space="preserve"> </w:t>
      </w:r>
      <w:r w:rsidR="00947C70" w:rsidRPr="00E44315">
        <w:rPr>
          <w:rStyle w:val="normaltextrun"/>
          <w:rFonts w:ascii="Calibri" w:hAnsi="Calibri" w:cs="Calibri"/>
          <w:color w:val="000000"/>
          <w:sz w:val="18"/>
          <w:szCs w:val="18"/>
          <w:shd w:val="clear" w:color="auto" w:fill="FFFFFF"/>
        </w:rPr>
        <w:t xml:space="preserve">The </w:t>
      </w:r>
      <w:hyperlink r:id="rId13" w:tgtFrame="_blank" w:history="1">
        <w:r w:rsidR="00947C70" w:rsidRPr="00437A8B">
          <w:rPr>
            <w:rStyle w:val="normaltextrun"/>
            <w:rFonts w:ascii="Calibri" w:hAnsi="Calibri" w:cs="Calibri"/>
            <w:color w:val="0000FF"/>
            <w:sz w:val="18"/>
            <w:szCs w:val="18"/>
            <w:u w:val="single"/>
            <w:shd w:val="clear" w:color="auto" w:fill="FFFFFF"/>
          </w:rPr>
          <w:t>Classroom Teacher Model Educator Evaluation Rubric</w:t>
        </w:r>
      </w:hyperlink>
      <w:r w:rsidR="00947C70" w:rsidRPr="00E44315">
        <w:rPr>
          <w:rStyle w:val="normaltextrun"/>
          <w:rFonts w:ascii="Calibri" w:hAnsi="Calibri" w:cs="Calibri"/>
          <w:color w:val="000000"/>
          <w:sz w:val="18"/>
          <w:szCs w:val="18"/>
          <w:shd w:val="clear" w:color="auto" w:fill="FFFFFF"/>
        </w:rPr>
        <w:t xml:space="preserve"> is </w:t>
      </w:r>
      <w:r w:rsidR="00947C70">
        <w:rPr>
          <w:rStyle w:val="normaltextrun"/>
          <w:rFonts w:ascii="Calibri" w:hAnsi="Calibri" w:cs="Calibri"/>
          <w:color w:val="000000"/>
          <w:sz w:val="18"/>
          <w:szCs w:val="18"/>
          <w:shd w:val="clear" w:color="auto" w:fill="FFFFFF"/>
        </w:rPr>
        <w:t>under revision during SY2022-23 and SY2023-24</w:t>
      </w:r>
      <w:r w:rsidR="00947C70" w:rsidRPr="00E44315">
        <w:rPr>
          <w:rStyle w:val="normaltextrun"/>
          <w:rFonts w:ascii="Calibri" w:hAnsi="Calibri" w:cs="Calibri"/>
          <w:color w:val="000000"/>
          <w:sz w:val="18"/>
          <w:szCs w:val="18"/>
          <w:shd w:val="clear" w:color="auto" w:fill="FFFFFF"/>
        </w:rPr>
        <w:t>. Once finalized, the Professional Standards for Teachers will be updated to align</w:t>
      </w:r>
      <w:r w:rsidR="00947C70">
        <w:rPr>
          <w:rStyle w:val="normaltextrun"/>
          <w:rFonts w:ascii="Calibri" w:hAnsi="Calibri" w:cs="Calibri"/>
          <w:color w:val="000000"/>
          <w:sz w:val="18"/>
          <w:szCs w:val="18"/>
          <w:shd w:val="clear" w:color="auto" w:fill="FFFFFF"/>
        </w:rPr>
        <w:t>, and</w:t>
      </w:r>
      <w:r w:rsidR="00947C70" w:rsidRPr="00E44315">
        <w:rPr>
          <w:rStyle w:val="normaltextrun"/>
          <w:rFonts w:ascii="Calibri" w:hAnsi="Calibri" w:cs="Calibri"/>
          <w:color w:val="000000"/>
          <w:sz w:val="18"/>
          <w:szCs w:val="18"/>
          <w:shd w:val="clear" w:color="auto" w:fill="FFFFFF"/>
        </w:rPr>
        <w:t xml:space="preserve"> CAP will be updated following those revisions.</w:t>
      </w:r>
      <w:r w:rsidR="00947C70" w:rsidRPr="00E44315">
        <w:rPr>
          <w:rStyle w:val="eop"/>
          <w:rFonts w:ascii="Calibri" w:hAnsi="Calibri" w:cs="Calibri"/>
          <w:color w:val="000000"/>
          <w:sz w:val="18"/>
          <w:szCs w:val="18"/>
          <w:shd w:val="clear" w:color="auto" w:fill="FFFFFF"/>
        </w:rPr>
        <w:t> </w:t>
      </w:r>
    </w:p>
  </w:footnote>
  <w:footnote w:id="31">
    <w:p w14:paraId="54544F09" w14:textId="5BC5B82D" w:rsidR="00CD2CA9" w:rsidRPr="00B10631" w:rsidRDefault="00CD2CA9" w:rsidP="00CD2CA9">
      <w:pPr>
        <w:pStyle w:val="FootnoteText"/>
        <w:rPr>
          <w:sz w:val="18"/>
          <w:szCs w:val="18"/>
        </w:rPr>
      </w:pPr>
      <w:r w:rsidRPr="00B10631">
        <w:rPr>
          <w:rStyle w:val="FootnoteReference"/>
          <w:sz w:val="18"/>
          <w:szCs w:val="18"/>
        </w:rPr>
        <w:footnoteRef/>
      </w:r>
      <w:r w:rsidRPr="00B10631">
        <w:rPr>
          <w:sz w:val="18"/>
          <w:szCs w:val="18"/>
        </w:rPr>
        <w:t xml:space="preserve"> </w:t>
      </w:r>
      <w:r w:rsidR="00857422" w:rsidRPr="00E44315">
        <w:rPr>
          <w:rStyle w:val="normaltextrun"/>
          <w:rFonts w:ascii="Calibri" w:hAnsi="Calibri" w:cs="Calibri"/>
          <w:color w:val="000000"/>
          <w:sz w:val="18"/>
          <w:szCs w:val="18"/>
          <w:shd w:val="clear" w:color="auto" w:fill="FFFFFF"/>
        </w:rPr>
        <w:t xml:space="preserve">The </w:t>
      </w:r>
      <w:hyperlink r:id="rId14" w:tgtFrame="_blank" w:history="1">
        <w:r w:rsidR="00857422" w:rsidRPr="00437A8B">
          <w:rPr>
            <w:rStyle w:val="normaltextrun"/>
            <w:rFonts w:ascii="Calibri" w:hAnsi="Calibri" w:cs="Calibri"/>
            <w:color w:val="0000FF"/>
            <w:sz w:val="18"/>
            <w:szCs w:val="18"/>
            <w:u w:val="single"/>
            <w:shd w:val="clear" w:color="auto" w:fill="FFFFFF"/>
          </w:rPr>
          <w:t>Classroom Teacher Model Educator Evaluation Rubric</w:t>
        </w:r>
      </w:hyperlink>
      <w:r w:rsidR="00857422" w:rsidRPr="00E44315">
        <w:rPr>
          <w:rStyle w:val="normaltextrun"/>
          <w:rFonts w:ascii="Calibri" w:hAnsi="Calibri" w:cs="Calibri"/>
          <w:color w:val="000000"/>
          <w:sz w:val="18"/>
          <w:szCs w:val="18"/>
          <w:shd w:val="clear" w:color="auto" w:fill="FFFFFF"/>
        </w:rPr>
        <w:t xml:space="preserve"> is </w:t>
      </w:r>
      <w:r w:rsidR="00857422">
        <w:rPr>
          <w:rStyle w:val="normaltextrun"/>
          <w:rFonts w:ascii="Calibri" w:hAnsi="Calibri" w:cs="Calibri"/>
          <w:color w:val="000000"/>
          <w:sz w:val="18"/>
          <w:szCs w:val="18"/>
          <w:shd w:val="clear" w:color="auto" w:fill="FFFFFF"/>
        </w:rPr>
        <w:t>under revision and will be finalized by SY2024-25, at which point</w:t>
      </w:r>
      <w:r w:rsidR="00857422" w:rsidRPr="00E44315">
        <w:rPr>
          <w:rStyle w:val="normaltextrun"/>
          <w:rFonts w:ascii="Calibri" w:hAnsi="Calibri" w:cs="Calibri"/>
          <w:color w:val="000000"/>
          <w:sz w:val="18"/>
          <w:szCs w:val="18"/>
          <w:shd w:val="clear" w:color="auto" w:fill="FFFFFF"/>
        </w:rPr>
        <w:t xml:space="preserve"> the Professional Standards for Teachers will be updated to align. CAP will be updated following those revisions. Programs </w:t>
      </w:r>
      <w:r w:rsidR="00857422">
        <w:rPr>
          <w:rStyle w:val="normaltextrun"/>
          <w:rFonts w:ascii="Calibri" w:hAnsi="Calibri" w:cs="Calibri"/>
          <w:color w:val="000000"/>
          <w:sz w:val="18"/>
          <w:szCs w:val="18"/>
          <w:shd w:val="clear" w:color="auto" w:fill="FFFFFF"/>
        </w:rPr>
        <w:t>may access</w:t>
      </w:r>
      <w:r w:rsidR="00857422" w:rsidRPr="00E44315">
        <w:rPr>
          <w:rStyle w:val="normaltextrun"/>
          <w:rFonts w:ascii="Calibri" w:hAnsi="Calibri" w:cs="Calibri"/>
          <w:color w:val="000000"/>
          <w:sz w:val="18"/>
          <w:szCs w:val="18"/>
          <w:shd w:val="clear" w:color="auto" w:fill="FFFFFF"/>
        </w:rPr>
        <w:t xml:space="preserve"> </w:t>
      </w:r>
      <w:r w:rsidR="00857422">
        <w:rPr>
          <w:rStyle w:val="normaltextrun"/>
          <w:rFonts w:ascii="Calibri" w:hAnsi="Calibri" w:cs="Calibri"/>
          <w:color w:val="000000"/>
          <w:sz w:val="18"/>
          <w:szCs w:val="18"/>
          <w:shd w:val="clear" w:color="auto" w:fill="FFFFFF"/>
        </w:rPr>
        <w:t>t</w:t>
      </w:r>
      <w:r w:rsidR="00857422" w:rsidRPr="00E44315">
        <w:rPr>
          <w:rStyle w:val="normaltextrun"/>
          <w:rFonts w:ascii="Calibri" w:hAnsi="Calibri" w:cs="Calibri"/>
          <w:color w:val="000000"/>
          <w:sz w:val="18"/>
          <w:szCs w:val="18"/>
          <w:shd w:val="clear" w:color="auto" w:fill="FFFFFF"/>
        </w:rPr>
        <w:t>he draft rubric</w:t>
      </w:r>
      <w:r w:rsidR="00857422">
        <w:rPr>
          <w:rStyle w:val="normaltextrun"/>
          <w:rFonts w:ascii="Calibri" w:hAnsi="Calibri" w:cs="Calibri"/>
          <w:color w:val="000000"/>
          <w:sz w:val="18"/>
          <w:szCs w:val="18"/>
          <w:shd w:val="clear" w:color="auto" w:fill="FFFFFF"/>
        </w:rPr>
        <w:t xml:space="preserve"> at </w:t>
      </w:r>
      <w:hyperlink r:id="rId15" w:history="1">
        <w:r w:rsidR="00857422" w:rsidRPr="00D870C3">
          <w:rPr>
            <w:rStyle w:val="Hyperlink"/>
            <w:rFonts w:ascii="Calibri" w:hAnsi="Calibri" w:cs="Calibri"/>
            <w:sz w:val="18"/>
            <w:szCs w:val="18"/>
            <w:shd w:val="clear" w:color="auto" w:fill="FFFFFF"/>
          </w:rPr>
          <w:t>https://www.doe.mass.edu/edeval/rubrics/updates/</w:t>
        </w:r>
      </w:hyperlink>
      <w:r w:rsidR="00857422">
        <w:rPr>
          <w:rStyle w:val="normaltextrun"/>
          <w:rFonts w:ascii="Calibri" w:hAnsi="Calibri" w:cs="Calibri"/>
          <w:color w:val="000000"/>
          <w:sz w:val="18"/>
          <w:szCs w:val="18"/>
          <w:shd w:val="clear" w:color="auto" w:fill="FFFFFF"/>
        </w:rPr>
        <w:t xml:space="preserve"> </w:t>
      </w:r>
      <w:r w:rsidR="00857422" w:rsidRPr="00E44315">
        <w:rPr>
          <w:rStyle w:val="normaltextrun"/>
          <w:rFonts w:ascii="Calibri" w:hAnsi="Calibri" w:cs="Calibri"/>
          <w:color w:val="000000"/>
          <w:sz w:val="18"/>
          <w:szCs w:val="18"/>
          <w:shd w:val="clear" w:color="auto" w:fill="FFFFFF"/>
        </w:rPr>
        <w:t xml:space="preserve">to </w:t>
      </w:r>
      <w:r w:rsidR="00857422">
        <w:rPr>
          <w:rStyle w:val="normaltextrun"/>
          <w:rFonts w:ascii="Calibri" w:hAnsi="Calibri" w:cs="Calibri"/>
          <w:color w:val="000000"/>
          <w:sz w:val="18"/>
          <w:szCs w:val="18"/>
          <w:shd w:val="clear" w:color="auto" w:fill="FFFFFF"/>
        </w:rPr>
        <w:t>monitor proposed revisions</w:t>
      </w:r>
      <w:r w:rsidR="00857422" w:rsidRPr="00E44315">
        <w:rPr>
          <w:rStyle w:val="normaltextrun"/>
          <w:rFonts w:ascii="Calibri" w:hAnsi="Calibri" w:cs="Calibri"/>
          <w:color w:val="000000"/>
          <w:sz w:val="18"/>
          <w:szCs w:val="18"/>
          <w:shd w:val="clear" w:color="auto" w:fill="FFFFFF"/>
        </w:rPr>
        <w:t>.</w:t>
      </w:r>
      <w:r w:rsidR="00857422" w:rsidRPr="00E44315">
        <w:rPr>
          <w:rStyle w:val="eop"/>
          <w:rFonts w:ascii="Calibri" w:hAnsi="Calibri" w:cs="Calibri"/>
          <w:color w:val="000000"/>
          <w:sz w:val="18"/>
          <w:szCs w:val="18"/>
          <w:shd w:val="clear" w:color="auto" w:fill="FFFFFF"/>
        </w:rPr>
        <w:t> </w:t>
      </w:r>
      <w:r w:rsidRPr="00B10631">
        <w:rPr>
          <w:rStyle w:val="normaltextrun"/>
          <w:rFonts w:ascii="Calibri" w:hAnsi="Calibri" w:cs="Calibri"/>
          <w:color w:val="000000"/>
          <w:sz w:val="18"/>
          <w:szCs w:val="18"/>
          <w:shd w:val="clear" w:color="auto" w:fill="FFFFFF"/>
        </w:rPr>
        <w:t>.</w:t>
      </w:r>
      <w:r w:rsidRPr="00B10631">
        <w:rPr>
          <w:rStyle w:val="eop"/>
          <w:rFonts w:ascii="Calibri" w:hAnsi="Calibri" w:cs="Calibri"/>
          <w:color w:val="000000"/>
          <w:sz w:val="18"/>
          <w:szCs w:val="18"/>
          <w:shd w:val="clear" w:color="auto" w:fill="FFFFFF"/>
        </w:rPr>
        <w:t> </w:t>
      </w:r>
    </w:p>
  </w:footnote>
  <w:footnote w:id="32">
    <w:p w14:paraId="4168E9A1" w14:textId="77777777" w:rsidR="00CD2CA9" w:rsidRPr="00B10631" w:rsidRDefault="00CD2CA9" w:rsidP="00CD2CA9">
      <w:pPr>
        <w:pStyle w:val="FootnoteText"/>
        <w:rPr>
          <w:sz w:val="18"/>
          <w:szCs w:val="18"/>
        </w:rPr>
      </w:pPr>
      <w:r w:rsidRPr="00B10631">
        <w:rPr>
          <w:rStyle w:val="FootnoteReference"/>
          <w:sz w:val="18"/>
          <w:szCs w:val="18"/>
        </w:rPr>
        <w:footnoteRef/>
      </w:r>
      <w:r w:rsidRPr="00B10631">
        <w:rPr>
          <w:sz w:val="18"/>
          <w:szCs w:val="18"/>
        </w:rPr>
        <w:t xml:space="preserve"> See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6B88F" w14:textId="3CFA6060" w:rsidR="00442DDC" w:rsidRDefault="00442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44DC0" w14:textId="6C501D03" w:rsidR="00991FB2" w:rsidRDefault="00991FB2" w:rsidP="00BC1F72">
    <w:pPr>
      <w:jc w:val="right"/>
    </w:pPr>
  </w:p>
  <w:p w14:paraId="3353F6C0" w14:textId="3EE8E38E" w:rsidR="00991FB2" w:rsidRPr="000843DA" w:rsidRDefault="003D4186" w:rsidP="003D4186">
    <w:pPr>
      <w:pStyle w:val="Heading1"/>
      <w:rPr>
        <w:sz w:val="28"/>
        <w:szCs w:val="44"/>
      </w:rPr>
    </w:pPr>
    <w:r w:rsidRPr="000843DA">
      <w:rPr>
        <w:sz w:val="28"/>
        <w:szCs w:val="44"/>
      </w:rPr>
      <w:t xml:space="preserve">Guidelines for </w:t>
    </w:r>
    <w:r w:rsidR="00700101" w:rsidRPr="000843DA">
      <w:rPr>
        <w:sz w:val="28"/>
        <w:szCs w:val="44"/>
      </w:rPr>
      <w:t xml:space="preserve">Educator Preparation </w:t>
    </w:r>
    <w:r w:rsidRPr="000843DA">
      <w:rPr>
        <w:sz w:val="28"/>
        <w:szCs w:val="44"/>
      </w:rPr>
      <w:t>Program Approval</w:t>
    </w:r>
    <w:r w:rsidR="00BB2F55">
      <w:rPr>
        <w:sz w:val="28"/>
        <w:szCs w:val="44"/>
      </w:rPr>
      <w:t xml:space="preserve">                 </w:t>
    </w:r>
    <w:r w:rsidR="00BB2F55">
      <w:rPr>
        <w:noProof/>
      </w:rPr>
      <w:drawing>
        <wp:inline distT="0" distB="0" distL="0" distR="0" wp14:anchorId="67E85EE1" wp14:editId="6EB8F4AA">
          <wp:extent cx="1151890" cy="688340"/>
          <wp:effectExtent l="0" t="0" r="0" b="0"/>
          <wp:docPr id="3" name="Picture 3" descr="A picture containing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logo&#1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6883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73925" w14:textId="6E0E7DBB" w:rsidR="00442DDC" w:rsidRDefault="00442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2D44"/>
    <w:multiLevelType w:val="hybridMultilevel"/>
    <w:tmpl w:val="851C00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636995"/>
    <w:multiLevelType w:val="hybridMultilevel"/>
    <w:tmpl w:val="8634F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F04963"/>
    <w:multiLevelType w:val="multilevel"/>
    <w:tmpl w:val="45D8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1F4F01"/>
    <w:multiLevelType w:val="hybridMultilevel"/>
    <w:tmpl w:val="5B0E9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A900A8"/>
    <w:multiLevelType w:val="hybridMultilevel"/>
    <w:tmpl w:val="5016B12A"/>
    <w:lvl w:ilvl="0" w:tplc="0EC4BEE8">
      <w:start w:val="1"/>
      <w:numFmt w:val="decimal"/>
      <w:lvlText w:val="%1."/>
      <w:lvlJc w:val="left"/>
      <w:pPr>
        <w:ind w:left="720" w:hanging="360"/>
      </w:pPr>
    </w:lvl>
    <w:lvl w:ilvl="1" w:tplc="788E3CFC">
      <w:start w:val="1"/>
      <w:numFmt w:val="lowerLetter"/>
      <w:lvlText w:val="%2."/>
      <w:lvlJc w:val="left"/>
      <w:pPr>
        <w:ind w:left="1440" w:hanging="360"/>
      </w:pPr>
    </w:lvl>
    <w:lvl w:ilvl="2" w:tplc="FCCA79DC">
      <w:start w:val="1"/>
      <w:numFmt w:val="lowerRoman"/>
      <w:lvlText w:val="%3."/>
      <w:lvlJc w:val="right"/>
      <w:pPr>
        <w:ind w:left="2160" w:hanging="180"/>
      </w:pPr>
    </w:lvl>
    <w:lvl w:ilvl="3" w:tplc="6D0CE84E">
      <w:start w:val="1"/>
      <w:numFmt w:val="decimal"/>
      <w:lvlText w:val="%4."/>
      <w:lvlJc w:val="left"/>
      <w:pPr>
        <w:ind w:left="2880" w:hanging="360"/>
      </w:pPr>
    </w:lvl>
    <w:lvl w:ilvl="4" w:tplc="A78898B8">
      <w:start w:val="1"/>
      <w:numFmt w:val="lowerLetter"/>
      <w:lvlText w:val="%5."/>
      <w:lvlJc w:val="left"/>
      <w:pPr>
        <w:ind w:left="3600" w:hanging="360"/>
      </w:pPr>
    </w:lvl>
    <w:lvl w:ilvl="5" w:tplc="4D60F490">
      <w:start w:val="1"/>
      <w:numFmt w:val="lowerRoman"/>
      <w:lvlText w:val="%6."/>
      <w:lvlJc w:val="right"/>
      <w:pPr>
        <w:ind w:left="4320" w:hanging="180"/>
      </w:pPr>
    </w:lvl>
    <w:lvl w:ilvl="6" w:tplc="D6948FEE">
      <w:start w:val="1"/>
      <w:numFmt w:val="decimal"/>
      <w:lvlText w:val="%7."/>
      <w:lvlJc w:val="left"/>
      <w:pPr>
        <w:ind w:left="5040" w:hanging="360"/>
      </w:pPr>
    </w:lvl>
    <w:lvl w:ilvl="7" w:tplc="FF0C3088">
      <w:start w:val="1"/>
      <w:numFmt w:val="lowerLetter"/>
      <w:lvlText w:val="%8."/>
      <w:lvlJc w:val="left"/>
      <w:pPr>
        <w:ind w:left="5760" w:hanging="360"/>
      </w:pPr>
    </w:lvl>
    <w:lvl w:ilvl="8" w:tplc="5B785FEC">
      <w:start w:val="1"/>
      <w:numFmt w:val="lowerRoman"/>
      <w:lvlText w:val="%9."/>
      <w:lvlJc w:val="right"/>
      <w:pPr>
        <w:ind w:left="6480" w:hanging="180"/>
      </w:pPr>
    </w:lvl>
  </w:abstractNum>
  <w:abstractNum w:abstractNumId="5" w15:restartNumberingAfterBreak="0">
    <w:nsid w:val="0B7077E4"/>
    <w:multiLevelType w:val="multilevel"/>
    <w:tmpl w:val="6374F116"/>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BCD74CB"/>
    <w:multiLevelType w:val="hybridMultilevel"/>
    <w:tmpl w:val="C3483FD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CF612C"/>
    <w:multiLevelType w:val="multilevel"/>
    <w:tmpl w:val="2FAE8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FA5AE4"/>
    <w:multiLevelType w:val="multilevel"/>
    <w:tmpl w:val="6A4442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FBF3FBD"/>
    <w:multiLevelType w:val="multilevel"/>
    <w:tmpl w:val="DBFAC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290E61"/>
    <w:multiLevelType w:val="hybridMultilevel"/>
    <w:tmpl w:val="B1D25A0C"/>
    <w:lvl w:ilvl="0" w:tplc="EADCA18C">
      <w:start w:val="1"/>
      <w:numFmt w:val="bullet"/>
      <w:lvlText w:val=""/>
      <w:lvlJc w:val="left"/>
      <w:pPr>
        <w:ind w:left="720" w:hanging="360"/>
      </w:pPr>
      <w:rPr>
        <w:rFonts w:ascii="Symbol" w:hAnsi="Symbol" w:hint="default"/>
      </w:rPr>
    </w:lvl>
    <w:lvl w:ilvl="1" w:tplc="ED86E9AA">
      <w:start w:val="1"/>
      <w:numFmt w:val="bullet"/>
      <w:lvlText w:val="o"/>
      <w:lvlJc w:val="left"/>
      <w:pPr>
        <w:ind w:left="1440" w:hanging="360"/>
      </w:pPr>
      <w:rPr>
        <w:rFonts w:ascii="Courier New" w:hAnsi="Courier New" w:hint="default"/>
      </w:rPr>
    </w:lvl>
    <w:lvl w:ilvl="2" w:tplc="C0806C58">
      <w:start w:val="1"/>
      <w:numFmt w:val="bullet"/>
      <w:lvlText w:val=""/>
      <w:lvlJc w:val="left"/>
      <w:pPr>
        <w:ind w:left="2160" w:hanging="360"/>
      </w:pPr>
      <w:rPr>
        <w:rFonts w:ascii="Wingdings" w:hAnsi="Wingdings" w:hint="default"/>
      </w:rPr>
    </w:lvl>
    <w:lvl w:ilvl="3" w:tplc="00E0D424">
      <w:start w:val="1"/>
      <w:numFmt w:val="bullet"/>
      <w:lvlText w:val=""/>
      <w:lvlJc w:val="left"/>
      <w:pPr>
        <w:ind w:left="2880" w:hanging="360"/>
      </w:pPr>
      <w:rPr>
        <w:rFonts w:ascii="Symbol" w:hAnsi="Symbol" w:hint="default"/>
      </w:rPr>
    </w:lvl>
    <w:lvl w:ilvl="4" w:tplc="123CDF5C">
      <w:start w:val="1"/>
      <w:numFmt w:val="bullet"/>
      <w:lvlText w:val="o"/>
      <w:lvlJc w:val="left"/>
      <w:pPr>
        <w:ind w:left="3600" w:hanging="360"/>
      </w:pPr>
      <w:rPr>
        <w:rFonts w:ascii="Courier New" w:hAnsi="Courier New" w:hint="default"/>
      </w:rPr>
    </w:lvl>
    <w:lvl w:ilvl="5" w:tplc="52D42480">
      <w:start w:val="1"/>
      <w:numFmt w:val="bullet"/>
      <w:lvlText w:val=""/>
      <w:lvlJc w:val="left"/>
      <w:pPr>
        <w:ind w:left="4320" w:hanging="360"/>
      </w:pPr>
      <w:rPr>
        <w:rFonts w:ascii="Wingdings" w:hAnsi="Wingdings" w:hint="default"/>
      </w:rPr>
    </w:lvl>
    <w:lvl w:ilvl="6" w:tplc="C25E01D4">
      <w:start w:val="1"/>
      <w:numFmt w:val="bullet"/>
      <w:lvlText w:val=""/>
      <w:lvlJc w:val="left"/>
      <w:pPr>
        <w:ind w:left="5040" w:hanging="360"/>
      </w:pPr>
      <w:rPr>
        <w:rFonts w:ascii="Symbol" w:hAnsi="Symbol" w:hint="default"/>
      </w:rPr>
    </w:lvl>
    <w:lvl w:ilvl="7" w:tplc="824AF80C">
      <w:start w:val="1"/>
      <w:numFmt w:val="bullet"/>
      <w:lvlText w:val="o"/>
      <w:lvlJc w:val="left"/>
      <w:pPr>
        <w:ind w:left="5760" w:hanging="360"/>
      </w:pPr>
      <w:rPr>
        <w:rFonts w:ascii="Courier New" w:hAnsi="Courier New" w:hint="default"/>
      </w:rPr>
    </w:lvl>
    <w:lvl w:ilvl="8" w:tplc="68D672D4">
      <w:start w:val="1"/>
      <w:numFmt w:val="bullet"/>
      <w:lvlText w:val=""/>
      <w:lvlJc w:val="left"/>
      <w:pPr>
        <w:ind w:left="6480" w:hanging="360"/>
      </w:pPr>
      <w:rPr>
        <w:rFonts w:ascii="Wingdings" w:hAnsi="Wingdings" w:hint="default"/>
      </w:rPr>
    </w:lvl>
  </w:abstractNum>
  <w:abstractNum w:abstractNumId="11" w15:restartNumberingAfterBreak="0">
    <w:nsid w:val="113E215E"/>
    <w:multiLevelType w:val="multilevel"/>
    <w:tmpl w:val="9ABCA07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1A217A9"/>
    <w:multiLevelType w:val="hybridMultilevel"/>
    <w:tmpl w:val="C30C1A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1A299709"/>
    <w:multiLevelType w:val="hybridMultilevel"/>
    <w:tmpl w:val="43F0E480"/>
    <w:lvl w:ilvl="0" w:tplc="90129984">
      <w:start w:val="1"/>
      <w:numFmt w:val="bullet"/>
      <w:lvlText w:val=""/>
      <w:lvlJc w:val="left"/>
      <w:pPr>
        <w:ind w:left="720" w:hanging="360"/>
      </w:pPr>
      <w:rPr>
        <w:rFonts w:ascii="Symbol" w:hAnsi="Symbol" w:hint="default"/>
      </w:rPr>
    </w:lvl>
    <w:lvl w:ilvl="1" w:tplc="E4C03DCA">
      <w:start w:val="1"/>
      <w:numFmt w:val="bullet"/>
      <w:lvlText w:val="o"/>
      <w:lvlJc w:val="left"/>
      <w:pPr>
        <w:ind w:left="1440" w:hanging="360"/>
      </w:pPr>
      <w:rPr>
        <w:rFonts w:ascii="Courier New" w:hAnsi="Courier New" w:hint="default"/>
      </w:rPr>
    </w:lvl>
    <w:lvl w:ilvl="2" w:tplc="F3A0E0D6">
      <w:start w:val="1"/>
      <w:numFmt w:val="bullet"/>
      <w:lvlText w:val=""/>
      <w:lvlJc w:val="left"/>
      <w:pPr>
        <w:ind w:left="2160" w:hanging="360"/>
      </w:pPr>
      <w:rPr>
        <w:rFonts w:ascii="Wingdings" w:hAnsi="Wingdings" w:hint="default"/>
      </w:rPr>
    </w:lvl>
    <w:lvl w:ilvl="3" w:tplc="006A3E40">
      <w:start w:val="1"/>
      <w:numFmt w:val="bullet"/>
      <w:lvlText w:val=""/>
      <w:lvlJc w:val="left"/>
      <w:pPr>
        <w:ind w:left="2880" w:hanging="360"/>
      </w:pPr>
      <w:rPr>
        <w:rFonts w:ascii="Symbol" w:hAnsi="Symbol" w:hint="default"/>
      </w:rPr>
    </w:lvl>
    <w:lvl w:ilvl="4" w:tplc="AC24789C">
      <w:start w:val="1"/>
      <w:numFmt w:val="bullet"/>
      <w:lvlText w:val="o"/>
      <w:lvlJc w:val="left"/>
      <w:pPr>
        <w:ind w:left="3600" w:hanging="360"/>
      </w:pPr>
      <w:rPr>
        <w:rFonts w:ascii="Courier New" w:hAnsi="Courier New" w:hint="default"/>
      </w:rPr>
    </w:lvl>
    <w:lvl w:ilvl="5" w:tplc="61D4778A">
      <w:start w:val="1"/>
      <w:numFmt w:val="bullet"/>
      <w:lvlText w:val=""/>
      <w:lvlJc w:val="left"/>
      <w:pPr>
        <w:ind w:left="4320" w:hanging="360"/>
      </w:pPr>
      <w:rPr>
        <w:rFonts w:ascii="Wingdings" w:hAnsi="Wingdings" w:hint="default"/>
      </w:rPr>
    </w:lvl>
    <w:lvl w:ilvl="6" w:tplc="5388FC5E">
      <w:start w:val="1"/>
      <w:numFmt w:val="bullet"/>
      <w:lvlText w:val=""/>
      <w:lvlJc w:val="left"/>
      <w:pPr>
        <w:ind w:left="5040" w:hanging="360"/>
      </w:pPr>
      <w:rPr>
        <w:rFonts w:ascii="Symbol" w:hAnsi="Symbol" w:hint="default"/>
      </w:rPr>
    </w:lvl>
    <w:lvl w:ilvl="7" w:tplc="278A6752">
      <w:start w:val="1"/>
      <w:numFmt w:val="bullet"/>
      <w:lvlText w:val="o"/>
      <w:lvlJc w:val="left"/>
      <w:pPr>
        <w:ind w:left="5760" w:hanging="360"/>
      </w:pPr>
      <w:rPr>
        <w:rFonts w:ascii="Courier New" w:hAnsi="Courier New" w:hint="default"/>
      </w:rPr>
    </w:lvl>
    <w:lvl w:ilvl="8" w:tplc="2E62E836">
      <w:start w:val="1"/>
      <w:numFmt w:val="bullet"/>
      <w:lvlText w:val=""/>
      <w:lvlJc w:val="left"/>
      <w:pPr>
        <w:ind w:left="6480" w:hanging="360"/>
      </w:pPr>
      <w:rPr>
        <w:rFonts w:ascii="Wingdings" w:hAnsi="Wingdings" w:hint="default"/>
      </w:rPr>
    </w:lvl>
  </w:abstractNum>
  <w:abstractNum w:abstractNumId="14" w15:restartNumberingAfterBreak="0">
    <w:nsid w:val="1B611DA7"/>
    <w:multiLevelType w:val="hybridMultilevel"/>
    <w:tmpl w:val="8D2A1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CF22D0E"/>
    <w:multiLevelType w:val="multilevel"/>
    <w:tmpl w:val="44361C16"/>
    <w:lvl w:ilvl="0">
      <w:start w:val="2"/>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16" w15:restartNumberingAfterBreak="0">
    <w:nsid w:val="1D4E0324"/>
    <w:multiLevelType w:val="hybridMultilevel"/>
    <w:tmpl w:val="524CA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AA5F83"/>
    <w:multiLevelType w:val="multilevel"/>
    <w:tmpl w:val="C84C8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4A65B1"/>
    <w:multiLevelType w:val="hybridMultilevel"/>
    <w:tmpl w:val="13B8FE7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5E0B668"/>
    <w:multiLevelType w:val="hybridMultilevel"/>
    <w:tmpl w:val="3286A640"/>
    <w:lvl w:ilvl="0" w:tplc="4FE6B176">
      <w:start w:val="1"/>
      <w:numFmt w:val="lowerLetter"/>
      <w:lvlText w:val="%1."/>
      <w:lvlJc w:val="left"/>
      <w:pPr>
        <w:ind w:left="1800" w:hanging="360"/>
      </w:pPr>
      <w:rPr>
        <w:b w:val="0"/>
        <w:bCs w:val="0"/>
      </w:rPr>
    </w:lvl>
    <w:lvl w:ilvl="1" w:tplc="88602C8E">
      <w:start w:val="1"/>
      <w:numFmt w:val="lowerLetter"/>
      <w:lvlText w:val="%2."/>
      <w:lvlJc w:val="left"/>
      <w:pPr>
        <w:ind w:left="2520" w:hanging="360"/>
      </w:pPr>
    </w:lvl>
    <w:lvl w:ilvl="2" w:tplc="B84489D8">
      <w:start w:val="1"/>
      <w:numFmt w:val="lowerRoman"/>
      <w:lvlText w:val="%3."/>
      <w:lvlJc w:val="right"/>
      <w:pPr>
        <w:ind w:left="3240" w:hanging="180"/>
      </w:pPr>
    </w:lvl>
    <w:lvl w:ilvl="3" w:tplc="B5CCFA98">
      <w:start w:val="1"/>
      <w:numFmt w:val="decimal"/>
      <w:lvlText w:val="%4."/>
      <w:lvlJc w:val="left"/>
      <w:pPr>
        <w:ind w:left="3960" w:hanging="360"/>
      </w:pPr>
    </w:lvl>
    <w:lvl w:ilvl="4" w:tplc="63F4F922">
      <w:start w:val="1"/>
      <w:numFmt w:val="lowerLetter"/>
      <w:lvlText w:val="%5."/>
      <w:lvlJc w:val="left"/>
      <w:pPr>
        <w:ind w:left="4680" w:hanging="360"/>
      </w:pPr>
    </w:lvl>
    <w:lvl w:ilvl="5" w:tplc="20C0E862">
      <w:start w:val="1"/>
      <w:numFmt w:val="lowerRoman"/>
      <w:lvlText w:val="%6."/>
      <w:lvlJc w:val="right"/>
      <w:pPr>
        <w:ind w:left="5400" w:hanging="180"/>
      </w:pPr>
    </w:lvl>
    <w:lvl w:ilvl="6" w:tplc="88489FE2">
      <w:start w:val="1"/>
      <w:numFmt w:val="decimal"/>
      <w:lvlText w:val="%7."/>
      <w:lvlJc w:val="left"/>
      <w:pPr>
        <w:ind w:left="6120" w:hanging="360"/>
      </w:pPr>
    </w:lvl>
    <w:lvl w:ilvl="7" w:tplc="14600EDA">
      <w:start w:val="1"/>
      <w:numFmt w:val="lowerLetter"/>
      <w:lvlText w:val="%8."/>
      <w:lvlJc w:val="left"/>
      <w:pPr>
        <w:ind w:left="6840" w:hanging="360"/>
      </w:pPr>
    </w:lvl>
    <w:lvl w:ilvl="8" w:tplc="FCDA057A">
      <w:start w:val="1"/>
      <w:numFmt w:val="lowerRoman"/>
      <w:lvlText w:val="%9."/>
      <w:lvlJc w:val="right"/>
      <w:pPr>
        <w:ind w:left="7560" w:hanging="180"/>
      </w:pPr>
    </w:lvl>
  </w:abstractNum>
  <w:abstractNum w:abstractNumId="20" w15:restartNumberingAfterBreak="0">
    <w:nsid w:val="27871A7D"/>
    <w:multiLevelType w:val="hybridMultilevel"/>
    <w:tmpl w:val="095ED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B4F3EBB"/>
    <w:multiLevelType w:val="multilevel"/>
    <w:tmpl w:val="C01C7366"/>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2C403D3B"/>
    <w:multiLevelType w:val="hybridMultilevel"/>
    <w:tmpl w:val="79EE2A22"/>
    <w:lvl w:ilvl="0" w:tplc="04090017">
      <w:start w:val="1"/>
      <w:numFmt w:val="lowerLetter"/>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2D82BD02"/>
    <w:multiLevelType w:val="hybridMultilevel"/>
    <w:tmpl w:val="C824B8A6"/>
    <w:lvl w:ilvl="0" w:tplc="66B82AA0">
      <w:start w:val="1"/>
      <w:numFmt w:val="bullet"/>
      <w:lvlText w:val=""/>
      <w:lvlJc w:val="left"/>
      <w:pPr>
        <w:ind w:left="720" w:hanging="360"/>
      </w:pPr>
      <w:rPr>
        <w:rFonts w:ascii="Symbol" w:hAnsi="Symbol" w:hint="default"/>
      </w:rPr>
    </w:lvl>
    <w:lvl w:ilvl="1" w:tplc="8784559E">
      <w:start w:val="1"/>
      <w:numFmt w:val="bullet"/>
      <w:lvlText w:val=""/>
      <w:lvlJc w:val="left"/>
      <w:pPr>
        <w:ind w:left="1440" w:hanging="360"/>
      </w:pPr>
      <w:rPr>
        <w:rFonts w:ascii="Symbol" w:hAnsi="Symbol" w:hint="default"/>
      </w:rPr>
    </w:lvl>
    <w:lvl w:ilvl="2" w:tplc="1EE47310">
      <w:start w:val="1"/>
      <w:numFmt w:val="bullet"/>
      <w:lvlText w:val=""/>
      <w:lvlJc w:val="left"/>
      <w:pPr>
        <w:ind w:left="2160" w:hanging="360"/>
      </w:pPr>
      <w:rPr>
        <w:rFonts w:ascii="Wingdings" w:hAnsi="Wingdings" w:hint="default"/>
      </w:rPr>
    </w:lvl>
    <w:lvl w:ilvl="3" w:tplc="C136AB76">
      <w:start w:val="1"/>
      <w:numFmt w:val="bullet"/>
      <w:lvlText w:val=""/>
      <w:lvlJc w:val="left"/>
      <w:pPr>
        <w:ind w:left="2880" w:hanging="360"/>
      </w:pPr>
      <w:rPr>
        <w:rFonts w:ascii="Symbol" w:hAnsi="Symbol" w:hint="default"/>
      </w:rPr>
    </w:lvl>
    <w:lvl w:ilvl="4" w:tplc="786AF730">
      <w:start w:val="1"/>
      <w:numFmt w:val="bullet"/>
      <w:lvlText w:val="o"/>
      <w:lvlJc w:val="left"/>
      <w:pPr>
        <w:ind w:left="3600" w:hanging="360"/>
      </w:pPr>
      <w:rPr>
        <w:rFonts w:ascii="Courier New" w:hAnsi="Courier New" w:hint="default"/>
      </w:rPr>
    </w:lvl>
    <w:lvl w:ilvl="5" w:tplc="B75AAA58">
      <w:start w:val="1"/>
      <w:numFmt w:val="bullet"/>
      <w:lvlText w:val=""/>
      <w:lvlJc w:val="left"/>
      <w:pPr>
        <w:ind w:left="4320" w:hanging="360"/>
      </w:pPr>
      <w:rPr>
        <w:rFonts w:ascii="Wingdings" w:hAnsi="Wingdings" w:hint="default"/>
      </w:rPr>
    </w:lvl>
    <w:lvl w:ilvl="6" w:tplc="5C12AAFE">
      <w:start w:val="1"/>
      <w:numFmt w:val="bullet"/>
      <w:lvlText w:val=""/>
      <w:lvlJc w:val="left"/>
      <w:pPr>
        <w:ind w:left="5040" w:hanging="360"/>
      </w:pPr>
      <w:rPr>
        <w:rFonts w:ascii="Symbol" w:hAnsi="Symbol" w:hint="default"/>
      </w:rPr>
    </w:lvl>
    <w:lvl w:ilvl="7" w:tplc="80DA9906">
      <w:start w:val="1"/>
      <w:numFmt w:val="bullet"/>
      <w:lvlText w:val="o"/>
      <w:lvlJc w:val="left"/>
      <w:pPr>
        <w:ind w:left="5760" w:hanging="360"/>
      </w:pPr>
      <w:rPr>
        <w:rFonts w:ascii="Courier New" w:hAnsi="Courier New" w:hint="default"/>
      </w:rPr>
    </w:lvl>
    <w:lvl w:ilvl="8" w:tplc="E3F239C8">
      <w:start w:val="1"/>
      <w:numFmt w:val="bullet"/>
      <w:lvlText w:val=""/>
      <w:lvlJc w:val="left"/>
      <w:pPr>
        <w:ind w:left="6480" w:hanging="360"/>
      </w:pPr>
      <w:rPr>
        <w:rFonts w:ascii="Wingdings" w:hAnsi="Wingdings" w:hint="default"/>
      </w:rPr>
    </w:lvl>
  </w:abstractNum>
  <w:abstractNum w:abstractNumId="24" w15:restartNumberingAfterBreak="0">
    <w:nsid w:val="2DDF0BBB"/>
    <w:multiLevelType w:val="hybridMultilevel"/>
    <w:tmpl w:val="1E3AD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FB864BE"/>
    <w:multiLevelType w:val="multilevel"/>
    <w:tmpl w:val="256CE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0A84C36"/>
    <w:multiLevelType w:val="hybridMultilevel"/>
    <w:tmpl w:val="08E20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3D2F4D"/>
    <w:multiLevelType w:val="hybridMultilevel"/>
    <w:tmpl w:val="9BF0C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14A128F"/>
    <w:multiLevelType w:val="hybridMultilevel"/>
    <w:tmpl w:val="7B40CC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34142F4B"/>
    <w:multiLevelType w:val="multilevel"/>
    <w:tmpl w:val="38AA4B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9F7B68"/>
    <w:multiLevelType w:val="hybridMultilevel"/>
    <w:tmpl w:val="1E4A6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B17721"/>
    <w:multiLevelType w:val="hybridMultilevel"/>
    <w:tmpl w:val="FFFFFFFF"/>
    <w:lvl w:ilvl="0" w:tplc="B0924DB2">
      <w:start w:val="1"/>
      <w:numFmt w:val="decimal"/>
      <w:lvlText w:val="%1."/>
      <w:lvlJc w:val="left"/>
      <w:pPr>
        <w:ind w:left="720" w:hanging="360"/>
      </w:pPr>
    </w:lvl>
    <w:lvl w:ilvl="1" w:tplc="2884C33C">
      <w:start w:val="1"/>
      <w:numFmt w:val="lowerLetter"/>
      <w:lvlText w:val="%2."/>
      <w:lvlJc w:val="left"/>
      <w:pPr>
        <w:ind w:left="1440" w:hanging="360"/>
      </w:pPr>
    </w:lvl>
    <w:lvl w:ilvl="2" w:tplc="82765AB8">
      <w:start w:val="1"/>
      <w:numFmt w:val="lowerRoman"/>
      <w:lvlText w:val="%3."/>
      <w:lvlJc w:val="right"/>
      <w:pPr>
        <w:ind w:left="2160" w:hanging="180"/>
      </w:pPr>
    </w:lvl>
    <w:lvl w:ilvl="3" w:tplc="BEF0A9E4">
      <w:start w:val="1"/>
      <w:numFmt w:val="decimal"/>
      <w:lvlText w:val="%4."/>
      <w:lvlJc w:val="left"/>
      <w:pPr>
        <w:ind w:left="2880" w:hanging="360"/>
      </w:pPr>
    </w:lvl>
    <w:lvl w:ilvl="4" w:tplc="4140C0F0">
      <w:start w:val="1"/>
      <w:numFmt w:val="lowerLetter"/>
      <w:lvlText w:val="%5."/>
      <w:lvlJc w:val="left"/>
      <w:pPr>
        <w:ind w:left="3600" w:hanging="360"/>
      </w:pPr>
    </w:lvl>
    <w:lvl w:ilvl="5" w:tplc="666A77B0">
      <w:start w:val="1"/>
      <w:numFmt w:val="lowerRoman"/>
      <w:lvlText w:val="%6."/>
      <w:lvlJc w:val="right"/>
      <w:pPr>
        <w:ind w:left="4320" w:hanging="180"/>
      </w:pPr>
    </w:lvl>
    <w:lvl w:ilvl="6" w:tplc="40DA61FA">
      <w:start w:val="1"/>
      <w:numFmt w:val="decimal"/>
      <w:lvlText w:val="%7."/>
      <w:lvlJc w:val="left"/>
      <w:pPr>
        <w:ind w:left="5040" w:hanging="360"/>
      </w:pPr>
    </w:lvl>
    <w:lvl w:ilvl="7" w:tplc="33CA1A56">
      <w:start w:val="1"/>
      <w:numFmt w:val="lowerLetter"/>
      <w:lvlText w:val="%8."/>
      <w:lvlJc w:val="left"/>
      <w:pPr>
        <w:ind w:left="5760" w:hanging="360"/>
      </w:pPr>
    </w:lvl>
    <w:lvl w:ilvl="8" w:tplc="C7FCB0D0">
      <w:start w:val="1"/>
      <w:numFmt w:val="lowerRoman"/>
      <w:lvlText w:val="%9."/>
      <w:lvlJc w:val="right"/>
      <w:pPr>
        <w:ind w:left="6480" w:hanging="180"/>
      </w:pPr>
    </w:lvl>
  </w:abstractNum>
  <w:abstractNum w:abstractNumId="32" w15:restartNumberingAfterBreak="0">
    <w:nsid w:val="36034DE6"/>
    <w:multiLevelType w:val="multilevel"/>
    <w:tmpl w:val="83F48C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A6D26B9"/>
    <w:multiLevelType w:val="multilevel"/>
    <w:tmpl w:val="97AC4E8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CB89D59"/>
    <w:multiLevelType w:val="hybridMultilevel"/>
    <w:tmpl w:val="39F4BA6E"/>
    <w:lvl w:ilvl="0" w:tplc="B442E3EA">
      <w:start w:val="1"/>
      <w:numFmt w:val="bullet"/>
      <w:lvlText w:val=""/>
      <w:lvlJc w:val="left"/>
      <w:pPr>
        <w:ind w:left="720" w:hanging="360"/>
      </w:pPr>
      <w:rPr>
        <w:rFonts w:ascii="Symbol" w:hAnsi="Symbol" w:hint="default"/>
      </w:rPr>
    </w:lvl>
    <w:lvl w:ilvl="1" w:tplc="0EE84F64">
      <w:start w:val="1"/>
      <w:numFmt w:val="bullet"/>
      <w:lvlText w:val="o"/>
      <w:lvlJc w:val="left"/>
      <w:pPr>
        <w:ind w:left="1440" w:hanging="360"/>
      </w:pPr>
      <w:rPr>
        <w:rFonts w:ascii="Courier New" w:hAnsi="Courier New" w:hint="default"/>
      </w:rPr>
    </w:lvl>
    <w:lvl w:ilvl="2" w:tplc="081ED12E">
      <w:start w:val="1"/>
      <w:numFmt w:val="bullet"/>
      <w:lvlText w:val=""/>
      <w:lvlJc w:val="left"/>
      <w:pPr>
        <w:ind w:left="2160" w:hanging="360"/>
      </w:pPr>
      <w:rPr>
        <w:rFonts w:ascii="Symbol" w:hAnsi="Symbol" w:hint="default"/>
      </w:rPr>
    </w:lvl>
    <w:lvl w:ilvl="3" w:tplc="85FEC586">
      <w:start w:val="1"/>
      <w:numFmt w:val="bullet"/>
      <w:lvlText w:val=""/>
      <w:lvlJc w:val="left"/>
      <w:pPr>
        <w:ind w:left="2880" w:hanging="360"/>
      </w:pPr>
      <w:rPr>
        <w:rFonts w:ascii="Symbol" w:hAnsi="Symbol" w:hint="default"/>
      </w:rPr>
    </w:lvl>
    <w:lvl w:ilvl="4" w:tplc="47202C24">
      <w:start w:val="1"/>
      <w:numFmt w:val="bullet"/>
      <w:lvlText w:val="o"/>
      <w:lvlJc w:val="left"/>
      <w:pPr>
        <w:ind w:left="3600" w:hanging="360"/>
      </w:pPr>
      <w:rPr>
        <w:rFonts w:ascii="Courier New" w:hAnsi="Courier New" w:hint="default"/>
      </w:rPr>
    </w:lvl>
    <w:lvl w:ilvl="5" w:tplc="B712DBAA">
      <w:start w:val="1"/>
      <w:numFmt w:val="bullet"/>
      <w:lvlText w:val=""/>
      <w:lvlJc w:val="left"/>
      <w:pPr>
        <w:ind w:left="4320" w:hanging="360"/>
      </w:pPr>
      <w:rPr>
        <w:rFonts w:ascii="Wingdings" w:hAnsi="Wingdings" w:hint="default"/>
      </w:rPr>
    </w:lvl>
    <w:lvl w:ilvl="6" w:tplc="A0AA187A">
      <w:start w:val="1"/>
      <w:numFmt w:val="bullet"/>
      <w:lvlText w:val=""/>
      <w:lvlJc w:val="left"/>
      <w:pPr>
        <w:ind w:left="5040" w:hanging="360"/>
      </w:pPr>
      <w:rPr>
        <w:rFonts w:ascii="Symbol" w:hAnsi="Symbol" w:hint="default"/>
      </w:rPr>
    </w:lvl>
    <w:lvl w:ilvl="7" w:tplc="79201C00">
      <w:start w:val="1"/>
      <w:numFmt w:val="bullet"/>
      <w:lvlText w:val="o"/>
      <w:lvlJc w:val="left"/>
      <w:pPr>
        <w:ind w:left="5760" w:hanging="360"/>
      </w:pPr>
      <w:rPr>
        <w:rFonts w:ascii="Courier New" w:hAnsi="Courier New" w:hint="default"/>
      </w:rPr>
    </w:lvl>
    <w:lvl w:ilvl="8" w:tplc="7D0EE110">
      <w:start w:val="1"/>
      <w:numFmt w:val="bullet"/>
      <w:lvlText w:val=""/>
      <w:lvlJc w:val="left"/>
      <w:pPr>
        <w:ind w:left="6480" w:hanging="360"/>
      </w:pPr>
      <w:rPr>
        <w:rFonts w:ascii="Wingdings" w:hAnsi="Wingdings" w:hint="default"/>
      </w:rPr>
    </w:lvl>
  </w:abstractNum>
  <w:abstractNum w:abstractNumId="35" w15:restartNumberingAfterBreak="0">
    <w:nsid w:val="3D517C52"/>
    <w:multiLevelType w:val="hybridMultilevel"/>
    <w:tmpl w:val="2E26A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DD42267"/>
    <w:multiLevelType w:val="hybridMultilevel"/>
    <w:tmpl w:val="F55E9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FE32273"/>
    <w:multiLevelType w:val="hybridMultilevel"/>
    <w:tmpl w:val="79A67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FAC917"/>
    <w:multiLevelType w:val="hybridMultilevel"/>
    <w:tmpl w:val="78420C10"/>
    <w:lvl w:ilvl="0" w:tplc="2722AC34">
      <w:start w:val="1"/>
      <w:numFmt w:val="bullet"/>
      <w:lvlText w:val=""/>
      <w:lvlJc w:val="left"/>
      <w:pPr>
        <w:ind w:left="720" w:hanging="360"/>
      </w:pPr>
      <w:rPr>
        <w:rFonts w:ascii="Symbol" w:hAnsi="Symbol" w:hint="default"/>
      </w:rPr>
    </w:lvl>
    <w:lvl w:ilvl="1" w:tplc="BAC80FF2">
      <w:start w:val="1"/>
      <w:numFmt w:val="bullet"/>
      <w:lvlText w:val="o"/>
      <w:lvlJc w:val="left"/>
      <w:pPr>
        <w:ind w:left="1440" w:hanging="360"/>
      </w:pPr>
      <w:rPr>
        <w:rFonts w:ascii="Courier New" w:hAnsi="Courier New" w:hint="default"/>
      </w:rPr>
    </w:lvl>
    <w:lvl w:ilvl="2" w:tplc="34B45B58">
      <w:start w:val="1"/>
      <w:numFmt w:val="bullet"/>
      <w:lvlText w:val=""/>
      <w:lvlJc w:val="left"/>
      <w:pPr>
        <w:ind w:left="2160" w:hanging="360"/>
      </w:pPr>
      <w:rPr>
        <w:rFonts w:ascii="Wingdings" w:hAnsi="Wingdings" w:hint="default"/>
      </w:rPr>
    </w:lvl>
    <w:lvl w:ilvl="3" w:tplc="C2D03C54">
      <w:start w:val="1"/>
      <w:numFmt w:val="bullet"/>
      <w:lvlText w:val=""/>
      <w:lvlJc w:val="left"/>
      <w:pPr>
        <w:ind w:left="2880" w:hanging="360"/>
      </w:pPr>
      <w:rPr>
        <w:rFonts w:ascii="Symbol" w:hAnsi="Symbol" w:hint="default"/>
      </w:rPr>
    </w:lvl>
    <w:lvl w:ilvl="4" w:tplc="C37E3E24">
      <w:start w:val="1"/>
      <w:numFmt w:val="bullet"/>
      <w:lvlText w:val="o"/>
      <w:lvlJc w:val="left"/>
      <w:pPr>
        <w:ind w:left="3600" w:hanging="360"/>
      </w:pPr>
      <w:rPr>
        <w:rFonts w:ascii="Courier New" w:hAnsi="Courier New" w:hint="default"/>
      </w:rPr>
    </w:lvl>
    <w:lvl w:ilvl="5" w:tplc="5FE2EDCA">
      <w:start w:val="1"/>
      <w:numFmt w:val="bullet"/>
      <w:lvlText w:val=""/>
      <w:lvlJc w:val="left"/>
      <w:pPr>
        <w:ind w:left="4320" w:hanging="360"/>
      </w:pPr>
      <w:rPr>
        <w:rFonts w:ascii="Wingdings" w:hAnsi="Wingdings" w:hint="default"/>
      </w:rPr>
    </w:lvl>
    <w:lvl w:ilvl="6" w:tplc="209C7A3E">
      <w:start w:val="1"/>
      <w:numFmt w:val="bullet"/>
      <w:lvlText w:val=""/>
      <w:lvlJc w:val="left"/>
      <w:pPr>
        <w:ind w:left="5040" w:hanging="360"/>
      </w:pPr>
      <w:rPr>
        <w:rFonts w:ascii="Symbol" w:hAnsi="Symbol" w:hint="default"/>
      </w:rPr>
    </w:lvl>
    <w:lvl w:ilvl="7" w:tplc="3D846190">
      <w:start w:val="1"/>
      <w:numFmt w:val="bullet"/>
      <w:lvlText w:val="o"/>
      <w:lvlJc w:val="left"/>
      <w:pPr>
        <w:ind w:left="5760" w:hanging="360"/>
      </w:pPr>
      <w:rPr>
        <w:rFonts w:ascii="Courier New" w:hAnsi="Courier New" w:hint="default"/>
      </w:rPr>
    </w:lvl>
    <w:lvl w:ilvl="8" w:tplc="5C162608">
      <w:start w:val="1"/>
      <w:numFmt w:val="bullet"/>
      <w:lvlText w:val=""/>
      <w:lvlJc w:val="left"/>
      <w:pPr>
        <w:ind w:left="6480" w:hanging="360"/>
      </w:pPr>
      <w:rPr>
        <w:rFonts w:ascii="Wingdings" w:hAnsi="Wingdings" w:hint="default"/>
      </w:rPr>
    </w:lvl>
  </w:abstractNum>
  <w:abstractNum w:abstractNumId="39" w15:restartNumberingAfterBreak="0">
    <w:nsid w:val="42A61F09"/>
    <w:multiLevelType w:val="hybridMultilevel"/>
    <w:tmpl w:val="98103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F31666"/>
    <w:multiLevelType w:val="hybridMultilevel"/>
    <w:tmpl w:val="0A9C6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5B43B05"/>
    <w:multiLevelType w:val="hybridMultilevel"/>
    <w:tmpl w:val="54C8D3EA"/>
    <w:lvl w:ilvl="0" w:tplc="41FA781C">
      <w:start w:val="1"/>
      <w:numFmt w:val="bullet"/>
      <w:lvlText w:val=""/>
      <w:lvlJc w:val="left"/>
      <w:pPr>
        <w:ind w:left="1800" w:hanging="360"/>
      </w:pPr>
      <w:rPr>
        <w:rFonts w:ascii="Symbol" w:hAnsi="Symbol" w:hint="default"/>
      </w:rPr>
    </w:lvl>
    <w:lvl w:ilvl="1" w:tplc="314CC0E6">
      <w:start w:val="1"/>
      <w:numFmt w:val="bullet"/>
      <w:lvlText w:val="o"/>
      <w:lvlJc w:val="left"/>
      <w:pPr>
        <w:ind w:left="2520" w:hanging="360"/>
      </w:pPr>
      <w:rPr>
        <w:rFonts w:ascii="Courier New" w:hAnsi="Courier New" w:hint="default"/>
      </w:rPr>
    </w:lvl>
    <w:lvl w:ilvl="2" w:tplc="D45416AE">
      <w:start w:val="1"/>
      <w:numFmt w:val="bullet"/>
      <w:lvlText w:val=""/>
      <w:lvlJc w:val="left"/>
      <w:pPr>
        <w:ind w:left="3240" w:hanging="360"/>
      </w:pPr>
      <w:rPr>
        <w:rFonts w:ascii="Wingdings" w:hAnsi="Wingdings" w:hint="default"/>
      </w:rPr>
    </w:lvl>
    <w:lvl w:ilvl="3" w:tplc="51629888">
      <w:start w:val="1"/>
      <w:numFmt w:val="bullet"/>
      <w:lvlText w:val=""/>
      <w:lvlJc w:val="left"/>
      <w:pPr>
        <w:ind w:left="3960" w:hanging="360"/>
      </w:pPr>
      <w:rPr>
        <w:rFonts w:ascii="Symbol" w:hAnsi="Symbol" w:hint="default"/>
      </w:rPr>
    </w:lvl>
    <w:lvl w:ilvl="4" w:tplc="2496FE56">
      <w:start w:val="1"/>
      <w:numFmt w:val="bullet"/>
      <w:lvlText w:val="o"/>
      <w:lvlJc w:val="left"/>
      <w:pPr>
        <w:ind w:left="4680" w:hanging="360"/>
      </w:pPr>
      <w:rPr>
        <w:rFonts w:ascii="Courier New" w:hAnsi="Courier New" w:hint="default"/>
      </w:rPr>
    </w:lvl>
    <w:lvl w:ilvl="5" w:tplc="ED404D16">
      <w:start w:val="1"/>
      <w:numFmt w:val="bullet"/>
      <w:lvlText w:val=""/>
      <w:lvlJc w:val="left"/>
      <w:pPr>
        <w:ind w:left="5400" w:hanging="360"/>
      </w:pPr>
      <w:rPr>
        <w:rFonts w:ascii="Wingdings" w:hAnsi="Wingdings" w:hint="default"/>
      </w:rPr>
    </w:lvl>
    <w:lvl w:ilvl="6" w:tplc="B0A07258">
      <w:start w:val="1"/>
      <w:numFmt w:val="bullet"/>
      <w:lvlText w:val=""/>
      <w:lvlJc w:val="left"/>
      <w:pPr>
        <w:ind w:left="6120" w:hanging="360"/>
      </w:pPr>
      <w:rPr>
        <w:rFonts w:ascii="Symbol" w:hAnsi="Symbol" w:hint="default"/>
      </w:rPr>
    </w:lvl>
    <w:lvl w:ilvl="7" w:tplc="2FA09B90">
      <w:start w:val="1"/>
      <w:numFmt w:val="bullet"/>
      <w:lvlText w:val="o"/>
      <w:lvlJc w:val="left"/>
      <w:pPr>
        <w:ind w:left="6840" w:hanging="360"/>
      </w:pPr>
      <w:rPr>
        <w:rFonts w:ascii="Courier New" w:hAnsi="Courier New" w:hint="default"/>
      </w:rPr>
    </w:lvl>
    <w:lvl w:ilvl="8" w:tplc="512ECD2E">
      <w:start w:val="1"/>
      <w:numFmt w:val="bullet"/>
      <w:lvlText w:val=""/>
      <w:lvlJc w:val="left"/>
      <w:pPr>
        <w:ind w:left="7560" w:hanging="360"/>
      </w:pPr>
      <w:rPr>
        <w:rFonts w:ascii="Wingdings" w:hAnsi="Wingdings" w:hint="default"/>
      </w:rPr>
    </w:lvl>
  </w:abstractNum>
  <w:abstractNum w:abstractNumId="42" w15:restartNumberingAfterBreak="0">
    <w:nsid w:val="45ED5EEC"/>
    <w:multiLevelType w:val="multilevel"/>
    <w:tmpl w:val="9B92A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6841940"/>
    <w:multiLevelType w:val="hybridMultilevel"/>
    <w:tmpl w:val="9CC47564"/>
    <w:lvl w:ilvl="0" w:tplc="F098A264">
      <w:start w:val="1"/>
      <w:numFmt w:val="bullet"/>
      <w:lvlText w:val=""/>
      <w:lvlJc w:val="left"/>
      <w:pPr>
        <w:ind w:left="720" w:hanging="360"/>
      </w:pPr>
      <w:rPr>
        <w:rFonts w:ascii="Symbol" w:hAnsi="Symbol" w:hint="default"/>
      </w:rPr>
    </w:lvl>
    <w:lvl w:ilvl="1" w:tplc="6F28B5D8">
      <w:start w:val="1"/>
      <w:numFmt w:val="bullet"/>
      <w:lvlText w:val="o"/>
      <w:lvlJc w:val="left"/>
      <w:pPr>
        <w:ind w:left="1440" w:hanging="360"/>
      </w:pPr>
      <w:rPr>
        <w:rFonts w:ascii="Courier New" w:hAnsi="Courier New" w:hint="default"/>
      </w:rPr>
    </w:lvl>
    <w:lvl w:ilvl="2" w:tplc="9C2E1E0C">
      <w:start w:val="1"/>
      <w:numFmt w:val="bullet"/>
      <w:lvlText w:val=""/>
      <w:lvlJc w:val="left"/>
      <w:pPr>
        <w:ind w:left="2160" w:hanging="360"/>
      </w:pPr>
      <w:rPr>
        <w:rFonts w:ascii="Symbol" w:hAnsi="Symbol" w:hint="default"/>
      </w:rPr>
    </w:lvl>
    <w:lvl w:ilvl="3" w:tplc="16DC3DB2">
      <w:start w:val="1"/>
      <w:numFmt w:val="bullet"/>
      <w:lvlText w:val=""/>
      <w:lvlJc w:val="left"/>
      <w:pPr>
        <w:ind w:left="2880" w:hanging="360"/>
      </w:pPr>
      <w:rPr>
        <w:rFonts w:ascii="Symbol" w:hAnsi="Symbol" w:hint="default"/>
      </w:rPr>
    </w:lvl>
    <w:lvl w:ilvl="4" w:tplc="4788AAC4">
      <w:start w:val="1"/>
      <w:numFmt w:val="bullet"/>
      <w:lvlText w:val="o"/>
      <w:lvlJc w:val="left"/>
      <w:pPr>
        <w:ind w:left="3600" w:hanging="360"/>
      </w:pPr>
      <w:rPr>
        <w:rFonts w:ascii="Courier New" w:hAnsi="Courier New" w:hint="default"/>
      </w:rPr>
    </w:lvl>
    <w:lvl w:ilvl="5" w:tplc="AD763656">
      <w:start w:val="1"/>
      <w:numFmt w:val="bullet"/>
      <w:lvlText w:val=""/>
      <w:lvlJc w:val="left"/>
      <w:pPr>
        <w:ind w:left="4320" w:hanging="360"/>
      </w:pPr>
      <w:rPr>
        <w:rFonts w:ascii="Wingdings" w:hAnsi="Wingdings" w:hint="default"/>
      </w:rPr>
    </w:lvl>
    <w:lvl w:ilvl="6" w:tplc="D466CA10">
      <w:start w:val="1"/>
      <w:numFmt w:val="bullet"/>
      <w:lvlText w:val=""/>
      <w:lvlJc w:val="left"/>
      <w:pPr>
        <w:ind w:left="5040" w:hanging="360"/>
      </w:pPr>
      <w:rPr>
        <w:rFonts w:ascii="Symbol" w:hAnsi="Symbol" w:hint="default"/>
      </w:rPr>
    </w:lvl>
    <w:lvl w:ilvl="7" w:tplc="742407A8">
      <w:start w:val="1"/>
      <w:numFmt w:val="bullet"/>
      <w:lvlText w:val="o"/>
      <w:lvlJc w:val="left"/>
      <w:pPr>
        <w:ind w:left="5760" w:hanging="360"/>
      </w:pPr>
      <w:rPr>
        <w:rFonts w:ascii="Courier New" w:hAnsi="Courier New" w:hint="default"/>
      </w:rPr>
    </w:lvl>
    <w:lvl w:ilvl="8" w:tplc="274E6922">
      <w:start w:val="1"/>
      <w:numFmt w:val="bullet"/>
      <w:lvlText w:val=""/>
      <w:lvlJc w:val="left"/>
      <w:pPr>
        <w:ind w:left="6480" w:hanging="360"/>
      </w:pPr>
      <w:rPr>
        <w:rFonts w:ascii="Wingdings" w:hAnsi="Wingdings" w:hint="default"/>
      </w:rPr>
    </w:lvl>
  </w:abstractNum>
  <w:abstractNum w:abstractNumId="44" w15:restartNumberingAfterBreak="0">
    <w:nsid w:val="46B559E3"/>
    <w:multiLevelType w:val="hybridMultilevel"/>
    <w:tmpl w:val="1F1023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724C8A"/>
    <w:multiLevelType w:val="multilevel"/>
    <w:tmpl w:val="29DC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9946B54"/>
    <w:multiLevelType w:val="hybridMultilevel"/>
    <w:tmpl w:val="751E6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BD46048"/>
    <w:multiLevelType w:val="hybridMultilevel"/>
    <w:tmpl w:val="EC6803F2"/>
    <w:lvl w:ilvl="0" w:tplc="9986223A">
      <w:start w:val="1"/>
      <w:numFmt w:val="bullet"/>
      <w:lvlText w:val=""/>
      <w:lvlJc w:val="left"/>
      <w:pPr>
        <w:ind w:left="720" w:hanging="360"/>
      </w:pPr>
      <w:rPr>
        <w:rFonts w:ascii="Symbol" w:hAnsi="Symbol" w:hint="default"/>
      </w:rPr>
    </w:lvl>
    <w:lvl w:ilvl="1" w:tplc="550E7FFC">
      <w:start w:val="1"/>
      <w:numFmt w:val="bullet"/>
      <w:lvlText w:val="o"/>
      <w:lvlJc w:val="left"/>
      <w:pPr>
        <w:ind w:left="1440" w:hanging="360"/>
      </w:pPr>
      <w:rPr>
        <w:rFonts w:ascii="Courier New" w:hAnsi="Courier New" w:hint="default"/>
      </w:rPr>
    </w:lvl>
    <w:lvl w:ilvl="2" w:tplc="7F323D48">
      <w:start w:val="1"/>
      <w:numFmt w:val="bullet"/>
      <w:lvlText w:val=""/>
      <w:lvlJc w:val="left"/>
      <w:pPr>
        <w:ind w:left="2160" w:hanging="360"/>
      </w:pPr>
      <w:rPr>
        <w:rFonts w:ascii="Symbol" w:hAnsi="Symbol" w:hint="default"/>
      </w:rPr>
    </w:lvl>
    <w:lvl w:ilvl="3" w:tplc="4EB2704A">
      <w:start w:val="1"/>
      <w:numFmt w:val="bullet"/>
      <w:lvlText w:val=""/>
      <w:lvlJc w:val="left"/>
      <w:pPr>
        <w:ind w:left="2880" w:hanging="360"/>
      </w:pPr>
      <w:rPr>
        <w:rFonts w:ascii="Symbol" w:hAnsi="Symbol" w:hint="default"/>
      </w:rPr>
    </w:lvl>
    <w:lvl w:ilvl="4" w:tplc="4B2C565E">
      <w:start w:val="1"/>
      <w:numFmt w:val="bullet"/>
      <w:lvlText w:val="o"/>
      <w:lvlJc w:val="left"/>
      <w:pPr>
        <w:ind w:left="3600" w:hanging="360"/>
      </w:pPr>
      <w:rPr>
        <w:rFonts w:ascii="Courier New" w:hAnsi="Courier New" w:hint="default"/>
      </w:rPr>
    </w:lvl>
    <w:lvl w:ilvl="5" w:tplc="B69ACA2A">
      <w:start w:val="1"/>
      <w:numFmt w:val="bullet"/>
      <w:lvlText w:val=""/>
      <w:lvlJc w:val="left"/>
      <w:pPr>
        <w:ind w:left="4320" w:hanging="360"/>
      </w:pPr>
      <w:rPr>
        <w:rFonts w:ascii="Wingdings" w:hAnsi="Wingdings" w:hint="default"/>
      </w:rPr>
    </w:lvl>
    <w:lvl w:ilvl="6" w:tplc="34502B9E">
      <w:start w:val="1"/>
      <w:numFmt w:val="bullet"/>
      <w:lvlText w:val=""/>
      <w:lvlJc w:val="left"/>
      <w:pPr>
        <w:ind w:left="5040" w:hanging="360"/>
      </w:pPr>
      <w:rPr>
        <w:rFonts w:ascii="Symbol" w:hAnsi="Symbol" w:hint="default"/>
      </w:rPr>
    </w:lvl>
    <w:lvl w:ilvl="7" w:tplc="96C48676">
      <w:start w:val="1"/>
      <w:numFmt w:val="bullet"/>
      <w:lvlText w:val="o"/>
      <w:lvlJc w:val="left"/>
      <w:pPr>
        <w:ind w:left="5760" w:hanging="360"/>
      </w:pPr>
      <w:rPr>
        <w:rFonts w:ascii="Courier New" w:hAnsi="Courier New" w:hint="default"/>
      </w:rPr>
    </w:lvl>
    <w:lvl w:ilvl="8" w:tplc="FF8C5A28">
      <w:start w:val="1"/>
      <w:numFmt w:val="bullet"/>
      <w:lvlText w:val=""/>
      <w:lvlJc w:val="left"/>
      <w:pPr>
        <w:ind w:left="6480" w:hanging="360"/>
      </w:pPr>
      <w:rPr>
        <w:rFonts w:ascii="Wingdings" w:hAnsi="Wingdings" w:hint="default"/>
      </w:rPr>
    </w:lvl>
  </w:abstractNum>
  <w:abstractNum w:abstractNumId="48" w15:restartNumberingAfterBreak="0">
    <w:nsid w:val="529D287D"/>
    <w:multiLevelType w:val="multilevel"/>
    <w:tmpl w:val="00480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2B47DBF"/>
    <w:multiLevelType w:val="multilevel"/>
    <w:tmpl w:val="990612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3047E1D"/>
    <w:multiLevelType w:val="multilevel"/>
    <w:tmpl w:val="CA16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45333BC"/>
    <w:multiLevelType w:val="hybridMultilevel"/>
    <w:tmpl w:val="64BAC6A6"/>
    <w:lvl w:ilvl="0" w:tplc="4AB0C1CC">
      <w:start w:val="1"/>
      <w:numFmt w:val="bullet"/>
      <w:lvlText w:val=""/>
      <w:lvlJc w:val="left"/>
      <w:pPr>
        <w:ind w:left="720" w:hanging="360"/>
      </w:pPr>
      <w:rPr>
        <w:rFonts w:ascii="Symbol" w:hAnsi="Symbol" w:hint="default"/>
      </w:rPr>
    </w:lvl>
    <w:lvl w:ilvl="1" w:tplc="5A2EFB96">
      <w:start w:val="1"/>
      <w:numFmt w:val="bullet"/>
      <w:lvlText w:val="o"/>
      <w:lvlJc w:val="left"/>
      <w:pPr>
        <w:ind w:left="1440" w:hanging="360"/>
      </w:pPr>
      <w:rPr>
        <w:rFonts w:ascii="Courier New" w:hAnsi="Courier New" w:hint="default"/>
      </w:rPr>
    </w:lvl>
    <w:lvl w:ilvl="2" w:tplc="45EA6D5E">
      <w:start w:val="1"/>
      <w:numFmt w:val="bullet"/>
      <w:lvlText w:val=""/>
      <w:lvlJc w:val="left"/>
      <w:pPr>
        <w:ind w:left="2160" w:hanging="360"/>
      </w:pPr>
      <w:rPr>
        <w:rFonts w:ascii="Wingdings" w:hAnsi="Wingdings" w:hint="default"/>
      </w:rPr>
    </w:lvl>
    <w:lvl w:ilvl="3" w:tplc="2A428C30">
      <w:start w:val="1"/>
      <w:numFmt w:val="bullet"/>
      <w:lvlText w:val=""/>
      <w:lvlJc w:val="left"/>
      <w:pPr>
        <w:ind w:left="2880" w:hanging="360"/>
      </w:pPr>
      <w:rPr>
        <w:rFonts w:ascii="Symbol" w:hAnsi="Symbol" w:hint="default"/>
      </w:rPr>
    </w:lvl>
    <w:lvl w:ilvl="4" w:tplc="B1EC3CF0">
      <w:start w:val="1"/>
      <w:numFmt w:val="bullet"/>
      <w:lvlText w:val="o"/>
      <w:lvlJc w:val="left"/>
      <w:pPr>
        <w:ind w:left="3600" w:hanging="360"/>
      </w:pPr>
      <w:rPr>
        <w:rFonts w:ascii="Courier New" w:hAnsi="Courier New" w:hint="default"/>
      </w:rPr>
    </w:lvl>
    <w:lvl w:ilvl="5" w:tplc="1276AB66">
      <w:start w:val="1"/>
      <w:numFmt w:val="bullet"/>
      <w:lvlText w:val=""/>
      <w:lvlJc w:val="left"/>
      <w:pPr>
        <w:ind w:left="4320" w:hanging="360"/>
      </w:pPr>
      <w:rPr>
        <w:rFonts w:ascii="Wingdings" w:hAnsi="Wingdings" w:hint="default"/>
      </w:rPr>
    </w:lvl>
    <w:lvl w:ilvl="6" w:tplc="FBDCB7A2">
      <w:start w:val="1"/>
      <w:numFmt w:val="bullet"/>
      <w:lvlText w:val=""/>
      <w:lvlJc w:val="left"/>
      <w:pPr>
        <w:ind w:left="5040" w:hanging="360"/>
      </w:pPr>
      <w:rPr>
        <w:rFonts w:ascii="Symbol" w:hAnsi="Symbol" w:hint="default"/>
      </w:rPr>
    </w:lvl>
    <w:lvl w:ilvl="7" w:tplc="3A0EB062">
      <w:start w:val="1"/>
      <w:numFmt w:val="bullet"/>
      <w:lvlText w:val="o"/>
      <w:lvlJc w:val="left"/>
      <w:pPr>
        <w:ind w:left="5760" w:hanging="360"/>
      </w:pPr>
      <w:rPr>
        <w:rFonts w:ascii="Courier New" w:hAnsi="Courier New" w:hint="default"/>
      </w:rPr>
    </w:lvl>
    <w:lvl w:ilvl="8" w:tplc="56F6715A">
      <w:start w:val="1"/>
      <w:numFmt w:val="bullet"/>
      <w:lvlText w:val=""/>
      <w:lvlJc w:val="left"/>
      <w:pPr>
        <w:ind w:left="6480" w:hanging="360"/>
      </w:pPr>
      <w:rPr>
        <w:rFonts w:ascii="Wingdings" w:hAnsi="Wingdings" w:hint="default"/>
      </w:rPr>
    </w:lvl>
  </w:abstractNum>
  <w:abstractNum w:abstractNumId="52" w15:restartNumberingAfterBreak="0">
    <w:nsid w:val="5549BF66"/>
    <w:multiLevelType w:val="hybridMultilevel"/>
    <w:tmpl w:val="B14EAA44"/>
    <w:lvl w:ilvl="0" w:tplc="745A1BD0">
      <w:start w:val="1"/>
      <w:numFmt w:val="bullet"/>
      <w:lvlText w:val=""/>
      <w:lvlJc w:val="left"/>
      <w:pPr>
        <w:ind w:left="720" w:hanging="360"/>
      </w:pPr>
      <w:rPr>
        <w:rFonts w:ascii="Symbol" w:hAnsi="Symbol" w:hint="default"/>
      </w:rPr>
    </w:lvl>
    <w:lvl w:ilvl="1" w:tplc="3EE67E72">
      <w:start w:val="1"/>
      <w:numFmt w:val="bullet"/>
      <w:lvlText w:val="o"/>
      <w:lvlJc w:val="left"/>
      <w:pPr>
        <w:ind w:left="1440" w:hanging="360"/>
      </w:pPr>
      <w:rPr>
        <w:rFonts w:ascii="Courier New" w:hAnsi="Courier New" w:hint="default"/>
      </w:rPr>
    </w:lvl>
    <w:lvl w:ilvl="2" w:tplc="7E36674C">
      <w:start w:val="1"/>
      <w:numFmt w:val="bullet"/>
      <w:lvlText w:val=""/>
      <w:lvlJc w:val="left"/>
      <w:pPr>
        <w:ind w:left="2160" w:hanging="360"/>
      </w:pPr>
      <w:rPr>
        <w:rFonts w:ascii="Symbol" w:hAnsi="Symbol" w:hint="default"/>
      </w:rPr>
    </w:lvl>
    <w:lvl w:ilvl="3" w:tplc="4E58FFD8">
      <w:start w:val="1"/>
      <w:numFmt w:val="bullet"/>
      <w:lvlText w:val=""/>
      <w:lvlJc w:val="left"/>
      <w:pPr>
        <w:ind w:left="2880" w:hanging="360"/>
      </w:pPr>
      <w:rPr>
        <w:rFonts w:ascii="Symbol" w:hAnsi="Symbol" w:hint="default"/>
      </w:rPr>
    </w:lvl>
    <w:lvl w:ilvl="4" w:tplc="9DC86BDC">
      <w:start w:val="1"/>
      <w:numFmt w:val="bullet"/>
      <w:lvlText w:val="o"/>
      <w:lvlJc w:val="left"/>
      <w:pPr>
        <w:ind w:left="3600" w:hanging="360"/>
      </w:pPr>
      <w:rPr>
        <w:rFonts w:ascii="Courier New" w:hAnsi="Courier New" w:hint="default"/>
      </w:rPr>
    </w:lvl>
    <w:lvl w:ilvl="5" w:tplc="4620A2C8">
      <w:start w:val="1"/>
      <w:numFmt w:val="bullet"/>
      <w:lvlText w:val=""/>
      <w:lvlJc w:val="left"/>
      <w:pPr>
        <w:ind w:left="4320" w:hanging="360"/>
      </w:pPr>
      <w:rPr>
        <w:rFonts w:ascii="Wingdings" w:hAnsi="Wingdings" w:hint="default"/>
      </w:rPr>
    </w:lvl>
    <w:lvl w:ilvl="6" w:tplc="45540D40">
      <w:start w:val="1"/>
      <w:numFmt w:val="bullet"/>
      <w:lvlText w:val=""/>
      <w:lvlJc w:val="left"/>
      <w:pPr>
        <w:ind w:left="5040" w:hanging="360"/>
      </w:pPr>
      <w:rPr>
        <w:rFonts w:ascii="Symbol" w:hAnsi="Symbol" w:hint="default"/>
      </w:rPr>
    </w:lvl>
    <w:lvl w:ilvl="7" w:tplc="9B6AC728">
      <w:start w:val="1"/>
      <w:numFmt w:val="bullet"/>
      <w:lvlText w:val="o"/>
      <w:lvlJc w:val="left"/>
      <w:pPr>
        <w:ind w:left="5760" w:hanging="360"/>
      </w:pPr>
      <w:rPr>
        <w:rFonts w:ascii="Courier New" w:hAnsi="Courier New" w:hint="default"/>
      </w:rPr>
    </w:lvl>
    <w:lvl w:ilvl="8" w:tplc="E3BEA7A0">
      <w:start w:val="1"/>
      <w:numFmt w:val="bullet"/>
      <w:lvlText w:val=""/>
      <w:lvlJc w:val="left"/>
      <w:pPr>
        <w:ind w:left="6480" w:hanging="360"/>
      </w:pPr>
      <w:rPr>
        <w:rFonts w:ascii="Wingdings" w:hAnsi="Wingdings" w:hint="default"/>
      </w:rPr>
    </w:lvl>
  </w:abstractNum>
  <w:abstractNum w:abstractNumId="53" w15:restartNumberingAfterBreak="0">
    <w:nsid w:val="55D354AB"/>
    <w:multiLevelType w:val="multilevel"/>
    <w:tmpl w:val="EAA665A8"/>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571A3D44"/>
    <w:multiLevelType w:val="multilevel"/>
    <w:tmpl w:val="113436D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87D9653"/>
    <w:multiLevelType w:val="hybridMultilevel"/>
    <w:tmpl w:val="47D62C56"/>
    <w:lvl w:ilvl="0" w:tplc="2FF2B0D0">
      <w:start w:val="1"/>
      <w:numFmt w:val="decimal"/>
      <w:lvlText w:val="%1."/>
      <w:lvlJc w:val="left"/>
      <w:pPr>
        <w:ind w:left="720" w:hanging="360"/>
      </w:pPr>
    </w:lvl>
    <w:lvl w:ilvl="1" w:tplc="B4E41146">
      <w:start w:val="1"/>
      <w:numFmt w:val="lowerLetter"/>
      <w:lvlText w:val="%2."/>
      <w:lvlJc w:val="left"/>
      <w:pPr>
        <w:ind w:left="1440" w:hanging="360"/>
      </w:pPr>
    </w:lvl>
    <w:lvl w:ilvl="2" w:tplc="F5EC0E14">
      <w:start w:val="1"/>
      <w:numFmt w:val="lowerRoman"/>
      <w:lvlText w:val="%3."/>
      <w:lvlJc w:val="right"/>
      <w:pPr>
        <w:ind w:left="2160" w:hanging="180"/>
      </w:pPr>
    </w:lvl>
    <w:lvl w:ilvl="3" w:tplc="53D23B30">
      <w:start w:val="1"/>
      <w:numFmt w:val="decimal"/>
      <w:lvlText w:val="%4."/>
      <w:lvlJc w:val="left"/>
      <w:pPr>
        <w:ind w:left="2880" w:hanging="360"/>
      </w:pPr>
    </w:lvl>
    <w:lvl w:ilvl="4" w:tplc="ED3CC09A">
      <w:start w:val="1"/>
      <w:numFmt w:val="lowerLetter"/>
      <w:lvlText w:val="%5."/>
      <w:lvlJc w:val="left"/>
      <w:pPr>
        <w:ind w:left="3600" w:hanging="360"/>
      </w:pPr>
    </w:lvl>
    <w:lvl w:ilvl="5" w:tplc="6972D82A">
      <w:start w:val="1"/>
      <w:numFmt w:val="lowerRoman"/>
      <w:lvlText w:val="%6."/>
      <w:lvlJc w:val="right"/>
      <w:pPr>
        <w:ind w:left="4320" w:hanging="180"/>
      </w:pPr>
    </w:lvl>
    <w:lvl w:ilvl="6" w:tplc="51C4264E">
      <w:start w:val="1"/>
      <w:numFmt w:val="decimal"/>
      <w:lvlText w:val="%7."/>
      <w:lvlJc w:val="left"/>
      <w:pPr>
        <w:ind w:left="5040" w:hanging="360"/>
      </w:pPr>
    </w:lvl>
    <w:lvl w:ilvl="7" w:tplc="C3089814">
      <w:start w:val="1"/>
      <w:numFmt w:val="lowerLetter"/>
      <w:lvlText w:val="%8."/>
      <w:lvlJc w:val="left"/>
      <w:pPr>
        <w:ind w:left="5760" w:hanging="360"/>
      </w:pPr>
    </w:lvl>
    <w:lvl w:ilvl="8" w:tplc="D4BA7150">
      <w:start w:val="1"/>
      <w:numFmt w:val="lowerRoman"/>
      <w:lvlText w:val="%9."/>
      <w:lvlJc w:val="right"/>
      <w:pPr>
        <w:ind w:left="6480" w:hanging="180"/>
      </w:pPr>
    </w:lvl>
  </w:abstractNum>
  <w:abstractNum w:abstractNumId="56" w15:restartNumberingAfterBreak="0">
    <w:nsid w:val="596D6A28"/>
    <w:multiLevelType w:val="multilevel"/>
    <w:tmpl w:val="8F58873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9F55CD3"/>
    <w:multiLevelType w:val="hybridMultilevel"/>
    <w:tmpl w:val="A85EA66A"/>
    <w:lvl w:ilvl="0" w:tplc="BE8A346C">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78A4A496">
      <w:numFmt w:val="bullet"/>
      <w:lvlText w:val="•"/>
      <w:lvlJc w:val="left"/>
      <w:pPr>
        <w:ind w:left="1738" w:hanging="360"/>
      </w:pPr>
      <w:rPr>
        <w:rFonts w:hint="default"/>
        <w:lang w:val="en-US" w:eastAsia="en-US" w:bidi="ar-SA"/>
      </w:rPr>
    </w:lvl>
    <w:lvl w:ilvl="2" w:tplc="7AC2EE9C">
      <w:numFmt w:val="bullet"/>
      <w:lvlText w:val="•"/>
      <w:lvlJc w:val="left"/>
      <w:pPr>
        <w:ind w:left="2636" w:hanging="360"/>
      </w:pPr>
      <w:rPr>
        <w:rFonts w:hint="default"/>
        <w:lang w:val="en-US" w:eastAsia="en-US" w:bidi="ar-SA"/>
      </w:rPr>
    </w:lvl>
    <w:lvl w:ilvl="3" w:tplc="8B1E7470">
      <w:numFmt w:val="bullet"/>
      <w:lvlText w:val="•"/>
      <w:lvlJc w:val="left"/>
      <w:pPr>
        <w:ind w:left="3534" w:hanging="360"/>
      </w:pPr>
      <w:rPr>
        <w:rFonts w:hint="default"/>
        <w:lang w:val="en-US" w:eastAsia="en-US" w:bidi="ar-SA"/>
      </w:rPr>
    </w:lvl>
    <w:lvl w:ilvl="4" w:tplc="8BAE0162">
      <w:numFmt w:val="bullet"/>
      <w:lvlText w:val="•"/>
      <w:lvlJc w:val="left"/>
      <w:pPr>
        <w:ind w:left="4432" w:hanging="360"/>
      </w:pPr>
      <w:rPr>
        <w:rFonts w:hint="default"/>
        <w:lang w:val="en-US" w:eastAsia="en-US" w:bidi="ar-SA"/>
      </w:rPr>
    </w:lvl>
    <w:lvl w:ilvl="5" w:tplc="552E4C78">
      <w:numFmt w:val="bullet"/>
      <w:lvlText w:val="•"/>
      <w:lvlJc w:val="left"/>
      <w:pPr>
        <w:ind w:left="5330" w:hanging="360"/>
      </w:pPr>
      <w:rPr>
        <w:rFonts w:hint="default"/>
        <w:lang w:val="en-US" w:eastAsia="en-US" w:bidi="ar-SA"/>
      </w:rPr>
    </w:lvl>
    <w:lvl w:ilvl="6" w:tplc="02FA7CAC">
      <w:numFmt w:val="bullet"/>
      <w:lvlText w:val="•"/>
      <w:lvlJc w:val="left"/>
      <w:pPr>
        <w:ind w:left="6228" w:hanging="360"/>
      </w:pPr>
      <w:rPr>
        <w:rFonts w:hint="default"/>
        <w:lang w:val="en-US" w:eastAsia="en-US" w:bidi="ar-SA"/>
      </w:rPr>
    </w:lvl>
    <w:lvl w:ilvl="7" w:tplc="43E2B1D0">
      <w:numFmt w:val="bullet"/>
      <w:lvlText w:val="•"/>
      <w:lvlJc w:val="left"/>
      <w:pPr>
        <w:ind w:left="7126" w:hanging="360"/>
      </w:pPr>
      <w:rPr>
        <w:rFonts w:hint="default"/>
        <w:lang w:val="en-US" w:eastAsia="en-US" w:bidi="ar-SA"/>
      </w:rPr>
    </w:lvl>
    <w:lvl w:ilvl="8" w:tplc="F7B80DF0">
      <w:numFmt w:val="bullet"/>
      <w:lvlText w:val="•"/>
      <w:lvlJc w:val="left"/>
      <w:pPr>
        <w:ind w:left="8024" w:hanging="360"/>
      </w:pPr>
      <w:rPr>
        <w:rFonts w:hint="default"/>
        <w:lang w:val="en-US" w:eastAsia="en-US" w:bidi="ar-SA"/>
      </w:rPr>
    </w:lvl>
  </w:abstractNum>
  <w:abstractNum w:abstractNumId="58" w15:restartNumberingAfterBreak="0">
    <w:nsid w:val="5A972CB0"/>
    <w:multiLevelType w:val="multilevel"/>
    <w:tmpl w:val="1CD0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05F7792"/>
    <w:multiLevelType w:val="multilevel"/>
    <w:tmpl w:val="E6528A9E"/>
    <w:lvl w:ilvl="0">
      <w:start w:val="1"/>
      <w:numFmt w:val="bullet"/>
      <w:lvlText w:val=""/>
      <w:lvlJc w:val="left"/>
      <w:pPr>
        <w:tabs>
          <w:tab w:val="num" w:pos="720"/>
        </w:tabs>
        <w:ind w:left="1440" w:hanging="360"/>
      </w:pPr>
      <w:rPr>
        <w:rFonts w:ascii="Symbol" w:hAnsi="Symbol" w:hint="default"/>
        <w:sz w:val="20"/>
      </w:rPr>
    </w:lvl>
    <w:lvl w:ilvl="1" w:tentative="1">
      <w:start w:val="1"/>
      <w:numFmt w:val="bullet"/>
      <w:lvlText w:val=""/>
      <w:lvlJc w:val="left"/>
      <w:pPr>
        <w:tabs>
          <w:tab w:val="num" w:pos="1440"/>
        </w:tabs>
        <w:ind w:left="2160" w:hanging="360"/>
      </w:pPr>
      <w:rPr>
        <w:rFonts w:ascii="Symbol" w:hAnsi="Symbol" w:hint="default"/>
        <w:sz w:val="20"/>
      </w:rPr>
    </w:lvl>
    <w:lvl w:ilvl="2" w:tentative="1">
      <w:start w:val="1"/>
      <w:numFmt w:val="bullet"/>
      <w:lvlText w:val=""/>
      <w:lvlJc w:val="left"/>
      <w:pPr>
        <w:tabs>
          <w:tab w:val="num" w:pos="2160"/>
        </w:tabs>
        <w:ind w:left="2880" w:hanging="360"/>
      </w:pPr>
      <w:rPr>
        <w:rFonts w:ascii="Symbol" w:hAnsi="Symbol" w:hint="default"/>
        <w:sz w:val="20"/>
      </w:rPr>
    </w:lvl>
    <w:lvl w:ilvl="3" w:tentative="1">
      <w:start w:val="1"/>
      <w:numFmt w:val="bullet"/>
      <w:lvlText w:val=""/>
      <w:lvlJc w:val="left"/>
      <w:pPr>
        <w:tabs>
          <w:tab w:val="num" w:pos="2880"/>
        </w:tabs>
        <w:ind w:left="3600" w:hanging="360"/>
      </w:pPr>
      <w:rPr>
        <w:rFonts w:ascii="Symbol" w:hAnsi="Symbol" w:hint="default"/>
        <w:sz w:val="20"/>
      </w:rPr>
    </w:lvl>
    <w:lvl w:ilvl="4" w:tentative="1">
      <w:start w:val="1"/>
      <w:numFmt w:val="bullet"/>
      <w:lvlText w:val=""/>
      <w:lvlJc w:val="left"/>
      <w:pPr>
        <w:tabs>
          <w:tab w:val="num" w:pos="3600"/>
        </w:tabs>
        <w:ind w:left="4320" w:hanging="360"/>
      </w:pPr>
      <w:rPr>
        <w:rFonts w:ascii="Symbol" w:hAnsi="Symbol" w:hint="default"/>
        <w:sz w:val="20"/>
      </w:rPr>
    </w:lvl>
    <w:lvl w:ilvl="5" w:tentative="1">
      <w:start w:val="1"/>
      <w:numFmt w:val="bullet"/>
      <w:lvlText w:val=""/>
      <w:lvlJc w:val="left"/>
      <w:pPr>
        <w:tabs>
          <w:tab w:val="num" w:pos="4320"/>
        </w:tabs>
        <w:ind w:left="5040" w:hanging="360"/>
      </w:pPr>
      <w:rPr>
        <w:rFonts w:ascii="Symbol" w:hAnsi="Symbol" w:hint="default"/>
        <w:sz w:val="20"/>
      </w:rPr>
    </w:lvl>
    <w:lvl w:ilvl="6" w:tentative="1">
      <w:start w:val="1"/>
      <w:numFmt w:val="bullet"/>
      <w:lvlText w:val=""/>
      <w:lvlJc w:val="left"/>
      <w:pPr>
        <w:tabs>
          <w:tab w:val="num" w:pos="5040"/>
        </w:tabs>
        <w:ind w:left="5760" w:hanging="360"/>
      </w:pPr>
      <w:rPr>
        <w:rFonts w:ascii="Symbol" w:hAnsi="Symbol" w:hint="default"/>
        <w:sz w:val="20"/>
      </w:rPr>
    </w:lvl>
    <w:lvl w:ilvl="7" w:tentative="1">
      <w:start w:val="1"/>
      <w:numFmt w:val="bullet"/>
      <w:lvlText w:val=""/>
      <w:lvlJc w:val="left"/>
      <w:pPr>
        <w:tabs>
          <w:tab w:val="num" w:pos="5760"/>
        </w:tabs>
        <w:ind w:left="6480" w:hanging="360"/>
      </w:pPr>
      <w:rPr>
        <w:rFonts w:ascii="Symbol" w:hAnsi="Symbol" w:hint="default"/>
        <w:sz w:val="20"/>
      </w:rPr>
    </w:lvl>
    <w:lvl w:ilvl="8" w:tentative="1">
      <w:start w:val="1"/>
      <w:numFmt w:val="bullet"/>
      <w:lvlText w:val=""/>
      <w:lvlJc w:val="left"/>
      <w:pPr>
        <w:tabs>
          <w:tab w:val="num" w:pos="6480"/>
        </w:tabs>
        <w:ind w:left="7200" w:hanging="360"/>
      </w:pPr>
      <w:rPr>
        <w:rFonts w:ascii="Symbol" w:hAnsi="Symbol" w:hint="default"/>
        <w:sz w:val="20"/>
      </w:rPr>
    </w:lvl>
  </w:abstractNum>
  <w:abstractNum w:abstractNumId="60" w15:restartNumberingAfterBreak="0">
    <w:nsid w:val="635F7775"/>
    <w:multiLevelType w:val="multilevel"/>
    <w:tmpl w:val="2AB0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3FEAB46"/>
    <w:multiLevelType w:val="hybridMultilevel"/>
    <w:tmpl w:val="FFFFFFFF"/>
    <w:lvl w:ilvl="0" w:tplc="BD9ECC40">
      <w:start w:val="1"/>
      <w:numFmt w:val="bullet"/>
      <w:lvlText w:val=""/>
      <w:lvlJc w:val="left"/>
      <w:pPr>
        <w:ind w:left="720" w:hanging="360"/>
      </w:pPr>
      <w:rPr>
        <w:rFonts w:ascii="Symbol" w:hAnsi="Symbol" w:hint="default"/>
      </w:rPr>
    </w:lvl>
    <w:lvl w:ilvl="1" w:tplc="2D8CA36C">
      <w:start w:val="1"/>
      <w:numFmt w:val="bullet"/>
      <w:lvlText w:val="o"/>
      <w:lvlJc w:val="left"/>
      <w:pPr>
        <w:ind w:left="1440" w:hanging="360"/>
      </w:pPr>
      <w:rPr>
        <w:rFonts w:ascii="Courier New" w:hAnsi="Courier New" w:hint="default"/>
      </w:rPr>
    </w:lvl>
    <w:lvl w:ilvl="2" w:tplc="02222960">
      <w:start w:val="1"/>
      <w:numFmt w:val="bullet"/>
      <w:lvlText w:val=""/>
      <w:lvlJc w:val="left"/>
      <w:pPr>
        <w:ind w:left="2160" w:hanging="360"/>
      </w:pPr>
      <w:rPr>
        <w:rFonts w:ascii="Wingdings" w:hAnsi="Wingdings" w:hint="default"/>
      </w:rPr>
    </w:lvl>
    <w:lvl w:ilvl="3" w:tplc="9CE81572">
      <w:start w:val="1"/>
      <w:numFmt w:val="bullet"/>
      <w:lvlText w:val=""/>
      <w:lvlJc w:val="left"/>
      <w:pPr>
        <w:ind w:left="2880" w:hanging="360"/>
      </w:pPr>
      <w:rPr>
        <w:rFonts w:ascii="Symbol" w:hAnsi="Symbol" w:hint="default"/>
      </w:rPr>
    </w:lvl>
    <w:lvl w:ilvl="4" w:tplc="34ECD1BC">
      <w:start w:val="1"/>
      <w:numFmt w:val="bullet"/>
      <w:lvlText w:val="o"/>
      <w:lvlJc w:val="left"/>
      <w:pPr>
        <w:ind w:left="3600" w:hanging="360"/>
      </w:pPr>
      <w:rPr>
        <w:rFonts w:ascii="Courier New" w:hAnsi="Courier New" w:hint="default"/>
      </w:rPr>
    </w:lvl>
    <w:lvl w:ilvl="5" w:tplc="BDEE042C">
      <w:start w:val="1"/>
      <w:numFmt w:val="bullet"/>
      <w:lvlText w:val=""/>
      <w:lvlJc w:val="left"/>
      <w:pPr>
        <w:ind w:left="4320" w:hanging="360"/>
      </w:pPr>
      <w:rPr>
        <w:rFonts w:ascii="Wingdings" w:hAnsi="Wingdings" w:hint="default"/>
      </w:rPr>
    </w:lvl>
    <w:lvl w:ilvl="6" w:tplc="6FF46B18">
      <w:start w:val="1"/>
      <w:numFmt w:val="bullet"/>
      <w:lvlText w:val=""/>
      <w:lvlJc w:val="left"/>
      <w:pPr>
        <w:ind w:left="5040" w:hanging="360"/>
      </w:pPr>
      <w:rPr>
        <w:rFonts w:ascii="Symbol" w:hAnsi="Symbol" w:hint="default"/>
      </w:rPr>
    </w:lvl>
    <w:lvl w:ilvl="7" w:tplc="14903C9E">
      <w:start w:val="1"/>
      <w:numFmt w:val="bullet"/>
      <w:lvlText w:val="o"/>
      <w:lvlJc w:val="left"/>
      <w:pPr>
        <w:ind w:left="5760" w:hanging="360"/>
      </w:pPr>
      <w:rPr>
        <w:rFonts w:ascii="Courier New" w:hAnsi="Courier New" w:hint="default"/>
      </w:rPr>
    </w:lvl>
    <w:lvl w:ilvl="8" w:tplc="C35E96AC">
      <w:start w:val="1"/>
      <w:numFmt w:val="bullet"/>
      <w:lvlText w:val=""/>
      <w:lvlJc w:val="left"/>
      <w:pPr>
        <w:ind w:left="6480" w:hanging="360"/>
      </w:pPr>
      <w:rPr>
        <w:rFonts w:ascii="Wingdings" w:hAnsi="Wingdings" w:hint="default"/>
      </w:rPr>
    </w:lvl>
  </w:abstractNum>
  <w:abstractNum w:abstractNumId="62" w15:restartNumberingAfterBreak="0">
    <w:nsid w:val="64101703"/>
    <w:multiLevelType w:val="hybridMultilevel"/>
    <w:tmpl w:val="111A4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57165D3"/>
    <w:multiLevelType w:val="multilevel"/>
    <w:tmpl w:val="44A2667C"/>
    <w:lvl w:ilvl="0">
      <w:start w:val="3"/>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64" w15:restartNumberingAfterBreak="0">
    <w:nsid w:val="65A03065"/>
    <w:multiLevelType w:val="hybridMultilevel"/>
    <w:tmpl w:val="1AAEDE5C"/>
    <w:lvl w:ilvl="0" w:tplc="208C166A">
      <w:start w:val="1"/>
      <w:numFmt w:val="bullet"/>
      <w:lvlText w:val=""/>
      <w:lvlJc w:val="left"/>
      <w:pPr>
        <w:ind w:left="720" w:hanging="360"/>
      </w:pPr>
      <w:rPr>
        <w:rFonts w:ascii="Symbol" w:hAnsi="Symbol" w:hint="default"/>
      </w:rPr>
    </w:lvl>
    <w:lvl w:ilvl="1" w:tplc="542C8262">
      <w:start w:val="1"/>
      <w:numFmt w:val="bullet"/>
      <w:lvlText w:val="o"/>
      <w:lvlJc w:val="left"/>
      <w:pPr>
        <w:ind w:left="1440" w:hanging="360"/>
      </w:pPr>
      <w:rPr>
        <w:rFonts w:ascii="Courier New" w:hAnsi="Courier New" w:hint="default"/>
      </w:rPr>
    </w:lvl>
    <w:lvl w:ilvl="2" w:tplc="5DB46136">
      <w:start w:val="1"/>
      <w:numFmt w:val="bullet"/>
      <w:lvlText w:val=""/>
      <w:lvlJc w:val="left"/>
      <w:pPr>
        <w:ind w:left="2160" w:hanging="360"/>
      </w:pPr>
      <w:rPr>
        <w:rFonts w:ascii="Wingdings" w:hAnsi="Wingdings" w:hint="default"/>
      </w:rPr>
    </w:lvl>
    <w:lvl w:ilvl="3" w:tplc="BB4CEACE">
      <w:start w:val="1"/>
      <w:numFmt w:val="bullet"/>
      <w:lvlText w:val=""/>
      <w:lvlJc w:val="left"/>
      <w:pPr>
        <w:ind w:left="2880" w:hanging="360"/>
      </w:pPr>
      <w:rPr>
        <w:rFonts w:ascii="Symbol" w:hAnsi="Symbol" w:hint="default"/>
      </w:rPr>
    </w:lvl>
    <w:lvl w:ilvl="4" w:tplc="A06E05AC">
      <w:start w:val="1"/>
      <w:numFmt w:val="bullet"/>
      <w:lvlText w:val="o"/>
      <w:lvlJc w:val="left"/>
      <w:pPr>
        <w:ind w:left="3600" w:hanging="360"/>
      </w:pPr>
      <w:rPr>
        <w:rFonts w:ascii="Courier New" w:hAnsi="Courier New" w:hint="default"/>
      </w:rPr>
    </w:lvl>
    <w:lvl w:ilvl="5" w:tplc="D04A3370">
      <w:start w:val="1"/>
      <w:numFmt w:val="bullet"/>
      <w:lvlText w:val=""/>
      <w:lvlJc w:val="left"/>
      <w:pPr>
        <w:ind w:left="4320" w:hanging="360"/>
      </w:pPr>
      <w:rPr>
        <w:rFonts w:ascii="Wingdings" w:hAnsi="Wingdings" w:hint="default"/>
      </w:rPr>
    </w:lvl>
    <w:lvl w:ilvl="6" w:tplc="B3B6D430">
      <w:start w:val="1"/>
      <w:numFmt w:val="bullet"/>
      <w:lvlText w:val=""/>
      <w:lvlJc w:val="left"/>
      <w:pPr>
        <w:ind w:left="5040" w:hanging="360"/>
      </w:pPr>
      <w:rPr>
        <w:rFonts w:ascii="Symbol" w:hAnsi="Symbol" w:hint="default"/>
      </w:rPr>
    </w:lvl>
    <w:lvl w:ilvl="7" w:tplc="AFE2F2C2">
      <w:start w:val="1"/>
      <w:numFmt w:val="bullet"/>
      <w:lvlText w:val="o"/>
      <w:lvlJc w:val="left"/>
      <w:pPr>
        <w:ind w:left="5760" w:hanging="360"/>
      </w:pPr>
      <w:rPr>
        <w:rFonts w:ascii="Courier New" w:hAnsi="Courier New" w:hint="default"/>
      </w:rPr>
    </w:lvl>
    <w:lvl w:ilvl="8" w:tplc="8B445098">
      <w:start w:val="1"/>
      <w:numFmt w:val="bullet"/>
      <w:lvlText w:val=""/>
      <w:lvlJc w:val="left"/>
      <w:pPr>
        <w:ind w:left="6480" w:hanging="360"/>
      </w:pPr>
      <w:rPr>
        <w:rFonts w:ascii="Wingdings" w:hAnsi="Wingdings" w:hint="default"/>
      </w:rPr>
    </w:lvl>
  </w:abstractNum>
  <w:abstractNum w:abstractNumId="65" w15:restartNumberingAfterBreak="0">
    <w:nsid w:val="65A95419"/>
    <w:multiLevelType w:val="multilevel"/>
    <w:tmpl w:val="36BC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74E6092"/>
    <w:multiLevelType w:val="hybridMultilevel"/>
    <w:tmpl w:val="23BC3EF0"/>
    <w:lvl w:ilvl="0" w:tplc="96C0BA8C">
      <w:start w:val="1"/>
      <w:numFmt w:val="lowerLetter"/>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7" w15:restartNumberingAfterBreak="0">
    <w:nsid w:val="68141DB5"/>
    <w:multiLevelType w:val="multilevel"/>
    <w:tmpl w:val="A21A377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8DE4F23"/>
    <w:multiLevelType w:val="multilevel"/>
    <w:tmpl w:val="64E66C9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E4932C7"/>
    <w:multiLevelType w:val="multilevel"/>
    <w:tmpl w:val="5FC0CD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6EFD2A7F"/>
    <w:multiLevelType w:val="multilevel"/>
    <w:tmpl w:val="0EEE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0617DF9"/>
    <w:multiLevelType w:val="hybridMultilevel"/>
    <w:tmpl w:val="FEF48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254BA87"/>
    <w:multiLevelType w:val="hybridMultilevel"/>
    <w:tmpl w:val="C86EB05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3" w15:restartNumberingAfterBreak="0">
    <w:nsid w:val="74CC182C"/>
    <w:multiLevelType w:val="hybridMultilevel"/>
    <w:tmpl w:val="2AC0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4EF135F"/>
    <w:multiLevelType w:val="hybridMultilevel"/>
    <w:tmpl w:val="0EAE7AB8"/>
    <w:lvl w:ilvl="0" w:tplc="6EA65DFA">
      <w:start w:val="1"/>
      <w:numFmt w:val="decimal"/>
      <w:lvlText w:val="%1."/>
      <w:lvlJc w:val="left"/>
      <w:pPr>
        <w:ind w:left="720" w:hanging="360"/>
      </w:pPr>
    </w:lvl>
    <w:lvl w:ilvl="1" w:tplc="ACB2B61A">
      <w:start w:val="1"/>
      <w:numFmt w:val="upperLetter"/>
      <w:lvlText w:val="%2."/>
      <w:lvlJc w:val="left"/>
      <w:pPr>
        <w:ind w:left="1440" w:hanging="360"/>
      </w:pPr>
    </w:lvl>
    <w:lvl w:ilvl="2" w:tplc="BB927266">
      <w:start w:val="1"/>
      <w:numFmt w:val="lowerRoman"/>
      <w:lvlText w:val="%3."/>
      <w:lvlJc w:val="right"/>
      <w:pPr>
        <w:ind w:left="2160" w:hanging="180"/>
      </w:pPr>
    </w:lvl>
    <w:lvl w:ilvl="3" w:tplc="4440C05E">
      <w:start w:val="1"/>
      <w:numFmt w:val="decimal"/>
      <w:lvlText w:val="%4."/>
      <w:lvlJc w:val="left"/>
      <w:pPr>
        <w:ind w:left="2880" w:hanging="360"/>
      </w:pPr>
    </w:lvl>
    <w:lvl w:ilvl="4" w:tplc="86365156">
      <w:start w:val="1"/>
      <w:numFmt w:val="lowerLetter"/>
      <w:lvlText w:val="%5."/>
      <w:lvlJc w:val="left"/>
      <w:pPr>
        <w:ind w:left="3600" w:hanging="360"/>
      </w:pPr>
    </w:lvl>
    <w:lvl w:ilvl="5" w:tplc="A6DCF4BE">
      <w:start w:val="1"/>
      <w:numFmt w:val="lowerRoman"/>
      <w:lvlText w:val="%6."/>
      <w:lvlJc w:val="right"/>
      <w:pPr>
        <w:ind w:left="4320" w:hanging="180"/>
      </w:pPr>
    </w:lvl>
    <w:lvl w:ilvl="6" w:tplc="B7360E48">
      <w:start w:val="1"/>
      <w:numFmt w:val="decimal"/>
      <w:lvlText w:val="%7."/>
      <w:lvlJc w:val="left"/>
      <w:pPr>
        <w:ind w:left="5040" w:hanging="360"/>
      </w:pPr>
    </w:lvl>
    <w:lvl w:ilvl="7" w:tplc="1BCE0870">
      <w:start w:val="1"/>
      <w:numFmt w:val="lowerLetter"/>
      <w:lvlText w:val="%8."/>
      <w:lvlJc w:val="left"/>
      <w:pPr>
        <w:ind w:left="5760" w:hanging="360"/>
      </w:pPr>
    </w:lvl>
    <w:lvl w:ilvl="8" w:tplc="F6E67714">
      <w:start w:val="1"/>
      <w:numFmt w:val="lowerRoman"/>
      <w:lvlText w:val="%9."/>
      <w:lvlJc w:val="right"/>
      <w:pPr>
        <w:ind w:left="6480" w:hanging="180"/>
      </w:pPr>
    </w:lvl>
  </w:abstractNum>
  <w:abstractNum w:abstractNumId="75" w15:restartNumberingAfterBreak="0">
    <w:nsid w:val="75201755"/>
    <w:multiLevelType w:val="hybridMultilevel"/>
    <w:tmpl w:val="A7FA9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78646C80"/>
    <w:multiLevelType w:val="multilevel"/>
    <w:tmpl w:val="623A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91E47F2"/>
    <w:multiLevelType w:val="multilevel"/>
    <w:tmpl w:val="A16C2540"/>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78" w15:restartNumberingAfterBreak="0">
    <w:nsid w:val="79272780"/>
    <w:multiLevelType w:val="hybridMultilevel"/>
    <w:tmpl w:val="33EC6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A5E3791"/>
    <w:multiLevelType w:val="multilevel"/>
    <w:tmpl w:val="C4B6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AB25046"/>
    <w:multiLevelType w:val="hybridMultilevel"/>
    <w:tmpl w:val="BE0439F0"/>
    <w:lvl w:ilvl="0" w:tplc="3D461FD4">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83BC2EF4">
      <w:numFmt w:val="bullet"/>
      <w:lvlText w:val="•"/>
      <w:lvlJc w:val="left"/>
      <w:pPr>
        <w:ind w:left="729" w:hanging="360"/>
      </w:pPr>
      <w:rPr>
        <w:rFonts w:hint="default"/>
        <w:lang w:val="en-US" w:eastAsia="en-US" w:bidi="ar-SA"/>
      </w:rPr>
    </w:lvl>
    <w:lvl w:ilvl="2" w:tplc="A7FE433A">
      <w:numFmt w:val="bullet"/>
      <w:lvlText w:val="•"/>
      <w:lvlJc w:val="left"/>
      <w:pPr>
        <w:ind w:left="999" w:hanging="360"/>
      </w:pPr>
      <w:rPr>
        <w:rFonts w:hint="default"/>
        <w:lang w:val="en-US" w:eastAsia="en-US" w:bidi="ar-SA"/>
      </w:rPr>
    </w:lvl>
    <w:lvl w:ilvl="3" w:tplc="8418F598">
      <w:numFmt w:val="bullet"/>
      <w:lvlText w:val="•"/>
      <w:lvlJc w:val="left"/>
      <w:pPr>
        <w:ind w:left="1269" w:hanging="360"/>
      </w:pPr>
      <w:rPr>
        <w:rFonts w:hint="default"/>
        <w:lang w:val="en-US" w:eastAsia="en-US" w:bidi="ar-SA"/>
      </w:rPr>
    </w:lvl>
    <w:lvl w:ilvl="4" w:tplc="895E53B6">
      <w:numFmt w:val="bullet"/>
      <w:lvlText w:val="•"/>
      <w:lvlJc w:val="left"/>
      <w:pPr>
        <w:ind w:left="1539" w:hanging="360"/>
      </w:pPr>
      <w:rPr>
        <w:rFonts w:hint="default"/>
        <w:lang w:val="en-US" w:eastAsia="en-US" w:bidi="ar-SA"/>
      </w:rPr>
    </w:lvl>
    <w:lvl w:ilvl="5" w:tplc="D180DA1C">
      <w:numFmt w:val="bullet"/>
      <w:lvlText w:val="•"/>
      <w:lvlJc w:val="left"/>
      <w:pPr>
        <w:ind w:left="1809" w:hanging="360"/>
      </w:pPr>
      <w:rPr>
        <w:rFonts w:hint="default"/>
        <w:lang w:val="en-US" w:eastAsia="en-US" w:bidi="ar-SA"/>
      </w:rPr>
    </w:lvl>
    <w:lvl w:ilvl="6" w:tplc="169CBB1A">
      <w:numFmt w:val="bullet"/>
      <w:lvlText w:val="•"/>
      <w:lvlJc w:val="left"/>
      <w:pPr>
        <w:ind w:left="2078" w:hanging="360"/>
      </w:pPr>
      <w:rPr>
        <w:rFonts w:hint="default"/>
        <w:lang w:val="en-US" w:eastAsia="en-US" w:bidi="ar-SA"/>
      </w:rPr>
    </w:lvl>
    <w:lvl w:ilvl="7" w:tplc="63961138">
      <w:numFmt w:val="bullet"/>
      <w:lvlText w:val="•"/>
      <w:lvlJc w:val="left"/>
      <w:pPr>
        <w:ind w:left="2348" w:hanging="360"/>
      </w:pPr>
      <w:rPr>
        <w:rFonts w:hint="default"/>
        <w:lang w:val="en-US" w:eastAsia="en-US" w:bidi="ar-SA"/>
      </w:rPr>
    </w:lvl>
    <w:lvl w:ilvl="8" w:tplc="D6422A62">
      <w:numFmt w:val="bullet"/>
      <w:lvlText w:val="•"/>
      <w:lvlJc w:val="left"/>
      <w:pPr>
        <w:ind w:left="2618" w:hanging="360"/>
      </w:pPr>
      <w:rPr>
        <w:rFonts w:hint="default"/>
        <w:lang w:val="en-US" w:eastAsia="en-US" w:bidi="ar-SA"/>
      </w:rPr>
    </w:lvl>
  </w:abstractNum>
  <w:abstractNum w:abstractNumId="81" w15:restartNumberingAfterBreak="0">
    <w:nsid w:val="7AD33B05"/>
    <w:multiLevelType w:val="multilevel"/>
    <w:tmpl w:val="E1A4FA1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C2B44B8"/>
    <w:multiLevelType w:val="hybridMultilevel"/>
    <w:tmpl w:val="ED043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C481E05"/>
    <w:multiLevelType w:val="multilevel"/>
    <w:tmpl w:val="DFB2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D1978B7"/>
    <w:multiLevelType w:val="multilevel"/>
    <w:tmpl w:val="A574CC8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DCA7FBB"/>
    <w:multiLevelType w:val="multilevel"/>
    <w:tmpl w:val="074A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E02658B"/>
    <w:multiLevelType w:val="hybridMultilevel"/>
    <w:tmpl w:val="8454EA28"/>
    <w:lvl w:ilvl="0" w:tplc="8452A3B0">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2C341684">
      <w:numFmt w:val="bullet"/>
      <w:lvlText w:val="•"/>
      <w:lvlJc w:val="left"/>
      <w:pPr>
        <w:ind w:left="729" w:hanging="360"/>
      </w:pPr>
      <w:rPr>
        <w:rFonts w:hint="default"/>
        <w:lang w:val="en-US" w:eastAsia="en-US" w:bidi="ar-SA"/>
      </w:rPr>
    </w:lvl>
    <w:lvl w:ilvl="2" w:tplc="3A8EC006">
      <w:numFmt w:val="bullet"/>
      <w:lvlText w:val="•"/>
      <w:lvlJc w:val="left"/>
      <w:pPr>
        <w:ind w:left="999" w:hanging="360"/>
      </w:pPr>
      <w:rPr>
        <w:rFonts w:hint="default"/>
        <w:lang w:val="en-US" w:eastAsia="en-US" w:bidi="ar-SA"/>
      </w:rPr>
    </w:lvl>
    <w:lvl w:ilvl="3" w:tplc="4A98FDDE">
      <w:numFmt w:val="bullet"/>
      <w:lvlText w:val="•"/>
      <w:lvlJc w:val="left"/>
      <w:pPr>
        <w:ind w:left="1269" w:hanging="360"/>
      </w:pPr>
      <w:rPr>
        <w:rFonts w:hint="default"/>
        <w:lang w:val="en-US" w:eastAsia="en-US" w:bidi="ar-SA"/>
      </w:rPr>
    </w:lvl>
    <w:lvl w:ilvl="4" w:tplc="D6922C74">
      <w:numFmt w:val="bullet"/>
      <w:lvlText w:val="•"/>
      <w:lvlJc w:val="left"/>
      <w:pPr>
        <w:ind w:left="1539" w:hanging="360"/>
      </w:pPr>
      <w:rPr>
        <w:rFonts w:hint="default"/>
        <w:lang w:val="en-US" w:eastAsia="en-US" w:bidi="ar-SA"/>
      </w:rPr>
    </w:lvl>
    <w:lvl w:ilvl="5" w:tplc="E65C03D4">
      <w:numFmt w:val="bullet"/>
      <w:lvlText w:val="•"/>
      <w:lvlJc w:val="left"/>
      <w:pPr>
        <w:ind w:left="1809" w:hanging="360"/>
      </w:pPr>
      <w:rPr>
        <w:rFonts w:hint="default"/>
        <w:lang w:val="en-US" w:eastAsia="en-US" w:bidi="ar-SA"/>
      </w:rPr>
    </w:lvl>
    <w:lvl w:ilvl="6" w:tplc="5FF6CF40">
      <w:numFmt w:val="bullet"/>
      <w:lvlText w:val="•"/>
      <w:lvlJc w:val="left"/>
      <w:pPr>
        <w:ind w:left="2078" w:hanging="360"/>
      </w:pPr>
      <w:rPr>
        <w:rFonts w:hint="default"/>
        <w:lang w:val="en-US" w:eastAsia="en-US" w:bidi="ar-SA"/>
      </w:rPr>
    </w:lvl>
    <w:lvl w:ilvl="7" w:tplc="4E766422">
      <w:numFmt w:val="bullet"/>
      <w:lvlText w:val="•"/>
      <w:lvlJc w:val="left"/>
      <w:pPr>
        <w:ind w:left="2348" w:hanging="360"/>
      </w:pPr>
      <w:rPr>
        <w:rFonts w:hint="default"/>
        <w:lang w:val="en-US" w:eastAsia="en-US" w:bidi="ar-SA"/>
      </w:rPr>
    </w:lvl>
    <w:lvl w:ilvl="8" w:tplc="F3D01CC0">
      <w:numFmt w:val="bullet"/>
      <w:lvlText w:val="•"/>
      <w:lvlJc w:val="left"/>
      <w:pPr>
        <w:ind w:left="2618" w:hanging="360"/>
      </w:pPr>
      <w:rPr>
        <w:rFonts w:hint="default"/>
        <w:lang w:val="en-US" w:eastAsia="en-US" w:bidi="ar-SA"/>
      </w:rPr>
    </w:lvl>
  </w:abstractNum>
  <w:abstractNum w:abstractNumId="87" w15:restartNumberingAfterBreak="0">
    <w:nsid w:val="7E2E6C21"/>
    <w:multiLevelType w:val="hybridMultilevel"/>
    <w:tmpl w:val="1E3A0F20"/>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88" w15:restartNumberingAfterBreak="0">
    <w:nsid w:val="7E7813FA"/>
    <w:multiLevelType w:val="hybridMultilevel"/>
    <w:tmpl w:val="3C5AD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7"/>
  </w:num>
  <w:num w:numId="2">
    <w:abstractNumId w:val="10"/>
  </w:num>
  <w:num w:numId="3">
    <w:abstractNumId w:val="38"/>
  </w:num>
  <w:num w:numId="4">
    <w:abstractNumId w:val="61"/>
  </w:num>
  <w:num w:numId="5">
    <w:abstractNumId w:val="64"/>
  </w:num>
  <w:num w:numId="6">
    <w:abstractNumId w:val="13"/>
  </w:num>
  <w:num w:numId="7">
    <w:abstractNumId w:val="51"/>
  </w:num>
  <w:num w:numId="8">
    <w:abstractNumId w:val="28"/>
  </w:num>
  <w:num w:numId="9">
    <w:abstractNumId w:val="12"/>
  </w:num>
  <w:num w:numId="10">
    <w:abstractNumId w:val="73"/>
  </w:num>
  <w:num w:numId="11">
    <w:abstractNumId w:val="41"/>
  </w:num>
  <w:num w:numId="12">
    <w:abstractNumId w:val="19"/>
  </w:num>
  <w:num w:numId="13">
    <w:abstractNumId w:val="33"/>
  </w:num>
  <w:num w:numId="14">
    <w:abstractNumId w:val="68"/>
  </w:num>
  <w:num w:numId="15">
    <w:abstractNumId w:val="15"/>
  </w:num>
  <w:num w:numId="16">
    <w:abstractNumId w:val="63"/>
  </w:num>
  <w:num w:numId="17">
    <w:abstractNumId w:val="40"/>
  </w:num>
  <w:num w:numId="18">
    <w:abstractNumId w:val="84"/>
  </w:num>
  <w:num w:numId="19">
    <w:abstractNumId w:val="21"/>
  </w:num>
  <w:num w:numId="20">
    <w:abstractNumId w:val="67"/>
  </w:num>
  <w:num w:numId="21">
    <w:abstractNumId w:val="5"/>
  </w:num>
  <w:num w:numId="22">
    <w:abstractNumId w:val="77"/>
  </w:num>
  <w:num w:numId="23">
    <w:abstractNumId w:val="54"/>
  </w:num>
  <w:num w:numId="24">
    <w:abstractNumId w:val="53"/>
  </w:num>
  <w:num w:numId="25">
    <w:abstractNumId w:val="81"/>
  </w:num>
  <w:num w:numId="26">
    <w:abstractNumId w:val="56"/>
  </w:num>
  <w:num w:numId="27">
    <w:abstractNumId w:val="32"/>
  </w:num>
  <w:num w:numId="28">
    <w:abstractNumId w:val="75"/>
  </w:num>
  <w:num w:numId="29">
    <w:abstractNumId w:val="37"/>
  </w:num>
  <w:num w:numId="30">
    <w:abstractNumId w:val="78"/>
  </w:num>
  <w:num w:numId="31">
    <w:abstractNumId w:val="39"/>
  </w:num>
  <w:num w:numId="32">
    <w:abstractNumId w:val="62"/>
  </w:num>
  <w:num w:numId="33">
    <w:abstractNumId w:val="86"/>
  </w:num>
  <w:num w:numId="34">
    <w:abstractNumId w:val="80"/>
  </w:num>
  <w:num w:numId="35">
    <w:abstractNumId w:val="57"/>
  </w:num>
  <w:num w:numId="36">
    <w:abstractNumId w:val="16"/>
  </w:num>
  <w:num w:numId="37">
    <w:abstractNumId w:val="46"/>
  </w:num>
  <w:num w:numId="38">
    <w:abstractNumId w:val="72"/>
  </w:num>
  <w:num w:numId="39">
    <w:abstractNumId w:val="66"/>
  </w:num>
  <w:num w:numId="40">
    <w:abstractNumId w:val="18"/>
  </w:num>
  <w:num w:numId="41">
    <w:abstractNumId w:val="6"/>
  </w:num>
  <w:num w:numId="42">
    <w:abstractNumId w:val="22"/>
  </w:num>
  <w:num w:numId="43">
    <w:abstractNumId w:val="71"/>
  </w:num>
  <w:num w:numId="44">
    <w:abstractNumId w:val="14"/>
  </w:num>
  <w:num w:numId="45">
    <w:abstractNumId w:val="30"/>
  </w:num>
  <w:num w:numId="46">
    <w:abstractNumId w:val="26"/>
  </w:num>
  <w:num w:numId="47">
    <w:abstractNumId w:val="36"/>
  </w:num>
  <w:num w:numId="48">
    <w:abstractNumId w:val="20"/>
  </w:num>
  <w:num w:numId="49">
    <w:abstractNumId w:val="1"/>
  </w:num>
  <w:num w:numId="50">
    <w:abstractNumId w:val="88"/>
  </w:num>
  <w:num w:numId="51">
    <w:abstractNumId w:val="27"/>
  </w:num>
  <w:num w:numId="52">
    <w:abstractNumId w:val="0"/>
  </w:num>
  <w:num w:numId="53">
    <w:abstractNumId w:val="3"/>
  </w:num>
  <w:num w:numId="54">
    <w:abstractNumId w:val="24"/>
  </w:num>
  <w:num w:numId="55">
    <w:abstractNumId w:val="35"/>
  </w:num>
  <w:num w:numId="56">
    <w:abstractNumId w:val="44"/>
  </w:num>
  <w:num w:numId="57">
    <w:abstractNumId w:val="9"/>
  </w:num>
  <w:num w:numId="58">
    <w:abstractNumId w:val="49"/>
  </w:num>
  <w:num w:numId="59">
    <w:abstractNumId w:val="48"/>
  </w:num>
  <w:num w:numId="60">
    <w:abstractNumId w:val="29"/>
  </w:num>
  <w:num w:numId="61">
    <w:abstractNumId w:val="25"/>
  </w:num>
  <w:num w:numId="62">
    <w:abstractNumId w:val="17"/>
  </w:num>
  <w:num w:numId="63">
    <w:abstractNumId w:val="7"/>
  </w:num>
  <w:num w:numId="64">
    <w:abstractNumId w:val="42"/>
  </w:num>
  <w:num w:numId="65">
    <w:abstractNumId w:val="47"/>
  </w:num>
  <w:num w:numId="66">
    <w:abstractNumId w:val="34"/>
  </w:num>
  <w:num w:numId="67">
    <w:abstractNumId w:val="43"/>
  </w:num>
  <w:num w:numId="68">
    <w:abstractNumId w:val="52"/>
  </w:num>
  <w:num w:numId="69">
    <w:abstractNumId w:val="74"/>
  </w:num>
  <w:num w:numId="70">
    <w:abstractNumId w:val="23"/>
  </w:num>
  <w:num w:numId="71">
    <w:abstractNumId w:val="4"/>
  </w:num>
  <w:num w:numId="72">
    <w:abstractNumId w:val="55"/>
  </w:num>
  <w:num w:numId="73">
    <w:abstractNumId w:val="65"/>
  </w:num>
  <w:num w:numId="74">
    <w:abstractNumId w:val="79"/>
  </w:num>
  <w:num w:numId="75">
    <w:abstractNumId w:val="59"/>
  </w:num>
  <w:num w:numId="76">
    <w:abstractNumId w:val="82"/>
  </w:num>
  <w:num w:numId="77">
    <w:abstractNumId w:val="31"/>
  </w:num>
  <w:num w:numId="78">
    <w:abstractNumId w:val="2"/>
  </w:num>
  <w:num w:numId="79">
    <w:abstractNumId w:val="58"/>
  </w:num>
  <w:num w:numId="80">
    <w:abstractNumId w:val="85"/>
  </w:num>
  <w:num w:numId="81">
    <w:abstractNumId w:val="60"/>
  </w:num>
  <w:num w:numId="82">
    <w:abstractNumId w:val="8"/>
  </w:num>
  <w:num w:numId="83">
    <w:abstractNumId w:val="69"/>
  </w:num>
  <w:num w:numId="84">
    <w:abstractNumId w:val="11"/>
  </w:num>
  <w:num w:numId="85">
    <w:abstractNumId w:val="50"/>
  </w:num>
  <w:num w:numId="86">
    <w:abstractNumId w:val="45"/>
  </w:num>
  <w:num w:numId="87">
    <w:abstractNumId w:val="76"/>
  </w:num>
  <w:num w:numId="88">
    <w:abstractNumId w:val="70"/>
  </w:num>
  <w:num w:numId="89">
    <w:abstractNumId w:val="8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FB2"/>
    <w:rsid w:val="000010B9"/>
    <w:rsid w:val="000013EA"/>
    <w:rsid w:val="00002766"/>
    <w:rsid w:val="00002B1C"/>
    <w:rsid w:val="00003DFB"/>
    <w:rsid w:val="00004279"/>
    <w:rsid w:val="00005E71"/>
    <w:rsid w:val="00006D1A"/>
    <w:rsid w:val="00010A1B"/>
    <w:rsid w:val="00011184"/>
    <w:rsid w:val="00011C47"/>
    <w:rsid w:val="00012A0A"/>
    <w:rsid w:val="00012C11"/>
    <w:rsid w:val="00012E6B"/>
    <w:rsid w:val="000135B7"/>
    <w:rsid w:val="00013AE9"/>
    <w:rsid w:val="00014585"/>
    <w:rsid w:val="00014DBB"/>
    <w:rsid w:val="000150E7"/>
    <w:rsid w:val="00015B3E"/>
    <w:rsid w:val="00016A0A"/>
    <w:rsid w:val="00016E65"/>
    <w:rsid w:val="00017310"/>
    <w:rsid w:val="00020BC7"/>
    <w:rsid w:val="00021944"/>
    <w:rsid w:val="000241BB"/>
    <w:rsid w:val="000264C6"/>
    <w:rsid w:val="0002686D"/>
    <w:rsid w:val="000269E4"/>
    <w:rsid w:val="000271B6"/>
    <w:rsid w:val="00030127"/>
    <w:rsid w:val="0003237A"/>
    <w:rsid w:val="000324CD"/>
    <w:rsid w:val="00032B5A"/>
    <w:rsid w:val="00033847"/>
    <w:rsid w:val="00033E26"/>
    <w:rsid w:val="00034F76"/>
    <w:rsid w:val="00035E6A"/>
    <w:rsid w:val="0004010D"/>
    <w:rsid w:val="000401D3"/>
    <w:rsid w:val="0004045D"/>
    <w:rsid w:val="00041AED"/>
    <w:rsid w:val="00041E47"/>
    <w:rsid w:val="00042987"/>
    <w:rsid w:val="00043194"/>
    <w:rsid w:val="000437EB"/>
    <w:rsid w:val="0004462F"/>
    <w:rsid w:val="00047453"/>
    <w:rsid w:val="000505E8"/>
    <w:rsid w:val="00051320"/>
    <w:rsid w:val="000524D1"/>
    <w:rsid w:val="00053B76"/>
    <w:rsid w:val="00053EE7"/>
    <w:rsid w:val="00054249"/>
    <w:rsid w:val="00054D23"/>
    <w:rsid w:val="00054D45"/>
    <w:rsid w:val="00054DA9"/>
    <w:rsid w:val="00056533"/>
    <w:rsid w:val="0006287E"/>
    <w:rsid w:val="00064628"/>
    <w:rsid w:val="0006573B"/>
    <w:rsid w:val="00065C97"/>
    <w:rsid w:val="000718B3"/>
    <w:rsid w:val="00072349"/>
    <w:rsid w:val="00072879"/>
    <w:rsid w:val="00072B6A"/>
    <w:rsid w:val="000730A4"/>
    <w:rsid w:val="00076242"/>
    <w:rsid w:val="00076D9E"/>
    <w:rsid w:val="00077F19"/>
    <w:rsid w:val="00080A23"/>
    <w:rsid w:val="00080D3E"/>
    <w:rsid w:val="00081A70"/>
    <w:rsid w:val="000824D5"/>
    <w:rsid w:val="00083419"/>
    <w:rsid w:val="0008394C"/>
    <w:rsid w:val="000843DA"/>
    <w:rsid w:val="00084E37"/>
    <w:rsid w:val="00085C5B"/>
    <w:rsid w:val="00086AC6"/>
    <w:rsid w:val="00086C33"/>
    <w:rsid w:val="00087735"/>
    <w:rsid w:val="00090190"/>
    <w:rsid w:val="00090F3F"/>
    <w:rsid w:val="00091560"/>
    <w:rsid w:val="00093A78"/>
    <w:rsid w:val="00094063"/>
    <w:rsid w:val="00094688"/>
    <w:rsid w:val="00095DC4"/>
    <w:rsid w:val="00097EBD"/>
    <w:rsid w:val="000A1702"/>
    <w:rsid w:val="000A18C5"/>
    <w:rsid w:val="000A3400"/>
    <w:rsid w:val="000A5269"/>
    <w:rsid w:val="000B0C9D"/>
    <w:rsid w:val="000B1875"/>
    <w:rsid w:val="000B1C71"/>
    <w:rsid w:val="000B5B3D"/>
    <w:rsid w:val="000B5D4D"/>
    <w:rsid w:val="000B6851"/>
    <w:rsid w:val="000B7B45"/>
    <w:rsid w:val="000B7E42"/>
    <w:rsid w:val="000C2198"/>
    <w:rsid w:val="000C3247"/>
    <w:rsid w:val="000C35C3"/>
    <w:rsid w:val="000C4DB4"/>
    <w:rsid w:val="000C5356"/>
    <w:rsid w:val="000C7F51"/>
    <w:rsid w:val="000D145D"/>
    <w:rsid w:val="000D200D"/>
    <w:rsid w:val="000D4822"/>
    <w:rsid w:val="000D7076"/>
    <w:rsid w:val="000D734F"/>
    <w:rsid w:val="000D79AA"/>
    <w:rsid w:val="000E1B26"/>
    <w:rsid w:val="000E2C4A"/>
    <w:rsid w:val="000E2C75"/>
    <w:rsid w:val="000E2FBD"/>
    <w:rsid w:val="000E3D8F"/>
    <w:rsid w:val="000E4146"/>
    <w:rsid w:val="000E41AB"/>
    <w:rsid w:val="000E545D"/>
    <w:rsid w:val="000E7CED"/>
    <w:rsid w:val="000F093A"/>
    <w:rsid w:val="000F13D8"/>
    <w:rsid w:val="000F2E27"/>
    <w:rsid w:val="000F3F4E"/>
    <w:rsid w:val="000F5148"/>
    <w:rsid w:val="000F7906"/>
    <w:rsid w:val="001009AB"/>
    <w:rsid w:val="00102202"/>
    <w:rsid w:val="00104656"/>
    <w:rsid w:val="00106B63"/>
    <w:rsid w:val="00106F84"/>
    <w:rsid w:val="00110498"/>
    <w:rsid w:val="001115A8"/>
    <w:rsid w:val="00111695"/>
    <w:rsid w:val="0011250E"/>
    <w:rsid w:val="00113644"/>
    <w:rsid w:val="00115421"/>
    <w:rsid w:val="00115801"/>
    <w:rsid w:val="00116112"/>
    <w:rsid w:val="00116264"/>
    <w:rsid w:val="001176B3"/>
    <w:rsid w:val="00122451"/>
    <w:rsid w:val="00124E04"/>
    <w:rsid w:val="00125186"/>
    <w:rsid w:val="0012565E"/>
    <w:rsid w:val="00126AD5"/>
    <w:rsid w:val="00127C14"/>
    <w:rsid w:val="00130903"/>
    <w:rsid w:val="00131E74"/>
    <w:rsid w:val="0013215C"/>
    <w:rsid w:val="001326A8"/>
    <w:rsid w:val="00133280"/>
    <w:rsid w:val="00135FE1"/>
    <w:rsid w:val="00137271"/>
    <w:rsid w:val="00140026"/>
    <w:rsid w:val="00140732"/>
    <w:rsid w:val="001413BB"/>
    <w:rsid w:val="001428D4"/>
    <w:rsid w:val="001430C4"/>
    <w:rsid w:val="00144E1D"/>
    <w:rsid w:val="0014510A"/>
    <w:rsid w:val="001455AE"/>
    <w:rsid w:val="00146843"/>
    <w:rsid w:val="00150258"/>
    <w:rsid w:val="001505DB"/>
    <w:rsid w:val="00151D56"/>
    <w:rsid w:val="0015527C"/>
    <w:rsid w:val="00155B37"/>
    <w:rsid w:val="001561A2"/>
    <w:rsid w:val="001609C6"/>
    <w:rsid w:val="00160AC0"/>
    <w:rsid w:val="00163425"/>
    <w:rsid w:val="00165399"/>
    <w:rsid w:val="00171E44"/>
    <w:rsid w:val="00172042"/>
    <w:rsid w:val="00172825"/>
    <w:rsid w:val="00174ECC"/>
    <w:rsid w:val="00176099"/>
    <w:rsid w:val="001761D3"/>
    <w:rsid w:val="001800BD"/>
    <w:rsid w:val="0018185B"/>
    <w:rsid w:val="00181B44"/>
    <w:rsid w:val="00181D79"/>
    <w:rsid w:val="001821F7"/>
    <w:rsid w:val="001832FE"/>
    <w:rsid w:val="001842E8"/>
    <w:rsid w:val="00184A9A"/>
    <w:rsid w:val="00185102"/>
    <w:rsid w:val="00187411"/>
    <w:rsid w:val="0018768D"/>
    <w:rsid w:val="00191418"/>
    <w:rsid w:val="00191823"/>
    <w:rsid w:val="001921AD"/>
    <w:rsid w:val="00192D97"/>
    <w:rsid w:val="0019335D"/>
    <w:rsid w:val="00193428"/>
    <w:rsid w:val="00193671"/>
    <w:rsid w:val="0019378D"/>
    <w:rsid w:val="0019500A"/>
    <w:rsid w:val="00196388"/>
    <w:rsid w:val="00197872"/>
    <w:rsid w:val="00197A70"/>
    <w:rsid w:val="00197B02"/>
    <w:rsid w:val="001A0967"/>
    <w:rsid w:val="001A0D87"/>
    <w:rsid w:val="001A0E47"/>
    <w:rsid w:val="001A10E5"/>
    <w:rsid w:val="001A1C34"/>
    <w:rsid w:val="001A2953"/>
    <w:rsid w:val="001A3633"/>
    <w:rsid w:val="001A48FD"/>
    <w:rsid w:val="001A61AF"/>
    <w:rsid w:val="001A7FDF"/>
    <w:rsid w:val="001B069A"/>
    <w:rsid w:val="001B0A28"/>
    <w:rsid w:val="001B2E01"/>
    <w:rsid w:val="001B3ED0"/>
    <w:rsid w:val="001B4272"/>
    <w:rsid w:val="001B4603"/>
    <w:rsid w:val="001B59D2"/>
    <w:rsid w:val="001B5EBD"/>
    <w:rsid w:val="001C1522"/>
    <w:rsid w:val="001C18C2"/>
    <w:rsid w:val="001C196E"/>
    <w:rsid w:val="001C1A36"/>
    <w:rsid w:val="001C351D"/>
    <w:rsid w:val="001C3C1C"/>
    <w:rsid w:val="001C415D"/>
    <w:rsid w:val="001C4178"/>
    <w:rsid w:val="001C4B1F"/>
    <w:rsid w:val="001C66FA"/>
    <w:rsid w:val="001D3A73"/>
    <w:rsid w:val="001D4A10"/>
    <w:rsid w:val="001D4EC7"/>
    <w:rsid w:val="001D4FE1"/>
    <w:rsid w:val="001D6E05"/>
    <w:rsid w:val="001E026B"/>
    <w:rsid w:val="001E04DA"/>
    <w:rsid w:val="001E0802"/>
    <w:rsid w:val="001E0D17"/>
    <w:rsid w:val="001E2262"/>
    <w:rsid w:val="001E41D6"/>
    <w:rsid w:val="001E4F67"/>
    <w:rsid w:val="001E5F07"/>
    <w:rsid w:val="001E6DB9"/>
    <w:rsid w:val="001E79CF"/>
    <w:rsid w:val="001F027A"/>
    <w:rsid w:val="001F0A56"/>
    <w:rsid w:val="001F1ED5"/>
    <w:rsid w:val="001F2051"/>
    <w:rsid w:val="001F2DF1"/>
    <w:rsid w:val="001F3F72"/>
    <w:rsid w:val="00200444"/>
    <w:rsid w:val="00200937"/>
    <w:rsid w:val="0020155A"/>
    <w:rsid w:val="00202401"/>
    <w:rsid w:val="00204245"/>
    <w:rsid w:val="00204E14"/>
    <w:rsid w:val="00206BE3"/>
    <w:rsid w:val="00207C3A"/>
    <w:rsid w:val="002135FA"/>
    <w:rsid w:val="00215CC8"/>
    <w:rsid w:val="002162AF"/>
    <w:rsid w:val="002174B5"/>
    <w:rsid w:val="002204DA"/>
    <w:rsid w:val="0022056C"/>
    <w:rsid w:val="00222431"/>
    <w:rsid w:val="002262EA"/>
    <w:rsid w:val="00227779"/>
    <w:rsid w:val="0023154C"/>
    <w:rsid w:val="0023416A"/>
    <w:rsid w:val="00234627"/>
    <w:rsid w:val="00234A73"/>
    <w:rsid w:val="00235466"/>
    <w:rsid w:val="002359FF"/>
    <w:rsid w:val="00235D7C"/>
    <w:rsid w:val="00237D23"/>
    <w:rsid w:val="00237E0F"/>
    <w:rsid w:val="00242A05"/>
    <w:rsid w:val="00244272"/>
    <w:rsid w:val="0024588D"/>
    <w:rsid w:val="00245BE2"/>
    <w:rsid w:val="00246058"/>
    <w:rsid w:val="002462F0"/>
    <w:rsid w:val="002469C9"/>
    <w:rsid w:val="0024703E"/>
    <w:rsid w:val="0024720C"/>
    <w:rsid w:val="002473EF"/>
    <w:rsid w:val="002500E0"/>
    <w:rsid w:val="00250C77"/>
    <w:rsid w:val="0025155B"/>
    <w:rsid w:val="00252E54"/>
    <w:rsid w:val="00253E26"/>
    <w:rsid w:val="00253F49"/>
    <w:rsid w:val="00253FBD"/>
    <w:rsid w:val="00254766"/>
    <w:rsid w:val="00255553"/>
    <w:rsid w:val="00255EDF"/>
    <w:rsid w:val="00263145"/>
    <w:rsid w:val="00263F8D"/>
    <w:rsid w:val="002657CE"/>
    <w:rsid w:val="00265D28"/>
    <w:rsid w:val="00265EF0"/>
    <w:rsid w:val="00273C46"/>
    <w:rsid w:val="00275D3D"/>
    <w:rsid w:val="00277305"/>
    <w:rsid w:val="00277D2B"/>
    <w:rsid w:val="00280344"/>
    <w:rsid w:val="00281B76"/>
    <w:rsid w:val="00282700"/>
    <w:rsid w:val="0028293B"/>
    <w:rsid w:val="0028440B"/>
    <w:rsid w:val="00284DC3"/>
    <w:rsid w:val="00285458"/>
    <w:rsid w:val="002870B7"/>
    <w:rsid w:val="00287C4C"/>
    <w:rsid w:val="00290C6C"/>
    <w:rsid w:val="00290F5F"/>
    <w:rsid w:val="002919B2"/>
    <w:rsid w:val="00291FA0"/>
    <w:rsid w:val="00292F63"/>
    <w:rsid w:val="00293328"/>
    <w:rsid w:val="002943A5"/>
    <w:rsid w:val="00295CB2"/>
    <w:rsid w:val="00295EDD"/>
    <w:rsid w:val="002A0287"/>
    <w:rsid w:val="002A02CC"/>
    <w:rsid w:val="002A0C7E"/>
    <w:rsid w:val="002A1A46"/>
    <w:rsid w:val="002A6747"/>
    <w:rsid w:val="002A7E8B"/>
    <w:rsid w:val="002B0DF1"/>
    <w:rsid w:val="002B4AE6"/>
    <w:rsid w:val="002B6601"/>
    <w:rsid w:val="002B687B"/>
    <w:rsid w:val="002B794A"/>
    <w:rsid w:val="002C0E48"/>
    <w:rsid w:val="002C2434"/>
    <w:rsid w:val="002C330D"/>
    <w:rsid w:val="002C33C6"/>
    <w:rsid w:val="002C7386"/>
    <w:rsid w:val="002C766C"/>
    <w:rsid w:val="002D3034"/>
    <w:rsid w:val="002D516E"/>
    <w:rsid w:val="002D6958"/>
    <w:rsid w:val="002E1A83"/>
    <w:rsid w:val="002E69EF"/>
    <w:rsid w:val="002E6AB9"/>
    <w:rsid w:val="002E6EDE"/>
    <w:rsid w:val="002E709F"/>
    <w:rsid w:val="002E766C"/>
    <w:rsid w:val="002E78AF"/>
    <w:rsid w:val="002E7F08"/>
    <w:rsid w:val="002F0CB5"/>
    <w:rsid w:val="002F1A43"/>
    <w:rsid w:val="002F2AC5"/>
    <w:rsid w:val="002F3149"/>
    <w:rsid w:val="002F3BED"/>
    <w:rsid w:val="002F58D6"/>
    <w:rsid w:val="002F6CAA"/>
    <w:rsid w:val="002F7CB7"/>
    <w:rsid w:val="003013B8"/>
    <w:rsid w:val="00301856"/>
    <w:rsid w:val="00302FF3"/>
    <w:rsid w:val="00303A11"/>
    <w:rsid w:val="00304A4C"/>
    <w:rsid w:val="00304B5E"/>
    <w:rsid w:val="00307271"/>
    <w:rsid w:val="00310C22"/>
    <w:rsid w:val="0031127F"/>
    <w:rsid w:val="00311DAC"/>
    <w:rsid w:val="00312B7A"/>
    <w:rsid w:val="00313C27"/>
    <w:rsid w:val="003149BA"/>
    <w:rsid w:val="00314CCA"/>
    <w:rsid w:val="00317635"/>
    <w:rsid w:val="003206B7"/>
    <w:rsid w:val="00320AAA"/>
    <w:rsid w:val="00320CB3"/>
    <w:rsid w:val="00321C83"/>
    <w:rsid w:val="00323B5F"/>
    <w:rsid w:val="00323CD2"/>
    <w:rsid w:val="003242D9"/>
    <w:rsid w:val="00324C32"/>
    <w:rsid w:val="00325BEF"/>
    <w:rsid w:val="003266EB"/>
    <w:rsid w:val="00326CC2"/>
    <w:rsid w:val="00327DA3"/>
    <w:rsid w:val="00330A2F"/>
    <w:rsid w:val="003311D1"/>
    <w:rsid w:val="00341604"/>
    <w:rsid w:val="00351ACA"/>
    <w:rsid w:val="00352351"/>
    <w:rsid w:val="00352F19"/>
    <w:rsid w:val="00356E33"/>
    <w:rsid w:val="0035702B"/>
    <w:rsid w:val="00363281"/>
    <w:rsid w:val="003639B0"/>
    <w:rsid w:val="0036563B"/>
    <w:rsid w:val="00365C6F"/>
    <w:rsid w:val="003670BB"/>
    <w:rsid w:val="00367C89"/>
    <w:rsid w:val="00367F16"/>
    <w:rsid w:val="00370804"/>
    <w:rsid w:val="00372FA6"/>
    <w:rsid w:val="00373622"/>
    <w:rsid w:val="00374C7B"/>
    <w:rsid w:val="003754ED"/>
    <w:rsid w:val="003758F5"/>
    <w:rsid w:val="003766B0"/>
    <w:rsid w:val="00376933"/>
    <w:rsid w:val="00377C44"/>
    <w:rsid w:val="00377D83"/>
    <w:rsid w:val="0038117F"/>
    <w:rsid w:val="003818BE"/>
    <w:rsid w:val="00382B52"/>
    <w:rsid w:val="00383784"/>
    <w:rsid w:val="00383C2A"/>
    <w:rsid w:val="003845CD"/>
    <w:rsid w:val="00384682"/>
    <w:rsid w:val="003913FA"/>
    <w:rsid w:val="0039280F"/>
    <w:rsid w:val="00392C3D"/>
    <w:rsid w:val="00393866"/>
    <w:rsid w:val="00395506"/>
    <w:rsid w:val="003973B0"/>
    <w:rsid w:val="0039740A"/>
    <w:rsid w:val="003A23A9"/>
    <w:rsid w:val="003A2459"/>
    <w:rsid w:val="003A2688"/>
    <w:rsid w:val="003A3532"/>
    <w:rsid w:val="003A4391"/>
    <w:rsid w:val="003A44B0"/>
    <w:rsid w:val="003A4D1E"/>
    <w:rsid w:val="003A523B"/>
    <w:rsid w:val="003B1788"/>
    <w:rsid w:val="003B1B84"/>
    <w:rsid w:val="003B1D72"/>
    <w:rsid w:val="003B214D"/>
    <w:rsid w:val="003B2DCF"/>
    <w:rsid w:val="003B49ED"/>
    <w:rsid w:val="003B655D"/>
    <w:rsid w:val="003B6856"/>
    <w:rsid w:val="003C02D5"/>
    <w:rsid w:val="003C209C"/>
    <w:rsid w:val="003C3445"/>
    <w:rsid w:val="003C371E"/>
    <w:rsid w:val="003C3BDD"/>
    <w:rsid w:val="003C45EC"/>
    <w:rsid w:val="003C4669"/>
    <w:rsid w:val="003C562D"/>
    <w:rsid w:val="003D286E"/>
    <w:rsid w:val="003D4186"/>
    <w:rsid w:val="003D65F7"/>
    <w:rsid w:val="003D76CE"/>
    <w:rsid w:val="003E23F8"/>
    <w:rsid w:val="003E2664"/>
    <w:rsid w:val="003E451A"/>
    <w:rsid w:val="003E7376"/>
    <w:rsid w:val="003F1ADB"/>
    <w:rsid w:val="003F1DA2"/>
    <w:rsid w:val="003F267C"/>
    <w:rsid w:val="003F33A8"/>
    <w:rsid w:val="003F3F11"/>
    <w:rsid w:val="003F43CF"/>
    <w:rsid w:val="003F5015"/>
    <w:rsid w:val="003F669C"/>
    <w:rsid w:val="00400F36"/>
    <w:rsid w:val="00401D8A"/>
    <w:rsid w:val="00402137"/>
    <w:rsid w:val="0040253A"/>
    <w:rsid w:val="00404184"/>
    <w:rsid w:val="00407A87"/>
    <w:rsid w:val="00407CF2"/>
    <w:rsid w:val="0041036B"/>
    <w:rsid w:val="004103E0"/>
    <w:rsid w:val="00412428"/>
    <w:rsid w:val="00415BB2"/>
    <w:rsid w:val="0042012A"/>
    <w:rsid w:val="00420965"/>
    <w:rsid w:val="00420A9C"/>
    <w:rsid w:val="004213DA"/>
    <w:rsid w:val="0042179A"/>
    <w:rsid w:val="00422B9A"/>
    <w:rsid w:val="004244CE"/>
    <w:rsid w:val="004254B7"/>
    <w:rsid w:val="00425FA7"/>
    <w:rsid w:val="00426B38"/>
    <w:rsid w:val="00431125"/>
    <w:rsid w:val="004321FD"/>
    <w:rsid w:val="00432B03"/>
    <w:rsid w:val="00433FCC"/>
    <w:rsid w:val="00434260"/>
    <w:rsid w:val="00437A8B"/>
    <w:rsid w:val="0044088F"/>
    <w:rsid w:val="00441755"/>
    <w:rsid w:val="00442AB6"/>
    <w:rsid w:val="00442B0B"/>
    <w:rsid w:val="00442DDC"/>
    <w:rsid w:val="00443462"/>
    <w:rsid w:val="00443616"/>
    <w:rsid w:val="00447EE0"/>
    <w:rsid w:val="0045381C"/>
    <w:rsid w:val="00453F0D"/>
    <w:rsid w:val="00453F84"/>
    <w:rsid w:val="00456C9D"/>
    <w:rsid w:val="00457D6C"/>
    <w:rsid w:val="00461133"/>
    <w:rsid w:val="00462550"/>
    <w:rsid w:val="004632F2"/>
    <w:rsid w:val="004647A0"/>
    <w:rsid w:val="00465B78"/>
    <w:rsid w:val="004663EB"/>
    <w:rsid w:val="004721E5"/>
    <w:rsid w:val="00473209"/>
    <w:rsid w:val="00473989"/>
    <w:rsid w:val="00474E0D"/>
    <w:rsid w:val="004754F8"/>
    <w:rsid w:val="00477202"/>
    <w:rsid w:val="00477436"/>
    <w:rsid w:val="0048115D"/>
    <w:rsid w:val="00481522"/>
    <w:rsid w:val="00481F74"/>
    <w:rsid w:val="00482353"/>
    <w:rsid w:val="004834AE"/>
    <w:rsid w:val="004846CD"/>
    <w:rsid w:val="00485795"/>
    <w:rsid w:val="004860E8"/>
    <w:rsid w:val="00490432"/>
    <w:rsid w:val="00490ED2"/>
    <w:rsid w:val="00492431"/>
    <w:rsid w:val="00492814"/>
    <w:rsid w:val="004937B0"/>
    <w:rsid w:val="00493D76"/>
    <w:rsid w:val="004953FC"/>
    <w:rsid w:val="00496C07"/>
    <w:rsid w:val="004A0366"/>
    <w:rsid w:val="004A3325"/>
    <w:rsid w:val="004A3579"/>
    <w:rsid w:val="004A3C2A"/>
    <w:rsid w:val="004A43DB"/>
    <w:rsid w:val="004A71B1"/>
    <w:rsid w:val="004B0BC7"/>
    <w:rsid w:val="004B134E"/>
    <w:rsid w:val="004B706C"/>
    <w:rsid w:val="004C06C3"/>
    <w:rsid w:val="004C25CF"/>
    <w:rsid w:val="004C37F4"/>
    <w:rsid w:val="004C3934"/>
    <w:rsid w:val="004C3EA5"/>
    <w:rsid w:val="004C6AFD"/>
    <w:rsid w:val="004D037A"/>
    <w:rsid w:val="004D25AD"/>
    <w:rsid w:val="004D39C5"/>
    <w:rsid w:val="004D5227"/>
    <w:rsid w:val="004D5334"/>
    <w:rsid w:val="004D57D2"/>
    <w:rsid w:val="004D6F53"/>
    <w:rsid w:val="004E0646"/>
    <w:rsid w:val="004E248A"/>
    <w:rsid w:val="004E5B30"/>
    <w:rsid w:val="004E5BA3"/>
    <w:rsid w:val="004E68EB"/>
    <w:rsid w:val="004E7A3D"/>
    <w:rsid w:val="004F0E25"/>
    <w:rsid w:val="004F382C"/>
    <w:rsid w:val="004F495B"/>
    <w:rsid w:val="004F5828"/>
    <w:rsid w:val="004F78B0"/>
    <w:rsid w:val="004F78E0"/>
    <w:rsid w:val="00501742"/>
    <w:rsid w:val="00501CB0"/>
    <w:rsid w:val="00501F68"/>
    <w:rsid w:val="005027DA"/>
    <w:rsid w:val="00502A2D"/>
    <w:rsid w:val="00504052"/>
    <w:rsid w:val="00504E21"/>
    <w:rsid w:val="00506977"/>
    <w:rsid w:val="00507FA2"/>
    <w:rsid w:val="00510357"/>
    <w:rsid w:val="0051063E"/>
    <w:rsid w:val="005108D9"/>
    <w:rsid w:val="00514114"/>
    <w:rsid w:val="0052054D"/>
    <w:rsid w:val="00521552"/>
    <w:rsid w:val="00521D98"/>
    <w:rsid w:val="0052338A"/>
    <w:rsid w:val="0052366C"/>
    <w:rsid w:val="005260D4"/>
    <w:rsid w:val="005276E9"/>
    <w:rsid w:val="0052791F"/>
    <w:rsid w:val="0053059C"/>
    <w:rsid w:val="005313CD"/>
    <w:rsid w:val="00531434"/>
    <w:rsid w:val="00532A41"/>
    <w:rsid w:val="00533919"/>
    <w:rsid w:val="0053535E"/>
    <w:rsid w:val="00535D30"/>
    <w:rsid w:val="00537319"/>
    <w:rsid w:val="0054041E"/>
    <w:rsid w:val="0054055C"/>
    <w:rsid w:val="005415FC"/>
    <w:rsid w:val="00541618"/>
    <w:rsid w:val="00541771"/>
    <w:rsid w:val="00544333"/>
    <w:rsid w:val="00544DE0"/>
    <w:rsid w:val="0054765C"/>
    <w:rsid w:val="00551C1D"/>
    <w:rsid w:val="00551C94"/>
    <w:rsid w:val="005522B1"/>
    <w:rsid w:val="00553D17"/>
    <w:rsid w:val="005545CE"/>
    <w:rsid w:val="00555485"/>
    <w:rsid w:val="00555627"/>
    <w:rsid w:val="00556A33"/>
    <w:rsid w:val="005575CD"/>
    <w:rsid w:val="00557EB5"/>
    <w:rsid w:val="00560597"/>
    <w:rsid w:val="00562D7A"/>
    <w:rsid w:val="0056387B"/>
    <w:rsid w:val="00564A73"/>
    <w:rsid w:val="0056542B"/>
    <w:rsid w:val="0056653A"/>
    <w:rsid w:val="00566FA1"/>
    <w:rsid w:val="00570531"/>
    <w:rsid w:val="00570C3D"/>
    <w:rsid w:val="00571905"/>
    <w:rsid w:val="00571B4F"/>
    <w:rsid w:val="005749C9"/>
    <w:rsid w:val="00575EAB"/>
    <w:rsid w:val="0057720C"/>
    <w:rsid w:val="0058334E"/>
    <w:rsid w:val="00584051"/>
    <w:rsid w:val="00585112"/>
    <w:rsid w:val="00585857"/>
    <w:rsid w:val="00586066"/>
    <w:rsid w:val="005900F7"/>
    <w:rsid w:val="0059021A"/>
    <w:rsid w:val="00590B0F"/>
    <w:rsid w:val="00590F48"/>
    <w:rsid w:val="0059239A"/>
    <w:rsid w:val="00592813"/>
    <w:rsid w:val="0059466C"/>
    <w:rsid w:val="00594976"/>
    <w:rsid w:val="00595A3F"/>
    <w:rsid w:val="00596840"/>
    <w:rsid w:val="005A12EE"/>
    <w:rsid w:val="005A16E9"/>
    <w:rsid w:val="005A1A36"/>
    <w:rsid w:val="005A2741"/>
    <w:rsid w:val="005A3AB3"/>
    <w:rsid w:val="005A6E56"/>
    <w:rsid w:val="005A6FEC"/>
    <w:rsid w:val="005A76B1"/>
    <w:rsid w:val="005B0258"/>
    <w:rsid w:val="005B0CE3"/>
    <w:rsid w:val="005B0FAA"/>
    <w:rsid w:val="005B15A7"/>
    <w:rsid w:val="005B25F8"/>
    <w:rsid w:val="005B2649"/>
    <w:rsid w:val="005B2DA1"/>
    <w:rsid w:val="005B3EB7"/>
    <w:rsid w:val="005B553E"/>
    <w:rsid w:val="005B79B2"/>
    <w:rsid w:val="005C61F2"/>
    <w:rsid w:val="005C65B8"/>
    <w:rsid w:val="005C7E1A"/>
    <w:rsid w:val="005D0AA6"/>
    <w:rsid w:val="005D0DF3"/>
    <w:rsid w:val="005D10D7"/>
    <w:rsid w:val="005D1CF3"/>
    <w:rsid w:val="005D28D6"/>
    <w:rsid w:val="005D3FD8"/>
    <w:rsid w:val="005D46CC"/>
    <w:rsid w:val="005D4B44"/>
    <w:rsid w:val="005D58A7"/>
    <w:rsid w:val="005D7192"/>
    <w:rsid w:val="005E1A89"/>
    <w:rsid w:val="005E2D79"/>
    <w:rsid w:val="005E3411"/>
    <w:rsid w:val="005E38F3"/>
    <w:rsid w:val="005E4874"/>
    <w:rsid w:val="005E4A14"/>
    <w:rsid w:val="005E4E7F"/>
    <w:rsid w:val="005E4F53"/>
    <w:rsid w:val="005E5346"/>
    <w:rsid w:val="005E6184"/>
    <w:rsid w:val="005E6B14"/>
    <w:rsid w:val="005F0D0B"/>
    <w:rsid w:val="005F50F4"/>
    <w:rsid w:val="005F5306"/>
    <w:rsid w:val="005F675D"/>
    <w:rsid w:val="005F79A0"/>
    <w:rsid w:val="006004C5"/>
    <w:rsid w:val="0060065F"/>
    <w:rsid w:val="00601673"/>
    <w:rsid w:val="00601C4E"/>
    <w:rsid w:val="00602776"/>
    <w:rsid w:val="006036E3"/>
    <w:rsid w:val="00603718"/>
    <w:rsid w:val="00604D60"/>
    <w:rsid w:val="00605424"/>
    <w:rsid w:val="00605A51"/>
    <w:rsid w:val="006068BF"/>
    <w:rsid w:val="00607481"/>
    <w:rsid w:val="00611BB7"/>
    <w:rsid w:val="00611F8E"/>
    <w:rsid w:val="00614B3A"/>
    <w:rsid w:val="006176BA"/>
    <w:rsid w:val="00620A95"/>
    <w:rsid w:val="00621434"/>
    <w:rsid w:val="006222D1"/>
    <w:rsid w:val="0062347D"/>
    <w:rsid w:val="00623D4C"/>
    <w:rsid w:val="00627193"/>
    <w:rsid w:val="0062780C"/>
    <w:rsid w:val="00631C65"/>
    <w:rsid w:val="00632E9C"/>
    <w:rsid w:val="00633DC4"/>
    <w:rsid w:val="006346B9"/>
    <w:rsid w:val="006406C3"/>
    <w:rsid w:val="006416B5"/>
    <w:rsid w:val="006432C3"/>
    <w:rsid w:val="006465D9"/>
    <w:rsid w:val="006469B6"/>
    <w:rsid w:val="00647F71"/>
    <w:rsid w:val="0065167D"/>
    <w:rsid w:val="00651AE4"/>
    <w:rsid w:val="0065347D"/>
    <w:rsid w:val="006554B5"/>
    <w:rsid w:val="00657AC7"/>
    <w:rsid w:val="00657E57"/>
    <w:rsid w:val="006628A8"/>
    <w:rsid w:val="00662937"/>
    <w:rsid w:val="00666E3A"/>
    <w:rsid w:val="0067034A"/>
    <w:rsid w:val="006712B3"/>
    <w:rsid w:val="00671F37"/>
    <w:rsid w:val="006727CB"/>
    <w:rsid w:val="006747A7"/>
    <w:rsid w:val="00674BAE"/>
    <w:rsid w:val="006761DD"/>
    <w:rsid w:val="00676696"/>
    <w:rsid w:val="00676C61"/>
    <w:rsid w:val="00683606"/>
    <w:rsid w:val="00683961"/>
    <w:rsid w:val="00683C61"/>
    <w:rsid w:val="00684550"/>
    <w:rsid w:val="006907F9"/>
    <w:rsid w:val="006913D4"/>
    <w:rsid w:val="00695F68"/>
    <w:rsid w:val="006965A9"/>
    <w:rsid w:val="00696951"/>
    <w:rsid w:val="00697771"/>
    <w:rsid w:val="006A0154"/>
    <w:rsid w:val="006A0F22"/>
    <w:rsid w:val="006A263D"/>
    <w:rsid w:val="006A2D06"/>
    <w:rsid w:val="006A31DC"/>
    <w:rsid w:val="006A48E9"/>
    <w:rsid w:val="006B07FF"/>
    <w:rsid w:val="006B132D"/>
    <w:rsid w:val="006B2157"/>
    <w:rsid w:val="006B2210"/>
    <w:rsid w:val="006B27A6"/>
    <w:rsid w:val="006B3D10"/>
    <w:rsid w:val="006B4018"/>
    <w:rsid w:val="006B4BC2"/>
    <w:rsid w:val="006B5299"/>
    <w:rsid w:val="006B6B21"/>
    <w:rsid w:val="006B6B2F"/>
    <w:rsid w:val="006B6F61"/>
    <w:rsid w:val="006B788F"/>
    <w:rsid w:val="006C0D96"/>
    <w:rsid w:val="006C3253"/>
    <w:rsid w:val="006C3DBF"/>
    <w:rsid w:val="006C4340"/>
    <w:rsid w:val="006C4923"/>
    <w:rsid w:val="006C5460"/>
    <w:rsid w:val="006C6374"/>
    <w:rsid w:val="006C6761"/>
    <w:rsid w:val="006C7C2A"/>
    <w:rsid w:val="006D2837"/>
    <w:rsid w:val="006D315F"/>
    <w:rsid w:val="006D4350"/>
    <w:rsid w:val="006D54F5"/>
    <w:rsid w:val="006E1C34"/>
    <w:rsid w:val="006E201D"/>
    <w:rsid w:val="006E3068"/>
    <w:rsid w:val="006E3DDB"/>
    <w:rsid w:val="006E46B4"/>
    <w:rsid w:val="006E58AB"/>
    <w:rsid w:val="006E5A3E"/>
    <w:rsid w:val="006E5DD2"/>
    <w:rsid w:val="006E5E76"/>
    <w:rsid w:val="006F035B"/>
    <w:rsid w:val="006F1EDD"/>
    <w:rsid w:val="006F3838"/>
    <w:rsid w:val="006F3AD3"/>
    <w:rsid w:val="006F3DF7"/>
    <w:rsid w:val="006F6182"/>
    <w:rsid w:val="00700101"/>
    <w:rsid w:val="00700804"/>
    <w:rsid w:val="0070302D"/>
    <w:rsid w:val="00706262"/>
    <w:rsid w:val="00706919"/>
    <w:rsid w:val="00707634"/>
    <w:rsid w:val="00707CB1"/>
    <w:rsid w:val="00711BE1"/>
    <w:rsid w:val="00711BE5"/>
    <w:rsid w:val="007125CB"/>
    <w:rsid w:val="00713A61"/>
    <w:rsid w:val="00713B76"/>
    <w:rsid w:val="00714719"/>
    <w:rsid w:val="00715ABB"/>
    <w:rsid w:val="00715D10"/>
    <w:rsid w:val="00715EBE"/>
    <w:rsid w:val="007210EF"/>
    <w:rsid w:val="007219B1"/>
    <w:rsid w:val="007227F0"/>
    <w:rsid w:val="00722904"/>
    <w:rsid w:val="00723315"/>
    <w:rsid w:val="00723AD3"/>
    <w:rsid w:val="00723B5E"/>
    <w:rsid w:val="00725F44"/>
    <w:rsid w:val="00726677"/>
    <w:rsid w:val="0072720C"/>
    <w:rsid w:val="0073044C"/>
    <w:rsid w:val="007333C5"/>
    <w:rsid w:val="00733E4E"/>
    <w:rsid w:val="0073433D"/>
    <w:rsid w:val="007345B4"/>
    <w:rsid w:val="00735698"/>
    <w:rsid w:val="00737859"/>
    <w:rsid w:val="00737B3C"/>
    <w:rsid w:val="007406E7"/>
    <w:rsid w:val="00740A42"/>
    <w:rsid w:val="00740C47"/>
    <w:rsid w:val="00742BB9"/>
    <w:rsid w:val="00742FCD"/>
    <w:rsid w:val="0074463C"/>
    <w:rsid w:val="00746EBB"/>
    <w:rsid w:val="00747424"/>
    <w:rsid w:val="00747C8F"/>
    <w:rsid w:val="0075007A"/>
    <w:rsid w:val="007525C2"/>
    <w:rsid w:val="007539A4"/>
    <w:rsid w:val="00753C61"/>
    <w:rsid w:val="00753D44"/>
    <w:rsid w:val="0075522F"/>
    <w:rsid w:val="007557F3"/>
    <w:rsid w:val="00755E68"/>
    <w:rsid w:val="00756576"/>
    <w:rsid w:val="0075666B"/>
    <w:rsid w:val="00760B9F"/>
    <w:rsid w:val="00765B0F"/>
    <w:rsid w:val="0076641C"/>
    <w:rsid w:val="0076689A"/>
    <w:rsid w:val="00766CEC"/>
    <w:rsid w:val="00767052"/>
    <w:rsid w:val="00767B41"/>
    <w:rsid w:val="007703F5"/>
    <w:rsid w:val="00772478"/>
    <w:rsid w:val="00773980"/>
    <w:rsid w:val="00773996"/>
    <w:rsid w:val="00773CEF"/>
    <w:rsid w:val="00774322"/>
    <w:rsid w:val="00774CF8"/>
    <w:rsid w:val="00776B20"/>
    <w:rsid w:val="00780531"/>
    <w:rsid w:val="00780690"/>
    <w:rsid w:val="00780761"/>
    <w:rsid w:val="0078141C"/>
    <w:rsid w:val="00782B42"/>
    <w:rsid w:val="00787BEA"/>
    <w:rsid w:val="00791D2B"/>
    <w:rsid w:val="0079241F"/>
    <w:rsid w:val="00794089"/>
    <w:rsid w:val="007969AB"/>
    <w:rsid w:val="00796F8A"/>
    <w:rsid w:val="00797D4C"/>
    <w:rsid w:val="007A036E"/>
    <w:rsid w:val="007A09AD"/>
    <w:rsid w:val="007A1DE4"/>
    <w:rsid w:val="007A312A"/>
    <w:rsid w:val="007A3A71"/>
    <w:rsid w:val="007B1636"/>
    <w:rsid w:val="007B1BE5"/>
    <w:rsid w:val="007B25E1"/>
    <w:rsid w:val="007B2B94"/>
    <w:rsid w:val="007B3231"/>
    <w:rsid w:val="007B7597"/>
    <w:rsid w:val="007B7D67"/>
    <w:rsid w:val="007B7FF0"/>
    <w:rsid w:val="007C0002"/>
    <w:rsid w:val="007C40AB"/>
    <w:rsid w:val="007C65AF"/>
    <w:rsid w:val="007C7984"/>
    <w:rsid w:val="007D3385"/>
    <w:rsid w:val="007D386D"/>
    <w:rsid w:val="007D4B67"/>
    <w:rsid w:val="007D5A52"/>
    <w:rsid w:val="007D5C5E"/>
    <w:rsid w:val="007D6281"/>
    <w:rsid w:val="007D7A43"/>
    <w:rsid w:val="007D7DB5"/>
    <w:rsid w:val="007E0157"/>
    <w:rsid w:val="007E1C90"/>
    <w:rsid w:val="007E2121"/>
    <w:rsid w:val="007E3854"/>
    <w:rsid w:val="007E3BCC"/>
    <w:rsid w:val="007E3BDE"/>
    <w:rsid w:val="007E5790"/>
    <w:rsid w:val="007E5901"/>
    <w:rsid w:val="007E67EA"/>
    <w:rsid w:val="007E72D5"/>
    <w:rsid w:val="007E7B85"/>
    <w:rsid w:val="007F0010"/>
    <w:rsid w:val="007F09F7"/>
    <w:rsid w:val="007F1114"/>
    <w:rsid w:val="007F2165"/>
    <w:rsid w:val="007F2723"/>
    <w:rsid w:val="007F396C"/>
    <w:rsid w:val="007F4575"/>
    <w:rsid w:val="007F64C4"/>
    <w:rsid w:val="007F657A"/>
    <w:rsid w:val="0080050D"/>
    <w:rsid w:val="008011CB"/>
    <w:rsid w:val="0080264A"/>
    <w:rsid w:val="00802EEB"/>
    <w:rsid w:val="0080370B"/>
    <w:rsid w:val="00803CE2"/>
    <w:rsid w:val="00805B57"/>
    <w:rsid w:val="0080686C"/>
    <w:rsid w:val="00806E6A"/>
    <w:rsid w:val="0081239B"/>
    <w:rsid w:val="0081429B"/>
    <w:rsid w:val="00815392"/>
    <w:rsid w:val="00815A19"/>
    <w:rsid w:val="00815BCE"/>
    <w:rsid w:val="008175FD"/>
    <w:rsid w:val="008211C3"/>
    <w:rsid w:val="00823CC2"/>
    <w:rsid w:val="0082479F"/>
    <w:rsid w:val="0082591B"/>
    <w:rsid w:val="00825ACD"/>
    <w:rsid w:val="008265BF"/>
    <w:rsid w:val="008279BC"/>
    <w:rsid w:val="00827BEA"/>
    <w:rsid w:val="00830468"/>
    <w:rsid w:val="008305D5"/>
    <w:rsid w:val="0083212E"/>
    <w:rsid w:val="00834163"/>
    <w:rsid w:val="008349BB"/>
    <w:rsid w:val="00835AF2"/>
    <w:rsid w:val="00836164"/>
    <w:rsid w:val="008408F2"/>
    <w:rsid w:val="0084222B"/>
    <w:rsid w:val="00843100"/>
    <w:rsid w:val="0084658F"/>
    <w:rsid w:val="008478C2"/>
    <w:rsid w:val="00847E65"/>
    <w:rsid w:val="00850945"/>
    <w:rsid w:val="00852607"/>
    <w:rsid w:val="00852848"/>
    <w:rsid w:val="0085300D"/>
    <w:rsid w:val="00854E16"/>
    <w:rsid w:val="0085601D"/>
    <w:rsid w:val="00856438"/>
    <w:rsid w:val="00856F58"/>
    <w:rsid w:val="0085717E"/>
    <w:rsid w:val="008571F0"/>
    <w:rsid w:val="00857422"/>
    <w:rsid w:val="00857C0F"/>
    <w:rsid w:val="008603E7"/>
    <w:rsid w:val="008608B9"/>
    <w:rsid w:val="00862951"/>
    <w:rsid w:val="00862B7A"/>
    <w:rsid w:val="00862F16"/>
    <w:rsid w:val="00866181"/>
    <w:rsid w:val="0087056F"/>
    <w:rsid w:val="008707D9"/>
    <w:rsid w:val="00871E94"/>
    <w:rsid w:val="0087201F"/>
    <w:rsid w:val="008734EC"/>
    <w:rsid w:val="00876332"/>
    <w:rsid w:val="008807A4"/>
    <w:rsid w:val="00881685"/>
    <w:rsid w:val="008824D9"/>
    <w:rsid w:val="008826AE"/>
    <w:rsid w:val="0088308A"/>
    <w:rsid w:val="008843CA"/>
    <w:rsid w:val="00885AA3"/>
    <w:rsid w:val="00886216"/>
    <w:rsid w:val="0088658B"/>
    <w:rsid w:val="008879DC"/>
    <w:rsid w:val="00887C3D"/>
    <w:rsid w:val="00892B53"/>
    <w:rsid w:val="008945A1"/>
    <w:rsid w:val="00894F8D"/>
    <w:rsid w:val="00896A96"/>
    <w:rsid w:val="00897734"/>
    <w:rsid w:val="008A0EC4"/>
    <w:rsid w:val="008A1515"/>
    <w:rsid w:val="008A4989"/>
    <w:rsid w:val="008A4F52"/>
    <w:rsid w:val="008A5149"/>
    <w:rsid w:val="008A54E1"/>
    <w:rsid w:val="008A64E6"/>
    <w:rsid w:val="008B066E"/>
    <w:rsid w:val="008B0925"/>
    <w:rsid w:val="008B102E"/>
    <w:rsid w:val="008B3581"/>
    <w:rsid w:val="008B41E5"/>
    <w:rsid w:val="008C27CD"/>
    <w:rsid w:val="008C4533"/>
    <w:rsid w:val="008C4BA3"/>
    <w:rsid w:val="008C52C7"/>
    <w:rsid w:val="008CBF31"/>
    <w:rsid w:val="008D1B64"/>
    <w:rsid w:val="008D1D8A"/>
    <w:rsid w:val="008D1F5B"/>
    <w:rsid w:val="008D2C6F"/>
    <w:rsid w:val="008D2D6E"/>
    <w:rsid w:val="008D303E"/>
    <w:rsid w:val="008D4617"/>
    <w:rsid w:val="008D5ABE"/>
    <w:rsid w:val="008D6EAC"/>
    <w:rsid w:val="008E02E5"/>
    <w:rsid w:val="008E0344"/>
    <w:rsid w:val="008E0A63"/>
    <w:rsid w:val="008E0C7F"/>
    <w:rsid w:val="008E1DF1"/>
    <w:rsid w:val="008E1F22"/>
    <w:rsid w:val="008E2C1E"/>
    <w:rsid w:val="008E500E"/>
    <w:rsid w:val="008E624A"/>
    <w:rsid w:val="008E7876"/>
    <w:rsid w:val="008F07D2"/>
    <w:rsid w:val="008F1C1D"/>
    <w:rsid w:val="008F23CB"/>
    <w:rsid w:val="008F2AEE"/>
    <w:rsid w:val="008F2E54"/>
    <w:rsid w:val="008F3473"/>
    <w:rsid w:val="008F3A38"/>
    <w:rsid w:val="008F5351"/>
    <w:rsid w:val="00900920"/>
    <w:rsid w:val="00900D20"/>
    <w:rsid w:val="0090108B"/>
    <w:rsid w:val="00904447"/>
    <w:rsid w:val="00907698"/>
    <w:rsid w:val="00911F2C"/>
    <w:rsid w:val="009135F3"/>
    <w:rsid w:val="009136D4"/>
    <w:rsid w:val="00915989"/>
    <w:rsid w:val="009166AD"/>
    <w:rsid w:val="00916BF1"/>
    <w:rsid w:val="00917847"/>
    <w:rsid w:val="0092010A"/>
    <w:rsid w:val="0092027D"/>
    <w:rsid w:val="00920F44"/>
    <w:rsid w:val="00923039"/>
    <w:rsid w:val="0092501F"/>
    <w:rsid w:val="00925B37"/>
    <w:rsid w:val="009305EE"/>
    <w:rsid w:val="00930C8A"/>
    <w:rsid w:val="00930D9B"/>
    <w:rsid w:val="00932F4D"/>
    <w:rsid w:val="0093315B"/>
    <w:rsid w:val="009334BD"/>
    <w:rsid w:val="00935E5B"/>
    <w:rsid w:val="00936DC6"/>
    <w:rsid w:val="00937326"/>
    <w:rsid w:val="00943408"/>
    <w:rsid w:val="009434BF"/>
    <w:rsid w:val="00943869"/>
    <w:rsid w:val="00944D85"/>
    <w:rsid w:val="00947C70"/>
    <w:rsid w:val="009504C7"/>
    <w:rsid w:val="00951732"/>
    <w:rsid w:val="0095400F"/>
    <w:rsid w:val="009554DC"/>
    <w:rsid w:val="0095560C"/>
    <w:rsid w:val="00956399"/>
    <w:rsid w:val="009576ED"/>
    <w:rsid w:val="00957D28"/>
    <w:rsid w:val="00962098"/>
    <w:rsid w:val="00964C25"/>
    <w:rsid w:val="009659A6"/>
    <w:rsid w:val="00965FAF"/>
    <w:rsid w:val="00966ADF"/>
    <w:rsid w:val="00966B75"/>
    <w:rsid w:val="00966C64"/>
    <w:rsid w:val="009670E6"/>
    <w:rsid w:val="00967CB2"/>
    <w:rsid w:val="0097149F"/>
    <w:rsid w:val="00975934"/>
    <w:rsid w:val="00981072"/>
    <w:rsid w:val="009810BE"/>
    <w:rsid w:val="009810C4"/>
    <w:rsid w:val="009810C8"/>
    <w:rsid w:val="00983239"/>
    <w:rsid w:val="009855B2"/>
    <w:rsid w:val="00985B4F"/>
    <w:rsid w:val="009865EA"/>
    <w:rsid w:val="009867B3"/>
    <w:rsid w:val="00986E24"/>
    <w:rsid w:val="00987ACD"/>
    <w:rsid w:val="00991925"/>
    <w:rsid w:val="00991FB2"/>
    <w:rsid w:val="00993398"/>
    <w:rsid w:val="009936BC"/>
    <w:rsid w:val="00994FD6"/>
    <w:rsid w:val="00995566"/>
    <w:rsid w:val="00995EF9"/>
    <w:rsid w:val="00997F6A"/>
    <w:rsid w:val="009A0092"/>
    <w:rsid w:val="009A0603"/>
    <w:rsid w:val="009A327F"/>
    <w:rsid w:val="009A4E01"/>
    <w:rsid w:val="009B0268"/>
    <w:rsid w:val="009B1099"/>
    <w:rsid w:val="009B1174"/>
    <w:rsid w:val="009B158D"/>
    <w:rsid w:val="009B3ACF"/>
    <w:rsid w:val="009B609D"/>
    <w:rsid w:val="009C0C8C"/>
    <w:rsid w:val="009C179C"/>
    <w:rsid w:val="009C19A4"/>
    <w:rsid w:val="009C1F85"/>
    <w:rsid w:val="009C207E"/>
    <w:rsid w:val="009C5728"/>
    <w:rsid w:val="009C584D"/>
    <w:rsid w:val="009C6261"/>
    <w:rsid w:val="009C75D0"/>
    <w:rsid w:val="009D2963"/>
    <w:rsid w:val="009D3658"/>
    <w:rsid w:val="009D44AB"/>
    <w:rsid w:val="009D4EA8"/>
    <w:rsid w:val="009D4F28"/>
    <w:rsid w:val="009D5A55"/>
    <w:rsid w:val="009E009A"/>
    <w:rsid w:val="009E1F8D"/>
    <w:rsid w:val="009E4D3C"/>
    <w:rsid w:val="009E5F28"/>
    <w:rsid w:val="009F123D"/>
    <w:rsid w:val="009F35D6"/>
    <w:rsid w:val="009F3B8C"/>
    <w:rsid w:val="009F489C"/>
    <w:rsid w:val="009F4FB1"/>
    <w:rsid w:val="009F7B80"/>
    <w:rsid w:val="00A00A0C"/>
    <w:rsid w:val="00A0345F"/>
    <w:rsid w:val="00A055EC"/>
    <w:rsid w:val="00A10138"/>
    <w:rsid w:val="00A138F8"/>
    <w:rsid w:val="00A15F9F"/>
    <w:rsid w:val="00A16845"/>
    <w:rsid w:val="00A16B79"/>
    <w:rsid w:val="00A17085"/>
    <w:rsid w:val="00A212E9"/>
    <w:rsid w:val="00A21504"/>
    <w:rsid w:val="00A24114"/>
    <w:rsid w:val="00A246C0"/>
    <w:rsid w:val="00A26421"/>
    <w:rsid w:val="00A31072"/>
    <w:rsid w:val="00A3549E"/>
    <w:rsid w:val="00A35E80"/>
    <w:rsid w:val="00A41B90"/>
    <w:rsid w:val="00A42069"/>
    <w:rsid w:val="00A42253"/>
    <w:rsid w:val="00A42FC6"/>
    <w:rsid w:val="00A43AD6"/>
    <w:rsid w:val="00A45077"/>
    <w:rsid w:val="00A45CA5"/>
    <w:rsid w:val="00A465D7"/>
    <w:rsid w:val="00A46650"/>
    <w:rsid w:val="00A51904"/>
    <w:rsid w:val="00A53DFC"/>
    <w:rsid w:val="00A546E8"/>
    <w:rsid w:val="00A57729"/>
    <w:rsid w:val="00A61E6A"/>
    <w:rsid w:val="00A648AD"/>
    <w:rsid w:val="00A66CE6"/>
    <w:rsid w:val="00A672C0"/>
    <w:rsid w:val="00A6735A"/>
    <w:rsid w:val="00A6758C"/>
    <w:rsid w:val="00A7078C"/>
    <w:rsid w:val="00A70B9C"/>
    <w:rsid w:val="00A70EED"/>
    <w:rsid w:val="00A71CB2"/>
    <w:rsid w:val="00A738F7"/>
    <w:rsid w:val="00A74867"/>
    <w:rsid w:val="00A74B1E"/>
    <w:rsid w:val="00A75668"/>
    <w:rsid w:val="00A835C4"/>
    <w:rsid w:val="00A84F63"/>
    <w:rsid w:val="00A85188"/>
    <w:rsid w:val="00A853EC"/>
    <w:rsid w:val="00A864B2"/>
    <w:rsid w:val="00A901DA"/>
    <w:rsid w:val="00A9094E"/>
    <w:rsid w:val="00A9320E"/>
    <w:rsid w:val="00A93D69"/>
    <w:rsid w:val="00A94403"/>
    <w:rsid w:val="00A95EB8"/>
    <w:rsid w:val="00A97DCC"/>
    <w:rsid w:val="00A97DE0"/>
    <w:rsid w:val="00AA0BE2"/>
    <w:rsid w:val="00AA14AA"/>
    <w:rsid w:val="00AA359C"/>
    <w:rsid w:val="00AA3B0F"/>
    <w:rsid w:val="00AA5482"/>
    <w:rsid w:val="00AA5B03"/>
    <w:rsid w:val="00AA6632"/>
    <w:rsid w:val="00AA7D89"/>
    <w:rsid w:val="00AB083E"/>
    <w:rsid w:val="00AB0C14"/>
    <w:rsid w:val="00AB1B45"/>
    <w:rsid w:val="00AB1E60"/>
    <w:rsid w:val="00AB28E0"/>
    <w:rsid w:val="00AB2DFC"/>
    <w:rsid w:val="00AB30A1"/>
    <w:rsid w:val="00AB4B88"/>
    <w:rsid w:val="00AB6CF8"/>
    <w:rsid w:val="00AB6E01"/>
    <w:rsid w:val="00AC0347"/>
    <w:rsid w:val="00AC0650"/>
    <w:rsid w:val="00AC1327"/>
    <w:rsid w:val="00AC1AEF"/>
    <w:rsid w:val="00AC1B6B"/>
    <w:rsid w:val="00AC39F4"/>
    <w:rsid w:val="00AC3A61"/>
    <w:rsid w:val="00AC3ACE"/>
    <w:rsid w:val="00AC4FA5"/>
    <w:rsid w:val="00AC6D15"/>
    <w:rsid w:val="00AC72D4"/>
    <w:rsid w:val="00AD0344"/>
    <w:rsid w:val="00AD0B39"/>
    <w:rsid w:val="00AD25DE"/>
    <w:rsid w:val="00AD2752"/>
    <w:rsid w:val="00AD3CA3"/>
    <w:rsid w:val="00AD477F"/>
    <w:rsid w:val="00AD4F9D"/>
    <w:rsid w:val="00AD51EB"/>
    <w:rsid w:val="00AD7335"/>
    <w:rsid w:val="00AD786F"/>
    <w:rsid w:val="00AE029C"/>
    <w:rsid w:val="00AE1C20"/>
    <w:rsid w:val="00AE2F50"/>
    <w:rsid w:val="00AE33E0"/>
    <w:rsid w:val="00AE3DCE"/>
    <w:rsid w:val="00AE6483"/>
    <w:rsid w:val="00AF0D99"/>
    <w:rsid w:val="00AF1D8D"/>
    <w:rsid w:val="00AF4C70"/>
    <w:rsid w:val="00AF529D"/>
    <w:rsid w:val="00AF5330"/>
    <w:rsid w:val="00AF61DC"/>
    <w:rsid w:val="00B00366"/>
    <w:rsid w:val="00B003F1"/>
    <w:rsid w:val="00B00E6D"/>
    <w:rsid w:val="00B03644"/>
    <w:rsid w:val="00B03F46"/>
    <w:rsid w:val="00B040DD"/>
    <w:rsid w:val="00B04648"/>
    <w:rsid w:val="00B06061"/>
    <w:rsid w:val="00B10631"/>
    <w:rsid w:val="00B11A09"/>
    <w:rsid w:val="00B11A7A"/>
    <w:rsid w:val="00B12ABF"/>
    <w:rsid w:val="00B1427E"/>
    <w:rsid w:val="00B14F98"/>
    <w:rsid w:val="00B15521"/>
    <w:rsid w:val="00B179B5"/>
    <w:rsid w:val="00B23EDB"/>
    <w:rsid w:val="00B25620"/>
    <w:rsid w:val="00B27532"/>
    <w:rsid w:val="00B312EB"/>
    <w:rsid w:val="00B31D01"/>
    <w:rsid w:val="00B34AB7"/>
    <w:rsid w:val="00B359A8"/>
    <w:rsid w:val="00B37017"/>
    <w:rsid w:val="00B404FA"/>
    <w:rsid w:val="00B411F6"/>
    <w:rsid w:val="00B41555"/>
    <w:rsid w:val="00B42094"/>
    <w:rsid w:val="00B42B33"/>
    <w:rsid w:val="00B46210"/>
    <w:rsid w:val="00B46ACD"/>
    <w:rsid w:val="00B472F1"/>
    <w:rsid w:val="00B4756B"/>
    <w:rsid w:val="00B513DD"/>
    <w:rsid w:val="00B5226C"/>
    <w:rsid w:val="00B528D6"/>
    <w:rsid w:val="00B5383C"/>
    <w:rsid w:val="00B54347"/>
    <w:rsid w:val="00B54631"/>
    <w:rsid w:val="00B55372"/>
    <w:rsid w:val="00B563B9"/>
    <w:rsid w:val="00B60CC6"/>
    <w:rsid w:val="00B61898"/>
    <w:rsid w:val="00B6440C"/>
    <w:rsid w:val="00B65791"/>
    <w:rsid w:val="00B65CA3"/>
    <w:rsid w:val="00B65D8C"/>
    <w:rsid w:val="00B66B54"/>
    <w:rsid w:val="00B678FA"/>
    <w:rsid w:val="00B67D5A"/>
    <w:rsid w:val="00B709A1"/>
    <w:rsid w:val="00B71268"/>
    <w:rsid w:val="00B725B0"/>
    <w:rsid w:val="00B77018"/>
    <w:rsid w:val="00B80594"/>
    <w:rsid w:val="00B81AAF"/>
    <w:rsid w:val="00B82575"/>
    <w:rsid w:val="00B83F0C"/>
    <w:rsid w:val="00B85EEC"/>
    <w:rsid w:val="00B903BE"/>
    <w:rsid w:val="00B910D2"/>
    <w:rsid w:val="00B91949"/>
    <w:rsid w:val="00B92795"/>
    <w:rsid w:val="00B944C7"/>
    <w:rsid w:val="00B9563A"/>
    <w:rsid w:val="00B959EF"/>
    <w:rsid w:val="00B95FC3"/>
    <w:rsid w:val="00B974DA"/>
    <w:rsid w:val="00B97EF6"/>
    <w:rsid w:val="00BA2029"/>
    <w:rsid w:val="00BA206F"/>
    <w:rsid w:val="00BA2BA1"/>
    <w:rsid w:val="00BA5A41"/>
    <w:rsid w:val="00BA671D"/>
    <w:rsid w:val="00BA67B6"/>
    <w:rsid w:val="00BA7144"/>
    <w:rsid w:val="00BA775D"/>
    <w:rsid w:val="00BB0398"/>
    <w:rsid w:val="00BB12DA"/>
    <w:rsid w:val="00BB19DF"/>
    <w:rsid w:val="00BB2F55"/>
    <w:rsid w:val="00BB3A1F"/>
    <w:rsid w:val="00BB6C09"/>
    <w:rsid w:val="00BC193D"/>
    <w:rsid w:val="00BC1C3E"/>
    <w:rsid w:val="00BC1F72"/>
    <w:rsid w:val="00BC1FD2"/>
    <w:rsid w:val="00BC3698"/>
    <w:rsid w:val="00BC41EC"/>
    <w:rsid w:val="00BD03FA"/>
    <w:rsid w:val="00BD0E09"/>
    <w:rsid w:val="00BD1969"/>
    <w:rsid w:val="00BD1B37"/>
    <w:rsid w:val="00BD369D"/>
    <w:rsid w:val="00BD439D"/>
    <w:rsid w:val="00BD45D8"/>
    <w:rsid w:val="00BD4B84"/>
    <w:rsid w:val="00BE083D"/>
    <w:rsid w:val="00BE1784"/>
    <w:rsid w:val="00BE1FEB"/>
    <w:rsid w:val="00BE5A79"/>
    <w:rsid w:val="00BE6C80"/>
    <w:rsid w:val="00BF038C"/>
    <w:rsid w:val="00BF0B58"/>
    <w:rsid w:val="00BF2139"/>
    <w:rsid w:val="00BF2648"/>
    <w:rsid w:val="00BF3F7F"/>
    <w:rsid w:val="00BF4506"/>
    <w:rsid w:val="00BF4D98"/>
    <w:rsid w:val="00C00994"/>
    <w:rsid w:val="00C018C2"/>
    <w:rsid w:val="00C04C29"/>
    <w:rsid w:val="00C04F5D"/>
    <w:rsid w:val="00C0629D"/>
    <w:rsid w:val="00C13853"/>
    <w:rsid w:val="00C1447B"/>
    <w:rsid w:val="00C167DC"/>
    <w:rsid w:val="00C16B09"/>
    <w:rsid w:val="00C20AD8"/>
    <w:rsid w:val="00C20C66"/>
    <w:rsid w:val="00C218D4"/>
    <w:rsid w:val="00C23066"/>
    <w:rsid w:val="00C235F2"/>
    <w:rsid w:val="00C24F6B"/>
    <w:rsid w:val="00C31A92"/>
    <w:rsid w:val="00C32A81"/>
    <w:rsid w:val="00C335FB"/>
    <w:rsid w:val="00C34ED6"/>
    <w:rsid w:val="00C35374"/>
    <w:rsid w:val="00C37719"/>
    <w:rsid w:val="00C40043"/>
    <w:rsid w:val="00C40275"/>
    <w:rsid w:val="00C41025"/>
    <w:rsid w:val="00C41AFC"/>
    <w:rsid w:val="00C41CD1"/>
    <w:rsid w:val="00C42219"/>
    <w:rsid w:val="00C43264"/>
    <w:rsid w:val="00C449DF"/>
    <w:rsid w:val="00C44CC7"/>
    <w:rsid w:val="00C47C47"/>
    <w:rsid w:val="00C47F70"/>
    <w:rsid w:val="00C50F8D"/>
    <w:rsid w:val="00C511C3"/>
    <w:rsid w:val="00C56C70"/>
    <w:rsid w:val="00C57250"/>
    <w:rsid w:val="00C57D32"/>
    <w:rsid w:val="00C6254B"/>
    <w:rsid w:val="00C62D49"/>
    <w:rsid w:val="00C631CC"/>
    <w:rsid w:val="00C6465B"/>
    <w:rsid w:val="00C64F5C"/>
    <w:rsid w:val="00C65A06"/>
    <w:rsid w:val="00C66226"/>
    <w:rsid w:val="00C6698B"/>
    <w:rsid w:val="00C67830"/>
    <w:rsid w:val="00C70A63"/>
    <w:rsid w:val="00C72D09"/>
    <w:rsid w:val="00C72FE4"/>
    <w:rsid w:val="00C76204"/>
    <w:rsid w:val="00C7630E"/>
    <w:rsid w:val="00C767F1"/>
    <w:rsid w:val="00C803DA"/>
    <w:rsid w:val="00C82279"/>
    <w:rsid w:val="00C841BB"/>
    <w:rsid w:val="00C870DC"/>
    <w:rsid w:val="00C873EA"/>
    <w:rsid w:val="00C875B0"/>
    <w:rsid w:val="00C87ADE"/>
    <w:rsid w:val="00C90A41"/>
    <w:rsid w:val="00C911CB"/>
    <w:rsid w:val="00C915A1"/>
    <w:rsid w:val="00C91DE9"/>
    <w:rsid w:val="00C91DEE"/>
    <w:rsid w:val="00C93955"/>
    <w:rsid w:val="00C93C20"/>
    <w:rsid w:val="00C93C90"/>
    <w:rsid w:val="00C94A90"/>
    <w:rsid w:val="00C97AC3"/>
    <w:rsid w:val="00CA4112"/>
    <w:rsid w:val="00CA4272"/>
    <w:rsid w:val="00CA456F"/>
    <w:rsid w:val="00CA5D1B"/>
    <w:rsid w:val="00CA6832"/>
    <w:rsid w:val="00CA76F4"/>
    <w:rsid w:val="00CA7967"/>
    <w:rsid w:val="00CB3446"/>
    <w:rsid w:val="00CB3A4A"/>
    <w:rsid w:val="00CB3BA9"/>
    <w:rsid w:val="00CB547F"/>
    <w:rsid w:val="00CB6999"/>
    <w:rsid w:val="00CB6B7E"/>
    <w:rsid w:val="00CB7962"/>
    <w:rsid w:val="00CC013E"/>
    <w:rsid w:val="00CC0491"/>
    <w:rsid w:val="00CC0C41"/>
    <w:rsid w:val="00CC16C8"/>
    <w:rsid w:val="00CC6078"/>
    <w:rsid w:val="00CC64A2"/>
    <w:rsid w:val="00CC67FB"/>
    <w:rsid w:val="00CC6B4C"/>
    <w:rsid w:val="00CC7A46"/>
    <w:rsid w:val="00CD0714"/>
    <w:rsid w:val="00CD2CA9"/>
    <w:rsid w:val="00CD494D"/>
    <w:rsid w:val="00CD6A08"/>
    <w:rsid w:val="00CD6A82"/>
    <w:rsid w:val="00CD718A"/>
    <w:rsid w:val="00CD7E9D"/>
    <w:rsid w:val="00CE101E"/>
    <w:rsid w:val="00CE1690"/>
    <w:rsid w:val="00CE1D4E"/>
    <w:rsid w:val="00CE311E"/>
    <w:rsid w:val="00CE6CE7"/>
    <w:rsid w:val="00CE7F96"/>
    <w:rsid w:val="00CF1BFD"/>
    <w:rsid w:val="00CF26DE"/>
    <w:rsid w:val="00CF3582"/>
    <w:rsid w:val="00CF5788"/>
    <w:rsid w:val="00D01820"/>
    <w:rsid w:val="00D0388A"/>
    <w:rsid w:val="00D063D2"/>
    <w:rsid w:val="00D068ED"/>
    <w:rsid w:val="00D07B22"/>
    <w:rsid w:val="00D124D9"/>
    <w:rsid w:val="00D127DF"/>
    <w:rsid w:val="00D12B59"/>
    <w:rsid w:val="00D14617"/>
    <w:rsid w:val="00D15782"/>
    <w:rsid w:val="00D1651F"/>
    <w:rsid w:val="00D17218"/>
    <w:rsid w:val="00D21DBF"/>
    <w:rsid w:val="00D22328"/>
    <w:rsid w:val="00D2247E"/>
    <w:rsid w:val="00D23048"/>
    <w:rsid w:val="00D24EC5"/>
    <w:rsid w:val="00D25CB4"/>
    <w:rsid w:val="00D272F2"/>
    <w:rsid w:val="00D30029"/>
    <w:rsid w:val="00D31198"/>
    <w:rsid w:val="00D314C8"/>
    <w:rsid w:val="00D317A3"/>
    <w:rsid w:val="00D32796"/>
    <w:rsid w:val="00D3408A"/>
    <w:rsid w:val="00D35EBF"/>
    <w:rsid w:val="00D3631A"/>
    <w:rsid w:val="00D40CB6"/>
    <w:rsid w:val="00D40EA2"/>
    <w:rsid w:val="00D422E4"/>
    <w:rsid w:val="00D42517"/>
    <w:rsid w:val="00D43AF8"/>
    <w:rsid w:val="00D43B44"/>
    <w:rsid w:val="00D448E1"/>
    <w:rsid w:val="00D45D80"/>
    <w:rsid w:val="00D472FA"/>
    <w:rsid w:val="00D4750D"/>
    <w:rsid w:val="00D47B5D"/>
    <w:rsid w:val="00D51F2D"/>
    <w:rsid w:val="00D53DE4"/>
    <w:rsid w:val="00D54617"/>
    <w:rsid w:val="00D5766A"/>
    <w:rsid w:val="00D57724"/>
    <w:rsid w:val="00D57DD2"/>
    <w:rsid w:val="00D60210"/>
    <w:rsid w:val="00D60B54"/>
    <w:rsid w:val="00D67923"/>
    <w:rsid w:val="00D728DC"/>
    <w:rsid w:val="00D73B01"/>
    <w:rsid w:val="00D7475C"/>
    <w:rsid w:val="00D772AD"/>
    <w:rsid w:val="00D777D2"/>
    <w:rsid w:val="00D807E7"/>
    <w:rsid w:val="00D821AA"/>
    <w:rsid w:val="00D8376B"/>
    <w:rsid w:val="00D84249"/>
    <w:rsid w:val="00D85991"/>
    <w:rsid w:val="00D85E59"/>
    <w:rsid w:val="00D92286"/>
    <w:rsid w:val="00D92464"/>
    <w:rsid w:val="00D92A02"/>
    <w:rsid w:val="00D92AD3"/>
    <w:rsid w:val="00D93873"/>
    <w:rsid w:val="00D96273"/>
    <w:rsid w:val="00D9739C"/>
    <w:rsid w:val="00DA1415"/>
    <w:rsid w:val="00DA1CF6"/>
    <w:rsid w:val="00DA1F87"/>
    <w:rsid w:val="00DA2092"/>
    <w:rsid w:val="00DA2E33"/>
    <w:rsid w:val="00DA375D"/>
    <w:rsid w:val="00DA3B77"/>
    <w:rsid w:val="00DA402C"/>
    <w:rsid w:val="00DA460D"/>
    <w:rsid w:val="00DA49D8"/>
    <w:rsid w:val="00DA4E9C"/>
    <w:rsid w:val="00DA7633"/>
    <w:rsid w:val="00DB189E"/>
    <w:rsid w:val="00DB384B"/>
    <w:rsid w:val="00DB3C7D"/>
    <w:rsid w:val="00DB4086"/>
    <w:rsid w:val="00DB4737"/>
    <w:rsid w:val="00DB7A36"/>
    <w:rsid w:val="00DC01DF"/>
    <w:rsid w:val="00DC4292"/>
    <w:rsid w:val="00DC55D3"/>
    <w:rsid w:val="00DC703B"/>
    <w:rsid w:val="00DD08F3"/>
    <w:rsid w:val="00DD1630"/>
    <w:rsid w:val="00DD1EB7"/>
    <w:rsid w:val="00DD45C3"/>
    <w:rsid w:val="00DD5EF4"/>
    <w:rsid w:val="00DD624B"/>
    <w:rsid w:val="00DD6888"/>
    <w:rsid w:val="00DD7803"/>
    <w:rsid w:val="00DE130D"/>
    <w:rsid w:val="00DE2C8F"/>
    <w:rsid w:val="00DE35DB"/>
    <w:rsid w:val="00DE6674"/>
    <w:rsid w:val="00DE7BF1"/>
    <w:rsid w:val="00DE7E71"/>
    <w:rsid w:val="00DF42CB"/>
    <w:rsid w:val="00DF61FE"/>
    <w:rsid w:val="00DF6CAF"/>
    <w:rsid w:val="00E00074"/>
    <w:rsid w:val="00E00626"/>
    <w:rsid w:val="00E014F3"/>
    <w:rsid w:val="00E02CE2"/>
    <w:rsid w:val="00E03193"/>
    <w:rsid w:val="00E035C9"/>
    <w:rsid w:val="00E03982"/>
    <w:rsid w:val="00E05889"/>
    <w:rsid w:val="00E10254"/>
    <w:rsid w:val="00E11748"/>
    <w:rsid w:val="00E1255F"/>
    <w:rsid w:val="00E12781"/>
    <w:rsid w:val="00E1293C"/>
    <w:rsid w:val="00E131DB"/>
    <w:rsid w:val="00E133EE"/>
    <w:rsid w:val="00E14137"/>
    <w:rsid w:val="00E164BE"/>
    <w:rsid w:val="00E16C39"/>
    <w:rsid w:val="00E210DE"/>
    <w:rsid w:val="00E21B98"/>
    <w:rsid w:val="00E22178"/>
    <w:rsid w:val="00E2225C"/>
    <w:rsid w:val="00E225DC"/>
    <w:rsid w:val="00E23F46"/>
    <w:rsid w:val="00E24320"/>
    <w:rsid w:val="00E246B8"/>
    <w:rsid w:val="00E258DF"/>
    <w:rsid w:val="00E2666D"/>
    <w:rsid w:val="00E31825"/>
    <w:rsid w:val="00E31C16"/>
    <w:rsid w:val="00E33AB1"/>
    <w:rsid w:val="00E35159"/>
    <w:rsid w:val="00E363B7"/>
    <w:rsid w:val="00E36BC9"/>
    <w:rsid w:val="00E41F0D"/>
    <w:rsid w:val="00E42986"/>
    <w:rsid w:val="00E42CBC"/>
    <w:rsid w:val="00E42ECD"/>
    <w:rsid w:val="00E43B41"/>
    <w:rsid w:val="00E44315"/>
    <w:rsid w:val="00E45EAA"/>
    <w:rsid w:val="00E46B71"/>
    <w:rsid w:val="00E47716"/>
    <w:rsid w:val="00E47E7A"/>
    <w:rsid w:val="00E517C6"/>
    <w:rsid w:val="00E51858"/>
    <w:rsid w:val="00E5326C"/>
    <w:rsid w:val="00E53ECA"/>
    <w:rsid w:val="00E54DB1"/>
    <w:rsid w:val="00E625C1"/>
    <w:rsid w:val="00E62FE6"/>
    <w:rsid w:val="00E63E3C"/>
    <w:rsid w:val="00E66AE3"/>
    <w:rsid w:val="00E67B7B"/>
    <w:rsid w:val="00E71F77"/>
    <w:rsid w:val="00E7371C"/>
    <w:rsid w:val="00E7430D"/>
    <w:rsid w:val="00E755C7"/>
    <w:rsid w:val="00E763AD"/>
    <w:rsid w:val="00E76E23"/>
    <w:rsid w:val="00E80C86"/>
    <w:rsid w:val="00E80C8D"/>
    <w:rsid w:val="00E832EB"/>
    <w:rsid w:val="00E838CE"/>
    <w:rsid w:val="00E87780"/>
    <w:rsid w:val="00E87931"/>
    <w:rsid w:val="00E87F6A"/>
    <w:rsid w:val="00E95336"/>
    <w:rsid w:val="00E95F0A"/>
    <w:rsid w:val="00E97AE3"/>
    <w:rsid w:val="00EA02D0"/>
    <w:rsid w:val="00EA2115"/>
    <w:rsid w:val="00EA22A4"/>
    <w:rsid w:val="00EA4173"/>
    <w:rsid w:val="00EA4592"/>
    <w:rsid w:val="00EA4E8F"/>
    <w:rsid w:val="00EA5A70"/>
    <w:rsid w:val="00EB01DE"/>
    <w:rsid w:val="00EB06F4"/>
    <w:rsid w:val="00EB0A53"/>
    <w:rsid w:val="00EB25B6"/>
    <w:rsid w:val="00EB35A8"/>
    <w:rsid w:val="00EB48A0"/>
    <w:rsid w:val="00EB5DA2"/>
    <w:rsid w:val="00EB6CEA"/>
    <w:rsid w:val="00EB7BD1"/>
    <w:rsid w:val="00EC1E97"/>
    <w:rsid w:val="00EC21D3"/>
    <w:rsid w:val="00EC282A"/>
    <w:rsid w:val="00EC4F6A"/>
    <w:rsid w:val="00EC5BB5"/>
    <w:rsid w:val="00EC605B"/>
    <w:rsid w:val="00ED0032"/>
    <w:rsid w:val="00ED0FF5"/>
    <w:rsid w:val="00ED174C"/>
    <w:rsid w:val="00ED1C24"/>
    <w:rsid w:val="00ED324D"/>
    <w:rsid w:val="00ED32F6"/>
    <w:rsid w:val="00ED3751"/>
    <w:rsid w:val="00EE0DD2"/>
    <w:rsid w:val="00EE3499"/>
    <w:rsid w:val="00EE4BDB"/>
    <w:rsid w:val="00EE4CB8"/>
    <w:rsid w:val="00EE63CE"/>
    <w:rsid w:val="00EF42F6"/>
    <w:rsid w:val="00EF59DB"/>
    <w:rsid w:val="00F065A3"/>
    <w:rsid w:val="00F071AA"/>
    <w:rsid w:val="00F075CF"/>
    <w:rsid w:val="00F110FD"/>
    <w:rsid w:val="00F1216C"/>
    <w:rsid w:val="00F12478"/>
    <w:rsid w:val="00F126E4"/>
    <w:rsid w:val="00F12A72"/>
    <w:rsid w:val="00F12AAB"/>
    <w:rsid w:val="00F144FF"/>
    <w:rsid w:val="00F14755"/>
    <w:rsid w:val="00F149F6"/>
    <w:rsid w:val="00F155F1"/>
    <w:rsid w:val="00F20C23"/>
    <w:rsid w:val="00F2174B"/>
    <w:rsid w:val="00F21AC9"/>
    <w:rsid w:val="00F23370"/>
    <w:rsid w:val="00F247DF"/>
    <w:rsid w:val="00F25965"/>
    <w:rsid w:val="00F264EA"/>
    <w:rsid w:val="00F30566"/>
    <w:rsid w:val="00F30E47"/>
    <w:rsid w:val="00F342F7"/>
    <w:rsid w:val="00F351FF"/>
    <w:rsid w:val="00F356D5"/>
    <w:rsid w:val="00F3674E"/>
    <w:rsid w:val="00F3726F"/>
    <w:rsid w:val="00F4054B"/>
    <w:rsid w:val="00F406CA"/>
    <w:rsid w:val="00F41A16"/>
    <w:rsid w:val="00F41C72"/>
    <w:rsid w:val="00F427B1"/>
    <w:rsid w:val="00F44090"/>
    <w:rsid w:val="00F4581E"/>
    <w:rsid w:val="00F46DE7"/>
    <w:rsid w:val="00F4799F"/>
    <w:rsid w:val="00F5039F"/>
    <w:rsid w:val="00F5271A"/>
    <w:rsid w:val="00F53BCD"/>
    <w:rsid w:val="00F5409E"/>
    <w:rsid w:val="00F54447"/>
    <w:rsid w:val="00F56C6C"/>
    <w:rsid w:val="00F5777F"/>
    <w:rsid w:val="00F60AC7"/>
    <w:rsid w:val="00F60AEC"/>
    <w:rsid w:val="00F61B30"/>
    <w:rsid w:val="00F61B35"/>
    <w:rsid w:val="00F63B2E"/>
    <w:rsid w:val="00F63B39"/>
    <w:rsid w:val="00F64167"/>
    <w:rsid w:val="00F646DB"/>
    <w:rsid w:val="00F6547D"/>
    <w:rsid w:val="00F65548"/>
    <w:rsid w:val="00F66015"/>
    <w:rsid w:val="00F6618A"/>
    <w:rsid w:val="00F667EA"/>
    <w:rsid w:val="00F71AA6"/>
    <w:rsid w:val="00F72657"/>
    <w:rsid w:val="00F753A8"/>
    <w:rsid w:val="00F753AC"/>
    <w:rsid w:val="00F76CA4"/>
    <w:rsid w:val="00F77C96"/>
    <w:rsid w:val="00F81044"/>
    <w:rsid w:val="00F82C87"/>
    <w:rsid w:val="00F82D24"/>
    <w:rsid w:val="00F830BB"/>
    <w:rsid w:val="00F84C64"/>
    <w:rsid w:val="00F8643F"/>
    <w:rsid w:val="00F915B9"/>
    <w:rsid w:val="00F92686"/>
    <w:rsid w:val="00F9410C"/>
    <w:rsid w:val="00F943B4"/>
    <w:rsid w:val="00F95533"/>
    <w:rsid w:val="00F97662"/>
    <w:rsid w:val="00F97AE9"/>
    <w:rsid w:val="00FA0489"/>
    <w:rsid w:val="00FA127A"/>
    <w:rsid w:val="00FA2157"/>
    <w:rsid w:val="00FA273B"/>
    <w:rsid w:val="00FA276E"/>
    <w:rsid w:val="00FA29B9"/>
    <w:rsid w:val="00FA2AAE"/>
    <w:rsid w:val="00FA53EF"/>
    <w:rsid w:val="00FA7AD1"/>
    <w:rsid w:val="00FA9BD0"/>
    <w:rsid w:val="00FB20BC"/>
    <w:rsid w:val="00FB4E68"/>
    <w:rsid w:val="00FB6FA8"/>
    <w:rsid w:val="00FB7CA9"/>
    <w:rsid w:val="00FC0312"/>
    <w:rsid w:val="00FC0F8E"/>
    <w:rsid w:val="00FC10CE"/>
    <w:rsid w:val="00FC1C4F"/>
    <w:rsid w:val="00FC6F4A"/>
    <w:rsid w:val="00FC74B4"/>
    <w:rsid w:val="00FC74C3"/>
    <w:rsid w:val="00FD06C9"/>
    <w:rsid w:val="00FD132E"/>
    <w:rsid w:val="00FD3E80"/>
    <w:rsid w:val="00FD4AAD"/>
    <w:rsid w:val="00FD5849"/>
    <w:rsid w:val="00FD5CE3"/>
    <w:rsid w:val="00FD7600"/>
    <w:rsid w:val="00FE5D54"/>
    <w:rsid w:val="00FE6142"/>
    <w:rsid w:val="00FE68EE"/>
    <w:rsid w:val="00FF1303"/>
    <w:rsid w:val="00FF31A7"/>
    <w:rsid w:val="00FF3C94"/>
    <w:rsid w:val="00FF415A"/>
    <w:rsid w:val="00FF5D10"/>
    <w:rsid w:val="01BA85A5"/>
    <w:rsid w:val="01C456CD"/>
    <w:rsid w:val="01CB548C"/>
    <w:rsid w:val="023289C1"/>
    <w:rsid w:val="029C0299"/>
    <w:rsid w:val="036DE3FD"/>
    <w:rsid w:val="0372A90A"/>
    <w:rsid w:val="04F20643"/>
    <w:rsid w:val="05B39F93"/>
    <w:rsid w:val="05BABA39"/>
    <w:rsid w:val="05C2F957"/>
    <w:rsid w:val="05F9790A"/>
    <w:rsid w:val="0674941D"/>
    <w:rsid w:val="0676CBEE"/>
    <w:rsid w:val="06788767"/>
    <w:rsid w:val="06C7418B"/>
    <w:rsid w:val="06D90DA0"/>
    <w:rsid w:val="06E69EC1"/>
    <w:rsid w:val="07171466"/>
    <w:rsid w:val="07B3BA78"/>
    <w:rsid w:val="07B5065A"/>
    <w:rsid w:val="081EE9C3"/>
    <w:rsid w:val="08685A5C"/>
    <w:rsid w:val="08865FBE"/>
    <w:rsid w:val="08DE3771"/>
    <w:rsid w:val="091001D0"/>
    <w:rsid w:val="095E3168"/>
    <w:rsid w:val="09640C63"/>
    <w:rsid w:val="09A59F87"/>
    <w:rsid w:val="0A040536"/>
    <w:rsid w:val="0A2B1D74"/>
    <w:rsid w:val="0A82BE6F"/>
    <w:rsid w:val="0B06A4F9"/>
    <w:rsid w:val="0B11A2A0"/>
    <w:rsid w:val="0B220795"/>
    <w:rsid w:val="0B542B4E"/>
    <w:rsid w:val="0B8E1D15"/>
    <w:rsid w:val="0BA662F5"/>
    <w:rsid w:val="0C2E8A5F"/>
    <w:rsid w:val="0C4370BD"/>
    <w:rsid w:val="0C4FEFA3"/>
    <w:rsid w:val="0C808B0E"/>
    <w:rsid w:val="0CF11408"/>
    <w:rsid w:val="0D3D852A"/>
    <w:rsid w:val="0D512389"/>
    <w:rsid w:val="0D794616"/>
    <w:rsid w:val="0D95F116"/>
    <w:rsid w:val="0E0FC251"/>
    <w:rsid w:val="0E68B480"/>
    <w:rsid w:val="0E8B7A71"/>
    <w:rsid w:val="0F2C32CC"/>
    <w:rsid w:val="0F5600B4"/>
    <w:rsid w:val="0FCFBD83"/>
    <w:rsid w:val="0FEFD9F9"/>
    <w:rsid w:val="10292C49"/>
    <w:rsid w:val="10903FBE"/>
    <w:rsid w:val="10961E34"/>
    <w:rsid w:val="10CBE480"/>
    <w:rsid w:val="110AD6C1"/>
    <w:rsid w:val="1139B592"/>
    <w:rsid w:val="1227DAA3"/>
    <w:rsid w:val="1245D0B5"/>
    <w:rsid w:val="1264C516"/>
    <w:rsid w:val="12685276"/>
    <w:rsid w:val="12FD8454"/>
    <w:rsid w:val="1381B42E"/>
    <w:rsid w:val="143B3E79"/>
    <w:rsid w:val="1444A42A"/>
    <w:rsid w:val="1468C475"/>
    <w:rsid w:val="14F1BE51"/>
    <w:rsid w:val="1509BE5F"/>
    <w:rsid w:val="15457460"/>
    <w:rsid w:val="1562FB25"/>
    <w:rsid w:val="15658B46"/>
    <w:rsid w:val="15E64A81"/>
    <w:rsid w:val="16291F1C"/>
    <w:rsid w:val="1666BAAF"/>
    <w:rsid w:val="16AA5362"/>
    <w:rsid w:val="16BF4611"/>
    <w:rsid w:val="175D32ED"/>
    <w:rsid w:val="176F2794"/>
    <w:rsid w:val="179419D3"/>
    <w:rsid w:val="17B2A81E"/>
    <w:rsid w:val="17F8140E"/>
    <w:rsid w:val="1858978C"/>
    <w:rsid w:val="18D760A9"/>
    <w:rsid w:val="18E1DC38"/>
    <w:rsid w:val="19163A35"/>
    <w:rsid w:val="195F6608"/>
    <w:rsid w:val="19CFB77B"/>
    <w:rsid w:val="19E8E745"/>
    <w:rsid w:val="1A3F9AC2"/>
    <w:rsid w:val="1B8536E4"/>
    <w:rsid w:val="1BCAAA45"/>
    <w:rsid w:val="1C126D5E"/>
    <w:rsid w:val="1C34B29A"/>
    <w:rsid w:val="1C969F80"/>
    <w:rsid w:val="1CDD22F5"/>
    <w:rsid w:val="1D0C05E1"/>
    <w:rsid w:val="1D455D9C"/>
    <w:rsid w:val="1D78A3A6"/>
    <w:rsid w:val="1DC12851"/>
    <w:rsid w:val="1E359E17"/>
    <w:rsid w:val="1E70A20A"/>
    <w:rsid w:val="1EAB55D9"/>
    <w:rsid w:val="1EB7DBD8"/>
    <w:rsid w:val="1ECE5FA2"/>
    <w:rsid w:val="1F6C535C"/>
    <w:rsid w:val="1FAB285F"/>
    <w:rsid w:val="1FB01B5B"/>
    <w:rsid w:val="1FD46830"/>
    <w:rsid w:val="1FDFF910"/>
    <w:rsid w:val="204EDCD3"/>
    <w:rsid w:val="209CE5FF"/>
    <w:rsid w:val="218C29E7"/>
    <w:rsid w:val="219B7247"/>
    <w:rsid w:val="23075207"/>
    <w:rsid w:val="24EAEA05"/>
    <w:rsid w:val="24FE4327"/>
    <w:rsid w:val="251815DA"/>
    <w:rsid w:val="251A5F15"/>
    <w:rsid w:val="252D5794"/>
    <w:rsid w:val="254624A4"/>
    <w:rsid w:val="25E87468"/>
    <w:rsid w:val="25F3F0D8"/>
    <w:rsid w:val="261273F7"/>
    <w:rsid w:val="26152728"/>
    <w:rsid w:val="26328356"/>
    <w:rsid w:val="26A6F301"/>
    <w:rsid w:val="26B29D99"/>
    <w:rsid w:val="270E54B0"/>
    <w:rsid w:val="272B2523"/>
    <w:rsid w:val="27729751"/>
    <w:rsid w:val="27B78893"/>
    <w:rsid w:val="2830D0B1"/>
    <w:rsid w:val="29064D12"/>
    <w:rsid w:val="296E20D7"/>
    <w:rsid w:val="2978F756"/>
    <w:rsid w:val="299A19C1"/>
    <w:rsid w:val="29BCC5F8"/>
    <w:rsid w:val="29FCB4EB"/>
    <w:rsid w:val="2A2F8628"/>
    <w:rsid w:val="2A6ADF37"/>
    <w:rsid w:val="2A71E847"/>
    <w:rsid w:val="2A80384D"/>
    <w:rsid w:val="2B51E18A"/>
    <w:rsid w:val="2BF13747"/>
    <w:rsid w:val="2C01140F"/>
    <w:rsid w:val="2C6CD483"/>
    <w:rsid w:val="2D158282"/>
    <w:rsid w:val="2D26B02A"/>
    <w:rsid w:val="2D61A076"/>
    <w:rsid w:val="2DAB91C3"/>
    <w:rsid w:val="2DCC1094"/>
    <w:rsid w:val="2DF6266F"/>
    <w:rsid w:val="2E6080D9"/>
    <w:rsid w:val="2E722321"/>
    <w:rsid w:val="2EBC6FDF"/>
    <w:rsid w:val="2EF95DF8"/>
    <w:rsid w:val="2F3D0FAF"/>
    <w:rsid w:val="2F814012"/>
    <w:rsid w:val="2F848221"/>
    <w:rsid w:val="300084D5"/>
    <w:rsid w:val="3037E4C9"/>
    <w:rsid w:val="305D11BC"/>
    <w:rsid w:val="3066FF78"/>
    <w:rsid w:val="3084C10D"/>
    <w:rsid w:val="30E72E07"/>
    <w:rsid w:val="30FF0CE0"/>
    <w:rsid w:val="314159A7"/>
    <w:rsid w:val="31B3F550"/>
    <w:rsid w:val="31EC4C95"/>
    <w:rsid w:val="31ECE625"/>
    <w:rsid w:val="3278215E"/>
    <w:rsid w:val="328263DF"/>
    <w:rsid w:val="3287FB07"/>
    <w:rsid w:val="32B88181"/>
    <w:rsid w:val="32BAD04C"/>
    <w:rsid w:val="32D695F8"/>
    <w:rsid w:val="32D9701B"/>
    <w:rsid w:val="32E847C3"/>
    <w:rsid w:val="33263346"/>
    <w:rsid w:val="33602EC9"/>
    <w:rsid w:val="33A6EBCE"/>
    <w:rsid w:val="33B35DC9"/>
    <w:rsid w:val="3406B8CF"/>
    <w:rsid w:val="340D9C73"/>
    <w:rsid w:val="341CCEB1"/>
    <w:rsid w:val="347932D8"/>
    <w:rsid w:val="34AB484F"/>
    <w:rsid w:val="34CD3A2C"/>
    <w:rsid w:val="351726D7"/>
    <w:rsid w:val="3545E833"/>
    <w:rsid w:val="361A490B"/>
    <w:rsid w:val="376DB470"/>
    <w:rsid w:val="37B0ADBB"/>
    <w:rsid w:val="37D3AEEA"/>
    <w:rsid w:val="37DBF215"/>
    <w:rsid w:val="37EF9C83"/>
    <w:rsid w:val="3816282A"/>
    <w:rsid w:val="382AB621"/>
    <w:rsid w:val="383178C5"/>
    <w:rsid w:val="3866BAF8"/>
    <w:rsid w:val="38CFFB13"/>
    <w:rsid w:val="38D37BAC"/>
    <w:rsid w:val="3901CE97"/>
    <w:rsid w:val="391831AF"/>
    <w:rsid w:val="39D5E862"/>
    <w:rsid w:val="3A0FECEC"/>
    <w:rsid w:val="3A51F0F6"/>
    <w:rsid w:val="3AA7DBF9"/>
    <w:rsid w:val="3ACA73B7"/>
    <w:rsid w:val="3AE5B896"/>
    <w:rsid w:val="3AEF14D0"/>
    <w:rsid w:val="3B09B9C7"/>
    <w:rsid w:val="3BD5F64D"/>
    <w:rsid w:val="3BE0F59F"/>
    <w:rsid w:val="3C7DE84A"/>
    <w:rsid w:val="3C8467FF"/>
    <w:rsid w:val="3C85E3DD"/>
    <w:rsid w:val="3CC3A49E"/>
    <w:rsid w:val="3D18A9B1"/>
    <w:rsid w:val="3D1DE53F"/>
    <w:rsid w:val="3D29574E"/>
    <w:rsid w:val="3D355C5B"/>
    <w:rsid w:val="3DC91DE4"/>
    <w:rsid w:val="3E02AEBF"/>
    <w:rsid w:val="3ED29735"/>
    <w:rsid w:val="3EF6C04B"/>
    <w:rsid w:val="3F48A7C6"/>
    <w:rsid w:val="404C64C3"/>
    <w:rsid w:val="40589886"/>
    <w:rsid w:val="40664CF6"/>
    <w:rsid w:val="40733586"/>
    <w:rsid w:val="40E1701B"/>
    <w:rsid w:val="41093992"/>
    <w:rsid w:val="4124F564"/>
    <w:rsid w:val="4166F879"/>
    <w:rsid w:val="418062A5"/>
    <w:rsid w:val="41A6B1C4"/>
    <w:rsid w:val="41B76D0C"/>
    <w:rsid w:val="41D806DE"/>
    <w:rsid w:val="41F943E8"/>
    <w:rsid w:val="4226F9CD"/>
    <w:rsid w:val="4286A76D"/>
    <w:rsid w:val="42907797"/>
    <w:rsid w:val="42C36EA5"/>
    <w:rsid w:val="44758266"/>
    <w:rsid w:val="44A38046"/>
    <w:rsid w:val="44D21DD5"/>
    <w:rsid w:val="44F1B9DA"/>
    <w:rsid w:val="45476777"/>
    <w:rsid w:val="455CC8FD"/>
    <w:rsid w:val="46054303"/>
    <w:rsid w:val="46065A4C"/>
    <w:rsid w:val="4636B336"/>
    <w:rsid w:val="4655C6C3"/>
    <w:rsid w:val="465E97F0"/>
    <w:rsid w:val="46626B89"/>
    <w:rsid w:val="46BC547E"/>
    <w:rsid w:val="46BE7E39"/>
    <w:rsid w:val="46D13C33"/>
    <w:rsid w:val="47708559"/>
    <w:rsid w:val="484A8863"/>
    <w:rsid w:val="486D0C94"/>
    <w:rsid w:val="488C0731"/>
    <w:rsid w:val="494C4C79"/>
    <w:rsid w:val="4990AA63"/>
    <w:rsid w:val="49B808E9"/>
    <w:rsid w:val="49C6B3F1"/>
    <w:rsid w:val="49DC0A61"/>
    <w:rsid w:val="4A080C70"/>
    <w:rsid w:val="4A65CD51"/>
    <w:rsid w:val="4A8334E4"/>
    <w:rsid w:val="4B2AF6A9"/>
    <w:rsid w:val="4B39CF57"/>
    <w:rsid w:val="4B5D0DE7"/>
    <w:rsid w:val="4BFD074F"/>
    <w:rsid w:val="4C2FB7EF"/>
    <w:rsid w:val="4CA9AB20"/>
    <w:rsid w:val="4CE80F5D"/>
    <w:rsid w:val="4CF49D38"/>
    <w:rsid w:val="4DBB3A3B"/>
    <w:rsid w:val="4DE4D2EB"/>
    <w:rsid w:val="4DEF1ECE"/>
    <w:rsid w:val="4E2383A6"/>
    <w:rsid w:val="4E90E53B"/>
    <w:rsid w:val="4EBC1577"/>
    <w:rsid w:val="4F2839D7"/>
    <w:rsid w:val="4F31B3DB"/>
    <w:rsid w:val="4F434D4E"/>
    <w:rsid w:val="4F7DE5DA"/>
    <w:rsid w:val="4FB659B9"/>
    <w:rsid w:val="4FDCC820"/>
    <w:rsid w:val="505750B8"/>
    <w:rsid w:val="50615E40"/>
    <w:rsid w:val="5084AB28"/>
    <w:rsid w:val="508F46B5"/>
    <w:rsid w:val="509FC07A"/>
    <w:rsid w:val="50F0C4BF"/>
    <w:rsid w:val="510571BA"/>
    <w:rsid w:val="51A99C1A"/>
    <w:rsid w:val="51AE380F"/>
    <w:rsid w:val="51B296E0"/>
    <w:rsid w:val="51BFE4BB"/>
    <w:rsid w:val="51D7DF6D"/>
    <w:rsid w:val="521D663C"/>
    <w:rsid w:val="52202EA7"/>
    <w:rsid w:val="5263F0C2"/>
    <w:rsid w:val="528AF0ED"/>
    <w:rsid w:val="532152B7"/>
    <w:rsid w:val="532D32CF"/>
    <w:rsid w:val="534F6DCB"/>
    <w:rsid w:val="53EEF0D7"/>
    <w:rsid w:val="5408274D"/>
    <w:rsid w:val="5461F0A2"/>
    <w:rsid w:val="546CA184"/>
    <w:rsid w:val="54A24FA8"/>
    <w:rsid w:val="54C15B3E"/>
    <w:rsid w:val="553D8757"/>
    <w:rsid w:val="554B1AEA"/>
    <w:rsid w:val="55872B2E"/>
    <w:rsid w:val="55DE3407"/>
    <w:rsid w:val="5687082E"/>
    <w:rsid w:val="5752554C"/>
    <w:rsid w:val="57C59A41"/>
    <w:rsid w:val="57E55D3E"/>
    <w:rsid w:val="5829E2D6"/>
    <w:rsid w:val="582D7D08"/>
    <w:rsid w:val="589F6B4E"/>
    <w:rsid w:val="58D7F7A3"/>
    <w:rsid w:val="59081307"/>
    <w:rsid w:val="5910C108"/>
    <w:rsid w:val="593B775C"/>
    <w:rsid w:val="59401B6F"/>
    <w:rsid w:val="596EB56E"/>
    <w:rsid w:val="59B7EA5A"/>
    <w:rsid w:val="59DB61D6"/>
    <w:rsid w:val="5A46ACD0"/>
    <w:rsid w:val="5A6B4BBC"/>
    <w:rsid w:val="5B0FDDF1"/>
    <w:rsid w:val="5B8CA5E7"/>
    <w:rsid w:val="5D51D391"/>
    <w:rsid w:val="5D92DEE7"/>
    <w:rsid w:val="5DA05AC4"/>
    <w:rsid w:val="5DC86F80"/>
    <w:rsid w:val="5E337196"/>
    <w:rsid w:val="5E5DEAB0"/>
    <w:rsid w:val="5E6A968E"/>
    <w:rsid w:val="5E7504A5"/>
    <w:rsid w:val="5E860534"/>
    <w:rsid w:val="5EA103DA"/>
    <w:rsid w:val="5F1FB1ED"/>
    <w:rsid w:val="5F7E1BEA"/>
    <w:rsid w:val="5F8443B8"/>
    <w:rsid w:val="5FA8C7F4"/>
    <w:rsid w:val="5FDEAA3C"/>
    <w:rsid w:val="5FE4A273"/>
    <w:rsid w:val="607F6297"/>
    <w:rsid w:val="60AF0697"/>
    <w:rsid w:val="60B2C32F"/>
    <w:rsid w:val="6172AABD"/>
    <w:rsid w:val="61848C2C"/>
    <w:rsid w:val="61970EEC"/>
    <w:rsid w:val="61A2A7C9"/>
    <w:rsid w:val="61A72794"/>
    <w:rsid w:val="626E3939"/>
    <w:rsid w:val="6304AD3A"/>
    <w:rsid w:val="63164AFE"/>
    <w:rsid w:val="631AA5C8"/>
    <w:rsid w:val="63274D26"/>
    <w:rsid w:val="6429B88F"/>
    <w:rsid w:val="64B9A5F8"/>
    <w:rsid w:val="650499DD"/>
    <w:rsid w:val="65129F29"/>
    <w:rsid w:val="65D6B35A"/>
    <w:rsid w:val="65EFC1B5"/>
    <w:rsid w:val="66046670"/>
    <w:rsid w:val="66F361F5"/>
    <w:rsid w:val="68841482"/>
    <w:rsid w:val="688B4938"/>
    <w:rsid w:val="690D0E6F"/>
    <w:rsid w:val="69EE52CB"/>
    <w:rsid w:val="6A295185"/>
    <w:rsid w:val="6A60473C"/>
    <w:rsid w:val="6A6C74BF"/>
    <w:rsid w:val="6A7073E9"/>
    <w:rsid w:val="6A7E4FDE"/>
    <w:rsid w:val="6AE30F26"/>
    <w:rsid w:val="6AF8C716"/>
    <w:rsid w:val="6B7A4884"/>
    <w:rsid w:val="6B7F0CE6"/>
    <w:rsid w:val="6BEAA527"/>
    <w:rsid w:val="6C139E66"/>
    <w:rsid w:val="6C97724B"/>
    <w:rsid w:val="6D6CA5C8"/>
    <w:rsid w:val="6D87E8B8"/>
    <w:rsid w:val="6E1ABE92"/>
    <w:rsid w:val="6E1E490C"/>
    <w:rsid w:val="6E5D9960"/>
    <w:rsid w:val="6EA7A757"/>
    <w:rsid w:val="6ECFCF2F"/>
    <w:rsid w:val="6EE76C5D"/>
    <w:rsid w:val="6EECF86B"/>
    <w:rsid w:val="6F6C2382"/>
    <w:rsid w:val="6F8DDC41"/>
    <w:rsid w:val="6F99C80C"/>
    <w:rsid w:val="6FC7B217"/>
    <w:rsid w:val="6FEB1DC8"/>
    <w:rsid w:val="70254797"/>
    <w:rsid w:val="703BA40E"/>
    <w:rsid w:val="70646804"/>
    <w:rsid w:val="70C24754"/>
    <w:rsid w:val="70E5BEC5"/>
    <w:rsid w:val="710586E8"/>
    <w:rsid w:val="7133EFDE"/>
    <w:rsid w:val="7178769E"/>
    <w:rsid w:val="7192FF97"/>
    <w:rsid w:val="71B515E5"/>
    <w:rsid w:val="71C0948C"/>
    <w:rsid w:val="71DF449A"/>
    <w:rsid w:val="7289CE6C"/>
    <w:rsid w:val="72B06597"/>
    <w:rsid w:val="72E087FE"/>
    <w:rsid w:val="73D50072"/>
    <w:rsid w:val="740E93F7"/>
    <w:rsid w:val="7414451A"/>
    <w:rsid w:val="741ED972"/>
    <w:rsid w:val="7426C969"/>
    <w:rsid w:val="7436D09E"/>
    <w:rsid w:val="74485CE7"/>
    <w:rsid w:val="745E044B"/>
    <w:rsid w:val="74E233F9"/>
    <w:rsid w:val="751BEF52"/>
    <w:rsid w:val="7664C912"/>
    <w:rsid w:val="76860083"/>
    <w:rsid w:val="769DFC9F"/>
    <w:rsid w:val="770F1D22"/>
    <w:rsid w:val="77C70DDD"/>
    <w:rsid w:val="781BB0AF"/>
    <w:rsid w:val="781C7ABA"/>
    <w:rsid w:val="78291810"/>
    <w:rsid w:val="784B2CDA"/>
    <w:rsid w:val="786AC74C"/>
    <w:rsid w:val="79302CBA"/>
    <w:rsid w:val="79B0E74F"/>
    <w:rsid w:val="7AF56C13"/>
    <w:rsid w:val="7B801D1D"/>
    <w:rsid w:val="7D0313E2"/>
    <w:rsid w:val="7D10FC87"/>
    <w:rsid w:val="7D13D369"/>
    <w:rsid w:val="7D312B4F"/>
    <w:rsid w:val="7D660135"/>
    <w:rsid w:val="7D8B7FBA"/>
    <w:rsid w:val="7D98C2D7"/>
    <w:rsid w:val="7DD6E43C"/>
    <w:rsid w:val="7E44CDBD"/>
    <w:rsid w:val="7E7F5DF4"/>
    <w:rsid w:val="7E84AD2A"/>
    <w:rsid w:val="7F80E035"/>
    <w:rsid w:val="7F9FA939"/>
    <w:rsid w:val="7FC9C3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7CAEF342"/>
  <w15:docId w15:val="{0ED974BD-75D5-4130-B8AF-577FB4A3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664"/>
    <w:rPr>
      <w:rFonts w:asciiTheme="majorHAnsi" w:hAnsiTheme="majorHAnsi"/>
    </w:rPr>
  </w:style>
  <w:style w:type="paragraph" w:styleId="Heading1">
    <w:name w:val="heading 1"/>
    <w:basedOn w:val="Normal"/>
    <w:next w:val="Normal"/>
    <w:uiPriority w:val="9"/>
    <w:qFormat/>
    <w:rsid w:val="00D777D2"/>
    <w:pPr>
      <w:keepNext/>
      <w:keepLines/>
      <w:spacing w:before="480" w:after="120"/>
      <w:outlineLvl w:val="0"/>
    </w:pPr>
    <w:rPr>
      <w:rFonts w:ascii="Calibri" w:hAnsi="Calibri"/>
      <w:b/>
      <w:color w:val="1F497D" w:themeColor="text2"/>
      <w:sz w:val="32"/>
      <w:szCs w:val="48"/>
    </w:rPr>
  </w:style>
  <w:style w:type="paragraph" w:styleId="Heading2">
    <w:name w:val="heading 2"/>
    <w:basedOn w:val="Normal"/>
    <w:next w:val="Normal"/>
    <w:uiPriority w:val="9"/>
    <w:unhideWhenUsed/>
    <w:qFormat/>
    <w:rsid w:val="00D317A3"/>
    <w:pPr>
      <w:keepNext/>
      <w:keepLines/>
      <w:spacing w:before="360" w:after="80"/>
      <w:outlineLvl w:val="1"/>
    </w:pPr>
    <w:rPr>
      <w:rFonts w:ascii="Calibri" w:hAnsi="Calibri"/>
      <w:b/>
      <w:color w:val="E36C0A" w:themeColor="accent6" w:themeShade="BF"/>
      <w:sz w:val="28"/>
      <w:szCs w:val="36"/>
    </w:rPr>
  </w:style>
  <w:style w:type="paragraph" w:styleId="Heading3">
    <w:name w:val="heading 3"/>
    <w:basedOn w:val="Normal"/>
    <w:next w:val="Normal"/>
    <w:link w:val="Heading3Char"/>
    <w:uiPriority w:val="9"/>
    <w:unhideWhenUsed/>
    <w:qFormat/>
    <w:rsid w:val="00D317A3"/>
    <w:pPr>
      <w:keepNext/>
      <w:keepLines/>
      <w:spacing w:before="280" w:after="80"/>
      <w:outlineLvl w:val="2"/>
    </w:pPr>
    <w:rPr>
      <w:rFonts w:ascii="Calibri Light" w:hAnsi="Calibri Light"/>
      <w:color w:val="31849B" w:themeColor="accent5" w:themeShade="BF"/>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0050D"/>
    <w:pPr>
      <w:tabs>
        <w:tab w:val="center" w:pos="4680"/>
        <w:tab w:val="right" w:pos="9360"/>
      </w:tabs>
      <w:spacing w:line="240" w:lineRule="auto"/>
    </w:pPr>
  </w:style>
  <w:style w:type="character" w:customStyle="1" w:styleId="HeaderChar">
    <w:name w:val="Header Char"/>
    <w:basedOn w:val="DefaultParagraphFont"/>
    <w:link w:val="Header"/>
    <w:uiPriority w:val="99"/>
    <w:rsid w:val="0080050D"/>
  </w:style>
  <w:style w:type="paragraph" w:styleId="Footer">
    <w:name w:val="footer"/>
    <w:basedOn w:val="Normal"/>
    <w:link w:val="FooterChar"/>
    <w:uiPriority w:val="99"/>
    <w:unhideWhenUsed/>
    <w:rsid w:val="0080050D"/>
    <w:pPr>
      <w:tabs>
        <w:tab w:val="center" w:pos="4680"/>
        <w:tab w:val="right" w:pos="9360"/>
      </w:tabs>
      <w:spacing w:line="240" w:lineRule="auto"/>
    </w:pPr>
  </w:style>
  <w:style w:type="character" w:customStyle="1" w:styleId="FooterChar">
    <w:name w:val="Footer Char"/>
    <w:basedOn w:val="DefaultParagraphFont"/>
    <w:link w:val="Footer"/>
    <w:uiPriority w:val="99"/>
    <w:rsid w:val="0080050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51F2D"/>
    <w:pPr>
      <w:spacing w:line="240" w:lineRule="auto"/>
    </w:pPr>
  </w:style>
  <w:style w:type="paragraph" w:styleId="CommentSubject">
    <w:name w:val="annotation subject"/>
    <w:basedOn w:val="CommentText"/>
    <w:next w:val="CommentText"/>
    <w:link w:val="CommentSubjectChar"/>
    <w:uiPriority w:val="99"/>
    <w:semiHidden/>
    <w:unhideWhenUsed/>
    <w:rsid w:val="00D07B22"/>
    <w:rPr>
      <w:b/>
      <w:bCs/>
    </w:rPr>
  </w:style>
  <w:style w:type="character" w:customStyle="1" w:styleId="CommentSubjectChar">
    <w:name w:val="Comment Subject Char"/>
    <w:basedOn w:val="CommentTextChar"/>
    <w:link w:val="CommentSubject"/>
    <w:uiPriority w:val="99"/>
    <w:semiHidden/>
    <w:rsid w:val="00D07B22"/>
    <w:rPr>
      <w:b/>
      <w:bCs/>
      <w:sz w:val="20"/>
      <w:szCs w:val="20"/>
    </w:rPr>
  </w:style>
  <w:style w:type="paragraph" w:styleId="ListParagraph">
    <w:name w:val="List Paragraph"/>
    <w:basedOn w:val="Normal"/>
    <w:uiPriority w:val="1"/>
    <w:qFormat/>
    <w:rsid w:val="00BB6C09"/>
    <w:pPr>
      <w:ind w:left="720"/>
      <w:contextualSpacing/>
    </w:pPr>
  </w:style>
  <w:style w:type="paragraph" w:styleId="FootnoteText">
    <w:name w:val="footnote text"/>
    <w:basedOn w:val="Normal"/>
    <w:link w:val="FootnoteTextChar"/>
    <w:uiPriority w:val="99"/>
    <w:unhideWhenUsed/>
    <w:rsid w:val="004E68EB"/>
    <w:pPr>
      <w:spacing w:line="240" w:lineRule="auto"/>
    </w:pPr>
    <w:rPr>
      <w:sz w:val="20"/>
      <w:szCs w:val="20"/>
    </w:rPr>
  </w:style>
  <w:style w:type="character" w:customStyle="1" w:styleId="FootnoteTextChar">
    <w:name w:val="Footnote Text Char"/>
    <w:basedOn w:val="DefaultParagraphFont"/>
    <w:link w:val="FootnoteText"/>
    <w:uiPriority w:val="99"/>
    <w:rsid w:val="004E68EB"/>
    <w:rPr>
      <w:sz w:val="20"/>
      <w:szCs w:val="20"/>
    </w:rPr>
  </w:style>
  <w:style w:type="character" w:styleId="FootnoteReference">
    <w:name w:val="footnote reference"/>
    <w:basedOn w:val="DefaultParagraphFont"/>
    <w:uiPriority w:val="99"/>
    <w:unhideWhenUsed/>
    <w:rsid w:val="004E68EB"/>
    <w:rPr>
      <w:vertAlign w:val="superscript"/>
    </w:rPr>
  </w:style>
  <w:style w:type="character" w:styleId="Hyperlink">
    <w:name w:val="Hyperlink"/>
    <w:basedOn w:val="DefaultParagraphFont"/>
    <w:uiPriority w:val="99"/>
    <w:unhideWhenUsed/>
    <w:rsid w:val="00DB4086"/>
    <w:rPr>
      <w:color w:val="0000FF" w:themeColor="hyperlink"/>
      <w:u w:val="single"/>
    </w:rPr>
  </w:style>
  <w:style w:type="character" w:styleId="UnresolvedMention">
    <w:name w:val="Unresolved Mention"/>
    <w:basedOn w:val="DefaultParagraphFont"/>
    <w:uiPriority w:val="99"/>
    <w:unhideWhenUsed/>
    <w:rsid w:val="00DB4086"/>
    <w:rPr>
      <w:color w:val="605E5C"/>
      <w:shd w:val="clear" w:color="auto" w:fill="E1DFDD"/>
    </w:rPr>
  </w:style>
  <w:style w:type="paragraph" w:styleId="NormalWeb">
    <w:name w:val="Normal (Web)"/>
    <w:basedOn w:val="Normal"/>
    <w:uiPriority w:val="99"/>
    <w:unhideWhenUsed/>
    <w:rsid w:val="006036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FF5D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F5D10"/>
  </w:style>
  <w:style w:type="character" w:customStyle="1" w:styleId="eop">
    <w:name w:val="eop"/>
    <w:basedOn w:val="DefaultParagraphFont"/>
    <w:rsid w:val="00FF5D10"/>
  </w:style>
  <w:style w:type="character" w:customStyle="1" w:styleId="contextualspellingandgrammarerror">
    <w:name w:val="contextualspellingandgrammarerror"/>
    <w:basedOn w:val="DefaultParagraphFont"/>
    <w:rsid w:val="00FF5D10"/>
  </w:style>
  <w:style w:type="character" w:customStyle="1" w:styleId="advancedproofingissue">
    <w:name w:val="advancedproofingissue"/>
    <w:basedOn w:val="DefaultParagraphFont"/>
    <w:rsid w:val="00FF5D10"/>
  </w:style>
  <w:style w:type="character" w:customStyle="1" w:styleId="scxw193585736">
    <w:name w:val="scxw193585736"/>
    <w:basedOn w:val="DefaultParagraphFont"/>
    <w:rsid w:val="00FF5D10"/>
  </w:style>
  <w:style w:type="character" w:styleId="Mention">
    <w:name w:val="Mention"/>
    <w:basedOn w:val="DefaultParagraphFont"/>
    <w:uiPriority w:val="99"/>
    <w:unhideWhenUsed/>
    <w:rsid w:val="00E755C7"/>
    <w:rPr>
      <w:color w:val="2B579A"/>
      <w:shd w:val="clear" w:color="auto" w:fill="E6E6E6"/>
    </w:rPr>
  </w:style>
  <w:style w:type="paragraph" w:customStyle="1" w:styleId="Normal1">
    <w:name w:val="Normal1"/>
    <w:rsid w:val="003758F5"/>
    <w:pPr>
      <w:spacing w:after="200"/>
    </w:pPr>
    <w:rPr>
      <w:rFonts w:ascii="Cambria" w:eastAsia="MS Mincho" w:hAnsi="Cambria" w:cs="Times New Roman"/>
      <w:lang w:bidi="en-US"/>
    </w:rPr>
  </w:style>
  <w:style w:type="character" w:customStyle="1" w:styleId="Heading3Char">
    <w:name w:val="Heading 3 Char"/>
    <w:basedOn w:val="DefaultParagraphFont"/>
    <w:link w:val="Heading3"/>
    <w:uiPriority w:val="9"/>
    <w:rsid w:val="00D317A3"/>
    <w:rPr>
      <w:rFonts w:ascii="Calibri Light" w:hAnsi="Calibri Light"/>
      <w:color w:val="31849B" w:themeColor="accent5" w:themeShade="BF"/>
      <w:sz w:val="28"/>
      <w:szCs w:val="28"/>
    </w:rPr>
  </w:style>
  <w:style w:type="paragraph" w:customStyle="1" w:styleId="Calloutheading">
    <w:name w:val="Callout heading"/>
    <w:basedOn w:val="Normal"/>
    <w:qFormat/>
    <w:rsid w:val="00B528D6"/>
    <w:pPr>
      <w:spacing w:before="120" w:after="160"/>
    </w:pPr>
    <w:rPr>
      <w:rFonts w:ascii="Calibri" w:eastAsia="Calibri" w:hAnsi="Calibri"/>
      <w:b/>
      <w:color w:val="003F86"/>
      <w:sz w:val="24"/>
      <w:szCs w:val="24"/>
    </w:rPr>
  </w:style>
  <w:style w:type="character" w:customStyle="1" w:styleId="scxw60579739">
    <w:name w:val="scxw60579739"/>
    <w:basedOn w:val="DefaultParagraphFont"/>
    <w:rsid w:val="00586066"/>
  </w:style>
  <w:style w:type="table" w:styleId="TableGrid">
    <w:name w:val="Table Grid"/>
    <w:basedOn w:val="TableNormal"/>
    <w:uiPriority w:val="59"/>
    <w:rsid w:val="00815BCE"/>
    <w:pPr>
      <w:spacing w:line="240" w:lineRule="auto"/>
    </w:pPr>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3E2664"/>
    <w:pPr>
      <w:widowControl w:val="0"/>
      <w:autoSpaceDE w:val="0"/>
      <w:autoSpaceDN w:val="0"/>
      <w:spacing w:line="240" w:lineRule="auto"/>
    </w:pPr>
    <w:rPr>
      <w:rFonts w:ascii="Calibri" w:eastAsia="Calibri" w:hAnsi="Calibri" w:cs="Calibri"/>
      <w:szCs w:val="24"/>
    </w:rPr>
  </w:style>
  <w:style w:type="character" w:customStyle="1" w:styleId="BodyTextChar">
    <w:name w:val="Body Text Char"/>
    <w:basedOn w:val="DefaultParagraphFont"/>
    <w:link w:val="BodyText"/>
    <w:uiPriority w:val="1"/>
    <w:rsid w:val="003E2664"/>
    <w:rPr>
      <w:rFonts w:ascii="Calibri" w:eastAsia="Calibri" w:hAnsi="Calibri" w:cs="Calibri"/>
      <w:szCs w:val="24"/>
    </w:rPr>
  </w:style>
  <w:style w:type="paragraph" w:customStyle="1" w:styleId="TableParagraph">
    <w:name w:val="Table Paragraph"/>
    <w:basedOn w:val="Normal"/>
    <w:uiPriority w:val="1"/>
    <w:qFormat/>
    <w:rsid w:val="008E2C1E"/>
    <w:pPr>
      <w:widowControl w:val="0"/>
      <w:autoSpaceDE w:val="0"/>
      <w:autoSpaceDN w:val="0"/>
      <w:spacing w:line="240" w:lineRule="auto"/>
      <w:ind w:left="467"/>
    </w:pPr>
    <w:rPr>
      <w:rFonts w:ascii="Calibri" w:eastAsia="Calibri" w:hAnsi="Calibri" w:cs="Calibri"/>
    </w:rPr>
  </w:style>
  <w:style w:type="character" w:customStyle="1" w:styleId="scxw183781499">
    <w:name w:val="scxw183781499"/>
    <w:basedOn w:val="DefaultParagraphFont"/>
    <w:rsid w:val="00746EBB"/>
  </w:style>
  <w:style w:type="character" w:styleId="FollowedHyperlink">
    <w:name w:val="FollowedHyperlink"/>
    <w:basedOn w:val="DefaultParagraphFont"/>
    <w:uiPriority w:val="99"/>
    <w:semiHidden/>
    <w:unhideWhenUsed/>
    <w:rsid w:val="00780531"/>
    <w:rPr>
      <w:color w:val="800080" w:themeColor="followedHyperlink"/>
      <w:u w:val="single"/>
    </w:rPr>
  </w:style>
  <w:style w:type="character" w:customStyle="1" w:styleId="xnormaltextrun">
    <w:name w:val="x_normaltextrun"/>
    <w:basedOn w:val="DefaultParagraphFont"/>
    <w:rsid w:val="00A10138"/>
  </w:style>
  <w:style w:type="character" w:customStyle="1" w:styleId="xeop">
    <w:name w:val="x_eop"/>
    <w:basedOn w:val="DefaultParagraphFont"/>
    <w:rsid w:val="00A10138"/>
  </w:style>
  <w:style w:type="table" w:styleId="GridTable2-Accent1">
    <w:name w:val="Grid Table 2 Accent 1"/>
    <w:basedOn w:val="TableNormal"/>
    <w:uiPriority w:val="47"/>
    <w:rsid w:val="00C50F8D"/>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966ADF"/>
    <w:pPr>
      <w:spacing w:before="240" w:after="0" w:line="259" w:lineRule="auto"/>
      <w:outlineLvl w:val="9"/>
    </w:pPr>
    <w:rPr>
      <w:rFonts w:asciiTheme="majorHAnsi" w:eastAsiaTheme="majorEastAsia" w:hAnsiTheme="majorHAnsi" w:cstheme="majorBidi"/>
      <w:b w:val="0"/>
      <w:color w:val="365F91" w:themeColor="accent1" w:themeShade="BF"/>
      <w:szCs w:val="32"/>
    </w:rPr>
  </w:style>
  <w:style w:type="paragraph" w:styleId="TOC1">
    <w:name w:val="toc 1"/>
    <w:basedOn w:val="Normal"/>
    <w:next w:val="Normal"/>
    <w:autoRedefine/>
    <w:uiPriority w:val="39"/>
    <w:unhideWhenUsed/>
    <w:rsid w:val="00966ADF"/>
    <w:pPr>
      <w:spacing w:after="100"/>
    </w:pPr>
  </w:style>
  <w:style w:type="paragraph" w:styleId="TOC2">
    <w:name w:val="toc 2"/>
    <w:basedOn w:val="Normal"/>
    <w:next w:val="Normal"/>
    <w:autoRedefine/>
    <w:uiPriority w:val="39"/>
    <w:unhideWhenUsed/>
    <w:rsid w:val="00966ADF"/>
    <w:pPr>
      <w:spacing w:after="100"/>
      <w:ind w:left="220"/>
    </w:pPr>
  </w:style>
  <w:style w:type="paragraph" w:styleId="TOC3">
    <w:name w:val="toc 3"/>
    <w:basedOn w:val="Normal"/>
    <w:next w:val="Normal"/>
    <w:autoRedefine/>
    <w:uiPriority w:val="39"/>
    <w:unhideWhenUsed/>
    <w:rsid w:val="00966ADF"/>
    <w:pPr>
      <w:spacing w:after="100"/>
      <w:ind w:left="440"/>
    </w:pPr>
  </w:style>
  <w:style w:type="paragraph" w:styleId="NoSpacing">
    <w:name w:val="No Spacing"/>
    <w:link w:val="NoSpacingChar"/>
    <w:uiPriority w:val="1"/>
    <w:qFormat/>
    <w:rsid w:val="007E3BCC"/>
    <w:pPr>
      <w:spacing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7E3BCC"/>
    <w:rPr>
      <w:rFonts w:asciiTheme="minorHAnsi" w:eastAsiaTheme="minorEastAsia" w:hAnsiTheme="minorHAnsi" w:cstheme="minorBidi"/>
    </w:rPr>
  </w:style>
  <w:style w:type="paragraph" w:customStyle="1" w:styleId="ESEReportName">
    <w:name w:val="ESE Report Name"/>
    <w:basedOn w:val="Normal"/>
    <w:next w:val="Normal"/>
    <w:qFormat/>
    <w:rsid w:val="00442DDC"/>
    <w:pPr>
      <w:spacing w:line="400" w:lineRule="exact"/>
    </w:pPr>
    <w:rPr>
      <w:rFonts w:ascii="Arial" w:eastAsia="Times New Roman" w:hAnsi="Arial" w:cs="Times New Roman"/>
      <w:b/>
      <w:color w:val="000000"/>
      <w:sz w:val="36"/>
      <w:szCs w:val="24"/>
    </w:rPr>
  </w:style>
  <w:style w:type="paragraph" w:customStyle="1" w:styleId="AgencyTitle">
    <w:name w:val="Agency Title"/>
    <w:basedOn w:val="Normal"/>
    <w:semiHidden/>
    <w:rsid w:val="00442DDC"/>
    <w:pPr>
      <w:spacing w:line="240" w:lineRule="auto"/>
    </w:pPr>
    <w:rPr>
      <w:rFonts w:ascii="Arial" w:eastAsia="Times New Roman" w:hAnsi="Arial" w:cs="Times New Roman"/>
      <w:b/>
      <w:sz w:val="18"/>
      <w:szCs w:val="24"/>
    </w:rPr>
  </w:style>
  <w:style w:type="paragraph" w:customStyle="1" w:styleId="arial9">
    <w:name w:val="arial9"/>
    <w:basedOn w:val="Normal"/>
    <w:semiHidden/>
    <w:rsid w:val="00442DDC"/>
    <w:pPr>
      <w:spacing w:line="240" w:lineRule="auto"/>
      <w:ind w:right="-108"/>
    </w:pPr>
    <w:rPr>
      <w:rFonts w:ascii="Arial" w:eastAsia="Times New Roman" w:hAnsi="Arial" w:cs="Times New Roman"/>
      <w:sz w:val="18"/>
      <w:szCs w:val="24"/>
    </w:rPr>
  </w:style>
  <w:style w:type="character" w:customStyle="1" w:styleId="date-display-single">
    <w:name w:val="date-display-single"/>
    <w:basedOn w:val="DefaultParagraphFont"/>
    <w:rsid w:val="00886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65348">
      <w:bodyDiv w:val="1"/>
      <w:marLeft w:val="0"/>
      <w:marRight w:val="0"/>
      <w:marTop w:val="0"/>
      <w:marBottom w:val="0"/>
      <w:divBdr>
        <w:top w:val="none" w:sz="0" w:space="0" w:color="auto"/>
        <w:left w:val="none" w:sz="0" w:space="0" w:color="auto"/>
        <w:bottom w:val="none" w:sz="0" w:space="0" w:color="auto"/>
        <w:right w:val="none" w:sz="0" w:space="0" w:color="auto"/>
      </w:divBdr>
      <w:divsChild>
        <w:div w:id="156532333">
          <w:marLeft w:val="0"/>
          <w:marRight w:val="0"/>
          <w:marTop w:val="0"/>
          <w:marBottom w:val="0"/>
          <w:divBdr>
            <w:top w:val="none" w:sz="0" w:space="0" w:color="auto"/>
            <w:left w:val="none" w:sz="0" w:space="0" w:color="auto"/>
            <w:bottom w:val="none" w:sz="0" w:space="0" w:color="auto"/>
            <w:right w:val="none" w:sz="0" w:space="0" w:color="auto"/>
          </w:divBdr>
        </w:div>
        <w:div w:id="257907793">
          <w:marLeft w:val="0"/>
          <w:marRight w:val="0"/>
          <w:marTop w:val="0"/>
          <w:marBottom w:val="0"/>
          <w:divBdr>
            <w:top w:val="none" w:sz="0" w:space="0" w:color="auto"/>
            <w:left w:val="none" w:sz="0" w:space="0" w:color="auto"/>
            <w:bottom w:val="none" w:sz="0" w:space="0" w:color="auto"/>
            <w:right w:val="none" w:sz="0" w:space="0" w:color="auto"/>
          </w:divBdr>
        </w:div>
        <w:div w:id="283318972">
          <w:marLeft w:val="0"/>
          <w:marRight w:val="0"/>
          <w:marTop w:val="0"/>
          <w:marBottom w:val="0"/>
          <w:divBdr>
            <w:top w:val="none" w:sz="0" w:space="0" w:color="auto"/>
            <w:left w:val="none" w:sz="0" w:space="0" w:color="auto"/>
            <w:bottom w:val="none" w:sz="0" w:space="0" w:color="auto"/>
            <w:right w:val="none" w:sz="0" w:space="0" w:color="auto"/>
          </w:divBdr>
        </w:div>
        <w:div w:id="780955606">
          <w:marLeft w:val="0"/>
          <w:marRight w:val="0"/>
          <w:marTop w:val="0"/>
          <w:marBottom w:val="0"/>
          <w:divBdr>
            <w:top w:val="none" w:sz="0" w:space="0" w:color="auto"/>
            <w:left w:val="none" w:sz="0" w:space="0" w:color="auto"/>
            <w:bottom w:val="none" w:sz="0" w:space="0" w:color="auto"/>
            <w:right w:val="none" w:sz="0" w:space="0" w:color="auto"/>
          </w:divBdr>
        </w:div>
        <w:div w:id="804545488">
          <w:marLeft w:val="0"/>
          <w:marRight w:val="0"/>
          <w:marTop w:val="0"/>
          <w:marBottom w:val="0"/>
          <w:divBdr>
            <w:top w:val="none" w:sz="0" w:space="0" w:color="auto"/>
            <w:left w:val="none" w:sz="0" w:space="0" w:color="auto"/>
            <w:bottom w:val="none" w:sz="0" w:space="0" w:color="auto"/>
            <w:right w:val="none" w:sz="0" w:space="0" w:color="auto"/>
          </w:divBdr>
        </w:div>
        <w:div w:id="1015880831">
          <w:marLeft w:val="0"/>
          <w:marRight w:val="0"/>
          <w:marTop w:val="0"/>
          <w:marBottom w:val="0"/>
          <w:divBdr>
            <w:top w:val="none" w:sz="0" w:space="0" w:color="auto"/>
            <w:left w:val="none" w:sz="0" w:space="0" w:color="auto"/>
            <w:bottom w:val="none" w:sz="0" w:space="0" w:color="auto"/>
            <w:right w:val="none" w:sz="0" w:space="0" w:color="auto"/>
          </w:divBdr>
        </w:div>
        <w:div w:id="1122722566">
          <w:marLeft w:val="0"/>
          <w:marRight w:val="0"/>
          <w:marTop w:val="0"/>
          <w:marBottom w:val="0"/>
          <w:divBdr>
            <w:top w:val="none" w:sz="0" w:space="0" w:color="auto"/>
            <w:left w:val="none" w:sz="0" w:space="0" w:color="auto"/>
            <w:bottom w:val="none" w:sz="0" w:space="0" w:color="auto"/>
            <w:right w:val="none" w:sz="0" w:space="0" w:color="auto"/>
          </w:divBdr>
        </w:div>
        <w:div w:id="1199008399">
          <w:marLeft w:val="0"/>
          <w:marRight w:val="0"/>
          <w:marTop w:val="0"/>
          <w:marBottom w:val="0"/>
          <w:divBdr>
            <w:top w:val="none" w:sz="0" w:space="0" w:color="auto"/>
            <w:left w:val="none" w:sz="0" w:space="0" w:color="auto"/>
            <w:bottom w:val="none" w:sz="0" w:space="0" w:color="auto"/>
            <w:right w:val="none" w:sz="0" w:space="0" w:color="auto"/>
          </w:divBdr>
        </w:div>
        <w:div w:id="1386757683">
          <w:marLeft w:val="0"/>
          <w:marRight w:val="0"/>
          <w:marTop w:val="0"/>
          <w:marBottom w:val="0"/>
          <w:divBdr>
            <w:top w:val="none" w:sz="0" w:space="0" w:color="auto"/>
            <w:left w:val="none" w:sz="0" w:space="0" w:color="auto"/>
            <w:bottom w:val="none" w:sz="0" w:space="0" w:color="auto"/>
            <w:right w:val="none" w:sz="0" w:space="0" w:color="auto"/>
          </w:divBdr>
        </w:div>
        <w:div w:id="1403530242">
          <w:marLeft w:val="0"/>
          <w:marRight w:val="0"/>
          <w:marTop w:val="0"/>
          <w:marBottom w:val="0"/>
          <w:divBdr>
            <w:top w:val="none" w:sz="0" w:space="0" w:color="auto"/>
            <w:left w:val="none" w:sz="0" w:space="0" w:color="auto"/>
            <w:bottom w:val="none" w:sz="0" w:space="0" w:color="auto"/>
            <w:right w:val="none" w:sz="0" w:space="0" w:color="auto"/>
          </w:divBdr>
        </w:div>
        <w:div w:id="1680154816">
          <w:marLeft w:val="0"/>
          <w:marRight w:val="0"/>
          <w:marTop w:val="0"/>
          <w:marBottom w:val="0"/>
          <w:divBdr>
            <w:top w:val="none" w:sz="0" w:space="0" w:color="auto"/>
            <w:left w:val="none" w:sz="0" w:space="0" w:color="auto"/>
            <w:bottom w:val="none" w:sz="0" w:space="0" w:color="auto"/>
            <w:right w:val="none" w:sz="0" w:space="0" w:color="auto"/>
          </w:divBdr>
        </w:div>
      </w:divsChild>
    </w:div>
    <w:div w:id="44644130">
      <w:bodyDiv w:val="1"/>
      <w:marLeft w:val="0"/>
      <w:marRight w:val="0"/>
      <w:marTop w:val="0"/>
      <w:marBottom w:val="0"/>
      <w:divBdr>
        <w:top w:val="none" w:sz="0" w:space="0" w:color="auto"/>
        <w:left w:val="none" w:sz="0" w:space="0" w:color="auto"/>
        <w:bottom w:val="none" w:sz="0" w:space="0" w:color="auto"/>
        <w:right w:val="none" w:sz="0" w:space="0" w:color="auto"/>
      </w:divBdr>
      <w:divsChild>
        <w:div w:id="55278084">
          <w:marLeft w:val="0"/>
          <w:marRight w:val="0"/>
          <w:marTop w:val="0"/>
          <w:marBottom w:val="0"/>
          <w:divBdr>
            <w:top w:val="none" w:sz="0" w:space="0" w:color="auto"/>
            <w:left w:val="none" w:sz="0" w:space="0" w:color="auto"/>
            <w:bottom w:val="none" w:sz="0" w:space="0" w:color="auto"/>
            <w:right w:val="none" w:sz="0" w:space="0" w:color="auto"/>
          </w:divBdr>
          <w:divsChild>
            <w:div w:id="44530283">
              <w:marLeft w:val="0"/>
              <w:marRight w:val="0"/>
              <w:marTop w:val="0"/>
              <w:marBottom w:val="0"/>
              <w:divBdr>
                <w:top w:val="none" w:sz="0" w:space="0" w:color="auto"/>
                <w:left w:val="none" w:sz="0" w:space="0" w:color="auto"/>
                <w:bottom w:val="none" w:sz="0" w:space="0" w:color="auto"/>
                <w:right w:val="none" w:sz="0" w:space="0" w:color="auto"/>
              </w:divBdr>
            </w:div>
            <w:div w:id="159926889">
              <w:marLeft w:val="0"/>
              <w:marRight w:val="0"/>
              <w:marTop w:val="0"/>
              <w:marBottom w:val="0"/>
              <w:divBdr>
                <w:top w:val="none" w:sz="0" w:space="0" w:color="auto"/>
                <w:left w:val="none" w:sz="0" w:space="0" w:color="auto"/>
                <w:bottom w:val="none" w:sz="0" w:space="0" w:color="auto"/>
                <w:right w:val="none" w:sz="0" w:space="0" w:color="auto"/>
              </w:divBdr>
            </w:div>
            <w:div w:id="196628429">
              <w:marLeft w:val="0"/>
              <w:marRight w:val="0"/>
              <w:marTop w:val="0"/>
              <w:marBottom w:val="0"/>
              <w:divBdr>
                <w:top w:val="none" w:sz="0" w:space="0" w:color="auto"/>
                <w:left w:val="none" w:sz="0" w:space="0" w:color="auto"/>
                <w:bottom w:val="none" w:sz="0" w:space="0" w:color="auto"/>
                <w:right w:val="none" w:sz="0" w:space="0" w:color="auto"/>
              </w:divBdr>
            </w:div>
            <w:div w:id="1080441680">
              <w:marLeft w:val="0"/>
              <w:marRight w:val="0"/>
              <w:marTop w:val="0"/>
              <w:marBottom w:val="0"/>
              <w:divBdr>
                <w:top w:val="none" w:sz="0" w:space="0" w:color="auto"/>
                <w:left w:val="none" w:sz="0" w:space="0" w:color="auto"/>
                <w:bottom w:val="none" w:sz="0" w:space="0" w:color="auto"/>
                <w:right w:val="none" w:sz="0" w:space="0" w:color="auto"/>
              </w:divBdr>
            </w:div>
            <w:div w:id="2029023140">
              <w:marLeft w:val="0"/>
              <w:marRight w:val="0"/>
              <w:marTop w:val="0"/>
              <w:marBottom w:val="0"/>
              <w:divBdr>
                <w:top w:val="none" w:sz="0" w:space="0" w:color="auto"/>
                <w:left w:val="none" w:sz="0" w:space="0" w:color="auto"/>
                <w:bottom w:val="none" w:sz="0" w:space="0" w:color="auto"/>
                <w:right w:val="none" w:sz="0" w:space="0" w:color="auto"/>
              </w:divBdr>
            </w:div>
          </w:divsChild>
        </w:div>
        <w:div w:id="1409766422">
          <w:marLeft w:val="0"/>
          <w:marRight w:val="0"/>
          <w:marTop w:val="0"/>
          <w:marBottom w:val="0"/>
          <w:divBdr>
            <w:top w:val="none" w:sz="0" w:space="0" w:color="auto"/>
            <w:left w:val="none" w:sz="0" w:space="0" w:color="auto"/>
            <w:bottom w:val="none" w:sz="0" w:space="0" w:color="auto"/>
            <w:right w:val="none" w:sz="0" w:space="0" w:color="auto"/>
          </w:divBdr>
          <w:divsChild>
            <w:div w:id="1297949200">
              <w:marLeft w:val="0"/>
              <w:marRight w:val="0"/>
              <w:marTop w:val="0"/>
              <w:marBottom w:val="0"/>
              <w:divBdr>
                <w:top w:val="none" w:sz="0" w:space="0" w:color="auto"/>
                <w:left w:val="none" w:sz="0" w:space="0" w:color="auto"/>
                <w:bottom w:val="none" w:sz="0" w:space="0" w:color="auto"/>
                <w:right w:val="none" w:sz="0" w:space="0" w:color="auto"/>
              </w:divBdr>
            </w:div>
            <w:div w:id="130681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0114">
      <w:bodyDiv w:val="1"/>
      <w:marLeft w:val="0"/>
      <w:marRight w:val="0"/>
      <w:marTop w:val="0"/>
      <w:marBottom w:val="0"/>
      <w:divBdr>
        <w:top w:val="none" w:sz="0" w:space="0" w:color="auto"/>
        <w:left w:val="none" w:sz="0" w:space="0" w:color="auto"/>
        <w:bottom w:val="none" w:sz="0" w:space="0" w:color="auto"/>
        <w:right w:val="none" w:sz="0" w:space="0" w:color="auto"/>
      </w:divBdr>
      <w:divsChild>
        <w:div w:id="66458777">
          <w:marLeft w:val="0"/>
          <w:marRight w:val="0"/>
          <w:marTop w:val="0"/>
          <w:marBottom w:val="0"/>
          <w:divBdr>
            <w:top w:val="none" w:sz="0" w:space="0" w:color="auto"/>
            <w:left w:val="none" w:sz="0" w:space="0" w:color="auto"/>
            <w:bottom w:val="none" w:sz="0" w:space="0" w:color="auto"/>
            <w:right w:val="none" w:sz="0" w:space="0" w:color="auto"/>
          </w:divBdr>
        </w:div>
        <w:div w:id="135996097">
          <w:marLeft w:val="0"/>
          <w:marRight w:val="0"/>
          <w:marTop w:val="0"/>
          <w:marBottom w:val="0"/>
          <w:divBdr>
            <w:top w:val="none" w:sz="0" w:space="0" w:color="auto"/>
            <w:left w:val="none" w:sz="0" w:space="0" w:color="auto"/>
            <w:bottom w:val="none" w:sz="0" w:space="0" w:color="auto"/>
            <w:right w:val="none" w:sz="0" w:space="0" w:color="auto"/>
          </w:divBdr>
        </w:div>
        <w:div w:id="221529185">
          <w:marLeft w:val="0"/>
          <w:marRight w:val="0"/>
          <w:marTop w:val="0"/>
          <w:marBottom w:val="0"/>
          <w:divBdr>
            <w:top w:val="none" w:sz="0" w:space="0" w:color="auto"/>
            <w:left w:val="none" w:sz="0" w:space="0" w:color="auto"/>
            <w:bottom w:val="none" w:sz="0" w:space="0" w:color="auto"/>
            <w:right w:val="none" w:sz="0" w:space="0" w:color="auto"/>
          </w:divBdr>
        </w:div>
        <w:div w:id="280190568">
          <w:marLeft w:val="0"/>
          <w:marRight w:val="0"/>
          <w:marTop w:val="0"/>
          <w:marBottom w:val="0"/>
          <w:divBdr>
            <w:top w:val="none" w:sz="0" w:space="0" w:color="auto"/>
            <w:left w:val="none" w:sz="0" w:space="0" w:color="auto"/>
            <w:bottom w:val="none" w:sz="0" w:space="0" w:color="auto"/>
            <w:right w:val="none" w:sz="0" w:space="0" w:color="auto"/>
          </w:divBdr>
        </w:div>
        <w:div w:id="294146281">
          <w:marLeft w:val="0"/>
          <w:marRight w:val="0"/>
          <w:marTop w:val="0"/>
          <w:marBottom w:val="0"/>
          <w:divBdr>
            <w:top w:val="none" w:sz="0" w:space="0" w:color="auto"/>
            <w:left w:val="none" w:sz="0" w:space="0" w:color="auto"/>
            <w:bottom w:val="none" w:sz="0" w:space="0" w:color="auto"/>
            <w:right w:val="none" w:sz="0" w:space="0" w:color="auto"/>
          </w:divBdr>
        </w:div>
        <w:div w:id="301279302">
          <w:marLeft w:val="0"/>
          <w:marRight w:val="0"/>
          <w:marTop w:val="0"/>
          <w:marBottom w:val="0"/>
          <w:divBdr>
            <w:top w:val="none" w:sz="0" w:space="0" w:color="auto"/>
            <w:left w:val="none" w:sz="0" w:space="0" w:color="auto"/>
            <w:bottom w:val="none" w:sz="0" w:space="0" w:color="auto"/>
            <w:right w:val="none" w:sz="0" w:space="0" w:color="auto"/>
          </w:divBdr>
        </w:div>
        <w:div w:id="368651273">
          <w:marLeft w:val="0"/>
          <w:marRight w:val="0"/>
          <w:marTop w:val="0"/>
          <w:marBottom w:val="0"/>
          <w:divBdr>
            <w:top w:val="none" w:sz="0" w:space="0" w:color="auto"/>
            <w:left w:val="none" w:sz="0" w:space="0" w:color="auto"/>
            <w:bottom w:val="none" w:sz="0" w:space="0" w:color="auto"/>
            <w:right w:val="none" w:sz="0" w:space="0" w:color="auto"/>
          </w:divBdr>
        </w:div>
        <w:div w:id="463276586">
          <w:marLeft w:val="0"/>
          <w:marRight w:val="0"/>
          <w:marTop w:val="0"/>
          <w:marBottom w:val="0"/>
          <w:divBdr>
            <w:top w:val="none" w:sz="0" w:space="0" w:color="auto"/>
            <w:left w:val="none" w:sz="0" w:space="0" w:color="auto"/>
            <w:bottom w:val="none" w:sz="0" w:space="0" w:color="auto"/>
            <w:right w:val="none" w:sz="0" w:space="0" w:color="auto"/>
          </w:divBdr>
        </w:div>
        <w:div w:id="650794920">
          <w:marLeft w:val="0"/>
          <w:marRight w:val="0"/>
          <w:marTop w:val="0"/>
          <w:marBottom w:val="0"/>
          <w:divBdr>
            <w:top w:val="none" w:sz="0" w:space="0" w:color="auto"/>
            <w:left w:val="none" w:sz="0" w:space="0" w:color="auto"/>
            <w:bottom w:val="none" w:sz="0" w:space="0" w:color="auto"/>
            <w:right w:val="none" w:sz="0" w:space="0" w:color="auto"/>
          </w:divBdr>
        </w:div>
        <w:div w:id="750390806">
          <w:marLeft w:val="0"/>
          <w:marRight w:val="0"/>
          <w:marTop w:val="0"/>
          <w:marBottom w:val="0"/>
          <w:divBdr>
            <w:top w:val="none" w:sz="0" w:space="0" w:color="auto"/>
            <w:left w:val="none" w:sz="0" w:space="0" w:color="auto"/>
            <w:bottom w:val="none" w:sz="0" w:space="0" w:color="auto"/>
            <w:right w:val="none" w:sz="0" w:space="0" w:color="auto"/>
          </w:divBdr>
        </w:div>
        <w:div w:id="819232295">
          <w:marLeft w:val="0"/>
          <w:marRight w:val="0"/>
          <w:marTop w:val="0"/>
          <w:marBottom w:val="0"/>
          <w:divBdr>
            <w:top w:val="none" w:sz="0" w:space="0" w:color="auto"/>
            <w:left w:val="none" w:sz="0" w:space="0" w:color="auto"/>
            <w:bottom w:val="none" w:sz="0" w:space="0" w:color="auto"/>
            <w:right w:val="none" w:sz="0" w:space="0" w:color="auto"/>
          </w:divBdr>
        </w:div>
        <w:div w:id="897668031">
          <w:marLeft w:val="0"/>
          <w:marRight w:val="0"/>
          <w:marTop w:val="0"/>
          <w:marBottom w:val="0"/>
          <w:divBdr>
            <w:top w:val="none" w:sz="0" w:space="0" w:color="auto"/>
            <w:left w:val="none" w:sz="0" w:space="0" w:color="auto"/>
            <w:bottom w:val="none" w:sz="0" w:space="0" w:color="auto"/>
            <w:right w:val="none" w:sz="0" w:space="0" w:color="auto"/>
          </w:divBdr>
        </w:div>
        <w:div w:id="955529956">
          <w:marLeft w:val="0"/>
          <w:marRight w:val="0"/>
          <w:marTop w:val="0"/>
          <w:marBottom w:val="0"/>
          <w:divBdr>
            <w:top w:val="none" w:sz="0" w:space="0" w:color="auto"/>
            <w:left w:val="none" w:sz="0" w:space="0" w:color="auto"/>
            <w:bottom w:val="none" w:sz="0" w:space="0" w:color="auto"/>
            <w:right w:val="none" w:sz="0" w:space="0" w:color="auto"/>
          </w:divBdr>
        </w:div>
        <w:div w:id="1106003479">
          <w:marLeft w:val="0"/>
          <w:marRight w:val="0"/>
          <w:marTop w:val="0"/>
          <w:marBottom w:val="0"/>
          <w:divBdr>
            <w:top w:val="none" w:sz="0" w:space="0" w:color="auto"/>
            <w:left w:val="none" w:sz="0" w:space="0" w:color="auto"/>
            <w:bottom w:val="none" w:sz="0" w:space="0" w:color="auto"/>
            <w:right w:val="none" w:sz="0" w:space="0" w:color="auto"/>
          </w:divBdr>
        </w:div>
        <w:div w:id="1162353281">
          <w:marLeft w:val="0"/>
          <w:marRight w:val="0"/>
          <w:marTop w:val="0"/>
          <w:marBottom w:val="0"/>
          <w:divBdr>
            <w:top w:val="none" w:sz="0" w:space="0" w:color="auto"/>
            <w:left w:val="none" w:sz="0" w:space="0" w:color="auto"/>
            <w:bottom w:val="none" w:sz="0" w:space="0" w:color="auto"/>
            <w:right w:val="none" w:sz="0" w:space="0" w:color="auto"/>
          </w:divBdr>
        </w:div>
        <w:div w:id="1236471383">
          <w:marLeft w:val="0"/>
          <w:marRight w:val="0"/>
          <w:marTop w:val="0"/>
          <w:marBottom w:val="0"/>
          <w:divBdr>
            <w:top w:val="none" w:sz="0" w:space="0" w:color="auto"/>
            <w:left w:val="none" w:sz="0" w:space="0" w:color="auto"/>
            <w:bottom w:val="none" w:sz="0" w:space="0" w:color="auto"/>
            <w:right w:val="none" w:sz="0" w:space="0" w:color="auto"/>
          </w:divBdr>
        </w:div>
        <w:div w:id="1255436764">
          <w:marLeft w:val="0"/>
          <w:marRight w:val="0"/>
          <w:marTop w:val="0"/>
          <w:marBottom w:val="0"/>
          <w:divBdr>
            <w:top w:val="none" w:sz="0" w:space="0" w:color="auto"/>
            <w:left w:val="none" w:sz="0" w:space="0" w:color="auto"/>
            <w:bottom w:val="none" w:sz="0" w:space="0" w:color="auto"/>
            <w:right w:val="none" w:sz="0" w:space="0" w:color="auto"/>
          </w:divBdr>
        </w:div>
        <w:div w:id="1265845961">
          <w:marLeft w:val="0"/>
          <w:marRight w:val="0"/>
          <w:marTop w:val="0"/>
          <w:marBottom w:val="0"/>
          <w:divBdr>
            <w:top w:val="none" w:sz="0" w:space="0" w:color="auto"/>
            <w:left w:val="none" w:sz="0" w:space="0" w:color="auto"/>
            <w:bottom w:val="none" w:sz="0" w:space="0" w:color="auto"/>
            <w:right w:val="none" w:sz="0" w:space="0" w:color="auto"/>
          </w:divBdr>
        </w:div>
        <w:div w:id="1565525201">
          <w:marLeft w:val="0"/>
          <w:marRight w:val="0"/>
          <w:marTop w:val="0"/>
          <w:marBottom w:val="0"/>
          <w:divBdr>
            <w:top w:val="none" w:sz="0" w:space="0" w:color="auto"/>
            <w:left w:val="none" w:sz="0" w:space="0" w:color="auto"/>
            <w:bottom w:val="none" w:sz="0" w:space="0" w:color="auto"/>
            <w:right w:val="none" w:sz="0" w:space="0" w:color="auto"/>
          </w:divBdr>
        </w:div>
        <w:div w:id="1592079865">
          <w:marLeft w:val="0"/>
          <w:marRight w:val="0"/>
          <w:marTop w:val="0"/>
          <w:marBottom w:val="0"/>
          <w:divBdr>
            <w:top w:val="none" w:sz="0" w:space="0" w:color="auto"/>
            <w:left w:val="none" w:sz="0" w:space="0" w:color="auto"/>
            <w:bottom w:val="none" w:sz="0" w:space="0" w:color="auto"/>
            <w:right w:val="none" w:sz="0" w:space="0" w:color="auto"/>
          </w:divBdr>
        </w:div>
        <w:div w:id="1622498759">
          <w:marLeft w:val="0"/>
          <w:marRight w:val="0"/>
          <w:marTop w:val="0"/>
          <w:marBottom w:val="0"/>
          <w:divBdr>
            <w:top w:val="none" w:sz="0" w:space="0" w:color="auto"/>
            <w:left w:val="none" w:sz="0" w:space="0" w:color="auto"/>
            <w:bottom w:val="none" w:sz="0" w:space="0" w:color="auto"/>
            <w:right w:val="none" w:sz="0" w:space="0" w:color="auto"/>
          </w:divBdr>
        </w:div>
        <w:div w:id="1633049752">
          <w:marLeft w:val="0"/>
          <w:marRight w:val="0"/>
          <w:marTop w:val="0"/>
          <w:marBottom w:val="0"/>
          <w:divBdr>
            <w:top w:val="none" w:sz="0" w:space="0" w:color="auto"/>
            <w:left w:val="none" w:sz="0" w:space="0" w:color="auto"/>
            <w:bottom w:val="none" w:sz="0" w:space="0" w:color="auto"/>
            <w:right w:val="none" w:sz="0" w:space="0" w:color="auto"/>
          </w:divBdr>
        </w:div>
        <w:div w:id="1780955507">
          <w:marLeft w:val="0"/>
          <w:marRight w:val="0"/>
          <w:marTop w:val="0"/>
          <w:marBottom w:val="0"/>
          <w:divBdr>
            <w:top w:val="none" w:sz="0" w:space="0" w:color="auto"/>
            <w:left w:val="none" w:sz="0" w:space="0" w:color="auto"/>
            <w:bottom w:val="none" w:sz="0" w:space="0" w:color="auto"/>
            <w:right w:val="none" w:sz="0" w:space="0" w:color="auto"/>
          </w:divBdr>
        </w:div>
        <w:div w:id="1822849862">
          <w:marLeft w:val="0"/>
          <w:marRight w:val="0"/>
          <w:marTop w:val="0"/>
          <w:marBottom w:val="0"/>
          <w:divBdr>
            <w:top w:val="none" w:sz="0" w:space="0" w:color="auto"/>
            <w:left w:val="none" w:sz="0" w:space="0" w:color="auto"/>
            <w:bottom w:val="none" w:sz="0" w:space="0" w:color="auto"/>
            <w:right w:val="none" w:sz="0" w:space="0" w:color="auto"/>
          </w:divBdr>
        </w:div>
        <w:div w:id="1886410935">
          <w:marLeft w:val="0"/>
          <w:marRight w:val="0"/>
          <w:marTop w:val="0"/>
          <w:marBottom w:val="0"/>
          <w:divBdr>
            <w:top w:val="none" w:sz="0" w:space="0" w:color="auto"/>
            <w:left w:val="none" w:sz="0" w:space="0" w:color="auto"/>
            <w:bottom w:val="none" w:sz="0" w:space="0" w:color="auto"/>
            <w:right w:val="none" w:sz="0" w:space="0" w:color="auto"/>
          </w:divBdr>
        </w:div>
        <w:div w:id="1905288924">
          <w:marLeft w:val="0"/>
          <w:marRight w:val="0"/>
          <w:marTop w:val="0"/>
          <w:marBottom w:val="0"/>
          <w:divBdr>
            <w:top w:val="none" w:sz="0" w:space="0" w:color="auto"/>
            <w:left w:val="none" w:sz="0" w:space="0" w:color="auto"/>
            <w:bottom w:val="none" w:sz="0" w:space="0" w:color="auto"/>
            <w:right w:val="none" w:sz="0" w:space="0" w:color="auto"/>
          </w:divBdr>
        </w:div>
        <w:div w:id="1942565836">
          <w:marLeft w:val="0"/>
          <w:marRight w:val="0"/>
          <w:marTop w:val="0"/>
          <w:marBottom w:val="0"/>
          <w:divBdr>
            <w:top w:val="none" w:sz="0" w:space="0" w:color="auto"/>
            <w:left w:val="none" w:sz="0" w:space="0" w:color="auto"/>
            <w:bottom w:val="none" w:sz="0" w:space="0" w:color="auto"/>
            <w:right w:val="none" w:sz="0" w:space="0" w:color="auto"/>
          </w:divBdr>
        </w:div>
        <w:div w:id="1949045324">
          <w:marLeft w:val="0"/>
          <w:marRight w:val="0"/>
          <w:marTop w:val="0"/>
          <w:marBottom w:val="0"/>
          <w:divBdr>
            <w:top w:val="none" w:sz="0" w:space="0" w:color="auto"/>
            <w:left w:val="none" w:sz="0" w:space="0" w:color="auto"/>
            <w:bottom w:val="none" w:sz="0" w:space="0" w:color="auto"/>
            <w:right w:val="none" w:sz="0" w:space="0" w:color="auto"/>
          </w:divBdr>
        </w:div>
        <w:div w:id="2048023477">
          <w:marLeft w:val="0"/>
          <w:marRight w:val="0"/>
          <w:marTop w:val="0"/>
          <w:marBottom w:val="0"/>
          <w:divBdr>
            <w:top w:val="none" w:sz="0" w:space="0" w:color="auto"/>
            <w:left w:val="none" w:sz="0" w:space="0" w:color="auto"/>
            <w:bottom w:val="none" w:sz="0" w:space="0" w:color="auto"/>
            <w:right w:val="none" w:sz="0" w:space="0" w:color="auto"/>
          </w:divBdr>
        </w:div>
        <w:div w:id="2060325419">
          <w:marLeft w:val="0"/>
          <w:marRight w:val="0"/>
          <w:marTop w:val="0"/>
          <w:marBottom w:val="0"/>
          <w:divBdr>
            <w:top w:val="none" w:sz="0" w:space="0" w:color="auto"/>
            <w:left w:val="none" w:sz="0" w:space="0" w:color="auto"/>
            <w:bottom w:val="none" w:sz="0" w:space="0" w:color="auto"/>
            <w:right w:val="none" w:sz="0" w:space="0" w:color="auto"/>
          </w:divBdr>
        </w:div>
        <w:div w:id="2069109341">
          <w:marLeft w:val="0"/>
          <w:marRight w:val="0"/>
          <w:marTop w:val="0"/>
          <w:marBottom w:val="0"/>
          <w:divBdr>
            <w:top w:val="none" w:sz="0" w:space="0" w:color="auto"/>
            <w:left w:val="none" w:sz="0" w:space="0" w:color="auto"/>
            <w:bottom w:val="none" w:sz="0" w:space="0" w:color="auto"/>
            <w:right w:val="none" w:sz="0" w:space="0" w:color="auto"/>
          </w:divBdr>
        </w:div>
      </w:divsChild>
    </w:div>
    <w:div w:id="466169232">
      <w:bodyDiv w:val="1"/>
      <w:marLeft w:val="0"/>
      <w:marRight w:val="0"/>
      <w:marTop w:val="0"/>
      <w:marBottom w:val="0"/>
      <w:divBdr>
        <w:top w:val="none" w:sz="0" w:space="0" w:color="auto"/>
        <w:left w:val="none" w:sz="0" w:space="0" w:color="auto"/>
        <w:bottom w:val="none" w:sz="0" w:space="0" w:color="auto"/>
        <w:right w:val="none" w:sz="0" w:space="0" w:color="auto"/>
      </w:divBdr>
      <w:divsChild>
        <w:div w:id="71859840">
          <w:marLeft w:val="0"/>
          <w:marRight w:val="0"/>
          <w:marTop w:val="0"/>
          <w:marBottom w:val="0"/>
          <w:divBdr>
            <w:top w:val="none" w:sz="0" w:space="0" w:color="auto"/>
            <w:left w:val="none" w:sz="0" w:space="0" w:color="auto"/>
            <w:bottom w:val="none" w:sz="0" w:space="0" w:color="auto"/>
            <w:right w:val="none" w:sz="0" w:space="0" w:color="auto"/>
          </w:divBdr>
        </w:div>
        <w:div w:id="211040916">
          <w:marLeft w:val="0"/>
          <w:marRight w:val="0"/>
          <w:marTop w:val="0"/>
          <w:marBottom w:val="0"/>
          <w:divBdr>
            <w:top w:val="none" w:sz="0" w:space="0" w:color="auto"/>
            <w:left w:val="none" w:sz="0" w:space="0" w:color="auto"/>
            <w:bottom w:val="none" w:sz="0" w:space="0" w:color="auto"/>
            <w:right w:val="none" w:sz="0" w:space="0" w:color="auto"/>
          </w:divBdr>
        </w:div>
        <w:div w:id="251814369">
          <w:marLeft w:val="0"/>
          <w:marRight w:val="0"/>
          <w:marTop w:val="0"/>
          <w:marBottom w:val="0"/>
          <w:divBdr>
            <w:top w:val="none" w:sz="0" w:space="0" w:color="auto"/>
            <w:left w:val="none" w:sz="0" w:space="0" w:color="auto"/>
            <w:bottom w:val="none" w:sz="0" w:space="0" w:color="auto"/>
            <w:right w:val="none" w:sz="0" w:space="0" w:color="auto"/>
          </w:divBdr>
        </w:div>
        <w:div w:id="275868930">
          <w:marLeft w:val="0"/>
          <w:marRight w:val="0"/>
          <w:marTop w:val="0"/>
          <w:marBottom w:val="0"/>
          <w:divBdr>
            <w:top w:val="none" w:sz="0" w:space="0" w:color="auto"/>
            <w:left w:val="none" w:sz="0" w:space="0" w:color="auto"/>
            <w:bottom w:val="none" w:sz="0" w:space="0" w:color="auto"/>
            <w:right w:val="none" w:sz="0" w:space="0" w:color="auto"/>
          </w:divBdr>
        </w:div>
        <w:div w:id="281301247">
          <w:marLeft w:val="0"/>
          <w:marRight w:val="0"/>
          <w:marTop w:val="0"/>
          <w:marBottom w:val="0"/>
          <w:divBdr>
            <w:top w:val="none" w:sz="0" w:space="0" w:color="auto"/>
            <w:left w:val="none" w:sz="0" w:space="0" w:color="auto"/>
            <w:bottom w:val="none" w:sz="0" w:space="0" w:color="auto"/>
            <w:right w:val="none" w:sz="0" w:space="0" w:color="auto"/>
          </w:divBdr>
          <w:divsChild>
            <w:div w:id="42557440">
              <w:marLeft w:val="0"/>
              <w:marRight w:val="0"/>
              <w:marTop w:val="0"/>
              <w:marBottom w:val="0"/>
              <w:divBdr>
                <w:top w:val="none" w:sz="0" w:space="0" w:color="auto"/>
                <w:left w:val="none" w:sz="0" w:space="0" w:color="auto"/>
                <w:bottom w:val="none" w:sz="0" w:space="0" w:color="auto"/>
                <w:right w:val="none" w:sz="0" w:space="0" w:color="auto"/>
              </w:divBdr>
            </w:div>
            <w:div w:id="245773793">
              <w:marLeft w:val="0"/>
              <w:marRight w:val="0"/>
              <w:marTop w:val="0"/>
              <w:marBottom w:val="0"/>
              <w:divBdr>
                <w:top w:val="none" w:sz="0" w:space="0" w:color="auto"/>
                <w:left w:val="none" w:sz="0" w:space="0" w:color="auto"/>
                <w:bottom w:val="none" w:sz="0" w:space="0" w:color="auto"/>
                <w:right w:val="none" w:sz="0" w:space="0" w:color="auto"/>
              </w:divBdr>
            </w:div>
            <w:div w:id="386346641">
              <w:marLeft w:val="0"/>
              <w:marRight w:val="0"/>
              <w:marTop w:val="0"/>
              <w:marBottom w:val="0"/>
              <w:divBdr>
                <w:top w:val="none" w:sz="0" w:space="0" w:color="auto"/>
                <w:left w:val="none" w:sz="0" w:space="0" w:color="auto"/>
                <w:bottom w:val="none" w:sz="0" w:space="0" w:color="auto"/>
                <w:right w:val="none" w:sz="0" w:space="0" w:color="auto"/>
              </w:divBdr>
            </w:div>
            <w:div w:id="1192645927">
              <w:marLeft w:val="0"/>
              <w:marRight w:val="0"/>
              <w:marTop w:val="0"/>
              <w:marBottom w:val="0"/>
              <w:divBdr>
                <w:top w:val="none" w:sz="0" w:space="0" w:color="auto"/>
                <w:left w:val="none" w:sz="0" w:space="0" w:color="auto"/>
                <w:bottom w:val="none" w:sz="0" w:space="0" w:color="auto"/>
                <w:right w:val="none" w:sz="0" w:space="0" w:color="auto"/>
              </w:divBdr>
            </w:div>
          </w:divsChild>
        </w:div>
        <w:div w:id="339620737">
          <w:marLeft w:val="0"/>
          <w:marRight w:val="0"/>
          <w:marTop w:val="0"/>
          <w:marBottom w:val="0"/>
          <w:divBdr>
            <w:top w:val="none" w:sz="0" w:space="0" w:color="auto"/>
            <w:left w:val="none" w:sz="0" w:space="0" w:color="auto"/>
            <w:bottom w:val="none" w:sz="0" w:space="0" w:color="auto"/>
            <w:right w:val="none" w:sz="0" w:space="0" w:color="auto"/>
          </w:divBdr>
          <w:divsChild>
            <w:div w:id="236861368">
              <w:marLeft w:val="0"/>
              <w:marRight w:val="0"/>
              <w:marTop w:val="0"/>
              <w:marBottom w:val="0"/>
              <w:divBdr>
                <w:top w:val="none" w:sz="0" w:space="0" w:color="auto"/>
                <w:left w:val="none" w:sz="0" w:space="0" w:color="auto"/>
                <w:bottom w:val="none" w:sz="0" w:space="0" w:color="auto"/>
                <w:right w:val="none" w:sz="0" w:space="0" w:color="auto"/>
              </w:divBdr>
            </w:div>
            <w:div w:id="506286842">
              <w:marLeft w:val="0"/>
              <w:marRight w:val="0"/>
              <w:marTop w:val="0"/>
              <w:marBottom w:val="0"/>
              <w:divBdr>
                <w:top w:val="none" w:sz="0" w:space="0" w:color="auto"/>
                <w:left w:val="none" w:sz="0" w:space="0" w:color="auto"/>
                <w:bottom w:val="none" w:sz="0" w:space="0" w:color="auto"/>
                <w:right w:val="none" w:sz="0" w:space="0" w:color="auto"/>
              </w:divBdr>
            </w:div>
            <w:div w:id="1332681449">
              <w:marLeft w:val="0"/>
              <w:marRight w:val="0"/>
              <w:marTop w:val="0"/>
              <w:marBottom w:val="0"/>
              <w:divBdr>
                <w:top w:val="none" w:sz="0" w:space="0" w:color="auto"/>
                <w:left w:val="none" w:sz="0" w:space="0" w:color="auto"/>
                <w:bottom w:val="none" w:sz="0" w:space="0" w:color="auto"/>
                <w:right w:val="none" w:sz="0" w:space="0" w:color="auto"/>
              </w:divBdr>
            </w:div>
            <w:div w:id="1456406818">
              <w:marLeft w:val="0"/>
              <w:marRight w:val="0"/>
              <w:marTop w:val="0"/>
              <w:marBottom w:val="0"/>
              <w:divBdr>
                <w:top w:val="none" w:sz="0" w:space="0" w:color="auto"/>
                <w:left w:val="none" w:sz="0" w:space="0" w:color="auto"/>
                <w:bottom w:val="none" w:sz="0" w:space="0" w:color="auto"/>
                <w:right w:val="none" w:sz="0" w:space="0" w:color="auto"/>
              </w:divBdr>
            </w:div>
            <w:div w:id="1706754969">
              <w:marLeft w:val="0"/>
              <w:marRight w:val="0"/>
              <w:marTop w:val="0"/>
              <w:marBottom w:val="0"/>
              <w:divBdr>
                <w:top w:val="none" w:sz="0" w:space="0" w:color="auto"/>
                <w:left w:val="none" w:sz="0" w:space="0" w:color="auto"/>
                <w:bottom w:val="none" w:sz="0" w:space="0" w:color="auto"/>
                <w:right w:val="none" w:sz="0" w:space="0" w:color="auto"/>
              </w:divBdr>
            </w:div>
          </w:divsChild>
        </w:div>
        <w:div w:id="363139995">
          <w:marLeft w:val="0"/>
          <w:marRight w:val="0"/>
          <w:marTop w:val="0"/>
          <w:marBottom w:val="0"/>
          <w:divBdr>
            <w:top w:val="none" w:sz="0" w:space="0" w:color="auto"/>
            <w:left w:val="none" w:sz="0" w:space="0" w:color="auto"/>
            <w:bottom w:val="none" w:sz="0" w:space="0" w:color="auto"/>
            <w:right w:val="none" w:sz="0" w:space="0" w:color="auto"/>
          </w:divBdr>
        </w:div>
        <w:div w:id="483593501">
          <w:marLeft w:val="0"/>
          <w:marRight w:val="0"/>
          <w:marTop w:val="0"/>
          <w:marBottom w:val="0"/>
          <w:divBdr>
            <w:top w:val="none" w:sz="0" w:space="0" w:color="auto"/>
            <w:left w:val="none" w:sz="0" w:space="0" w:color="auto"/>
            <w:bottom w:val="none" w:sz="0" w:space="0" w:color="auto"/>
            <w:right w:val="none" w:sz="0" w:space="0" w:color="auto"/>
          </w:divBdr>
          <w:divsChild>
            <w:div w:id="728695506">
              <w:marLeft w:val="0"/>
              <w:marRight w:val="0"/>
              <w:marTop w:val="0"/>
              <w:marBottom w:val="0"/>
              <w:divBdr>
                <w:top w:val="none" w:sz="0" w:space="0" w:color="auto"/>
                <w:left w:val="none" w:sz="0" w:space="0" w:color="auto"/>
                <w:bottom w:val="none" w:sz="0" w:space="0" w:color="auto"/>
                <w:right w:val="none" w:sz="0" w:space="0" w:color="auto"/>
              </w:divBdr>
            </w:div>
            <w:div w:id="943344907">
              <w:marLeft w:val="0"/>
              <w:marRight w:val="0"/>
              <w:marTop w:val="0"/>
              <w:marBottom w:val="0"/>
              <w:divBdr>
                <w:top w:val="none" w:sz="0" w:space="0" w:color="auto"/>
                <w:left w:val="none" w:sz="0" w:space="0" w:color="auto"/>
                <w:bottom w:val="none" w:sz="0" w:space="0" w:color="auto"/>
                <w:right w:val="none" w:sz="0" w:space="0" w:color="auto"/>
              </w:divBdr>
            </w:div>
            <w:div w:id="1071275906">
              <w:marLeft w:val="0"/>
              <w:marRight w:val="0"/>
              <w:marTop w:val="0"/>
              <w:marBottom w:val="0"/>
              <w:divBdr>
                <w:top w:val="none" w:sz="0" w:space="0" w:color="auto"/>
                <w:left w:val="none" w:sz="0" w:space="0" w:color="auto"/>
                <w:bottom w:val="none" w:sz="0" w:space="0" w:color="auto"/>
                <w:right w:val="none" w:sz="0" w:space="0" w:color="auto"/>
              </w:divBdr>
            </w:div>
            <w:div w:id="1512405445">
              <w:marLeft w:val="0"/>
              <w:marRight w:val="0"/>
              <w:marTop w:val="0"/>
              <w:marBottom w:val="0"/>
              <w:divBdr>
                <w:top w:val="none" w:sz="0" w:space="0" w:color="auto"/>
                <w:left w:val="none" w:sz="0" w:space="0" w:color="auto"/>
                <w:bottom w:val="none" w:sz="0" w:space="0" w:color="auto"/>
                <w:right w:val="none" w:sz="0" w:space="0" w:color="auto"/>
              </w:divBdr>
            </w:div>
            <w:div w:id="2028364425">
              <w:marLeft w:val="0"/>
              <w:marRight w:val="0"/>
              <w:marTop w:val="0"/>
              <w:marBottom w:val="0"/>
              <w:divBdr>
                <w:top w:val="none" w:sz="0" w:space="0" w:color="auto"/>
                <w:left w:val="none" w:sz="0" w:space="0" w:color="auto"/>
                <w:bottom w:val="none" w:sz="0" w:space="0" w:color="auto"/>
                <w:right w:val="none" w:sz="0" w:space="0" w:color="auto"/>
              </w:divBdr>
            </w:div>
          </w:divsChild>
        </w:div>
        <w:div w:id="497428549">
          <w:marLeft w:val="0"/>
          <w:marRight w:val="0"/>
          <w:marTop w:val="0"/>
          <w:marBottom w:val="0"/>
          <w:divBdr>
            <w:top w:val="none" w:sz="0" w:space="0" w:color="auto"/>
            <w:left w:val="none" w:sz="0" w:space="0" w:color="auto"/>
            <w:bottom w:val="none" w:sz="0" w:space="0" w:color="auto"/>
            <w:right w:val="none" w:sz="0" w:space="0" w:color="auto"/>
          </w:divBdr>
          <w:divsChild>
            <w:div w:id="261188694">
              <w:marLeft w:val="0"/>
              <w:marRight w:val="0"/>
              <w:marTop w:val="0"/>
              <w:marBottom w:val="0"/>
              <w:divBdr>
                <w:top w:val="none" w:sz="0" w:space="0" w:color="auto"/>
                <w:left w:val="none" w:sz="0" w:space="0" w:color="auto"/>
                <w:bottom w:val="none" w:sz="0" w:space="0" w:color="auto"/>
                <w:right w:val="none" w:sz="0" w:space="0" w:color="auto"/>
              </w:divBdr>
            </w:div>
            <w:div w:id="848956888">
              <w:marLeft w:val="0"/>
              <w:marRight w:val="0"/>
              <w:marTop w:val="0"/>
              <w:marBottom w:val="0"/>
              <w:divBdr>
                <w:top w:val="none" w:sz="0" w:space="0" w:color="auto"/>
                <w:left w:val="none" w:sz="0" w:space="0" w:color="auto"/>
                <w:bottom w:val="none" w:sz="0" w:space="0" w:color="auto"/>
                <w:right w:val="none" w:sz="0" w:space="0" w:color="auto"/>
              </w:divBdr>
            </w:div>
            <w:div w:id="1199054034">
              <w:marLeft w:val="0"/>
              <w:marRight w:val="0"/>
              <w:marTop w:val="0"/>
              <w:marBottom w:val="0"/>
              <w:divBdr>
                <w:top w:val="none" w:sz="0" w:space="0" w:color="auto"/>
                <w:left w:val="none" w:sz="0" w:space="0" w:color="auto"/>
                <w:bottom w:val="none" w:sz="0" w:space="0" w:color="auto"/>
                <w:right w:val="none" w:sz="0" w:space="0" w:color="auto"/>
              </w:divBdr>
            </w:div>
            <w:div w:id="1278214356">
              <w:marLeft w:val="0"/>
              <w:marRight w:val="0"/>
              <w:marTop w:val="0"/>
              <w:marBottom w:val="0"/>
              <w:divBdr>
                <w:top w:val="none" w:sz="0" w:space="0" w:color="auto"/>
                <w:left w:val="none" w:sz="0" w:space="0" w:color="auto"/>
                <w:bottom w:val="none" w:sz="0" w:space="0" w:color="auto"/>
                <w:right w:val="none" w:sz="0" w:space="0" w:color="auto"/>
              </w:divBdr>
            </w:div>
          </w:divsChild>
        </w:div>
        <w:div w:id="501773656">
          <w:marLeft w:val="0"/>
          <w:marRight w:val="0"/>
          <w:marTop w:val="0"/>
          <w:marBottom w:val="0"/>
          <w:divBdr>
            <w:top w:val="none" w:sz="0" w:space="0" w:color="auto"/>
            <w:left w:val="none" w:sz="0" w:space="0" w:color="auto"/>
            <w:bottom w:val="none" w:sz="0" w:space="0" w:color="auto"/>
            <w:right w:val="none" w:sz="0" w:space="0" w:color="auto"/>
          </w:divBdr>
        </w:div>
        <w:div w:id="511526538">
          <w:marLeft w:val="0"/>
          <w:marRight w:val="0"/>
          <w:marTop w:val="0"/>
          <w:marBottom w:val="0"/>
          <w:divBdr>
            <w:top w:val="none" w:sz="0" w:space="0" w:color="auto"/>
            <w:left w:val="none" w:sz="0" w:space="0" w:color="auto"/>
            <w:bottom w:val="none" w:sz="0" w:space="0" w:color="auto"/>
            <w:right w:val="none" w:sz="0" w:space="0" w:color="auto"/>
          </w:divBdr>
        </w:div>
        <w:div w:id="688600237">
          <w:marLeft w:val="0"/>
          <w:marRight w:val="0"/>
          <w:marTop w:val="0"/>
          <w:marBottom w:val="0"/>
          <w:divBdr>
            <w:top w:val="none" w:sz="0" w:space="0" w:color="auto"/>
            <w:left w:val="none" w:sz="0" w:space="0" w:color="auto"/>
            <w:bottom w:val="none" w:sz="0" w:space="0" w:color="auto"/>
            <w:right w:val="none" w:sz="0" w:space="0" w:color="auto"/>
          </w:divBdr>
        </w:div>
        <w:div w:id="742483660">
          <w:marLeft w:val="0"/>
          <w:marRight w:val="0"/>
          <w:marTop w:val="0"/>
          <w:marBottom w:val="0"/>
          <w:divBdr>
            <w:top w:val="none" w:sz="0" w:space="0" w:color="auto"/>
            <w:left w:val="none" w:sz="0" w:space="0" w:color="auto"/>
            <w:bottom w:val="none" w:sz="0" w:space="0" w:color="auto"/>
            <w:right w:val="none" w:sz="0" w:space="0" w:color="auto"/>
          </w:divBdr>
        </w:div>
        <w:div w:id="783310372">
          <w:marLeft w:val="0"/>
          <w:marRight w:val="0"/>
          <w:marTop w:val="0"/>
          <w:marBottom w:val="0"/>
          <w:divBdr>
            <w:top w:val="none" w:sz="0" w:space="0" w:color="auto"/>
            <w:left w:val="none" w:sz="0" w:space="0" w:color="auto"/>
            <w:bottom w:val="none" w:sz="0" w:space="0" w:color="auto"/>
            <w:right w:val="none" w:sz="0" w:space="0" w:color="auto"/>
          </w:divBdr>
        </w:div>
        <w:div w:id="797602062">
          <w:marLeft w:val="0"/>
          <w:marRight w:val="0"/>
          <w:marTop w:val="0"/>
          <w:marBottom w:val="0"/>
          <w:divBdr>
            <w:top w:val="none" w:sz="0" w:space="0" w:color="auto"/>
            <w:left w:val="none" w:sz="0" w:space="0" w:color="auto"/>
            <w:bottom w:val="none" w:sz="0" w:space="0" w:color="auto"/>
            <w:right w:val="none" w:sz="0" w:space="0" w:color="auto"/>
          </w:divBdr>
        </w:div>
        <w:div w:id="801732275">
          <w:marLeft w:val="0"/>
          <w:marRight w:val="0"/>
          <w:marTop w:val="0"/>
          <w:marBottom w:val="0"/>
          <w:divBdr>
            <w:top w:val="none" w:sz="0" w:space="0" w:color="auto"/>
            <w:left w:val="none" w:sz="0" w:space="0" w:color="auto"/>
            <w:bottom w:val="none" w:sz="0" w:space="0" w:color="auto"/>
            <w:right w:val="none" w:sz="0" w:space="0" w:color="auto"/>
          </w:divBdr>
        </w:div>
        <w:div w:id="806050755">
          <w:marLeft w:val="0"/>
          <w:marRight w:val="0"/>
          <w:marTop w:val="0"/>
          <w:marBottom w:val="0"/>
          <w:divBdr>
            <w:top w:val="none" w:sz="0" w:space="0" w:color="auto"/>
            <w:left w:val="none" w:sz="0" w:space="0" w:color="auto"/>
            <w:bottom w:val="none" w:sz="0" w:space="0" w:color="auto"/>
            <w:right w:val="none" w:sz="0" w:space="0" w:color="auto"/>
          </w:divBdr>
          <w:divsChild>
            <w:div w:id="91098532">
              <w:marLeft w:val="0"/>
              <w:marRight w:val="0"/>
              <w:marTop w:val="0"/>
              <w:marBottom w:val="0"/>
              <w:divBdr>
                <w:top w:val="none" w:sz="0" w:space="0" w:color="auto"/>
                <w:left w:val="none" w:sz="0" w:space="0" w:color="auto"/>
                <w:bottom w:val="none" w:sz="0" w:space="0" w:color="auto"/>
                <w:right w:val="none" w:sz="0" w:space="0" w:color="auto"/>
              </w:divBdr>
            </w:div>
            <w:div w:id="281959412">
              <w:marLeft w:val="0"/>
              <w:marRight w:val="0"/>
              <w:marTop w:val="0"/>
              <w:marBottom w:val="0"/>
              <w:divBdr>
                <w:top w:val="none" w:sz="0" w:space="0" w:color="auto"/>
                <w:left w:val="none" w:sz="0" w:space="0" w:color="auto"/>
                <w:bottom w:val="none" w:sz="0" w:space="0" w:color="auto"/>
                <w:right w:val="none" w:sz="0" w:space="0" w:color="auto"/>
              </w:divBdr>
            </w:div>
            <w:div w:id="687952392">
              <w:marLeft w:val="0"/>
              <w:marRight w:val="0"/>
              <w:marTop w:val="0"/>
              <w:marBottom w:val="0"/>
              <w:divBdr>
                <w:top w:val="none" w:sz="0" w:space="0" w:color="auto"/>
                <w:left w:val="none" w:sz="0" w:space="0" w:color="auto"/>
                <w:bottom w:val="none" w:sz="0" w:space="0" w:color="auto"/>
                <w:right w:val="none" w:sz="0" w:space="0" w:color="auto"/>
              </w:divBdr>
            </w:div>
            <w:div w:id="1892307303">
              <w:marLeft w:val="0"/>
              <w:marRight w:val="0"/>
              <w:marTop w:val="0"/>
              <w:marBottom w:val="0"/>
              <w:divBdr>
                <w:top w:val="none" w:sz="0" w:space="0" w:color="auto"/>
                <w:left w:val="none" w:sz="0" w:space="0" w:color="auto"/>
                <w:bottom w:val="none" w:sz="0" w:space="0" w:color="auto"/>
                <w:right w:val="none" w:sz="0" w:space="0" w:color="auto"/>
              </w:divBdr>
            </w:div>
          </w:divsChild>
        </w:div>
        <w:div w:id="958995050">
          <w:marLeft w:val="0"/>
          <w:marRight w:val="0"/>
          <w:marTop w:val="0"/>
          <w:marBottom w:val="0"/>
          <w:divBdr>
            <w:top w:val="none" w:sz="0" w:space="0" w:color="auto"/>
            <w:left w:val="none" w:sz="0" w:space="0" w:color="auto"/>
            <w:bottom w:val="none" w:sz="0" w:space="0" w:color="auto"/>
            <w:right w:val="none" w:sz="0" w:space="0" w:color="auto"/>
          </w:divBdr>
        </w:div>
        <w:div w:id="1033731051">
          <w:marLeft w:val="0"/>
          <w:marRight w:val="0"/>
          <w:marTop w:val="0"/>
          <w:marBottom w:val="0"/>
          <w:divBdr>
            <w:top w:val="none" w:sz="0" w:space="0" w:color="auto"/>
            <w:left w:val="none" w:sz="0" w:space="0" w:color="auto"/>
            <w:bottom w:val="none" w:sz="0" w:space="0" w:color="auto"/>
            <w:right w:val="none" w:sz="0" w:space="0" w:color="auto"/>
          </w:divBdr>
        </w:div>
        <w:div w:id="1053118968">
          <w:marLeft w:val="0"/>
          <w:marRight w:val="0"/>
          <w:marTop w:val="0"/>
          <w:marBottom w:val="0"/>
          <w:divBdr>
            <w:top w:val="none" w:sz="0" w:space="0" w:color="auto"/>
            <w:left w:val="none" w:sz="0" w:space="0" w:color="auto"/>
            <w:bottom w:val="none" w:sz="0" w:space="0" w:color="auto"/>
            <w:right w:val="none" w:sz="0" w:space="0" w:color="auto"/>
          </w:divBdr>
        </w:div>
        <w:div w:id="1169517625">
          <w:marLeft w:val="0"/>
          <w:marRight w:val="0"/>
          <w:marTop w:val="0"/>
          <w:marBottom w:val="0"/>
          <w:divBdr>
            <w:top w:val="none" w:sz="0" w:space="0" w:color="auto"/>
            <w:left w:val="none" w:sz="0" w:space="0" w:color="auto"/>
            <w:bottom w:val="none" w:sz="0" w:space="0" w:color="auto"/>
            <w:right w:val="none" w:sz="0" w:space="0" w:color="auto"/>
          </w:divBdr>
          <w:divsChild>
            <w:div w:id="192039133">
              <w:marLeft w:val="0"/>
              <w:marRight w:val="0"/>
              <w:marTop w:val="0"/>
              <w:marBottom w:val="0"/>
              <w:divBdr>
                <w:top w:val="none" w:sz="0" w:space="0" w:color="auto"/>
                <w:left w:val="none" w:sz="0" w:space="0" w:color="auto"/>
                <w:bottom w:val="none" w:sz="0" w:space="0" w:color="auto"/>
                <w:right w:val="none" w:sz="0" w:space="0" w:color="auto"/>
              </w:divBdr>
            </w:div>
            <w:div w:id="501700609">
              <w:marLeft w:val="0"/>
              <w:marRight w:val="0"/>
              <w:marTop w:val="0"/>
              <w:marBottom w:val="0"/>
              <w:divBdr>
                <w:top w:val="none" w:sz="0" w:space="0" w:color="auto"/>
                <w:left w:val="none" w:sz="0" w:space="0" w:color="auto"/>
                <w:bottom w:val="none" w:sz="0" w:space="0" w:color="auto"/>
                <w:right w:val="none" w:sz="0" w:space="0" w:color="auto"/>
              </w:divBdr>
            </w:div>
            <w:div w:id="1674450311">
              <w:marLeft w:val="0"/>
              <w:marRight w:val="0"/>
              <w:marTop w:val="0"/>
              <w:marBottom w:val="0"/>
              <w:divBdr>
                <w:top w:val="none" w:sz="0" w:space="0" w:color="auto"/>
                <w:left w:val="none" w:sz="0" w:space="0" w:color="auto"/>
                <w:bottom w:val="none" w:sz="0" w:space="0" w:color="auto"/>
                <w:right w:val="none" w:sz="0" w:space="0" w:color="auto"/>
              </w:divBdr>
            </w:div>
            <w:div w:id="2054764599">
              <w:marLeft w:val="0"/>
              <w:marRight w:val="0"/>
              <w:marTop w:val="0"/>
              <w:marBottom w:val="0"/>
              <w:divBdr>
                <w:top w:val="none" w:sz="0" w:space="0" w:color="auto"/>
                <w:left w:val="none" w:sz="0" w:space="0" w:color="auto"/>
                <w:bottom w:val="none" w:sz="0" w:space="0" w:color="auto"/>
                <w:right w:val="none" w:sz="0" w:space="0" w:color="auto"/>
              </w:divBdr>
            </w:div>
          </w:divsChild>
        </w:div>
        <w:div w:id="1204901029">
          <w:marLeft w:val="0"/>
          <w:marRight w:val="0"/>
          <w:marTop w:val="0"/>
          <w:marBottom w:val="0"/>
          <w:divBdr>
            <w:top w:val="none" w:sz="0" w:space="0" w:color="auto"/>
            <w:left w:val="none" w:sz="0" w:space="0" w:color="auto"/>
            <w:bottom w:val="none" w:sz="0" w:space="0" w:color="auto"/>
            <w:right w:val="none" w:sz="0" w:space="0" w:color="auto"/>
          </w:divBdr>
          <w:divsChild>
            <w:div w:id="970863876">
              <w:marLeft w:val="0"/>
              <w:marRight w:val="0"/>
              <w:marTop w:val="0"/>
              <w:marBottom w:val="0"/>
              <w:divBdr>
                <w:top w:val="none" w:sz="0" w:space="0" w:color="auto"/>
                <w:left w:val="none" w:sz="0" w:space="0" w:color="auto"/>
                <w:bottom w:val="none" w:sz="0" w:space="0" w:color="auto"/>
                <w:right w:val="none" w:sz="0" w:space="0" w:color="auto"/>
              </w:divBdr>
            </w:div>
            <w:div w:id="971904677">
              <w:marLeft w:val="0"/>
              <w:marRight w:val="0"/>
              <w:marTop w:val="0"/>
              <w:marBottom w:val="0"/>
              <w:divBdr>
                <w:top w:val="none" w:sz="0" w:space="0" w:color="auto"/>
                <w:left w:val="none" w:sz="0" w:space="0" w:color="auto"/>
                <w:bottom w:val="none" w:sz="0" w:space="0" w:color="auto"/>
                <w:right w:val="none" w:sz="0" w:space="0" w:color="auto"/>
              </w:divBdr>
            </w:div>
            <w:div w:id="1771656084">
              <w:marLeft w:val="0"/>
              <w:marRight w:val="0"/>
              <w:marTop w:val="0"/>
              <w:marBottom w:val="0"/>
              <w:divBdr>
                <w:top w:val="none" w:sz="0" w:space="0" w:color="auto"/>
                <w:left w:val="none" w:sz="0" w:space="0" w:color="auto"/>
                <w:bottom w:val="none" w:sz="0" w:space="0" w:color="auto"/>
                <w:right w:val="none" w:sz="0" w:space="0" w:color="auto"/>
              </w:divBdr>
            </w:div>
          </w:divsChild>
        </w:div>
        <w:div w:id="1356736331">
          <w:marLeft w:val="0"/>
          <w:marRight w:val="0"/>
          <w:marTop w:val="0"/>
          <w:marBottom w:val="0"/>
          <w:divBdr>
            <w:top w:val="none" w:sz="0" w:space="0" w:color="auto"/>
            <w:left w:val="none" w:sz="0" w:space="0" w:color="auto"/>
            <w:bottom w:val="none" w:sz="0" w:space="0" w:color="auto"/>
            <w:right w:val="none" w:sz="0" w:space="0" w:color="auto"/>
          </w:divBdr>
        </w:div>
        <w:div w:id="1388214967">
          <w:marLeft w:val="0"/>
          <w:marRight w:val="0"/>
          <w:marTop w:val="0"/>
          <w:marBottom w:val="0"/>
          <w:divBdr>
            <w:top w:val="none" w:sz="0" w:space="0" w:color="auto"/>
            <w:left w:val="none" w:sz="0" w:space="0" w:color="auto"/>
            <w:bottom w:val="none" w:sz="0" w:space="0" w:color="auto"/>
            <w:right w:val="none" w:sz="0" w:space="0" w:color="auto"/>
          </w:divBdr>
          <w:divsChild>
            <w:div w:id="114377028">
              <w:marLeft w:val="0"/>
              <w:marRight w:val="0"/>
              <w:marTop w:val="0"/>
              <w:marBottom w:val="0"/>
              <w:divBdr>
                <w:top w:val="none" w:sz="0" w:space="0" w:color="auto"/>
                <w:left w:val="none" w:sz="0" w:space="0" w:color="auto"/>
                <w:bottom w:val="none" w:sz="0" w:space="0" w:color="auto"/>
                <w:right w:val="none" w:sz="0" w:space="0" w:color="auto"/>
              </w:divBdr>
            </w:div>
            <w:div w:id="122236775">
              <w:marLeft w:val="0"/>
              <w:marRight w:val="0"/>
              <w:marTop w:val="0"/>
              <w:marBottom w:val="0"/>
              <w:divBdr>
                <w:top w:val="none" w:sz="0" w:space="0" w:color="auto"/>
                <w:left w:val="none" w:sz="0" w:space="0" w:color="auto"/>
                <w:bottom w:val="none" w:sz="0" w:space="0" w:color="auto"/>
                <w:right w:val="none" w:sz="0" w:space="0" w:color="auto"/>
              </w:divBdr>
            </w:div>
            <w:div w:id="832184104">
              <w:marLeft w:val="0"/>
              <w:marRight w:val="0"/>
              <w:marTop w:val="0"/>
              <w:marBottom w:val="0"/>
              <w:divBdr>
                <w:top w:val="none" w:sz="0" w:space="0" w:color="auto"/>
                <w:left w:val="none" w:sz="0" w:space="0" w:color="auto"/>
                <w:bottom w:val="none" w:sz="0" w:space="0" w:color="auto"/>
                <w:right w:val="none" w:sz="0" w:space="0" w:color="auto"/>
              </w:divBdr>
            </w:div>
            <w:div w:id="1182161501">
              <w:marLeft w:val="0"/>
              <w:marRight w:val="0"/>
              <w:marTop w:val="0"/>
              <w:marBottom w:val="0"/>
              <w:divBdr>
                <w:top w:val="none" w:sz="0" w:space="0" w:color="auto"/>
                <w:left w:val="none" w:sz="0" w:space="0" w:color="auto"/>
                <w:bottom w:val="none" w:sz="0" w:space="0" w:color="auto"/>
                <w:right w:val="none" w:sz="0" w:space="0" w:color="auto"/>
              </w:divBdr>
            </w:div>
            <w:div w:id="1720586235">
              <w:marLeft w:val="0"/>
              <w:marRight w:val="0"/>
              <w:marTop w:val="0"/>
              <w:marBottom w:val="0"/>
              <w:divBdr>
                <w:top w:val="none" w:sz="0" w:space="0" w:color="auto"/>
                <w:left w:val="none" w:sz="0" w:space="0" w:color="auto"/>
                <w:bottom w:val="none" w:sz="0" w:space="0" w:color="auto"/>
                <w:right w:val="none" w:sz="0" w:space="0" w:color="auto"/>
              </w:divBdr>
            </w:div>
          </w:divsChild>
        </w:div>
        <w:div w:id="1448160182">
          <w:marLeft w:val="0"/>
          <w:marRight w:val="0"/>
          <w:marTop w:val="0"/>
          <w:marBottom w:val="0"/>
          <w:divBdr>
            <w:top w:val="none" w:sz="0" w:space="0" w:color="auto"/>
            <w:left w:val="none" w:sz="0" w:space="0" w:color="auto"/>
            <w:bottom w:val="none" w:sz="0" w:space="0" w:color="auto"/>
            <w:right w:val="none" w:sz="0" w:space="0" w:color="auto"/>
          </w:divBdr>
        </w:div>
        <w:div w:id="1504933987">
          <w:marLeft w:val="0"/>
          <w:marRight w:val="0"/>
          <w:marTop w:val="0"/>
          <w:marBottom w:val="0"/>
          <w:divBdr>
            <w:top w:val="none" w:sz="0" w:space="0" w:color="auto"/>
            <w:left w:val="none" w:sz="0" w:space="0" w:color="auto"/>
            <w:bottom w:val="none" w:sz="0" w:space="0" w:color="auto"/>
            <w:right w:val="none" w:sz="0" w:space="0" w:color="auto"/>
          </w:divBdr>
        </w:div>
        <w:div w:id="1551727357">
          <w:marLeft w:val="0"/>
          <w:marRight w:val="0"/>
          <w:marTop w:val="0"/>
          <w:marBottom w:val="0"/>
          <w:divBdr>
            <w:top w:val="none" w:sz="0" w:space="0" w:color="auto"/>
            <w:left w:val="none" w:sz="0" w:space="0" w:color="auto"/>
            <w:bottom w:val="none" w:sz="0" w:space="0" w:color="auto"/>
            <w:right w:val="none" w:sz="0" w:space="0" w:color="auto"/>
          </w:divBdr>
        </w:div>
        <w:div w:id="1567302310">
          <w:marLeft w:val="0"/>
          <w:marRight w:val="0"/>
          <w:marTop w:val="0"/>
          <w:marBottom w:val="0"/>
          <w:divBdr>
            <w:top w:val="none" w:sz="0" w:space="0" w:color="auto"/>
            <w:left w:val="none" w:sz="0" w:space="0" w:color="auto"/>
            <w:bottom w:val="none" w:sz="0" w:space="0" w:color="auto"/>
            <w:right w:val="none" w:sz="0" w:space="0" w:color="auto"/>
          </w:divBdr>
        </w:div>
        <w:div w:id="1618101497">
          <w:marLeft w:val="0"/>
          <w:marRight w:val="0"/>
          <w:marTop w:val="0"/>
          <w:marBottom w:val="0"/>
          <w:divBdr>
            <w:top w:val="none" w:sz="0" w:space="0" w:color="auto"/>
            <w:left w:val="none" w:sz="0" w:space="0" w:color="auto"/>
            <w:bottom w:val="none" w:sz="0" w:space="0" w:color="auto"/>
            <w:right w:val="none" w:sz="0" w:space="0" w:color="auto"/>
          </w:divBdr>
        </w:div>
        <w:div w:id="1742288453">
          <w:marLeft w:val="0"/>
          <w:marRight w:val="0"/>
          <w:marTop w:val="0"/>
          <w:marBottom w:val="0"/>
          <w:divBdr>
            <w:top w:val="none" w:sz="0" w:space="0" w:color="auto"/>
            <w:left w:val="none" w:sz="0" w:space="0" w:color="auto"/>
            <w:bottom w:val="none" w:sz="0" w:space="0" w:color="auto"/>
            <w:right w:val="none" w:sz="0" w:space="0" w:color="auto"/>
          </w:divBdr>
        </w:div>
        <w:div w:id="1761682804">
          <w:marLeft w:val="0"/>
          <w:marRight w:val="0"/>
          <w:marTop w:val="0"/>
          <w:marBottom w:val="0"/>
          <w:divBdr>
            <w:top w:val="none" w:sz="0" w:space="0" w:color="auto"/>
            <w:left w:val="none" w:sz="0" w:space="0" w:color="auto"/>
            <w:bottom w:val="none" w:sz="0" w:space="0" w:color="auto"/>
            <w:right w:val="none" w:sz="0" w:space="0" w:color="auto"/>
          </w:divBdr>
        </w:div>
        <w:div w:id="1807504547">
          <w:marLeft w:val="0"/>
          <w:marRight w:val="0"/>
          <w:marTop w:val="0"/>
          <w:marBottom w:val="0"/>
          <w:divBdr>
            <w:top w:val="none" w:sz="0" w:space="0" w:color="auto"/>
            <w:left w:val="none" w:sz="0" w:space="0" w:color="auto"/>
            <w:bottom w:val="none" w:sz="0" w:space="0" w:color="auto"/>
            <w:right w:val="none" w:sz="0" w:space="0" w:color="auto"/>
          </w:divBdr>
        </w:div>
        <w:div w:id="1827936191">
          <w:marLeft w:val="0"/>
          <w:marRight w:val="0"/>
          <w:marTop w:val="0"/>
          <w:marBottom w:val="0"/>
          <w:divBdr>
            <w:top w:val="none" w:sz="0" w:space="0" w:color="auto"/>
            <w:left w:val="none" w:sz="0" w:space="0" w:color="auto"/>
            <w:bottom w:val="none" w:sz="0" w:space="0" w:color="auto"/>
            <w:right w:val="none" w:sz="0" w:space="0" w:color="auto"/>
          </w:divBdr>
        </w:div>
        <w:div w:id="1829512712">
          <w:marLeft w:val="0"/>
          <w:marRight w:val="0"/>
          <w:marTop w:val="0"/>
          <w:marBottom w:val="0"/>
          <w:divBdr>
            <w:top w:val="none" w:sz="0" w:space="0" w:color="auto"/>
            <w:left w:val="none" w:sz="0" w:space="0" w:color="auto"/>
            <w:bottom w:val="none" w:sz="0" w:space="0" w:color="auto"/>
            <w:right w:val="none" w:sz="0" w:space="0" w:color="auto"/>
          </w:divBdr>
        </w:div>
        <w:div w:id="1858888685">
          <w:marLeft w:val="0"/>
          <w:marRight w:val="0"/>
          <w:marTop w:val="0"/>
          <w:marBottom w:val="0"/>
          <w:divBdr>
            <w:top w:val="none" w:sz="0" w:space="0" w:color="auto"/>
            <w:left w:val="none" w:sz="0" w:space="0" w:color="auto"/>
            <w:bottom w:val="none" w:sz="0" w:space="0" w:color="auto"/>
            <w:right w:val="none" w:sz="0" w:space="0" w:color="auto"/>
          </w:divBdr>
        </w:div>
        <w:div w:id="1944023267">
          <w:marLeft w:val="0"/>
          <w:marRight w:val="0"/>
          <w:marTop w:val="0"/>
          <w:marBottom w:val="0"/>
          <w:divBdr>
            <w:top w:val="none" w:sz="0" w:space="0" w:color="auto"/>
            <w:left w:val="none" w:sz="0" w:space="0" w:color="auto"/>
            <w:bottom w:val="none" w:sz="0" w:space="0" w:color="auto"/>
            <w:right w:val="none" w:sz="0" w:space="0" w:color="auto"/>
          </w:divBdr>
        </w:div>
        <w:div w:id="1980917827">
          <w:marLeft w:val="0"/>
          <w:marRight w:val="0"/>
          <w:marTop w:val="0"/>
          <w:marBottom w:val="0"/>
          <w:divBdr>
            <w:top w:val="none" w:sz="0" w:space="0" w:color="auto"/>
            <w:left w:val="none" w:sz="0" w:space="0" w:color="auto"/>
            <w:bottom w:val="none" w:sz="0" w:space="0" w:color="auto"/>
            <w:right w:val="none" w:sz="0" w:space="0" w:color="auto"/>
          </w:divBdr>
        </w:div>
        <w:div w:id="2088646853">
          <w:marLeft w:val="0"/>
          <w:marRight w:val="0"/>
          <w:marTop w:val="0"/>
          <w:marBottom w:val="0"/>
          <w:divBdr>
            <w:top w:val="none" w:sz="0" w:space="0" w:color="auto"/>
            <w:left w:val="none" w:sz="0" w:space="0" w:color="auto"/>
            <w:bottom w:val="none" w:sz="0" w:space="0" w:color="auto"/>
            <w:right w:val="none" w:sz="0" w:space="0" w:color="auto"/>
          </w:divBdr>
        </w:div>
        <w:div w:id="2094693485">
          <w:marLeft w:val="0"/>
          <w:marRight w:val="0"/>
          <w:marTop w:val="0"/>
          <w:marBottom w:val="0"/>
          <w:divBdr>
            <w:top w:val="none" w:sz="0" w:space="0" w:color="auto"/>
            <w:left w:val="none" w:sz="0" w:space="0" w:color="auto"/>
            <w:bottom w:val="none" w:sz="0" w:space="0" w:color="auto"/>
            <w:right w:val="none" w:sz="0" w:space="0" w:color="auto"/>
          </w:divBdr>
        </w:div>
        <w:div w:id="2122793801">
          <w:marLeft w:val="0"/>
          <w:marRight w:val="0"/>
          <w:marTop w:val="0"/>
          <w:marBottom w:val="0"/>
          <w:divBdr>
            <w:top w:val="none" w:sz="0" w:space="0" w:color="auto"/>
            <w:left w:val="none" w:sz="0" w:space="0" w:color="auto"/>
            <w:bottom w:val="none" w:sz="0" w:space="0" w:color="auto"/>
            <w:right w:val="none" w:sz="0" w:space="0" w:color="auto"/>
          </w:divBdr>
        </w:div>
        <w:div w:id="2128697532">
          <w:marLeft w:val="0"/>
          <w:marRight w:val="0"/>
          <w:marTop w:val="0"/>
          <w:marBottom w:val="0"/>
          <w:divBdr>
            <w:top w:val="none" w:sz="0" w:space="0" w:color="auto"/>
            <w:left w:val="none" w:sz="0" w:space="0" w:color="auto"/>
            <w:bottom w:val="none" w:sz="0" w:space="0" w:color="auto"/>
            <w:right w:val="none" w:sz="0" w:space="0" w:color="auto"/>
          </w:divBdr>
        </w:div>
        <w:div w:id="2139912343">
          <w:marLeft w:val="0"/>
          <w:marRight w:val="0"/>
          <w:marTop w:val="0"/>
          <w:marBottom w:val="0"/>
          <w:divBdr>
            <w:top w:val="none" w:sz="0" w:space="0" w:color="auto"/>
            <w:left w:val="none" w:sz="0" w:space="0" w:color="auto"/>
            <w:bottom w:val="none" w:sz="0" w:space="0" w:color="auto"/>
            <w:right w:val="none" w:sz="0" w:space="0" w:color="auto"/>
          </w:divBdr>
          <w:divsChild>
            <w:div w:id="226066277">
              <w:marLeft w:val="0"/>
              <w:marRight w:val="0"/>
              <w:marTop w:val="0"/>
              <w:marBottom w:val="0"/>
              <w:divBdr>
                <w:top w:val="none" w:sz="0" w:space="0" w:color="auto"/>
                <w:left w:val="none" w:sz="0" w:space="0" w:color="auto"/>
                <w:bottom w:val="none" w:sz="0" w:space="0" w:color="auto"/>
                <w:right w:val="none" w:sz="0" w:space="0" w:color="auto"/>
              </w:divBdr>
            </w:div>
            <w:div w:id="837304752">
              <w:marLeft w:val="0"/>
              <w:marRight w:val="0"/>
              <w:marTop w:val="0"/>
              <w:marBottom w:val="0"/>
              <w:divBdr>
                <w:top w:val="none" w:sz="0" w:space="0" w:color="auto"/>
                <w:left w:val="none" w:sz="0" w:space="0" w:color="auto"/>
                <w:bottom w:val="none" w:sz="0" w:space="0" w:color="auto"/>
                <w:right w:val="none" w:sz="0" w:space="0" w:color="auto"/>
              </w:divBdr>
            </w:div>
            <w:div w:id="981421511">
              <w:marLeft w:val="0"/>
              <w:marRight w:val="0"/>
              <w:marTop w:val="0"/>
              <w:marBottom w:val="0"/>
              <w:divBdr>
                <w:top w:val="none" w:sz="0" w:space="0" w:color="auto"/>
                <w:left w:val="none" w:sz="0" w:space="0" w:color="auto"/>
                <w:bottom w:val="none" w:sz="0" w:space="0" w:color="auto"/>
                <w:right w:val="none" w:sz="0" w:space="0" w:color="auto"/>
              </w:divBdr>
            </w:div>
            <w:div w:id="1239289701">
              <w:marLeft w:val="0"/>
              <w:marRight w:val="0"/>
              <w:marTop w:val="0"/>
              <w:marBottom w:val="0"/>
              <w:divBdr>
                <w:top w:val="none" w:sz="0" w:space="0" w:color="auto"/>
                <w:left w:val="none" w:sz="0" w:space="0" w:color="auto"/>
                <w:bottom w:val="none" w:sz="0" w:space="0" w:color="auto"/>
                <w:right w:val="none" w:sz="0" w:space="0" w:color="auto"/>
              </w:divBdr>
            </w:div>
            <w:div w:id="200889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43316">
      <w:bodyDiv w:val="1"/>
      <w:marLeft w:val="0"/>
      <w:marRight w:val="0"/>
      <w:marTop w:val="0"/>
      <w:marBottom w:val="0"/>
      <w:divBdr>
        <w:top w:val="none" w:sz="0" w:space="0" w:color="auto"/>
        <w:left w:val="none" w:sz="0" w:space="0" w:color="auto"/>
        <w:bottom w:val="none" w:sz="0" w:space="0" w:color="auto"/>
        <w:right w:val="none" w:sz="0" w:space="0" w:color="auto"/>
      </w:divBdr>
      <w:divsChild>
        <w:div w:id="408889839">
          <w:marLeft w:val="0"/>
          <w:marRight w:val="0"/>
          <w:marTop w:val="0"/>
          <w:marBottom w:val="0"/>
          <w:divBdr>
            <w:top w:val="none" w:sz="0" w:space="0" w:color="auto"/>
            <w:left w:val="none" w:sz="0" w:space="0" w:color="auto"/>
            <w:bottom w:val="none" w:sz="0" w:space="0" w:color="auto"/>
            <w:right w:val="none" w:sz="0" w:space="0" w:color="auto"/>
          </w:divBdr>
          <w:divsChild>
            <w:div w:id="1973172515">
              <w:marLeft w:val="0"/>
              <w:marRight w:val="0"/>
              <w:marTop w:val="0"/>
              <w:marBottom w:val="0"/>
              <w:divBdr>
                <w:top w:val="none" w:sz="0" w:space="0" w:color="auto"/>
                <w:left w:val="none" w:sz="0" w:space="0" w:color="auto"/>
                <w:bottom w:val="none" w:sz="0" w:space="0" w:color="auto"/>
                <w:right w:val="none" w:sz="0" w:space="0" w:color="auto"/>
              </w:divBdr>
            </w:div>
          </w:divsChild>
        </w:div>
        <w:div w:id="834149202">
          <w:marLeft w:val="0"/>
          <w:marRight w:val="0"/>
          <w:marTop w:val="0"/>
          <w:marBottom w:val="0"/>
          <w:divBdr>
            <w:top w:val="none" w:sz="0" w:space="0" w:color="auto"/>
            <w:left w:val="none" w:sz="0" w:space="0" w:color="auto"/>
            <w:bottom w:val="none" w:sz="0" w:space="0" w:color="auto"/>
            <w:right w:val="none" w:sz="0" w:space="0" w:color="auto"/>
          </w:divBdr>
          <w:divsChild>
            <w:div w:id="1005403535">
              <w:marLeft w:val="0"/>
              <w:marRight w:val="0"/>
              <w:marTop w:val="0"/>
              <w:marBottom w:val="0"/>
              <w:divBdr>
                <w:top w:val="none" w:sz="0" w:space="0" w:color="auto"/>
                <w:left w:val="none" w:sz="0" w:space="0" w:color="auto"/>
                <w:bottom w:val="none" w:sz="0" w:space="0" w:color="auto"/>
                <w:right w:val="none" w:sz="0" w:space="0" w:color="auto"/>
              </w:divBdr>
            </w:div>
          </w:divsChild>
        </w:div>
        <w:div w:id="1157234861">
          <w:marLeft w:val="0"/>
          <w:marRight w:val="0"/>
          <w:marTop w:val="0"/>
          <w:marBottom w:val="0"/>
          <w:divBdr>
            <w:top w:val="none" w:sz="0" w:space="0" w:color="auto"/>
            <w:left w:val="none" w:sz="0" w:space="0" w:color="auto"/>
            <w:bottom w:val="none" w:sz="0" w:space="0" w:color="auto"/>
            <w:right w:val="none" w:sz="0" w:space="0" w:color="auto"/>
          </w:divBdr>
          <w:divsChild>
            <w:div w:id="134416193">
              <w:marLeft w:val="0"/>
              <w:marRight w:val="0"/>
              <w:marTop w:val="0"/>
              <w:marBottom w:val="0"/>
              <w:divBdr>
                <w:top w:val="none" w:sz="0" w:space="0" w:color="auto"/>
                <w:left w:val="none" w:sz="0" w:space="0" w:color="auto"/>
                <w:bottom w:val="none" w:sz="0" w:space="0" w:color="auto"/>
                <w:right w:val="none" w:sz="0" w:space="0" w:color="auto"/>
              </w:divBdr>
            </w:div>
            <w:div w:id="821696517">
              <w:marLeft w:val="0"/>
              <w:marRight w:val="0"/>
              <w:marTop w:val="0"/>
              <w:marBottom w:val="0"/>
              <w:divBdr>
                <w:top w:val="none" w:sz="0" w:space="0" w:color="auto"/>
                <w:left w:val="none" w:sz="0" w:space="0" w:color="auto"/>
                <w:bottom w:val="none" w:sz="0" w:space="0" w:color="auto"/>
                <w:right w:val="none" w:sz="0" w:space="0" w:color="auto"/>
              </w:divBdr>
            </w:div>
            <w:div w:id="2049643829">
              <w:marLeft w:val="0"/>
              <w:marRight w:val="0"/>
              <w:marTop w:val="0"/>
              <w:marBottom w:val="0"/>
              <w:divBdr>
                <w:top w:val="none" w:sz="0" w:space="0" w:color="auto"/>
                <w:left w:val="none" w:sz="0" w:space="0" w:color="auto"/>
                <w:bottom w:val="none" w:sz="0" w:space="0" w:color="auto"/>
                <w:right w:val="none" w:sz="0" w:space="0" w:color="auto"/>
              </w:divBdr>
            </w:div>
            <w:div w:id="2097700931">
              <w:marLeft w:val="0"/>
              <w:marRight w:val="0"/>
              <w:marTop w:val="0"/>
              <w:marBottom w:val="0"/>
              <w:divBdr>
                <w:top w:val="none" w:sz="0" w:space="0" w:color="auto"/>
                <w:left w:val="none" w:sz="0" w:space="0" w:color="auto"/>
                <w:bottom w:val="none" w:sz="0" w:space="0" w:color="auto"/>
                <w:right w:val="none" w:sz="0" w:space="0" w:color="auto"/>
              </w:divBdr>
            </w:div>
          </w:divsChild>
        </w:div>
        <w:div w:id="1748727428">
          <w:marLeft w:val="0"/>
          <w:marRight w:val="0"/>
          <w:marTop w:val="0"/>
          <w:marBottom w:val="0"/>
          <w:divBdr>
            <w:top w:val="none" w:sz="0" w:space="0" w:color="auto"/>
            <w:left w:val="none" w:sz="0" w:space="0" w:color="auto"/>
            <w:bottom w:val="none" w:sz="0" w:space="0" w:color="auto"/>
            <w:right w:val="none" w:sz="0" w:space="0" w:color="auto"/>
          </w:divBdr>
          <w:divsChild>
            <w:div w:id="982737509">
              <w:marLeft w:val="0"/>
              <w:marRight w:val="0"/>
              <w:marTop w:val="0"/>
              <w:marBottom w:val="0"/>
              <w:divBdr>
                <w:top w:val="none" w:sz="0" w:space="0" w:color="auto"/>
                <w:left w:val="none" w:sz="0" w:space="0" w:color="auto"/>
                <w:bottom w:val="none" w:sz="0" w:space="0" w:color="auto"/>
                <w:right w:val="none" w:sz="0" w:space="0" w:color="auto"/>
              </w:divBdr>
            </w:div>
          </w:divsChild>
        </w:div>
        <w:div w:id="1757481190">
          <w:marLeft w:val="0"/>
          <w:marRight w:val="0"/>
          <w:marTop w:val="0"/>
          <w:marBottom w:val="0"/>
          <w:divBdr>
            <w:top w:val="none" w:sz="0" w:space="0" w:color="auto"/>
            <w:left w:val="none" w:sz="0" w:space="0" w:color="auto"/>
            <w:bottom w:val="none" w:sz="0" w:space="0" w:color="auto"/>
            <w:right w:val="none" w:sz="0" w:space="0" w:color="auto"/>
          </w:divBdr>
          <w:divsChild>
            <w:div w:id="305280570">
              <w:marLeft w:val="0"/>
              <w:marRight w:val="0"/>
              <w:marTop w:val="0"/>
              <w:marBottom w:val="0"/>
              <w:divBdr>
                <w:top w:val="none" w:sz="0" w:space="0" w:color="auto"/>
                <w:left w:val="none" w:sz="0" w:space="0" w:color="auto"/>
                <w:bottom w:val="none" w:sz="0" w:space="0" w:color="auto"/>
                <w:right w:val="none" w:sz="0" w:space="0" w:color="auto"/>
              </w:divBdr>
            </w:div>
            <w:div w:id="156402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438787">
      <w:bodyDiv w:val="1"/>
      <w:marLeft w:val="0"/>
      <w:marRight w:val="0"/>
      <w:marTop w:val="0"/>
      <w:marBottom w:val="0"/>
      <w:divBdr>
        <w:top w:val="none" w:sz="0" w:space="0" w:color="auto"/>
        <w:left w:val="none" w:sz="0" w:space="0" w:color="auto"/>
        <w:bottom w:val="none" w:sz="0" w:space="0" w:color="auto"/>
        <w:right w:val="none" w:sz="0" w:space="0" w:color="auto"/>
      </w:divBdr>
      <w:divsChild>
        <w:div w:id="274556901">
          <w:marLeft w:val="0"/>
          <w:marRight w:val="0"/>
          <w:marTop w:val="0"/>
          <w:marBottom w:val="0"/>
          <w:divBdr>
            <w:top w:val="none" w:sz="0" w:space="0" w:color="auto"/>
            <w:left w:val="none" w:sz="0" w:space="0" w:color="auto"/>
            <w:bottom w:val="none" w:sz="0" w:space="0" w:color="auto"/>
            <w:right w:val="none" w:sz="0" w:space="0" w:color="auto"/>
          </w:divBdr>
        </w:div>
        <w:div w:id="568810839">
          <w:marLeft w:val="0"/>
          <w:marRight w:val="0"/>
          <w:marTop w:val="0"/>
          <w:marBottom w:val="0"/>
          <w:divBdr>
            <w:top w:val="none" w:sz="0" w:space="0" w:color="auto"/>
            <w:left w:val="none" w:sz="0" w:space="0" w:color="auto"/>
            <w:bottom w:val="none" w:sz="0" w:space="0" w:color="auto"/>
            <w:right w:val="none" w:sz="0" w:space="0" w:color="auto"/>
          </w:divBdr>
        </w:div>
        <w:div w:id="849178857">
          <w:marLeft w:val="0"/>
          <w:marRight w:val="0"/>
          <w:marTop w:val="0"/>
          <w:marBottom w:val="0"/>
          <w:divBdr>
            <w:top w:val="none" w:sz="0" w:space="0" w:color="auto"/>
            <w:left w:val="none" w:sz="0" w:space="0" w:color="auto"/>
            <w:bottom w:val="none" w:sz="0" w:space="0" w:color="auto"/>
            <w:right w:val="none" w:sz="0" w:space="0" w:color="auto"/>
          </w:divBdr>
        </w:div>
        <w:div w:id="962811274">
          <w:marLeft w:val="0"/>
          <w:marRight w:val="0"/>
          <w:marTop w:val="0"/>
          <w:marBottom w:val="0"/>
          <w:divBdr>
            <w:top w:val="none" w:sz="0" w:space="0" w:color="auto"/>
            <w:left w:val="none" w:sz="0" w:space="0" w:color="auto"/>
            <w:bottom w:val="none" w:sz="0" w:space="0" w:color="auto"/>
            <w:right w:val="none" w:sz="0" w:space="0" w:color="auto"/>
          </w:divBdr>
        </w:div>
        <w:div w:id="1326779318">
          <w:marLeft w:val="0"/>
          <w:marRight w:val="0"/>
          <w:marTop w:val="0"/>
          <w:marBottom w:val="0"/>
          <w:divBdr>
            <w:top w:val="none" w:sz="0" w:space="0" w:color="auto"/>
            <w:left w:val="none" w:sz="0" w:space="0" w:color="auto"/>
            <w:bottom w:val="none" w:sz="0" w:space="0" w:color="auto"/>
            <w:right w:val="none" w:sz="0" w:space="0" w:color="auto"/>
          </w:divBdr>
        </w:div>
        <w:div w:id="1427339265">
          <w:marLeft w:val="0"/>
          <w:marRight w:val="0"/>
          <w:marTop w:val="0"/>
          <w:marBottom w:val="0"/>
          <w:divBdr>
            <w:top w:val="none" w:sz="0" w:space="0" w:color="auto"/>
            <w:left w:val="none" w:sz="0" w:space="0" w:color="auto"/>
            <w:bottom w:val="none" w:sz="0" w:space="0" w:color="auto"/>
            <w:right w:val="none" w:sz="0" w:space="0" w:color="auto"/>
          </w:divBdr>
        </w:div>
        <w:div w:id="1541286390">
          <w:marLeft w:val="0"/>
          <w:marRight w:val="0"/>
          <w:marTop w:val="0"/>
          <w:marBottom w:val="0"/>
          <w:divBdr>
            <w:top w:val="none" w:sz="0" w:space="0" w:color="auto"/>
            <w:left w:val="none" w:sz="0" w:space="0" w:color="auto"/>
            <w:bottom w:val="none" w:sz="0" w:space="0" w:color="auto"/>
            <w:right w:val="none" w:sz="0" w:space="0" w:color="auto"/>
          </w:divBdr>
        </w:div>
        <w:div w:id="1572539892">
          <w:marLeft w:val="0"/>
          <w:marRight w:val="0"/>
          <w:marTop w:val="0"/>
          <w:marBottom w:val="0"/>
          <w:divBdr>
            <w:top w:val="none" w:sz="0" w:space="0" w:color="auto"/>
            <w:left w:val="none" w:sz="0" w:space="0" w:color="auto"/>
            <w:bottom w:val="none" w:sz="0" w:space="0" w:color="auto"/>
            <w:right w:val="none" w:sz="0" w:space="0" w:color="auto"/>
          </w:divBdr>
        </w:div>
        <w:div w:id="1585259557">
          <w:marLeft w:val="0"/>
          <w:marRight w:val="0"/>
          <w:marTop w:val="0"/>
          <w:marBottom w:val="0"/>
          <w:divBdr>
            <w:top w:val="none" w:sz="0" w:space="0" w:color="auto"/>
            <w:left w:val="none" w:sz="0" w:space="0" w:color="auto"/>
            <w:bottom w:val="none" w:sz="0" w:space="0" w:color="auto"/>
            <w:right w:val="none" w:sz="0" w:space="0" w:color="auto"/>
          </w:divBdr>
        </w:div>
        <w:div w:id="1628394956">
          <w:marLeft w:val="0"/>
          <w:marRight w:val="0"/>
          <w:marTop w:val="0"/>
          <w:marBottom w:val="0"/>
          <w:divBdr>
            <w:top w:val="none" w:sz="0" w:space="0" w:color="auto"/>
            <w:left w:val="none" w:sz="0" w:space="0" w:color="auto"/>
            <w:bottom w:val="none" w:sz="0" w:space="0" w:color="auto"/>
            <w:right w:val="none" w:sz="0" w:space="0" w:color="auto"/>
          </w:divBdr>
        </w:div>
        <w:div w:id="1888952968">
          <w:marLeft w:val="0"/>
          <w:marRight w:val="0"/>
          <w:marTop w:val="0"/>
          <w:marBottom w:val="0"/>
          <w:divBdr>
            <w:top w:val="none" w:sz="0" w:space="0" w:color="auto"/>
            <w:left w:val="none" w:sz="0" w:space="0" w:color="auto"/>
            <w:bottom w:val="none" w:sz="0" w:space="0" w:color="auto"/>
            <w:right w:val="none" w:sz="0" w:space="0" w:color="auto"/>
          </w:divBdr>
        </w:div>
      </w:divsChild>
    </w:div>
    <w:div w:id="650404225">
      <w:bodyDiv w:val="1"/>
      <w:marLeft w:val="0"/>
      <w:marRight w:val="0"/>
      <w:marTop w:val="0"/>
      <w:marBottom w:val="0"/>
      <w:divBdr>
        <w:top w:val="none" w:sz="0" w:space="0" w:color="auto"/>
        <w:left w:val="none" w:sz="0" w:space="0" w:color="auto"/>
        <w:bottom w:val="none" w:sz="0" w:space="0" w:color="auto"/>
        <w:right w:val="none" w:sz="0" w:space="0" w:color="auto"/>
      </w:divBdr>
    </w:div>
    <w:div w:id="807085921">
      <w:bodyDiv w:val="1"/>
      <w:marLeft w:val="0"/>
      <w:marRight w:val="0"/>
      <w:marTop w:val="0"/>
      <w:marBottom w:val="0"/>
      <w:divBdr>
        <w:top w:val="none" w:sz="0" w:space="0" w:color="auto"/>
        <w:left w:val="none" w:sz="0" w:space="0" w:color="auto"/>
        <w:bottom w:val="none" w:sz="0" w:space="0" w:color="auto"/>
        <w:right w:val="none" w:sz="0" w:space="0" w:color="auto"/>
      </w:divBdr>
      <w:divsChild>
        <w:div w:id="28000005">
          <w:marLeft w:val="0"/>
          <w:marRight w:val="0"/>
          <w:marTop w:val="0"/>
          <w:marBottom w:val="0"/>
          <w:divBdr>
            <w:top w:val="none" w:sz="0" w:space="0" w:color="auto"/>
            <w:left w:val="none" w:sz="0" w:space="0" w:color="auto"/>
            <w:bottom w:val="none" w:sz="0" w:space="0" w:color="auto"/>
            <w:right w:val="none" w:sz="0" w:space="0" w:color="auto"/>
          </w:divBdr>
          <w:divsChild>
            <w:div w:id="43991605">
              <w:marLeft w:val="0"/>
              <w:marRight w:val="0"/>
              <w:marTop w:val="0"/>
              <w:marBottom w:val="0"/>
              <w:divBdr>
                <w:top w:val="none" w:sz="0" w:space="0" w:color="auto"/>
                <w:left w:val="none" w:sz="0" w:space="0" w:color="auto"/>
                <w:bottom w:val="none" w:sz="0" w:space="0" w:color="auto"/>
                <w:right w:val="none" w:sz="0" w:space="0" w:color="auto"/>
              </w:divBdr>
            </w:div>
            <w:div w:id="1202792383">
              <w:marLeft w:val="0"/>
              <w:marRight w:val="0"/>
              <w:marTop w:val="0"/>
              <w:marBottom w:val="0"/>
              <w:divBdr>
                <w:top w:val="none" w:sz="0" w:space="0" w:color="auto"/>
                <w:left w:val="none" w:sz="0" w:space="0" w:color="auto"/>
                <w:bottom w:val="none" w:sz="0" w:space="0" w:color="auto"/>
                <w:right w:val="none" w:sz="0" w:space="0" w:color="auto"/>
              </w:divBdr>
            </w:div>
            <w:div w:id="1718429515">
              <w:marLeft w:val="0"/>
              <w:marRight w:val="0"/>
              <w:marTop w:val="0"/>
              <w:marBottom w:val="0"/>
              <w:divBdr>
                <w:top w:val="none" w:sz="0" w:space="0" w:color="auto"/>
                <w:left w:val="none" w:sz="0" w:space="0" w:color="auto"/>
                <w:bottom w:val="none" w:sz="0" w:space="0" w:color="auto"/>
                <w:right w:val="none" w:sz="0" w:space="0" w:color="auto"/>
              </w:divBdr>
            </w:div>
            <w:div w:id="1812747600">
              <w:marLeft w:val="0"/>
              <w:marRight w:val="0"/>
              <w:marTop w:val="0"/>
              <w:marBottom w:val="0"/>
              <w:divBdr>
                <w:top w:val="none" w:sz="0" w:space="0" w:color="auto"/>
                <w:left w:val="none" w:sz="0" w:space="0" w:color="auto"/>
                <w:bottom w:val="none" w:sz="0" w:space="0" w:color="auto"/>
                <w:right w:val="none" w:sz="0" w:space="0" w:color="auto"/>
              </w:divBdr>
            </w:div>
            <w:div w:id="1991015298">
              <w:marLeft w:val="0"/>
              <w:marRight w:val="0"/>
              <w:marTop w:val="0"/>
              <w:marBottom w:val="0"/>
              <w:divBdr>
                <w:top w:val="none" w:sz="0" w:space="0" w:color="auto"/>
                <w:left w:val="none" w:sz="0" w:space="0" w:color="auto"/>
                <w:bottom w:val="none" w:sz="0" w:space="0" w:color="auto"/>
                <w:right w:val="none" w:sz="0" w:space="0" w:color="auto"/>
              </w:divBdr>
            </w:div>
          </w:divsChild>
        </w:div>
        <w:div w:id="498279903">
          <w:marLeft w:val="0"/>
          <w:marRight w:val="0"/>
          <w:marTop w:val="0"/>
          <w:marBottom w:val="0"/>
          <w:divBdr>
            <w:top w:val="none" w:sz="0" w:space="0" w:color="auto"/>
            <w:left w:val="none" w:sz="0" w:space="0" w:color="auto"/>
            <w:bottom w:val="none" w:sz="0" w:space="0" w:color="auto"/>
            <w:right w:val="none" w:sz="0" w:space="0" w:color="auto"/>
          </w:divBdr>
        </w:div>
        <w:div w:id="593369332">
          <w:marLeft w:val="0"/>
          <w:marRight w:val="0"/>
          <w:marTop w:val="0"/>
          <w:marBottom w:val="0"/>
          <w:divBdr>
            <w:top w:val="none" w:sz="0" w:space="0" w:color="auto"/>
            <w:left w:val="none" w:sz="0" w:space="0" w:color="auto"/>
            <w:bottom w:val="none" w:sz="0" w:space="0" w:color="auto"/>
            <w:right w:val="none" w:sz="0" w:space="0" w:color="auto"/>
          </w:divBdr>
        </w:div>
        <w:div w:id="875432745">
          <w:marLeft w:val="0"/>
          <w:marRight w:val="0"/>
          <w:marTop w:val="0"/>
          <w:marBottom w:val="0"/>
          <w:divBdr>
            <w:top w:val="none" w:sz="0" w:space="0" w:color="auto"/>
            <w:left w:val="none" w:sz="0" w:space="0" w:color="auto"/>
            <w:bottom w:val="none" w:sz="0" w:space="0" w:color="auto"/>
            <w:right w:val="none" w:sz="0" w:space="0" w:color="auto"/>
          </w:divBdr>
          <w:divsChild>
            <w:div w:id="86318875">
              <w:marLeft w:val="0"/>
              <w:marRight w:val="0"/>
              <w:marTop w:val="0"/>
              <w:marBottom w:val="0"/>
              <w:divBdr>
                <w:top w:val="none" w:sz="0" w:space="0" w:color="auto"/>
                <w:left w:val="none" w:sz="0" w:space="0" w:color="auto"/>
                <w:bottom w:val="none" w:sz="0" w:space="0" w:color="auto"/>
                <w:right w:val="none" w:sz="0" w:space="0" w:color="auto"/>
              </w:divBdr>
            </w:div>
            <w:div w:id="1348411095">
              <w:marLeft w:val="0"/>
              <w:marRight w:val="0"/>
              <w:marTop w:val="0"/>
              <w:marBottom w:val="0"/>
              <w:divBdr>
                <w:top w:val="none" w:sz="0" w:space="0" w:color="auto"/>
                <w:left w:val="none" w:sz="0" w:space="0" w:color="auto"/>
                <w:bottom w:val="none" w:sz="0" w:space="0" w:color="auto"/>
                <w:right w:val="none" w:sz="0" w:space="0" w:color="auto"/>
              </w:divBdr>
            </w:div>
          </w:divsChild>
        </w:div>
        <w:div w:id="1512062189">
          <w:marLeft w:val="0"/>
          <w:marRight w:val="0"/>
          <w:marTop w:val="0"/>
          <w:marBottom w:val="0"/>
          <w:divBdr>
            <w:top w:val="none" w:sz="0" w:space="0" w:color="auto"/>
            <w:left w:val="none" w:sz="0" w:space="0" w:color="auto"/>
            <w:bottom w:val="none" w:sz="0" w:space="0" w:color="auto"/>
            <w:right w:val="none" w:sz="0" w:space="0" w:color="auto"/>
          </w:divBdr>
        </w:div>
        <w:div w:id="1610312933">
          <w:marLeft w:val="0"/>
          <w:marRight w:val="0"/>
          <w:marTop w:val="0"/>
          <w:marBottom w:val="0"/>
          <w:divBdr>
            <w:top w:val="none" w:sz="0" w:space="0" w:color="auto"/>
            <w:left w:val="none" w:sz="0" w:space="0" w:color="auto"/>
            <w:bottom w:val="none" w:sz="0" w:space="0" w:color="auto"/>
            <w:right w:val="none" w:sz="0" w:space="0" w:color="auto"/>
          </w:divBdr>
        </w:div>
        <w:div w:id="1659191216">
          <w:marLeft w:val="0"/>
          <w:marRight w:val="0"/>
          <w:marTop w:val="0"/>
          <w:marBottom w:val="0"/>
          <w:divBdr>
            <w:top w:val="none" w:sz="0" w:space="0" w:color="auto"/>
            <w:left w:val="none" w:sz="0" w:space="0" w:color="auto"/>
            <w:bottom w:val="none" w:sz="0" w:space="0" w:color="auto"/>
            <w:right w:val="none" w:sz="0" w:space="0" w:color="auto"/>
          </w:divBdr>
        </w:div>
        <w:div w:id="1682076232">
          <w:marLeft w:val="0"/>
          <w:marRight w:val="0"/>
          <w:marTop w:val="0"/>
          <w:marBottom w:val="0"/>
          <w:divBdr>
            <w:top w:val="none" w:sz="0" w:space="0" w:color="auto"/>
            <w:left w:val="none" w:sz="0" w:space="0" w:color="auto"/>
            <w:bottom w:val="none" w:sz="0" w:space="0" w:color="auto"/>
            <w:right w:val="none" w:sz="0" w:space="0" w:color="auto"/>
          </w:divBdr>
        </w:div>
        <w:div w:id="1726441775">
          <w:marLeft w:val="0"/>
          <w:marRight w:val="0"/>
          <w:marTop w:val="0"/>
          <w:marBottom w:val="0"/>
          <w:divBdr>
            <w:top w:val="none" w:sz="0" w:space="0" w:color="auto"/>
            <w:left w:val="none" w:sz="0" w:space="0" w:color="auto"/>
            <w:bottom w:val="none" w:sz="0" w:space="0" w:color="auto"/>
            <w:right w:val="none" w:sz="0" w:space="0" w:color="auto"/>
          </w:divBdr>
        </w:div>
        <w:div w:id="1854487200">
          <w:marLeft w:val="0"/>
          <w:marRight w:val="0"/>
          <w:marTop w:val="0"/>
          <w:marBottom w:val="0"/>
          <w:divBdr>
            <w:top w:val="none" w:sz="0" w:space="0" w:color="auto"/>
            <w:left w:val="none" w:sz="0" w:space="0" w:color="auto"/>
            <w:bottom w:val="none" w:sz="0" w:space="0" w:color="auto"/>
            <w:right w:val="none" w:sz="0" w:space="0" w:color="auto"/>
          </w:divBdr>
        </w:div>
      </w:divsChild>
    </w:div>
    <w:div w:id="1549612242">
      <w:bodyDiv w:val="1"/>
      <w:marLeft w:val="0"/>
      <w:marRight w:val="0"/>
      <w:marTop w:val="0"/>
      <w:marBottom w:val="0"/>
      <w:divBdr>
        <w:top w:val="none" w:sz="0" w:space="0" w:color="auto"/>
        <w:left w:val="none" w:sz="0" w:space="0" w:color="auto"/>
        <w:bottom w:val="none" w:sz="0" w:space="0" w:color="auto"/>
        <w:right w:val="none" w:sz="0" w:space="0" w:color="auto"/>
      </w:divBdr>
      <w:divsChild>
        <w:div w:id="2518641">
          <w:marLeft w:val="0"/>
          <w:marRight w:val="0"/>
          <w:marTop w:val="0"/>
          <w:marBottom w:val="0"/>
          <w:divBdr>
            <w:top w:val="none" w:sz="0" w:space="0" w:color="auto"/>
            <w:left w:val="none" w:sz="0" w:space="0" w:color="auto"/>
            <w:bottom w:val="none" w:sz="0" w:space="0" w:color="auto"/>
            <w:right w:val="none" w:sz="0" w:space="0" w:color="auto"/>
          </w:divBdr>
        </w:div>
        <w:div w:id="30738861">
          <w:marLeft w:val="0"/>
          <w:marRight w:val="0"/>
          <w:marTop w:val="0"/>
          <w:marBottom w:val="0"/>
          <w:divBdr>
            <w:top w:val="none" w:sz="0" w:space="0" w:color="auto"/>
            <w:left w:val="none" w:sz="0" w:space="0" w:color="auto"/>
            <w:bottom w:val="none" w:sz="0" w:space="0" w:color="auto"/>
            <w:right w:val="none" w:sz="0" w:space="0" w:color="auto"/>
          </w:divBdr>
        </w:div>
        <w:div w:id="112066759">
          <w:marLeft w:val="0"/>
          <w:marRight w:val="0"/>
          <w:marTop w:val="0"/>
          <w:marBottom w:val="0"/>
          <w:divBdr>
            <w:top w:val="none" w:sz="0" w:space="0" w:color="auto"/>
            <w:left w:val="none" w:sz="0" w:space="0" w:color="auto"/>
            <w:bottom w:val="none" w:sz="0" w:space="0" w:color="auto"/>
            <w:right w:val="none" w:sz="0" w:space="0" w:color="auto"/>
          </w:divBdr>
        </w:div>
        <w:div w:id="147793791">
          <w:marLeft w:val="0"/>
          <w:marRight w:val="0"/>
          <w:marTop w:val="0"/>
          <w:marBottom w:val="0"/>
          <w:divBdr>
            <w:top w:val="none" w:sz="0" w:space="0" w:color="auto"/>
            <w:left w:val="none" w:sz="0" w:space="0" w:color="auto"/>
            <w:bottom w:val="none" w:sz="0" w:space="0" w:color="auto"/>
            <w:right w:val="none" w:sz="0" w:space="0" w:color="auto"/>
          </w:divBdr>
        </w:div>
        <w:div w:id="274796240">
          <w:marLeft w:val="0"/>
          <w:marRight w:val="0"/>
          <w:marTop w:val="0"/>
          <w:marBottom w:val="0"/>
          <w:divBdr>
            <w:top w:val="none" w:sz="0" w:space="0" w:color="auto"/>
            <w:left w:val="none" w:sz="0" w:space="0" w:color="auto"/>
            <w:bottom w:val="none" w:sz="0" w:space="0" w:color="auto"/>
            <w:right w:val="none" w:sz="0" w:space="0" w:color="auto"/>
          </w:divBdr>
        </w:div>
        <w:div w:id="306856480">
          <w:marLeft w:val="0"/>
          <w:marRight w:val="0"/>
          <w:marTop w:val="0"/>
          <w:marBottom w:val="0"/>
          <w:divBdr>
            <w:top w:val="none" w:sz="0" w:space="0" w:color="auto"/>
            <w:left w:val="none" w:sz="0" w:space="0" w:color="auto"/>
            <w:bottom w:val="none" w:sz="0" w:space="0" w:color="auto"/>
            <w:right w:val="none" w:sz="0" w:space="0" w:color="auto"/>
          </w:divBdr>
        </w:div>
        <w:div w:id="375206558">
          <w:marLeft w:val="0"/>
          <w:marRight w:val="0"/>
          <w:marTop w:val="0"/>
          <w:marBottom w:val="0"/>
          <w:divBdr>
            <w:top w:val="none" w:sz="0" w:space="0" w:color="auto"/>
            <w:left w:val="none" w:sz="0" w:space="0" w:color="auto"/>
            <w:bottom w:val="none" w:sz="0" w:space="0" w:color="auto"/>
            <w:right w:val="none" w:sz="0" w:space="0" w:color="auto"/>
          </w:divBdr>
        </w:div>
        <w:div w:id="377433450">
          <w:marLeft w:val="0"/>
          <w:marRight w:val="0"/>
          <w:marTop w:val="0"/>
          <w:marBottom w:val="0"/>
          <w:divBdr>
            <w:top w:val="none" w:sz="0" w:space="0" w:color="auto"/>
            <w:left w:val="none" w:sz="0" w:space="0" w:color="auto"/>
            <w:bottom w:val="none" w:sz="0" w:space="0" w:color="auto"/>
            <w:right w:val="none" w:sz="0" w:space="0" w:color="auto"/>
          </w:divBdr>
        </w:div>
        <w:div w:id="380254368">
          <w:marLeft w:val="0"/>
          <w:marRight w:val="0"/>
          <w:marTop w:val="0"/>
          <w:marBottom w:val="0"/>
          <w:divBdr>
            <w:top w:val="none" w:sz="0" w:space="0" w:color="auto"/>
            <w:left w:val="none" w:sz="0" w:space="0" w:color="auto"/>
            <w:bottom w:val="none" w:sz="0" w:space="0" w:color="auto"/>
            <w:right w:val="none" w:sz="0" w:space="0" w:color="auto"/>
          </w:divBdr>
          <w:divsChild>
            <w:div w:id="141889309">
              <w:marLeft w:val="0"/>
              <w:marRight w:val="0"/>
              <w:marTop w:val="0"/>
              <w:marBottom w:val="0"/>
              <w:divBdr>
                <w:top w:val="none" w:sz="0" w:space="0" w:color="auto"/>
                <w:left w:val="none" w:sz="0" w:space="0" w:color="auto"/>
                <w:bottom w:val="none" w:sz="0" w:space="0" w:color="auto"/>
                <w:right w:val="none" w:sz="0" w:space="0" w:color="auto"/>
              </w:divBdr>
            </w:div>
            <w:div w:id="365521244">
              <w:marLeft w:val="0"/>
              <w:marRight w:val="0"/>
              <w:marTop w:val="0"/>
              <w:marBottom w:val="0"/>
              <w:divBdr>
                <w:top w:val="none" w:sz="0" w:space="0" w:color="auto"/>
                <w:left w:val="none" w:sz="0" w:space="0" w:color="auto"/>
                <w:bottom w:val="none" w:sz="0" w:space="0" w:color="auto"/>
                <w:right w:val="none" w:sz="0" w:space="0" w:color="auto"/>
              </w:divBdr>
            </w:div>
            <w:div w:id="870849018">
              <w:marLeft w:val="0"/>
              <w:marRight w:val="0"/>
              <w:marTop w:val="0"/>
              <w:marBottom w:val="0"/>
              <w:divBdr>
                <w:top w:val="none" w:sz="0" w:space="0" w:color="auto"/>
                <w:left w:val="none" w:sz="0" w:space="0" w:color="auto"/>
                <w:bottom w:val="none" w:sz="0" w:space="0" w:color="auto"/>
                <w:right w:val="none" w:sz="0" w:space="0" w:color="auto"/>
              </w:divBdr>
            </w:div>
            <w:div w:id="1374575163">
              <w:marLeft w:val="0"/>
              <w:marRight w:val="0"/>
              <w:marTop w:val="0"/>
              <w:marBottom w:val="0"/>
              <w:divBdr>
                <w:top w:val="none" w:sz="0" w:space="0" w:color="auto"/>
                <w:left w:val="none" w:sz="0" w:space="0" w:color="auto"/>
                <w:bottom w:val="none" w:sz="0" w:space="0" w:color="auto"/>
                <w:right w:val="none" w:sz="0" w:space="0" w:color="auto"/>
              </w:divBdr>
            </w:div>
            <w:div w:id="1777410301">
              <w:marLeft w:val="0"/>
              <w:marRight w:val="0"/>
              <w:marTop w:val="0"/>
              <w:marBottom w:val="0"/>
              <w:divBdr>
                <w:top w:val="none" w:sz="0" w:space="0" w:color="auto"/>
                <w:left w:val="none" w:sz="0" w:space="0" w:color="auto"/>
                <w:bottom w:val="none" w:sz="0" w:space="0" w:color="auto"/>
                <w:right w:val="none" w:sz="0" w:space="0" w:color="auto"/>
              </w:divBdr>
            </w:div>
          </w:divsChild>
        </w:div>
        <w:div w:id="380444599">
          <w:marLeft w:val="0"/>
          <w:marRight w:val="0"/>
          <w:marTop w:val="0"/>
          <w:marBottom w:val="0"/>
          <w:divBdr>
            <w:top w:val="none" w:sz="0" w:space="0" w:color="auto"/>
            <w:left w:val="none" w:sz="0" w:space="0" w:color="auto"/>
            <w:bottom w:val="none" w:sz="0" w:space="0" w:color="auto"/>
            <w:right w:val="none" w:sz="0" w:space="0" w:color="auto"/>
          </w:divBdr>
          <w:divsChild>
            <w:div w:id="891766500">
              <w:marLeft w:val="0"/>
              <w:marRight w:val="0"/>
              <w:marTop w:val="0"/>
              <w:marBottom w:val="0"/>
              <w:divBdr>
                <w:top w:val="none" w:sz="0" w:space="0" w:color="auto"/>
                <w:left w:val="none" w:sz="0" w:space="0" w:color="auto"/>
                <w:bottom w:val="none" w:sz="0" w:space="0" w:color="auto"/>
                <w:right w:val="none" w:sz="0" w:space="0" w:color="auto"/>
              </w:divBdr>
            </w:div>
            <w:div w:id="1098673765">
              <w:marLeft w:val="0"/>
              <w:marRight w:val="0"/>
              <w:marTop w:val="0"/>
              <w:marBottom w:val="0"/>
              <w:divBdr>
                <w:top w:val="none" w:sz="0" w:space="0" w:color="auto"/>
                <w:left w:val="none" w:sz="0" w:space="0" w:color="auto"/>
                <w:bottom w:val="none" w:sz="0" w:space="0" w:color="auto"/>
                <w:right w:val="none" w:sz="0" w:space="0" w:color="auto"/>
              </w:divBdr>
            </w:div>
            <w:div w:id="1333409589">
              <w:marLeft w:val="0"/>
              <w:marRight w:val="0"/>
              <w:marTop w:val="0"/>
              <w:marBottom w:val="0"/>
              <w:divBdr>
                <w:top w:val="none" w:sz="0" w:space="0" w:color="auto"/>
                <w:left w:val="none" w:sz="0" w:space="0" w:color="auto"/>
                <w:bottom w:val="none" w:sz="0" w:space="0" w:color="auto"/>
                <w:right w:val="none" w:sz="0" w:space="0" w:color="auto"/>
              </w:divBdr>
            </w:div>
            <w:div w:id="1372606623">
              <w:marLeft w:val="0"/>
              <w:marRight w:val="0"/>
              <w:marTop w:val="0"/>
              <w:marBottom w:val="0"/>
              <w:divBdr>
                <w:top w:val="none" w:sz="0" w:space="0" w:color="auto"/>
                <w:left w:val="none" w:sz="0" w:space="0" w:color="auto"/>
                <w:bottom w:val="none" w:sz="0" w:space="0" w:color="auto"/>
                <w:right w:val="none" w:sz="0" w:space="0" w:color="auto"/>
              </w:divBdr>
            </w:div>
            <w:div w:id="1992708277">
              <w:marLeft w:val="0"/>
              <w:marRight w:val="0"/>
              <w:marTop w:val="0"/>
              <w:marBottom w:val="0"/>
              <w:divBdr>
                <w:top w:val="none" w:sz="0" w:space="0" w:color="auto"/>
                <w:left w:val="none" w:sz="0" w:space="0" w:color="auto"/>
                <w:bottom w:val="none" w:sz="0" w:space="0" w:color="auto"/>
                <w:right w:val="none" w:sz="0" w:space="0" w:color="auto"/>
              </w:divBdr>
            </w:div>
          </w:divsChild>
        </w:div>
        <w:div w:id="427040970">
          <w:marLeft w:val="0"/>
          <w:marRight w:val="0"/>
          <w:marTop w:val="0"/>
          <w:marBottom w:val="0"/>
          <w:divBdr>
            <w:top w:val="none" w:sz="0" w:space="0" w:color="auto"/>
            <w:left w:val="none" w:sz="0" w:space="0" w:color="auto"/>
            <w:bottom w:val="none" w:sz="0" w:space="0" w:color="auto"/>
            <w:right w:val="none" w:sz="0" w:space="0" w:color="auto"/>
          </w:divBdr>
        </w:div>
        <w:div w:id="478151664">
          <w:marLeft w:val="0"/>
          <w:marRight w:val="0"/>
          <w:marTop w:val="0"/>
          <w:marBottom w:val="0"/>
          <w:divBdr>
            <w:top w:val="none" w:sz="0" w:space="0" w:color="auto"/>
            <w:left w:val="none" w:sz="0" w:space="0" w:color="auto"/>
            <w:bottom w:val="none" w:sz="0" w:space="0" w:color="auto"/>
            <w:right w:val="none" w:sz="0" w:space="0" w:color="auto"/>
          </w:divBdr>
        </w:div>
        <w:div w:id="651444579">
          <w:marLeft w:val="0"/>
          <w:marRight w:val="0"/>
          <w:marTop w:val="0"/>
          <w:marBottom w:val="0"/>
          <w:divBdr>
            <w:top w:val="none" w:sz="0" w:space="0" w:color="auto"/>
            <w:left w:val="none" w:sz="0" w:space="0" w:color="auto"/>
            <w:bottom w:val="none" w:sz="0" w:space="0" w:color="auto"/>
            <w:right w:val="none" w:sz="0" w:space="0" w:color="auto"/>
          </w:divBdr>
          <w:divsChild>
            <w:div w:id="617875880">
              <w:marLeft w:val="0"/>
              <w:marRight w:val="0"/>
              <w:marTop w:val="0"/>
              <w:marBottom w:val="0"/>
              <w:divBdr>
                <w:top w:val="none" w:sz="0" w:space="0" w:color="auto"/>
                <w:left w:val="none" w:sz="0" w:space="0" w:color="auto"/>
                <w:bottom w:val="none" w:sz="0" w:space="0" w:color="auto"/>
                <w:right w:val="none" w:sz="0" w:space="0" w:color="auto"/>
              </w:divBdr>
            </w:div>
            <w:div w:id="1165584026">
              <w:marLeft w:val="0"/>
              <w:marRight w:val="0"/>
              <w:marTop w:val="0"/>
              <w:marBottom w:val="0"/>
              <w:divBdr>
                <w:top w:val="none" w:sz="0" w:space="0" w:color="auto"/>
                <w:left w:val="none" w:sz="0" w:space="0" w:color="auto"/>
                <w:bottom w:val="none" w:sz="0" w:space="0" w:color="auto"/>
                <w:right w:val="none" w:sz="0" w:space="0" w:color="auto"/>
              </w:divBdr>
            </w:div>
            <w:div w:id="1432510175">
              <w:marLeft w:val="0"/>
              <w:marRight w:val="0"/>
              <w:marTop w:val="0"/>
              <w:marBottom w:val="0"/>
              <w:divBdr>
                <w:top w:val="none" w:sz="0" w:space="0" w:color="auto"/>
                <w:left w:val="none" w:sz="0" w:space="0" w:color="auto"/>
                <w:bottom w:val="none" w:sz="0" w:space="0" w:color="auto"/>
                <w:right w:val="none" w:sz="0" w:space="0" w:color="auto"/>
              </w:divBdr>
            </w:div>
            <w:div w:id="1512329524">
              <w:marLeft w:val="0"/>
              <w:marRight w:val="0"/>
              <w:marTop w:val="0"/>
              <w:marBottom w:val="0"/>
              <w:divBdr>
                <w:top w:val="none" w:sz="0" w:space="0" w:color="auto"/>
                <w:left w:val="none" w:sz="0" w:space="0" w:color="auto"/>
                <w:bottom w:val="none" w:sz="0" w:space="0" w:color="auto"/>
                <w:right w:val="none" w:sz="0" w:space="0" w:color="auto"/>
              </w:divBdr>
            </w:div>
            <w:div w:id="2083334274">
              <w:marLeft w:val="0"/>
              <w:marRight w:val="0"/>
              <w:marTop w:val="0"/>
              <w:marBottom w:val="0"/>
              <w:divBdr>
                <w:top w:val="none" w:sz="0" w:space="0" w:color="auto"/>
                <w:left w:val="none" w:sz="0" w:space="0" w:color="auto"/>
                <w:bottom w:val="none" w:sz="0" w:space="0" w:color="auto"/>
                <w:right w:val="none" w:sz="0" w:space="0" w:color="auto"/>
              </w:divBdr>
            </w:div>
          </w:divsChild>
        </w:div>
        <w:div w:id="661588236">
          <w:marLeft w:val="0"/>
          <w:marRight w:val="0"/>
          <w:marTop w:val="0"/>
          <w:marBottom w:val="0"/>
          <w:divBdr>
            <w:top w:val="none" w:sz="0" w:space="0" w:color="auto"/>
            <w:left w:val="none" w:sz="0" w:space="0" w:color="auto"/>
            <w:bottom w:val="none" w:sz="0" w:space="0" w:color="auto"/>
            <w:right w:val="none" w:sz="0" w:space="0" w:color="auto"/>
          </w:divBdr>
        </w:div>
        <w:div w:id="663435869">
          <w:marLeft w:val="0"/>
          <w:marRight w:val="0"/>
          <w:marTop w:val="0"/>
          <w:marBottom w:val="0"/>
          <w:divBdr>
            <w:top w:val="none" w:sz="0" w:space="0" w:color="auto"/>
            <w:left w:val="none" w:sz="0" w:space="0" w:color="auto"/>
            <w:bottom w:val="none" w:sz="0" w:space="0" w:color="auto"/>
            <w:right w:val="none" w:sz="0" w:space="0" w:color="auto"/>
          </w:divBdr>
        </w:div>
        <w:div w:id="740950017">
          <w:marLeft w:val="0"/>
          <w:marRight w:val="0"/>
          <w:marTop w:val="0"/>
          <w:marBottom w:val="0"/>
          <w:divBdr>
            <w:top w:val="none" w:sz="0" w:space="0" w:color="auto"/>
            <w:left w:val="none" w:sz="0" w:space="0" w:color="auto"/>
            <w:bottom w:val="none" w:sz="0" w:space="0" w:color="auto"/>
            <w:right w:val="none" w:sz="0" w:space="0" w:color="auto"/>
          </w:divBdr>
        </w:div>
        <w:div w:id="759103891">
          <w:marLeft w:val="0"/>
          <w:marRight w:val="0"/>
          <w:marTop w:val="0"/>
          <w:marBottom w:val="0"/>
          <w:divBdr>
            <w:top w:val="none" w:sz="0" w:space="0" w:color="auto"/>
            <w:left w:val="none" w:sz="0" w:space="0" w:color="auto"/>
            <w:bottom w:val="none" w:sz="0" w:space="0" w:color="auto"/>
            <w:right w:val="none" w:sz="0" w:space="0" w:color="auto"/>
          </w:divBdr>
        </w:div>
        <w:div w:id="785076800">
          <w:marLeft w:val="0"/>
          <w:marRight w:val="0"/>
          <w:marTop w:val="0"/>
          <w:marBottom w:val="0"/>
          <w:divBdr>
            <w:top w:val="none" w:sz="0" w:space="0" w:color="auto"/>
            <w:left w:val="none" w:sz="0" w:space="0" w:color="auto"/>
            <w:bottom w:val="none" w:sz="0" w:space="0" w:color="auto"/>
            <w:right w:val="none" w:sz="0" w:space="0" w:color="auto"/>
          </w:divBdr>
        </w:div>
        <w:div w:id="821045424">
          <w:marLeft w:val="0"/>
          <w:marRight w:val="0"/>
          <w:marTop w:val="0"/>
          <w:marBottom w:val="0"/>
          <w:divBdr>
            <w:top w:val="none" w:sz="0" w:space="0" w:color="auto"/>
            <w:left w:val="none" w:sz="0" w:space="0" w:color="auto"/>
            <w:bottom w:val="none" w:sz="0" w:space="0" w:color="auto"/>
            <w:right w:val="none" w:sz="0" w:space="0" w:color="auto"/>
          </w:divBdr>
        </w:div>
        <w:div w:id="882517453">
          <w:marLeft w:val="0"/>
          <w:marRight w:val="0"/>
          <w:marTop w:val="0"/>
          <w:marBottom w:val="0"/>
          <w:divBdr>
            <w:top w:val="none" w:sz="0" w:space="0" w:color="auto"/>
            <w:left w:val="none" w:sz="0" w:space="0" w:color="auto"/>
            <w:bottom w:val="none" w:sz="0" w:space="0" w:color="auto"/>
            <w:right w:val="none" w:sz="0" w:space="0" w:color="auto"/>
          </w:divBdr>
          <w:divsChild>
            <w:div w:id="746461861">
              <w:marLeft w:val="0"/>
              <w:marRight w:val="0"/>
              <w:marTop w:val="0"/>
              <w:marBottom w:val="0"/>
              <w:divBdr>
                <w:top w:val="none" w:sz="0" w:space="0" w:color="auto"/>
                <w:left w:val="none" w:sz="0" w:space="0" w:color="auto"/>
                <w:bottom w:val="none" w:sz="0" w:space="0" w:color="auto"/>
                <w:right w:val="none" w:sz="0" w:space="0" w:color="auto"/>
              </w:divBdr>
            </w:div>
            <w:div w:id="793324806">
              <w:marLeft w:val="0"/>
              <w:marRight w:val="0"/>
              <w:marTop w:val="0"/>
              <w:marBottom w:val="0"/>
              <w:divBdr>
                <w:top w:val="none" w:sz="0" w:space="0" w:color="auto"/>
                <w:left w:val="none" w:sz="0" w:space="0" w:color="auto"/>
                <w:bottom w:val="none" w:sz="0" w:space="0" w:color="auto"/>
                <w:right w:val="none" w:sz="0" w:space="0" w:color="auto"/>
              </w:divBdr>
            </w:div>
            <w:div w:id="888802578">
              <w:marLeft w:val="0"/>
              <w:marRight w:val="0"/>
              <w:marTop w:val="0"/>
              <w:marBottom w:val="0"/>
              <w:divBdr>
                <w:top w:val="none" w:sz="0" w:space="0" w:color="auto"/>
                <w:left w:val="none" w:sz="0" w:space="0" w:color="auto"/>
                <w:bottom w:val="none" w:sz="0" w:space="0" w:color="auto"/>
                <w:right w:val="none" w:sz="0" w:space="0" w:color="auto"/>
              </w:divBdr>
            </w:div>
            <w:div w:id="1597059720">
              <w:marLeft w:val="0"/>
              <w:marRight w:val="0"/>
              <w:marTop w:val="0"/>
              <w:marBottom w:val="0"/>
              <w:divBdr>
                <w:top w:val="none" w:sz="0" w:space="0" w:color="auto"/>
                <w:left w:val="none" w:sz="0" w:space="0" w:color="auto"/>
                <w:bottom w:val="none" w:sz="0" w:space="0" w:color="auto"/>
                <w:right w:val="none" w:sz="0" w:space="0" w:color="auto"/>
              </w:divBdr>
            </w:div>
            <w:div w:id="1637295711">
              <w:marLeft w:val="0"/>
              <w:marRight w:val="0"/>
              <w:marTop w:val="0"/>
              <w:marBottom w:val="0"/>
              <w:divBdr>
                <w:top w:val="none" w:sz="0" w:space="0" w:color="auto"/>
                <w:left w:val="none" w:sz="0" w:space="0" w:color="auto"/>
                <w:bottom w:val="none" w:sz="0" w:space="0" w:color="auto"/>
                <w:right w:val="none" w:sz="0" w:space="0" w:color="auto"/>
              </w:divBdr>
            </w:div>
          </w:divsChild>
        </w:div>
        <w:div w:id="905457662">
          <w:marLeft w:val="0"/>
          <w:marRight w:val="0"/>
          <w:marTop w:val="0"/>
          <w:marBottom w:val="0"/>
          <w:divBdr>
            <w:top w:val="none" w:sz="0" w:space="0" w:color="auto"/>
            <w:left w:val="none" w:sz="0" w:space="0" w:color="auto"/>
            <w:bottom w:val="none" w:sz="0" w:space="0" w:color="auto"/>
            <w:right w:val="none" w:sz="0" w:space="0" w:color="auto"/>
          </w:divBdr>
        </w:div>
        <w:div w:id="910505028">
          <w:marLeft w:val="0"/>
          <w:marRight w:val="0"/>
          <w:marTop w:val="0"/>
          <w:marBottom w:val="0"/>
          <w:divBdr>
            <w:top w:val="none" w:sz="0" w:space="0" w:color="auto"/>
            <w:left w:val="none" w:sz="0" w:space="0" w:color="auto"/>
            <w:bottom w:val="none" w:sz="0" w:space="0" w:color="auto"/>
            <w:right w:val="none" w:sz="0" w:space="0" w:color="auto"/>
          </w:divBdr>
        </w:div>
        <w:div w:id="986711103">
          <w:marLeft w:val="0"/>
          <w:marRight w:val="0"/>
          <w:marTop w:val="0"/>
          <w:marBottom w:val="0"/>
          <w:divBdr>
            <w:top w:val="none" w:sz="0" w:space="0" w:color="auto"/>
            <w:left w:val="none" w:sz="0" w:space="0" w:color="auto"/>
            <w:bottom w:val="none" w:sz="0" w:space="0" w:color="auto"/>
            <w:right w:val="none" w:sz="0" w:space="0" w:color="auto"/>
          </w:divBdr>
        </w:div>
        <w:div w:id="1177959238">
          <w:marLeft w:val="0"/>
          <w:marRight w:val="0"/>
          <w:marTop w:val="0"/>
          <w:marBottom w:val="0"/>
          <w:divBdr>
            <w:top w:val="none" w:sz="0" w:space="0" w:color="auto"/>
            <w:left w:val="none" w:sz="0" w:space="0" w:color="auto"/>
            <w:bottom w:val="none" w:sz="0" w:space="0" w:color="auto"/>
            <w:right w:val="none" w:sz="0" w:space="0" w:color="auto"/>
          </w:divBdr>
        </w:div>
        <w:div w:id="1251114019">
          <w:marLeft w:val="0"/>
          <w:marRight w:val="0"/>
          <w:marTop w:val="0"/>
          <w:marBottom w:val="0"/>
          <w:divBdr>
            <w:top w:val="none" w:sz="0" w:space="0" w:color="auto"/>
            <w:left w:val="none" w:sz="0" w:space="0" w:color="auto"/>
            <w:bottom w:val="none" w:sz="0" w:space="0" w:color="auto"/>
            <w:right w:val="none" w:sz="0" w:space="0" w:color="auto"/>
          </w:divBdr>
        </w:div>
        <w:div w:id="1341855633">
          <w:marLeft w:val="0"/>
          <w:marRight w:val="0"/>
          <w:marTop w:val="0"/>
          <w:marBottom w:val="0"/>
          <w:divBdr>
            <w:top w:val="none" w:sz="0" w:space="0" w:color="auto"/>
            <w:left w:val="none" w:sz="0" w:space="0" w:color="auto"/>
            <w:bottom w:val="none" w:sz="0" w:space="0" w:color="auto"/>
            <w:right w:val="none" w:sz="0" w:space="0" w:color="auto"/>
          </w:divBdr>
        </w:div>
        <w:div w:id="1353993850">
          <w:marLeft w:val="0"/>
          <w:marRight w:val="0"/>
          <w:marTop w:val="0"/>
          <w:marBottom w:val="0"/>
          <w:divBdr>
            <w:top w:val="none" w:sz="0" w:space="0" w:color="auto"/>
            <w:left w:val="none" w:sz="0" w:space="0" w:color="auto"/>
            <w:bottom w:val="none" w:sz="0" w:space="0" w:color="auto"/>
            <w:right w:val="none" w:sz="0" w:space="0" w:color="auto"/>
          </w:divBdr>
          <w:divsChild>
            <w:div w:id="344867822">
              <w:marLeft w:val="0"/>
              <w:marRight w:val="0"/>
              <w:marTop w:val="0"/>
              <w:marBottom w:val="0"/>
              <w:divBdr>
                <w:top w:val="none" w:sz="0" w:space="0" w:color="auto"/>
                <w:left w:val="none" w:sz="0" w:space="0" w:color="auto"/>
                <w:bottom w:val="none" w:sz="0" w:space="0" w:color="auto"/>
                <w:right w:val="none" w:sz="0" w:space="0" w:color="auto"/>
              </w:divBdr>
            </w:div>
            <w:div w:id="467673816">
              <w:marLeft w:val="0"/>
              <w:marRight w:val="0"/>
              <w:marTop w:val="0"/>
              <w:marBottom w:val="0"/>
              <w:divBdr>
                <w:top w:val="none" w:sz="0" w:space="0" w:color="auto"/>
                <w:left w:val="none" w:sz="0" w:space="0" w:color="auto"/>
                <w:bottom w:val="none" w:sz="0" w:space="0" w:color="auto"/>
                <w:right w:val="none" w:sz="0" w:space="0" w:color="auto"/>
              </w:divBdr>
            </w:div>
            <w:div w:id="736127201">
              <w:marLeft w:val="0"/>
              <w:marRight w:val="0"/>
              <w:marTop w:val="0"/>
              <w:marBottom w:val="0"/>
              <w:divBdr>
                <w:top w:val="none" w:sz="0" w:space="0" w:color="auto"/>
                <w:left w:val="none" w:sz="0" w:space="0" w:color="auto"/>
                <w:bottom w:val="none" w:sz="0" w:space="0" w:color="auto"/>
                <w:right w:val="none" w:sz="0" w:space="0" w:color="auto"/>
              </w:divBdr>
            </w:div>
            <w:div w:id="2126271088">
              <w:marLeft w:val="0"/>
              <w:marRight w:val="0"/>
              <w:marTop w:val="0"/>
              <w:marBottom w:val="0"/>
              <w:divBdr>
                <w:top w:val="none" w:sz="0" w:space="0" w:color="auto"/>
                <w:left w:val="none" w:sz="0" w:space="0" w:color="auto"/>
                <w:bottom w:val="none" w:sz="0" w:space="0" w:color="auto"/>
                <w:right w:val="none" w:sz="0" w:space="0" w:color="auto"/>
              </w:divBdr>
            </w:div>
          </w:divsChild>
        </w:div>
        <w:div w:id="1356343125">
          <w:marLeft w:val="0"/>
          <w:marRight w:val="0"/>
          <w:marTop w:val="0"/>
          <w:marBottom w:val="0"/>
          <w:divBdr>
            <w:top w:val="none" w:sz="0" w:space="0" w:color="auto"/>
            <w:left w:val="none" w:sz="0" w:space="0" w:color="auto"/>
            <w:bottom w:val="none" w:sz="0" w:space="0" w:color="auto"/>
            <w:right w:val="none" w:sz="0" w:space="0" w:color="auto"/>
          </w:divBdr>
          <w:divsChild>
            <w:div w:id="505635732">
              <w:marLeft w:val="0"/>
              <w:marRight w:val="0"/>
              <w:marTop w:val="0"/>
              <w:marBottom w:val="0"/>
              <w:divBdr>
                <w:top w:val="none" w:sz="0" w:space="0" w:color="auto"/>
                <w:left w:val="none" w:sz="0" w:space="0" w:color="auto"/>
                <w:bottom w:val="none" w:sz="0" w:space="0" w:color="auto"/>
                <w:right w:val="none" w:sz="0" w:space="0" w:color="auto"/>
              </w:divBdr>
            </w:div>
            <w:div w:id="942690125">
              <w:marLeft w:val="0"/>
              <w:marRight w:val="0"/>
              <w:marTop w:val="0"/>
              <w:marBottom w:val="0"/>
              <w:divBdr>
                <w:top w:val="none" w:sz="0" w:space="0" w:color="auto"/>
                <w:left w:val="none" w:sz="0" w:space="0" w:color="auto"/>
                <w:bottom w:val="none" w:sz="0" w:space="0" w:color="auto"/>
                <w:right w:val="none" w:sz="0" w:space="0" w:color="auto"/>
              </w:divBdr>
            </w:div>
            <w:div w:id="1674340083">
              <w:marLeft w:val="0"/>
              <w:marRight w:val="0"/>
              <w:marTop w:val="0"/>
              <w:marBottom w:val="0"/>
              <w:divBdr>
                <w:top w:val="none" w:sz="0" w:space="0" w:color="auto"/>
                <w:left w:val="none" w:sz="0" w:space="0" w:color="auto"/>
                <w:bottom w:val="none" w:sz="0" w:space="0" w:color="auto"/>
                <w:right w:val="none" w:sz="0" w:space="0" w:color="auto"/>
              </w:divBdr>
            </w:div>
          </w:divsChild>
        </w:div>
        <w:div w:id="1455518346">
          <w:marLeft w:val="0"/>
          <w:marRight w:val="0"/>
          <w:marTop w:val="0"/>
          <w:marBottom w:val="0"/>
          <w:divBdr>
            <w:top w:val="none" w:sz="0" w:space="0" w:color="auto"/>
            <w:left w:val="none" w:sz="0" w:space="0" w:color="auto"/>
            <w:bottom w:val="none" w:sz="0" w:space="0" w:color="auto"/>
            <w:right w:val="none" w:sz="0" w:space="0" w:color="auto"/>
          </w:divBdr>
          <w:divsChild>
            <w:div w:id="1270432294">
              <w:marLeft w:val="0"/>
              <w:marRight w:val="0"/>
              <w:marTop w:val="0"/>
              <w:marBottom w:val="0"/>
              <w:divBdr>
                <w:top w:val="none" w:sz="0" w:space="0" w:color="auto"/>
                <w:left w:val="none" w:sz="0" w:space="0" w:color="auto"/>
                <w:bottom w:val="none" w:sz="0" w:space="0" w:color="auto"/>
                <w:right w:val="none" w:sz="0" w:space="0" w:color="auto"/>
              </w:divBdr>
            </w:div>
            <w:div w:id="1506481867">
              <w:marLeft w:val="0"/>
              <w:marRight w:val="0"/>
              <w:marTop w:val="0"/>
              <w:marBottom w:val="0"/>
              <w:divBdr>
                <w:top w:val="none" w:sz="0" w:space="0" w:color="auto"/>
                <w:left w:val="none" w:sz="0" w:space="0" w:color="auto"/>
                <w:bottom w:val="none" w:sz="0" w:space="0" w:color="auto"/>
                <w:right w:val="none" w:sz="0" w:space="0" w:color="auto"/>
              </w:divBdr>
            </w:div>
            <w:div w:id="1558281584">
              <w:marLeft w:val="0"/>
              <w:marRight w:val="0"/>
              <w:marTop w:val="0"/>
              <w:marBottom w:val="0"/>
              <w:divBdr>
                <w:top w:val="none" w:sz="0" w:space="0" w:color="auto"/>
                <w:left w:val="none" w:sz="0" w:space="0" w:color="auto"/>
                <w:bottom w:val="none" w:sz="0" w:space="0" w:color="auto"/>
                <w:right w:val="none" w:sz="0" w:space="0" w:color="auto"/>
              </w:divBdr>
            </w:div>
            <w:div w:id="1629772822">
              <w:marLeft w:val="0"/>
              <w:marRight w:val="0"/>
              <w:marTop w:val="0"/>
              <w:marBottom w:val="0"/>
              <w:divBdr>
                <w:top w:val="none" w:sz="0" w:space="0" w:color="auto"/>
                <w:left w:val="none" w:sz="0" w:space="0" w:color="auto"/>
                <w:bottom w:val="none" w:sz="0" w:space="0" w:color="auto"/>
                <w:right w:val="none" w:sz="0" w:space="0" w:color="auto"/>
              </w:divBdr>
            </w:div>
          </w:divsChild>
        </w:div>
        <w:div w:id="1577396744">
          <w:marLeft w:val="0"/>
          <w:marRight w:val="0"/>
          <w:marTop w:val="0"/>
          <w:marBottom w:val="0"/>
          <w:divBdr>
            <w:top w:val="none" w:sz="0" w:space="0" w:color="auto"/>
            <w:left w:val="none" w:sz="0" w:space="0" w:color="auto"/>
            <w:bottom w:val="none" w:sz="0" w:space="0" w:color="auto"/>
            <w:right w:val="none" w:sz="0" w:space="0" w:color="auto"/>
          </w:divBdr>
        </w:div>
        <w:div w:id="1673528253">
          <w:marLeft w:val="0"/>
          <w:marRight w:val="0"/>
          <w:marTop w:val="0"/>
          <w:marBottom w:val="0"/>
          <w:divBdr>
            <w:top w:val="none" w:sz="0" w:space="0" w:color="auto"/>
            <w:left w:val="none" w:sz="0" w:space="0" w:color="auto"/>
            <w:bottom w:val="none" w:sz="0" w:space="0" w:color="auto"/>
            <w:right w:val="none" w:sz="0" w:space="0" w:color="auto"/>
          </w:divBdr>
        </w:div>
        <w:div w:id="1791506049">
          <w:marLeft w:val="0"/>
          <w:marRight w:val="0"/>
          <w:marTop w:val="0"/>
          <w:marBottom w:val="0"/>
          <w:divBdr>
            <w:top w:val="none" w:sz="0" w:space="0" w:color="auto"/>
            <w:left w:val="none" w:sz="0" w:space="0" w:color="auto"/>
            <w:bottom w:val="none" w:sz="0" w:space="0" w:color="auto"/>
            <w:right w:val="none" w:sz="0" w:space="0" w:color="auto"/>
          </w:divBdr>
        </w:div>
        <w:div w:id="1793399362">
          <w:marLeft w:val="0"/>
          <w:marRight w:val="0"/>
          <w:marTop w:val="0"/>
          <w:marBottom w:val="0"/>
          <w:divBdr>
            <w:top w:val="none" w:sz="0" w:space="0" w:color="auto"/>
            <w:left w:val="none" w:sz="0" w:space="0" w:color="auto"/>
            <w:bottom w:val="none" w:sz="0" w:space="0" w:color="auto"/>
            <w:right w:val="none" w:sz="0" w:space="0" w:color="auto"/>
          </w:divBdr>
          <w:divsChild>
            <w:div w:id="298652417">
              <w:marLeft w:val="0"/>
              <w:marRight w:val="0"/>
              <w:marTop w:val="0"/>
              <w:marBottom w:val="0"/>
              <w:divBdr>
                <w:top w:val="none" w:sz="0" w:space="0" w:color="auto"/>
                <w:left w:val="none" w:sz="0" w:space="0" w:color="auto"/>
                <w:bottom w:val="none" w:sz="0" w:space="0" w:color="auto"/>
                <w:right w:val="none" w:sz="0" w:space="0" w:color="auto"/>
              </w:divBdr>
            </w:div>
            <w:div w:id="299265363">
              <w:marLeft w:val="0"/>
              <w:marRight w:val="0"/>
              <w:marTop w:val="0"/>
              <w:marBottom w:val="0"/>
              <w:divBdr>
                <w:top w:val="none" w:sz="0" w:space="0" w:color="auto"/>
                <w:left w:val="none" w:sz="0" w:space="0" w:color="auto"/>
                <w:bottom w:val="none" w:sz="0" w:space="0" w:color="auto"/>
                <w:right w:val="none" w:sz="0" w:space="0" w:color="auto"/>
              </w:divBdr>
            </w:div>
            <w:div w:id="657730836">
              <w:marLeft w:val="0"/>
              <w:marRight w:val="0"/>
              <w:marTop w:val="0"/>
              <w:marBottom w:val="0"/>
              <w:divBdr>
                <w:top w:val="none" w:sz="0" w:space="0" w:color="auto"/>
                <w:left w:val="none" w:sz="0" w:space="0" w:color="auto"/>
                <w:bottom w:val="none" w:sz="0" w:space="0" w:color="auto"/>
                <w:right w:val="none" w:sz="0" w:space="0" w:color="auto"/>
              </w:divBdr>
            </w:div>
            <w:div w:id="1151288669">
              <w:marLeft w:val="0"/>
              <w:marRight w:val="0"/>
              <w:marTop w:val="0"/>
              <w:marBottom w:val="0"/>
              <w:divBdr>
                <w:top w:val="none" w:sz="0" w:space="0" w:color="auto"/>
                <w:left w:val="none" w:sz="0" w:space="0" w:color="auto"/>
                <w:bottom w:val="none" w:sz="0" w:space="0" w:color="auto"/>
                <w:right w:val="none" w:sz="0" w:space="0" w:color="auto"/>
              </w:divBdr>
            </w:div>
          </w:divsChild>
        </w:div>
        <w:div w:id="1823153792">
          <w:marLeft w:val="0"/>
          <w:marRight w:val="0"/>
          <w:marTop w:val="0"/>
          <w:marBottom w:val="0"/>
          <w:divBdr>
            <w:top w:val="none" w:sz="0" w:space="0" w:color="auto"/>
            <w:left w:val="none" w:sz="0" w:space="0" w:color="auto"/>
            <w:bottom w:val="none" w:sz="0" w:space="0" w:color="auto"/>
            <w:right w:val="none" w:sz="0" w:space="0" w:color="auto"/>
          </w:divBdr>
          <w:divsChild>
            <w:div w:id="65567274">
              <w:marLeft w:val="0"/>
              <w:marRight w:val="0"/>
              <w:marTop w:val="0"/>
              <w:marBottom w:val="0"/>
              <w:divBdr>
                <w:top w:val="none" w:sz="0" w:space="0" w:color="auto"/>
                <w:left w:val="none" w:sz="0" w:space="0" w:color="auto"/>
                <w:bottom w:val="none" w:sz="0" w:space="0" w:color="auto"/>
                <w:right w:val="none" w:sz="0" w:space="0" w:color="auto"/>
              </w:divBdr>
            </w:div>
            <w:div w:id="185875280">
              <w:marLeft w:val="0"/>
              <w:marRight w:val="0"/>
              <w:marTop w:val="0"/>
              <w:marBottom w:val="0"/>
              <w:divBdr>
                <w:top w:val="none" w:sz="0" w:space="0" w:color="auto"/>
                <w:left w:val="none" w:sz="0" w:space="0" w:color="auto"/>
                <w:bottom w:val="none" w:sz="0" w:space="0" w:color="auto"/>
                <w:right w:val="none" w:sz="0" w:space="0" w:color="auto"/>
              </w:divBdr>
            </w:div>
            <w:div w:id="1409693362">
              <w:marLeft w:val="0"/>
              <w:marRight w:val="0"/>
              <w:marTop w:val="0"/>
              <w:marBottom w:val="0"/>
              <w:divBdr>
                <w:top w:val="none" w:sz="0" w:space="0" w:color="auto"/>
                <w:left w:val="none" w:sz="0" w:space="0" w:color="auto"/>
                <w:bottom w:val="none" w:sz="0" w:space="0" w:color="auto"/>
                <w:right w:val="none" w:sz="0" w:space="0" w:color="auto"/>
              </w:divBdr>
            </w:div>
            <w:div w:id="1513959066">
              <w:marLeft w:val="0"/>
              <w:marRight w:val="0"/>
              <w:marTop w:val="0"/>
              <w:marBottom w:val="0"/>
              <w:divBdr>
                <w:top w:val="none" w:sz="0" w:space="0" w:color="auto"/>
                <w:left w:val="none" w:sz="0" w:space="0" w:color="auto"/>
                <w:bottom w:val="none" w:sz="0" w:space="0" w:color="auto"/>
                <w:right w:val="none" w:sz="0" w:space="0" w:color="auto"/>
              </w:divBdr>
            </w:div>
          </w:divsChild>
        </w:div>
        <w:div w:id="1888835224">
          <w:marLeft w:val="0"/>
          <w:marRight w:val="0"/>
          <w:marTop w:val="0"/>
          <w:marBottom w:val="0"/>
          <w:divBdr>
            <w:top w:val="none" w:sz="0" w:space="0" w:color="auto"/>
            <w:left w:val="none" w:sz="0" w:space="0" w:color="auto"/>
            <w:bottom w:val="none" w:sz="0" w:space="0" w:color="auto"/>
            <w:right w:val="none" w:sz="0" w:space="0" w:color="auto"/>
          </w:divBdr>
        </w:div>
        <w:div w:id="1892643379">
          <w:marLeft w:val="0"/>
          <w:marRight w:val="0"/>
          <w:marTop w:val="0"/>
          <w:marBottom w:val="0"/>
          <w:divBdr>
            <w:top w:val="none" w:sz="0" w:space="0" w:color="auto"/>
            <w:left w:val="none" w:sz="0" w:space="0" w:color="auto"/>
            <w:bottom w:val="none" w:sz="0" w:space="0" w:color="auto"/>
            <w:right w:val="none" w:sz="0" w:space="0" w:color="auto"/>
          </w:divBdr>
        </w:div>
        <w:div w:id="1898469904">
          <w:marLeft w:val="0"/>
          <w:marRight w:val="0"/>
          <w:marTop w:val="0"/>
          <w:marBottom w:val="0"/>
          <w:divBdr>
            <w:top w:val="none" w:sz="0" w:space="0" w:color="auto"/>
            <w:left w:val="none" w:sz="0" w:space="0" w:color="auto"/>
            <w:bottom w:val="none" w:sz="0" w:space="0" w:color="auto"/>
            <w:right w:val="none" w:sz="0" w:space="0" w:color="auto"/>
          </w:divBdr>
        </w:div>
        <w:div w:id="1903448491">
          <w:marLeft w:val="0"/>
          <w:marRight w:val="0"/>
          <w:marTop w:val="0"/>
          <w:marBottom w:val="0"/>
          <w:divBdr>
            <w:top w:val="none" w:sz="0" w:space="0" w:color="auto"/>
            <w:left w:val="none" w:sz="0" w:space="0" w:color="auto"/>
            <w:bottom w:val="none" w:sz="0" w:space="0" w:color="auto"/>
            <w:right w:val="none" w:sz="0" w:space="0" w:color="auto"/>
          </w:divBdr>
        </w:div>
        <w:div w:id="1953366894">
          <w:marLeft w:val="0"/>
          <w:marRight w:val="0"/>
          <w:marTop w:val="0"/>
          <w:marBottom w:val="0"/>
          <w:divBdr>
            <w:top w:val="none" w:sz="0" w:space="0" w:color="auto"/>
            <w:left w:val="none" w:sz="0" w:space="0" w:color="auto"/>
            <w:bottom w:val="none" w:sz="0" w:space="0" w:color="auto"/>
            <w:right w:val="none" w:sz="0" w:space="0" w:color="auto"/>
          </w:divBdr>
        </w:div>
        <w:div w:id="1981576086">
          <w:marLeft w:val="0"/>
          <w:marRight w:val="0"/>
          <w:marTop w:val="0"/>
          <w:marBottom w:val="0"/>
          <w:divBdr>
            <w:top w:val="none" w:sz="0" w:space="0" w:color="auto"/>
            <w:left w:val="none" w:sz="0" w:space="0" w:color="auto"/>
            <w:bottom w:val="none" w:sz="0" w:space="0" w:color="auto"/>
            <w:right w:val="none" w:sz="0" w:space="0" w:color="auto"/>
          </w:divBdr>
        </w:div>
        <w:div w:id="1990744858">
          <w:marLeft w:val="0"/>
          <w:marRight w:val="0"/>
          <w:marTop w:val="0"/>
          <w:marBottom w:val="0"/>
          <w:divBdr>
            <w:top w:val="none" w:sz="0" w:space="0" w:color="auto"/>
            <w:left w:val="none" w:sz="0" w:space="0" w:color="auto"/>
            <w:bottom w:val="none" w:sz="0" w:space="0" w:color="auto"/>
            <w:right w:val="none" w:sz="0" w:space="0" w:color="auto"/>
          </w:divBdr>
        </w:div>
        <w:div w:id="2098941175">
          <w:marLeft w:val="0"/>
          <w:marRight w:val="0"/>
          <w:marTop w:val="0"/>
          <w:marBottom w:val="0"/>
          <w:divBdr>
            <w:top w:val="none" w:sz="0" w:space="0" w:color="auto"/>
            <w:left w:val="none" w:sz="0" w:space="0" w:color="auto"/>
            <w:bottom w:val="none" w:sz="0" w:space="0" w:color="auto"/>
            <w:right w:val="none" w:sz="0" w:space="0" w:color="auto"/>
          </w:divBdr>
        </w:div>
      </w:divsChild>
    </w:div>
    <w:div w:id="1711610168">
      <w:bodyDiv w:val="1"/>
      <w:marLeft w:val="0"/>
      <w:marRight w:val="0"/>
      <w:marTop w:val="0"/>
      <w:marBottom w:val="0"/>
      <w:divBdr>
        <w:top w:val="none" w:sz="0" w:space="0" w:color="auto"/>
        <w:left w:val="none" w:sz="0" w:space="0" w:color="auto"/>
        <w:bottom w:val="none" w:sz="0" w:space="0" w:color="auto"/>
        <w:right w:val="none" w:sz="0" w:space="0" w:color="auto"/>
      </w:divBdr>
      <w:divsChild>
        <w:div w:id="398212891">
          <w:marLeft w:val="0"/>
          <w:marRight w:val="0"/>
          <w:marTop w:val="0"/>
          <w:marBottom w:val="0"/>
          <w:divBdr>
            <w:top w:val="none" w:sz="0" w:space="0" w:color="auto"/>
            <w:left w:val="none" w:sz="0" w:space="0" w:color="auto"/>
            <w:bottom w:val="none" w:sz="0" w:space="0" w:color="auto"/>
            <w:right w:val="none" w:sz="0" w:space="0" w:color="auto"/>
          </w:divBdr>
          <w:divsChild>
            <w:div w:id="205797515">
              <w:marLeft w:val="0"/>
              <w:marRight w:val="0"/>
              <w:marTop w:val="0"/>
              <w:marBottom w:val="0"/>
              <w:divBdr>
                <w:top w:val="none" w:sz="0" w:space="0" w:color="auto"/>
                <w:left w:val="none" w:sz="0" w:space="0" w:color="auto"/>
                <w:bottom w:val="none" w:sz="0" w:space="0" w:color="auto"/>
                <w:right w:val="none" w:sz="0" w:space="0" w:color="auto"/>
              </w:divBdr>
            </w:div>
            <w:div w:id="1278369403">
              <w:marLeft w:val="0"/>
              <w:marRight w:val="0"/>
              <w:marTop w:val="0"/>
              <w:marBottom w:val="0"/>
              <w:divBdr>
                <w:top w:val="none" w:sz="0" w:space="0" w:color="auto"/>
                <w:left w:val="none" w:sz="0" w:space="0" w:color="auto"/>
                <w:bottom w:val="none" w:sz="0" w:space="0" w:color="auto"/>
                <w:right w:val="none" w:sz="0" w:space="0" w:color="auto"/>
              </w:divBdr>
            </w:div>
            <w:div w:id="1289120442">
              <w:marLeft w:val="0"/>
              <w:marRight w:val="0"/>
              <w:marTop w:val="0"/>
              <w:marBottom w:val="0"/>
              <w:divBdr>
                <w:top w:val="none" w:sz="0" w:space="0" w:color="auto"/>
                <w:left w:val="none" w:sz="0" w:space="0" w:color="auto"/>
                <w:bottom w:val="none" w:sz="0" w:space="0" w:color="auto"/>
                <w:right w:val="none" w:sz="0" w:space="0" w:color="auto"/>
              </w:divBdr>
            </w:div>
            <w:div w:id="1475759088">
              <w:marLeft w:val="0"/>
              <w:marRight w:val="0"/>
              <w:marTop w:val="0"/>
              <w:marBottom w:val="0"/>
              <w:divBdr>
                <w:top w:val="none" w:sz="0" w:space="0" w:color="auto"/>
                <w:left w:val="none" w:sz="0" w:space="0" w:color="auto"/>
                <w:bottom w:val="none" w:sz="0" w:space="0" w:color="auto"/>
                <w:right w:val="none" w:sz="0" w:space="0" w:color="auto"/>
              </w:divBdr>
            </w:div>
            <w:div w:id="1953170590">
              <w:marLeft w:val="0"/>
              <w:marRight w:val="0"/>
              <w:marTop w:val="0"/>
              <w:marBottom w:val="0"/>
              <w:divBdr>
                <w:top w:val="none" w:sz="0" w:space="0" w:color="auto"/>
                <w:left w:val="none" w:sz="0" w:space="0" w:color="auto"/>
                <w:bottom w:val="none" w:sz="0" w:space="0" w:color="auto"/>
                <w:right w:val="none" w:sz="0" w:space="0" w:color="auto"/>
              </w:divBdr>
            </w:div>
          </w:divsChild>
        </w:div>
        <w:div w:id="916210609">
          <w:marLeft w:val="0"/>
          <w:marRight w:val="0"/>
          <w:marTop w:val="0"/>
          <w:marBottom w:val="0"/>
          <w:divBdr>
            <w:top w:val="none" w:sz="0" w:space="0" w:color="auto"/>
            <w:left w:val="none" w:sz="0" w:space="0" w:color="auto"/>
            <w:bottom w:val="none" w:sz="0" w:space="0" w:color="auto"/>
            <w:right w:val="none" w:sz="0" w:space="0" w:color="auto"/>
          </w:divBdr>
        </w:div>
        <w:div w:id="1057359818">
          <w:marLeft w:val="0"/>
          <w:marRight w:val="0"/>
          <w:marTop w:val="0"/>
          <w:marBottom w:val="0"/>
          <w:divBdr>
            <w:top w:val="none" w:sz="0" w:space="0" w:color="auto"/>
            <w:left w:val="none" w:sz="0" w:space="0" w:color="auto"/>
            <w:bottom w:val="none" w:sz="0" w:space="0" w:color="auto"/>
            <w:right w:val="none" w:sz="0" w:space="0" w:color="auto"/>
          </w:divBdr>
        </w:div>
        <w:div w:id="1339848103">
          <w:marLeft w:val="0"/>
          <w:marRight w:val="0"/>
          <w:marTop w:val="0"/>
          <w:marBottom w:val="0"/>
          <w:divBdr>
            <w:top w:val="none" w:sz="0" w:space="0" w:color="auto"/>
            <w:left w:val="none" w:sz="0" w:space="0" w:color="auto"/>
            <w:bottom w:val="none" w:sz="0" w:space="0" w:color="auto"/>
            <w:right w:val="none" w:sz="0" w:space="0" w:color="auto"/>
          </w:divBdr>
        </w:div>
        <w:div w:id="1501239436">
          <w:marLeft w:val="0"/>
          <w:marRight w:val="0"/>
          <w:marTop w:val="0"/>
          <w:marBottom w:val="0"/>
          <w:divBdr>
            <w:top w:val="none" w:sz="0" w:space="0" w:color="auto"/>
            <w:left w:val="none" w:sz="0" w:space="0" w:color="auto"/>
            <w:bottom w:val="none" w:sz="0" w:space="0" w:color="auto"/>
            <w:right w:val="none" w:sz="0" w:space="0" w:color="auto"/>
          </w:divBdr>
          <w:divsChild>
            <w:div w:id="436950141">
              <w:marLeft w:val="0"/>
              <w:marRight w:val="0"/>
              <w:marTop w:val="0"/>
              <w:marBottom w:val="0"/>
              <w:divBdr>
                <w:top w:val="none" w:sz="0" w:space="0" w:color="auto"/>
                <w:left w:val="none" w:sz="0" w:space="0" w:color="auto"/>
                <w:bottom w:val="none" w:sz="0" w:space="0" w:color="auto"/>
                <w:right w:val="none" w:sz="0" w:space="0" w:color="auto"/>
              </w:divBdr>
            </w:div>
            <w:div w:id="1157957950">
              <w:marLeft w:val="0"/>
              <w:marRight w:val="0"/>
              <w:marTop w:val="0"/>
              <w:marBottom w:val="0"/>
              <w:divBdr>
                <w:top w:val="none" w:sz="0" w:space="0" w:color="auto"/>
                <w:left w:val="none" w:sz="0" w:space="0" w:color="auto"/>
                <w:bottom w:val="none" w:sz="0" w:space="0" w:color="auto"/>
                <w:right w:val="none" w:sz="0" w:space="0" w:color="auto"/>
              </w:divBdr>
            </w:div>
            <w:div w:id="1460101018">
              <w:marLeft w:val="0"/>
              <w:marRight w:val="0"/>
              <w:marTop w:val="0"/>
              <w:marBottom w:val="0"/>
              <w:divBdr>
                <w:top w:val="none" w:sz="0" w:space="0" w:color="auto"/>
                <w:left w:val="none" w:sz="0" w:space="0" w:color="auto"/>
                <w:bottom w:val="none" w:sz="0" w:space="0" w:color="auto"/>
                <w:right w:val="none" w:sz="0" w:space="0" w:color="auto"/>
              </w:divBdr>
            </w:div>
            <w:div w:id="1611275239">
              <w:marLeft w:val="0"/>
              <w:marRight w:val="0"/>
              <w:marTop w:val="0"/>
              <w:marBottom w:val="0"/>
              <w:divBdr>
                <w:top w:val="none" w:sz="0" w:space="0" w:color="auto"/>
                <w:left w:val="none" w:sz="0" w:space="0" w:color="auto"/>
                <w:bottom w:val="none" w:sz="0" w:space="0" w:color="auto"/>
                <w:right w:val="none" w:sz="0" w:space="0" w:color="auto"/>
              </w:divBdr>
            </w:div>
            <w:div w:id="2134401380">
              <w:marLeft w:val="0"/>
              <w:marRight w:val="0"/>
              <w:marTop w:val="0"/>
              <w:marBottom w:val="0"/>
              <w:divBdr>
                <w:top w:val="none" w:sz="0" w:space="0" w:color="auto"/>
                <w:left w:val="none" w:sz="0" w:space="0" w:color="auto"/>
                <w:bottom w:val="none" w:sz="0" w:space="0" w:color="auto"/>
                <w:right w:val="none" w:sz="0" w:space="0" w:color="auto"/>
              </w:divBdr>
            </w:div>
          </w:divsChild>
        </w:div>
        <w:div w:id="1991321936">
          <w:marLeft w:val="0"/>
          <w:marRight w:val="0"/>
          <w:marTop w:val="0"/>
          <w:marBottom w:val="0"/>
          <w:divBdr>
            <w:top w:val="none" w:sz="0" w:space="0" w:color="auto"/>
            <w:left w:val="none" w:sz="0" w:space="0" w:color="auto"/>
            <w:bottom w:val="none" w:sz="0" w:space="0" w:color="auto"/>
            <w:right w:val="none" w:sz="0" w:space="0" w:color="auto"/>
          </w:divBdr>
        </w:div>
      </w:divsChild>
    </w:div>
    <w:div w:id="2093157340">
      <w:bodyDiv w:val="1"/>
      <w:marLeft w:val="0"/>
      <w:marRight w:val="0"/>
      <w:marTop w:val="0"/>
      <w:marBottom w:val="0"/>
      <w:divBdr>
        <w:top w:val="none" w:sz="0" w:space="0" w:color="auto"/>
        <w:left w:val="none" w:sz="0" w:space="0" w:color="auto"/>
        <w:bottom w:val="none" w:sz="0" w:space="0" w:color="auto"/>
        <w:right w:val="none" w:sz="0" w:space="0" w:color="auto"/>
      </w:divBdr>
      <w:divsChild>
        <w:div w:id="24404195">
          <w:marLeft w:val="0"/>
          <w:marRight w:val="0"/>
          <w:marTop w:val="0"/>
          <w:marBottom w:val="0"/>
          <w:divBdr>
            <w:top w:val="none" w:sz="0" w:space="0" w:color="auto"/>
            <w:left w:val="none" w:sz="0" w:space="0" w:color="auto"/>
            <w:bottom w:val="none" w:sz="0" w:space="0" w:color="auto"/>
            <w:right w:val="none" w:sz="0" w:space="0" w:color="auto"/>
          </w:divBdr>
        </w:div>
        <w:div w:id="213855112">
          <w:marLeft w:val="0"/>
          <w:marRight w:val="0"/>
          <w:marTop w:val="0"/>
          <w:marBottom w:val="0"/>
          <w:divBdr>
            <w:top w:val="none" w:sz="0" w:space="0" w:color="auto"/>
            <w:left w:val="none" w:sz="0" w:space="0" w:color="auto"/>
            <w:bottom w:val="none" w:sz="0" w:space="0" w:color="auto"/>
            <w:right w:val="none" w:sz="0" w:space="0" w:color="auto"/>
          </w:divBdr>
        </w:div>
        <w:div w:id="277563309">
          <w:marLeft w:val="0"/>
          <w:marRight w:val="0"/>
          <w:marTop w:val="0"/>
          <w:marBottom w:val="0"/>
          <w:divBdr>
            <w:top w:val="none" w:sz="0" w:space="0" w:color="auto"/>
            <w:left w:val="none" w:sz="0" w:space="0" w:color="auto"/>
            <w:bottom w:val="none" w:sz="0" w:space="0" w:color="auto"/>
            <w:right w:val="none" w:sz="0" w:space="0" w:color="auto"/>
          </w:divBdr>
        </w:div>
        <w:div w:id="327293553">
          <w:marLeft w:val="0"/>
          <w:marRight w:val="0"/>
          <w:marTop w:val="0"/>
          <w:marBottom w:val="0"/>
          <w:divBdr>
            <w:top w:val="none" w:sz="0" w:space="0" w:color="auto"/>
            <w:left w:val="none" w:sz="0" w:space="0" w:color="auto"/>
            <w:bottom w:val="none" w:sz="0" w:space="0" w:color="auto"/>
            <w:right w:val="none" w:sz="0" w:space="0" w:color="auto"/>
          </w:divBdr>
        </w:div>
        <w:div w:id="337510453">
          <w:marLeft w:val="0"/>
          <w:marRight w:val="0"/>
          <w:marTop w:val="0"/>
          <w:marBottom w:val="0"/>
          <w:divBdr>
            <w:top w:val="none" w:sz="0" w:space="0" w:color="auto"/>
            <w:left w:val="none" w:sz="0" w:space="0" w:color="auto"/>
            <w:bottom w:val="none" w:sz="0" w:space="0" w:color="auto"/>
            <w:right w:val="none" w:sz="0" w:space="0" w:color="auto"/>
          </w:divBdr>
        </w:div>
        <w:div w:id="413211273">
          <w:marLeft w:val="0"/>
          <w:marRight w:val="0"/>
          <w:marTop w:val="0"/>
          <w:marBottom w:val="0"/>
          <w:divBdr>
            <w:top w:val="none" w:sz="0" w:space="0" w:color="auto"/>
            <w:left w:val="none" w:sz="0" w:space="0" w:color="auto"/>
            <w:bottom w:val="none" w:sz="0" w:space="0" w:color="auto"/>
            <w:right w:val="none" w:sz="0" w:space="0" w:color="auto"/>
          </w:divBdr>
        </w:div>
        <w:div w:id="441386278">
          <w:marLeft w:val="0"/>
          <w:marRight w:val="0"/>
          <w:marTop w:val="0"/>
          <w:marBottom w:val="0"/>
          <w:divBdr>
            <w:top w:val="none" w:sz="0" w:space="0" w:color="auto"/>
            <w:left w:val="none" w:sz="0" w:space="0" w:color="auto"/>
            <w:bottom w:val="none" w:sz="0" w:space="0" w:color="auto"/>
            <w:right w:val="none" w:sz="0" w:space="0" w:color="auto"/>
          </w:divBdr>
        </w:div>
        <w:div w:id="544755766">
          <w:marLeft w:val="0"/>
          <w:marRight w:val="0"/>
          <w:marTop w:val="0"/>
          <w:marBottom w:val="0"/>
          <w:divBdr>
            <w:top w:val="none" w:sz="0" w:space="0" w:color="auto"/>
            <w:left w:val="none" w:sz="0" w:space="0" w:color="auto"/>
            <w:bottom w:val="none" w:sz="0" w:space="0" w:color="auto"/>
            <w:right w:val="none" w:sz="0" w:space="0" w:color="auto"/>
          </w:divBdr>
        </w:div>
        <w:div w:id="584727391">
          <w:marLeft w:val="0"/>
          <w:marRight w:val="0"/>
          <w:marTop w:val="0"/>
          <w:marBottom w:val="0"/>
          <w:divBdr>
            <w:top w:val="none" w:sz="0" w:space="0" w:color="auto"/>
            <w:left w:val="none" w:sz="0" w:space="0" w:color="auto"/>
            <w:bottom w:val="none" w:sz="0" w:space="0" w:color="auto"/>
            <w:right w:val="none" w:sz="0" w:space="0" w:color="auto"/>
          </w:divBdr>
        </w:div>
        <w:div w:id="697850895">
          <w:marLeft w:val="0"/>
          <w:marRight w:val="0"/>
          <w:marTop w:val="0"/>
          <w:marBottom w:val="0"/>
          <w:divBdr>
            <w:top w:val="none" w:sz="0" w:space="0" w:color="auto"/>
            <w:left w:val="none" w:sz="0" w:space="0" w:color="auto"/>
            <w:bottom w:val="none" w:sz="0" w:space="0" w:color="auto"/>
            <w:right w:val="none" w:sz="0" w:space="0" w:color="auto"/>
          </w:divBdr>
        </w:div>
        <w:div w:id="729305678">
          <w:marLeft w:val="0"/>
          <w:marRight w:val="0"/>
          <w:marTop w:val="0"/>
          <w:marBottom w:val="0"/>
          <w:divBdr>
            <w:top w:val="none" w:sz="0" w:space="0" w:color="auto"/>
            <w:left w:val="none" w:sz="0" w:space="0" w:color="auto"/>
            <w:bottom w:val="none" w:sz="0" w:space="0" w:color="auto"/>
            <w:right w:val="none" w:sz="0" w:space="0" w:color="auto"/>
          </w:divBdr>
        </w:div>
        <w:div w:id="907881452">
          <w:marLeft w:val="0"/>
          <w:marRight w:val="0"/>
          <w:marTop w:val="0"/>
          <w:marBottom w:val="0"/>
          <w:divBdr>
            <w:top w:val="none" w:sz="0" w:space="0" w:color="auto"/>
            <w:left w:val="none" w:sz="0" w:space="0" w:color="auto"/>
            <w:bottom w:val="none" w:sz="0" w:space="0" w:color="auto"/>
            <w:right w:val="none" w:sz="0" w:space="0" w:color="auto"/>
          </w:divBdr>
        </w:div>
        <w:div w:id="913273250">
          <w:marLeft w:val="0"/>
          <w:marRight w:val="0"/>
          <w:marTop w:val="0"/>
          <w:marBottom w:val="0"/>
          <w:divBdr>
            <w:top w:val="none" w:sz="0" w:space="0" w:color="auto"/>
            <w:left w:val="none" w:sz="0" w:space="0" w:color="auto"/>
            <w:bottom w:val="none" w:sz="0" w:space="0" w:color="auto"/>
            <w:right w:val="none" w:sz="0" w:space="0" w:color="auto"/>
          </w:divBdr>
        </w:div>
        <w:div w:id="952639581">
          <w:marLeft w:val="0"/>
          <w:marRight w:val="0"/>
          <w:marTop w:val="0"/>
          <w:marBottom w:val="0"/>
          <w:divBdr>
            <w:top w:val="none" w:sz="0" w:space="0" w:color="auto"/>
            <w:left w:val="none" w:sz="0" w:space="0" w:color="auto"/>
            <w:bottom w:val="none" w:sz="0" w:space="0" w:color="auto"/>
            <w:right w:val="none" w:sz="0" w:space="0" w:color="auto"/>
          </w:divBdr>
        </w:div>
        <w:div w:id="965352238">
          <w:marLeft w:val="0"/>
          <w:marRight w:val="0"/>
          <w:marTop w:val="0"/>
          <w:marBottom w:val="0"/>
          <w:divBdr>
            <w:top w:val="none" w:sz="0" w:space="0" w:color="auto"/>
            <w:left w:val="none" w:sz="0" w:space="0" w:color="auto"/>
            <w:bottom w:val="none" w:sz="0" w:space="0" w:color="auto"/>
            <w:right w:val="none" w:sz="0" w:space="0" w:color="auto"/>
          </w:divBdr>
        </w:div>
        <w:div w:id="1023360582">
          <w:marLeft w:val="0"/>
          <w:marRight w:val="0"/>
          <w:marTop w:val="0"/>
          <w:marBottom w:val="0"/>
          <w:divBdr>
            <w:top w:val="none" w:sz="0" w:space="0" w:color="auto"/>
            <w:left w:val="none" w:sz="0" w:space="0" w:color="auto"/>
            <w:bottom w:val="none" w:sz="0" w:space="0" w:color="auto"/>
            <w:right w:val="none" w:sz="0" w:space="0" w:color="auto"/>
          </w:divBdr>
        </w:div>
        <w:div w:id="1043167609">
          <w:marLeft w:val="0"/>
          <w:marRight w:val="0"/>
          <w:marTop w:val="0"/>
          <w:marBottom w:val="0"/>
          <w:divBdr>
            <w:top w:val="none" w:sz="0" w:space="0" w:color="auto"/>
            <w:left w:val="none" w:sz="0" w:space="0" w:color="auto"/>
            <w:bottom w:val="none" w:sz="0" w:space="0" w:color="auto"/>
            <w:right w:val="none" w:sz="0" w:space="0" w:color="auto"/>
          </w:divBdr>
        </w:div>
        <w:div w:id="1137336668">
          <w:marLeft w:val="0"/>
          <w:marRight w:val="0"/>
          <w:marTop w:val="0"/>
          <w:marBottom w:val="0"/>
          <w:divBdr>
            <w:top w:val="none" w:sz="0" w:space="0" w:color="auto"/>
            <w:left w:val="none" w:sz="0" w:space="0" w:color="auto"/>
            <w:bottom w:val="none" w:sz="0" w:space="0" w:color="auto"/>
            <w:right w:val="none" w:sz="0" w:space="0" w:color="auto"/>
          </w:divBdr>
        </w:div>
        <w:div w:id="1221937753">
          <w:marLeft w:val="0"/>
          <w:marRight w:val="0"/>
          <w:marTop w:val="0"/>
          <w:marBottom w:val="0"/>
          <w:divBdr>
            <w:top w:val="none" w:sz="0" w:space="0" w:color="auto"/>
            <w:left w:val="none" w:sz="0" w:space="0" w:color="auto"/>
            <w:bottom w:val="none" w:sz="0" w:space="0" w:color="auto"/>
            <w:right w:val="none" w:sz="0" w:space="0" w:color="auto"/>
          </w:divBdr>
        </w:div>
        <w:div w:id="1315333071">
          <w:marLeft w:val="0"/>
          <w:marRight w:val="0"/>
          <w:marTop w:val="0"/>
          <w:marBottom w:val="0"/>
          <w:divBdr>
            <w:top w:val="none" w:sz="0" w:space="0" w:color="auto"/>
            <w:left w:val="none" w:sz="0" w:space="0" w:color="auto"/>
            <w:bottom w:val="none" w:sz="0" w:space="0" w:color="auto"/>
            <w:right w:val="none" w:sz="0" w:space="0" w:color="auto"/>
          </w:divBdr>
        </w:div>
        <w:div w:id="1378044240">
          <w:marLeft w:val="0"/>
          <w:marRight w:val="0"/>
          <w:marTop w:val="0"/>
          <w:marBottom w:val="0"/>
          <w:divBdr>
            <w:top w:val="none" w:sz="0" w:space="0" w:color="auto"/>
            <w:left w:val="none" w:sz="0" w:space="0" w:color="auto"/>
            <w:bottom w:val="none" w:sz="0" w:space="0" w:color="auto"/>
            <w:right w:val="none" w:sz="0" w:space="0" w:color="auto"/>
          </w:divBdr>
        </w:div>
        <w:div w:id="1394549636">
          <w:marLeft w:val="0"/>
          <w:marRight w:val="0"/>
          <w:marTop w:val="0"/>
          <w:marBottom w:val="0"/>
          <w:divBdr>
            <w:top w:val="none" w:sz="0" w:space="0" w:color="auto"/>
            <w:left w:val="none" w:sz="0" w:space="0" w:color="auto"/>
            <w:bottom w:val="none" w:sz="0" w:space="0" w:color="auto"/>
            <w:right w:val="none" w:sz="0" w:space="0" w:color="auto"/>
          </w:divBdr>
        </w:div>
        <w:div w:id="1438913298">
          <w:marLeft w:val="0"/>
          <w:marRight w:val="0"/>
          <w:marTop w:val="0"/>
          <w:marBottom w:val="0"/>
          <w:divBdr>
            <w:top w:val="none" w:sz="0" w:space="0" w:color="auto"/>
            <w:left w:val="none" w:sz="0" w:space="0" w:color="auto"/>
            <w:bottom w:val="none" w:sz="0" w:space="0" w:color="auto"/>
            <w:right w:val="none" w:sz="0" w:space="0" w:color="auto"/>
          </w:divBdr>
        </w:div>
        <w:div w:id="1457334776">
          <w:marLeft w:val="0"/>
          <w:marRight w:val="0"/>
          <w:marTop w:val="0"/>
          <w:marBottom w:val="0"/>
          <w:divBdr>
            <w:top w:val="none" w:sz="0" w:space="0" w:color="auto"/>
            <w:left w:val="none" w:sz="0" w:space="0" w:color="auto"/>
            <w:bottom w:val="none" w:sz="0" w:space="0" w:color="auto"/>
            <w:right w:val="none" w:sz="0" w:space="0" w:color="auto"/>
          </w:divBdr>
        </w:div>
        <w:div w:id="1475440544">
          <w:marLeft w:val="0"/>
          <w:marRight w:val="0"/>
          <w:marTop w:val="0"/>
          <w:marBottom w:val="0"/>
          <w:divBdr>
            <w:top w:val="none" w:sz="0" w:space="0" w:color="auto"/>
            <w:left w:val="none" w:sz="0" w:space="0" w:color="auto"/>
            <w:bottom w:val="none" w:sz="0" w:space="0" w:color="auto"/>
            <w:right w:val="none" w:sz="0" w:space="0" w:color="auto"/>
          </w:divBdr>
        </w:div>
        <w:div w:id="1747607191">
          <w:marLeft w:val="0"/>
          <w:marRight w:val="0"/>
          <w:marTop w:val="0"/>
          <w:marBottom w:val="0"/>
          <w:divBdr>
            <w:top w:val="none" w:sz="0" w:space="0" w:color="auto"/>
            <w:left w:val="none" w:sz="0" w:space="0" w:color="auto"/>
            <w:bottom w:val="none" w:sz="0" w:space="0" w:color="auto"/>
            <w:right w:val="none" w:sz="0" w:space="0" w:color="auto"/>
          </w:divBdr>
        </w:div>
        <w:div w:id="1749645328">
          <w:marLeft w:val="0"/>
          <w:marRight w:val="0"/>
          <w:marTop w:val="0"/>
          <w:marBottom w:val="0"/>
          <w:divBdr>
            <w:top w:val="none" w:sz="0" w:space="0" w:color="auto"/>
            <w:left w:val="none" w:sz="0" w:space="0" w:color="auto"/>
            <w:bottom w:val="none" w:sz="0" w:space="0" w:color="auto"/>
            <w:right w:val="none" w:sz="0" w:space="0" w:color="auto"/>
          </w:divBdr>
        </w:div>
        <w:div w:id="1816332785">
          <w:marLeft w:val="0"/>
          <w:marRight w:val="0"/>
          <w:marTop w:val="0"/>
          <w:marBottom w:val="0"/>
          <w:divBdr>
            <w:top w:val="none" w:sz="0" w:space="0" w:color="auto"/>
            <w:left w:val="none" w:sz="0" w:space="0" w:color="auto"/>
            <w:bottom w:val="none" w:sz="0" w:space="0" w:color="auto"/>
            <w:right w:val="none" w:sz="0" w:space="0" w:color="auto"/>
          </w:divBdr>
        </w:div>
        <w:div w:id="1861044484">
          <w:marLeft w:val="0"/>
          <w:marRight w:val="0"/>
          <w:marTop w:val="0"/>
          <w:marBottom w:val="0"/>
          <w:divBdr>
            <w:top w:val="none" w:sz="0" w:space="0" w:color="auto"/>
            <w:left w:val="none" w:sz="0" w:space="0" w:color="auto"/>
            <w:bottom w:val="none" w:sz="0" w:space="0" w:color="auto"/>
            <w:right w:val="none" w:sz="0" w:space="0" w:color="auto"/>
          </w:divBdr>
        </w:div>
        <w:div w:id="2003657925">
          <w:marLeft w:val="0"/>
          <w:marRight w:val="0"/>
          <w:marTop w:val="0"/>
          <w:marBottom w:val="0"/>
          <w:divBdr>
            <w:top w:val="none" w:sz="0" w:space="0" w:color="auto"/>
            <w:left w:val="none" w:sz="0" w:space="0" w:color="auto"/>
            <w:bottom w:val="none" w:sz="0" w:space="0" w:color="auto"/>
            <w:right w:val="none" w:sz="0" w:space="0" w:color="auto"/>
          </w:divBdr>
        </w:div>
        <w:div w:id="20480957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doe.mass.edu/edeval/rubrics/" TargetMode="External"/><Relationship Id="rId21" Type="http://schemas.openxmlformats.org/officeDocument/2006/relationships/hyperlink" Target="https://www.doe.mass.edu/lawsregs/603cmr7.html?section=03" TargetMode="External"/><Relationship Id="rId42" Type="http://schemas.openxmlformats.org/officeDocument/2006/relationships/hyperlink" Target="https://www.doe.mass.edu/edprep/resources/guidelines-advisories/" TargetMode="External"/><Relationship Id="rId47" Type="http://schemas.openxmlformats.org/officeDocument/2006/relationships/hyperlink" Target="https://www.doe.mass.edu/edprep/review/toolkit/informal/" TargetMode="External"/><Relationship Id="rId63" Type="http://schemas.openxmlformats.org/officeDocument/2006/relationships/hyperlink" Target="https://www.doe.mass.edu/edprep/domains/improvement/edwin/" TargetMode="External"/><Relationship Id="rId68" Type="http://schemas.openxmlformats.org/officeDocument/2006/relationships/hyperlink" Target="http://www.doe.mass.edu/lawsregs/603cmr7.html?section=07" TargetMode="External"/><Relationship Id="rId84" Type="http://schemas.openxmlformats.org/officeDocument/2006/relationships/hyperlink" Target="https://tntp.org/publications/view/the-opportunity-myth" TargetMode="External"/><Relationship Id="rId89" Type="http://schemas.openxmlformats.org/officeDocument/2006/relationships/hyperlink" Target="http://www.doe.mass.edu/instruction/curate/resources.html" TargetMode="External"/><Relationship Id="rId112" Type="http://schemas.openxmlformats.org/officeDocument/2006/relationships/footer" Target="footer2.xml"/><Relationship Id="rId16" Type="http://schemas.openxmlformats.org/officeDocument/2006/relationships/hyperlink" Target="https://www.doe.mass.edu/massliteracy/" TargetMode="External"/><Relationship Id="rId107" Type="http://schemas.openxmlformats.org/officeDocument/2006/relationships/hyperlink" Target="https://www.doe.mass.edu/instruction/impd/default.html" TargetMode="External"/><Relationship Id="rId11" Type="http://schemas.openxmlformats.org/officeDocument/2006/relationships/image" Target="media/image1.png"/><Relationship Id="rId24" Type="http://schemas.openxmlformats.org/officeDocument/2006/relationships/hyperlink" Target="https://www.doe.mass.edu/edprep/resources/guidelines-advisories/" TargetMode="External"/><Relationship Id="rId32" Type="http://schemas.openxmlformats.org/officeDocument/2006/relationships/hyperlink" Target="https://www.doe.mass.edu/edprep/domains/field-based/pre-practicum.docx" TargetMode="External"/><Relationship Id="rId37" Type="http://schemas.openxmlformats.org/officeDocument/2006/relationships/hyperlink" Target="https://www.doe.mass.edu/edprep/resources/guidelines-advisories/" TargetMode="External"/><Relationship Id="rId40" Type="http://schemas.openxmlformats.org/officeDocument/2006/relationships/hyperlink" Target="https://www.doe.mass.edu/edprep/resources/guidelines-advisories/" TargetMode="External"/><Relationship Id="rId45" Type="http://schemas.openxmlformats.org/officeDocument/2006/relationships/hyperlink" Target="https://www.doe.mass.edu/edprep/review/toolkit/" TargetMode="External"/><Relationship Id="rId53" Type="http://schemas.openxmlformats.org/officeDocument/2006/relationships/hyperlink" Target="https://www.doe.mass.edu/edprep/review/toolkit/" TargetMode="External"/><Relationship Id="rId58" Type="http://schemas.openxmlformats.org/officeDocument/2006/relationships/hyperlink" Target="https://title2.ed.gov/Public/Home.aspx" TargetMode="External"/><Relationship Id="rId66" Type="http://schemas.openxmlformats.org/officeDocument/2006/relationships/hyperlink" Target="http://www.doe.mass.edu/lawsregs/603cmr7.html?section=06" TargetMode="External"/><Relationship Id="rId74" Type="http://schemas.openxmlformats.org/officeDocument/2006/relationships/hyperlink" Target="https://www.doe.mass.edu/edprep/resources/guidelines-advisories/" TargetMode="External"/><Relationship Id="rId79" Type="http://schemas.openxmlformats.org/officeDocument/2006/relationships/hyperlink" Target="https://www.brookings.edu/research/never-judge-a-book-by-its-cover-use-student-achievement-instead/" TargetMode="External"/><Relationship Id="rId87" Type="http://schemas.openxmlformats.org/officeDocument/2006/relationships/hyperlink" Target="https://www.edreports.org/" TargetMode="External"/><Relationship Id="rId102" Type="http://schemas.openxmlformats.org/officeDocument/2006/relationships/hyperlink" Target="https://www.doe.mass.edu/edprep/resources/guidelines-advisories/bilingual-guide.docx" TargetMode="External"/><Relationship Id="rId110" Type="http://schemas.openxmlformats.org/officeDocument/2006/relationships/footer" Target="footer1.xml"/><Relationship Id="rId115"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profiles.doe.mass.edu/" TargetMode="External"/><Relationship Id="rId82" Type="http://schemas.openxmlformats.org/officeDocument/2006/relationships/hyperlink" Target="http://www.doe.mass.edu/frameworks/current.html" TargetMode="External"/><Relationship Id="rId90" Type="http://schemas.openxmlformats.org/officeDocument/2006/relationships/hyperlink" Target="https://achievethecore.org/page/1946/instructional-materials-evaluation-tool" TargetMode="External"/><Relationship Id="rId95" Type="http://schemas.openxmlformats.org/officeDocument/2006/relationships/hyperlink" Target="https://www.doe.mass.edu/edprep/resources/guidelines-advisories/leadership-guide.pdf" TargetMode="External"/><Relationship Id="rId19" Type="http://schemas.openxmlformats.org/officeDocument/2006/relationships/hyperlink" Target="https://www.doe.mass.edu/edprep/resources/guidelines-advisories/leadership-guide.pdf" TargetMode="External"/><Relationship Id="rId14" Type="http://schemas.openxmlformats.org/officeDocument/2006/relationships/hyperlink" Target="https://www.doe.mass.edu/instruction/culturally-responsive/default.html" TargetMode="External"/><Relationship Id="rId22" Type="http://schemas.openxmlformats.org/officeDocument/2006/relationships/hyperlink" Target="https://www.doe.mass.edu/edprep/resources/guidelines-advisories/" TargetMode="External"/><Relationship Id="rId27" Type="http://schemas.openxmlformats.org/officeDocument/2006/relationships/hyperlink" Target="https://www.doe.mass.edu/edeval/rubrics/" TargetMode="External"/><Relationship Id="rId30" Type="http://schemas.openxmlformats.org/officeDocument/2006/relationships/hyperlink" Target="https://www.doe.mass.edu/edeval/default.html" TargetMode="External"/><Relationship Id="rId35" Type="http://schemas.openxmlformats.org/officeDocument/2006/relationships/hyperlink" Target="https://www.doe.mass.edu/edprep/cap/" TargetMode="External"/><Relationship Id="rId43" Type="http://schemas.openxmlformats.org/officeDocument/2006/relationships/hyperlink" Target="https://www.doe.mass.edu/edprep/resources/guidelines-advisories/" TargetMode="External"/><Relationship Id="rId48" Type="http://schemas.openxmlformats.org/officeDocument/2006/relationships/hyperlink" Target="https://www.doe.mass.edu/edprep/review/toolkit/" TargetMode="External"/><Relationship Id="rId56" Type="http://schemas.openxmlformats.org/officeDocument/2006/relationships/hyperlink" Target="https://malegislature.gov/Laws/GeneralLaws/PartI/TitleIII/Chapter30A/Section13" TargetMode="External"/><Relationship Id="rId64" Type="http://schemas.openxmlformats.org/officeDocument/2006/relationships/hyperlink" Target="https://www.doe.mass.edu/lawsregs/603cmr7.html?section=03" TargetMode="External"/><Relationship Id="rId69" Type="http://schemas.openxmlformats.org/officeDocument/2006/relationships/hyperlink" Target="http://www.doe.mass.edu/lawsregs/603cmr7.html?section=08" TargetMode="External"/><Relationship Id="rId77" Type="http://schemas.openxmlformats.org/officeDocument/2006/relationships/hyperlink" Target="https://cepr.harvard.edu/files/cepr/files/teaching-higher-report.pdf" TargetMode="External"/><Relationship Id="rId100" Type="http://schemas.openxmlformats.org/officeDocument/2006/relationships/hyperlink" Target="https://www.doe.mass.edu/edprep/resources/guidelines-advisories/at-aac-guide.docx" TargetMode="External"/><Relationship Id="rId105" Type="http://schemas.openxmlformats.org/officeDocument/2006/relationships/hyperlink" Target="https://www.doe.mass.edu/instruction/culturally-responsive/default.html" TargetMode="External"/><Relationship Id="rId113"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malegislature.gov/Laws/GeneralLaws/PartI/TitleIII/Chapter30A/Section13" TargetMode="External"/><Relationship Id="rId72" Type="http://schemas.openxmlformats.org/officeDocument/2006/relationships/hyperlink" Target="https://www.doe.mass.edu/edprep/resources/guidelines-advisories/" TargetMode="External"/><Relationship Id="rId80" Type="http://schemas.openxmlformats.org/officeDocument/2006/relationships/hyperlink" Target="https://opportunitymyth.tntp.org/" TargetMode="External"/><Relationship Id="rId85" Type="http://schemas.openxmlformats.org/officeDocument/2006/relationships/hyperlink" Target="http://www.doe.mass.edu/instruction/curate/" TargetMode="External"/><Relationship Id="rId93" Type="http://schemas.openxmlformats.org/officeDocument/2006/relationships/hyperlink" Target="https://www.doe.mass.edu/edprep/resources/guidelines-advisories/" TargetMode="External"/><Relationship Id="rId98" Type="http://schemas.openxmlformats.org/officeDocument/2006/relationships/hyperlink" Target="https://www.doe.mass.edu/edprep/resources/guidelines-advisories/teachers-guide.docx" TargetMode="External"/><Relationship Id="rId3" Type="http://schemas.openxmlformats.org/officeDocument/2006/relationships/customXml" Target="../customXml/item3.xml"/><Relationship Id="rId12" Type="http://schemas.openxmlformats.org/officeDocument/2006/relationships/hyperlink" Target="https://number1forsome.org/" TargetMode="External"/><Relationship Id="rId17" Type="http://schemas.openxmlformats.org/officeDocument/2006/relationships/hyperlink" Target="https://www.doe.mass.edu/instruction/impd/" TargetMode="External"/><Relationship Id="rId25" Type="http://schemas.openxmlformats.org/officeDocument/2006/relationships/hyperlink" Target="https://www.doe.mass.edu/edeffectiveness/mentor/principal.html" TargetMode="External"/><Relationship Id="rId33" Type="http://schemas.openxmlformats.org/officeDocument/2006/relationships/hyperlink" Target="http://www.doe.mass.edu/lawsregs/603cmr7.html?section=04" TargetMode="External"/><Relationship Id="rId38" Type="http://schemas.openxmlformats.org/officeDocument/2006/relationships/hyperlink" Target="https://www.doe.mass.edu/edprep/resources/guidelines-advisories/" TargetMode="External"/><Relationship Id="rId46" Type="http://schemas.openxmlformats.org/officeDocument/2006/relationships/hyperlink" Target="https://www.doe.mass.edu/edprep/review/toolkit/informal/" TargetMode="External"/><Relationship Id="rId59" Type="http://schemas.openxmlformats.org/officeDocument/2006/relationships/hyperlink" Target="https://www.doe.mass.edu/lawsregs/603cmr7.html?section=03" TargetMode="External"/><Relationship Id="rId67" Type="http://schemas.openxmlformats.org/officeDocument/2006/relationships/hyperlink" Target="http://www.doe.mass.edu/lawsregs/603cmr7.html?section=06" TargetMode="External"/><Relationship Id="rId103" Type="http://schemas.openxmlformats.org/officeDocument/2006/relationships/hyperlink" Target="https://www.doe.mass.edu/edprep/resources/guidelines-advisories/tse-guide.docx" TargetMode="External"/><Relationship Id="rId108" Type="http://schemas.openxmlformats.org/officeDocument/2006/relationships/header" Target="header1.xml"/><Relationship Id="rId116" Type="http://schemas.microsoft.com/office/2019/05/relationships/documenttasks" Target="documenttasks/documenttasks1.xml"/><Relationship Id="rId20" Type="http://schemas.openxmlformats.org/officeDocument/2006/relationships/image" Target="media/image2.PNG"/><Relationship Id="rId41" Type="http://schemas.openxmlformats.org/officeDocument/2006/relationships/hyperlink" Target="https://www.doe.mass.edu/edprep/resources/guidelines-advisories/" TargetMode="External"/><Relationship Id="rId54" Type="http://schemas.openxmlformats.org/officeDocument/2006/relationships/hyperlink" Target="https://malegislature.gov/Laws/GeneralLaws/PartI/TitleIII/Chapter30A/Section13" TargetMode="External"/><Relationship Id="rId62" Type="http://schemas.openxmlformats.org/officeDocument/2006/relationships/hyperlink" Target="https://profiles.doe.mass.edu/search/search.aspx?leftNavId=11238" TargetMode="External"/><Relationship Id="rId70" Type="http://schemas.openxmlformats.org/officeDocument/2006/relationships/hyperlink" Target="https://www.doe.mass.edu/edprep/resources/guidelines-advisories/" TargetMode="External"/><Relationship Id="rId75" Type="http://schemas.openxmlformats.org/officeDocument/2006/relationships/hyperlink" Target="https://www.doe.mass.edu/edprep/resources/guidelines-advisories/" TargetMode="External"/><Relationship Id="rId83" Type="http://schemas.openxmlformats.org/officeDocument/2006/relationships/hyperlink" Target="http://www.doe.mass.edu/frameworks/search/" TargetMode="External"/><Relationship Id="rId88" Type="http://schemas.openxmlformats.org/officeDocument/2006/relationships/hyperlink" Target="https://www.doe.mass.edu/stem/dlcs/curriculum-guide.pdf" TargetMode="External"/><Relationship Id="rId91" Type="http://schemas.openxmlformats.org/officeDocument/2006/relationships/hyperlink" Target="https://www.achieve.org/our-initiatives/equip/equip" TargetMode="External"/><Relationship Id="rId96" Type="http://schemas.openxmlformats.org/officeDocument/2006/relationships/hyperlink" Target="https://www.doe.mass.edu/edprep/domains/field-based/pre-practicum.docx" TargetMode="External"/><Relationship Id="rId11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oe.mass.edu/massliteracy/" TargetMode="External"/><Relationship Id="rId23" Type="http://schemas.openxmlformats.org/officeDocument/2006/relationships/hyperlink" Target="https://www.doe.mass.edu/frameworks/current.html" TargetMode="External"/><Relationship Id="rId28" Type="http://schemas.openxmlformats.org/officeDocument/2006/relationships/hyperlink" Target="https://www.doe.mass.edu/edprep/resources/guidelines-advisories/" TargetMode="External"/><Relationship Id="rId36" Type="http://schemas.openxmlformats.org/officeDocument/2006/relationships/hyperlink" Target="https://www.doe.mass.edu/edprep/resources/guidelines-advisories/" TargetMode="External"/><Relationship Id="rId49" Type="http://schemas.openxmlformats.org/officeDocument/2006/relationships/hyperlink" Target="https://www.doe.mass.edu/edprep/review/toolkit/" TargetMode="External"/><Relationship Id="rId57" Type="http://schemas.openxmlformats.org/officeDocument/2006/relationships/hyperlink" Target="http://profiles.doe.mass.edu/search/search.aspx?leftNavId=11238" TargetMode="External"/><Relationship Id="rId106" Type="http://schemas.openxmlformats.org/officeDocument/2006/relationships/hyperlink" Target="https://www.doe.mass.edu/instruction/impd/default.html" TargetMode="External"/><Relationship Id="rId114"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yperlink" Target="https://www.doe.mass.edu/edprep/cap/2020-21guidelines.docx" TargetMode="External"/><Relationship Id="rId44" Type="http://schemas.openxmlformats.org/officeDocument/2006/relationships/hyperlink" Target="https://www.doe.mass.edu/edprep/review/toolkit/" TargetMode="External"/><Relationship Id="rId52" Type="http://schemas.openxmlformats.org/officeDocument/2006/relationships/hyperlink" Target="https://www.mass.gov/doc/801-cmr-1-standard-adjudicatory-rules/download" TargetMode="External"/><Relationship Id="rId60" Type="http://schemas.openxmlformats.org/officeDocument/2006/relationships/hyperlink" Target="https://title2.ed.gov/" TargetMode="External"/><Relationship Id="rId65" Type="http://schemas.openxmlformats.org/officeDocument/2006/relationships/hyperlink" Target="https://www.doe.mass.edu/lawsregs/603cmr7.html?section=03" TargetMode="External"/><Relationship Id="rId73" Type="http://schemas.openxmlformats.org/officeDocument/2006/relationships/hyperlink" Target="https://www.doe.mass.edu/edprep/resources/guidelines-advisories/" TargetMode="External"/><Relationship Id="rId78" Type="http://schemas.openxmlformats.org/officeDocument/2006/relationships/hyperlink" Target="https://www.brookings.edu/wp-content/uploads/2016/06/0410_curriculum_chingos_whitehurst.pdf" TargetMode="External"/><Relationship Id="rId81" Type="http://schemas.openxmlformats.org/officeDocument/2006/relationships/hyperlink" Target="https://www.doe.mass.edu/instruction/culturally-responsive/default.html" TargetMode="External"/><Relationship Id="rId86" Type="http://schemas.openxmlformats.org/officeDocument/2006/relationships/hyperlink" Target="http://www.doe.mass.edu/instruction/curate/" TargetMode="External"/><Relationship Id="rId94" Type="http://schemas.openxmlformats.org/officeDocument/2006/relationships/hyperlink" Target="https://www.doe.mass.edu/edprep/resources/guidelines-advisories/" TargetMode="External"/><Relationship Id="rId99" Type="http://schemas.openxmlformats.org/officeDocument/2006/relationships/hyperlink" Target="https://www.doe.mass.edu/edprep/domains/instruction/smk-guidelines.docx" TargetMode="External"/><Relationship Id="rId101" Type="http://schemas.openxmlformats.org/officeDocument/2006/relationships/hyperlink" Target="https://www.doe.mass.edu/edprep/resources/guidelines-advisories/special-guide.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doe.mass.edu/infoservices/reports/gradrates/" TargetMode="External"/><Relationship Id="rId18" Type="http://schemas.openxmlformats.org/officeDocument/2006/relationships/hyperlink" Target="https://www.doe.mass.edu/instruction/impd/" TargetMode="External"/><Relationship Id="rId39" Type="http://schemas.openxmlformats.org/officeDocument/2006/relationships/hyperlink" Target="https://www.doe.mass.edu/edprep/resources/guidelines-advisories/" TargetMode="External"/><Relationship Id="rId109" Type="http://schemas.openxmlformats.org/officeDocument/2006/relationships/header" Target="header2.xml"/><Relationship Id="rId34" Type="http://schemas.openxmlformats.org/officeDocument/2006/relationships/hyperlink" Target="https://www.doe.mass.edu/edeval/default.html" TargetMode="External"/><Relationship Id="rId50" Type="http://schemas.openxmlformats.org/officeDocument/2006/relationships/hyperlink" Target="https://www.doe.mass.edu/lawsregs/603cmr7.html?section=03" TargetMode="External"/><Relationship Id="rId55" Type="http://schemas.openxmlformats.org/officeDocument/2006/relationships/hyperlink" Target="https://www.mass.gov/regulations/801-CMR-100-standard-adjudicatory-rules-of-practice-and-procedure" TargetMode="External"/><Relationship Id="rId76" Type="http://schemas.openxmlformats.org/officeDocument/2006/relationships/hyperlink" Target="https://www.doe.mass.edu/instruction/impd/default.html" TargetMode="External"/><Relationship Id="rId97" Type="http://schemas.openxmlformats.org/officeDocument/2006/relationships/hyperlink" Target="https://www.doe.mass.edu/edprep/cap/2020-21guidelines.docx" TargetMode="External"/><Relationship Id="rId104" Type="http://schemas.openxmlformats.org/officeDocument/2006/relationships/hyperlink" Target="https://www.doe.mass.edu/edprep/resources/guidelines-advisories/sei-standalone-requirement.pdf" TargetMode="External"/><Relationship Id="rId7" Type="http://schemas.openxmlformats.org/officeDocument/2006/relationships/settings" Target="settings.xml"/><Relationship Id="rId71" Type="http://schemas.openxmlformats.org/officeDocument/2006/relationships/hyperlink" Target="https://www.doe.mass.edu/edprep/resources/guidelines-advisories/" TargetMode="External"/><Relationship Id="rId92" Type="http://schemas.openxmlformats.org/officeDocument/2006/relationships/hyperlink" Target="https://research.steinhardt.nyu.edu/scmsAdmin/media/users/atn293/ejroc/CRE-Rubric-2018-190211.pdf" TargetMode="External"/><Relationship Id="rId2" Type="http://schemas.openxmlformats.org/officeDocument/2006/relationships/customXml" Target="../customXml/item2.xml"/><Relationship Id="rId29" Type="http://schemas.openxmlformats.org/officeDocument/2006/relationships/hyperlink" Target="https://www.doe.mass.edu/edprep/resources/guidelines-advisori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doe.mass.edu/edeval/rubrics/updates/" TargetMode="External"/><Relationship Id="rId13" Type="http://schemas.openxmlformats.org/officeDocument/2006/relationships/hyperlink" Target="https://www.doe.mass.edu/edeval/rubrics/updates/" TargetMode="External"/><Relationship Id="rId3" Type="http://schemas.openxmlformats.org/officeDocument/2006/relationships/hyperlink" Target="https://doi.org/10.3102/0091732X16688623" TargetMode="External"/><Relationship Id="rId7" Type="http://schemas.openxmlformats.org/officeDocument/2006/relationships/hyperlink" Target="https://view.officeapps.live.com/op/view.aspx?src=https%3A%2F%2Fwww.doe.mass.edu%2Flicensure%2Fresources%2Fmatching-licenses.docx&amp;wdOrigin=BROWSELINK" TargetMode="External"/><Relationship Id="rId12" Type="http://schemas.openxmlformats.org/officeDocument/2006/relationships/hyperlink" Target="https://www.doe.mass.edu/lawsregs/603cmr7.html?section=all" TargetMode="External"/><Relationship Id="rId2" Type="http://schemas.openxmlformats.org/officeDocument/2006/relationships/hyperlink" Target="http://www.rtinetwork.org/learn/diversity/disproportionaterepresentation" TargetMode="External"/><Relationship Id="rId1" Type="http://schemas.openxmlformats.org/officeDocument/2006/relationships/hyperlink" Target="https://number1forsome.org/wp-content/uploads/sites/4/2018/09/Number-1-for-Some-9.25-18.pdf" TargetMode="External"/><Relationship Id="rId6" Type="http://schemas.openxmlformats.org/officeDocument/2006/relationships/hyperlink" Target="https://www.doe.mass.edu/licensure/lookup/" TargetMode="External"/><Relationship Id="rId11" Type="http://schemas.openxmlformats.org/officeDocument/2006/relationships/hyperlink" Target="https://www.doe.mass.edu/edprep/resources/guidelines-advisories/program-approval/anticipated-review-timelines.pdf" TargetMode="External"/><Relationship Id="rId5" Type="http://schemas.openxmlformats.org/officeDocument/2006/relationships/hyperlink" Target="https://www.doe.mass.edu/edeval/rubrics/updates/" TargetMode="External"/><Relationship Id="rId15" Type="http://schemas.openxmlformats.org/officeDocument/2006/relationships/hyperlink" Target="https://www.doe.mass.edu/edeval/rubrics/updates/" TargetMode="External"/><Relationship Id="rId10" Type="http://schemas.openxmlformats.org/officeDocument/2006/relationships/hyperlink" Target="https://www.doe.mass.edu/edeval/rubrics/updates/" TargetMode="External"/><Relationship Id="rId4" Type="http://schemas.openxmlformats.org/officeDocument/2006/relationships/hyperlink" Target="https://www.doe.mass.edu/edeval/rubrics/updates/" TargetMode="External"/><Relationship Id="rId9" Type="http://schemas.openxmlformats.org/officeDocument/2006/relationships/hyperlink" Target="https://www.doe.mass.edu/pal/resources.html" TargetMode="External"/><Relationship Id="rId14" Type="http://schemas.openxmlformats.org/officeDocument/2006/relationships/hyperlink" Target="https://www.doe.mass.edu/edeval/rubrics/updat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documenttasks/documenttasks1.xml><?xml version="1.0" encoding="utf-8"?>
<t:Tasks xmlns:t="http://schemas.microsoft.com/office/tasks/2019/documenttasks" xmlns:oel="http://schemas.microsoft.com/office/2019/extlst">
  <t:Task id="{630B9505-CAF6-4A7D-9B2E-6D6EB0B0097C}">
    <t:Anchor>
      <t:Comment id="943274152"/>
    </t:Anchor>
    <t:History>
      <t:Event id="{8BFFA79F-098E-4C7E-A26E-991B35ACD3D8}" time="2023-01-05T17:34:27.3Z">
        <t:Attribution userId="S::grace.a.kingsbery@mass.gov::5675b5dc-d005-4d66-8b1b-0dbf919de2bf" userProvider="AD" userName="Kingsbery, Grace A. (DESE)"/>
        <t:Anchor>
          <t:Comment id="943274152"/>
        </t:Anchor>
        <t:Create/>
      </t:Event>
      <t:Event id="{B5FBC304-4823-4B09-A62E-C84F29039ABA}" time="2023-01-05T17:34:27.3Z">
        <t:Attribution userId="S::grace.a.kingsbery@mass.gov::5675b5dc-d005-4d66-8b1b-0dbf919de2bf" userProvider="AD" userName="Kingsbery, Grace A. (DESE)"/>
        <t:Anchor>
          <t:Comment id="943274152"/>
        </t:Anchor>
        <t:Assign userId="S::Lindsay.Zorich@mass.gov::e000313c-32bf-4e7b-9a16-d8cab6b4976b" userProvider="AD" userName="Zorich, Lindsay  (DESE)"/>
      </t:Event>
      <t:Event id="{B0F98231-5742-449F-B0BB-5B959EC90679}" time="2023-01-05T17:34:27.3Z">
        <t:Attribution userId="S::grace.a.kingsbery@mass.gov::5675b5dc-d005-4d66-8b1b-0dbf919de2bf" userProvider="AD" userName="Kingsbery, Grace A. (DESE)"/>
        <t:Anchor>
          <t:Comment id="943274152"/>
        </t:Anchor>
        <t:SetTitle title="@Zorich, Lindsay (DESE) Could you please share this document? The original link in the table of contents was broken."/>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C1FF657A974792B6E5C5E522924253"/>
        <w:category>
          <w:name w:val="General"/>
          <w:gallery w:val="placeholder"/>
        </w:category>
        <w:types>
          <w:type w:val="bbPlcHdr"/>
        </w:types>
        <w:behaviors>
          <w:behavior w:val="content"/>
        </w:behaviors>
        <w:guid w:val="{FB389846-0169-4E39-AAAC-9B9D454D1EBD}"/>
      </w:docPartPr>
      <w:docPartBody>
        <w:p w:rsidR="00515116" w:rsidRDefault="00515116"/>
      </w:docPartBody>
    </w:docPart>
    <w:docPart>
      <w:docPartPr>
        <w:name w:val="F9D6A1E739F744098B4A99D343EBEFA5"/>
        <w:category>
          <w:name w:val="General"/>
          <w:gallery w:val="placeholder"/>
        </w:category>
        <w:types>
          <w:type w:val="bbPlcHdr"/>
        </w:types>
        <w:behaviors>
          <w:behavior w:val="content"/>
        </w:behaviors>
        <w:guid w:val="{8A33E012-D91B-4A9A-8CF5-A1BFC2B604DD}"/>
      </w:docPartPr>
      <w:docPartBody>
        <w:p w:rsidR="00BE3B55" w:rsidRDefault="00BE3B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B0C"/>
    <w:rsid w:val="000311F8"/>
    <w:rsid w:val="0005689A"/>
    <w:rsid w:val="00111D1D"/>
    <w:rsid w:val="00193C5C"/>
    <w:rsid w:val="00254A06"/>
    <w:rsid w:val="00255E60"/>
    <w:rsid w:val="00284C2E"/>
    <w:rsid w:val="00515116"/>
    <w:rsid w:val="00584B0C"/>
    <w:rsid w:val="005D23E6"/>
    <w:rsid w:val="007635C3"/>
    <w:rsid w:val="009813C9"/>
    <w:rsid w:val="00BE3B55"/>
    <w:rsid w:val="00BF2694"/>
    <w:rsid w:val="00D00A33"/>
    <w:rsid w:val="00D4432F"/>
    <w:rsid w:val="00FB42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4" ma:contentTypeDescription="Create a new document." ma:contentTypeScope="" ma:versionID="93baf2a09268c3a95b048045785e5e9d">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a5e9959aeee1ace5b0f9ba1f7c3386f7"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79D2E4-53DA-4A37-86E3-FE8D9EE9F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EE1F41-2A8E-45BA-B892-1F6AFEEBDD1A}">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BF7922A7-E181-4694-87B6-21A83CDE362A}">
  <ds:schemaRefs>
    <ds:schemaRef ds:uri="http://schemas.openxmlformats.org/officeDocument/2006/bibliography"/>
  </ds:schemaRefs>
</ds:datastoreItem>
</file>

<file path=customXml/itemProps4.xml><?xml version="1.0" encoding="utf-8"?>
<ds:datastoreItem xmlns:ds="http://schemas.openxmlformats.org/officeDocument/2006/customXml" ds:itemID="{CF8C39E2-33C7-4511-A6E5-BB591ABD86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74</Pages>
  <Words>24386</Words>
  <Characters>139006</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163066</CharactersWithSpaces>
  <SharedDoc>false</SharedDoc>
  <HLinks>
    <vt:vector size="924" baseType="variant">
      <vt:variant>
        <vt:i4>7274606</vt:i4>
      </vt:variant>
      <vt:variant>
        <vt:i4>498</vt:i4>
      </vt:variant>
      <vt:variant>
        <vt:i4>0</vt:i4>
      </vt:variant>
      <vt:variant>
        <vt:i4>5</vt:i4>
      </vt:variant>
      <vt:variant>
        <vt:lpwstr>https://www.doe.mass.edu/instruction/impd/default.html</vt:lpwstr>
      </vt:variant>
      <vt:variant>
        <vt:lpwstr/>
      </vt:variant>
      <vt:variant>
        <vt:i4>720997</vt:i4>
      </vt:variant>
      <vt:variant>
        <vt:i4>495</vt:i4>
      </vt:variant>
      <vt:variant>
        <vt:i4>0</vt:i4>
      </vt:variant>
      <vt:variant>
        <vt:i4>5</vt:i4>
      </vt:variant>
      <vt:variant>
        <vt:lpwstr/>
      </vt:variant>
      <vt:variant>
        <vt:lpwstr>_Appendix_D:_Curriculum</vt:lpwstr>
      </vt:variant>
      <vt:variant>
        <vt:i4>7274606</vt:i4>
      </vt:variant>
      <vt:variant>
        <vt:i4>492</vt:i4>
      </vt:variant>
      <vt:variant>
        <vt:i4>0</vt:i4>
      </vt:variant>
      <vt:variant>
        <vt:i4>5</vt:i4>
      </vt:variant>
      <vt:variant>
        <vt:lpwstr>https://www.doe.mass.edu/instruction/impd/default.html</vt:lpwstr>
      </vt:variant>
      <vt:variant>
        <vt:lpwstr/>
      </vt:variant>
      <vt:variant>
        <vt:i4>2883697</vt:i4>
      </vt:variant>
      <vt:variant>
        <vt:i4>489</vt:i4>
      </vt:variant>
      <vt:variant>
        <vt:i4>0</vt:i4>
      </vt:variant>
      <vt:variant>
        <vt:i4>5</vt:i4>
      </vt:variant>
      <vt:variant>
        <vt:lpwstr>https://www.doe.mass.edu/instruction/culturally-responsive/default.html</vt:lpwstr>
      </vt:variant>
      <vt:variant>
        <vt:lpwstr/>
      </vt:variant>
      <vt:variant>
        <vt:i4>7012450</vt:i4>
      </vt:variant>
      <vt:variant>
        <vt:i4>486</vt:i4>
      </vt:variant>
      <vt:variant>
        <vt:i4>0</vt:i4>
      </vt:variant>
      <vt:variant>
        <vt:i4>5</vt:i4>
      </vt:variant>
      <vt:variant>
        <vt:lpwstr>https://www.doe.mass.edu/edprep/resources/guidelines-advisories/sei-standalone-requirement.pdf</vt:lpwstr>
      </vt:variant>
      <vt:variant>
        <vt:lpwstr/>
      </vt:variant>
      <vt:variant>
        <vt:i4>2883703</vt:i4>
      </vt:variant>
      <vt:variant>
        <vt:i4>483</vt:i4>
      </vt:variant>
      <vt:variant>
        <vt:i4>0</vt:i4>
      </vt:variant>
      <vt:variant>
        <vt:i4>5</vt:i4>
      </vt:variant>
      <vt:variant>
        <vt:lpwstr>https://www.doe.mass.edu/edprep/resources/guidelines-advisories/tse-guide.docx</vt:lpwstr>
      </vt:variant>
      <vt:variant>
        <vt:lpwstr/>
      </vt:variant>
      <vt:variant>
        <vt:i4>5832735</vt:i4>
      </vt:variant>
      <vt:variant>
        <vt:i4>480</vt:i4>
      </vt:variant>
      <vt:variant>
        <vt:i4>0</vt:i4>
      </vt:variant>
      <vt:variant>
        <vt:i4>5</vt:i4>
      </vt:variant>
      <vt:variant>
        <vt:lpwstr>https://www.doe.mass.edu/edprep/resources/guidelines-advisories/bilingual-guide.docx</vt:lpwstr>
      </vt:variant>
      <vt:variant>
        <vt:lpwstr/>
      </vt:variant>
      <vt:variant>
        <vt:i4>2949237</vt:i4>
      </vt:variant>
      <vt:variant>
        <vt:i4>477</vt:i4>
      </vt:variant>
      <vt:variant>
        <vt:i4>0</vt:i4>
      </vt:variant>
      <vt:variant>
        <vt:i4>5</vt:i4>
      </vt:variant>
      <vt:variant>
        <vt:lpwstr>https://www.doe.mass.edu/edprep/resources/guidelines-advisories/special-guide.docx</vt:lpwstr>
      </vt:variant>
      <vt:variant>
        <vt:lpwstr/>
      </vt:variant>
      <vt:variant>
        <vt:i4>4194394</vt:i4>
      </vt:variant>
      <vt:variant>
        <vt:i4>474</vt:i4>
      </vt:variant>
      <vt:variant>
        <vt:i4>0</vt:i4>
      </vt:variant>
      <vt:variant>
        <vt:i4>5</vt:i4>
      </vt:variant>
      <vt:variant>
        <vt:lpwstr>https://www.doe.mass.edu/edprep/resources/guidelines-advisories/at-aac-guide.docx</vt:lpwstr>
      </vt:variant>
      <vt:variant>
        <vt:lpwstr/>
      </vt:variant>
      <vt:variant>
        <vt:i4>6750333</vt:i4>
      </vt:variant>
      <vt:variant>
        <vt:i4>471</vt:i4>
      </vt:variant>
      <vt:variant>
        <vt:i4>0</vt:i4>
      </vt:variant>
      <vt:variant>
        <vt:i4>5</vt:i4>
      </vt:variant>
      <vt:variant>
        <vt:lpwstr>https://www.doe.mass.edu/edprep/domains/instruction/smk-guidelines.docx</vt:lpwstr>
      </vt:variant>
      <vt:variant>
        <vt:lpwstr/>
      </vt:variant>
      <vt:variant>
        <vt:i4>2490488</vt:i4>
      </vt:variant>
      <vt:variant>
        <vt:i4>468</vt:i4>
      </vt:variant>
      <vt:variant>
        <vt:i4>0</vt:i4>
      </vt:variant>
      <vt:variant>
        <vt:i4>5</vt:i4>
      </vt:variant>
      <vt:variant>
        <vt:lpwstr>https://www.doe.mass.edu/edprep/resources/guidelines-advisories/teachers-guide.docx</vt:lpwstr>
      </vt:variant>
      <vt:variant>
        <vt:lpwstr/>
      </vt:variant>
      <vt:variant>
        <vt:i4>7733300</vt:i4>
      </vt:variant>
      <vt:variant>
        <vt:i4>465</vt:i4>
      </vt:variant>
      <vt:variant>
        <vt:i4>0</vt:i4>
      </vt:variant>
      <vt:variant>
        <vt:i4>5</vt:i4>
      </vt:variant>
      <vt:variant>
        <vt:lpwstr>https://www.doe.mass.edu/edprep/cap/2020-21guidelines.docx</vt:lpwstr>
      </vt:variant>
      <vt:variant>
        <vt:lpwstr/>
      </vt:variant>
      <vt:variant>
        <vt:i4>7536676</vt:i4>
      </vt:variant>
      <vt:variant>
        <vt:i4>462</vt:i4>
      </vt:variant>
      <vt:variant>
        <vt:i4>0</vt:i4>
      </vt:variant>
      <vt:variant>
        <vt:i4>5</vt:i4>
      </vt:variant>
      <vt:variant>
        <vt:lpwstr>https://www.doe.mass.edu/edprep/domains/field-based/pre-practicum.docx</vt:lpwstr>
      </vt:variant>
      <vt:variant>
        <vt:lpwstr/>
      </vt:variant>
      <vt:variant>
        <vt:i4>4980750</vt:i4>
      </vt:variant>
      <vt:variant>
        <vt:i4>459</vt:i4>
      </vt:variant>
      <vt:variant>
        <vt:i4>0</vt:i4>
      </vt:variant>
      <vt:variant>
        <vt:i4>5</vt:i4>
      </vt:variant>
      <vt:variant>
        <vt:lpwstr>https://www.doe.mass.edu/edprep/resources/guidelines-advisories/leadership-guide.pdf</vt:lpwstr>
      </vt:variant>
      <vt:variant>
        <vt:lpwstr/>
      </vt:variant>
      <vt:variant>
        <vt:i4>5898250</vt:i4>
      </vt:variant>
      <vt:variant>
        <vt:i4>456</vt:i4>
      </vt:variant>
      <vt:variant>
        <vt:i4>0</vt:i4>
      </vt:variant>
      <vt:variant>
        <vt:i4>5</vt:i4>
      </vt:variant>
      <vt:variant>
        <vt:lpwstr>https://www.doe.mass.edu/edprep/resources/guidelines-advisories/</vt:lpwstr>
      </vt:variant>
      <vt:variant>
        <vt:lpwstr/>
      </vt:variant>
      <vt:variant>
        <vt:i4>5898250</vt:i4>
      </vt:variant>
      <vt:variant>
        <vt:i4>453</vt:i4>
      </vt:variant>
      <vt:variant>
        <vt:i4>0</vt:i4>
      </vt:variant>
      <vt:variant>
        <vt:i4>5</vt:i4>
      </vt:variant>
      <vt:variant>
        <vt:lpwstr>https://www.doe.mass.edu/edprep/resources/guidelines-advisories/</vt:lpwstr>
      </vt:variant>
      <vt:variant>
        <vt:lpwstr/>
      </vt:variant>
      <vt:variant>
        <vt:i4>5898254</vt:i4>
      </vt:variant>
      <vt:variant>
        <vt:i4>450</vt:i4>
      </vt:variant>
      <vt:variant>
        <vt:i4>0</vt:i4>
      </vt:variant>
      <vt:variant>
        <vt:i4>5</vt:i4>
      </vt:variant>
      <vt:variant>
        <vt:lpwstr>https://research.steinhardt.nyu.edu/scmsAdmin/media/users/atn293/ejroc/CRE-Rubric-2018-190211.pdf</vt:lpwstr>
      </vt:variant>
      <vt:variant>
        <vt:lpwstr/>
      </vt:variant>
      <vt:variant>
        <vt:i4>6815796</vt:i4>
      </vt:variant>
      <vt:variant>
        <vt:i4>447</vt:i4>
      </vt:variant>
      <vt:variant>
        <vt:i4>0</vt:i4>
      </vt:variant>
      <vt:variant>
        <vt:i4>5</vt:i4>
      </vt:variant>
      <vt:variant>
        <vt:lpwstr>https://www.achieve.org/our-initiatives/equip/equip</vt:lpwstr>
      </vt:variant>
      <vt:variant>
        <vt:lpwstr/>
      </vt:variant>
      <vt:variant>
        <vt:i4>1310750</vt:i4>
      </vt:variant>
      <vt:variant>
        <vt:i4>444</vt:i4>
      </vt:variant>
      <vt:variant>
        <vt:i4>0</vt:i4>
      </vt:variant>
      <vt:variant>
        <vt:i4>5</vt:i4>
      </vt:variant>
      <vt:variant>
        <vt:lpwstr>https://achievethecore.org/page/1946/instructional-materials-evaluation-tool</vt:lpwstr>
      </vt:variant>
      <vt:variant>
        <vt:lpwstr/>
      </vt:variant>
      <vt:variant>
        <vt:i4>1703954</vt:i4>
      </vt:variant>
      <vt:variant>
        <vt:i4>441</vt:i4>
      </vt:variant>
      <vt:variant>
        <vt:i4>0</vt:i4>
      </vt:variant>
      <vt:variant>
        <vt:i4>5</vt:i4>
      </vt:variant>
      <vt:variant>
        <vt:lpwstr>http://www.doe.mass.edu/instruction/curate/resources.html</vt:lpwstr>
      </vt:variant>
      <vt:variant>
        <vt:lpwstr/>
      </vt:variant>
      <vt:variant>
        <vt:i4>2293877</vt:i4>
      </vt:variant>
      <vt:variant>
        <vt:i4>438</vt:i4>
      </vt:variant>
      <vt:variant>
        <vt:i4>0</vt:i4>
      </vt:variant>
      <vt:variant>
        <vt:i4>5</vt:i4>
      </vt:variant>
      <vt:variant>
        <vt:lpwstr>https://www.doe.mass.edu/stem/dlcs/curriculum-guide.pdf</vt:lpwstr>
      </vt:variant>
      <vt:variant>
        <vt:lpwstr/>
      </vt:variant>
      <vt:variant>
        <vt:i4>2162734</vt:i4>
      </vt:variant>
      <vt:variant>
        <vt:i4>435</vt:i4>
      </vt:variant>
      <vt:variant>
        <vt:i4>0</vt:i4>
      </vt:variant>
      <vt:variant>
        <vt:i4>5</vt:i4>
      </vt:variant>
      <vt:variant>
        <vt:lpwstr>https://www.edreports.org/</vt:lpwstr>
      </vt:variant>
      <vt:variant>
        <vt:lpwstr/>
      </vt:variant>
      <vt:variant>
        <vt:i4>8061050</vt:i4>
      </vt:variant>
      <vt:variant>
        <vt:i4>432</vt:i4>
      </vt:variant>
      <vt:variant>
        <vt:i4>0</vt:i4>
      </vt:variant>
      <vt:variant>
        <vt:i4>5</vt:i4>
      </vt:variant>
      <vt:variant>
        <vt:lpwstr>http://www.doe.mass.edu/instruction/curate/</vt:lpwstr>
      </vt:variant>
      <vt:variant>
        <vt:lpwstr/>
      </vt:variant>
      <vt:variant>
        <vt:i4>8061050</vt:i4>
      </vt:variant>
      <vt:variant>
        <vt:i4>429</vt:i4>
      </vt:variant>
      <vt:variant>
        <vt:i4>0</vt:i4>
      </vt:variant>
      <vt:variant>
        <vt:i4>5</vt:i4>
      </vt:variant>
      <vt:variant>
        <vt:lpwstr>http://www.doe.mass.edu/instruction/curate/</vt:lpwstr>
      </vt:variant>
      <vt:variant>
        <vt:lpwstr/>
      </vt:variant>
      <vt:variant>
        <vt:i4>2818173</vt:i4>
      </vt:variant>
      <vt:variant>
        <vt:i4>426</vt:i4>
      </vt:variant>
      <vt:variant>
        <vt:i4>0</vt:i4>
      </vt:variant>
      <vt:variant>
        <vt:i4>5</vt:i4>
      </vt:variant>
      <vt:variant>
        <vt:lpwstr>https://tntp.org/publications/view/the-opportunity-myth</vt:lpwstr>
      </vt:variant>
      <vt:variant>
        <vt:lpwstr/>
      </vt:variant>
      <vt:variant>
        <vt:i4>6684709</vt:i4>
      </vt:variant>
      <vt:variant>
        <vt:i4>423</vt:i4>
      </vt:variant>
      <vt:variant>
        <vt:i4>0</vt:i4>
      </vt:variant>
      <vt:variant>
        <vt:i4>5</vt:i4>
      </vt:variant>
      <vt:variant>
        <vt:lpwstr>http://www.doe.mass.edu/frameworks/search/</vt:lpwstr>
      </vt:variant>
      <vt:variant>
        <vt:lpwstr/>
      </vt:variant>
      <vt:variant>
        <vt:i4>3997801</vt:i4>
      </vt:variant>
      <vt:variant>
        <vt:i4>420</vt:i4>
      </vt:variant>
      <vt:variant>
        <vt:i4>0</vt:i4>
      </vt:variant>
      <vt:variant>
        <vt:i4>5</vt:i4>
      </vt:variant>
      <vt:variant>
        <vt:lpwstr>http://www.doe.mass.edu/frameworks/current.html</vt:lpwstr>
      </vt:variant>
      <vt:variant>
        <vt:lpwstr/>
      </vt:variant>
      <vt:variant>
        <vt:i4>2883697</vt:i4>
      </vt:variant>
      <vt:variant>
        <vt:i4>417</vt:i4>
      </vt:variant>
      <vt:variant>
        <vt:i4>0</vt:i4>
      </vt:variant>
      <vt:variant>
        <vt:i4>5</vt:i4>
      </vt:variant>
      <vt:variant>
        <vt:lpwstr>https://www.doe.mass.edu/instruction/culturally-responsive/default.html</vt:lpwstr>
      </vt:variant>
      <vt:variant>
        <vt:lpwstr/>
      </vt:variant>
      <vt:variant>
        <vt:i4>4259845</vt:i4>
      </vt:variant>
      <vt:variant>
        <vt:i4>414</vt:i4>
      </vt:variant>
      <vt:variant>
        <vt:i4>0</vt:i4>
      </vt:variant>
      <vt:variant>
        <vt:i4>5</vt:i4>
      </vt:variant>
      <vt:variant>
        <vt:lpwstr>https://opportunitymyth.tntp.org/</vt:lpwstr>
      </vt:variant>
      <vt:variant>
        <vt:lpwstr/>
      </vt:variant>
      <vt:variant>
        <vt:i4>6553641</vt:i4>
      </vt:variant>
      <vt:variant>
        <vt:i4>411</vt:i4>
      </vt:variant>
      <vt:variant>
        <vt:i4>0</vt:i4>
      </vt:variant>
      <vt:variant>
        <vt:i4>5</vt:i4>
      </vt:variant>
      <vt:variant>
        <vt:lpwstr>https://www.brookings.edu/research/never-judge-a-book-by-its-cover-use-student-achievement-instead/</vt:lpwstr>
      </vt:variant>
      <vt:variant>
        <vt:lpwstr/>
      </vt:variant>
      <vt:variant>
        <vt:i4>5308529</vt:i4>
      </vt:variant>
      <vt:variant>
        <vt:i4>408</vt:i4>
      </vt:variant>
      <vt:variant>
        <vt:i4>0</vt:i4>
      </vt:variant>
      <vt:variant>
        <vt:i4>5</vt:i4>
      </vt:variant>
      <vt:variant>
        <vt:lpwstr>https://www.brookings.edu/wp-content/uploads/2016/06/0410_curriculum_chingos_whitehurst.pdf</vt:lpwstr>
      </vt:variant>
      <vt:variant>
        <vt:lpwstr/>
      </vt:variant>
      <vt:variant>
        <vt:i4>4718663</vt:i4>
      </vt:variant>
      <vt:variant>
        <vt:i4>405</vt:i4>
      </vt:variant>
      <vt:variant>
        <vt:i4>0</vt:i4>
      </vt:variant>
      <vt:variant>
        <vt:i4>5</vt:i4>
      </vt:variant>
      <vt:variant>
        <vt:lpwstr>https://cepr.harvard.edu/files/cepr/files/teaching-higher-report.pdf</vt:lpwstr>
      </vt:variant>
      <vt:variant>
        <vt:lpwstr/>
      </vt:variant>
      <vt:variant>
        <vt:i4>7274606</vt:i4>
      </vt:variant>
      <vt:variant>
        <vt:i4>402</vt:i4>
      </vt:variant>
      <vt:variant>
        <vt:i4>0</vt:i4>
      </vt:variant>
      <vt:variant>
        <vt:i4>5</vt:i4>
      </vt:variant>
      <vt:variant>
        <vt:lpwstr>https://www.doe.mass.edu/instruction/impd/default.html</vt:lpwstr>
      </vt:variant>
      <vt:variant>
        <vt:lpwstr/>
      </vt:variant>
      <vt:variant>
        <vt:i4>5898250</vt:i4>
      </vt:variant>
      <vt:variant>
        <vt:i4>399</vt:i4>
      </vt:variant>
      <vt:variant>
        <vt:i4>0</vt:i4>
      </vt:variant>
      <vt:variant>
        <vt:i4>5</vt:i4>
      </vt:variant>
      <vt:variant>
        <vt:lpwstr>https://www.doe.mass.edu/edprep/resources/guidelines-advisories/</vt:lpwstr>
      </vt:variant>
      <vt:variant>
        <vt:lpwstr/>
      </vt:variant>
      <vt:variant>
        <vt:i4>5898250</vt:i4>
      </vt:variant>
      <vt:variant>
        <vt:i4>396</vt:i4>
      </vt:variant>
      <vt:variant>
        <vt:i4>0</vt:i4>
      </vt:variant>
      <vt:variant>
        <vt:i4>5</vt:i4>
      </vt:variant>
      <vt:variant>
        <vt:lpwstr>https://www.doe.mass.edu/edprep/resources/guidelines-advisories/</vt:lpwstr>
      </vt:variant>
      <vt:variant>
        <vt:lpwstr/>
      </vt:variant>
      <vt:variant>
        <vt:i4>5898250</vt:i4>
      </vt:variant>
      <vt:variant>
        <vt:i4>393</vt:i4>
      </vt:variant>
      <vt:variant>
        <vt:i4>0</vt:i4>
      </vt:variant>
      <vt:variant>
        <vt:i4>5</vt:i4>
      </vt:variant>
      <vt:variant>
        <vt:lpwstr>https://www.doe.mass.edu/edprep/resources/guidelines-advisories/</vt:lpwstr>
      </vt:variant>
      <vt:variant>
        <vt:lpwstr/>
      </vt:variant>
      <vt:variant>
        <vt:i4>5898250</vt:i4>
      </vt:variant>
      <vt:variant>
        <vt:i4>390</vt:i4>
      </vt:variant>
      <vt:variant>
        <vt:i4>0</vt:i4>
      </vt:variant>
      <vt:variant>
        <vt:i4>5</vt:i4>
      </vt:variant>
      <vt:variant>
        <vt:lpwstr>https://www.doe.mass.edu/edprep/resources/guidelines-advisories/</vt:lpwstr>
      </vt:variant>
      <vt:variant>
        <vt:lpwstr/>
      </vt:variant>
      <vt:variant>
        <vt:i4>5898250</vt:i4>
      </vt:variant>
      <vt:variant>
        <vt:i4>387</vt:i4>
      </vt:variant>
      <vt:variant>
        <vt:i4>0</vt:i4>
      </vt:variant>
      <vt:variant>
        <vt:i4>5</vt:i4>
      </vt:variant>
      <vt:variant>
        <vt:lpwstr>https://www.doe.mass.edu/edprep/resources/guidelines-advisories/</vt:lpwstr>
      </vt:variant>
      <vt:variant>
        <vt:lpwstr/>
      </vt:variant>
      <vt:variant>
        <vt:i4>5898250</vt:i4>
      </vt:variant>
      <vt:variant>
        <vt:i4>384</vt:i4>
      </vt:variant>
      <vt:variant>
        <vt:i4>0</vt:i4>
      </vt:variant>
      <vt:variant>
        <vt:i4>5</vt:i4>
      </vt:variant>
      <vt:variant>
        <vt:lpwstr>https://www.doe.mass.edu/edprep/resources/guidelines-advisories/</vt:lpwstr>
      </vt:variant>
      <vt:variant>
        <vt:lpwstr/>
      </vt:variant>
      <vt:variant>
        <vt:i4>4915202</vt:i4>
      </vt:variant>
      <vt:variant>
        <vt:i4>381</vt:i4>
      </vt:variant>
      <vt:variant>
        <vt:i4>0</vt:i4>
      </vt:variant>
      <vt:variant>
        <vt:i4>5</vt:i4>
      </vt:variant>
      <vt:variant>
        <vt:lpwstr>http://www.doe.mass.edu/lawsregs/603cmr7.html?section=08</vt:lpwstr>
      </vt:variant>
      <vt:variant>
        <vt:lpwstr/>
      </vt:variant>
      <vt:variant>
        <vt:i4>4456450</vt:i4>
      </vt:variant>
      <vt:variant>
        <vt:i4>378</vt:i4>
      </vt:variant>
      <vt:variant>
        <vt:i4>0</vt:i4>
      </vt:variant>
      <vt:variant>
        <vt:i4>5</vt:i4>
      </vt:variant>
      <vt:variant>
        <vt:lpwstr>http://www.doe.mass.edu/lawsregs/603cmr7.html?section=07</vt:lpwstr>
      </vt:variant>
      <vt:variant>
        <vt:lpwstr/>
      </vt:variant>
      <vt:variant>
        <vt:i4>4521986</vt:i4>
      </vt:variant>
      <vt:variant>
        <vt:i4>375</vt:i4>
      </vt:variant>
      <vt:variant>
        <vt:i4>0</vt:i4>
      </vt:variant>
      <vt:variant>
        <vt:i4>5</vt:i4>
      </vt:variant>
      <vt:variant>
        <vt:lpwstr>http://www.doe.mass.edu/lawsregs/603cmr7.html?section=06</vt:lpwstr>
      </vt:variant>
      <vt:variant>
        <vt:lpwstr/>
      </vt:variant>
      <vt:variant>
        <vt:i4>4521986</vt:i4>
      </vt:variant>
      <vt:variant>
        <vt:i4>372</vt:i4>
      </vt:variant>
      <vt:variant>
        <vt:i4>0</vt:i4>
      </vt:variant>
      <vt:variant>
        <vt:i4>5</vt:i4>
      </vt:variant>
      <vt:variant>
        <vt:lpwstr>http://www.doe.mass.edu/lawsregs/603cmr7.html?section=06</vt:lpwstr>
      </vt:variant>
      <vt:variant>
        <vt:lpwstr/>
      </vt:variant>
      <vt:variant>
        <vt:i4>1703960</vt:i4>
      </vt:variant>
      <vt:variant>
        <vt:i4>369</vt:i4>
      </vt:variant>
      <vt:variant>
        <vt:i4>0</vt:i4>
      </vt:variant>
      <vt:variant>
        <vt:i4>5</vt:i4>
      </vt:variant>
      <vt:variant>
        <vt:lpwstr>https://www.doe.mass.edu/lawsregs/603cmr7.html?section=03</vt:lpwstr>
      </vt:variant>
      <vt:variant>
        <vt:lpwstr/>
      </vt:variant>
      <vt:variant>
        <vt:i4>1703960</vt:i4>
      </vt:variant>
      <vt:variant>
        <vt:i4>366</vt:i4>
      </vt:variant>
      <vt:variant>
        <vt:i4>0</vt:i4>
      </vt:variant>
      <vt:variant>
        <vt:i4>5</vt:i4>
      </vt:variant>
      <vt:variant>
        <vt:lpwstr>https://www.doe.mass.edu/lawsregs/603cmr7.html?section=03</vt:lpwstr>
      </vt:variant>
      <vt:variant>
        <vt:lpwstr/>
      </vt:variant>
      <vt:variant>
        <vt:i4>8126513</vt:i4>
      </vt:variant>
      <vt:variant>
        <vt:i4>363</vt:i4>
      </vt:variant>
      <vt:variant>
        <vt:i4>0</vt:i4>
      </vt:variant>
      <vt:variant>
        <vt:i4>5</vt:i4>
      </vt:variant>
      <vt:variant>
        <vt:lpwstr>https://www.doe.mass.edu/edprep/domains/improvement/edwin/</vt:lpwstr>
      </vt:variant>
      <vt:variant>
        <vt:lpwstr/>
      </vt:variant>
      <vt:variant>
        <vt:i4>393239</vt:i4>
      </vt:variant>
      <vt:variant>
        <vt:i4>360</vt:i4>
      </vt:variant>
      <vt:variant>
        <vt:i4>0</vt:i4>
      </vt:variant>
      <vt:variant>
        <vt:i4>5</vt:i4>
      </vt:variant>
      <vt:variant>
        <vt:lpwstr>https://profiles.doe.mass.edu/search/search.aspx?leftNavId=11238</vt:lpwstr>
      </vt:variant>
      <vt:variant>
        <vt:lpwstr/>
      </vt:variant>
      <vt:variant>
        <vt:i4>6291518</vt:i4>
      </vt:variant>
      <vt:variant>
        <vt:i4>357</vt:i4>
      </vt:variant>
      <vt:variant>
        <vt:i4>0</vt:i4>
      </vt:variant>
      <vt:variant>
        <vt:i4>5</vt:i4>
      </vt:variant>
      <vt:variant>
        <vt:lpwstr>https://profiles.doe.mass.edu/</vt:lpwstr>
      </vt:variant>
      <vt:variant>
        <vt:lpwstr/>
      </vt:variant>
      <vt:variant>
        <vt:i4>2949246</vt:i4>
      </vt:variant>
      <vt:variant>
        <vt:i4>354</vt:i4>
      </vt:variant>
      <vt:variant>
        <vt:i4>0</vt:i4>
      </vt:variant>
      <vt:variant>
        <vt:i4>5</vt:i4>
      </vt:variant>
      <vt:variant>
        <vt:lpwstr>https://title2.ed.gov/</vt:lpwstr>
      </vt:variant>
      <vt:variant>
        <vt:lpwstr/>
      </vt:variant>
      <vt:variant>
        <vt:i4>1703960</vt:i4>
      </vt:variant>
      <vt:variant>
        <vt:i4>351</vt:i4>
      </vt:variant>
      <vt:variant>
        <vt:i4>0</vt:i4>
      </vt:variant>
      <vt:variant>
        <vt:i4>5</vt:i4>
      </vt:variant>
      <vt:variant>
        <vt:lpwstr>https://www.doe.mass.edu/lawsregs/603cmr7.html?section=03</vt:lpwstr>
      </vt:variant>
      <vt:variant>
        <vt:lpwstr/>
      </vt:variant>
      <vt:variant>
        <vt:i4>7798833</vt:i4>
      </vt:variant>
      <vt:variant>
        <vt:i4>348</vt:i4>
      </vt:variant>
      <vt:variant>
        <vt:i4>0</vt:i4>
      </vt:variant>
      <vt:variant>
        <vt:i4>5</vt:i4>
      </vt:variant>
      <vt:variant>
        <vt:lpwstr>https://title2.ed.gov/Public/Home.aspx</vt:lpwstr>
      </vt:variant>
      <vt:variant>
        <vt:lpwstr/>
      </vt:variant>
      <vt:variant>
        <vt:i4>8126502</vt:i4>
      </vt:variant>
      <vt:variant>
        <vt:i4>345</vt:i4>
      </vt:variant>
      <vt:variant>
        <vt:i4>0</vt:i4>
      </vt:variant>
      <vt:variant>
        <vt:i4>5</vt:i4>
      </vt:variant>
      <vt:variant>
        <vt:lpwstr>http://profiles.doe.mass.edu/search/search.aspx?leftNavId=11238</vt:lpwstr>
      </vt:variant>
      <vt:variant>
        <vt:lpwstr/>
      </vt:variant>
      <vt:variant>
        <vt:i4>2883647</vt:i4>
      </vt:variant>
      <vt:variant>
        <vt:i4>342</vt:i4>
      </vt:variant>
      <vt:variant>
        <vt:i4>0</vt:i4>
      </vt:variant>
      <vt:variant>
        <vt:i4>5</vt:i4>
      </vt:variant>
      <vt:variant>
        <vt:lpwstr>https://malegislature.gov/Laws/GeneralLaws/PartI/TitleIII/Chapter30A/Section13</vt:lpwstr>
      </vt:variant>
      <vt:variant>
        <vt:lpwstr/>
      </vt:variant>
      <vt:variant>
        <vt:i4>2818090</vt:i4>
      </vt:variant>
      <vt:variant>
        <vt:i4>339</vt:i4>
      </vt:variant>
      <vt:variant>
        <vt:i4>0</vt:i4>
      </vt:variant>
      <vt:variant>
        <vt:i4>5</vt:i4>
      </vt:variant>
      <vt:variant>
        <vt:lpwstr/>
      </vt:variant>
      <vt:variant>
        <vt:lpwstr>_Approval_Determinations</vt:lpwstr>
      </vt:variant>
      <vt:variant>
        <vt:i4>3670053</vt:i4>
      </vt:variant>
      <vt:variant>
        <vt:i4>336</vt:i4>
      </vt:variant>
      <vt:variant>
        <vt:i4>0</vt:i4>
      </vt:variant>
      <vt:variant>
        <vt:i4>5</vt:i4>
      </vt:variant>
      <vt:variant>
        <vt:lpwstr>https://www.mass.gov/regulations/801-CMR-100-standard-adjudicatory-rules-of-practice-and-procedure</vt:lpwstr>
      </vt:variant>
      <vt:variant>
        <vt:lpwstr/>
      </vt:variant>
      <vt:variant>
        <vt:i4>2883647</vt:i4>
      </vt:variant>
      <vt:variant>
        <vt:i4>333</vt:i4>
      </vt:variant>
      <vt:variant>
        <vt:i4>0</vt:i4>
      </vt:variant>
      <vt:variant>
        <vt:i4>5</vt:i4>
      </vt:variant>
      <vt:variant>
        <vt:lpwstr>https://malegislature.gov/Laws/GeneralLaws/PartI/TitleIII/Chapter30A/Section13</vt:lpwstr>
      </vt:variant>
      <vt:variant>
        <vt:lpwstr/>
      </vt:variant>
      <vt:variant>
        <vt:i4>2818090</vt:i4>
      </vt:variant>
      <vt:variant>
        <vt:i4>330</vt:i4>
      </vt:variant>
      <vt:variant>
        <vt:i4>0</vt:i4>
      </vt:variant>
      <vt:variant>
        <vt:i4>5</vt:i4>
      </vt:variant>
      <vt:variant>
        <vt:lpwstr/>
      </vt:variant>
      <vt:variant>
        <vt:lpwstr>_Approval_Determinations</vt:lpwstr>
      </vt:variant>
      <vt:variant>
        <vt:i4>5832764</vt:i4>
      </vt:variant>
      <vt:variant>
        <vt:i4>327</vt:i4>
      </vt:variant>
      <vt:variant>
        <vt:i4>0</vt:i4>
      </vt:variant>
      <vt:variant>
        <vt:i4>5</vt:i4>
      </vt:variant>
      <vt:variant>
        <vt:lpwstr/>
      </vt:variant>
      <vt:variant>
        <vt:lpwstr>_Decision-Making</vt:lpwstr>
      </vt:variant>
      <vt:variant>
        <vt:i4>2818168</vt:i4>
      </vt:variant>
      <vt:variant>
        <vt:i4>324</vt:i4>
      </vt:variant>
      <vt:variant>
        <vt:i4>0</vt:i4>
      </vt:variant>
      <vt:variant>
        <vt:i4>5</vt:i4>
      </vt:variant>
      <vt:variant>
        <vt:lpwstr>https://www.doe.mass.edu/edprep/review/toolkit/</vt:lpwstr>
      </vt:variant>
      <vt:variant>
        <vt:lpwstr/>
      </vt:variant>
      <vt:variant>
        <vt:i4>3145833</vt:i4>
      </vt:variant>
      <vt:variant>
        <vt:i4>321</vt:i4>
      </vt:variant>
      <vt:variant>
        <vt:i4>0</vt:i4>
      </vt:variant>
      <vt:variant>
        <vt:i4>5</vt:i4>
      </vt:variant>
      <vt:variant>
        <vt:lpwstr>https://www.mass.gov/doc/801-cmr-1-standard-adjudicatory-rules/download</vt:lpwstr>
      </vt:variant>
      <vt:variant>
        <vt:lpwstr/>
      </vt:variant>
      <vt:variant>
        <vt:i4>2883647</vt:i4>
      </vt:variant>
      <vt:variant>
        <vt:i4>318</vt:i4>
      </vt:variant>
      <vt:variant>
        <vt:i4>0</vt:i4>
      </vt:variant>
      <vt:variant>
        <vt:i4>5</vt:i4>
      </vt:variant>
      <vt:variant>
        <vt:lpwstr>https://malegislature.gov/Laws/GeneralLaws/PartI/TitleIII/Chapter30A/Section13</vt:lpwstr>
      </vt:variant>
      <vt:variant>
        <vt:lpwstr/>
      </vt:variant>
      <vt:variant>
        <vt:i4>2162737</vt:i4>
      </vt:variant>
      <vt:variant>
        <vt:i4>315</vt:i4>
      </vt:variant>
      <vt:variant>
        <vt:i4>0</vt:i4>
      </vt:variant>
      <vt:variant>
        <vt:i4>5</vt:i4>
      </vt:variant>
      <vt:variant>
        <vt:lpwstr/>
      </vt:variant>
      <vt:variant>
        <vt:lpwstr>_Annual_Reporting</vt:lpwstr>
      </vt:variant>
      <vt:variant>
        <vt:i4>7012443</vt:i4>
      </vt:variant>
      <vt:variant>
        <vt:i4>312</vt:i4>
      </vt:variant>
      <vt:variant>
        <vt:i4>0</vt:i4>
      </vt:variant>
      <vt:variant>
        <vt:i4>5</vt:i4>
      </vt:variant>
      <vt:variant>
        <vt:lpwstr/>
      </vt:variant>
      <vt:variant>
        <vt:lpwstr>_Public_Reporting_1</vt:lpwstr>
      </vt:variant>
      <vt:variant>
        <vt:i4>1703960</vt:i4>
      </vt:variant>
      <vt:variant>
        <vt:i4>309</vt:i4>
      </vt:variant>
      <vt:variant>
        <vt:i4>0</vt:i4>
      </vt:variant>
      <vt:variant>
        <vt:i4>5</vt:i4>
      </vt:variant>
      <vt:variant>
        <vt:lpwstr>https://www.doe.mass.edu/lawsregs/603cmr7.html?section=03</vt:lpwstr>
      </vt:variant>
      <vt:variant>
        <vt:lpwstr/>
      </vt:variant>
      <vt:variant>
        <vt:i4>2818168</vt:i4>
      </vt:variant>
      <vt:variant>
        <vt:i4>306</vt:i4>
      </vt:variant>
      <vt:variant>
        <vt:i4>0</vt:i4>
      </vt:variant>
      <vt:variant>
        <vt:i4>5</vt:i4>
      </vt:variant>
      <vt:variant>
        <vt:lpwstr>https://www.doe.mass.edu/edprep/review/toolkit/</vt:lpwstr>
      </vt:variant>
      <vt:variant>
        <vt:lpwstr/>
      </vt:variant>
      <vt:variant>
        <vt:i4>6422558</vt:i4>
      </vt:variant>
      <vt:variant>
        <vt:i4>303</vt:i4>
      </vt:variant>
      <vt:variant>
        <vt:i4>0</vt:i4>
      </vt:variant>
      <vt:variant>
        <vt:i4>5</vt:i4>
      </vt:variant>
      <vt:variant>
        <vt:lpwstr/>
      </vt:variant>
      <vt:variant>
        <vt:lpwstr>_Appendix_A:_Regulations</vt:lpwstr>
      </vt:variant>
      <vt:variant>
        <vt:i4>2818168</vt:i4>
      </vt:variant>
      <vt:variant>
        <vt:i4>300</vt:i4>
      </vt:variant>
      <vt:variant>
        <vt:i4>0</vt:i4>
      </vt:variant>
      <vt:variant>
        <vt:i4>5</vt:i4>
      </vt:variant>
      <vt:variant>
        <vt:lpwstr>https://www.doe.mass.edu/edprep/review/toolkit/</vt:lpwstr>
      </vt:variant>
      <vt:variant>
        <vt:lpwstr/>
      </vt:variant>
      <vt:variant>
        <vt:i4>1572951</vt:i4>
      </vt:variant>
      <vt:variant>
        <vt:i4>297</vt:i4>
      </vt:variant>
      <vt:variant>
        <vt:i4>0</vt:i4>
      </vt:variant>
      <vt:variant>
        <vt:i4>5</vt:i4>
      </vt:variant>
      <vt:variant>
        <vt:lpwstr>https://www.doe.mass.edu/edprep/review/toolkit/informal/</vt:lpwstr>
      </vt:variant>
      <vt:variant>
        <vt:lpwstr/>
      </vt:variant>
      <vt:variant>
        <vt:i4>1572951</vt:i4>
      </vt:variant>
      <vt:variant>
        <vt:i4>294</vt:i4>
      </vt:variant>
      <vt:variant>
        <vt:i4>0</vt:i4>
      </vt:variant>
      <vt:variant>
        <vt:i4>5</vt:i4>
      </vt:variant>
      <vt:variant>
        <vt:lpwstr>https://www.doe.mass.edu/edprep/review/toolkit/informal/</vt:lpwstr>
      </vt:variant>
      <vt:variant>
        <vt:lpwstr/>
      </vt:variant>
      <vt:variant>
        <vt:i4>2818168</vt:i4>
      </vt:variant>
      <vt:variant>
        <vt:i4>291</vt:i4>
      </vt:variant>
      <vt:variant>
        <vt:i4>0</vt:i4>
      </vt:variant>
      <vt:variant>
        <vt:i4>5</vt:i4>
      </vt:variant>
      <vt:variant>
        <vt:lpwstr>https://www.doe.mass.edu/edprep/review/toolkit/</vt:lpwstr>
      </vt:variant>
      <vt:variant>
        <vt:lpwstr/>
      </vt:variant>
      <vt:variant>
        <vt:i4>2818168</vt:i4>
      </vt:variant>
      <vt:variant>
        <vt:i4>288</vt:i4>
      </vt:variant>
      <vt:variant>
        <vt:i4>0</vt:i4>
      </vt:variant>
      <vt:variant>
        <vt:i4>5</vt:i4>
      </vt:variant>
      <vt:variant>
        <vt:lpwstr>https://www.doe.mass.edu/edprep/review/toolkit/</vt:lpwstr>
      </vt:variant>
      <vt:variant>
        <vt:lpwstr/>
      </vt:variant>
      <vt:variant>
        <vt:i4>720997</vt:i4>
      </vt:variant>
      <vt:variant>
        <vt:i4>285</vt:i4>
      </vt:variant>
      <vt:variant>
        <vt:i4>0</vt:i4>
      </vt:variant>
      <vt:variant>
        <vt:i4>5</vt:i4>
      </vt:variant>
      <vt:variant>
        <vt:lpwstr/>
      </vt:variant>
      <vt:variant>
        <vt:lpwstr>_Appendix_D:_Curriculum</vt:lpwstr>
      </vt:variant>
      <vt:variant>
        <vt:i4>5898250</vt:i4>
      </vt:variant>
      <vt:variant>
        <vt:i4>282</vt:i4>
      </vt:variant>
      <vt:variant>
        <vt:i4>0</vt:i4>
      </vt:variant>
      <vt:variant>
        <vt:i4>5</vt:i4>
      </vt:variant>
      <vt:variant>
        <vt:lpwstr>https://www.doe.mass.edu/edprep/resources/guidelines-advisories/</vt:lpwstr>
      </vt:variant>
      <vt:variant>
        <vt:lpwstr/>
      </vt:variant>
      <vt:variant>
        <vt:i4>5898250</vt:i4>
      </vt:variant>
      <vt:variant>
        <vt:i4>279</vt:i4>
      </vt:variant>
      <vt:variant>
        <vt:i4>0</vt:i4>
      </vt:variant>
      <vt:variant>
        <vt:i4>5</vt:i4>
      </vt:variant>
      <vt:variant>
        <vt:lpwstr>https://www.doe.mass.edu/edprep/resources/guidelines-advisories/</vt:lpwstr>
      </vt:variant>
      <vt:variant>
        <vt:lpwstr/>
      </vt:variant>
      <vt:variant>
        <vt:i4>5898250</vt:i4>
      </vt:variant>
      <vt:variant>
        <vt:i4>276</vt:i4>
      </vt:variant>
      <vt:variant>
        <vt:i4>0</vt:i4>
      </vt:variant>
      <vt:variant>
        <vt:i4>5</vt:i4>
      </vt:variant>
      <vt:variant>
        <vt:lpwstr>https://www.doe.mass.edu/edprep/resources/guidelines-advisories/</vt:lpwstr>
      </vt:variant>
      <vt:variant>
        <vt:lpwstr/>
      </vt:variant>
      <vt:variant>
        <vt:i4>720997</vt:i4>
      </vt:variant>
      <vt:variant>
        <vt:i4>273</vt:i4>
      </vt:variant>
      <vt:variant>
        <vt:i4>0</vt:i4>
      </vt:variant>
      <vt:variant>
        <vt:i4>5</vt:i4>
      </vt:variant>
      <vt:variant>
        <vt:lpwstr/>
      </vt:variant>
      <vt:variant>
        <vt:lpwstr>_Appendix_D:_Curriculum</vt:lpwstr>
      </vt:variant>
      <vt:variant>
        <vt:i4>5898250</vt:i4>
      </vt:variant>
      <vt:variant>
        <vt:i4>270</vt:i4>
      </vt:variant>
      <vt:variant>
        <vt:i4>0</vt:i4>
      </vt:variant>
      <vt:variant>
        <vt:i4>5</vt:i4>
      </vt:variant>
      <vt:variant>
        <vt:lpwstr>https://www.doe.mass.edu/edprep/resources/guidelines-advisories/</vt:lpwstr>
      </vt:variant>
      <vt:variant>
        <vt:lpwstr/>
      </vt:variant>
      <vt:variant>
        <vt:i4>720997</vt:i4>
      </vt:variant>
      <vt:variant>
        <vt:i4>267</vt:i4>
      </vt:variant>
      <vt:variant>
        <vt:i4>0</vt:i4>
      </vt:variant>
      <vt:variant>
        <vt:i4>5</vt:i4>
      </vt:variant>
      <vt:variant>
        <vt:lpwstr/>
      </vt:variant>
      <vt:variant>
        <vt:lpwstr>_Appendix_D:_Curriculum</vt:lpwstr>
      </vt:variant>
      <vt:variant>
        <vt:i4>5898250</vt:i4>
      </vt:variant>
      <vt:variant>
        <vt:i4>264</vt:i4>
      </vt:variant>
      <vt:variant>
        <vt:i4>0</vt:i4>
      </vt:variant>
      <vt:variant>
        <vt:i4>5</vt:i4>
      </vt:variant>
      <vt:variant>
        <vt:lpwstr>https://www.doe.mass.edu/edprep/resources/guidelines-advisories/</vt:lpwstr>
      </vt:variant>
      <vt:variant>
        <vt:lpwstr/>
      </vt:variant>
      <vt:variant>
        <vt:i4>5898250</vt:i4>
      </vt:variant>
      <vt:variant>
        <vt:i4>261</vt:i4>
      </vt:variant>
      <vt:variant>
        <vt:i4>0</vt:i4>
      </vt:variant>
      <vt:variant>
        <vt:i4>5</vt:i4>
      </vt:variant>
      <vt:variant>
        <vt:lpwstr>https://www.doe.mass.edu/edprep/resources/guidelines-advisories/</vt:lpwstr>
      </vt:variant>
      <vt:variant>
        <vt:lpwstr/>
      </vt:variant>
      <vt:variant>
        <vt:i4>720997</vt:i4>
      </vt:variant>
      <vt:variant>
        <vt:i4>258</vt:i4>
      </vt:variant>
      <vt:variant>
        <vt:i4>0</vt:i4>
      </vt:variant>
      <vt:variant>
        <vt:i4>5</vt:i4>
      </vt:variant>
      <vt:variant>
        <vt:lpwstr/>
      </vt:variant>
      <vt:variant>
        <vt:lpwstr>_Appendix_D:_Curriculum</vt:lpwstr>
      </vt:variant>
      <vt:variant>
        <vt:i4>5898250</vt:i4>
      </vt:variant>
      <vt:variant>
        <vt:i4>255</vt:i4>
      </vt:variant>
      <vt:variant>
        <vt:i4>0</vt:i4>
      </vt:variant>
      <vt:variant>
        <vt:i4>5</vt:i4>
      </vt:variant>
      <vt:variant>
        <vt:lpwstr>https://www.doe.mass.edu/edprep/resources/guidelines-advisories/</vt:lpwstr>
      </vt:variant>
      <vt:variant>
        <vt:lpwstr/>
      </vt:variant>
      <vt:variant>
        <vt:i4>5898250</vt:i4>
      </vt:variant>
      <vt:variant>
        <vt:i4>252</vt:i4>
      </vt:variant>
      <vt:variant>
        <vt:i4>0</vt:i4>
      </vt:variant>
      <vt:variant>
        <vt:i4>5</vt:i4>
      </vt:variant>
      <vt:variant>
        <vt:lpwstr>https://www.doe.mass.edu/edprep/resources/guidelines-advisories/</vt:lpwstr>
      </vt:variant>
      <vt:variant>
        <vt:lpwstr/>
      </vt:variant>
      <vt:variant>
        <vt:i4>1704015</vt:i4>
      </vt:variant>
      <vt:variant>
        <vt:i4>249</vt:i4>
      </vt:variant>
      <vt:variant>
        <vt:i4>0</vt:i4>
      </vt:variant>
      <vt:variant>
        <vt:i4>5</vt:i4>
      </vt:variant>
      <vt:variant>
        <vt:lpwstr>https://www.doe.mass.edu/edprep/cap/</vt:lpwstr>
      </vt:variant>
      <vt:variant>
        <vt:lpwstr/>
      </vt:variant>
      <vt:variant>
        <vt:i4>1769538</vt:i4>
      </vt:variant>
      <vt:variant>
        <vt:i4>246</vt:i4>
      </vt:variant>
      <vt:variant>
        <vt:i4>0</vt:i4>
      </vt:variant>
      <vt:variant>
        <vt:i4>5</vt:i4>
      </vt:variant>
      <vt:variant>
        <vt:lpwstr>https://www.doe.mass.edu/edeval/default.html</vt:lpwstr>
      </vt:variant>
      <vt:variant>
        <vt:lpwstr/>
      </vt:variant>
      <vt:variant>
        <vt:i4>4653058</vt:i4>
      </vt:variant>
      <vt:variant>
        <vt:i4>243</vt:i4>
      </vt:variant>
      <vt:variant>
        <vt:i4>0</vt:i4>
      </vt:variant>
      <vt:variant>
        <vt:i4>5</vt:i4>
      </vt:variant>
      <vt:variant>
        <vt:lpwstr>http://www.doe.mass.edu/lawsregs/603cmr7.html?section=04</vt:lpwstr>
      </vt:variant>
      <vt:variant>
        <vt:lpwstr/>
      </vt:variant>
      <vt:variant>
        <vt:i4>6422558</vt:i4>
      </vt:variant>
      <vt:variant>
        <vt:i4>240</vt:i4>
      </vt:variant>
      <vt:variant>
        <vt:i4>0</vt:i4>
      </vt:variant>
      <vt:variant>
        <vt:i4>5</vt:i4>
      </vt:variant>
      <vt:variant>
        <vt:lpwstr/>
      </vt:variant>
      <vt:variant>
        <vt:lpwstr>_Appendix_A:_Regulations</vt:lpwstr>
      </vt:variant>
      <vt:variant>
        <vt:i4>7536676</vt:i4>
      </vt:variant>
      <vt:variant>
        <vt:i4>237</vt:i4>
      </vt:variant>
      <vt:variant>
        <vt:i4>0</vt:i4>
      </vt:variant>
      <vt:variant>
        <vt:i4>5</vt:i4>
      </vt:variant>
      <vt:variant>
        <vt:lpwstr>https://www.doe.mass.edu/edprep/domains/field-based/pre-practicum.docx</vt:lpwstr>
      </vt:variant>
      <vt:variant>
        <vt:lpwstr/>
      </vt:variant>
      <vt:variant>
        <vt:i4>7733300</vt:i4>
      </vt:variant>
      <vt:variant>
        <vt:i4>234</vt:i4>
      </vt:variant>
      <vt:variant>
        <vt:i4>0</vt:i4>
      </vt:variant>
      <vt:variant>
        <vt:i4>5</vt:i4>
      </vt:variant>
      <vt:variant>
        <vt:lpwstr>https://www.doe.mass.edu/edprep/cap/2020-21guidelines.docx</vt:lpwstr>
      </vt:variant>
      <vt:variant>
        <vt:lpwstr/>
      </vt:variant>
      <vt:variant>
        <vt:i4>1769538</vt:i4>
      </vt:variant>
      <vt:variant>
        <vt:i4>231</vt:i4>
      </vt:variant>
      <vt:variant>
        <vt:i4>0</vt:i4>
      </vt:variant>
      <vt:variant>
        <vt:i4>5</vt:i4>
      </vt:variant>
      <vt:variant>
        <vt:lpwstr>https://www.doe.mass.edu/edeval/default.html</vt:lpwstr>
      </vt:variant>
      <vt:variant>
        <vt:lpwstr/>
      </vt:variant>
      <vt:variant>
        <vt:i4>5898250</vt:i4>
      </vt:variant>
      <vt:variant>
        <vt:i4>228</vt:i4>
      </vt:variant>
      <vt:variant>
        <vt:i4>0</vt:i4>
      </vt:variant>
      <vt:variant>
        <vt:i4>5</vt:i4>
      </vt:variant>
      <vt:variant>
        <vt:lpwstr>https://www.doe.mass.edu/edprep/resources/guidelines-advisories/</vt:lpwstr>
      </vt:variant>
      <vt:variant>
        <vt:lpwstr/>
      </vt:variant>
      <vt:variant>
        <vt:i4>5898250</vt:i4>
      </vt:variant>
      <vt:variant>
        <vt:i4>225</vt:i4>
      </vt:variant>
      <vt:variant>
        <vt:i4>0</vt:i4>
      </vt:variant>
      <vt:variant>
        <vt:i4>5</vt:i4>
      </vt:variant>
      <vt:variant>
        <vt:lpwstr>https://www.doe.mass.edu/edprep/resources/guidelines-advisories/</vt:lpwstr>
      </vt:variant>
      <vt:variant>
        <vt:lpwstr/>
      </vt:variant>
      <vt:variant>
        <vt:i4>917582</vt:i4>
      </vt:variant>
      <vt:variant>
        <vt:i4>222</vt:i4>
      </vt:variant>
      <vt:variant>
        <vt:i4>0</vt:i4>
      </vt:variant>
      <vt:variant>
        <vt:i4>5</vt:i4>
      </vt:variant>
      <vt:variant>
        <vt:lpwstr>https://www.doe.mass.edu/edeval/rubrics/</vt:lpwstr>
      </vt:variant>
      <vt:variant>
        <vt:lpwstr/>
      </vt:variant>
      <vt:variant>
        <vt:i4>917582</vt:i4>
      </vt:variant>
      <vt:variant>
        <vt:i4>219</vt:i4>
      </vt:variant>
      <vt:variant>
        <vt:i4>0</vt:i4>
      </vt:variant>
      <vt:variant>
        <vt:i4>5</vt:i4>
      </vt:variant>
      <vt:variant>
        <vt:lpwstr>https://www.doe.mass.edu/edeval/rubrics/</vt:lpwstr>
      </vt:variant>
      <vt:variant>
        <vt:lpwstr/>
      </vt:variant>
      <vt:variant>
        <vt:i4>7667821</vt:i4>
      </vt:variant>
      <vt:variant>
        <vt:i4>216</vt:i4>
      </vt:variant>
      <vt:variant>
        <vt:i4>0</vt:i4>
      </vt:variant>
      <vt:variant>
        <vt:i4>5</vt:i4>
      </vt:variant>
      <vt:variant>
        <vt:lpwstr>https://www.doe.mass.edu/edeffectiveness/mentor/principal.html</vt:lpwstr>
      </vt:variant>
      <vt:variant>
        <vt:lpwstr/>
      </vt:variant>
      <vt:variant>
        <vt:i4>5898250</vt:i4>
      </vt:variant>
      <vt:variant>
        <vt:i4>213</vt:i4>
      </vt:variant>
      <vt:variant>
        <vt:i4>0</vt:i4>
      </vt:variant>
      <vt:variant>
        <vt:i4>5</vt:i4>
      </vt:variant>
      <vt:variant>
        <vt:lpwstr>https://www.doe.mass.edu/edprep/resources/guidelines-advisories/</vt:lpwstr>
      </vt:variant>
      <vt:variant>
        <vt:lpwstr/>
      </vt:variant>
      <vt:variant>
        <vt:i4>1900630</vt:i4>
      </vt:variant>
      <vt:variant>
        <vt:i4>210</vt:i4>
      </vt:variant>
      <vt:variant>
        <vt:i4>0</vt:i4>
      </vt:variant>
      <vt:variant>
        <vt:i4>5</vt:i4>
      </vt:variant>
      <vt:variant>
        <vt:lpwstr>https://www.doe.mass.edu/frameworks/current.html</vt:lpwstr>
      </vt:variant>
      <vt:variant>
        <vt:lpwstr/>
      </vt:variant>
      <vt:variant>
        <vt:i4>5898250</vt:i4>
      </vt:variant>
      <vt:variant>
        <vt:i4>207</vt:i4>
      </vt:variant>
      <vt:variant>
        <vt:i4>0</vt:i4>
      </vt:variant>
      <vt:variant>
        <vt:i4>5</vt:i4>
      </vt:variant>
      <vt:variant>
        <vt:lpwstr>https://www.doe.mass.edu/edprep/resources/guidelines-advisories/</vt:lpwstr>
      </vt:variant>
      <vt:variant>
        <vt:lpwstr/>
      </vt:variant>
      <vt:variant>
        <vt:i4>1703960</vt:i4>
      </vt:variant>
      <vt:variant>
        <vt:i4>204</vt:i4>
      </vt:variant>
      <vt:variant>
        <vt:i4>0</vt:i4>
      </vt:variant>
      <vt:variant>
        <vt:i4>5</vt:i4>
      </vt:variant>
      <vt:variant>
        <vt:lpwstr>https://www.doe.mass.edu/lawsregs/603cmr7.html?section=03</vt:lpwstr>
      </vt:variant>
      <vt:variant>
        <vt:lpwstr/>
      </vt:variant>
      <vt:variant>
        <vt:i4>2621457</vt:i4>
      </vt:variant>
      <vt:variant>
        <vt:i4>201</vt:i4>
      </vt:variant>
      <vt:variant>
        <vt:i4>0</vt:i4>
      </vt:variant>
      <vt:variant>
        <vt:i4>5</vt:i4>
      </vt:variant>
      <vt:variant>
        <vt:lpwstr/>
      </vt:variant>
      <vt:variant>
        <vt:lpwstr>_The_Partnerships_Domain</vt:lpwstr>
      </vt:variant>
      <vt:variant>
        <vt:i4>7536670</vt:i4>
      </vt:variant>
      <vt:variant>
        <vt:i4>195</vt:i4>
      </vt:variant>
      <vt:variant>
        <vt:i4>0</vt:i4>
      </vt:variant>
      <vt:variant>
        <vt:i4>5</vt:i4>
      </vt:variant>
      <vt:variant>
        <vt:lpwstr/>
      </vt:variant>
      <vt:variant>
        <vt:lpwstr>_Appendix_C:_Program</vt:lpwstr>
      </vt:variant>
      <vt:variant>
        <vt:i4>7536671</vt:i4>
      </vt:variant>
      <vt:variant>
        <vt:i4>192</vt:i4>
      </vt:variant>
      <vt:variant>
        <vt:i4>0</vt:i4>
      </vt:variant>
      <vt:variant>
        <vt:i4>5</vt:i4>
      </vt:variant>
      <vt:variant>
        <vt:lpwstr/>
      </vt:variant>
      <vt:variant>
        <vt:lpwstr>_Appendix_B:_Program</vt:lpwstr>
      </vt:variant>
      <vt:variant>
        <vt:i4>7536671</vt:i4>
      </vt:variant>
      <vt:variant>
        <vt:i4>189</vt:i4>
      </vt:variant>
      <vt:variant>
        <vt:i4>0</vt:i4>
      </vt:variant>
      <vt:variant>
        <vt:i4>5</vt:i4>
      </vt:variant>
      <vt:variant>
        <vt:lpwstr/>
      </vt:variant>
      <vt:variant>
        <vt:lpwstr>_Appendix_B:_Program</vt:lpwstr>
      </vt:variant>
      <vt:variant>
        <vt:i4>6422558</vt:i4>
      </vt:variant>
      <vt:variant>
        <vt:i4>186</vt:i4>
      </vt:variant>
      <vt:variant>
        <vt:i4>0</vt:i4>
      </vt:variant>
      <vt:variant>
        <vt:i4>5</vt:i4>
      </vt:variant>
      <vt:variant>
        <vt:lpwstr/>
      </vt:variant>
      <vt:variant>
        <vt:lpwstr>_Appendix_A:_Regulations</vt:lpwstr>
      </vt:variant>
      <vt:variant>
        <vt:i4>4980750</vt:i4>
      </vt:variant>
      <vt:variant>
        <vt:i4>183</vt:i4>
      </vt:variant>
      <vt:variant>
        <vt:i4>0</vt:i4>
      </vt:variant>
      <vt:variant>
        <vt:i4>5</vt:i4>
      </vt:variant>
      <vt:variant>
        <vt:lpwstr>https://www.doe.mass.edu/edprep/resources/guidelines-advisories/leadership-guide.pdf</vt:lpwstr>
      </vt:variant>
      <vt:variant>
        <vt:lpwstr/>
      </vt:variant>
      <vt:variant>
        <vt:i4>3211368</vt:i4>
      </vt:variant>
      <vt:variant>
        <vt:i4>180</vt:i4>
      </vt:variant>
      <vt:variant>
        <vt:i4>0</vt:i4>
      </vt:variant>
      <vt:variant>
        <vt:i4>5</vt:i4>
      </vt:variant>
      <vt:variant>
        <vt:lpwstr>https://www.doe.mass.edu/instruction/impd/</vt:lpwstr>
      </vt:variant>
      <vt:variant>
        <vt:lpwstr/>
      </vt:variant>
      <vt:variant>
        <vt:i4>3211368</vt:i4>
      </vt:variant>
      <vt:variant>
        <vt:i4>177</vt:i4>
      </vt:variant>
      <vt:variant>
        <vt:i4>0</vt:i4>
      </vt:variant>
      <vt:variant>
        <vt:i4>5</vt:i4>
      </vt:variant>
      <vt:variant>
        <vt:lpwstr>https://www.doe.mass.edu/instruction/impd/</vt:lpwstr>
      </vt:variant>
      <vt:variant>
        <vt:lpwstr/>
      </vt:variant>
      <vt:variant>
        <vt:i4>3342396</vt:i4>
      </vt:variant>
      <vt:variant>
        <vt:i4>174</vt:i4>
      </vt:variant>
      <vt:variant>
        <vt:i4>0</vt:i4>
      </vt:variant>
      <vt:variant>
        <vt:i4>5</vt:i4>
      </vt:variant>
      <vt:variant>
        <vt:lpwstr>https://www.doe.mass.edu/massliteracy/</vt:lpwstr>
      </vt:variant>
      <vt:variant>
        <vt:lpwstr/>
      </vt:variant>
      <vt:variant>
        <vt:i4>3342396</vt:i4>
      </vt:variant>
      <vt:variant>
        <vt:i4>171</vt:i4>
      </vt:variant>
      <vt:variant>
        <vt:i4>0</vt:i4>
      </vt:variant>
      <vt:variant>
        <vt:i4>5</vt:i4>
      </vt:variant>
      <vt:variant>
        <vt:lpwstr>https://www.doe.mass.edu/massliteracy/</vt:lpwstr>
      </vt:variant>
      <vt:variant>
        <vt:lpwstr/>
      </vt:variant>
      <vt:variant>
        <vt:i4>2883697</vt:i4>
      </vt:variant>
      <vt:variant>
        <vt:i4>168</vt:i4>
      </vt:variant>
      <vt:variant>
        <vt:i4>0</vt:i4>
      </vt:variant>
      <vt:variant>
        <vt:i4>5</vt:i4>
      </vt:variant>
      <vt:variant>
        <vt:lpwstr>https://www.doe.mass.edu/instruction/culturally-responsive/default.html</vt:lpwstr>
      </vt:variant>
      <vt:variant>
        <vt:lpwstr/>
      </vt:variant>
      <vt:variant>
        <vt:i4>4849736</vt:i4>
      </vt:variant>
      <vt:variant>
        <vt:i4>165</vt:i4>
      </vt:variant>
      <vt:variant>
        <vt:i4>0</vt:i4>
      </vt:variant>
      <vt:variant>
        <vt:i4>5</vt:i4>
      </vt:variant>
      <vt:variant>
        <vt:lpwstr>https://www.doe.mass.edu/infoservices/reports/gradrates/</vt:lpwstr>
      </vt:variant>
      <vt:variant>
        <vt:lpwstr/>
      </vt:variant>
      <vt:variant>
        <vt:i4>6422586</vt:i4>
      </vt:variant>
      <vt:variant>
        <vt:i4>162</vt:i4>
      </vt:variant>
      <vt:variant>
        <vt:i4>0</vt:i4>
      </vt:variant>
      <vt:variant>
        <vt:i4>5</vt:i4>
      </vt:variant>
      <vt:variant>
        <vt:lpwstr>https://number1forsome.org/</vt:lpwstr>
      </vt:variant>
      <vt:variant>
        <vt:lpwstr/>
      </vt:variant>
      <vt:variant>
        <vt:i4>1048629</vt:i4>
      </vt:variant>
      <vt:variant>
        <vt:i4>155</vt:i4>
      </vt:variant>
      <vt:variant>
        <vt:i4>0</vt:i4>
      </vt:variant>
      <vt:variant>
        <vt:i4>5</vt:i4>
      </vt:variant>
      <vt:variant>
        <vt:lpwstr/>
      </vt:variant>
      <vt:variant>
        <vt:lpwstr>_Toc125575654</vt:lpwstr>
      </vt:variant>
      <vt:variant>
        <vt:i4>1048629</vt:i4>
      </vt:variant>
      <vt:variant>
        <vt:i4>149</vt:i4>
      </vt:variant>
      <vt:variant>
        <vt:i4>0</vt:i4>
      </vt:variant>
      <vt:variant>
        <vt:i4>5</vt:i4>
      </vt:variant>
      <vt:variant>
        <vt:lpwstr/>
      </vt:variant>
      <vt:variant>
        <vt:lpwstr>_Toc125575653</vt:lpwstr>
      </vt:variant>
      <vt:variant>
        <vt:i4>1048629</vt:i4>
      </vt:variant>
      <vt:variant>
        <vt:i4>143</vt:i4>
      </vt:variant>
      <vt:variant>
        <vt:i4>0</vt:i4>
      </vt:variant>
      <vt:variant>
        <vt:i4>5</vt:i4>
      </vt:variant>
      <vt:variant>
        <vt:lpwstr/>
      </vt:variant>
      <vt:variant>
        <vt:lpwstr>_Toc125575652</vt:lpwstr>
      </vt:variant>
      <vt:variant>
        <vt:i4>1048629</vt:i4>
      </vt:variant>
      <vt:variant>
        <vt:i4>137</vt:i4>
      </vt:variant>
      <vt:variant>
        <vt:i4>0</vt:i4>
      </vt:variant>
      <vt:variant>
        <vt:i4>5</vt:i4>
      </vt:variant>
      <vt:variant>
        <vt:lpwstr/>
      </vt:variant>
      <vt:variant>
        <vt:lpwstr>_Toc125575651</vt:lpwstr>
      </vt:variant>
      <vt:variant>
        <vt:i4>1048629</vt:i4>
      </vt:variant>
      <vt:variant>
        <vt:i4>131</vt:i4>
      </vt:variant>
      <vt:variant>
        <vt:i4>0</vt:i4>
      </vt:variant>
      <vt:variant>
        <vt:i4>5</vt:i4>
      </vt:variant>
      <vt:variant>
        <vt:lpwstr/>
      </vt:variant>
      <vt:variant>
        <vt:lpwstr>_Toc125575650</vt:lpwstr>
      </vt:variant>
      <vt:variant>
        <vt:i4>1114165</vt:i4>
      </vt:variant>
      <vt:variant>
        <vt:i4>125</vt:i4>
      </vt:variant>
      <vt:variant>
        <vt:i4>0</vt:i4>
      </vt:variant>
      <vt:variant>
        <vt:i4>5</vt:i4>
      </vt:variant>
      <vt:variant>
        <vt:lpwstr/>
      </vt:variant>
      <vt:variant>
        <vt:lpwstr>_Toc125575649</vt:lpwstr>
      </vt:variant>
      <vt:variant>
        <vt:i4>1114165</vt:i4>
      </vt:variant>
      <vt:variant>
        <vt:i4>119</vt:i4>
      </vt:variant>
      <vt:variant>
        <vt:i4>0</vt:i4>
      </vt:variant>
      <vt:variant>
        <vt:i4>5</vt:i4>
      </vt:variant>
      <vt:variant>
        <vt:lpwstr/>
      </vt:variant>
      <vt:variant>
        <vt:lpwstr>_Toc125575646</vt:lpwstr>
      </vt:variant>
      <vt:variant>
        <vt:i4>1114165</vt:i4>
      </vt:variant>
      <vt:variant>
        <vt:i4>113</vt:i4>
      </vt:variant>
      <vt:variant>
        <vt:i4>0</vt:i4>
      </vt:variant>
      <vt:variant>
        <vt:i4>5</vt:i4>
      </vt:variant>
      <vt:variant>
        <vt:lpwstr/>
      </vt:variant>
      <vt:variant>
        <vt:lpwstr>_Toc125575645</vt:lpwstr>
      </vt:variant>
      <vt:variant>
        <vt:i4>1114165</vt:i4>
      </vt:variant>
      <vt:variant>
        <vt:i4>107</vt:i4>
      </vt:variant>
      <vt:variant>
        <vt:i4>0</vt:i4>
      </vt:variant>
      <vt:variant>
        <vt:i4>5</vt:i4>
      </vt:variant>
      <vt:variant>
        <vt:lpwstr/>
      </vt:variant>
      <vt:variant>
        <vt:lpwstr>_Toc125575644</vt:lpwstr>
      </vt:variant>
      <vt:variant>
        <vt:i4>1114165</vt:i4>
      </vt:variant>
      <vt:variant>
        <vt:i4>101</vt:i4>
      </vt:variant>
      <vt:variant>
        <vt:i4>0</vt:i4>
      </vt:variant>
      <vt:variant>
        <vt:i4>5</vt:i4>
      </vt:variant>
      <vt:variant>
        <vt:lpwstr/>
      </vt:variant>
      <vt:variant>
        <vt:lpwstr>_Toc125575643</vt:lpwstr>
      </vt:variant>
      <vt:variant>
        <vt:i4>1441845</vt:i4>
      </vt:variant>
      <vt:variant>
        <vt:i4>95</vt:i4>
      </vt:variant>
      <vt:variant>
        <vt:i4>0</vt:i4>
      </vt:variant>
      <vt:variant>
        <vt:i4>5</vt:i4>
      </vt:variant>
      <vt:variant>
        <vt:lpwstr/>
      </vt:variant>
      <vt:variant>
        <vt:lpwstr>_Toc125575638</vt:lpwstr>
      </vt:variant>
      <vt:variant>
        <vt:i4>1441845</vt:i4>
      </vt:variant>
      <vt:variant>
        <vt:i4>89</vt:i4>
      </vt:variant>
      <vt:variant>
        <vt:i4>0</vt:i4>
      </vt:variant>
      <vt:variant>
        <vt:i4>5</vt:i4>
      </vt:variant>
      <vt:variant>
        <vt:lpwstr/>
      </vt:variant>
      <vt:variant>
        <vt:lpwstr>_Toc125575637</vt:lpwstr>
      </vt:variant>
      <vt:variant>
        <vt:i4>1441845</vt:i4>
      </vt:variant>
      <vt:variant>
        <vt:i4>83</vt:i4>
      </vt:variant>
      <vt:variant>
        <vt:i4>0</vt:i4>
      </vt:variant>
      <vt:variant>
        <vt:i4>5</vt:i4>
      </vt:variant>
      <vt:variant>
        <vt:lpwstr/>
      </vt:variant>
      <vt:variant>
        <vt:lpwstr>_Toc125575633</vt:lpwstr>
      </vt:variant>
      <vt:variant>
        <vt:i4>1441845</vt:i4>
      </vt:variant>
      <vt:variant>
        <vt:i4>77</vt:i4>
      </vt:variant>
      <vt:variant>
        <vt:i4>0</vt:i4>
      </vt:variant>
      <vt:variant>
        <vt:i4>5</vt:i4>
      </vt:variant>
      <vt:variant>
        <vt:lpwstr/>
      </vt:variant>
      <vt:variant>
        <vt:lpwstr>_Toc125575632</vt:lpwstr>
      </vt:variant>
      <vt:variant>
        <vt:i4>1441845</vt:i4>
      </vt:variant>
      <vt:variant>
        <vt:i4>71</vt:i4>
      </vt:variant>
      <vt:variant>
        <vt:i4>0</vt:i4>
      </vt:variant>
      <vt:variant>
        <vt:i4>5</vt:i4>
      </vt:variant>
      <vt:variant>
        <vt:lpwstr/>
      </vt:variant>
      <vt:variant>
        <vt:lpwstr>_Toc125575631</vt:lpwstr>
      </vt:variant>
      <vt:variant>
        <vt:i4>1441845</vt:i4>
      </vt:variant>
      <vt:variant>
        <vt:i4>65</vt:i4>
      </vt:variant>
      <vt:variant>
        <vt:i4>0</vt:i4>
      </vt:variant>
      <vt:variant>
        <vt:i4>5</vt:i4>
      </vt:variant>
      <vt:variant>
        <vt:lpwstr/>
      </vt:variant>
      <vt:variant>
        <vt:lpwstr>_Toc125575630</vt:lpwstr>
      </vt:variant>
      <vt:variant>
        <vt:i4>1507381</vt:i4>
      </vt:variant>
      <vt:variant>
        <vt:i4>59</vt:i4>
      </vt:variant>
      <vt:variant>
        <vt:i4>0</vt:i4>
      </vt:variant>
      <vt:variant>
        <vt:i4>5</vt:i4>
      </vt:variant>
      <vt:variant>
        <vt:lpwstr/>
      </vt:variant>
      <vt:variant>
        <vt:lpwstr>_Toc125575627</vt:lpwstr>
      </vt:variant>
      <vt:variant>
        <vt:i4>1507381</vt:i4>
      </vt:variant>
      <vt:variant>
        <vt:i4>53</vt:i4>
      </vt:variant>
      <vt:variant>
        <vt:i4>0</vt:i4>
      </vt:variant>
      <vt:variant>
        <vt:i4>5</vt:i4>
      </vt:variant>
      <vt:variant>
        <vt:lpwstr/>
      </vt:variant>
      <vt:variant>
        <vt:lpwstr>_Toc125575621</vt:lpwstr>
      </vt:variant>
      <vt:variant>
        <vt:i4>1310773</vt:i4>
      </vt:variant>
      <vt:variant>
        <vt:i4>47</vt:i4>
      </vt:variant>
      <vt:variant>
        <vt:i4>0</vt:i4>
      </vt:variant>
      <vt:variant>
        <vt:i4>5</vt:i4>
      </vt:variant>
      <vt:variant>
        <vt:lpwstr/>
      </vt:variant>
      <vt:variant>
        <vt:lpwstr>_Toc125575617</vt:lpwstr>
      </vt:variant>
      <vt:variant>
        <vt:i4>1310773</vt:i4>
      </vt:variant>
      <vt:variant>
        <vt:i4>41</vt:i4>
      </vt:variant>
      <vt:variant>
        <vt:i4>0</vt:i4>
      </vt:variant>
      <vt:variant>
        <vt:i4>5</vt:i4>
      </vt:variant>
      <vt:variant>
        <vt:lpwstr/>
      </vt:variant>
      <vt:variant>
        <vt:lpwstr>_Toc125575613</vt:lpwstr>
      </vt:variant>
      <vt:variant>
        <vt:i4>1310773</vt:i4>
      </vt:variant>
      <vt:variant>
        <vt:i4>35</vt:i4>
      </vt:variant>
      <vt:variant>
        <vt:i4>0</vt:i4>
      </vt:variant>
      <vt:variant>
        <vt:i4>5</vt:i4>
      </vt:variant>
      <vt:variant>
        <vt:lpwstr/>
      </vt:variant>
      <vt:variant>
        <vt:lpwstr>_Toc125575610</vt:lpwstr>
      </vt:variant>
      <vt:variant>
        <vt:i4>1376309</vt:i4>
      </vt:variant>
      <vt:variant>
        <vt:i4>29</vt:i4>
      </vt:variant>
      <vt:variant>
        <vt:i4>0</vt:i4>
      </vt:variant>
      <vt:variant>
        <vt:i4>5</vt:i4>
      </vt:variant>
      <vt:variant>
        <vt:lpwstr/>
      </vt:variant>
      <vt:variant>
        <vt:lpwstr>_Toc125575609</vt:lpwstr>
      </vt:variant>
      <vt:variant>
        <vt:i4>1376309</vt:i4>
      </vt:variant>
      <vt:variant>
        <vt:i4>23</vt:i4>
      </vt:variant>
      <vt:variant>
        <vt:i4>0</vt:i4>
      </vt:variant>
      <vt:variant>
        <vt:i4>5</vt:i4>
      </vt:variant>
      <vt:variant>
        <vt:lpwstr/>
      </vt:variant>
      <vt:variant>
        <vt:lpwstr>_Toc125575607</vt:lpwstr>
      </vt:variant>
      <vt:variant>
        <vt:i4>1376309</vt:i4>
      </vt:variant>
      <vt:variant>
        <vt:i4>17</vt:i4>
      </vt:variant>
      <vt:variant>
        <vt:i4>0</vt:i4>
      </vt:variant>
      <vt:variant>
        <vt:i4>5</vt:i4>
      </vt:variant>
      <vt:variant>
        <vt:lpwstr/>
      </vt:variant>
      <vt:variant>
        <vt:lpwstr>_Toc125575605</vt:lpwstr>
      </vt:variant>
      <vt:variant>
        <vt:i4>1376309</vt:i4>
      </vt:variant>
      <vt:variant>
        <vt:i4>11</vt:i4>
      </vt:variant>
      <vt:variant>
        <vt:i4>0</vt:i4>
      </vt:variant>
      <vt:variant>
        <vt:i4>5</vt:i4>
      </vt:variant>
      <vt:variant>
        <vt:lpwstr/>
      </vt:variant>
      <vt:variant>
        <vt:lpwstr>_Toc125575603</vt:lpwstr>
      </vt:variant>
      <vt:variant>
        <vt:i4>1376309</vt:i4>
      </vt:variant>
      <vt:variant>
        <vt:i4>5</vt:i4>
      </vt:variant>
      <vt:variant>
        <vt:i4>0</vt:i4>
      </vt:variant>
      <vt:variant>
        <vt:i4>5</vt:i4>
      </vt:variant>
      <vt:variant>
        <vt:lpwstr/>
      </vt:variant>
      <vt:variant>
        <vt:lpwstr>_Toc125575602</vt:lpwstr>
      </vt:variant>
      <vt:variant>
        <vt:i4>1376309</vt:i4>
      </vt:variant>
      <vt:variant>
        <vt:i4>2</vt:i4>
      </vt:variant>
      <vt:variant>
        <vt:i4>0</vt:i4>
      </vt:variant>
      <vt:variant>
        <vt:i4>5</vt:i4>
      </vt:variant>
      <vt:variant>
        <vt:lpwstr/>
      </vt:variant>
      <vt:variant>
        <vt:lpwstr>_Toc125575601</vt:lpwstr>
      </vt:variant>
      <vt:variant>
        <vt:i4>5570648</vt:i4>
      </vt:variant>
      <vt:variant>
        <vt:i4>42</vt:i4>
      </vt:variant>
      <vt:variant>
        <vt:i4>0</vt:i4>
      </vt:variant>
      <vt:variant>
        <vt:i4>5</vt:i4>
      </vt:variant>
      <vt:variant>
        <vt:lpwstr>https://www.doe.mass.edu/edeval/rubrics/updates/</vt:lpwstr>
      </vt:variant>
      <vt:variant>
        <vt:lpwstr/>
      </vt:variant>
      <vt:variant>
        <vt:i4>5570648</vt:i4>
      </vt:variant>
      <vt:variant>
        <vt:i4>39</vt:i4>
      </vt:variant>
      <vt:variant>
        <vt:i4>0</vt:i4>
      </vt:variant>
      <vt:variant>
        <vt:i4>5</vt:i4>
      </vt:variant>
      <vt:variant>
        <vt:lpwstr>https://www.doe.mass.edu/edeval/rubrics/updates/</vt:lpwstr>
      </vt:variant>
      <vt:variant>
        <vt:lpwstr/>
      </vt:variant>
      <vt:variant>
        <vt:i4>5570648</vt:i4>
      </vt:variant>
      <vt:variant>
        <vt:i4>36</vt:i4>
      </vt:variant>
      <vt:variant>
        <vt:i4>0</vt:i4>
      </vt:variant>
      <vt:variant>
        <vt:i4>5</vt:i4>
      </vt:variant>
      <vt:variant>
        <vt:lpwstr>https://www.doe.mass.edu/edeval/rubrics/updates/</vt:lpwstr>
      </vt:variant>
      <vt:variant>
        <vt:lpwstr/>
      </vt:variant>
      <vt:variant>
        <vt:i4>2556020</vt:i4>
      </vt:variant>
      <vt:variant>
        <vt:i4>33</vt:i4>
      </vt:variant>
      <vt:variant>
        <vt:i4>0</vt:i4>
      </vt:variant>
      <vt:variant>
        <vt:i4>5</vt:i4>
      </vt:variant>
      <vt:variant>
        <vt:lpwstr>https://www.doe.mass.edu/lawsregs/603cmr7.html?section=all</vt:lpwstr>
      </vt:variant>
      <vt:variant>
        <vt:lpwstr/>
      </vt:variant>
      <vt:variant>
        <vt:i4>720926</vt:i4>
      </vt:variant>
      <vt:variant>
        <vt:i4>30</vt:i4>
      </vt:variant>
      <vt:variant>
        <vt:i4>0</vt:i4>
      </vt:variant>
      <vt:variant>
        <vt:i4>5</vt:i4>
      </vt:variant>
      <vt:variant>
        <vt:lpwstr>https://www.doe.mass.edu/edprep/resources/guidelines-advisories/program-approval/anticipated-review-timelines.pdf</vt:lpwstr>
      </vt:variant>
      <vt:variant>
        <vt:lpwstr/>
      </vt:variant>
      <vt:variant>
        <vt:i4>5570648</vt:i4>
      </vt:variant>
      <vt:variant>
        <vt:i4>27</vt:i4>
      </vt:variant>
      <vt:variant>
        <vt:i4>0</vt:i4>
      </vt:variant>
      <vt:variant>
        <vt:i4>5</vt:i4>
      </vt:variant>
      <vt:variant>
        <vt:lpwstr>https://www.doe.mass.edu/edeval/rubrics/updates/</vt:lpwstr>
      </vt:variant>
      <vt:variant>
        <vt:lpwstr/>
      </vt:variant>
      <vt:variant>
        <vt:i4>7733299</vt:i4>
      </vt:variant>
      <vt:variant>
        <vt:i4>24</vt:i4>
      </vt:variant>
      <vt:variant>
        <vt:i4>0</vt:i4>
      </vt:variant>
      <vt:variant>
        <vt:i4>5</vt:i4>
      </vt:variant>
      <vt:variant>
        <vt:lpwstr>https://www.doe.mass.edu/pal/resources.html</vt:lpwstr>
      </vt:variant>
      <vt:variant>
        <vt:lpwstr/>
      </vt:variant>
      <vt:variant>
        <vt:i4>5570648</vt:i4>
      </vt:variant>
      <vt:variant>
        <vt:i4>21</vt:i4>
      </vt:variant>
      <vt:variant>
        <vt:i4>0</vt:i4>
      </vt:variant>
      <vt:variant>
        <vt:i4>5</vt:i4>
      </vt:variant>
      <vt:variant>
        <vt:lpwstr>https://www.doe.mass.edu/edeval/rubrics/updates/</vt:lpwstr>
      </vt:variant>
      <vt:variant>
        <vt:lpwstr/>
      </vt:variant>
      <vt:variant>
        <vt:i4>1507328</vt:i4>
      </vt:variant>
      <vt:variant>
        <vt:i4>18</vt:i4>
      </vt:variant>
      <vt:variant>
        <vt:i4>0</vt:i4>
      </vt:variant>
      <vt:variant>
        <vt:i4>5</vt:i4>
      </vt:variant>
      <vt:variant>
        <vt:lpwstr>https://view.officeapps.live.com/op/view.aspx?src=https%3A%2F%2Fwww.doe.mass.edu%2Flicensure%2Fresources%2Fmatching-licenses.docx&amp;wdOrigin=BROWSELINK</vt:lpwstr>
      </vt:variant>
      <vt:variant>
        <vt:lpwstr/>
      </vt:variant>
      <vt:variant>
        <vt:i4>2293868</vt:i4>
      </vt:variant>
      <vt:variant>
        <vt:i4>15</vt:i4>
      </vt:variant>
      <vt:variant>
        <vt:i4>0</vt:i4>
      </vt:variant>
      <vt:variant>
        <vt:i4>5</vt:i4>
      </vt:variant>
      <vt:variant>
        <vt:lpwstr>https://www.doe.mass.edu/licensure/lookup/</vt:lpwstr>
      </vt:variant>
      <vt:variant>
        <vt:lpwstr/>
      </vt:variant>
      <vt:variant>
        <vt:i4>5570648</vt:i4>
      </vt:variant>
      <vt:variant>
        <vt:i4>12</vt:i4>
      </vt:variant>
      <vt:variant>
        <vt:i4>0</vt:i4>
      </vt:variant>
      <vt:variant>
        <vt:i4>5</vt:i4>
      </vt:variant>
      <vt:variant>
        <vt:lpwstr>https://www.doe.mass.edu/edeval/rubrics/updates/</vt:lpwstr>
      </vt:variant>
      <vt:variant>
        <vt:lpwstr/>
      </vt:variant>
      <vt:variant>
        <vt:i4>5570648</vt:i4>
      </vt:variant>
      <vt:variant>
        <vt:i4>9</vt:i4>
      </vt:variant>
      <vt:variant>
        <vt:i4>0</vt:i4>
      </vt:variant>
      <vt:variant>
        <vt:i4>5</vt:i4>
      </vt:variant>
      <vt:variant>
        <vt:lpwstr>https://www.doe.mass.edu/edeval/rubrics/updates/</vt:lpwstr>
      </vt:variant>
      <vt:variant>
        <vt:lpwstr/>
      </vt:variant>
      <vt:variant>
        <vt:i4>5242968</vt:i4>
      </vt:variant>
      <vt:variant>
        <vt:i4>6</vt:i4>
      </vt:variant>
      <vt:variant>
        <vt:i4>0</vt:i4>
      </vt:variant>
      <vt:variant>
        <vt:i4>5</vt:i4>
      </vt:variant>
      <vt:variant>
        <vt:lpwstr>https://doi.org/10.3102/0091732X16688623</vt:lpwstr>
      </vt:variant>
      <vt:variant>
        <vt:lpwstr/>
      </vt:variant>
      <vt:variant>
        <vt:i4>5570648</vt:i4>
      </vt:variant>
      <vt:variant>
        <vt:i4>3</vt:i4>
      </vt:variant>
      <vt:variant>
        <vt:i4>0</vt:i4>
      </vt:variant>
      <vt:variant>
        <vt:i4>5</vt:i4>
      </vt:variant>
      <vt:variant>
        <vt:lpwstr>http://www.rtinetwork.org/learn/diversity/disproportionaterepresentation</vt:lpwstr>
      </vt:variant>
      <vt:variant>
        <vt:lpwstr/>
      </vt:variant>
      <vt:variant>
        <vt:i4>4063335</vt:i4>
      </vt:variant>
      <vt:variant>
        <vt:i4>0</vt:i4>
      </vt:variant>
      <vt:variant>
        <vt:i4>0</vt:i4>
      </vt:variant>
      <vt:variant>
        <vt:i4>5</vt:i4>
      </vt:variant>
      <vt:variant>
        <vt:lpwstr>https://number1forsome.org/wp-content/uploads/sites/4/2018/09/Number-1-for-Some-9.25-18.pdf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Educator Preparation Program Approval, Draft for Public Comment, Winter 2023</dc:title>
  <dc:subject/>
  <dc:creator>DESE</dc:creator>
  <cp:keywords/>
  <cp:lastModifiedBy>Zou, Dong (EOE)</cp:lastModifiedBy>
  <cp:revision>303</cp:revision>
  <cp:lastPrinted>2023-01-31T22:46:00Z</cp:lastPrinted>
  <dcterms:created xsi:type="dcterms:W3CDTF">2023-01-25T21:19:00Z</dcterms:created>
  <dcterms:modified xsi:type="dcterms:W3CDTF">2023-02-01T19:38:00Z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 2023 12:00AM</vt:lpwstr>
  </property>
</Properties>
</file>