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E150E" w14:textId="4F1B8FB8" w:rsidR="7B4A9B78" w:rsidRDefault="7B4A9B78" w:rsidP="037E0192">
      <w:pPr>
        <w:pStyle w:val="Heading1"/>
      </w:pPr>
      <w:r w:rsidRPr="037E0192">
        <w:t>Measuring Candidate Impact on Student Learning</w:t>
      </w:r>
    </w:p>
    <w:p w14:paraId="18C89ECA" w14:textId="7D2F6621" w:rsidR="1FC2809D" w:rsidRDefault="1FC2809D" w:rsidP="037E0192">
      <w:pPr>
        <w:pStyle w:val="Heading2"/>
        <w:rPr>
          <w:sz w:val="32"/>
          <w:szCs w:val="32"/>
        </w:rPr>
      </w:pPr>
      <w:r w:rsidRPr="037E0192">
        <w:t>Introduction</w:t>
      </w:r>
    </w:p>
    <w:p w14:paraId="59742314" w14:textId="7FDE8F98" w:rsidR="00DB1CEA" w:rsidRDefault="4D0A6EE4" w:rsidP="3879A980">
      <w:pPr>
        <w:spacing w:before="240" w:after="240"/>
        <w:rPr>
          <w:rFonts w:ascii="Arial" w:eastAsia="Arial" w:hAnsi="Arial" w:cs="Arial"/>
          <w:sz w:val="22"/>
          <w:szCs w:val="22"/>
        </w:rPr>
      </w:pPr>
      <w:r w:rsidRPr="037E0192">
        <w:rPr>
          <w:rFonts w:ascii="Arial" w:eastAsia="Arial" w:hAnsi="Arial" w:cs="Arial"/>
          <w:sz w:val="22"/>
          <w:szCs w:val="22"/>
        </w:rPr>
        <w:t xml:space="preserve">In the Candidate Assessment of Performance (CAP), measuring student learning is a central requirement because it goes beyond observing what a candidate does in the classroom—it demonstrates whether their teaching leads to meaningful growth for students. By integrating student learning data into CAP, </w:t>
      </w:r>
      <w:r w:rsidR="03CB2EFB" w:rsidRPr="037E0192">
        <w:rPr>
          <w:rFonts w:ascii="Arial" w:eastAsia="Arial" w:hAnsi="Arial" w:cs="Arial"/>
          <w:sz w:val="22"/>
          <w:szCs w:val="22"/>
        </w:rPr>
        <w:t xml:space="preserve">sponsoring organizations </w:t>
      </w:r>
      <w:r w:rsidRPr="037E0192">
        <w:rPr>
          <w:rFonts w:ascii="Arial" w:eastAsia="Arial" w:hAnsi="Arial" w:cs="Arial"/>
          <w:sz w:val="22"/>
          <w:szCs w:val="22"/>
        </w:rPr>
        <w:t>can ensure that candidates are not just delivering instruction, but actively improving outcomes for all learners. This focus on measurable results centers the work on student success, encourages candidates to use evidence to refine their practice, and mirrors the expectations of the Massachusetts Model System for Educator Evaluation. It also provides a vital layer of accountability for educator preparation programs, ensuring that the teachers they graduate are ready to make a positive, measurable difference</w:t>
      </w:r>
      <w:r w:rsidR="46738876" w:rsidRPr="037E0192">
        <w:rPr>
          <w:rFonts w:ascii="Arial" w:eastAsia="Arial" w:hAnsi="Arial" w:cs="Arial"/>
          <w:sz w:val="22"/>
          <w:szCs w:val="22"/>
        </w:rPr>
        <w:t xml:space="preserve"> with students</w:t>
      </w:r>
      <w:r w:rsidRPr="037E0192">
        <w:rPr>
          <w:rFonts w:ascii="Arial" w:eastAsia="Arial" w:hAnsi="Arial" w:cs="Arial"/>
          <w:sz w:val="22"/>
          <w:szCs w:val="22"/>
        </w:rPr>
        <w:t>.</w:t>
      </w:r>
    </w:p>
    <w:p w14:paraId="6CF7A192" w14:textId="7510ACE5" w:rsidR="00DB1CEA" w:rsidRDefault="4D0A6EE4" w:rsidP="3879A980">
      <w:pPr>
        <w:pStyle w:val="Heading2"/>
        <w:rPr>
          <w:sz w:val="22"/>
          <w:szCs w:val="22"/>
        </w:rPr>
      </w:pPr>
      <w:r w:rsidRPr="3879A980">
        <w:t>The Role of Evidence in CAP</w:t>
      </w:r>
    </w:p>
    <w:p w14:paraId="1BC41069" w14:textId="6AF88CE1" w:rsidR="00DB1CEA" w:rsidRDefault="4D0A6EE4" w:rsidP="3879A980">
      <w:pPr>
        <w:spacing w:before="240" w:after="240"/>
        <w:rPr>
          <w:rFonts w:ascii="Arial" w:eastAsia="Arial" w:hAnsi="Arial" w:cs="Arial"/>
        </w:rPr>
      </w:pPr>
      <w:r w:rsidRPr="3879A980">
        <w:rPr>
          <w:rFonts w:ascii="Arial" w:eastAsia="Arial" w:hAnsi="Arial" w:cs="Arial"/>
        </w:rPr>
        <w:t>To capture a well-rounded picture of candidate readiness, CAP requires evidence across five categories:</w:t>
      </w:r>
    </w:p>
    <w:p w14:paraId="375CA141" w14:textId="043A6EE1" w:rsidR="00DB1CEA" w:rsidRDefault="4D0A6EE4" w:rsidP="3879A980">
      <w:pPr>
        <w:pStyle w:val="ListParagraph"/>
        <w:numPr>
          <w:ilvl w:val="0"/>
          <w:numId w:val="2"/>
        </w:numPr>
        <w:spacing w:before="240" w:after="240"/>
        <w:rPr>
          <w:rFonts w:ascii="Arial" w:eastAsia="Arial" w:hAnsi="Arial" w:cs="Arial"/>
        </w:rPr>
      </w:pPr>
      <w:r w:rsidRPr="3879A980">
        <w:rPr>
          <w:rFonts w:ascii="Arial" w:eastAsia="Arial" w:hAnsi="Arial" w:cs="Arial"/>
        </w:rPr>
        <w:t>Observations</w:t>
      </w:r>
    </w:p>
    <w:p w14:paraId="1C900401" w14:textId="58ABAD1D" w:rsidR="00DB1CEA" w:rsidRDefault="4D0A6EE4" w:rsidP="3879A980">
      <w:pPr>
        <w:pStyle w:val="ListParagraph"/>
        <w:numPr>
          <w:ilvl w:val="0"/>
          <w:numId w:val="2"/>
        </w:numPr>
        <w:spacing w:before="240" w:after="240"/>
        <w:rPr>
          <w:rFonts w:ascii="Arial" w:eastAsia="Arial" w:hAnsi="Arial" w:cs="Arial"/>
        </w:rPr>
      </w:pPr>
      <w:r w:rsidRPr="3879A980">
        <w:rPr>
          <w:rFonts w:ascii="Arial" w:eastAsia="Arial" w:hAnsi="Arial" w:cs="Arial"/>
        </w:rPr>
        <w:t>Measures of Student Learning</w:t>
      </w:r>
    </w:p>
    <w:p w14:paraId="4CFE8563" w14:textId="1C22F03C" w:rsidR="00DB1CEA" w:rsidRDefault="4D0A6EE4" w:rsidP="3879A980">
      <w:pPr>
        <w:pStyle w:val="ListParagraph"/>
        <w:numPr>
          <w:ilvl w:val="0"/>
          <w:numId w:val="2"/>
        </w:numPr>
        <w:spacing w:before="240" w:after="240"/>
        <w:rPr>
          <w:rFonts w:ascii="Arial" w:eastAsia="Arial" w:hAnsi="Arial" w:cs="Arial"/>
        </w:rPr>
      </w:pPr>
      <w:r w:rsidRPr="3879A980">
        <w:rPr>
          <w:rFonts w:ascii="Arial" w:eastAsia="Arial" w:hAnsi="Arial" w:cs="Arial"/>
        </w:rPr>
        <w:t>Student Feedback</w:t>
      </w:r>
    </w:p>
    <w:p w14:paraId="5A262C00" w14:textId="09996819" w:rsidR="00DB1CEA" w:rsidRDefault="4D0A6EE4" w:rsidP="3879A980">
      <w:pPr>
        <w:pStyle w:val="ListParagraph"/>
        <w:numPr>
          <w:ilvl w:val="0"/>
          <w:numId w:val="2"/>
        </w:numPr>
        <w:spacing w:before="240" w:after="240"/>
        <w:rPr>
          <w:rFonts w:ascii="Arial" w:eastAsia="Arial" w:hAnsi="Arial" w:cs="Arial"/>
        </w:rPr>
      </w:pPr>
      <w:r w:rsidRPr="3879A980">
        <w:rPr>
          <w:rFonts w:ascii="Arial" w:eastAsia="Arial" w:hAnsi="Arial" w:cs="Arial"/>
        </w:rPr>
        <w:t>Progress toward the candidate’s Professional Practice Goal</w:t>
      </w:r>
    </w:p>
    <w:p w14:paraId="501C3491" w14:textId="523057F8" w:rsidR="00DB1CEA" w:rsidRDefault="4D0A6EE4" w:rsidP="3879A980">
      <w:pPr>
        <w:pStyle w:val="ListParagraph"/>
        <w:numPr>
          <w:ilvl w:val="0"/>
          <w:numId w:val="2"/>
        </w:numPr>
        <w:spacing w:before="240" w:after="240"/>
        <w:rPr>
          <w:rFonts w:ascii="Arial" w:eastAsia="Arial" w:hAnsi="Arial" w:cs="Arial"/>
        </w:rPr>
      </w:pPr>
      <w:r w:rsidRPr="3879A980">
        <w:rPr>
          <w:rFonts w:ascii="Arial" w:eastAsia="Arial" w:hAnsi="Arial" w:cs="Arial"/>
        </w:rPr>
        <w:t>Candidate Artifacts</w:t>
      </w:r>
    </w:p>
    <w:p w14:paraId="153760E8" w14:textId="504B28DE" w:rsidR="00DB1CEA" w:rsidRDefault="4D0A6EE4" w:rsidP="3879A980">
      <w:pPr>
        <w:spacing w:before="240" w:after="240"/>
        <w:rPr>
          <w:rFonts w:ascii="Arial" w:eastAsia="Arial" w:hAnsi="Arial" w:cs="Arial"/>
        </w:rPr>
      </w:pPr>
      <w:r w:rsidRPr="3879A980">
        <w:rPr>
          <w:rFonts w:ascii="Arial" w:eastAsia="Arial" w:hAnsi="Arial" w:cs="Arial"/>
        </w:rPr>
        <w:t>Together, these components create a fuller, more reliable assessment than any single measure could provide.</w:t>
      </w:r>
    </w:p>
    <w:p w14:paraId="79298205" w14:textId="2A2234C5" w:rsidR="00DB1CEA" w:rsidRDefault="4D0A6EE4" w:rsidP="3879A980">
      <w:pPr>
        <w:pStyle w:val="Heading2"/>
        <w:rPr>
          <w:sz w:val="24"/>
          <w:szCs w:val="24"/>
        </w:rPr>
      </w:pPr>
      <w:r w:rsidRPr="3879A980">
        <w:t>Example of a Measure of Student Learning</w:t>
      </w:r>
    </w:p>
    <w:p w14:paraId="67119173" w14:textId="18C3B8F9" w:rsidR="00DB1CEA" w:rsidRDefault="4D0A6EE4" w:rsidP="3879A980">
      <w:pPr>
        <w:spacing w:before="240" w:after="240"/>
        <w:rPr>
          <w:rFonts w:ascii="Arial" w:eastAsia="Arial" w:hAnsi="Arial" w:cs="Arial"/>
        </w:rPr>
      </w:pPr>
      <w:r w:rsidRPr="037E0192">
        <w:rPr>
          <w:rFonts w:ascii="Arial" w:eastAsia="Arial" w:hAnsi="Arial" w:cs="Arial"/>
        </w:rPr>
        <w:t>A</w:t>
      </w:r>
      <w:r w:rsidR="21FFB6FA" w:rsidRPr="037E0192">
        <w:rPr>
          <w:rFonts w:ascii="Arial" w:eastAsia="Arial" w:hAnsi="Arial" w:cs="Arial"/>
        </w:rPr>
        <w:t xml:space="preserve"> measure of student learning</w:t>
      </w:r>
      <w:r w:rsidRPr="037E0192">
        <w:rPr>
          <w:rFonts w:ascii="Arial" w:eastAsia="Arial" w:hAnsi="Arial" w:cs="Arial"/>
        </w:rPr>
        <w:t xml:space="preserve"> can take many forms, but it should be intentionally chosen to align with the content and skills being taught. For example, in an elementary classroom, a candidate might use a math pre-test and post-test for a specific unit. If the class average increases by 30 percentage points, the data indicates that most students achieved expected growth. Within that same set of results, the candidate can also see where individual or small groups of students fell below the expected range, prompting reflection on</w:t>
      </w:r>
      <w:r w:rsidR="09DDCB60" w:rsidRPr="037E0192">
        <w:rPr>
          <w:rFonts w:ascii="Arial" w:eastAsia="Arial" w:hAnsi="Arial" w:cs="Arial"/>
        </w:rPr>
        <w:t xml:space="preserve"> patterns in </w:t>
      </w:r>
      <w:r w:rsidR="17F47564" w:rsidRPr="037E0192">
        <w:rPr>
          <w:rFonts w:ascii="Arial" w:eastAsia="Arial" w:hAnsi="Arial" w:cs="Arial"/>
        </w:rPr>
        <w:t>specific standards and</w:t>
      </w:r>
      <w:r w:rsidRPr="037E0192">
        <w:rPr>
          <w:rFonts w:ascii="Arial" w:eastAsia="Arial" w:hAnsi="Arial" w:cs="Arial"/>
        </w:rPr>
        <w:t xml:space="preserve"> what targeted strategies could better support them.</w:t>
      </w:r>
    </w:p>
    <w:p w14:paraId="0A432E15" w14:textId="6840C5AF" w:rsidR="00DB1CEA" w:rsidRDefault="4D0A6EE4" w:rsidP="3879A980">
      <w:pPr>
        <w:pStyle w:val="Heading2"/>
        <w:rPr>
          <w:sz w:val="24"/>
          <w:szCs w:val="24"/>
        </w:rPr>
      </w:pPr>
      <w:r w:rsidRPr="3879A980">
        <w:lastRenderedPageBreak/>
        <w:t xml:space="preserve">Using the Optional </w:t>
      </w:r>
      <w:r w:rsidR="3CC6EC02" w:rsidRPr="3879A980">
        <w:t>Measure of Student Learning</w:t>
      </w:r>
      <w:r w:rsidRPr="3879A980">
        <w:t xml:space="preserve"> Form</w:t>
      </w:r>
    </w:p>
    <w:p w14:paraId="5DAA992C" w14:textId="370973F3" w:rsidR="00DB1CEA" w:rsidRDefault="4D0A6EE4" w:rsidP="3879A980">
      <w:pPr>
        <w:spacing w:before="240" w:after="240"/>
        <w:rPr>
          <w:rFonts w:ascii="Arial" w:eastAsia="Arial" w:hAnsi="Arial" w:cs="Arial"/>
        </w:rPr>
      </w:pPr>
      <w:r w:rsidRPr="037E0192">
        <w:rPr>
          <w:rFonts w:ascii="Arial" w:eastAsia="Arial" w:hAnsi="Arial" w:cs="Arial"/>
        </w:rPr>
        <w:t xml:space="preserve">DESE offers an optional </w:t>
      </w:r>
      <w:hyperlink r:id="rId10">
        <w:r w:rsidRPr="037E0192">
          <w:rPr>
            <w:rStyle w:val="Hyperlink"/>
            <w:rFonts w:ascii="Arial" w:eastAsia="Arial" w:hAnsi="Arial" w:cs="Arial"/>
          </w:rPr>
          <w:t>Measure of Student Learning Form</w:t>
        </w:r>
      </w:hyperlink>
      <w:r w:rsidRPr="037E0192">
        <w:rPr>
          <w:rFonts w:ascii="Arial" w:eastAsia="Arial" w:hAnsi="Arial" w:cs="Arial"/>
        </w:rPr>
        <w:t xml:space="preserve"> to help candidates and supervising practitioners work through a structured process:</w:t>
      </w:r>
    </w:p>
    <w:p w14:paraId="59FB142B" w14:textId="20187347" w:rsidR="00DB1CEA" w:rsidRDefault="4D0A6EE4" w:rsidP="3879A980">
      <w:pPr>
        <w:pStyle w:val="ListParagraph"/>
        <w:numPr>
          <w:ilvl w:val="0"/>
          <w:numId w:val="1"/>
        </w:numPr>
        <w:spacing w:before="240" w:after="240"/>
        <w:rPr>
          <w:rFonts w:ascii="Arial" w:eastAsia="Arial" w:hAnsi="Arial" w:cs="Arial"/>
        </w:rPr>
      </w:pPr>
      <w:r w:rsidRPr="3879A980">
        <w:rPr>
          <w:rFonts w:ascii="Arial" w:eastAsia="Arial" w:hAnsi="Arial" w:cs="Arial"/>
          <w:b/>
          <w:bCs/>
        </w:rPr>
        <w:t xml:space="preserve">Select the </w:t>
      </w:r>
      <w:r w:rsidR="272C3FDA" w:rsidRPr="3879A980">
        <w:rPr>
          <w:rFonts w:ascii="Arial" w:eastAsia="Arial" w:hAnsi="Arial" w:cs="Arial"/>
          <w:b/>
          <w:bCs/>
        </w:rPr>
        <w:t>measure of student learning</w:t>
      </w:r>
      <w:r w:rsidRPr="3879A980">
        <w:rPr>
          <w:rFonts w:ascii="Arial" w:eastAsia="Arial" w:hAnsi="Arial" w:cs="Arial"/>
          <w:b/>
          <w:bCs/>
        </w:rPr>
        <w:t xml:space="preserve"> &amp; define benchmarks</w:t>
      </w:r>
      <w:r w:rsidRPr="3879A980">
        <w:rPr>
          <w:rFonts w:ascii="Arial" w:eastAsia="Arial" w:hAnsi="Arial" w:cs="Arial"/>
        </w:rPr>
        <w:t xml:space="preserve"> collaboratively, specifying what counts as lower than expected, expected, and higher than expected results.</w:t>
      </w:r>
    </w:p>
    <w:p w14:paraId="7B31E72F" w14:textId="5C0E72AB" w:rsidR="00DB1CEA" w:rsidRDefault="4D0A6EE4" w:rsidP="3879A980">
      <w:pPr>
        <w:pStyle w:val="ListParagraph"/>
        <w:numPr>
          <w:ilvl w:val="0"/>
          <w:numId w:val="1"/>
        </w:numPr>
        <w:spacing w:before="240" w:after="240"/>
        <w:rPr>
          <w:rFonts w:ascii="Arial" w:eastAsia="Arial" w:hAnsi="Arial" w:cs="Arial"/>
        </w:rPr>
      </w:pPr>
      <w:r w:rsidRPr="3879A980">
        <w:rPr>
          <w:rFonts w:ascii="Arial" w:eastAsia="Arial" w:hAnsi="Arial" w:cs="Arial"/>
          <w:b/>
          <w:bCs/>
        </w:rPr>
        <w:t>Collect and record data</w:t>
      </w:r>
      <w:r w:rsidRPr="3879A980">
        <w:rPr>
          <w:rFonts w:ascii="Arial" w:eastAsia="Arial" w:hAnsi="Arial" w:cs="Arial"/>
        </w:rPr>
        <w:t xml:space="preserve"> from the assessment, noting how many students fall into each outcome range.</w:t>
      </w:r>
    </w:p>
    <w:p w14:paraId="3EDA141A" w14:textId="14E5900A" w:rsidR="00DB1CEA" w:rsidRDefault="4D0A6EE4" w:rsidP="3879A980">
      <w:pPr>
        <w:pStyle w:val="ListParagraph"/>
        <w:numPr>
          <w:ilvl w:val="0"/>
          <w:numId w:val="1"/>
        </w:numPr>
        <w:spacing w:before="240" w:after="240"/>
        <w:rPr>
          <w:rFonts w:ascii="Arial" w:eastAsia="Arial" w:hAnsi="Arial" w:cs="Arial"/>
        </w:rPr>
      </w:pPr>
      <w:r w:rsidRPr="037E0192">
        <w:rPr>
          <w:rFonts w:ascii="Arial" w:eastAsia="Arial" w:hAnsi="Arial" w:cs="Arial"/>
          <w:b/>
          <w:bCs/>
        </w:rPr>
        <w:t>Reflect on results</w:t>
      </w:r>
      <w:r w:rsidRPr="037E0192">
        <w:rPr>
          <w:rFonts w:ascii="Arial" w:eastAsia="Arial" w:hAnsi="Arial" w:cs="Arial"/>
        </w:rPr>
        <w:t xml:space="preserve"> to analyze instructional strengths, identify gaps</w:t>
      </w:r>
      <w:r w:rsidR="205F0141" w:rsidRPr="037E0192">
        <w:rPr>
          <w:rFonts w:ascii="Arial" w:eastAsia="Arial" w:hAnsi="Arial" w:cs="Arial"/>
        </w:rPr>
        <w:t xml:space="preserve"> and patterns</w:t>
      </w:r>
      <w:r w:rsidRPr="037E0192">
        <w:rPr>
          <w:rFonts w:ascii="Arial" w:eastAsia="Arial" w:hAnsi="Arial" w:cs="Arial"/>
        </w:rPr>
        <w:t>, and determine adjustments.</w:t>
      </w:r>
    </w:p>
    <w:p w14:paraId="7368EA3B" w14:textId="2A45F1BC" w:rsidR="00DB1CEA" w:rsidRDefault="4D0A6EE4" w:rsidP="3879A980">
      <w:pPr>
        <w:pStyle w:val="ListParagraph"/>
        <w:numPr>
          <w:ilvl w:val="0"/>
          <w:numId w:val="1"/>
        </w:numPr>
        <w:spacing w:before="240" w:after="240"/>
        <w:rPr>
          <w:rFonts w:ascii="Arial" w:eastAsia="Arial" w:hAnsi="Arial" w:cs="Arial"/>
        </w:rPr>
      </w:pPr>
      <w:r w:rsidRPr="3879A980">
        <w:rPr>
          <w:rFonts w:ascii="Arial" w:eastAsia="Arial" w:hAnsi="Arial" w:cs="Arial"/>
          <w:b/>
          <w:bCs/>
        </w:rPr>
        <w:t>Plan next steps</w:t>
      </w:r>
      <w:r w:rsidRPr="3879A980">
        <w:rPr>
          <w:rFonts w:ascii="Arial" w:eastAsia="Arial" w:hAnsi="Arial" w:cs="Arial"/>
        </w:rPr>
        <w:t xml:space="preserve"> for targeted instruction and professional growth.</w:t>
      </w:r>
    </w:p>
    <w:p w14:paraId="5125950C" w14:textId="0333A923" w:rsidR="00DB1CEA" w:rsidRDefault="4D0A6EE4" w:rsidP="3879A980">
      <w:pPr>
        <w:pStyle w:val="Heading2"/>
        <w:rPr>
          <w:sz w:val="24"/>
          <w:szCs w:val="24"/>
        </w:rPr>
      </w:pPr>
      <w:r w:rsidRPr="3879A980">
        <w:t>Why This Process Works</w:t>
      </w:r>
    </w:p>
    <w:p w14:paraId="6B91E632" w14:textId="22196AD9" w:rsidR="00DB1CEA" w:rsidRDefault="4D0A6EE4" w:rsidP="3879A980">
      <w:pPr>
        <w:spacing w:before="240" w:after="240"/>
        <w:rPr>
          <w:rFonts w:ascii="Arial" w:eastAsia="Arial" w:hAnsi="Arial" w:cs="Arial"/>
        </w:rPr>
      </w:pPr>
      <w:r w:rsidRPr="037E0192">
        <w:rPr>
          <w:rFonts w:ascii="Arial" w:eastAsia="Arial" w:hAnsi="Arial" w:cs="Arial"/>
        </w:rPr>
        <w:t xml:space="preserve">By intentionally measuring and reflecting on student learning, candidates develop the skills and habits they will need as practicing educators—skills that allow them to track progress, respond to student needs, and continuously improve. When combined with the other CAP evidence categories, </w:t>
      </w:r>
      <w:r w:rsidR="5633E278" w:rsidRPr="037E0192">
        <w:rPr>
          <w:rFonts w:ascii="Arial" w:eastAsia="Arial" w:hAnsi="Arial" w:cs="Arial"/>
        </w:rPr>
        <w:t>student learning</w:t>
      </w:r>
      <w:r w:rsidRPr="037E0192">
        <w:rPr>
          <w:rFonts w:ascii="Arial" w:eastAsia="Arial" w:hAnsi="Arial" w:cs="Arial"/>
        </w:rPr>
        <w:t xml:space="preserve"> data helps confirm a candidate’s readiness to enter the profession and ensures that their impact on students is both visible and </w:t>
      </w:r>
      <w:r w:rsidR="28DE9A78" w:rsidRPr="037E0192">
        <w:rPr>
          <w:rFonts w:ascii="Arial" w:eastAsia="Arial" w:hAnsi="Arial" w:cs="Arial"/>
        </w:rPr>
        <w:t>effective</w:t>
      </w:r>
      <w:r w:rsidRPr="037E0192">
        <w:rPr>
          <w:rFonts w:ascii="Arial" w:eastAsia="Arial" w:hAnsi="Arial" w:cs="Arial"/>
        </w:rPr>
        <w:t>.</w:t>
      </w:r>
    </w:p>
    <w:p w14:paraId="2C078E63" w14:textId="7F82A6A3" w:rsidR="00DB1CEA" w:rsidRDefault="00DB1CEA" w:rsidP="3879A980">
      <w:pPr>
        <w:rPr>
          <w:rFonts w:ascii="Arial" w:eastAsia="Arial" w:hAnsi="Arial" w:cs="Arial"/>
        </w:rPr>
      </w:pPr>
    </w:p>
    <w:sectPr w:rsidR="00DB1CEA">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2BED6" w14:textId="77777777" w:rsidR="008126FC" w:rsidRDefault="008126FC">
      <w:pPr>
        <w:spacing w:after="0" w:line="240" w:lineRule="auto"/>
      </w:pPr>
      <w:r>
        <w:separator/>
      </w:r>
    </w:p>
  </w:endnote>
  <w:endnote w:type="continuationSeparator" w:id="0">
    <w:p w14:paraId="19BB5568" w14:textId="77777777" w:rsidR="008126FC" w:rsidRDefault="00812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13C4CD1" w14:paraId="4F03E2DE" w14:textId="77777777" w:rsidTr="013C4CD1">
      <w:trPr>
        <w:trHeight w:val="300"/>
      </w:trPr>
      <w:tc>
        <w:tcPr>
          <w:tcW w:w="3120" w:type="dxa"/>
        </w:tcPr>
        <w:p w14:paraId="23D43A7A" w14:textId="4550DE53" w:rsidR="013C4CD1" w:rsidRDefault="013C4CD1" w:rsidP="013C4CD1">
          <w:pPr>
            <w:pStyle w:val="Header"/>
            <w:ind w:left="-115"/>
          </w:pPr>
        </w:p>
      </w:tc>
      <w:tc>
        <w:tcPr>
          <w:tcW w:w="3120" w:type="dxa"/>
        </w:tcPr>
        <w:p w14:paraId="30E69695" w14:textId="38A6EE6F" w:rsidR="013C4CD1" w:rsidRDefault="013C4CD1" w:rsidP="013C4CD1">
          <w:pPr>
            <w:pStyle w:val="Header"/>
            <w:jc w:val="center"/>
          </w:pPr>
        </w:p>
      </w:tc>
      <w:tc>
        <w:tcPr>
          <w:tcW w:w="3120" w:type="dxa"/>
        </w:tcPr>
        <w:p w14:paraId="25050DAA" w14:textId="315BA1BA" w:rsidR="013C4CD1" w:rsidRDefault="013C4CD1" w:rsidP="013C4CD1">
          <w:pPr>
            <w:pStyle w:val="Header"/>
            <w:ind w:right="-115"/>
            <w:jc w:val="right"/>
          </w:pPr>
        </w:p>
      </w:tc>
    </w:tr>
  </w:tbl>
  <w:p w14:paraId="64CBB6A4" w14:textId="63B34A02" w:rsidR="013C4CD1" w:rsidRDefault="013C4CD1" w:rsidP="013C4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0665E" w14:textId="77777777" w:rsidR="008126FC" w:rsidRDefault="008126FC">
      <w:pPr>
        <w:spacing w:after="0" w:line="240" w:lineRule="auto"/>
      </w:pPr>
      <w:r>
        <w:separator/>
      </w:r>
    </w:p>
  </w:footnote>
  <w:footnote w:type="continuationSeparator" w:id="0">
    <w:p w14:paraId="6AA17700" w14:textId="77777777" w:rsidR="008126FC" w:rsidRDefault="008126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A96DA" w14:textId="63378053" w:rsidR="013C4CD1" w:rsidRDefault="037E0192" w:rsidP="013C4CD1">
    <w:pPr>
      <w:pStyle w:val="Header"/>
    </w:pPr>
    <w:r w:rsidRPr="037E0192">
      <w:rPr>
        <w:rFonts w:ascii="Arial" w:eastAsia="Arial" w:hAnsi="Arial" w:cs="Arial"/>
        <w:b/>
        <w:bCs/>
        <w:sz w:val="32"/>
        <w:szCs w:val="32"/>
      </w:rPr>
      <w:t>CAP Quick Reference Guide</w:t>
    </w:r>
    <w:r w:rsidR="013C4CD1">
      <w:tab/>
    </w:r>
    <w:r w:rsidR="013C4CD1">
      <w:tab/>
    </w:r>
    <w:r>
      <w:rPr>
        <w:noProof/>
      </w:rPr>
      <w:drawing>
        <wp:inline distT="0" distB="0" distL="0" distR="0" wp14:anchorId="5E008C79" wp14:editId="69760ACD">
          <wp:extent cx="1838325" cy="514350"/>
          <wp:effectExtent l="0" t="0" r="0" b="0"/>
          <wp:docPr id="1442925596" name="Picture 1442925596" descr="Picture 1476206816,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38325" cy="5143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337CEF"/>
    <w:multiLevelType w:val="hybridMultilevel"/>
    <w:tmpl w:val="0ADCD772"/>
    <w:lvl w:ilvl="0" w:tplc="B5ECAB98">
      <w:start w:val="1"/>
      <w:numFmt w:val="decimal"/>
      <w:lvlText w:val="%1."/>
      <w:lvlJc w:val="left"/>
      <w:pPr>
        <w:ind w:left="720" w:hanging="360"/>
      </w:pPr>
    </w:lvl>
    <w:lvl w:ilvl="1" w:tplc="7DC683FE">
      <w:start w:val="1"/>
      <w:numFmt w:val="lowerLetter"/>
      <w:lvlText w:val="%2."/>
      <w:lvlJc w:val="left"/>
      <w:pPr>
        <w:ind w:left="1440" w:hanging="360"/>
      </w:pPr>
    </w:lvl>
    <w:lvl w:ilvl="2" w:tplc="48126F10">
      <w:start w:val="1"/>
      <w:numFmt w:val="lowerRoman"/>
      <w:lvlText w:val="%3."/>
      <w:lvlJc w:val="right"/>
      <w:pPr>
        <w:ind w:left="2160" w:hanging="180"/>
      </w:pPr>
    </w:lvl>
    <w:lvl w:ilvl="3" w:tplc="111CB8E2">
      <w:start w:val="1"/>
      <w:numFmt w:val="decimal"/>
      <w:lvlText w:val="%4."/>
      <w:lvlJc w:val="left"/>
      <w:pPr>
        <w:ind w:left="2880" w:hanging="360"/>
      </w:pPr>
    </w:lvl>
    <w:lvl w:ilvl="4" w:tplc="2624B3CE">
      <w:start w:val="1"/>
      <w:numFmt w:val="lowerLetter"/>
      <w:lvlText w:val="%5."/>
      <w:lvlJc w:val="left"/>
      <w:pPr>
        <w:ind w:left="3600" w:hanging="360"/>
      </w:pPr>
    </w:lvl>
    <w:lvl w:ilvl="5" w:tplc="81CCFAAE">
      <w:start w:val="1"/>
      <w:numFmt w:val="lowerRoman"/>
      <w:lvlText w:val="%6."/>
      <w:lvlJc w:val="right"/>
      <w:pPr>
        <w:ind w:left="4320" w:hanging="180"/>
      </w:pPr>
    </w:lvl>
    <w:lvl w:ilvl="6" w:tplc="7E22746C">
      <w:start w:val="1"/>
      <w:numFmt w:val="decimal"/>
      <w:lvlText w:val="%7."/>
      <w:lvlJc w:val="left"/>
      <w:pPr>
        <w:ind w:left="5040" w:hanging="360"/>
      </w:pPr>
    </w:lvl>
    <w:lvl w:ilvl="7" w:tplc="E67A7724">
      <w:start w:val="1"/>
      <w:numFmt w:val="lowerLetter"/>
      <w:lvlText w:val="%8."/>
      <w:lvlJc w:val="left"/>
      <w:pPr>
        <w:ind w:left="5760" w:hanging="360"/>
      </w:pPr>
    </w:lvl>
    <w:lvl w:ilvl="8" w:tplc="FE244A22">
      <w:start w:val="1"/>
      <w:numFmt w:val="lowerRoman"/>
      <w:lvlText w:val="%9."/>
      <w:lvlJc w:val="right"/>
      <w:pPr>
        <w:ind w:left="6480" w:hanging="180"/>
      </w:pPr>
    </w:lvl>
  </w:abstractNum>
  <w:abstractNum w:abstractNumId="1" w15:restartNumberingAfterBreak="0">
    <w:nsid w:val="3A87915F"/>
    <w:multiLevelType w:val="hybridMultilevel"/>
    <w:tmpl w:val="1AB4B550"/>
    <w:lvl w:ilvl="0" w:tplc="351E29E6">
      <w:start w:val="1"/>
      <w:numFmt w:val="bullet"/>
      <w:lvlText w:val=""/>
      <w:lvlJc w:val="left"/>
      <w:pPr>
        <w:ind w:left="720" w:hanging="360"/>
      </w:pPr>
      <w:rPr>
        <w:rFonts w:ascii="Symbol" w:hAnsi="Symbol" w:hint="default"/>
      </w:rPr>
    </w:lvl>
    <w:lvl w:ilvl="1" w:tplc="E0EC4F26">
      <w:start w:val="1"/>
      <w:numFmt w:val="bullet"/>
      <w:lvlText w:val="o"/>
      <w:lvlJc w:val="left"/>
      <w:pPr>
        <w:ind w:left="1440" w:hanging="360"/>
      </w:pPr>
      <w:rPr>
        <w:rFonts w:ascii="Courier New" w:hAnsi="Courier New" w:hint="default"/>
      </w:rPr>
    </w:lvl>
    <w:lvl w:ilvl="2" w:tplc="D7521CF6">
      <w:start w:val="1"/>
      <w:numFmt w:val="bullet"/>
      <w:lvlText w:val=""/>
      <w:lvlJc w:val="left"/>
      <w:pPr>
        <w:ind w:left="2160" w:hanging="360"/>
      </w:pPr>
      <w:rPr>
        <w:rFonts w:ascii="Wingdings" w:hAnsi="Wingdings" w:hint="default"/>
      </w:rPr>
    </w:lvl>
    <w:lvl w:ilvl="3" w:tplc="6AD03D38">
      <w:start w:val="1"/>
      <w:numFmt w:val="bullet"/>
      <w:lvlText w:val=""/>
      <w:lvlJc w:val="left"/>
      <w:pPr>
        <w:ind w:left="2880" w:hanging="360"/>
      </w:pPr>
      <w:rPr>
        <w:rFonts w:ascii="Symbol" w:hAnsi="Symbol" w:hint="default"/>
      </w:rPr>
    </w:lvl>
    <w:lvl w:ilvl="4" w:tplc="D8A24F3C">
      <w:start w:val="1"/>
      <w:numFmt w:val="bullet"/>
      <w:lvlText w:val="o"/>
      <w:lvlJc w:val="left"/>
      <w:pPr>
        <w:ind w:left="3600" w:hanging="360"/>
      </w:pPr>
      <w:rPr>
        <w:rFonts w:ascii="Courier New" w:hAnsi="Courier New" w:hint="default"/>
      </w:rPr>
    </w:lvl>
    <w:lvl w:ilvl="5" w:tplc="2E7216BA">
      <w:start w:val="1"/>
      <w:numFmt w:val="bullet"/>
      <w:lvlText w:val=""/>
      <w:lvlJc w:val="left"/>
      <w:pPr>
        <w:ind w:left="4320" w:hanging="360"/>
      </w:pPr>
      <w:rPr>
        <w:rFonts w:ascii="Wingdings" w:hAnsi="Wingdings" w:hint="default"/>
      </w:rPr>
    </w:lvl>
    <w:lvl w:ilvl="6" w:tplc="37C6F7C0">
      <w:start w:val="1"/>
      <w:numFmt w:val="bullet"/>
      <w:lvlText w:val=""/>
      <w:lvlJc w:val="left"/>
      <w:pPr>
        <w:ind w:left="5040" w:hanging="360"/>
      </w:pPr>
      <w:rPr>
        <w:rFonts w:ascii="Symbol" w:hAnsi="Symbol" w:hint="default"/>
      </w:rPr>
    </w:lvl>
    <w:lvl w:ilvl="7" w:tplc="4B7AF638">
      <w:start w:val="1"/>
      <w:numFmt w:val="bullet"/>
      <w:lvlText w:val="o"/>
      <w:lvlJc w:val="left"/>
      <w:pPr>
        <w:ind w:left="5760" w:hanging="360"/>
      </w:pPr>
      <w:rPr>
        <w:rFonts w:ascii="Courier New" w:hAnsi="Courier New" w:hint="default"/>
      </w:rPr>
    </w:lvl>
    <w:lvl w:ilvl="8" w:tplc="6B8EAC44">
      <w:start w:val="1"/>
      <w:numFmt w:val="bullet"/>
      <w:lvlText w:val=""/>
      <w:lvlJc w:val="left"/>
      <w:pPr>
        <w:ind w:left="6480" w:hanging="360"/>
      </w:pPr>
      <w:rPr>
        <w:rFonts w:ascii="Wingdings" w:hAnsi="Wingdings" w:hint="default"/>
      </w:rPr>
    </w:lvl>
  </w:abstractNum>
  <w:num w:numId="1" w16cid:durableId="1979845038">
    <w:abstractNumId w:val="0"/>
  </w:num>
  <w:num w:numId="2" w16cid:durableId="1442188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865FAF5"/>
    <w:rsid w:val="004903A9"/>
    <w:rsid w:val="008126FC"/>
    <w:rsid w:val="009C3D45"/>
    <w:rsid w:val="00A67645"/>
    <w:rsid w:val="00D64DE3"/>
    <w:rsid w:val="00DB1CEA"/>
    <w:rsid w:val="013C4CD1"/>
    <w:rsid w:val="037E0192"/>
    <w:rsid w:val="03CB2EFB"/>
    <w:rsid w:val="09DDCB60"/>
    <w:rsid w:val="0C686F8B"/>
    <w:rsid w:val="17F47564"/>
    <w:rsid w:val="19374436"/>
    <w:rsid w:val="1FC2809D"/>
    <w:rsid w:val="205F0141"/>
    <w:rsid w:val="21AA9A65"/>
    <w:rsid w:val="21CA63EA"/>
    <w:rsid w:val="21FFB6FA"/>
    <w:rsid w:val="272C3FDA"/>
    <w:rsid w:val="28DE9A78"/>
    <w:rsid w:val="3879A980"/>
    <w:rsid w:val="3BE560FB"/>
    <w:rsid w:val="3CC6EC02"/>
    <w:rsid w:val="3CFA66EF"/>
    <w:rsid w:val="40F853BD"/>
    <w:rsid w:val="45C29E6E"/>
    <w:rsid w:val="46738876"/>
    <w:rsid w:val="47CDE980"/>
    <w:rsid w:val="4D0A6EE4"/>
    <w:rsid w:val="4DC67F7B"/>
    <w:rsid w:val="513CE2CF"/>
    <w:rsid w:val="54CDC28C"/>
    <w:rsid w:val="5633E278"/>
    <w:rsid w:val="56890C89"/>
    <w:rsid w:val="5865FAF5"/>
    <w:rsid w:val="5A4B4BFA"/>
    <w:rsid w:val="5ACB4A40"/>
    <w:rsid w:val="64CF1E39"/>
    <w:rsid w:val="66119161"/>
    <w:rsid w:val="68FF848B"/>
    <w:rsid w:val="770C159E"/>
    <w:rsid w:val="7B4A9B7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5FAF5"/>
  <w15:chartTrackingRefBased/>
  <w15:docId w15:val="{9B37190F-5530-4297-80E4-A879CDC87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3879A980"/>
    <w:pPr>
      <w:keepNext/>
      <w:keepLines/>
      <w:spacing w:before="360" w:after="80"/>
      <w:outlineLvl w:val="0"/>
    </w:pPr>
    <w:rPr>
      <w:rFonts w:ascii="Arial" w:eastAsia="Arial" w:hAnsi="Arial" w:cs="Arial"/>
      <w:b/>
      <w:bCs/>
      <w:sz w:val="32"/>
      <w:szCs w:val="32"/>
    </w:rPr>
  </w:style>
  <w:style w:type="paragraph" w:styleId="Heading2">
    <w:name w:val="heading 2"/>
    <w:basedOn w:val="Heading1"/>
    <w:next w:val="Normal"/>
    <w:link w:val="Heading2Char"/>
    <w:uiPriority w:val="9"/>
    <w:unhideWhenUsed/>
    <w:qFormat/>
    <w:rsid w:val="3879A980"/>
    <w:pPr>
      <w:outlineLvl w:val="1"/>
    </w:pPr>
    <w:rPr>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3879A980"/>
    <w:rPr>
      <w:rFonts w:ascii="Arial" w:eastAsia="Arial" w:hAnsi="Arial" w:cs="Arial"/>
      <w:b/>
      <w:bCs/>
      <w:i w:val="0"/>
      <w:iCs w:val="0"/>
      <w:caps w:val="0"/>
      <w:smallCaps w:val="0"/>
      <w:noProof w:val="0"/>
      <w:color w:val="auto"/>
      <w:sz w:val="32"/>
      <w:szCs w:val="32"/>
      <w:lang w:val="en-US"/>
    </w:rPr>
  </w:style>
  <w:style w:type="character" w:customStyle="1" w:styleId="Heading2Char">
    <w:name w:val="Heading 2 Char"/>
    <w:link w:val="Heading2"/>
    <w:uiPriority w:val="9"/>
    <w:rsid w:val="3879A980"/>
    <w:rPr>
      <w:sz w:val="28"/>
      <w:szCs w:val="28"/>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13C4CD1"/>
    <w:pPr>
      <w:ind w:left="720"/>
      <w:contextualSpacing/>
    </w:pPr>
  </w:style>
  <w:style w:type="paragraph" w:styleId="Header">
    <w:name w:val="header"/>
    <w:basedOn w:val="Normal"/>
    <w:uiPriority w:val="99"/>
    <w:unhideWhenUsed/>
    <w:rsid w:val="013C4CD1"/>
    <w:pPr>
      <w:tabs>
        <w:tab w:val="center" w:pos="4680"/>
        <w:tab w:val="right" w:pos="9360"/>
      </w:tabs>
      <w:spacing w:after="0" w:line="240" w:lineRule="auto"/>
    </w:pPr>
  </w:style>
  <w:style w:type="paragraph" w:styleId="Footer">
    <w:name w:val="footer"/>
    <w:basedOn w:val="Normal"/>
    <w:uiPriority w:val="99"/>
    <w:unhideWhenUsed/>
    <w:rsid w:val="013C4CD1"/>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37E0192"/>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doe.mass.edu/edprep/resources/guidelines-advisories/teachers-guide/measure-form.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7" ma:contentTypeDescription="Create a new document." ma:contentTypeScope="" ma:versionID="942d5f8c6315068cb1584d7d75aeb76c">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46304b257c546d069a8fad42c7588813"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02F712-11A4-4639-9EB6-23CE3B70135B}">
  <ds:schemaRefs>
    <ds:schemaRef ds:uri="http://schemas.microsoft.com/sharepoint/v3/contenttype/forms"/>
  </ds:schemaRefs>
</ds:datastoreItem>
</file>

<file path=customXml/itemProps2.xml><?xml version="1.0" encoding="utf-8"?>
<ds:datastoreItem xmlns:ds="http://schemas.openxmlformats.org/officeDocument/2006/customXml" ds:itemID="{1517BE56-689D-4343-83F6-E274E87BDB6D}">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customXml/itemProps3.xml><?xml version="1.0" encoding="utf-8"?>
<ds:datastoreItem xmlns:ds="http://schemas.openxmlformats.org/officeDocument/2006/customXml" ds:itemID="{82C3A31A-1A3D-4A89-ACD9-E9AE55773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QRG_Measuring Candidate Impact on Student</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Measuring Candidate Impact on Student Learning QRG</dc:title>
  <dc:subject/>
  <dc:creator>DESE</dc:creator>
  <cp:keywords/>
  <dc:description/>
  <cp:lastModifiedBy>Zou, Dong (EOE)</cp:lastModifiedBy>
  <cp:revision>3</cp:revision>
  <dcterms:created xsi:type="dcterms:W3CDTF">2025-09-08T19:05:00Z</dcterms:created>
  <dcterms:modified xsi:type="dcterms:W3CDTF">2025-09-10T19:09:00Z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10 2025 12:00AM</vt:lpwstr>
  </property>
</Properties>
</file>