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E3480" w14:textId="77777777" w:rsidR="00E1233E" w:rsidRDefault="00C979EB">
      <w:pPr>
        <w:pStyle w:val="Heading1"/>
      </w:pPr>
      <w:bookmarkStart w:id="0" w:name="_5l9zmcs4uhb6" w:colFirst="0" w:colLast="0"/>
      <w:bookmarkEnd w:id="0"/>
      <w:r>
        <w:t>Overview: Inclusive Instruction Look-Fors</w:t>
      </w:r>
    </w:p>
    <w:p w14:paraId="3500F003" w14:textId="77777777" w:rsidR="00E1233E" w:rsidRDefault="00C979EB">
      <w:pPr>
        <w:rPr>
          <w:b/>
          <w:color w:val="00795D"/>
          <w:sz w:val="24"/>
          <w:szCs w:val="24"/>
        </w:rPr>
      </w:pPr>
      <w:r>
        <w:rPr>
          <w:noProof/>
        </w:rPr>
        <w:drawing>
          <wp:anchor distT="0" distB="0" distL="0" distR="0" simplePos="0" relativeHeight="251658240" behindDoc="0" locked="0" layoutInCell="1" hidden="0" allowOverlap="1" wp14:anchorId="3030CF8E" wp14:editId="5B974D28">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6" name="image2.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2.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000470F2" w14:textId="77777777" w:rsidR="00E1233E" w:rsidRDefault="00C979EB">
      <w:pPr>
        <w:rPr>
          <w:b/>
          <w:color w:val="00795D"/>
          <w:sz w:val="24"/>
          <w:szCs w:val="24"/>
        </w:rPr>
      </w:pPr>
      <w:r>
        <w:rPr>
          <w:b/>
          <w:color w:val="00795D"/>
          <w:sz w:val="24"/>
          <w:szCs w:val="24"/>
        </w:rPr>
        <w:t xml:space="preserve">  CONTRIBUTOR</w:t>
      </w:r>
    </w:p>
    <w:p w14:paraId="456D9CD3" w14:textId="77777777" w:rsidR="00E1233E" w:rsidRDefault="00C979EB">
      <w:r>
        <w:t>Doris Van Gorder, Interim Dean, Cambridge College/Bay Path University</w:t>
      </w:r>
    </w:p>
    <w:p w14:paraId="19262B3D" w14:textId="77777777" w:rsidR="00E1233E" w:rsidRDefault="00C979EB">
      <w:r>
        <w:rPr>
          <w:noProof/>
        </w:rPr>
        <w:drawing>
          <wp:anchor distT="0" distB="0" distL="0" distR="0" simplePos="0" relativeHeight="251659264" behindDoc="0" locked="0" layoutInCell="1" hidden="0" allowOverlap="1" wp14:anchorId="5677D7D0" wp14:editId="4E9F3010">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7" name="image4.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4.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685589AA" w14:textId="77777777" w:rsidR="00E1233E" w:rsidRDefault="00C979EB">
      <w:pPr>
        <w:rPr>
          <w:b/>
          <w:color w:val="00795D"/>
          <w:sz w:val="24"/>
          <w:szCs w:val="24"/>
        </w:rPr>
      </w:pPr>
      <w:r>
        <w:rPr>
          <w:b/>
          <w:color w:val="00795D"/>
          <w:sz w:val="24"/>
          <w:szCs w:val="24"/>
        </w:rPr>
        <w:t xml:space="preserve">  WHAT is this resource?</w:t>
      </w:r>
    </w:p>
    <w:p w14:paraId="348F3C0A" w14:textId="77777777" w:rsidR="00E1233E" w:rsidRDefault="00C979EB">
      <w:r>
        <w:t>This document is a list of descriptors that indicate what inclusive instruction might look like in a classroom. The list is divided into specific areas, such as scaffolded instruction, support for students with disabilities, evidence of Universal Design for Learning, etc.</w:t>
      </w:r>
    </w:p>
    <w:p w14:paraId="75FF1A14" w14:textId="77777777" w:rsidR="00E1233E" w:rsidRDefault="00C979EB">
      <w:pPr>
        <w:rPr>
          <w:sz w:val="24"/>
          <w:szCs w:val="24"/>
        </w:rPr>
      </w:pPr>
      <w:r>
        <w:rPr>
          <w:sz w:val="24"/>
          <w:szCs w:val="24"/>
        </w:rPr>
        <w:t xml:space="preserve"> </w:t>
      </w:r>
      <w:r>
        <w:rPr>
          <w:noProof/>
        </w:rPr>
        <w:drawing>
          <wp:anchor distT="0" distB="0" distL="0" distR="0" simplePos="0" relativeHeight="251660288" behindDoc="0" locked="0" layoutInCell="1" hidden="0" allowOverlap="1" wp14:anchorId="4C03A60F" wp14:editId="43067BE5">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4" name="image3.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3.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56987849" w14:textId="77777777" w:rsidR="00E1233E" w:rsidRDefault="00C979EB">
      <w:pPr>
        <w:rPr>
          <w:b/>
          <w:color w:val="00795D"/>
          <w:sz w:val="24"/>
          <w:szCs w:val="24"/>
        </w:rPr>
      </w:pPr>
      <w:r>
        <w:rPr>
          <w:b/>
          <w:color w:val="00795D"/>
          <w:sz w:val="24"/>
          <w:szCs w:val="24"/>
        </w:rPr>
        <w:t xml:space="preserve">  WHEN could this resource be used?</w:t>
      </w:r>
    </w:p>
    <w:p w14:paraId="3E4789F0" w14:textId="0B26AA0C" w:rsidR="009263E7" w:rsidRDefault="009263E7">
      <w:r w:rsidRPr="009263E7">
        <w:t>This resource can be used at multiple points. Before the practicum or any observations, Teacher Candidates can use it to engage in discussions with Program Supervisors and Supervising Practitioners about the behaviors and instructional strategies that demonstrate inclusive teaching.</w:t>
      </w:r>
      <w:r>
        <w:t xml:space="preserve"> During an observation, the observer can use this list to check off what behaviors are evident. After an observation the list can be used to show a Teacher Candidate what areas were apparent and what areas, if any, were absent.</w:t>
      </w:r>
    </w:p>
    <w:p w14:paraId="12DAE025" w14:textId="1E310A93" w:rsidR="00E1233E" w:rsidRDefault="00C979EB">
      <w:pPr>
        <w:rPr>
          <w:sz w:val="24"/>
          <w:szCs w:val="24"/>
        </w:rPr>
      </w:pPr>
      <w:r>
        <w:rPr>
          <w:noProof/>
        </w:rPr>
        <w:drawing>
          <wp:anchor distT="0" distB="0" distL="0" distR="0" simplePos="0" relativeHeight="251661312" behindDoc="0" locked="0" layoutInCell="1" hidden="0" allowOverlap="1" wp14:anchorId="6ACBCFFD" wp14:editId="27F707E9">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5" name="image5.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5.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p>
    <w:p w14:paraId="71D5B565" w14:textId="77777777" w:rsidR="00E1233E" w:rsidRDefault="00C979EB">
      <w:pPr>
        <w:rPr>
          <w:b/>
          <w:color w:val="00795D"/>
          <w:sz w:val="24"/>
          <w:szCs w:val="24"/>
        </w:rPr>
      </w:pPr>
      <w:r>
        <w:rPr>
          <w:b/>
          <w:color w:val="00795D"/>
          <w:sz w:val="24"/>
          <w:szCs w:val="24"/>
        </w:rPr>
        <w:t xml:space="preserve">  WHO could use this resource?</w:t>
      </w:r>
    </w:p>
    <w:p w14:paraId="2E9CC83F" w14:textId="77777777" w:rsidR="00E1233E" w:rsidRDefault="00C979EB">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4FBAE995" w14:textId="77777777" w:rsidR="00E1233E" w:rsidRDefault="00C979EB">
      <w:r>
        <w:t xml:space="preserve"> </w:t>
      </w:r>
    </w:p>
    <w:p w14:paraId="509FEB05" w14:textId="77777777" w:rsidR="00E1233E" w:rsidRDefault="00C979EB">
      <w:pPr>
        <w:rPr>
          <w:b/>
          <w:color w:val="00795D"/>
          <w:sz w:val="24"/>
          <w:szCs w:val="24"/>
        </w:rPr>
      </w:pPr>
      <w:r>
        <w:rPr>
          <w:b/>
          <w:noProof/>
          <w:color w:val="00795D"/>
          <w:sz w:val="24"/>
          <w:szCs w:val="24"/>
        </w:rPr>
        <w:drawing>
          <wp:inline distT="114300" distB="114300" distL="114300" distR="114300" wp14:anchorId="4AF737CE" wp14:editId="0924C297">
            <wp:extent cx="223838" cy="223838"/>
            <wp:effectExtent l="0" t="0" r="0" b="0"/>
            <wp:docPr id="2" name="image7.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7.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2207FC41" w14:textId="77777777" w:rsidR="00E1233E" w:rsidRDefault="00C979EB">
      <w:r>
        <w:t>These Look-Fors can be used across three different CAP forms:</w:t>
      </w:r>
    </w:p>
    <w:p w14:paraId="2765107F" w14:textId="77777777" w:rsidR="00E1233E" w:rsidRDefault="00C979EB">
      <w:pPr>
        <w:numPr>
          <w:ilvl w:val="0"/>
          <w:numId w:val="1"/>
        </w:numPr>
      </w:pPr>
      <w:r>
        <w:t>The</w:t>
      </w:r>
      <w:r>
        <w:rPr>
          <w:b/>
        </w:rPr>
        <w:t xml:space="preserve"> </w:t>
      </w:r>
      <w:r>
        <w:t>required CAP Observation form</w:t>
      </w:r>
    </w:p>
    <w:p w14:paraId="6B36AB88" w14:textId="77777777" w:rsidR="00E1233E" w:rsidRDefault="00C979EB">
      <w:pPr>
        <w:numPr>
          <w:ilvl w:val="0"/>
          <w:numId w:val="1"/>
        </w:numPr>
      </w:pPr>
      <w:r>
        <w:t>The optional Candidate Self-Assessment Form</w:t>
      </w:r>
    </w:p>
    <w:p w14:paraId="2B5F609E" w14:textId="77777777" w:rsidR="00E1233E" w:rsidRDefault="00C979EB">
      <w:pPr>
        <w:numPr>
          <w:ilvl w:val="0"/>
          <w:numId w:val="1"/>
        </w:numPr>
      </w:pPr>
      <w:r>
        <w:t>The optional Candidate Observation Self-Reflection Form</w:t>
      </w:r>
    </w:p>
    <w:p w14:paraId="050A4992" w14:textId="77777777" w:rsidR="00E1233E" w:rsidRDefault="00E1233E"/>
    <w:p w14:paraId="76B5140B" w14:textId="65563ADD" w:rsidR="00E1233E" w:rsidRDefault="00C979EB">
      <w:r>
        <w:t xml:space="preserve">On all the above forms, the Essential Elements are </w:t>
      </w:r>
      <w:r w:rsidR="009263E7">
        <w:t>listed but</w:t>
      </w:r>
      <w:r>
        <w:t xml:space="preserve"> not described in detail. This list </w:t>
      </w:r>
      <w:r w:rsidR="009263E7">
        <w:t>of Look</w:t>
      </w:r>
      <w:r>
        <w:t xml:space="preserve">-Fors helps the observer and the Teacher Candidate notice and name the instructional moves related to inclusive instruction. The list of Look-Fors not only functions as a </w:t>
      </w:r>
      <w:r w:rsidR="009263E7">
        <w:t>checklist</w:t>
      </w:r>
      <w:r>
        <w:t>; it allows the observer to rate the Teacher Candidate's demonstration of various strategies and routines to support inclusive instruction by using the dropdown menus which have the same rating categories as in the CAP evaluation rubric. Another advantage of having a bank of Look-fors is that it helps Teacher Candidates, Program Supervisors and school-based Supervising Practitioners share a common understanding of what each element looks like in practice.</w:t>
      </w:r>
    </w:p>
    <w:p w14:paraId="15940D95" w14:textId="77777777" w:rsidR="009263E7" w:rsidRDefault="009263E7"/>
    <w:p w14:paraId="1DC434B4" w14:textId="77777777" w:rsidR="009263E7" w:rsidRDefault="009263E7"/>
    <w:p w14:paraId="6943D792" w14:textId="77777777" w:rsidR="00E1233E" w:rsidRDefault="00C979EB">
      <w:r>
        <w:rPr>
          <w:b/>
          <w:i/>
          <w:sz w:val="20"/>
          <w:szCs w:val="20"/>
        </w:rPr>
        <w:t>Note:</w:t>
      </w:r>
      <w:r>
        <w:rPr>
          <w:i/>
          <w:sz w:val="20"/>
          <w:szCs w:val="20"/>
        </w:rPr>
        <w:t xml:space="preserve"> This form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6AB1DC3F" w14:textId="77777777" w:rsidR="00E1233E" w:rsidRDefault="00E1233E"/>
    <w:p w14:paraId="7B9CC03D" w14:textId="77777777" w:rsidR="00E1233E" w:rsidRDefault="00C979EB" w:rsidP="00DA2A3E">
      <w:pPr>
        <w:pStyle w:val="Heading2"/>
      </w:pPr>
      <w:bookmarkStart w:id="1" w:name="_88ai10m5v169" w:colFirst="0" w:colLast="0"/>
      <w:bookmarkStart w:id="2" w:name="_ra5p7cqd0xve" w:colFirst="0" w:colLast="0"/>
      <w:bookmarkEnd w:id="1"/>
      <w:bookmarkEnd w:id="2"/>
      <w:r>
        <w:t>Inclusive Instruction Look-Fors</w:t>
      </w:r>
    </w:p>
    <w:p w14:paraId="4787D23B" w14:textId="77777777" w:rsidR="00E1233E" w:rsidRDefault="00E1233E" w:rsidP="00DA2A3E">
      <w:bookmarkStart w:id="3" w:name="_x6vyd4cnf1tk" w:colFirst="0" w:colLast="0"/>
      <w:bookmarkEnd w:id="3"/>
    </w:p>
    <w:p w14:paraId="4098F4D4" w14:textId="55A54800" w:rsidR="00E1233E" w:rsidRDefault="00C979EB">
      <w:r>
        <w:rPr>
          <w:b/>
        </w:rPr>
        <w:t>For each statement,</w:t>
      </w:r>
      <w:r w:rsidR="0005364B">
        <w:rPr>
          <w:b/>
        </w:rPr>
        <w:t xml:space="preserve"> check the box to</w:t>
      </w:r>
      <w:r>
        <w:rPr>
          <w:b/>
        </w:rPr>
        <w:t xml:space="preserve"> rate the proficiency of your teacher candidate</w:t>
      </w:r>
      <w:r w:rsidR="0005364B">
        <w:rPr>
          <w:b/>
        </w:rPr>
        <w:t>.</w:t>
      </w:r>
    </w:p>
    <w:p w14:paraId="46F54939" w14:textId="77777777" w:rsidR="00E1233E" w:rsidRDefault="00E1233E"/>
    <w:p w14:paraId="4B06F23D" w14:textId="77777777" w:rsidR="00E1233E" w:rsidRDefault="00C979EB" w:rsidP="00DA2A3E">
      <w:pPr>
        <w:pStyle w:val="Heading3"/>
      </w:pPr>
      <w:bookmarkStart w:id="4" w:name="_vb6a27bf8161" w:colFirst="0" w:colLast="0"/>
      <w:bookmarkEnd w:id="4"/>
      <w:r>
        <w:t>Differentiation</w:t>
      </w:r>
    </w:p>
    <w:tbl>
      <w:tblPr>
        <w:tblStyle w:val="a"/>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15"/>
        <w:gridCol w:w="2580"/>
      </w:tblGrid>
      <w:tr w:rsidR="00E1233E" w14:paraId="40BD82DB" w14:textId="77777777" w:rsidTr="00FA68C5">
        <w:trPr>
          <w:trHeight w:val="553"/>
          <w:tblHeader/>
        </w:trPr>
        <w:tc>
          <w:tcPr>
            <w:tcW w:w="6615" w:type="dxa"/>
            <w:shd w:val="clear" w:color="auto" w:fill="F1F3F4"/>
            <w:tcMar>
              <w:top w:w="100" w:type="dxa"/>
              <w:left w:w="100" w:type="dxa"/>
              <w:bottom w:w="100" w:type="dxa"/>
              <w:right w:w="100" w:type="dxa"/>
            </w:tcMar>
          </w:tcPr>
          <w:p w14:paraId="6487E287" w14:textId="77777777" w:rsidR="00E1233E" w:rsidRPr="00DA2A3E" w:rsidRDefault="00C979EB" w:rsidP="00DA2A3E">
            <w:pPr>
              <w:rPr>
                <w:b/>
                <w:bCs/>
              </w:rPr>
            </w:pPr>
            <w:bookmarkStart w:id="5" w:name="_gw97hdoa2d45" w:colFirst="0" w:colLast="0"/>
            <w:bookmarkEnd w:id="5"/>
            <w:r w:rsidRPr="00DA2A3E">
              <w:rPr>
                <w:b/>
                <w:bCs/>
              </w:rPr>
              <w:t>Look-Fors</w:t>
            </w:r>
          </w:p>
        </w:tc>
        <w:tc>
          <w:tcPr>
            <w:tcW w:w="2580" w:type="dxa"/>
            <w:shd w:val="clear" w:color="auto" w:fill="F1F3F4"/>
            <w:tcMar>
              <w:top w:w="100" w:type="dxa"/>
              <w:left w:w="100" w:type="dxa"/>
              <w:bottom w:w="100" w:type="dxa"/>
              <w:right w:w="100" w:type="dxa"/>
            </w:tcMar>
          </w:tcPr>
          <w:p w14:paraId="4C0A431D" w14:textId="77777777" w:rsidR="00E1233E" w:rsidRDefault="00C979EB">
            <w:pPr>
              <w:spacing w:line="240" w:lineRule="auto"/>
              <w:rPr>
                <w:b/>
              </w:rPr>
            </w:pPr>
            <w:r>
              <w:rPr>
                <w:b/>
              </w:rPr>
              <w:t>Rating</w:t>
            </w:r>
          </w:p>
        </w:tc>
      </w:tr>
      <w:tr w:rsidR="00E1233E" w14:paraId="4864A8D6" w14:textId="77777777" w:rsidTr="00FA68C5">
        <w:trPr>
          <w:trHeight w:val="590"/>
        </w:trPr>
        <w:tc>
          <w:tcPr>
            <w:tcW w:w="6615" w:type="dxa"/>
            <w:shd w:val="clear" w:color="auto" w:fill="auto"/>
            <w:tcMar>
              <w:top w:w="100" w:type="dxa"/>
              <w:left w:w="100" w:type="dxa"/>
              <w:bottom w:w="100" w:type="dxa"/>
              <w:right w:w="100" w:type="dxa"/>
            </w:tcMar>
          </w:tcPr>
          <w:p w14:paraId="4151E4CC" w14:textId="77777777" w:rsidR="00E1233E" w:rsidRDefault="00C979EB">
            <w:pPr>
              <w:spacing w:line="240" w:lineRule="auto"/>
              <w:rPr>
                <w:sz w:val="20"/>
                <w:szCs w:val="20"/>
              </w:rPr>
            </w:pPr>
            <w:r>
              <w:rPr>
                <w:b/>
                <w:sz w:val="20"/>
                <w:szCs w:val="20"/>
              </w:rPr>
              <w:t>Differentiation by Readiness:</w:t>
            </w:r>
            <w:r>
              <w:rPr>
                <w:sz w:val="20"/>
                <w:szCs w:val="20"/>
              </w:rPr>
              <w:t xml:space="preserve"> Plans and delivers lessons with tiered content, scaffolds, and tasks appropriate to students’ skill levels and prior knowledge.</w:t>
            </w:r>
          </w:p>
        </w:tc>
        <w:tc>
          <w:tcPr>
            <w:tcW w:w="2580" w:type="dxa"/>
            <w:shd w:val="clear" w:color="auto" w:fill="auto"/>
            <w:tcMar>
              <w:top w:w="100" w:type="dxa"/>
              <w:left w:w="100" w:type="dxa"/>
              <w:bottom w:w="100" w:type="dxa"/>
              <w:right w:w="100" w:type="dxa"/>
            </w:tcMar>
          </w:tcPr>
          <w:p w14:paraId="70CD7189" w14:textId="5EB75A68"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12FDCD06" w14:textId="1F8F1ED9"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07BB9BF0" w14:textId="390461C9"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3967CD71" w14:textId="716B021F"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7DC34CC2" w14:textId="611E8CB6"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770C8F12" w14:textId="77777777" w:rsidTr="00FA68C5">
        <w:trPr>
          <w:trHeight w:val="590"/>
        </w:trPr>
        <w:tc>
          <w:tcPr>
            <w:tcW w:w="6615" w:type="dxa"/>
            <w:shd w:val="clear" w:color="auto" w:fill="auto"/>
            <w:tcMar>
              <w:top w:w="100" w:type="dxa"/>
              <w:left w:w="100" w:type="dxa"/>
              <w:bottom w:w="100" w:type="dxa"/>
              <w:right w:w="100" w:type="dxa"/>
            </w:tcMar>
          </w:tcPr>
          <w:p w14:paraId="58ADE50B" w14:textId="77777777" w:rsidR="00E1233E" w:rsidRDefault="00C979EB">
            <w:pPr>
              <w:spacing w:line="240" w:lineRule="auto"/>
              <w:rPr>
                <w:sz w:val="20"/>
                <w:szCs w:val="20"/>
              </w:rPr>
            </w:pPr>
            <w:r>
              <w:rPr>
                <w:b/>
                <w:sz w:val="20"/>
                <w:szCs w:val="20"/>
              </w:rPr>
              <w:t xml:space="preserve">Differentiation by Interest: </w:t>
            </w:r>
            <w:r>
              <w:rPr>
                <w:sz w:val="20"/>
                <w:szCs w:val="20"/>
              </w:rPr>
              <w:t xml:space="preserve"> Incorporates students’ personal interests and choices into activities and content to increase engagement.</w:t>
            </w:r>
          </w:p>
        </w:tc>
        <w:tc>
          <w:tcPr>
            <w:tcW w:w="2580" w:type="dxa"/>
            <w:shd w:val="clear" w:color="auto" w:fill="auto"/>
            <w:tcMar>
              <w:top w:w="100" w:type="dxa"/>
              <w:left w:w="100" w:type="dxa"/>
              <w:bottom w:w="100" w:type="dxa"/>
              <w:right w:w="100" w:type="dxa"/>
            </w:tcMar>
          </w:tcPr>
          <w:p w14:paraId="44A69499"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59F861A"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13E86917"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0002EC45"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2238C5E4" w14:textId="1A74703F"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3C0F2E19" w14:textId="77777777" w:rsidTr="00FA68C5">
        <w:trPr>
          <w:trHeight w:val="590"/>
        </w:trPr>
        <w:tc>
          <w:tcPr>
            <w:tcW w:w="6615" w:type="dxa"/>
            <w:shd w:val="clear" w:color="auto" w:fill="auto"/>
            <w:tcMar>
              <w:top w:w="100" w:type="dxa"/>
              <w:left w:w="100" w:type="dxa"/>
              <w:bottom w:w="100" w:type="dxa"/>
              <w:right w:w="100" w:type="dxa"/>
            </w:tcMar>
          </w:tcPr>
          <w:p w14:paraId="37D99E2D" w14:textId="77777777" w:rsidR="00E1233E" w:rsidRDefault="00C979EB">
            <w:pPr>
              <w:spacing w:line="240" w:lineRule="auto"/>
              <w:rPr>
                <w:sz w:val="20"/>
                <w:szCs w:val="20"/>
              </w:rPr>
            </w:pPr>
            <w:r>
              <w:rPr>
                <w:b/>
                <w:sz w:val="20"/>
                <w:szCs w:val="20"/>
              </w:rPr>
              <w:t>Differentiation by Learning Profile:</w:t>
            </w:r>
            <w:r>
              <w:rPr>
                <w:sz w:val="20"/>
                <w:szCs w:val="20"/>
              </w:rPr>
              <w:t xml:space="preserve"> Adapts instruction based on students’ preferred learning styles (e.g., visual, auditory, kinesthetic) or sensory needs.</w:t>
            </w:r>
          </w:p>
        </w:tc>
        <w:tc>
          <w:tcPr>
            <w:tcW w:w="2580" w:type="dxa"/>
            <w:shd w:val="clear" w:color="auto" w:fill="auto"/>
            <w:tcMar>
              <w:top w:w="100" w:type="dxa"/>
              <w:left w:w="100" w:type="dxa"/>
              <w:bottom w:w="100" w:type="dxa"/>
              <w:right w:w="100" w:type="dxa"/>
            </w:tcMar>
          </w:tcPr>
          <w:p w14:paraId="0B2EBC35"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1AF6E605"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0CE307F0"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58BC9177"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3295E8C2" w14:textId="6A2641F0"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3C5D885A" w14:textId="77777777" w:rsidTr="00FA68C5">
        <w:trPr>
          <w:trHeight w:val="590"/>
        </w:trPr>
        <w:tc>
          <w:tcPr>
            <w:tcW w:w="6615" w:type="dxa"/>
            <w:shd w:val="clear" w:color="auto" w:fill="auto"/>
            <w:tcMar>
              <w:top w:w="100" w:type="dxa"/>
              <w:left w:w="100" w:type="dxa"/>
              <w:bottom w:w="100" w:type="dxa"/>
              <w:right w:w="100" w:type="dxa"/>
            </w:tcMar>
          </w:tcPr>
          <w:p w14:paraId="2D6843D5" w14:textId="77777777" w:rsidR="00E1233E" w:rsidRDefault="00C979EB">
            <w:pPr>
              <w:spacing w:line="240" w:lineRule="auto"/>
              <w:rPr>
                <w:sz w:val="20"/>
                <w:szCs w:val="20"/>
              </w:rPr>
            </w:pPr>
            <w:r>
              <w:rPr>
                <w:b/>
                <w:sz w:val="20"/>
                <w:szCs w:val="20"/>
              </w:rPr>
              <w:t>Providing Tiered Supports:</w:t>
            </w:r>
            <w:r>
              <w:rPr>
                <w:sz w:val="20"/>
                <w:szCs w:val="20"/>
              </w:rPr>
              <w:t xml:space="preserve"> Implements tiered interventions, such as small group instruction or enrichment, to address varied learning needs.</w:t>
            </w:r>
          </w:p>
        </w:tc>
        <w:tc>
          <w:tcPr>
            <w:tcW w:w="2580" w:type="dxa"/>
            <w:shd w:val="clear" w:color="auto" w:fill="auto"/>
            <w:tcMar>
              <w:top w:w="100" w:type="dxa"/>
              <w:left w:w="100" w:type="dxa"/>
              <w:bottom w:w="100" w:type="dxa"/>
              <w:right w:w="100" w:type="dxa"/>
            </w:tcMar>
          </w:tcPr>
          <w:p w14:paraId="6164849C"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68404E6E"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060DB22C"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1CF1FB08"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13FF188D" w14:textId="36F2D569"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362BA769" w14:textId="77777777" w:rsidTr="00FA68C5">
        <w:trPr>
          <w:trHeight w:val="590"/>
        </w:trPr>
        <w:tc>
          <w:tcPr>
            <w:tcW w:w="6615" w:type="dxa"/>
            <w:shd w:val="clear" w:color="auto" w:fill="auto"/>
            <w:tcMar>
              <w:top w:w="100" w:type="dxa"/>
              <w:left w:w="100" w:type="dxa"/>
              <w:bottom w:w="100" w:type="dxa"/>
              <w:right w:w="100" w:type="dxa"/>
            </w:tcMar>
          </w:tcPr>
          <w:p w14:paraId="6B44C833" w14:textId="77777777" w:rsidR="00E1233E" w:rsidRDefault="00C979EB">
            <w:pPr>
              <w:spacing w:line="240" w:lineRule="auto"/>
              <w:rPr>
                <w:sz w:val="20"/>
                <w:szCs w:val="20"/>
              </w:rPr>
            </w:pPr>
            <w:r>
              <w:rPr>
                <w:b/>
                <w:sz w:val="20"/>
                <w:szCs w:val="20"/>
              </w:rPr>
              <w:t xml:space="preserve">Incorporating Flexible Grouping: </w:t>
            </w:r>
            <w:r>
              <w:rPr>
                <w:sz w:val="20"/>
                <w:szCs w:val="20"/>
              </w:rPr>
              <w:t>Uses flexible grouping strategies (e.g., homogeneous, heterogeneous, peer tutoring) to support collaboration and targeted instruction.</w:t>
            </w:r>
          </w:p>
        </w:tc>
        <w:tc>
          <w:tcPr>
            <w:tcW w:w="2580" w:type="dxa"/>
            <w:shd w:val="clear" w:color="auto" w:fill="auto"/>
            <w:tcMar>
              <w:top w:w="100" w:type="dxa"/>
              <w:left w:w="100" w:type="dxa"/>
              <w:bottom w:w="100" w:type="dxa"/>
              <w:right w:w="100" w:type="dxa"/>
            </w:tcMar>
          </w:tcPr>
          <w:p w14:paraId="0A382C3D"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2805DAD5"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03A8D97A"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28650258"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48C12EC2" w14:textId="78A68C65"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bl>
    <w:p w14:paraId="43C2464E" w14:textId="77777777" w:rsidR="00E1233E" w:rsidRDefault="00E1233E">
      <w:pPr>
        <w:spacing w:line="240" w:lineRule="auto"/>
        <w:rPr>
          <w:sz w:val="24"/>
          <w:szCs w:val="24"/>
        </w:rPr>
      </w:pPr>
    </w:p>
    <w:p w14:paraId="0F0FEC0A" w14:textId="77777777" w:rsidR="00E1233E" w:rsidRDefault="00E1233E" w:rsidP="00DA2A3E">
      <w:bookmarkStart w:id="6" w:name="_uvkwadml0tdi" w:colFirst="0" w:colLast="0"/>
      <w:bookmarkEnd w:id="6"/>
    </w:p>
    <w:p w14:paraId="2DD0A041" w14:textId="77777777" w:rsidR="00851A31" w:rsidRDefault="00851A31">
      <w:pPr>
        <w:rPr>
          <w:b/>
          <w:color w:val="288264"/>
          <w:sz w:val="26"/>
          <w:szCs w:val="26"/>
        </w:rPr>
      </w:pPr>
      <w:bookmarkStart w:id="7" w:name="_nnqgejgygimo" w:colFirst="0" w:colLast="0"/>
      <w:bookmarkEnd w:id="7"/>
      <w:r>
        <w:br w:type="page"/>
      </w:r>
    </w:p>
    <w:p w14:paraId="70DEFCF8" w14:textId="375E0AC9" w:rsidR="00E1233E" w:rsidRDefault="00C979EB" w:rsidP="00DA2A3E">
      <w:pPr>
        <w:pStyle w:val="Heading3"/>
      </w:pPr>
      <w:r>
        <w:lastRenderedPageBreak/>
        <w:t>Universal Design for Learning (UDL)</w:t>
      </w:r>
    </w:p>
    <w:tbl>
      <w:tblPr>
        <w:tblStyle w:val="a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E1233E" w14:paraId="7B929C87" w14:textId="77777777" w:rsidTr="00FA68C5">
        <w:trPr>
          <w:trHeight w:val="553"/>
          <w:tblHeader/>
        </w:trPr>
        <w:tc>
          <w:tcPr>
            <w:tcW w:w="6630" w:type="dxa"/>
            <w:shd w:val="clear" w:color="auto" w:fill="F1F3F4"/>
            <w:tcMar>
              <w:top w:w="100" w:type="dxa"/>
              <w:left w:w="100" w:type="dxa"/>
              <w:bottom w:w="100" w:type="dxa"/>
              <w:right w:w="100" w:type="dxa"/>
            </w:tcMar>
          </w:tcPr>
          <w:p w14:paraId="359B9EEB" w14:textId="77777777" w:rsidR="00E1233E" w:rsidRPr="00DA2A3E" w:rsidRDefault="00C979EB" w:rsidP="00DA2A3E">
            <w:pPr>
              <w:rPr>
                <w:b/>
                <w:bCs/>
              </w:rPr>
            </w:pPr>
            <w:bookmarkStart w:id="8" w:name="_yjrqehadacnj" w:colFirst="0" w:colLast="0"/>
            <w:bookmarkEnd w:id="8"/>
            <w:r w:rsidRPr="00DA2A3E">
              <w:rPr>
                <w:b/>
                <w:bCs/>
              </w:rPr>
              <w:t xml:space="preserve">Look-Fors </w:t>
            </w:r>
          </w:p>
        </w:tc>
        <w:tc>
          <w:tcPr>
            <w:tcW w:w="2550" w:type="dxa"/>
            <w:shd w:val="clear" w:color="auto" w:fill="F1F3F4"/>
            <w:tcMar>
              <w:top w:w="100" w:type="dxa"/>
              <w:left w:w="100" w:type="dxa"/>
              <w:bottom w:w="100" w:type="dxa"/>
              <w:right w:w="100" w:type="dxa"/>
            </w:tcMar>
          </w:tcPr>
          <w:p w14:paraId="2E2C7BB5" w14:textId="77777777" w:rsidR="00E1233E" w:rsidRDefault="00C979EB">
            <w:pPr>
              <w:spacing w:line="240" w:lineRule="auto"/>
              <w:rPr>
                <w:b/>
                <w:sz w:val="20"/>
                <w:szCs w:val="20"/>
              </w:rPr>
            </w:pPr>
            <w:r>
              <w:rPr>
                <w:b/>
                <w:sz w:val="20"/>
                <w:szCs w:val="20"/>
              </w:rPr>
              <w:t>Rating</w:t>
            </w:r>
          </w:p>
        </w:tc>
      </w:tr>
      <w:tr w:rsidR="00E1233E" w14:paraId="560DB5CB" w14:textId="77777777" w:rsidTr="00FA68C5">
        <w:trPr>
          <w:trHeight w:val="590"/>
        </w:trPr>
        <w:tc>
          <w:tcPr>
            <w:tcW w:w="6630" w:type="dxa"/>
            <w:shd w:val="clear" w:color="auto" w:fill="auto"/>
            <w:tcMar>
              <w:top w:w="100" w:type="dxa"/>
              <w:left w:w="100" w:type="dxa"/>
              <w:bottom w:w="100" w:type="dxa"/>
              <w:right w:w="100" w:type="dxa"/>
            </w:tcMar>
          </w:tcPr>
          <w:p w14:paraId="428BD5B6" w14:textId="77777777" w:rsidR="00E1233E" w:rsidRDefault="00C979EB">
            <w:pPr>
              <w:spacing w:line="240" w:lineRule="auto"/>
              <w:rPr>
                <w:sz w:val="20"/>
                <w:szCs w:val="20"/>
              </w:rPr>
            </w:pPr>
            <w:r>
              <w:rPr>
                <w:b/>
                <w:sz w:val="20"/>
                <w:szCs w:val="20"/>
              </w:rPr>
              <w:t>Multiple Means of Representation:</w:t>
            </w:r>
            <w:r>
              <w:rPr>
                <w:sz w:val="20"/>
                <w:szCs w:val="20"/>
              </w:rPr>
              <w:t xml:space="preserve"> Presents information using various modalities, such as videos, visuals, hands-on activities, and text</w:t>
            </w:r>
          </w:p>
        </w:tc>
        <w:tc>
          <w:tcPr>
            <w:tcW w:w="2550" w:type="dxa"/>
            <w:shd w:val="clear" w:color="auto" w:fill="auto"/>
            <w:tcMar>
              <w:top w:w="100" w:type="dxa"/>
              <w:left w:w="100" w:type="dxa"/>
              <w:bottom w:w="100" w:type="dxa"/>
              <w:right w:w="100" w:type="dxa"/>
            </w:tcMar>
          </w:tcPr>
          <w:p w14:paraId="432B62C9"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7279890A"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3B8B4489"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463E30F8"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09928BE6" w14:textId="3C4F38AE"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3BACFD97" w14:textId="77777777" w:rsidTr="00FA68C5">
        <w:trPr>
          <w:trHeight w:val="590"/>
        </w:trPr>
        <w:tc>
          <w:tcPr>
            <w:tcW w:w="6630" w:type="dxa"/>
            <w:shd w:val="clear" w:color="auto" w:fill="auto"/>
            <w:tcMar>
              <w:top w:w="100" w:type="dxa"/>
              <w:left w:w="100" w:type="dxa"/>
              <w:bottom w:w="100" w:type="dxa"/>
              <w:right w:w="100" w:type="dxa"/>
            </w:tcMar>
          </w:tcPr>
          <w:p w14:paraId="67041246" w14:textId="77777777" w:rsidR="00851A31" w:rsidRDefault="00851A31" w:rsidP="00851A31">
            <w:pPr>
              <w:spacing w:line="240" w:lineRule="auto"/>
              <w:rPr>
                <w:sz w:val="20"/>
                <w:szCs w:val="20"/>
              </w:rPr>
            </w:pPr>
            <w:r>
              <w:rPr>
                <w:b/>
                <w:sz w:val="20"/>
                <w:szCs w:val="20"/>
              </w:rPr>
              <w:t>Multiple Means of Action and Expression:</w:t>
            </w:r>
            <w:r>
              <w:rPr>
                <w:sz w:val="20"/>
                <w:szCs w:val="20"/>
              </w:rPr>
              <w:t xml:space="preserve"> Provides students with diverse ways to demonstrate learning, such as creating projects, writing responses, or oral presentations.</w:t>
            </w:r>
          </w:p>
        </w:tc>
        <w:tc>
          <w:tcPr>
            <w:tcW w:w="2550" w:type="dxa"/>
            <w:shd w:val="clear" w:color="auto" w:fill="auto"/>
            <w:tcMar>
              <w:top w:w="100" w:type="dxa"/>
              <w:left w:w="100" w:type="dxa"/>
              <w:bottom w:w="100" w:type="dxa"/>
              <w:right w:w="100" w:type="dxa"/>
            </w:tcMar>
          </w:tcPr>
          <w:p w14:paraId="5EDD882E"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73BE4112"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64D3531C"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6122798E"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223DE5FE" w14:textId="6FEC8E78"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5F30FB5A" w14:textId="77777777" w:rsidTr="00FA68C5">
        <w:trPr>
          <w:trHeight w:val="590"/>
        </w:trPr>
        <w:tc>
          <w:tcPr>
            <w:tcW w:w="6630" w:type="dxa"/>
            <w:shd w:val="clear" w:color="auto" w:fill="auto"/>
            <w:tcMar>
              <w:top w:w="100" w:type="dxa"/>
              <w:left w:w="100" w:type="dxa"/>
              <w:bottom w:w="100" w:type="dxa"/>
              <w:right w:w="100" w:type="dxa"/>
            </w:tcMar>
          </w:tcPr>
          <w:p w14:paraId="76896C29" w14:textId="77777777" w:rsidR="00851A31" w:rsidRDefault="00851A31" w:rsidP="00851A31">
            <w:pPr>
              <w:spacing w:line="240" w:lineRule="auto"/>
              <w:rPr>
                <w:sz w:val="20"/>
                <w:szCs w:val="20"/>
              </w:rPr>
            </w:pPr>
            <w:r>
              <w:rPr>
                <w:b/>
                <w:sz w:val="20"/>
                <w:szCs w:val="20"/>
              </w:rPr>
              <w:t>Multiple Means of Engagement:</w:t>
            </w:r>
            <w:r>
              <w:rPr>
                <w:sz w:val="20"/>
                <w:szCs w:val="20"/>
              </w:rPr>
              <w:t xml:space="preserve"> Utilizes choice, relevance, and real-world connections to maintain student motivation and engagement.</w:t>
            </w:r>
          </w:p>
        </w:tc>
        <w:tc>
          <w:tcPr>
            <w:tcW w:w="2550" w:type="dxa"/>
            <w:shd w:val="clear" w:color="auto" w:fill="auto"/>
            <w:tcMar>
              <w:top w:w="100" w:type="dxa"/>
              <w:left w:w="100" w:type="dxa"/>
              <w:bottom w:w="100" w:type="dxa"/>
              <w:right w:w="100" w:type="dxa"/>
            </w:tcMar>
          </w:tcPr>
          <w:p w14:paraId="2D9BF8C1"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53A2BF88"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259A9FD2"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5A46B221"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110746BA" w14:textId="2EE675EC"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6D2FD17F" w14:textId="77777777" w:rsidTr="00FA68C5">
        <w:trPr>
          <w:trHeight w:val="590"/>
        </w:trPr>
        <w:tc>
          <w:tcPr>
            <w:tcW w:w="6630" w:type="dxa"/>
            <w:shd w:val="clear" w:color="auto" w:fill="auto"/>
            <w:tcMar>
              <w:top w:w="100" w:type="dxa"/>
              <w:left w:w="100" w:type="dxa"/>
              <w:bottom w:w="100" w:type="dxa"/>
              <w:right w:w="100" w:type="dxa"/>
            </w:tcMar>
          </w:tcPr>
          <w:p w14:paraId="752784DB" w14:textId="77777777" w:rsidR="00851A31" w:rsidRDefault="00851A31" w:rsidP="00851A31">
            <w:pPr>
              <w:spacing w:line="240" w:lineRule="auto"/>
              <w:rPr>
                <w:sz w:val="20"/>
                <w:szCs w:val="20"/>
              </w:rPr>
            </w:pPr>
            <w:r>
              <w:rPr>
                <w:b/>
                <w:sz w:val="20"/>
                <w:szCs w:val="20"/>
              </w:rPr>
              <w:t>Clear and Accessible Materials:</w:t>
            </w:r>
            <w:r>
              <w:rPr>
                <w:sz w:val="20"/>
                <w:szCs w:val="20"/>
              </w:rPr>
              <w:t xml:space="preserve"> Ensures that instructional materials (e.g., handouts, slide decks) are visually clear, free of barriers, and adaptable for assistive technology. </w:t>
            </w:r>
          </w:p>
        </w:tc>
        <w:tc>
          <w:tcPr>
            <w:tcW w:w="2550" w:type="dxa"/>
            <w:shd w:val="clear" w:color="auto" w:fill="auto"/>
            <w:tcMar>
              <w:top w:w="100" w:type="dxa"/>
              <w:left w:w="100" w:type="dxa"/>
              <w:bottom w:w="100" w:type="dxa"/>
              <w:right w:w="100" w:type="dxa"/>
            </w:tcMar>
          </w:tcPr>
          <w:p w14:paraId="05031F18"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63CC83E1"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37EC365D"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61B6E5A9"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0820CB9C" w14:textId="68DC2CFD"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5CD526E1" w14:textId="77777777" w:rsidTr="00FA68C5">
        <w:trPr>
          <w:trHeight w:val="590"/>
        </w:trPr>
        <w:tc>
          <w:tcPr>
            <w:tcW w:w="6630" w:type="dxa"/>
            <w:shd w:val="clear" w:color="auto" w:fill="auto"/>
            <w:tcMar>
              <w:top w:w="100" w:type="dxa"/>
              <w:left w:w="100" w:type="dxa"/>
              <w:bottom w:w="100" w:type="dxa"/>
              <w:right w:w="100" w:type="dxa"/>
            </w:tcMar>
          </w:tcPr>
          <w:p w14:paraId="5E84ED52" w14:textId="77777777" w:rsidR="00851A31" w:rsidRDefault="00851A31" w:rsidP="00851A31">
            <w:pPr>
              <w:spacing w:line="240" w:lineRule="auto"/>
              <w:rPr>
                <w:sz w:val="20"/>
                <w:szCs w:val="20"/>
              </w:rPr>
            </w:pPr>
            <w:r>
              <w:rPr>
                <w:b/>
                <w:sz w:val="20"/>
                <w:szCs w:val="20"/>
              </w:rPr>
              <w:t>Proactive Planning for Accessibility:</w:t>
            </w:r>
            <w:r>
              <w:rPr>
                <w:sz w:val="20"/>
                <w:szCs w:val="20"/>
              </w:rPr>
              <w:t xml:space="preserve"> Anticipates and designs lessons to minimize barriers and maximize accessibility for all learners, including those requiring assistive technology.</w:t>
            </w:r>
          </w:p>
        </w:tc>
        <w:tc>
          <w:tcPr>
            <w:tcW w:w="2550" w:type="dxa"/>
            <w:shd w:val="clear" w:color="auto" w:fill="auto"/>
            <w:tcMar>
              <w:top w:w="100" w:type="dxa"/>
              <w:left w:w="100" w:type="dxa"/>
              <w:bottom w:w="100" w:type="dxa"/>
              <w:right w:w="100" w:type="dxa"/>
            </w:tcMar>
          </w:tcPr>
          <w:p w14:paraId="2E534BE0"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C92A74B"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3128B6B2"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03DFCC4B"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2C914A1E" w14:textId="249504A4"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bl>
    <w:p w14:paraId="02BC973F" w14:textId="77777777" w:rsidR="00E1233E" w:rsidRDefault="00E1233E" w:rsidP="00DA2A3E">
      <w:bookmarkStart w:id="9" w:name="_u374jsjcee9e" w:colFirst="0" w:colLast="0"/>
      <w:bookmarkStart w:id="10" w:name="_evo3j1mvspfb" w:colFirst="0" w:colLast="0"/>
      <w:bookmarkEnd w:id="9"/>
      <w:bookmarkEnd w:id="10"/>
    </w:p>
    <w:p w14:paraId="7B6ECC2D" w14:textId="77777777" w:rsidR="00851A31" w:rsidRPr="00851A31" w:rsidRDefault="00851A31" w:rsidP="00851A31"/>
    <w:p w14:paraId="6A8EFBB7" w14:textId="77777777" w:rsidR="00851A31" w:rsidRDefault="00851A31">
      <w:pPr>
        <w:rPr>
          <w:b/>
          <w:color w:val="288264"/>
          <w:sz w:val="26"/>
          <w:szCs w:val="26"/>
        </w:rPr>
      </w:pPr>
      <w:bookmarkStart w:id="11" w:name="_c2mholcjgp84" w:colFirst="0" w:colLast="0"/>
      <w:bookmarkEnd w:id="11"/>
      <w:r>
        <w:br w:type="page"/>
      </w:r>
    </w:p>
    <w:p w14:paraId="18030390" w14:textId="35787E38" w:rsidR="00E1233E" w:rsidRDefault="00C979EB" w:rsidP="00DA2A3E">
      <w:pPr>
        <w:pStyle w:val="Heading3"/>
        <w:rPr>
          <w:sz w:val="24"/>
          <w:szCs w:val="24"/>
        </w:rPr>
      </w:pPr>
      <w:r>
        <w:lastRenderedPageBreak/>
        <w:t>Scaffolded Instruction</w:t>
      </w:r>
    </w:p>
    <w:tbl>
      <w:tblPr>
        <w:tblStyle w:val="a1"/>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45"/>
        <w:gridCol w:w="2550"/>
      </w:tblGrid>
      <w:tr w:rsidR="00E1233E" w14:paraId="3787E412" w14:textId="77777777" w:rsidTr="00FA68C5">
        <w:trPr>
          <w:trHeight w:val="553"/>
          <w:tblHeader/>
        </w:trPr>
        <w:tc>
          <w:tcPr>
            <w:tcW w:w="6645" w:type="dxa"/>
            <w:shd w:val="clear" w:color="auto" w:fill="F1F3F4"/>
            <w:tcMar>
              <w:top w:w="100" w:type="dxa"/>
              <w:left w:w="100" w:type="dxa"/>
              <w:bottom w:w="100" w:type="dxa"/>
              <w:right w:w="100" w:type="dxa"/>
            </w:tcMar>
          </w:tcPr>
          <w:p w14:paraId="46AC5D38" w14:textId="77777777" w:rsidR="00E1233E" w:rsidRPr="00DA2A3E" w:rsidRDefault="00C979EB" w:rsidP="00DA2A3E">
            <w:pPr>
              <w:rPr>
                <w:b/>
                <w:bCs/>
              </w:rPr>
            </w:pPr>
            <w:bookmarkStart w:id="12" w:name="_v0crrqwg7vw0" w:colFirst="0" w:colLast="0"/>
            <w:bookmarkEnd w:id="12"/>
            <w:r w:rsidRPr="00DA2A3E">
              <w:rPr>
                <w:b/>
                <w:bCs/>
              </w:rPr>
              <w:t>Look-Fors</w:t>
            </w:r>
          </w:p>
        </w:tc>
        <w:tc>
          <w:tcPr>
            <w:tcW w:w="2550" w:type="dxa"/>
            <w:shd w:val="clear" w:color="auto" w:fill="F1F3F4"/>
            <w:tcMar>
              <w:top w:w="100" w:type="dxa"/>
              <w:left w:w="100" w:type="dxa"/>
              <w:bottom w:w="100" w:type="dxa"/>
              <w:right w:w="100" w:type="dxa"/>
            </w:tcMar>
          </w:tcPr>
          <w:p w14:paraId="5D80F6C6" w14:textId="77777777" w:rsidR="00E1233E" w:rsidRDefault="00C979EB">
            <w:pPr>
              <w:spacing w:line="240" w:lineRule="auto"/>
              <w:rPr>
                <w:b/>
                <w:sz w:val="20"/>
                <w:szCs w:val="20"/>
              </w:rPr>
            </w:pPr>
            <w:r>
              <w:rPr>
                <w:b/>
                <w:sz w:val="20"/>
                <w:szCs w:val="20"/>
              </w:rPr>
              <w:t>Rating</w:t>
            </w:r>
          </w:p>
        </w:tc>
      </w:tr>
      <w:tr w:rsidR="00851A31" w14:paraId="1A56D756" w14:textId="77777777" w:rsidTr="00FA68C5">
        <w:trPr>
          <w:trHeight w:val="590"/>
        </w:trPr>
        <w:tc>
          <w:tcPr>
            <w:tcW w:w="6645" w:type="dxa"/>
            <w:shd w:val="clear" w:color="auto" w:fill="auto"/>
            <w:tcMar>
              <w:top w:w="100" w:type="dxa"/>
              <w:left w:w="100" w:type="dxa"/>
              <w:bottom w:w="100" w:type="dxa"/>
              <w:right w:w="100" w:type="dxa"/>
            </w:tcMar>
          </w:tcPr>
          <w:p w14:paraId="73454DB8" w14:textId="77777777" w:rsidR="00851A31" w:rsidRDefault="00851A31" w:rsidP="00851A31">
            <w:pPr>
              <w:spacing w:line="240" w:lineRule="auto"/>
              <w:rPr>
                <w:sz w:val="20"/>
                <w:szCs w:val="20"/>
              </w:rPr>
            </w:pPr>
            <w:r>
              <w:rPr>
                <w:b/>
                <w:sz w:val="20"/>
                <w:szCs w:val="20"/>
              </w:rPr>
              <w:t>Explicit Modeling:</w:t>
            </w:r>
            <w:r>
              <w:rPr>
                <w:sz w:val="20"/>
                <w:szCs w:val="20"/>
              </w:rPr>
              <w:t xml:space="preserve"> Demonstrates processes, strategies, and skills step-by-step to ensure clarity and accessibility for all learners.</w:t>
            </w:r>
          </w:p>
        </w:tc>
        <w:tc>
          <w:tcPr>
            <w:tcW w:w="2550" w:type="dxa"/>
            <w:shd w:val="clear" w:color="auto" w:fill="auto"/>
            <w:tcMar>
              <w:top w:w="100" w:type="dxa"/>
              <w:left w:w="100" w:type="dxa"/>
              <w:bottom w:w="100" w:type="dxa"/>
              <w:right w:w="100" w:type="dxa"/>
            </w:tcMar>
          </w:tcPr>
          <w:p w14:paraId="0B344152"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6EBAAF78"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0AEA6FC8"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4208D20D"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44C37B1D" w14:textId="3EB1B20F"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4220A74E" w14:textId="77777777" w:rsidTr="00FA68C5">
        <w:trPr>
          <w:trHeight w:val="590"/>
        </w:trPr>
        <w:tc>
          <w:tcPr>
            <w:tcW w:w="6645" w:type="dxa"/>
            <w:shd w:val="clear" w:color="auto" w:fill="auto"/>
            <w:tcMar>
              <w:top w:w="100" w:type="dxa"/>
              <w:left w:w="100" w:type="dxa"/>
              <w:bottom w:w="100" w:type="dxa"/>
              <w:right w:w="100" w:type="dxa"/>
            </w:tcMar>
          </w:tcPr>
          <w:p w14:paraId="108FC2E1" w14:textId="77777777" w:rsidR="00851A31" w:rsidRDefault="00851A31" w:rsidP="00851A31">
            <w:pPr>
              <w:spacing w:line="240" w:lineRule="auto"/>
              <w:rPr>
                <w:sz w:val="20"/>
                <w:szCs w:val="20"/>
              </w:rPr>
            </w:pPr>
            <w:r>
              <w:rPr>
                <w:b/>
                <w:sz w:val="20"/>
                <w:szCs w:val="20"/>
              </w:rPr>
              <w:t>Guided Practice:</w:t>
            </w:r>
            <w:r>
              <w:rPr>
                <w:sz w:val="20"/>
                <w:szCs w:val="20"/>
              </w:rPr>
              <w:t xml:space="preserve"> Provides structured opportunities for students to practice skills with support before transitioning to independent work.</w:t>
            </w:r>
          </w:p>
        </w:tc>
        <w:tc>
          <w:tcPr>
            <w:tcW w:w="2550" w:type="dxa"/>
            <w:shd w:val="clear" w:color="auto" w:fill="auto"/>
            <w:tcMar>
              <w:top w:w="100" w:type="dxa"/>
              <w:left w:w="100" w:type="dxa"/>
              <w:bottom w:w="100" w:type="dxa"/>
              <w:right w:w="100" w:type="dxa"/>
            </w:tcMar>
          </w:tcPr>
          <w:p w14:paraId="4D943D21"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AF9F221"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71CABF57"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16166A6B"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7633F3E6" w14:textId="2AE45ED2"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7F7075EB" w14:textId="77777777" w:rsidTr="00FA68C5">
        <w:trPr>
          <w:trHeight w:val="590"/>
        </w:trPr>
        <w:tc>
          <w:tcPr>
            <w:tcW w:w="6645" w:type="dxa"/>
            <w:shd w:val="clear" w:color="auto" w:fill="auto"/>
            <w:tcMar>
              <w:top w:w="100" w:type="dxa"/>
              <w:left w:w="100" w:type="dxa"/>
              <w:bottom w:w="100" w:type="dxa"/>
              <w:right w:w="100" w:type="dxa"/>
            </w:tcMar>
          </w:tcPr>
          <w:p w14:paraId="79BF32A0" w14:textId="77777777" w:rsidR="00851A31" w:rsidRDefault="00851A31" w:rsidP="00851A31">
            <w:pPr>
              <w:spacing w:line="240" w:lineRule="auto"/>
              <w:rPr>
                <w:sz w:val="20"/>
                <w:szCs w:val="20"/>
              </w:rPr>
            </w:pPr>
            <w:r>
              <w:rPr>
                <w:b/>
                <w:sz w:val="20"/>
                <w:szCs w:val="20"/>
              </w:rPr>
              <w:t>Use of Visual Supports:</w:t>
            </w:r>
            <w:r>
              <w:rPr>
                <w:sz w:val="20"/>
                <w:szCs w:val="20"/>
              </w:rPr>
              <w:t xml:space="preserve"> Incorporates anchor charts, graphic organizers, and other visual aids to support comprehension.</w:t>
            </w:r>
          </w:p>
        </w:tc>
        <w:tc>
          <w:tcPr>
            <w:tcW w:w="2550" w:type="dxa"/>
            <w:shd w:val="clear" w:color="auto" w:fill="auto"/>
            <w:tcMar>
              <w:top w:w="100" w:type="dxa"/>
              <w:left w:w="100" w:type="dxa"/>
              <w:bottom w:w="100" w:type="dxa"/>
              <w:right w:w="100" w:type="dxa"/>
            </w:tcMar>
          </w:tcPr>
          <w:p w14:paraId="5DCB125C"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528C4E87"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6BAD7B97"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45C6305A"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3706156B" w14:textId="4E80FF12"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726E58D8" w14:textId="77777777" w:rsidTr="00FA68C5">
        <w:trPr>
          <w:trHeight w:val="590"/>
        </w:trPr>
        <w:tc>
          <w:tcPr>
            <w:tcW w:w="6645" w:type="dxa"/>
            <w:shd w:val="clear" w:color="auto" w:fill="auto"/>
            <w:tcMar>
              <w:top w:w="100" w:type="dxa"/>
              <w:left w:w="100" w:type="dxa"/>
              <w:bottom w:w="100" w:type="dxa"/>
              <w:right w:w="100" w:type="dxa"/>
            </w:tcMar>
          </w:tcPr>
          <w:p w14:paraId="1868C696" w14:textId="77777777" w:rsidR="00851A31" w:rsidRDefault="00851A31" w:rsidP="00851A31">
            <w:pPr>
              <w:spacing w:line="240" w:lineRule="auto"/>
              <w:rPr>
                <w:sz w:val="20"/>
                <w:szCs w:val="20"/>
              </w:rPr>
            </w:pPr>
            <w:r>
              <w:rPr>
                <w:b/>
                <w:sz w:val="20"/>
                <w:szCs w:val="20"/>
              </w:rPr>
              <w:t>Chunking Information:</w:t>
            </w:r>
            <w:r>
              <w:rPr>
                <w:sz w:val="20"/>
                <w:szCs w:val="20"/>
              </w:rPr>
              <w:t xml:space="preserve"> Breaks down complex tasks or information into manageable steps to support understanding.</w:t>
            </w:r>
          </w:p>
        </w:tc>
        <w:tc>
          <w:tcPr>
            <w:tcW w:w="2550" w:type="dxa"/>
            <w:shd w:val="clear" w:color="auto" w:fill="auto"/>
            <w:tcMar>
              <w:top w:w="100" w:type="dxa"/>
              <w:left w:w="100" w:type="dxa"/>
              <w:bottom w:w="100" w:type="dxa"/>
              <w:right w:w="100" w:type="dxa"/>
            </w:tcMar>
          </w:tcPr>
          <w:p w14:paraId="7BD39F2C"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008E6442"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71A8E275"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6FCA4E41"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069738E5" w14:textId="61009E6B"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077A8879" w14:textId="77777777" w:rsidTr="00FA68C5">
        <w:trPr>
          <w:trHeight w:val="590"/>
        </w:trPr>
        <w:tc>
          <w:tcPr>
            <w:tcW w:w="6645" w:type="dxa"/>
            <w:shd w:val="clear" w:color="auto" w:fill="auto"/>
            <w:tcMar>
              <w:top w:w="100" w:type="dxa"/>
              <w:left w:w="100" w:type="dxa"/>
              <w:bottom w:w="100" w:type="dxa"/>
              <w:right w:w="100" w:type="dxa"/>
            </w:tcMar>
          </w:tcPr>
          <w:p w14:paraId="0E534464" w14:textId="77777777" w:rsidR="00E1233E" w:rsidRDefault="00C979EB">
            <w:pPr>
              <w:spacing w:line="240" w:lineRule="auto"/>
              <w:rPr>
                <w:sz w:val="20"/>
                <w:szCs w:val="20"/>
              </w:rPr>
            </w:pPr>
            <w:r>
              <w:rPr>
                <w:b/>
                <w:sz w:val="20"/>
                <w:szCs w:val="20"/>
              </w:rPr>
              <w:t>Gradual Release of Responsibility:</w:t>
            </w:r>
            <w:r>
              <w:rPr>
                <w:sz w:val="20"/>
                <w:szCs w:val="20"/>
              </w:rPr>
              <w:t xml:space="preserve"> Follows the “I Do, We Do, You Do” model to scaffold student independence.</w:t>
            </w:r>
          </w:p>
        </w:tc>
        <w:tc>
          <w:tcPr>
            <w:tcW w:w="2550" w:type="dxa"/>
            <w:shd w:val="clear" w:color="auto" w:fill="auto"/>
            <w:tcMar>
              <w:top w:w="100" w:type="dxa"/>
              <w:left w:w="100" w:type="dxa"/>
              <w:bottom w:w="100" w:type="dxa"/>
              <w:right w:w="100" w:type="dxa"/>
            </w:tcMar>
          </w:tcPr>
          <w:p w14:paraId="715BD62E"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6B3487A3"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59446BD4"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7D940B17"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2B7375CA" w14:textId="638B99B1"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bl>
    <w:p w14:paraId="02D24561" w14:textId="77777777" w:rsidR="00E1233E" w:rsidRDefault="00E1233E" w:rsidP="00DA2A3E">
      <w:bookmarkStart w:id="13" w:name="_nf7gvxgw243x" w:colFirst="0" w:colLast="0"/>
      <w:bookmarkEnd w:id="13"/>
    </w:p>
    <w:p w14:paraId="57BC4F49" w14:textId="77777777" w:rsidR="00E1233E" w:rsidRDefault="00E1233E"/>
    <w:p w14:paraId="6E3A9470" w14:textId="77777777" w:rsidR="00E1233E" w:rsidRDefault="00E1233E" w:rsidP="00DA2A3E">
      <w:bookmarkStart w:id="14" w:name="_74m3kda98c3" w:colFirst="0" w:colLast="0"/>
      <w:bookmarkEnd w:id="14"/>
    </w:p>
    <w:p w14:paraId="7331CB21" w14:textId="77777777" w:rsidR="00851A31" w:rsidRDefault="00851A31">
      <w:pPr>
        <w:rPr>
          <w:b/>
          <w:color w:val="288264"/>
          <w:sz w:val="26"/>
          <w:szCs w:val="26"/>
        </w:rPr>
      </w:pPr>
      <w:bookmarkStart w:id="15" w:name="_mg46fqme2w55" w:colFirst="0" w:colLast="0"/>
      <w:bookmarkEnd w:id="15"/>
      <w:r>
        <w:br w:type="page"/>
      </w:r>
    </w:p>
    <w:p w14:paraId="585D7343" w14:textId="0A5B7F5D" w:rsidR="00E1233E" w:rsidRDefault="00C979EB" w:rsidP="00DA2A3E">
      <w:pPr>
        <w:pStyle w:val="Heading3"/>
        <w:rPr>
          <w:sz w:val="24"/>
          <w:szCs w:val="24"/>
        </w:rPr>
      </w:pPr>
      <w:r>
        <w:lastRenderedPageBreak/>
        <w:t>Culturally Responsive Practices</w:t>
      </w:r>
    </w:p>
    <w:tbl>
      <w:tblPr>
        <w:tblStyle w:val="a2"/>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gridCol w:w="2535"/>
      </w:tblGrid>
      <w:tr w:rsidR="00E1233E" w14:paraId="7C526098" w14:textId="77777777" w:rsidTr="00FA68C5">
        <w:trPr>
          <w:trHeight w:val="553"/>
          <w:tblHeader/>
        </w:trPr>
        <w:tc>
          <w:tcPr>
            <w:tcW w:w="6660" w:type="dxa"/>
            <w:shd w:val="clear" w:color="auto" w:fill="F1F3F4"/>
            <w:tcMar>
              <w:top w:w="100" w:type="dxa"/>
              <w:left w:w="100" w:type="dxa"/>
              <w:bottom w:w="100" w:type="dxa"/>
              <w:right w:w="100" w:type="dxa"/>
            </w:tcMar>
          </w:tcPr>
          <w:p w14:paraId="141BC4CF" w14:textId="77777777" w:rsidR="00E1233E" w:rsidRPr="00DA2A3E" w:rsidRDefault="00C979EB" w:rsidP="00DA2A3E">
            <w:pPr>
              <w:rPr>
                <w:b/>
                <w:bCs/>
              </w:rPr>
            </w:pPr>
            <w:bookmarkStart w:id="16" w:name="_wms0urwuth2n" w:colFirst="0" w:colLast="0"/>
            <w:bookmarkEnd w:id="16"/>
            <w:r w:rsidRPr="00DA2A3E">
              <w:rPr>
                <w:b/>
                <w:bCs/>
              </w:rPr>
              <w:t xml:space="preserve">Look-Fors </w:t>
            </w:r>
          </w:p>
        </w:tc>
        <w:tc>
          <w:tcPr>
            <w:tcW w:w="2535" w:type="dxa"/>
            <w:shd w:val="clear" w:color="auto" w:fill="F1F3F4"/>
            <w:tcMar>
              <w:top w:w="100" w:type="dxa"/>
              <w:left w:w="100" w:type="dxa"/>
              <w:bottom w:w="100" w:type="dxa"/>
              <w:right w:w="100" w:type="dxa"/>
            </w:tcMar>
          </w:tcPr>
          <w:p w14:paraId="0859E928" w14:textId="77777777" w:rsidR="00E1233E" w:rsidRDefault="00C979EB">
            <w:pPr>
              <w:spacing w:line="240" w:lineRule="auto"/>
              <w:rPr>
                <w:b/>
                <w:sz w:val="20"/>
                <w:szCs w:val="20"/>
              </w:rPr>
            </w:pPr>
            <w:r>
              <w:rPr>
                <w:b/>
                <w:sz w:val="20"/>
                <w:szCs w:val="20"/>
              </w:rPr>
              <w:t>Rating</w:t>
            </w:r>
          </w:p>
        </w:tc>
      </w:tr>
      <w:tr w:rsidR="00851A31" w14:paraId="0C9098AC" w14:textId="77777777" w:rsidTr="00FA68C5">
        <w:trPr>
          <w:trHeight w:val="590"/>
        </w:trPr>
        <w:tc>
          <w:tcPr>
            <w:tcW w:w="6660" w:type="dxa"/>
            <w:shd w:val="clear" w:color="auto" w:fill="auto"/>
            <w:tcMar>
              <w:top w:w="100" w:type="dxa"/>
              <w:left w:w="100" w:type="dxa"/>
              <w:bottom w:w="100" w:type="dxa"/>
              <w:right w:w="100" w:type="dxa"/>
            </w:tcMar>
          </w:tcPr>
          <w:p w14:paraId="7F50A8D7" w14:textId="77777777" w:rsidR="00851A31" w:rsidRDefault="00851A31" w:rsidP="00851A31">
            <w:pPr>
              <w:spacing w:line="240" w:lineRule="auto"/>
              <w:rPr>
                <w:sz w:val="20"/>
                <w:szCs w:val="20"/>
              </w:rPr>
            </w:pPr>
            <w:r>
              <w:rPr>
                <w:b/>
                <w:sz w:val="20"/>
                <w:szCs w:val="20"/>
              </w:rPr>
              <w:t>Affirming Students’ Identities:</w:t>
            </w:r>
            <w:r>
              <w:rPr>
                <w:sz w:val="20"/>
                <w:szCs w:val="20"/>
              </w:rPr>
              <w:t xml:space="preserve"> Includes students’ cultural, linguistic, and community experiences in the curriculum and instruction.</w:t>
            </w:r>
          </w:p>
        </w:tc>
        <w:tc>
          <w:tcPr>
            <w:tcW w:w="2535" w:type="dxa"/>
            <w:shd w:val="clear" w:color="auto" w:fill="auto"/>
            <w:tcMar>
              <w:top w:w="100" w:type="dxa"/>
              <w:left w:w="100" w:type="dxa"/>
              <w:bottom w:w="100" w:type="dxa"/>
              <w:right w:w="100" w:type="dxa"/>
            </w:tcMar>
          </w:tcPr>
          <w:p w14:paraId="718BD817"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1CEDDCD9"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6C3E3949"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298BE3BC"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546A4973" w14:textId="4145B05E"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10458B6B" w14:textId="77777777" w:rsidTr="00FA68C5">
        <w:trPr>
          <w:trHeight w:val="590"/>
        </w:trPr>
        <w:tc>
          <w:tcPr>
            <w:tcW w:w="6660" w:type="dxa"/>
            <w:shd w:val="clear" w:color="auto" w:fill="auto"/>
            <w:tcMar>
              <w:top w:w="100" w:type="dxa"/>
              <w:left w:w="100" w:type="dxa"/>
              <w:bottom w:w="100" w:type="dxa"/>
              <w:right w:w="100" w:type="dxa"/>
            </w:tcMar>
          </w:tcPr>
          <w:p w14:paraId="223DB46F" w14:textId="77777777" w:rsidR="00851A31" w:rsidRDefault="00851A31" w:rsidP="00851A31">
            <w:pPr>
              <w:spacing w:line="240" w:lineRule="auto"/>
              <w:rPr>
                <w:sz w:val="20"/>
                <w:szCs w:val="20"/>
              </w:rPr>
            </w:pPr>
            <w:r>
              <w:rPr>
                <w:b/>
                <w:sz w:val="20"/>
                <w:szCs w:val="20"/>
              </w:rPr>
              <w:t>Culturally Relevant Materials:</w:t>
            </w:r>
            <w:r>
              <w:rPr>
                <w:sz w:val="20"/>
                <w:szCs w:val="20"/>
              </w:rPr>
              <w:t xml:space="preserve"> Selects texts, resources, and examples that reflect the diversity of students’ backgrounds and identities.</w:t>
            </w:r>
          </w:p>
        </w:tc>
        <w:tc>
          <w:tcPr>
            <w:tcW w:w="2535" w:type="dxa"/>
            <w:shd w:val="clear" w:color="auto" w:fill="auto"/>
            <w:tcMar>
              <w:top w:w="100" w:type="dxa"/>
              <w:left w:w="100" w:type="dxa"/>
              <w:bottom w:w="100" w:type="dxa"/>
              <w:right w:w="100" w:type="dxa"/>
            </w:tcMar>
          </w:tcPr>
          <w:p w14:paraId="2B21EF36"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FE2AB5B"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45D49980"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761516B3"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343FD7C6" w14:textId="6BDF7193"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1F8CFDA9" w14:textId="77777777" w:rsidTr="00FA68C5">
        <w:trPr>
          <w:trHeight w:val="590"/>
        </w:trPr>
        <w:tc>
          <w:tcPr>
            <w:tcW w:w="6660" w:type="dxa"/>
            <w:shd w:val="clear" w:color="auto" w:fill="auto"/>
            <w:tcMar>
              <w:top w:w="100" w:type="dxa"/>
              <w:left w:w="100" w:type="dxa"/>
              <w:bottom w:w="100" w:type="dxa"/>
              <w:right w:w="100" w:type="dxa"/>
            </w:tcMar>
          </w:tcPr>
          <w:p w14:paraId="57023C18" w14:textId="77777777" w:rsidR="00851A31" w:rsidRDefault="00851A31" w:rsidP="00851A31">
            <w:pPr>
              <w:spacing w:line="240" w:lineRule="auto"/>
              <w:rPr>
                <w:sz w:val="20"/>
                <w:szCs w:val="20"/>
              </w:rPr>
            </w:pPr>
            <w:r>
              <w:rPr>
                <w:b/>
                <w:sz w:val="20"/>
                <w:szCs w:val="20"/>
              </w:rPr>
              <w:t>Encouraging Student Voice:</w:t>
            </w:r>
            <w:r>
              <w:rPr>
                <w:sz w:val="20"/>
                <w:szCs w:val="20"/>
              </w:rPr>
              <w:t xml:space="preserve"> Creates opportunities for students to share their perspectives and experiences as part of the learning process.</w:t>
            </w:r>
          </w:p>
        </w:tc>
        <w:tc>
          <w:tcPr>
            <w:tcW w:w="2535" w:type="dxa"/>
            <w:shd w:val="clear" w:color="auto" w:fill="auto"/>
            <w:tcMar>
              <w:top w:w="100" w:type="dxa"/>
              <w:left w:w="100" w:type="dxa"/>
              <w:bottom w:w="100" w:type="dxa"/>
              <w:right w:w="100" w:type="dxa"/>
            </w:tcMar>
          </w:tcPr>
          <w:p w14:paraId="2A27F09B"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594633AA"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7538D3ED"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602C097C"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0BC855B7" w14:textId="5F76807C"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517EDF8A" w14:textId="77777777" w:rsidTr="00FA68C5">
        <w:trPr>
          <w:trHeight w:val="590"/>
        </w:trPr>
        <w:tc>
          <w:tcPr>
            <w:tcW w:w="6660" w:type="dxa"/>
            <w:shd w:val="clear" w:color="auto" w:fill="auto"/>
            <w:tcMar>
              <w:top w:w="100" w:type="dxa"/>
              <w:left w:w="100" w:type="dxa"/>
              <w:bottom w:w="100" w:type="dxa"/>
              <w:right w:w="100" w:type="dxa"/>
            </w:tcMar>
          </w:tcPr>
          <w:p w14:paraId="7EEC0E5D" w14:textId="77777777" w:rsidR="00851A31" w:rsidRDefault="00851A31" w:rsidP="00851A31">
            <w:pPr>
              <w:spacing w:line="240" w:lineRule="auto"/>
              <w:rPr>
                <w:sz w:val="20"/>
                <w:szCs w:val="20"/>
              </w:rPr>
            </w:pPr>
            <w:r>
              <w:rPr>
                <w:b/>
                <w:sz w:val="20"/>
                <w:szCs w:val="20"/>
              </w:rPr>
              <w:t>Building Relationships:</w:t>
            </w:r>
            <w:r>
              <w:rPr>
                <w:sz w:val="20"/>
                <w:szCs w:val="20"/>
              </w:rPr>
              <w:t xml:space="preserve"> Demonstrates genuine knowledge of and respect for students’ individual strengths, challenges, and backgrounds.</w:t>
            </w:r>
          </w:p>
        </w:tc>
        <w:tc>
          <w:tcPr>
            <w:tcW w:w="2535" w:type="dxa"/>
            <w:shd w:val="clear" w:color="auto" w:fill="auto"/>
            <w:tcMar>
              <w:top w:w="100" w:type="dxa"/>
              <w:left w:w="100" w:type="dxa"/>
              <w:bottom w:w="100" w:type="dxa"/>
              <w:right w:w="100" w:type="dxa"/>
            </w:tcMar>
          </w:tcPr>
          <w:p w14:paraId="3DA7066A"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BADDEA8"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6843BE2D"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6E5E892E"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40EFFB0C" w14:textId="4003D711"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68637993" w14:textId="77777777" w:rsidTr="00FA68C5">
        <w:trPr>
          <w:trHeight w:val="590"/>
        </w:trPr>
        <w:tc>
          <w:tcPr>
            <w:tcW w:w="6660" w:type="dxa"/>
            <w:shd w:val="clear" w:color="auto" w:fill="auto"/>
            <w:tcMar>
              <w:top w:w="100" w:type="dxa"/>
              <w:left w:w="100" w:type="dxa"/>
              <w:bottom w:w="100" w:type="dxa"/>
              <w:right w:w="100" w:type="dxa"/>
            </w:tcMar>
          </w:tcPr>
          <w:p w14:paraId="0B52855B" w14:textId="77777777" w:rsidR="00E1233E" w:rsidRDefault="00C979EB">
            <w:pPr>
              <w:spacing w:line="240" w:lineRule="auto"/>
              <w:rPr>
                <w:sz w:val="20"/>
                <w:szCs w:val="20"/>
              </w:rPr>
            </w:pPr>
            <w:r>
              <w:rPr>
                <w:b/>
                <w:sz w:val="20"/>
                <w:szCs w:val="20"/>
              </w:rPr>
              <w:t>Addressing Bias:</w:t>
            </w:r>
            <w:r>
              <w:rPr>
                <w:sz w:val="20"/>
                <w:szCs w:val="20"/>
              </w:rPr>
              <w:t xml:space="preserve"> Proactively challenges stereotypes and incorporates discussions about equity and social justice into lessons where appropriate.</w:t>
            </w:r>
          </w:p>
        </w:tc>
        <w:tc>
          <w:tcPr>
            <w:tcW w:w="2535" w:type="dxa"/>
            <w:shd w:val="clear" w:color="auto" w:fill="auto"/>
            <w:tcMar>
              <w:top w:w="100" w:type="dxa"/>
              <w:left w:w="100" w:type="dxa"/>
              <w:bottom w:w="100" w:type="dxa"/>
              <w:right w:w="100" w:type="dxa"/>
            </w:tcMar>
          </w:tcPr>
          <w:p w14:paraId="5EF5DA43"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18C31D26"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1042085C"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70D6893D"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77D2ADD3" w14:textId="70B87E6A"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bl>
    <w:p w14:paraId="4B3BFB41" w14:textId="77777777" w:rsidR="00E1233E" w:rsidRDefault="00E1233E">
      <w:pPr>
        <w:spacing w:line="240" w:lineRule="auto"/>
        <w:rPr>
          <w:sz w:val="24"/>
          <w:szCs w:val="24"/>
        </w:rPr>
      </w:pPr>
    </w:p>
    <w:p w14:paraId="5722DA4F" w14:textId="77777777" w:rsidR="00E1233E" w:rsidRDefault="00E1233E" w:rsidP="00DA2A3E">
      <w:bookmarkStart w:id="17" w:name="_duya8ydaj4wr" w:colFirst="0" w:colLast="0"/>
      <w:bookmarkEnd w:id="17"/>
    </w:p>
    <w:p w14:paraId="6F1DDF8A" w14:textId="77777777" w:rsidR="00E1233E" w:rsidRDefault="00C979EB" w:rsidP="00DA2A3E">
      <w:pPr>
        <w:pStyle w:val="Heading2"/>
      </w:pPr>
      <w:bookmarkStart w:id="18" w:name="_l4jsx66uh4sk" w:colFirst="0" w:colLast="0"/>
      <w:bookmarkEnd w:id="18"/>
      <w:r>
        <w:br w:type="page"/>
      </w:r>
    </w:p>
    <w:p w14:paraId="68159EFA" w14:textId="77777777" w:rsidR="00E1233E" w:rsidRDefault="00E1233E" w:rsidP="00DA2A3E">
      <w:bookmarkStart w:id="19" w:name="_xhdpci9jgf1j" w:colFirst="0" w:colLast="0"/>
      <w:bookmarkEnd w:id="19"/>
    </w:p>
    <w:p w14:paraId="2080C19A" w14:textId="77777777" w:rsidR="00E1233E" w:rsidRDefault="00C979EB" w:rsidP="00DA2A3E">
      <w:pPr>
        <w:pStyle w:val="Heading3"/>
        <w:rPr>
          <w:sz w:val="24"/>
          <w:szCs w:val="24"/>
        </w:rPr>
      </w:pPr>
      <w:bookmarkStart w:id="20" w:name="_iht9m1j7qr70" w:colFirst="0" w:colLast="0"/>
      <w:bookmarkEnd w:id="20"/>
      <w:r>
        <w:t>Supporting English Learners (ELs)</w:t>
      </w:r>
    </w:p>
    <w:tbl>
      <w:tblPr>
        <w:tblStyle w:val="a3"/>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5"/>
        <w:gridCol w:w="2400"/>
      </w:tblGrid>
      <w:tr w:rsidR="00E1233E" w14:paraId="62359281" w14:textId="77777777" w:rsidTr="00FA68C5">
        <w:trPr>
          <w:trHeight w:val="553"/>
          <w:tblHeader/>
        </w:trPr>
        <w:tc>
          <w:tcPr>
            <w:tcW w:w="6795" w:type="dxa"/>
            <w:shd w:val="clear" w:color="auto" w:fill="F1F3F4"/>
            <w:tcMar>
              <w:top w:w="100" w:type="dxa"/>
              <w:left w:w="100" w:type="dxa"/>
              <w:bottom w:w="100" w:type="dxa"/>
              <w:right w:w="100" w:type="dxa"/>
            </w:tcMar>
          </w:tcPr>
          <w:p w14:paraId="068FF030" w14:textId="77777777" w:rsidR="00E1233E" w:rsidRPr="00DA2A3E" w:rsidRDefault="00C979EB" w:rsidP="00DA2A3E">
            <w:pPr>
              <w:rPr>
                <w:b/>
                <w:bCs/>
              </w:rPr>
            </w:pPr>
            <w:bookmarkStart w:id="21" w:name="_6o78nly3kosu" w:colFirst="0" w:colLast="0"/>
            <w:bookmarkEnd w:id="21"/>
            <w:r w:rsidRPr="00DA2A3E">
              <w:rPr>
                <w:b/>
                <w:bCs/>
              </w:rPr>
              <w:t>Look-Fors</w:t>
            </w:r>
          </w:p>
        </w:tc>
        <w:tc>
          <w:tcPr>
            <w:tcW w:w="2400" w:type="dxa"/>
            <w:shd w:val="clear" w:color="auto" w:fill="F1F3F4"/>
            <w:tcMar>
              <w:top w:w="100" w:type="dxa"/>
              <w:left w:w="100" w:type="dxa"/>
              <w:bottom w:w="100" w:type="dxa"/>
              <w:right w:w="100" w:type="dxa"/>
            </w:tcMar>
          </w:tcPr>
          <w:p w14:paraId="5AFE209A" w14:textId="77777777" w:rsidR="00E1233E" w:rsidRDefault="00C979EB">
            <w:pPr>
              <w:spacing w:line="240" w:lineRule="auto"/>
              <w:rPr>
                <w:b/>
                <w:sz w:val="20"/>
                <w:szCs w:val="20"/>
              </w:rPr>
            </w:pPr>
            <w:r>
              <w:rPr>
                <w:b/>
                <w:sz w:val="20"/>
                <w:szCs w:val="20"/>
              </w:rPr>
              <w:t>Rating</w:t>
            </w:r>
          </w:p>
        </w:tc>
      </w:tr>
      <w:tr w:rsidR="00E1233E" w14:paraId="3070C54D" w14:textId="77777777" w:rsidTr="00FA68C5">
        <w:trPr>
          <w:trHeight w:val="590"/>
        </w:trPr>
        <w:tc>
          <w:tcPr>
            <w:tcW w:w="6795" w:type="dxa"/>
            <w:shd w:val="clear" w:color="auto" w:fill="auto"/>
            <w:tcMar>
              <w:top w:w="100" w:type="dxa"/>
              <w:left w:w="100" w:type="dxa"/>
              <w:bottom w:w="100" w:type="dxa"/>
              <w:right w:w="100" w:type="dxa"/>
            </w:tcMar>
          </w:tcPr>
          <w:p w14:paraId="3C42418B" w14:textId="77777777" w:rsidR="00E1233E" w:rsidRDefault="00C979EB">
            <w:pPr>
              <w:spacing w:line="240" w:lineRule="auto"/>
              <w:rPr>
                <w:sz w:val="20"/>
                <w:szCs w:val="20"/>
              </w:rPr>
            </w:pPr>
            <w:r>
              <w:rPr>
                <w:b/>
                <w:sz w:val="20"/>
                <w:szCs w:val="20"/>
              </w:rPr>
              <w:t>Incorporating Native Language Supports:</w:t>
            </w:r>
            <w:r>
              <w:rPr>
                <w:sz w:val="20"/>
                <w:szCs w:val="20"/>
              </w:rPr>
              <w:t xml:space="preserve"> Uses students’ native language as a resource for learning, such as bilingual texts, glossaries, or peer supports.</w:t>
            </w:r>
          </w:p>
        </w:tc>
        <w:tc>
          <w:tcPr>
            <w:tcW w:w="2400" w:type="dxa"/>
            <w:shd w:val="clear" w:color="auto" w:fill="auto"/>
            <w:tcMar>
              <w:top w:w="100" w:type="dxa"/>
              <w:left w:w="100" w:type="dxa"/>
              <w:bottom w:w="100" w:type="dxa"/>
              <w:right w:w="100" w:type="dxa"/>
            </w:tcMar>
          </w:tcPr>
          <w:p w14:paraId="1CAB93E4"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7D556119"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4F7B0307"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596138BC"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54D953CD" w14:textId="37D09E9A"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65C97AAE" w14:textId="77777777" w:rsidTr="00FA68C5">
        <w:trPr>
          <w:trHeight w:val="590"/>
        </w:trPr>
        <w:tc>
          <w:tcPr>
            <w:tcW w:w="6795" w:type="dxa"/>
            <w:shd w:val="clear" w:color="auto" w:fill="auto"/>
            <w:tcMar>
              <w:top w:w="100" w:type="dxa"/>
              <w:left w:w="100" w:type="dxa"/>
              <w:bottom w:w="100" w:type="dxa"/>
              <w:right w:w="100" w:type="dxa"/>
            </w:tcMar>
          </w:tcPr>
          <w:p w14:paraId="714DEF0A" w14:textId="77777777" w:rsidR="00E1233E" w:rsidRDefault="00C979EB">
            <w:pPr>
              <w:spacing w:line="240" w:lineRule="auto"/>
              <w:rPr>
                <w:sz w:val="20"/>
                <w:szCs w:val="20"/>
              </w:rPr>
            </w:pPr>
            <w:r>
              <w:rPr>
                <w:b/>
                <w:sz w:val="20"/>
                <w:szCs w:val="20"/>
              </w:rPr>
              <w:t>Language Objectives:</w:t>
            </w:r>
            <w:r>
              <w:rPr>
                <w:sz w:val="20"/>
                <w:szCs w:val="20"/>
              </w:rPr>
              <w:t xml:space="preserve"> Develops and communicates clear language objectives alongside content objectives to support ELs’ academic language development.</w:t>
            </w:r>
          </w:p>
        </w:tc>
        <w:tc>
          <w:tcPr>
            <w:tcW w:w="2400" w:type="dxa"/>
            <w:shd w:val="clear" w:color="auto" w:fill="auto"/>
            <w:tcMar>
              <w:top w:w="100" w:type="dxa"/>
              <w:left w:w="100" w:type="dxa"/>
              <w:bottom w:w="100" w:type="dxa"/>
              <w:right w:w="100" w:type="dxa"/>
            </w:tcMar>
          </w:tcPr>
          <w:p w14:paraId="5CB5ACC8"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0B25D7B"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15B915F2"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311138FD"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55D84B31" w14:textId="09E854FE"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743A8A0C" w14:textId="77777777" w:rsidTr="00FA68C5">
        <w:trPr>
          <w:trHeight w:val="590"/>
        </w:trPr>
        <w:tc>
          <w:tcPr>
            <w:tcW w:w="6795" w:type="dxa"/>
            <w:shd w:val="clear" w:color="auto" w:fill="auto"/>
            <w:tcMar>
              <w:top w:w="100" w:type="dxa"/>
              <w:left w:w="100" w:type="dxa"/>
              <w:bottom w:w="100" w:type="dxa"/>
              <w:right w:w="100" w:type="dxa"/>
            </w:tcMar>
          </w:tcPr>
          <w:p w14:paraId="7D7443EB" w14:textId="77777777" w:rsidR="00E1233E" w:rsidRDefault="00C979EB">
            <w:pPr>
              <w:spacing w:line="240" w:lineRule="auto"/>
              <w:rPr>
                <w:sz w:val="20"/>
                <w:szCs w:val="20"/>
              </w:rPr>
            </w:pPr>
            <w:r>
              <w:rPr>
                <w:b/>
                <w:sz w:val="20"/>
                <w:szCs w:val="20"/>
              </w:rPr>
              <w:t>Scaffolding for Language Proficiency:</w:t>
            </w:r>
            <w:r>
              <w:rPr>
                <w:sz w:val="20"/>
                <w:szCs w:val="20"/>
              </w:rPr>
              <w:t xml:space="preserve"> Incorporates supports like sentence starters, word banks, or visual aids to make content accessible to ELs.</w:t>
            </w:r>
          </w:p>
        </w:tc>
        <w:tc>
          <w:tcPr>
            <w:tcW w:w="2400" w:type="dxa"/>
            <w:shd w:val="clear" w:color="auto" w:fill="auto"/>
            <w:tcMar>
              <w:top w:w="100" w:type="dxa"/>
              <w:left w:w="100" w:type="dxa"/>
              <w:bottom w:w="100" w:type="dxa"/>
              <w:right w:w="100" w:type="dxa"/>
            </w:tcMar>
          </w:tcPr>
          <w:p w14:paraId="5D4A29DE"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0135018B"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6988E771"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5FF94900"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705E7EFC" w14:textId="170CC549"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bl>
    <w:p w14:paraId="5BAA76EC" w14:textId="77777777" w:rsidR="00E1233E" w:rsidRDefault="00E1233E" w:rsidP="00DA2A3E">
      <w:bookmarkStart w:id="22" w:name="_kl9wm1igbqx8" w:colFirst="0" w:colLast="0"/>
      <w:bookmarkEnd w:id="22"/>
    </w:p>
    <w:p w14:paraId="42269173" w14:textId="77777777" w:rsidR="00851A31" w:rsidRPr="00851A31" w:rsidRDefault="00851A31" w:rsidP="00851A31"/>
    <w:p w14:paraId="35A11C05" w14:textId="77777777" w:rsidR="00E1233E" w:rsidRDefault="00C979EB" w:rsidP="00DA2A3E">
      <w:pPr>
        <w:pStyle w:val="Heading3"/>
        <w:rPr>
          <w:sz w:val="24"/>
          <w:szCs w:val="24"/>
        </w:rPr>
      </w:pPr>
      <w:bookmarkStart w:id="23" w:name="_4nrnf03vk9ks" w:colFirst="0" w:colLast="0"/>
      <w:bookmarkEnd w:id="23"/>
      <w:r>
        <w:t>Supporting Students with Disabilities</w:t>
      </w:r>
    </w:p>
    <w:tbl>
      <w:tblPr>
        <w:tblStyle w:val="a4"/>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825"/>
        <w:gridCol w:w="2435"/>
      </w:tblGrid>
      <w:tr w:rsidR="00E1233E" w14:paraId="02F970EA" w14:textId="77777777" w:rsidTr="00FA68C5">
        <w:trPr>
          <w:trHeight w:val="553"/>
          <w:tblHeader/>
        </w:trPr>
        <w:tc>
          <w:tcPr>
            <w:tcW w:w="6825" w:type="dxa"/>
            <w:shd w:val="clear" w:color="auto" w:fill="F1F3F4"/>
            <w:tcMar>
              <w:top w:w="100" w:type="dxa"/>
              <w:left w:w="100" w:type="dxa"/>
              <w:bottom w:w="100" w:type="dxa"/>
              <w:right w:w="100" w:type="dxa"/>
            </w:tcMar>
          </w:tcPr>
          <w:p w14:paraId="00BCAEF5" w14:textId="77777777" w:rsidR="00E1233E" w:rsidRPr="00DA2A3E" w:rsidRDefault="00C979EB" w:rsidP="00DA2A3E">
            <w:pPr>
              <w:rPr>
                <w:b/>
                <w:bCs/>
              </w:rPr>
            </w:pPr>
            <w:bookmarkStart w:id="24" w:name="_lhu4eijy2ykr" w:colFirst="0" w:colLast="0"/>
            <w:bookmarkEnd w:id="24"/>
            <w:r w:rsidRPr="00DA2A3E">
              <w:rPr>
                <w:b/>
                <w:bCs/>
              </w:rPr>
              <w:t>Look-Fors</w:t>
            </w:r>
          </w:p>
        </w:tc>
        <w:tc>
          <w:tcPr>
            <w:tcW w:w="2435" w:type="dxa"/>
            <w:shd w:val="clear" w:color="auto" w:fill="F1F3F4"/>
            <w:tcMar>
              <w:top w:w="100" w:type="dxa"/>
              <w:left w:w="100" w:type="dxa"/>
              <w:bottom w:w="100" w:type="dxa"/>
              <w:right w:w="100" w:type="dxa"/>
            </w:tcMar>
          </w:tcPr>
          <w:p w14:paraId="619096E3" w14:textId="77777777" w:rsidR="00E1233E" w:rsidRDefault="00C979EB">
            <w:pPr>
              <w:spacing w:line="240" w:lineRule="auto"/>
              <w:rPr>
                <w:b/>
                <w:sz w:val="20"/>
                <w:szCs w:val="20"/>
              </w:rPr>
            </w:pPr>
            <w:r>
              <w:rPr>
                <w:b/>
                <w:sz w:val="20"/>
                <w:szCs w:val="20"/>
              </w:rPr>
              <w:t>Rating</w:t>
            </w:r>
          </w:p>
        </w:tc>
      </w:tr>
      <w:tr w:rsidR="00E1233E" w14:paraId="64828128" w14:textId="77777777" w:rsidTr="00FA68C5">
        <w:trPr>
          <w:trHeight w:val="590"/>
        </w:trPr>
        <w:tc>
          <w:tcPr>
            <w:tcW w:w="6825" w:type="dxa"/>
            <w:shd w:val="clear" w:color="auto" w:fill="auto"/>
            <w:tcMar>
              <w:top w:w="100" w:type="dxa"/>
              <w:left w:w="100" w:type="dxa"/>
              <w:bottom w:w="100" w:type="dxa"/>
              <w:right w:w="100" w:type="dxa"/>
            </w:tcMar>
          </w:tcPr>
          <w:p w14:paraId="366D75E8" w14:textId="77777777" w:rsidR="00E1233E" w:rsidRDefault="00C979EB">
            <w:pPr>
              <w:spacing w:line="240" w:lineRule="auto"/>
              <w:rPr>
                <w:sz w:val="20"/>
                <w:szCs w:val="20"/>
              </w:rPr>
            </w:pPr>
            <w:r>
              <w:rPr>
                <w:b/>
                <w:sz w:val="20"/>
                <w:szCs w:val="20"/>
              </w:rPr>
              <w:t>Implementing IEP/504 Accommodations:</w:t>
            </w:r>
            <w:r>
              <w:rPr>
                <w:sz w:val="20"/>
                <w:szCs w:val="20"/>
              </w:rPr>
              <w:t xml:space="preserve"> Follows and documents the use of accommodations and modifications as outlined in students’ IEPs or 504 Plans.</w:t>
            </w:r>
          </w:p>
        </w:tc>
        <w:tc>
          <w:tcPr>
            <w:tcW w:w="2435" w:type="dxa"/>
            <w:shd w:val="clear" w:color="auto" w:fill="auto"/>
            <w:tcMar>
              <w:top w:w="100" w:type="dxa"/>
              <w:left w:w="100" w:type="dxa"/>
              <w:bottom w:w="100" w:type="dxa"/>
              <w:right w:w="100" w:type="dxa"/>
            </w:tcMar>
          </w:tcPr>
          <w:p w14:paraId="13A8796F"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1475A76"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6966311D"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32C3FC17"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20512844" w14:textId="61D490CD"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E1233E" w14:paraId="1E9F015A" w14:textId="77777777" w:rsidTr="00FA68C5">
        <w:trPr>
          <w:trHeight w:val="590"/>
        </w:trPr>
        <w:tc>
          <w:tcPr>
            <w:tcW w:w="6825" w:type="dxa"/>
            <w:shd w:val="clear" w:color="auto" w:fill="auto"/>
            <w:tcMar>
              <w:top w:w="100" w:type="dxa"/>
              <w:left w:w="100" w:type="dxa"/>
              <w:bottom w:w="100" w:type="dxa"/>
              <w:right w:w="100" w:type="dxa"/>
            </w:tcMar>
          </w:tcPr>
          <w:p w14:paraId="7DA1CE2B" w14:textId="77777777" w:rsidR="00E1233E" w:rsidRDefault="00C979EB">
            <w:pPr>
              <w:spacing w:line="240" w:lineRule="auto"/>
              <w:rPr>
                <w:sz w:val="20"/>
                <w:szCs w:val="20"/>
              </w:rPr>
            </w:pPr>
            <w:r>
              <w:rPr>
                <w:b/>
                <w:sz w:val="20"/>
                <w:szCs w:val="20"/>
              </w:rPr>
              <w:t>Integrating Assistive Technology:</w:t>
            </w:r>
            <w:r>
              <w:rPr>
                <w:sz w:val="20"/>
                <w:szCs w:val="20"/>
              </w:rPr>
              <w:t xml:space="preserve"> Uses tools such as speech-to-text software, audiobooks, or adaptive devices to meet students’ unique needs.</w:t>
            </w:r>
          </w:p>
        </w:tc>
        <w:tc>
          <w:tcPr>
            <w:tcW w:w="2435" w:type="dxa"/>
            <w:shd w:val="clear" w:color="auto" w:fill="auto"/>
            <w:tcMar>
              <w:top w:w="100" w:type="dxa"/>
              <w:left w:w="100" w:type="dxa"/>
              <w:bottom w:w="100" w:type="dxa"/>
              <w:right w:w="100" w:type="dxa"/>
            </w:tcMar>
          </w:tcPr>
          <w:p w14:paraId="271D603D"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2D01C69F"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382DA006"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10E0142C"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436F4460" w14:textId="5B9C290F" w:rsidR="00E1233E"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bl>
    <w:p w14:paraId="55039171" w14:textId="77777777" w:rsidR="00E1233E" w:rsidRDefault="00E1233E">
      <w:pPr>
        <w:spacing w:line="240" w:lineRule="auto"/>
        <w:rPr>
          <w:b/>
          <w:sz w:val="24"/>
          <w:szCs w:val="24"/>
        </w:rPr>
      </w:pPr>
    </w:p>
    <w:p w14:paraId="04EF7B4A" w14:textId="77777777" w:rsidR="00E1233E" w:rsidRDefault="00E1233E"/>
    <w:p w14:paraId="72597430" w14:textId="3217F422" w:rsidR="00DA2A3E" w:rsidRDefault="00DA2A3E">
      <w:r>
        <w:br w:type="page"/>
      </w:r>
    </w:p>
    <w:p w14:paraId="5BFD8C60" w14:textId="77777777" w:rsidR="00E1233E" w:rsidRDefault="00E1233E"/>
    <w:p w14:paraId="6CCB3904" w14:textId="77777777" w:rsidR="00E1233E" w:rsidRPr="00DA2A3E" w:rsidRDefault="00C979EB" w:rsidP="00DA2A3E">
      <w:pPr>
        <w:pStyle w:val="Heading3"/>
      </w:pPr>
      <w:bookmarkStart w:id="25" w:name="_ab4wqpij6r0w" w:colFirst="0" w:colLast="0"/>
      <w:bookmarkEnd w:id="25"/>
      <w:r>
        <w:t>Supporting Academically Advanced Students</w:t>
      </w:r>
    </w:p>
    <w:tbl>
      <w:tblPr>
        <w:tblStyle w:val="a5"/>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825"/>
        <w:gridCol w:w="2435"/>
      </w:tblGrid>
      <w:tr w:rsidR="00E1233E" w14:paraId="19A3A41C" w14:textId="77777777" w:rsidTr="00FA68C5">
        <w:trPr>
          <w:trHeight w:val="553"/>
          <w:tblHeader/>
        </w:trPr>
        <w:tc>
          <w:tcPr>
            <w:tcW w:w="6825" w:type="dxa"/>
            <w:shd w:val="clear" w:color="auto" w:fill="F1F3F4"/>
            <w:tcMar>
              <w:top w:w="100" w:type="dxa"/>
              <w:left w:w="100" w:type="dxa"/>
              <w:bottom w:w="100" w:type="dxa"/>
              <w:right w:w="100" w:type="dxa"/>
            </w:tcMar>
          </w:tcPr>
          <w:p w14:paraId="4B5737BA" w14:textId="77777777" w:rsidR="00E1233E" w:rsidRPr="00DA2A3E" w:rsidRDefault="00C979EB" w:rsidP="00DA2A3E">
            <w:pPr>
              <w:rPr>
                <w:b/>
                <w:bCs/>
              </w:rPr>
            </w:pPr>
            <w:bookmarkStart w:id="26" w:name="_wmxwnwsp9mfb" w:colFirst="0" w:colLast="0"/>
            <w:bookmarkEnd w:id="26"/>
            <w:r w:rsidRPr="00DA2A3E">
              <w:rPr>
                <w:b/>
                <w:bCs/>
              </w:rPr>
              <w:t>Look-Fors</w:t>
            </w:r>
          </w:p>
        </w:tc>
        <w:tc>
          <w:tcPr>
            <w:tcW w:w="2435" w:type="dxa"/>
            <w:shd w:val="clear" w:color="auto" w:fill="F1F3F4"/>
            <w:tcMar>
              <w:top w:w="100" w:type="dxa"/>
              <w:left w:w="100" w:type="dxa"/>
              <w:bottom w:w="100" w:type="dxa"/>
              <w:right w:w="100" w:type="dxa"/>
            </w:tcMar>
          </w:tcPr>
          <w:p w14:paraId="6C01BC59" w14:textId="77777777" w:rsidR="00E1233E" w:rsidRDefault="00C979EB">
            <w:pPr>
              <w:spacing w:line="240" w:lineRule="auto"/>
              <w:rPr>
                <w:b/>
                <w:sz w:val="20"/>
                <w:szCs w:val="20"/>
              </w:rPr>
            </w:pPr>
            <w:r>
              <w:rPr>
                <w:b/>
                <w:sz w:val="20"/>
                <w:szCs w:val="20"/>
              </w:rPr>
              <w:t>Rating</w:t>
            </w:r>
          </w:p>
        </w:tc>
      </w:tr>
      <w:tr w:rsidR="00851A31" w14:paraId="55880488" w14:textId="77777777" w:rsidTr="00FA68C5">
        <w:trPr>
          <w:trHeight w:val="963"/>
        </w:trPr>
        <w:tc>
          <w:tcPr>
            <w:tcW w:w="6825" w:type="dxa"/>
            <w:shd w:val="clear" w:color="auto" w:fill="auto"/>
            <w:tcMar>
              <w:top w:w="100" w:type="dxa"/>
              <w:left w:w="100" w:type="dxa"/>
              <w:bottom w:w="100" w:type="dxa"/>
              <w:right w:w="100" w:type="dxa"/>
            </w:tcMar>
          </w:tcPr>
          <w:p w14:paraId="35DB90BA" w14:textId="77777777" w:rsidR="00851A31" w:rsidRDefault="00851A31" w:rsidP="00851A31">
            <w:pPr>
              <w:spacing w:line="240" w:lineRule="auto"/>
              <w:rPr>
                <w:sz w:val="20"/>
                <w:szCs w:val="20"/>
              </w:rPr>
            </w:pPr>
            <w:r>
              <w:rPr>
                <w:b/>
                <w:sz w:val="20"/>
                <w:szCs w:val="20"/>
              </w:rPr>
              <w:t>Providing Enrichment Opportunities:</w:t>
            </w:r>
            <w:r>
              <w:rPr>
                <w:sz w:val="20"/>
                <w:szCs w:val="20"/>
              </w:rPr>
              <w:t xml:space="preserve"> Offers extension activities, advanced content, or inquiry-based projects to challenge advanced learners.</w:t>
            </w:r>
          </w:p>
        </w:tc>
        <w:tc>
          <w:tcPr>
            <w:tcW w:w="2435" w:type="dxa"/>
            <w:shd w:val="clear" w:color="auto" w:fill="auto"/>
            <w:tcMar>
              <w:top w:w="100" w:type="dxa"/>
              <w:left w:w="100" w:type="dxa"/>
              <w:bottom w:w="100" w:type="dxa"/>
              <w:right w:w="100" w:type="dxa"/>
            </w:tcMar>
          </w:tcPr>
          <w:p w14:paraId="72125A85"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527A0AB"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1C4B9FCF"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7FF69865"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434BFF25" w14:textId="142C3B96"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r w:rsidR="00851A31" w14:paraId="56BDFADE" w14:textId="77777777" w:rsidTr="00FA68C5">
        <w:trPr>
          <w:trHeight w:val="590"/>
        </w:trPr>
        <w:tc>
          <w:tcPr>
            <w:tcW w:w="6825" w:type="dxa"/>
            <w:shd w:val="clear" w:color="auto" w:fill="auto"/>
            <w:tcMar>
              <w:top w:w="100" w:type="dxa"/>
              <w:left w:w="100" w:type="dxa"/>
              <w:bottom w:w="100" w:type="dxa"/>
              <w:right w:w="100" w:type="dxa"/>
            </w:tcMar>
          </w:tcPr>
          <w:p w14:paraId="5E22CA4B" w14:textId="77777777" w:rsidR="00851A31" w:rsidRDefault="00851A31" w:rsidP="00851A31">
            <w:pPr>
              <w:spacing w:line="240" w:lineRule="auto"/>
              <w:rPr>
                <w:sz w:val="20"/>
                <w:szCs w:val="20"/>
              </w:rPr>
            </w:pPr>
            <w:r>
              <w:rPr>
                <w:b/>
                <w:sz w:val="20"/>
                <w:szCs w:val="20"/>
              </w:rPr>
              <w:t>Encouraging Creative Thinking:</w:t>
            </w:r>
            <w:r>
              <w:rPr>
                <w:sz w:val="20"/>
                <w:szCs w:val="20"/>
              </w:rPr>
              <w:t xml:space="preserve"> Incorporates open-ended tasks that require critical thinking, problem-solving, or innovation.</w:t>
            </w:r>
          </w:p>
        </w:tc>
        <w:tc>
          <w:tcPr>
            <w:tcW w:w="2435" w:type="dxa"/>
            <w:shd w:val="clear" w:color="auto" w:fill="auto"/>
            <w:tcMar>
              <w:top w:w="100" w:type="dxa"/>
              <w:left w:w="100" w:type="dxa"/>
              <w:bottom w:w="100" w:type="dxa"/>
              <w:right w:w="100" w:type="dxa"/>
            </w:tcMar>
          </w:tcPr>
          <w:p w14:paraId="616D7D51"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Exemplary</w:t>
            </w:r>
          </w:p>
          <w:p w14:paraId="406D6896"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Proficient</w:t>
            </w:r>
          </w:p>
          <w:p w14:paraId="40522C5E" w14:textId="77777777"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Needs Improvement</w:t>
            </w:r>
          </w:p>
          <w:p w14:paraId="3597D8DD" w14:textId="77777777" w:rsidR="00851A31" w:rsidRDefault="00851A31" w:rsidP="00851A31">
            <w:pPr>
              <w:pStyle w:val="ListParagraph"/>
              <w:numPr>
                <w:ilvl w:val="0"/>
                <w:numId w:val="3"/>
              </w:numPr>
              <w:spacing w:line="240" w:lineRule="auto"/>
              <w:ind w:left="390"/>
              <w:rPr>
                <w:sz w:val="20"/>
                <w:szCs w:val="20"/>
              </w:rPr>
            </w:pPr>
            <w:r w:rsidRPr="00851A31">
              <w:rPr>
                <w:sz w:val="20"/>
                <w:szCs w:val="20"/>
              </w:rPr>
              <w:t>Unsatisfactory</w:t>
            </w:r>
          </w:p>
          <w:p w14:paraId="77B786DE" w14:textId="59769751" w:rsidR="00851A31" w:rsidRPr="00851A31" w:rsidRDefault="00851A31" w:rsidP="00851A31">
            <w:pPr>
              <w:pStyle w:val="ListParagraph"/>
              <w:numPr>
                <w:ilvl w:val="0"/>
                <w:numId w:val="3"/>
              </w:numPr>
              <w:spacing w:line="240" w:lineRule="auto"/>
              <w:ind w:left="390"/>
              <w:rPr>
                <w:sz w:val="20"/>
                <w:szCs w:val="20"/>
              </w:rPr>
            </w:pPr>
            <w:r w:rsidRPr="00851A31">
              <w:rPr>
                <w:sz w:val="20"/>
                <w:szCs w:val="20"/>
              </w:rPr>
              <w:t>Not Observed</w:t>
            </w:r>
          </w:p>
        </w:tc>
      </w:tr>
    </w:tbl>
    <w:p w14:paraId="514DF907" w14:textId="77777777" w:rsidR="00E1233E" w:rsidRDefault="00E1233E">
      <w:pPr>
        <w:spacing w:line="240" w:lineRule="auto"/>
        <w:rPr>
          <w:sz w:val="24"/>
          <w:szCs w:val="24"/>
        </w:rPr>
      </w:pPr>
    </w:p>
    <w:p w14:paraId="37576E57" w14:textId="77777777" w:rsidR="00E1233E" w:rsidRDefault="00E1233E"/>
    <w:sectPr w:rsidR="00E1233E">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0978" w14:textId="77777777" w:rsidR="006B4C95" w:rsidRDefault="006B4C95">
      <w:pPr>
        <w:spacing w:line="240" w:lineRule="auto"/>
      </w:pPr>
      <w:r>
        <w:separator/>
      </w:r>
    </w:p>
  </w:endnote>
  <w:endnote w:type="continuationSeparator" w:id="0">
    <w:p w14:paraId="1FC16AB6" w14:textId="77777777" w:rsidR="006B4C95" w:rsidRDefault="006B4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48EA" w14:textId="77777777" w:rsidR="00E1233E" w:rsidRDefault="00C979EB">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8849E" w14:textId="77777777" w:rsidR="006B4C95" w:rsidRDefault="006B4C95">
      <w:pPr>
        <w:spacing w:line="240" w:lineRule="auto"/>
      </w:pPr>
      <w:r>
        <w:separator/>
      </w:r>
    </w:p>
  </w:footnote>
  <w:footnote w:type="continuationSeparator" w:id="0">
    <w:p w14:paraId="744C51F3" w14:textId="77777777" w:rsidR="006B4C95" w:rsidRDefault="006B4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6404" w14:textId="77777777" w:rsidR="00E1233E" w:rsidRDefault="00C979EB">
    <w:pPr>
      <w:ind w:left="-1440" w:right="-1440"/>
    </w:pPr>
    <w:r>
      <w:rPr>
        <w:noProof/>
      </w:rPr>
      <w:drawing>
        <wp:inline distT="114300" distB="114300" distL="114300" distR="114300" wp14:anchorId="72A51E8F" wp14:editId="33135FBB">
          <wp:extent cx="7790688" cy="809625"/>
          <wp:effectExtent l="0" t="0" r="0" b="3175"/>
          <wp:docPr id="1"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6.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C036" w14:textId="77777777" w:rsidR="00E1233E" w:rsidRDefault="00C979EB">
    <w:pPr>
      <w:pStyle w:val="Heading1"/>
      <w:jc w:val="center"/>
    </w:pPr>
    <w:bookmarkStart w:id="27" w:name="_u0oxcwfpjuf8" w:colFirst="0" w:colLast="0"/>
    <w:bookmarkEnd w:id="27"/>
    <w:r>
      <w:rPr>
        <w:noProof/>
        <w:sz w:val="42"/>
        <w:szCs w:val="42"/>
      </w:rPr>
      <w:drawing>
        <wp:inline distT="114300" distB="114300" distL="114300" distR="114300" wp14:anchorId="5F73F0C2" wp14:editId="4FF51471">
          <wp:extent cx="5943600" cy="700239"/>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E58D2"/>
    <w:multiLevelType w:val="hybridMultilevel"/>
    <w:tmpl w:val="7FE29C8E"/>
    <w:lvl w:ilvl="0" w:tplc="B00C654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920E0"/>
    <w:multiLevelType w:val="multilevel"/>
    <w:tmpl w:val="D812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A92802"/>
    <w:multiLevelType w:val="multilevel"/>
    <w:tmpl w:val="D2C8F110"/>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567735">
    <w:abstractNumId w:val="1"/>
  </w:num>
  <w:num w:numId="2" w16cid:durableId="528033638">
    <w:abstractNumId w:val="2"/>
  </w:num>
  <w:num w:numId="3" w16cid:durableId="141328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3E"/>
    <w:rsid w:val="00026A59"/>
    <w:rsid w:val="0005364B"/>
    <w:rsid w:val="00056170"/>
    <w:rsid w:val="00240D5C"/>
    <w:rsid w:val="002A3A75"/>
    <w:rsid w:val="004302D9"/>
    <w:rsid w:val="00450051"/>
    <w:rsid w:val="00456319"/>
    <w:rsid w:val="0058280E"/>
    <w:rsid w:val="006B4C95"/>
    <w:rsid w:val="00851A31"/>
    <w:rsid w:val="009263E7"/>
    <w:rsid w:val="00A33FDA"/>
    <w:rsid w:val="00BE4A0F"/>
    <w:rsid w:val="00C979EB"/>
    <w:rsid w:val="00DA2A3E"/>
    <w:rsid w:val="00DE7B10"/>
    <w:rsid w:val="00E1233E"/>
    <w:rsid w:val="00FA68C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081B2"/>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both"/>
      <w:outlineLvl w:val="0"/>
    </w:pPr>
    <w:rPr>
      <w:b/>
      <w:color w:val="0B5394"/>
      <w:sz w:val="32"/>
      <w:szCs w:val="32"/>
    </w:rPr>
  </w:style>
  <w:style w:type="paragraph" w:styleId="Heading2">
    <w:name w:val="heading 2"/>
    <w:basedOn w:val="Heading1"/>
    <w:next w:val="Normal"/>
    <w:uiPriority w:val="9"/>
    <w:unhideWhenUsed/>
    <w:qFormat/>
    <w:rsid w:val="00DA2A3E"/>
    <w:pPr>
      <w:outlineLvl w:val="1"/>
    </w:pPr>
  </w:style>
  <w:style w:type="paragraph" w:styleId="Heading3">
    <w:name w:val="heading 3"/>
    <w:next w:val="Normal"/>
    <w:uiPriority w:val="9"/>
    <w:unhideWhenUsed/>
    <w:qFormat/>
    <w:rsid w:val="00DA2A3E"/>
    <w:pPr>
      <w:spacing w:line="240" w:lineRule="auto"/>
      <w:outlineLvl w:val="2"/>
    </w:pPr>
    <w:rPr>
      <w:b/>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51A31"/>
    <w:pPr>
      <w:ind w:left="720"/>
      <w:contextualSpacing/>
    </w:pPr>
  </w:style>
  <w:style w:type="paragraph" w:styleId="Header">
    <w:name w:val="header"/>
    <w:basedOn w:val="Normal"/>
    <w:link w:val="HeaderChar"/>
    <w:uiPriority w:val="99"/>
    <w:unhideWhenUsed/>
    <w:rsid w:val="00450051"/>
    <w:pPr>
      <w:tabs>
        <w:tab w:val="center" w:pos="4680"/>
        <w:tab w:val="right" w:pos="9360"/>
      </w:tabs>
      <w:spacing w:line="240" w:lineRule="auto"/>
    </w:pPr>
  </w:style>
  <w:style w:type="character" w:customStyle="1" w:styleId="HeaderChar">
    <w:name w:val="Header Char"/>
    <w:basedOn w:val="DefaultParagraphFont"/>
    <w:link w:val="Header"/>
    <w:uiPriority w:val="99"/>
    <w:rsid w:val="00450051"/>
  </w:style>
  <w:style w:type="paragraph" w:styleId="Footer">
    <w:name w:val="footer"/>
    <w:basedOn w:val="Normal"/>
    <w:link w:val="FooterChar"/>
    <w:uiPriority w:val="99"/>
    <w:unhideWhenUsed/>
    <w:rsid w:val="00450051"/>
    <w:pPr>
      <w:tabs>
        <w:tab w:val="center" w:pos="4680"/>
        <w:tab w:val="right" w:pos="9360"/>
      </w:tabs>
      <w:spacing w:line="240" w:lineRule="auto"/>
    </w:pPr>
  </w:style>
  <w:style w:type="character" w:customStyle="1" w:styleId="FooterChar">
    <w:name w:val="Footer Char"/>
    <w:basedOn w:val="DefaultParagraphFont"/>
    <w:link w:val="Footer"/>
    <w:uiPriority w:val="99"/>
    <w:rsid w:val="0045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1DCB9-CD6E-45FC-980B-78F75CB86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EB73F-7952-48E9-AFFC-71693CB63B85}">
  <ds:schemaRefs>
    <ds:schemaRef ds:uri="http://schemas.microsoft.com/sharepoint/v3/contenttype/forms"/>
  </ds:schemaRefs>
</ds:datastoreItem>
</file>

<file path=customXml/itemProps3.xml><?xml version="1.0" encoding="utf-8"?>
<ds:datastoreItem xmlns:ds="http://schemas.openxmlformats.org/officeDocument/2006/customXml" ds:itemID="{2E4EECC3-F616-48EA-9796-CCCC30F8BFD0}">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1215</Words>
  <Characters>7511</Characters>
  <Application>Microsoft Office Word</Application>
  <DocSecurity>0</DocSecurity>
  <Lines>288</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Instruction Look-Fors</dc:title>
  <dc:subject/>
  <dc:creator>DESE</dc:creator>
  <cp:keywords/>
  <cp:lastModifiedBy>Zou, Dong (EOE)</cp:lastModifiedBy>
  <cp:revision>5</cp:revision>
  <dcterms:created xsi:type="dcterms:W3CDTF">2025-06-11T13:27:00Z</dcterms:created>
  <dcterms:modified xsi:type="dcterms:W3CDTF">2025-06-16T14:59:00Z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