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C185" w14:textId="77777777" w:rsidR="00DF0416" w:rsidRPr="00DE5D1B" w:rsidRDefault="67319B04" w:rsidP="00DE5D1B">
      <w:pPr>
        <w:pStyle w:val="Heading1"/>
      </w:pPr>
      <w:r w:rsidRPr="00DE5D1B">
        <w:t>Introduction</w:t>
      </w:r>
    </w:p>
    <w:p w14:paraId="6DA2A048" w14:textId="35A73ED4" w:rsidR="00F442DD" w:rsidRPr="00DF0416" w:rsidRDefault="00F442DD" w:rsidP="00DF0416">
      <w:pPr>
        <w:rPr>
          <w:rFonts w:ascii="Aptos" w:eastAsia="Aptos" w:hAnsi="Aptos" w:cs="Aptos"/>
          <w:b/>
          <w:bCs/>
          <w:sz w:val="24"/>
          <w:szCs w:val="24"/>
        </w:rPr>
      </w:pPr>
      <w:r w:rsidRPr="00DF0416">
        <w:rPr>
          <w:rFonts w:ascii="Aptos" w:hAnsi="Aptos"/>
        </w:rPr>
        <w:t xml:space="preserve">The Candidate Assessment of Performance (CAP) is a collaborative process that relies on strong partnerships between </w:t>
      </w:r>
      <w:r w:rsidR="3B8460AB" w:rsidRPr="4F19EF16">
        <w:rPr>
          <w:rFonts w:ascii="Aptos" w:hAnsi="Aptos"/>
        </w:rPr>
        <w:t>pr</w:t>
      </w:r>
      <w:r w:rsidR="66574996" w:rsidRPr="4F19EF16">
        <w:rPr>
          <w:rFonts w:ascii="Aptos" w:hAnsi="Aptos"/>
        </w:rPr>
        <w:t xml:space="preserve">ogram </w:t>
      </w:r>
      <w:r w:rsidR="0E330445" w:rsidRPr="4F19EF16">
        <w:rPr>
          <w:rFonts w:ascii="Aptos" w:hAnsi="Aptos"/>
        </w:rPr>
        <w:t>s</w:t>
      </w:r>
      <w:r w:rsidR="66574996" w:rsidRPr="4F19EF16">
        <w:rPr>
          <w:rFonts w:ascii="Aptos" w:hAnsi="Aptos"/>
        </w:rPr>
        <w:t>upervisors</w:t>
      </w:r>
      <w:r w:rsidRPr="00DF0416">
        <w:rPr>
          <w:rFonts w:ascii="Aptos" w:hAnsi="Aptos"/>
        </w:rPr>
        <w:t xml:space="preserve"> (PS) and </w:t>
      </w:r>
      <w:r w:rsidR="00DE6FED" w:rsidRPr="4F19EF16">
        <w:rPr>
          <w:rFonts w:ascii="Aptos" w:hAnsi="Aptos"/>
        </w:rPr>
        <w:t>s</w:t>
      </w:r>
      <w:r w:rsidR="66574996" w:rsidRPr="4F19EF16">
        <w:rPr>
          <w:rFonts w:ascii="Aptos" w:hAnsi="Aptos"/>
        </w:rPr>
        <w:t xml:space="preserve">upervising </w:t>
      </w:r>
      <w:r w:rsidR="02BCE8FA" w:rsidRPr="4F19EF16">
        <w:rPr>
          <w:rFonts w:ascii="Aptos" w:hAnsi="Aptos"/>
        </w:rPr>
        <w:t>p</w:t>
      </w:r>
      <w:r w:rsidR="66574996" w:rsidRPr="4F19EF16">
        <w:rPr>
          <w:rFonts w:ascii="Aptos" w:hAnsi="Aptos"/>
        </w:rPr>
        <w:t>ractitioners (SP).</w:t>
      </w:r>
      <w:r w:rsidRPr="00DF0416">
        <w:rPr>
          <w:rFonts w:ascii="Aptos" w:hAnsi="Aptos"/>
        </w:rPr>
        <w:t xml:space="preserve"> Clear communication, shared responsibility, and consistent coordination are essential to effectively support candidate growth and ensure a fair, evidence-based assessment of readiness to teach. This guide offers practical tips and best practices to help </w:t>
      </w:r>
      <w:r w:rsidR="66574996" w:rsidRPr="4F19EF16">
        <w:rPr>
          <w:rFonts w:ascii="Aptos" w:hAnsi="Aptos"/>
        </w:rPr>
        <w:t>PS</w:t>
      </w:r>
      <w:r w:rsidR="65A6F4B9" w:rsidRPr="4F19EF16">
        <w:rPr>
          <w:rFonts w:ascii="Aptos" w:hAnsi="Aptos"/>
        </w:rPr>
        <w:t>s</w:t>
      </w:r>
      <w:r w:rsidRPr="00DF0416">
        <w:rPr>
          <w:rFonts w:ascii="Aptos" w:hAnsi="Aptos"/>
        </w:rPr>
        <w:t xml:space="preserve"> and SPs work together efficiently across each stage of the CAP cycle.</w:t>
      </w:r>
    </w:p>
    <w:p w14:paraId="438AB2DE" w14:textId="4F3CD34B" w:rsidR="00330376" w:rsidRPr="009360DE" w:rsidRDefault="747F6114" w:rsidP="009360DE">
      <w:pPr>
        <w:pStyle w:val="Heading2"/>
      </w:pPr>
      <w:r w:rsidRPr="009360DE">
        <w:t>Key Collaboration Points Across the CAP 5-Step Cycle</w:t>
      </w:r>
    </w:p>
    <w:p w14:paraId="513D1E2F" w14:textId="6C4C0500" w:rsidR="00330376" w:rsidRPr="00DF0416" w:rsidRDefault="747F6114" w:rsidP="4E63807C">
      <w:pPr>
        <w:spacing w:before="240" w:after="240"/>
        <w:rPr>
          <w:rFonts w:ascii="Aptos" w:eastAsia="Aptos" w:hAnsi="Aptos" w:cs="Aptos"/>
          <w:b/>
          <w:bCs/>
        </w:rPr>
      </w:pPr>
      <w:r w:rsidRPr="00DF0416">
        <w:rPr>
          <w:rFonts w:ascii="Aptos" w:eastAsia="Aptos" w:hAnsi="Aptos" w:cs="Aptos"/>
          <w:b/>
          <w:bCs/>
        </w:rPr>
        <w:t>1. Stage 1: Setting the Foundation</w:t>
      </w:r>
    </w:p>
    <w:p w14:paraId="0ABB6EE6" w14:textId="72ABE326" w:rsidR="00330376" w:rsidRPr="00DF0416" w:rsidRDefault="747F6114" w:rsidP="4E63807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Joint Planning:</w:t>
      </w:r>
      <w:r w:rsidRPr="00DF0416">
        <w:rPr>
          <w:rFonts w:ascii="Aptos" w:eastAsia="Aptos" w:hAnsi="Aptos" w:cs="Aptos"/>
        </w:rPr>
        <w:t xml:space="preserve"> PS and SP should co-develop a clear timeline for observations, feedback sessions, and three-way meetings.</w:t>
      </w:r>
    </w:p>
    <w:p w14:paraId="6624439F" w14:textId="0807D7A1" w:rsidR="00330376" w:rsidRPr="00DF0416" w:rsidRDefault="747F6114" w:rsidP="4E63807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Candidate Support:</w:t>
      </w:r>
      <w:r w:rsidRPr="00DF0416">
        <w:rPr>
          <w:rFonts w:ascii="Aptos" w:eastAsia="Aptos" w:hAnsi="Aptos" w:cs="Aptos"/>
        </w:rPr>
        <w:t xml:space="preserve"> Assist the candidate in drafting a S.M.A.R.T.I.E. professional practice goal and identifying appropriate measures of student learning.</w:t>
      </w:r>
    </w:p>
    <w:p w14:paraId="0FC56888" w14:textId="306F7125" w:rsidR="00330376" w:rsidRPr="00DF0416" w:rsidRDefault="747F6114" w:rsidP="4E63807C">
      <w:pPr>
        <w:spacing w:before="240" w:after="240"/>
        <w:rPr>
          <w:rFonts w:ascii="Aptos" w:eastAsia="Aptos" w:hAnsi="Aptos" w:cs="Aptos"/>
          <w:b/>
          <w:bCs/>
        </w:rPr>
      </w:pPr>
      <w:r w:rsidRPr="00DF0416">
        <w:rPr>
          <w:rFonts w:ascii="Aptos" w:eastAsia="Aptos" w:hAnsi="Aptos" w:cs="Aptos"/>
          <w:b/>
          <w:bCs/>
        </w:rPr>
        <w:t>2. Stages 2 &amp; 4: Evidence Collection</w:t>
      </w:r>
    </w:p>
    <w:p w14:paraId="7FDA4D9B" w14:textId="14E44091" w:rsidR="00330376" w:rsidRPr="00DF0416" w:rsidRDefault="747F6114" w:rsidP="4E63807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Observations:</w:t>
      </w:r>
      <w:r w:rsidRPr="00DF0416">
        <w:rPr>
          <w:rFonts w:ascii="Aptos" w:eastAsia="Aptos" w:hAnsi="Aptos" w:cs="Aptos"/>
        </w:rPr>
        <w:t xml:space="preserve"> Both PS and SP conduct observations, ensuring at least one announced observation occurs in Stage 2.</w:t>
      </w:r>
    </w:p>
    <w:p w14:paraId="32578A8E" w14:textId="1AC58D03" w:rsidR="00330376" w:rsidRPr="00DF0416" w:rsidRDefault="747F6114" w:rsidP="4E63807C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Feedback Coordination:</w:t>
      </w:r>
      <w:r w:rsidRPr="00DF0416">
        <w:rPr>
          <w:rFonts w:ascii="Aptos" w:eastAsia="Aptos" w:hAnsi="Aptos" w:cs="Aptos"/>
        </w:rPr>
        <w:t xml:space="preserve"> Share observation notes promptly and discuss evidence to provide consistent, actionable feedback to the candidate.</w:t>
      </w:r>
    </w:p>
    <w:p w14:paraId="6627E39E" w14:textId="1137E0CF" w:rsidR="00330376" w:rsidRPr="00DF0416" w:rsidRDefault="747F6114" w:rsidP="4E63807C">
      <w:pPr>
        <w:spacing w:before="240" w:after="240"/>
        <w:rPr>
          <w:rFonts w:ascii="Aptos" w:eastAsia="Aptos" w:hAnsi="Aptos" w:cs="Aptos"/>
          <w:b/>
          <w:bCs/>
        </w:rPr>
      </w:pPr>
      <w:r w:rsidRPr="00DF0416">
        <w:rPr>
          <w:rFonts w:ascii="Aptos" w:eastAsia="Aptos" w:hAnsi="Aptos" w:cs="Aptos"/>
          <w:b/>
          <w:bCs/>
        </w:rPr>
        <w:t>3. Stage 3: Formative Assessment</w:t>
      </w:r>
    </w:p>
    <w:p w14:paraId="30B5116C" w14:textId="4E803A5A" w:rsidR="00330376" w:rsidRPr="00DF0416" w:rsidRDefault="747F6114" w:rsidP="4E63807C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Calibration Meeting:</w:t>
      </w:r>
      <w:r w:rsidRPr="00DF0416">
        <w:rPr>
          <w:rFonts w:ascii="Aptos" w:eastAsia="Aptos" w:hAnsi="Aptos" w:cs="Aptos"/>
        </w:rPr>
        <w:t xml:space="preserve"> PS and SP meet to discuss collected evidence and determine formative assessment ratings collaboratively.</w:t>
      </w:r>
    </w:p>
    <w:p w14:paraId="13478E32" w14:textId="191023C3" w:rsidR="00330376" w:rsidRPr="00DF0416" w:rsidRDefault="747F6114" w:rsidP="4E63807C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Three-Way Meeting:</w:t>
      </w:r>
      <w:r w:rsidRPr="00DF0416">
        <w:rPr>
          <w:rFonts w:ascii="Aptos" w:eastAsia="Aptos" w:hAnsi="Aptos" w:cs="Aptos"/>
        </w:rPr>
        <w:t xml:space="preserve"> Conduct a meeting with the candidate to share formative ratings and revisit the professional practice goal.</w:t>
      </w:r>
    </w:p>
    <w:p w14:paraId="436810CF" w14:textId="0BF8D174" w:rsidR="00330376" w:rsidRPr="00DF0416" w:rsidRDefault="747F6114" w:rsidP="4E63807C">
      <w:pPr>
        <w:spacing w:before="240" w:after="240"/>
        <w:rPr>
          <w:rFonts w:ascii="Aptos" w:eastAsia="Aptos" w:hAnsi="Aptos" w:cs="Aptos"/>
          <w:b/>
          <w:bCs/>
        </w:rPr>
      </w:pPr>
      <w:r w:rsidRPr="00DF0416">
        <w:rPr>
          <w:rFonts w:ascii="Aptos" w:eastAsia="Aptos" w:hAnsi="Aptos" w:cs="Aptos"/>
          <w:b/>
          <w:bCs/>
        </w:rPr>
        <w:t>4. Stage 5: Summative Assessment</w:t>
      </w:r>
    </w:p>
    <w:p w14:paraId="008DD8CC" w14:textId="21BFD1C5" w:rsidR="00330376" w:rsidRPr="00DF0416" w:rsidRDefault="747F6114" w:rsidP="4E63807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Final Evaluation:</w:t>
      </w:r>
      <w:r w:rsidRPr="00DF0416">
        <w:rPr>
          <w:rFonts w:ascii="Aptos" w:eastAsia="Aptos" w:hAnsi="Aptos" w:cs="Aptos"/>
        </w:rPr>
        <w:t xml:space="preserve"> PS and SP review all evidence to determine summative ratings and the candidate’s readiness to teach.</w:t>
      </w:r>
    </w:p>
    <w:p w14:paraId="3561BF2D" w14:textId="68AD4A41" w:rsidR="00330376" w:rsidRPr="00DF0416" w:rsidRDefault="747F6114" w:rsidP="4E63807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Documentation:</w:t>
      </w:r>
      <w:r w:rsidRPr="00DF0416">
        <w:rPr>
          <w:rFonts w:ascii="Aptos" w:eastAsia="Aptos" w:hAnsi="Aptos" w:cs="Aptos"/>
        </w:rPr>
        <w:t xml:space="preserve"> Complete and sign the required CAP Form, ensuring all components are accurately recorded.</w:t>
      </w:r>
    </w:p>
    <w:p w14:paraId="4FF344FB" w14:textId="6695604F" w:rsidR="00330376" w:rsidRPr="00DF0416" w:rsidRDefault="747F6114" w:rsidP="009360DE">
      <w:pPr>
        <w:pStyle w:val="Heading2"/>
      </w:pPr>
      <w:r w:rsidRPr="00DF0416">
        <w:lastRenderedPageBreak/>
        <w:t>Best Practices for Effective Collaboration</w:t>
      </w:r>
    </w:p>
    <w:p w14:paraId="4258BBDF" w14:textId="4568217E" w:rsidR="00330376" w:rsidRPr="00DF0416" w:rsidRDefault="747F6114" w:rsidP="4E63807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Regular Communication:</w:t>
      </w:r>
      <w:r w:rsidRPr="00DF0416">
        <w:rPr>
          <w:rFonts w:ascii="Aptos" w:eastAsia="Aptos" w:hAnsi="Aptos" w:cs="Aptos"/>
        </w:rPr>
        <w:t xml:space="preserve"> Establish consistent check-ins to discuss candidate progress and address any concerns promptly.</w:t>
      </w:r>
    </w:p>
    <w:p w14:paraId="749CD1FA" w14:textId="342EFBC3" w:rsidR="00330376" w:rsidRPr="00DF0416" w:rsidRDefault="747F6114" w:rsidP="4E63807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Shared Documentation:</w:t>
      </w:r>
      <w:r w:rsidRPr="00DF0416">
        <w:rPr>
          <w:rFonts w:ascii="Aptos" w:eastAsia="Aptos" w:hAnsi="Aptos" w:cs="Aptos"/>
        </w:rPr>
        <w:t xml:space="preserve"> Utilize shared digital tools or platforms to maintain up-to-date records of observations and feedback.</w:t>
      </w:r>
    </w:p>
    <w:p w14:paraId="374BB78C" w14:textId="3036B7E6" w:rsidR="00330376" w:rsidRPr="00DF0416" w:rsidRDefault="747F6114" w:rsidP="4E63807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Professional Judgment:</w:t>
      </w:r>
      <w:r w:rsidRPr="00DF0416">
        <w:rPr>
          <w:rFonts w:ascii="Aptos" w:eastAsia="Aptos" w:hAnsi="Aptos" w:cs="Aptos"/>
        </w:rPr>
        <w:t xml:space="preserve"> Apply collective professional judgment, informed by multiple evidence sources, to assess candidate performance holistically.</w:t>
      </w:r>
    </w:p>
    <w:p w14:paraId="2ABEF61C" w14:textId="160A5039" w:rsidR="00330376" w:rsidRPr="00DF0416" w:rsidRDefault="747F6114" w:rsidP="4E63807C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Equity Focus:</w:t>
      </w:r>
      <w:r w:rsidRPr="00DF0416">
        <w:rPr>
          <w:rFonts w:ascii="Aptos" w:eastAsia="Aptos" w:hAnsi="Aptos" w:cs="Aptos"/>
        </w:rPr>
        <w:t xml:space="preserve"> Ensure that feedback and assessments </w:t>
      </w:r>
      <w:r w:rsidR="44FC19BA" w:rsidRPr="00DF0416">
        <w:rPr>
          <w:rFonts w:ascii="Aptos" w:eastAsia="Aptos" w:hAnsi="Aptos" w:cs="Aptos"/>
        </w:rPr>
        <w:t>center</w:t>
      </w:r>
      <w:r w:rsidRPr="00DF0416">
        <w:rPr>
          <w:rFonts w:ascii="Aptos" w:eastAsia="Aptos" w:hAnsi="Aptos" w:cs="Aptos"/>
        </w:rPr>
        <w:t xml:space="preserve"> culturally and linguistically sustaining practices.</w:t>
      </w:r>
    </w:p>
    <w:p w14:paraId="399082C9" w14:textId="0B07F672" w:rsidR="00330376" w:rsidRPr="00DF0416" w:rsidRDefault="747F6114" w:rsidP="009360DE">
      <w:pPr>
        <w:pStyle w:val="Heading2"/>
      </w:pPr>
      <w:r w:rsidRPr="00DF0416">
        <w:t>Quick Reference: Roles &amp; Responsibilities</w:t>
      </w:r>
    </w:p>
    <w:tbl>
      <w:tblPr>
        <w:tblW w:w="85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219"/>
        <w:gridCol w:w="2591"/>
        <w:gridCol w:w="2730"/>
      </w:tblGrid>
      <w:tr w:rsidR="4E63807C" w:rsidRPr="00DF0416" w14:paraId="3EC6A6DE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2B4AE610" w14:textId="3DBAFDA4" w:rsidR="4E63807C" w:rsidRPr="00DF0416" w:rsidRDefault="4E63807C" w:rsidP="4E63807C">
            <w:pPr>
              <w:spacing w:after="0"/>
              <w:jc w:val="center"/>
              <w:rPr>
                <w:rFonts w:ascii="Aptos" w:eastAsia="Aptos" w:hAnsi="Aptos" w:cs="Aptos"/>
                <w:b/>
                <w:bCs/>
              </w:rPr>
            </w:pPr>
            <w:r w:rsidRPr="00DF0416">
              <w:rPr>
                <w:rFonts w:ascii="Aptos" w:eastAsia="Aptos" w:hAnsi="Aptos" w:cs="Aptos"/>
                <w:b/>
                <w:bCs/>
              </w:rPr>
              <w:t>Task</w:t>
            </w:r>
          </w:p>
        </w:tc>
        <w:tc>
          <w:tcPr>
            <w:tcW w:w="2591" w:type="dxa"/>
            <w:vAlign w:val="center"/>
          </w:tcPr>
          <w:p w14:paraId="10F0E390" w14:textId="20F88FBA" w:rsidR="4E63807C" w:rsidRPr="00DF0416" w:rsidRDefault="4E63807C" w:rsidP="4E63807C">
            <w:pPr>
              <w:spacing w:after="0"/>
              <w:jc w:val="center"/>
              <w:rPr>
                <w:rFonts w:ascii="Aptos" w:eastAsia="Aptos" w:hAnsi="Aptos" w:cs="Aptos"/>
                <w:b/>
                <w:bCs/>
              </w:rPr>
            </w:pPr>
            <w:r w:rsidRPr="00DF0416">
              <w:rPr>
                <w:rFonts w:ascii="Aptos" w:eastAsia="Aptos" w:hAnsi="Aptos" w:cs="Aptos"/>
                <w:b/>
                <w:bCs/>
              </w:rPr>
              <w:t>Program Supervisor (PS)</w:t>
            </w:r>
          </w:p>
        </w:tc>
        <w:tc>
          <w:tcPr>
            <w:tcW w:w="2730" w:type="dxa"/>
            <w:vAlign w:val="center"/>
          </w:tcPr>
          <w:p w14:paraId="645668A1" w14:textId="6302EF10" w:rsidR="4E63807C" w:rsidRPr="00DF0416" w:rsidRDefault="4E63807C" w:rsidP="4E63807C">
            <w:pPr>
              <w:spacing w:after="0"/>
              <w:jc w:val="center"/>
              <w:rPr>
                <w:rFonts w:ascii="Aptos" w:eastAsia="Aptos" w:hAnsi="Aptos" w:cs="Aptos"/>
                <w:b/>
                <w:bCs/>
              </w:rPr>
            </w:pPr>
            <w:r w:rsidRPr="00DF0416">
              <w:rPr>
                <w:rFonts w:ascii="Aptos" w:eastAsia="Aptos" w:hAnsi="Aptos" w:cs="Aptos"/>
                <w:b/>
                <w:bCs/>
              </w:rPr>
              <w:t>Supervising Practitioner (SP)</w:t>
            </w:r>
          </w:p>
        </w:tc>
      </w:tr>
      <w:tr w:rsidR="4E63807C" w:rsidRPr="00DF0416" w14:paraId="4AF33E74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2EF3456A" w14:textId="1BE4F782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Develop observation schedule</w:t>
            </w:r>
          </w:p>
        </w:tc>
        <w:tc>
          <w:tcPr>
            <w:tcW w:w="2591" w:type="dxa"/>
            <w:vAlign w:val="center"/>
          </w:tcPr>
          <w:p w14:paraId="78BA6429" w14:textId="6C2F84F6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  <w:tc>
          <w:tcPr>
            <w:tcW w:w="2730" w:type="dxa"/>
            <w:vAlign w:val="center"/>
          </w:tcPr>
          <w:p w14:paraId="105F888E" w14:textId="4B9FD78E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</w:tr>
      <w:tr w:rsidR="4E63807C" w:rsidRPr="00DF0416" w14:paraId="3EBFC895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0738C011" w14:textId="7F7B0987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Conduct observations</w:t>
            </w:r>
          </w:p>
        </w:tc>
        <w:tc>
          <w:tcPr>
            <w:tcW w:w="2591" w:type="dxa"/>
            <w:vAlign w:val="center"/>
          </w:tcPr>
          <w:p w14:paraId="079BB563" w14:textId="178FD67F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  <w:r w:rsidRPr="00DF0416">
              <w:rPr>
                <w:rFonts w:ascii="Aptos" w:eastAsia="Aptos" w:hAnsi="Aptos" w:cs="Aptos"/>
              </w:rPr>
              <w:t xml:space="preserve"> (min. 2)</w:t>
            </w:r>
          </w:p>
        </w:tc>
        <w:tc>
          <w:tcPr>
            <w:tcW w:w="2730" w:type="dxa"/>
            <w:vAlign w:val="center"/>
          </w:tcPr>
          <w:p w14:paraId="6F7D716C" w14:textId="22E79FAF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  <w:r w:rsidRPr="00DF0416">
              <w:rPr>
                <w:rFonts w:ascii="Aptos" w:eastAsia="Aptos" w:hAnsi="Aptos" w:cs="Aptos"/>
              </w:rPr>
              <w:t xml:space="preserve"> (min. </w:t>
            </w:r>
            <w:r w:rsidR="70DED8E0" w:rsidRPr="00DF0416">
              <w:rPr>
                <w:rFonts w:ascii="Aptos" w:eastAsia="Aptos" w:hAnsi="Aptos" w:cs="Aptos"/>
              </w:rPr>
              <w:t>4</w:t>
            </w:r>
            <w:r w:rsidRPr="00DF0416">
              <w:rPr>
                <w:rFonts w:ascii="Aptos" w:eastAsia="Aptos" w:hAnsi="Aptos" w:cs="Aptos"/>
              </w:rPr>
              <w:t>)</w:t>
            </w:r>
          </w:p>
        </w:tc>
      </w:tr>
      <w:tr w:rsidR="4E63807C" w:rsidRPr="00DF0416" w14:paraId="48DFEC79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6B5473D6" w14:textId="37D2A1F5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Provide feedback to candidate</w:t>
            </w:r>
          </w:p>
        </w:tc>
        <w:tc>
          <w:tcPr>
            <w:tcW w:w="2591" w:type="dxa"/>
            <w:vAlign w:val="center"/>
          </w:tcPr>
          <w:p w14:paraId="685029DA" w14:textId="50BC97D9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  <w:tc>
          <w:tcPr>
            <w:tcW w:w="2730" w:type="dxa"/>
            <w:vAlign w:val="center"/>
          </w:tcPr>
          <w:p w14:paraId="1B2E1298" w14:textId="0EAE9F9D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</w:tr>
      <w:tr w:rsidR="4E63807C" w:rsidRPr="00DF0416" w14:paraId="54DA5B45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74C22FC7" w14:textId="6AC0A6BE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Participate in three-way meetings</w:t>
            </w:r>
          </w:p>
        </w:tc>
        <w:tc>
          <w:tcPr>
            <w:tcW w:w="2591" w:type="dxa"/>
            <w:vAlign w:val="center"/>
          </w:tcPr>
          <w:p w14:paraId="0D526207" w14:textId="32342BCC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  <w:tc>
          <w:tcPr>
            <w:tcW w:w="2730" w:type="dxa"/>
            <w:vAlign w:val="center"/>
          </w:tcPr>
          <w:p w14:paraId="411ABFA5" w14:textId="4E6C3335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</w:tr>
      <w:tr w:rsidR="4E63807C" w:rsidRPr="00DF0416" w14:paraId="540C7C90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5048A3C0" w14:textId="0B08A316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Complete CAP documentation</w:t>
            </w:r>
          </w:p>
        </w:tc>
        <w:tc>
          <w:tcPr>
            <w:tcW w:w="2591" w:type="dxa"/>
            <w:vAlign w:val="center"/>
          </w:tcPr>
          <w:p w14:paraId="660DF7EB" w14:textId="33206140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  <w:tc>
          <w:tcPr>
            <w:tcW w:w="2730" w:type="dxa"/>
            <w:vAlign w:val="center"/>
          </w:tcPr>
          <w:p w14:paraId="4D208F38" w14:textId="197C6833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</w:tr>
      <w:tr w:rsidR="4E63807C" w:rsidRPr="00DF0416" w14:paraId="6AFF43D4" w14:textId="77777777" w:rsidTr="61C45DFC">
        <w:trPr>
          <w:trHeight w:val="300"/>
          <w:jc w:val="center"/>
        </w:trPr>
        <w:tc>
          <w:tcPr>
            <w:tcW w:w="3219" w:type="dxa"/>
            <w:vAlign w:val="center"/>
          </w:tcPr>
          <w:p w14:paraId="0E532C8E" w14:textId="0E71070A" w:rsidR="4E63807C" w:rsidRPr="00DF0416" w:rsidRDefault="4E63807C" w:rsidP="4E63807C">
            <w:pPr>
              <w:spacing w:after="0"/>
              <w:rPr>
                <w:rFonts w:ascii="Aptos" w:eastAsia="Aptos" w:hAnsi="Aptos" w:cs="Aptos"/>
              </w:rPr>
            </w:pPr>
            <w:r w:rsidRPr="00DF0416">
              <w:rPr>
                <w:rFonts w:ascii="Aptos" w:eastAsia="Aptos" w:hAnsi="Aptos" w:cs="Aptos"/>
              </w:rPr>
              <w:t>Determine readiness to teach</w:t>
            </w:r>
          </w:p>
        </w:tc>
        <w:tc>
          <w:tcPr>
            <w:tcW w:w="2591" w:type="dxa"/>
            <w:vAlign w:val="center"/>
          </w:tcPr>
          <w:p w14:paraId="17C863EA" w14:textId="07EEAF85" w:rsidR="4E63807C" w:rsidRPr="00DF0416" w:rsidRDefault="19C58FD1" w:rsidP="61C45DFC">
            <w:pPr>
              <w:spacing w:after="0"/>
              <w:ind w:left="99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  <w:tc>
          <w:tcPr>
            <w:tcW w:w="2730" w:type="dxa"/>
            <w:vAlign w:val="center"/>
          </w:tcPr>
          <w:p w14:paraId="21D7872D" w14:textId="2661D937" w:rsidR="4E63807C" w:rsidRPr="00DF0416" w:rsidRDefault="19C58FD1" w:rsidP="61C45DFC">
            <w:pPr>
              <w:spacing w:after="0"/>
              <w:ind w:left="1080"/>
              <w:rPr>
                <w:rFonts w:ascii="Aptos" w:eastAsia="Aptos" w:hAnsi="Aptos" w:cs="Aptos"/>
              </w:rPr>
            </w:pPr>
            <w:r w:rsidRPr="00DF0416">
              <w:rPr>
                <w:rFonts w:ascii="Segoe UI Emoji" w:eastAsia="Aptos" w:hAnsi="Segoe UI Emoji" w:cs="Segoe UI Emoji"/>
              </w:rPr>
              <w:t>✅</w:t>
            </w:r>
          </w:p>
        </w:tc>
      </w:tr>
    </w:tbl>
    <w:p w14:paraId="19405CCF" w14:textId="12CA29AC" w:rsidR="00330376" w:rsidRPr="00DF0416" w:rsidRDefault="00330376" w:rsidP="4E63807C">
      <w:pPr>
        <w:rPr>
          <w:rFonts w:ascii="Aptos" w:eastAsia="Aptos" w:hAnsi="Aptos" w:cs="Aptos"/>
        </w:rPr>
      </w:pPr>
    </w:p>
    <w:p w14:paraId="7A6BE8E0" w14:textId="2232707C" w:rsidR="00330376" w:rsidRPr="00DF0416" w:rsidRDefault="747F6114" w:rsidP="4E63807C">
      <w:pPr>
        <w:spacing w:before="240" w:after="240"/>
        <w:rPr>
          <w:rFonts w:ascii="Aptos" w:eastAsia="Aptos" w:hAnsi="Aptos" w:cs="Aptos"/>
        </w:rPr>
      </w:pPr>
      <w:r w:rsidRPr="00DF0416">
        <w:rPr>
          <w:rFonts w:ascii="Aptos" w:eastAsia="Aptos" w:hAnsi="Aptos" w:cs="Aptos"/>
          <w:b/>
          <w:bCs/>
        </w:rPr>
        <w:t>Remember:</w:t>
      </w:r>
      <w:r w:rsidRPr="00DF0416">
        <w:rPr>
          <w:rFonts w:ascii="Aptos" w:eastAsia="Aptos" w:hAnsi="Aptos" w:cs="Aptos"/>
        </w:rPr>
        <w:t xml:space="preserve"> A strong partnership between the </w:t>
      </w:r>
      <w:r w:rsidR="00BE16E3">
        <w:rPr>
          <w:rFonts w:ascii="Aptos" w:eastAsia="Aptos" w:hAnsi="Aptos" w:cs="Aptos"/>
        </w:rPr>
        <w:t>p</w:t>
      </w:r>
      <w:r w:rsidRPr="00DF0416">
        <w:rPr>
          <w:rFonts w:ascii="Aptos" w:eastAsia="Aptos" w:hAnsi="Aptos" w:cs="Aptos"/>
        </w:rPr>
        <w:t xml:space="preserve">rogram </w:t>
      </w:r>
      <w:r w:rsidR="00BE16E3">
        <w:rPr>
          <w:rFonts w:ascii="Aptos" w:eastAsia="Aptos" w:hAnsi="Aptos" w:cs="Aptos"/>
        </w:rPr>
        <w:t>s</w:t>
      </w:r>
      <w:r w:rsidRPr="00DF0416">
        <w:rPr>
          <w:rFonts w:ascii="Aptos" w:eastAsia="Aptos" w:hAnsi="Aptos" w:cs="Aptos"/>
        </w:rPr>
        <w:t xml:space="preserve">upervisor and </w:t>
      </w:r>
      <w:r w:rsidR="00BE16E3">
        <w:rPr>
          <w:rFonts w:ascii="Aptos" w:eastAsia="Aptos" w:hAnsi="Aptos" w:cs="Aptos"/>
        </w:rPr>
        <w:t>s</w:t>
      </w:r>
      <w:r w:rsidRPr="00DF0416">
        <w:rPr>
          <w:rFonts w:ascii="Aptos" w:eastAsia="Aptos" w:hAnsi="Aptos" w:cs="Aptos"/>
        </w:rPr>
        <w:t xml:space="preserve">upervising </w:t>
      </w:r>
      <w:r w:rsidR="00BE16E3">
        <w:rPr>
          <w:rFonts w:ascii="Aptos" w:eastAsia="Aptos" w:hAnsi="Aptos" w:cs="Aptos"/>
        </w:rPr>
        <w:t>p</w:t>
      </w:r>
      <w:r w:rsidRPr="00DF0416">
        <w:rPr>
          <w:rFonts w:ascii="Aptos" w:eastAsia="Aptos" w:hAnsi="Aptos" w:cs="Aptos"/>
        </w:rPr>
        <w:t>ractitioner is crucial for the candidate’s development and success. Consistent collaboration, clear communication, and shared commitment to equity and excellence will create a supportive environment for emerging educators.</w:t>
      </w:r>
    </w:p>
    <w:p w14:paraId="2C078E63" w14:textId="243CE3A3" w:rsidR="00330376" w:rsidRPr="00DF0416" w:rsidRDefault="00330376" w:rsidP="4E63807C">
      <w:pPr>
        <w:rPr>
          <w:rFonts w:ascii="Aptos" w:eastAsia="Aptos" w:hAnsi="Aptos" w:cs="Aptos"/>
        </w:rPr>
      </w:pPr>
    </w:p>
    <w:sectPr w:rsidR="00330376" w:rsidRPr="00DF041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51E9" w14:textId="77777777" w:rsidR="002732DD" w:rsidRDefault="002732DD">
      <w:pPr>
        <w:spacing w:after="0" w:line="240" w:lineRule="auto"/>
      </w:pPr>
      <w:r>
        <w:separator/>
      </w:r>
    </w:p>
  </w:endnote>
  <w:endnote w:type="continuationSeparator" w:id="0">
    <w:p w14:paraId="6C1EC0D2" w14:textId="77777777" w:rsidR="002732DD" w:rsidRDefault="0027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C45DFC" w14:paraId="0DD44D00" w14:textId="77777777" w:rsidTr="61C45DFC">
      <w:trPr>
        <w:trHeight w:val="300"/>
      </w:trPr>
      <w:tc>
        <w:tcPr>
          <w:tcW w:w="3120" w:type="dxa"/>
        </w:tcPr>
        <w:p w14:paraId="6A4999C1" w14:textId="758D5224" w:rsidR="61C45DFC" w:rsidRDefault="61C45DFC" w:rsidP="61C45DFC">
          <w:pPr>
            <w:pStyle w:val="Header"/>
            <w:ind w:left="-115"/>
          </w:pPr>
        </w:p>
      </w:tc>
      <w:tc>
        <w:tcPr>
          <w:tcW w:w="3120" w:type="dxa"/>
        </w:tcPr>
        <w:p w14:paraId="6183ABE3" w14:textId="630B39CE" w:rsidR="61C45DFC" w:rsidRDefault="61C45DFC" w:rsidP="61C45DFC">
          <w:pPr>
            <w:pStyle w:val="Header"/>
            <w:jc w:val="center"/>
          </w:pPr>
        </w:p>
      </w:tc>
      <w:tc>
        <w:tcPr>
          <w:tcW w:w="3120" w:type="dxa"/>
        </w:tcPr>
        <w:p w14:paraId="41B47F86" w14:textId="775075AD" w:rsidR="61C45DFC" w:rsidRDefault="61C45DFC" w:rsidP="61C45DFC">
          <w:pPr>
            <w:pStyle w:val="Header"/>
            <w:ind w:right="-115"/>
            <w:jc w:val="right"/>
          </w:pPr>
        </w:p>
      </w:tc>
    </w:tr>
  </w:tbl>
  <w:p w14:paraId="224F90DC" w14:textId="14D7A21D" w:rsidR="61C45DFC" w:rsidRDefault="61C45DFC" w:rsidP="61C4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0D53" w14:textId="77777777" w:rsidR="002732DD" w:rsidRDefault="002732DD">
      <w:pPr>
        <w:spacing w:after="0" w:line="240" w:lineRule="auto"/>
      </w:pPr>
      <w:r>
        <w:separator/>
      </w:r>
    </w:p>
  </w:footnote>
  <w:footnote w:type="continuationSeparator" w:id="0">
    <w:p w14:paraId="53B848E5" w14:textId="77777777" w:rsidR="002732DD" w:rsidRDefault="0027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2A0D" w14:textId="1E16745C" w:rsidR="4F19EF16" w:rsidRDefault="4F19EF16" w:rsidP="4F19EF16"/>
  <w:tbl>
    <w:tblPr>
      <w:tblW w:w="9900" w:type="dxa"/>
      <w:tblLayout w:type="fixed"/>
      <w:tblLook w:val="06A0" w:firstRow="1" w:lastRow="0" w:firstColumn="1" w:lastColumn="0" w:noHBand="1" w:noVBand="1"/>
    </w:tblPr>
    <w:tblGrid>
      <w:gridCol w:w="9900"/>
    </w:tblGrid>
    <w:tr w:rsidR="00556BBE" w14:paraId="385E6DDB" w14:textId="77777777" w:rsidTr="00556BBE">
      <w:trPr>
        <w:trHeight w:val="277"/>
      </w:trPr>
      <w:tc>
        <w:tcPr>
          <w:tcW w:w="9900" w:type="dxa"/>
        </w:tcPr>
        <w:p w14:paraId="5BD3A1E1" w14:textId="1B349F65" w:rsidR="00BE16E3" w:rsidRDefault="00BE16E3" w:rsidP="00BE16E3">
          <w:pPr>
            <w:pStyle w:val="Header"/>
            <w:tabs>
              <w:tab w:val="left" w:pos="195"/>
              <w:tab w:val="right" w:pos="968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EF8A3D" wp14:editId="0532F077">
                <wp:simplePos x="0" y="0"/>
                <wp:positionH relativeFrom="column">
                  <wp:posOffset>4322445</wp:posOffset>
                </wp:positionH>
                <wp:positionV relativeFrom="paragraph">
                  <wp:posOffset>47625</wp:posOffset>
                </wp:positionV>
                <wp:extent cx="1838325" cy="523875"/>
                <wp:effectExtent l="0" t="0" r="9525" b="0"/>
                <wp:wrapNone/>
                <wp:docPr id="1476206816" name="Picture 1476206816" descr="D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206816" name="Picture 1476206816" descr="DES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14:paraId="5E34CBEC" w14:textId="77777777" w:rsidR="00BE16E3" w:rsidRDefault="00BE16E3" w:rsidP="00BE16E3">
          <w:pPr>
            <w:pStyle w:val="Header"/>
            <w:tabs>
              <w:tab w:val="left" w:pos="195"/>
              <w:tab w:val="right" w:pos="9684"/>
            </w:tabs>
          </w:pPr>
        </w:p>
        <w:p w14:paraId="2A8009FB" w14:textId="77777777" w:rsidR="00BE16E3" w:rsidRPr="00CD059C" w:rsidRDefault="00BE16E3" w:rsidP="00BE16E3">
          <w:pPr>
            <w:pStyle w:val="Header"/>
            <w:rPr>
              <w:rFonts w:ascii="Aptos" w:hAnsi="Aptos"/>
              <w:b/>
              <w:bCs/>
              <w:color w:val="0F4761"/>
              <w:sz w:val="32"/>
              <w:szCs w:val="32"/>
            </w:rPr>
          </w:pPr>
          <w:r w:rsidRPr="00CD059C">
            <w:rPr>
              <w:rFonts w:ascii="Aptos" w:hAnsi="Aptos"/>
              <w:b/>
              <w:bCs/>
              <w:color w:val="0F4761"/>
              <w:sz w:val="32"/>
              <w:szCs w:val="32"/>
            </w:rPr>
            <w:t>CAP Quick Reference Guide</w:t>
          </w:r>
        </w:p>
        <w:p w14:paraId="0D0BB595" w14:textId="77777777" w:rsidR="00BE16E3" w:rsidRPr="00CD059C" w:rsidRDefault="00BE16E3" w:rsidP="00BE16E3">
          <w:pPr>
            <w:pStyle w:val="Header"/>
            <w:rPr>
              <w:b/>
              <w:bCs/>
              <w:sz w:val="24"/>
              <w:szCs w:val="24"/>
            </w:rPr>
          </w:pPr>
          <w:r w:rsidRPr="00CD059C">
            <w:rPr>
              <w:rFonts w:ascii="Aptos" w:hAnsi="Aptos"/>
              <w:b/>
              <w:bCs/>
              <w:color w:val="0F4761"/>
              <w:sz w:val="24"/>
              <w:szCs w:val="24"/>
            </w:rPr>
            <w:t>Supervisor Collaboration</w:t>
          </w:r>
          <w:r>
            <w:rPr>
              <w:rFonts w:ascii="Aptos" w:hAnsi="Aptos"/>
              <w:b/>
              <w:bCs/>
              <w:color w:val="0F4761"/>
              <w:sz w:val="24"/>
              <w:szCs w:val="24"/>
            </w:rPr>
            <w:t xml:space="preserve"> in the CAP Process</w:t>
          </w:r>
        </w:p>
        <w:p w14:paraId="37F9E865" w14:textId="78D50BBE" w:rsidR="00CD059C" w:rsidRPr="00CD059C" w:rsidRDefault="00BE16E3" w:rsidP="00BE16E3">
          <w:pPr>
            <w:pStyle w:val="Header"/>
            <w:tabs>
              <w:tab w:val="left" w:pos="195"/>
              <w:tab w:val="right" w:pos="9684"/>
            </w:tabs>
          </w:pPr>
          <w:r>
            <w:tab/>
          </w:r>
          <w:r>
            <w:tab/>
          </w:r>
        </w:p>
      </w:tc>
    </w:tr>
  </w:tbl>
  <w:p w14:paraId="5734173B" w14:textId="0AEA591D" w:rsidR="61C45DFC" w:rsidRDefault="61C45DFC" w:rsidP="61C45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1A228"/>
    <w:multiLevelType w:val="hybridMultilevel"/>
    <w:tmpl w:val="E1284E2C"/>
    <w:lvl w:ilvl="0" w:tplc="5BF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A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86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0D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E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8B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CA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47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6F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6827"/>
    <w:multiLevelType w:val="hybridMultilevel"/>
    <w:tmpl w:val="49301D64"/>
    <w:lvl w:ilvl="0" w:tplc="FB9E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A4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0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C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2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8E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87B2"/>
    <w:multiLevelType w:val="hybridMultilevel"/>
    <w:tmpl w:val="BF603636"/>
    <w:lvl w:ilvl="0" w:tplc="00C6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49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01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6C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A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E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3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A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B7EB9"/>
    <w:multiLevelType w:val="hybridMultilevel"/>
    <w:tmpl w:val="AD02BEBC"/>
    <w:lvl w:ilvl="0" w:tplc="DAEC4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2B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62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4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4C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AB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4B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A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203ED"/>
    <w:multiLevelType w:val="hybridMultilevel"/>
    <w:tmpl w:val="0B76EE94"/>
    <w:lvl w:ilvl="0" w:tplc="4696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C6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C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29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2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9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1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17454">
    <w:abstractNumId w:val="1"/>
  </w:num>
  <w:num w:numId="2" w16cid:durableId="1059130619">
    <w:abstractNumId w:val="0"/>
  </w:num>
  <w:num w:numId="3" w16cid:durableId="387723433">
    <w:abstractNumId w:val="4"/>
  </w:num>
  <w:num w:numId="4" w16cid:durableId="35470678">
    <w:abstractNumId w:val="2"/>
  </w:num>
  <w:num w:numId="5" w16cid:durableId="163521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61889C"/>
    <w:rsid w:val="00012524"/>
    <w:rsid w:val="00022855"/>
    <w:rsid w:val="000869A9"/>
    <w:rsid w:val="000A7217"/>
    <w:rsid w:val="000B1C12"/>
    <w:rsid w:val="000F68ED"/>
    <w:rsid w:val="00155C4E"/>
    <w:rsid w:val="001A4D66"/>
    <w:rsid w:val="002732DD"/>
    <w:rsid w:val="00330376"/>
    <w:rsid w:val="00334AC7"/>
    <w:rsid w:val="00382D84"/>
    <w:rsid w:val="00383C80"/>
    <w:rsid w:val="003F7873"/>
    <w:rsid w:val="0046317B"/>
    <w:rsid w:val="00483A1D"/>
    <w:rsid w:val="00556BBE"/>
    <w:rsid w:val="00587F89"/>
    <w:rsid w:val="00667A55"/>
    <w:rsid w:val="00723347"/>
    <w:rsid w:val="0075035F"/>
    <w:rsid w:val="007628B4"/>
    <w:rsid w:val="007A7683"/>
    <w:rsid w:val="00835528"/>
    <w:rsid w:val="0086542C"/>
    <w:rsid w:val="008857D6"/>
    <w:rsid w:val="008A2BB3"/>
    <w:rsid w:val="008B1BC2"/>
    <w:rsid w:val="00903B52"/>
    <w:rsid w:val="009360DE"/>
    <w:rsid w:val="00976051"/>
    <w:rsid w:val="00A365F0"/>
    <w:rsid w:val="00A67C2B"/>
    <w:rsid w:val="00A73EED"/>
    <w:rsid w:val="00AD4EC3"/>
    <w:rsid w:val="00B01218"/>
    <w:rsid w:val="00BC6C6B"/>
    <w:rsid w:val="00BE16E3"/>
    <w:rsid w:val="00C617A5"/>
    <w:rsid w:val="00C76450"/>
    <w:rsid w:val="00C810C8"/>
    <w:rsid w:val="00CA425B"/>
    <w:rsid w:val="00CD059C"/>
    <w:rsid w:val="00CD3B35"/>
    <w:rsid w:val="00CF19C4"/>
    <w:rsid w:val="00D014D5"/>
    <w:rsid w:val="00D9129F"/>
    <w:rsid w:val="00DB6287"/>
    <w:rsid w:val="00DD18A7"/>
    <w:rsid w:val="00DE5D1B"/>
    <w:rsid w:val="00DE6FED"/>
    <w:rsid w:val="00DF0416"/>
    <w:rsid w:val="00E15F25"/>
    <w:rsid w:val="00F16C9C"/>
    <w:rsid w:val="00F3190F"/>
    <w:rsid w:val="00F3700F"/>
    <w:rsid w:val="00F442DD"/>
    <w:rsid w:val="00F74F89"/>
    <w:rsid w:val="00FD70F0"/>
    <w:rsid w:val="02BCE8FA"/>
    <w:rsid w:val="038D02F4"/>
    <w:rsid w:val="0C225AB9"/>
    <w:rsid w:val="0E330445"/>
    <w:rsid w:val="0E9EA46F"/>
    <w:rsid w:val="1812F15D"/>
    <w:rsid w:val="19C58FD1"/>
    <w:rsid w:val="1E61889C"/>
    <w:rsid w:val="377C5152"/>
    <w:rsid w:val="3A620186"/>
    <w:rsid w:val="3B8460AB"/>
    <w:rsid w:val="421115F6"/>
    <w:rsid w:val="44FC19BA"/>
    <w:rsid w:val="4DF36DE9"/>
    <w:rsid w:val="4E63807C"/>
    <w:rsid w:val="4EFD5AD0"/>
    <w:rsid w:val="4F19EF16"/>
    <w:rsid w:val="61C45DFC"/>
    <w:rsid w:val="65A6F4B9"/>
    <w:rsid w:val="66574996"/>
    <w:rsid w:val="67319B04"/>
    <w:rsid w:val="6B559251"/>
    <w:rsid w:val="70DED8E0"/>
    <w:rsid w:val="743F4A1E"/>
    <w:rsid w:val="747F6114"/>
    <w:rsid w:val="7C8477D0"/>
    <w:rsid w:val="7D8B671F"/>
    <w:rsid w:val="7E98D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1889C"/>
  <w15:chartTrackingRefBased/>
  <w15:docId w15:val="{92EB8133-52D0-428C-AEB5-9E259DE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D1B"/>
    <w:pPr>
      <w:outlineLvl w:val="0"/>
    </w:pPr>
    <w:rPr>
      <w:rFonts w:ascii="Aptos" w:eastAsia="Aptos" w:hAnsi="Aptos" w:cs="Aptos"/>
      <w:b/>
      <w:bCs/>
      <w:color w:val="2F5496"/>
      <w:sz w:val="24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360DE"/>
    <w:pPr>
      <w:spacing w:before="281" w:after="281"/>
      <w:outlineLvl w:val="1"/>
    </w:pPr>
    <w:rPr>
      <w:rFonts w:ascii="Aptos" w:eastAsia="Aptos" w:hAnsi="Aptos" w:cs="Aptos"/>
      <w:b/>
      <w:bCs/>
      <w:color w:val="2F5496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4E63807C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E638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E63807C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61C45DF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1C45DFC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C810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3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D1B"/>
    <w:rPr>
      <w:rFonts w:ascii="Aptos" w:eastAsia="Aptos" w:hAnsi="Aptos" w:cs="Aptos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60DE"/>
    <w:rPr>
      <w:rFonts w:ascii="Aptos" w:eastAsia="Aptos" w:hAnsi="Aptos" w:cs="Aptos"/>
      <w:b/>
      <w:bCs/>
      <w:color w:val="2F549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93599-5647-4B38-B97C-99DD9A420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DB4A7-4F76-444E-9D92-F17E55138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D6F0-0041-4E3D-9E73-544ED6F30841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2495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Collaboration in the CAP Process</dc:title>
  <dc:subject/>
  <dc:creator>DESE</dc:creator>
  <cp:keywords/>
  <dc:description/>
  <cp:lastModifiedBy>Zou, Dong (EOE)</cp:lastModifiedBy>
  <cp:revision>27</cp:revision>
  <dcterms:created xsi:type="dcterms:W3CDTF">2025-06-02T21:45:00Z</dcterms:created>
  <dcterms:modified xsi:type="dcterms:W3CDTF">2025-06-17T15:35:00Z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17 2025 12:00AM</vt:lpwstr>
  </property>
</Properties>
</file>