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8C28" w14:textId="77777777" w:rsidR="002F73E1" w:rsidRDefault="00E76219" w:rsidP="002F73E1">
      <w:pPr>
        <w:pStyle w:val="Heading1"/>
      </w:pPr>
      <w:r>
        <w:t>Quick Reference Guide</w:t>
      </w:r>
      <w:r w:rsidR="00DD6EBB">
        <w:t>: The Early Literacy Observation Form and CAP</w:t>
      </w:r>
    </w:p>
    <w:p w14:paraId="313CD75E" w14:textId="0B7FBA5E" w:rsidR="00360960" w:rsidRDefault="00360960" w:rsidP="002F73E1">
      <w:pPr>
        <w:pStyle w:val="Heading1"/>
        <w:spacing w:before="0"/>
      </w:pPr>
      <w:r w:rsidRPr="00685102">
        <w:rPr>
          <w:rStyle w:val="Heading3Char"/>
          <w:sz w:val="28"/>
          <w:szCs w:val="28"/>
        </w:rPr>
        <w:t>2023-24 School Year</w:t>
      </w:r>
    </w:p>
    <w:p w14:paraId="2C47034E" w14:textId="77777777" w:rsidR="001E54C7" w:rsidRDefault="001E54C7" w:rsidP="00B02E23">
      <w:pPr>
        <w:spacing w:after="0"/>
        <w:rPr>
          <w:rFonts w:cstheme="minorHAnsi"/>
          <w:b/>
          <w:bCs/>
          <w:color w:val="222222"/>
          <w:shd w:val="clear" w:color="auto" w:fill="FFFFFF"/>
        </w:rPr>
      </w:pPr>
    </w:p>
    <w:p w14:paraId="33B52CF3" w14:textId="080E6BB7" w:rsidR="00360960" w:rsidRPr="00360960" w:rsidRDefault="00360960" w:rsidP="00B02E23">
      <w:pPr>
        <w:spacing w:after="0"/>
        <w:rPr>
          <w:rFonts w:cstheme="minorHAnsi"/>
          <w:b/>
          <w:bCs/>
          <w:color w:val="222222"/>
          <w:shd w:val="clear" w:color="auto" w:fill="FFFFFF"/>
        </w:rPr>
      </w:pPr>
      <w:r w:rsidRPr="00360960">
        <w:rPr>
          <w:rFonts w:cstheme="minorHAnsi"/>
          <w:b/>
          <w:bCs/>
          <w:color w:val="222222"/>
          <w:shd w:val="clear" w:color="auto" w:fill="FFFFFF"/>
        </w:rPr>
        <w:t>What is the Early Literacy Observation Form?</w:t>
      </w:r>
    </w:p>
    <w:p w14:paraId="12CE08B5" w14:textId="42B4BF7E" w:rsidR="00360960" w:rsidRDefault="00360960" w:rsidP="779A33E6">
      <w:pPr>
        <w:rPr>
          <w:color w:val="222222"/>
          <w:shd w:val="clear" w:color="auto" w:fill="FFFFFF"/>
        </w:rPr>
      </w:pPr>
      <w:r w:rsidRPr="779A33E6">
        <w:rPr>
          <w:color w:val="222222"/>
          <w:shd w:val="clear" w:color="auto" w:fill="FFFFFF"/>
        </w:rPr>
        <w:t xml:space="preserve">The </w:t>
      </w:r>
      <w:hyperlink r:id="rId10" w:history="1">
        <w:r w:rsidRPr="779A33E6">
          <w:rPr>
            <w:rStyle w:val="Hyperlink"/>
            <w:shd w:val="clear" w:color="auto" w:fill="FFFFFF"/>
          </w:rPr>
          <w:t>Early Literacy Observation Form</w:t>
        </w:r>
      </w:hyperlink>
      <w:r w:rsidRPr="779A33E6">
        <w:rPr>
          <w:color w:val="222222"/>
          <w:shd w:val="clear" w:color="auto" w:fill="FFFFFF"/>
        </w:rPr>
        <w:t xml:space="preserve"> supports educator preparation supervisors to observe and provide high-quality feedback to teacher candidates on their practice in </w:t>
      </w:r>
      <w:r w:rsidRPr="002403A7">
        <w:rPr>
          <w:shd w:val="clear" w:color="auto" w:fill="FFFFFF"/>
        </w:rPr>
        <w:t>evidence-based early literacy</w:t>
      </w:r>
      <w:r w:rsidRPr="00BB04AA">
        <w:rPr>
          <w:shd w:val="clear" w:color="auto" w:fill="FFFFFF"/>
        </w:rPr>
        <w:t> </w:t>
      </w:r>
      <w:r w:rsidRPr="779A33E6">
        <w:rPr>
          <w:color w:val="222222"/>
          <w:shd w:val="clear" w:color="auto" w:fill="FFFFFF"/>
        </w:rPr>
        <w:t>as outlined in the </w:t>
      </w:r>
      <w:hyperlink r:id="rId11" w:history="1">
        <w:r w:rsidRPr="00BB04AA">
          <w:rPr>
            <w:rStyle w:val="Hyperlink"/>
            <w:color w:val="4472C4" w:themeColor="accent1"/>
            <w:shd w:val="clear" w:color="auto" w:fill="FFFFFF"/>
          </w:rPr>
          <w:t>Mass Literacy Guide</w:t>
        </w:r>
      </w:hyperlink>
      <w:r w:rsidRPr="00BB04AA">
        <w:rPr>
          <w:color w:val="4472C4" w:themeColor="accent1"/>
          <w:shd w:val="clear" w:color="auto" w:fill="FFFFFF"/>
        </w:rPr>
        <w:t> </w:t>
      </w:r>
      <w:r w:rsidRPr="779A33E6">
        <w:rPr>
          <w:color w:val="222222"/>
          <w:shd w:val="clear" w:color="auto" w:fill="FFFFFF"/>
        </w:rPr>
        <w:t xml:space="preserve">and in alignment with the new </w:t>
      </w:r>
      <w:hyperlink r:id="rId12">
        <w:r w:rsidRPr="779A33E6">
          <w:rPr>
            <w:rStyle w:val="Hyperlink"/>
          </w:rPr>
          <w:t>Early Literacy Program Criteria</w:t>
        </w:r>
      </w:hyperlink>
      <w:r w:rsidRPr="779A33E6">
        <w:rPr>
          <w:color w:val="222222"/>
          <w:shd w:val="clear" w:color="auto" w:fill="FFFFFF"/>
        </w:rPr>
        <w:t xml:space="preserve">. </w:t>
      </w:r>
      <w:r w:rsidR="00FE737A">
        <w:rPr>
          <w:color w:val="222222"/>
          <w:shd w:val="clear" w:color="auto" w:fill="FFFFFF"/>
        </w:rPr>
        <w:t>T</w:t>
      </w:r>
      <w:r w:rsidRPr="779A33E6">
        <w:rPr>
          <w:color w:val="222222"/>
          <w:shd w:val="clear" w:color="auto" w:fill="FFFFFF"/>
        </w:rPr>
        <w:t>his tool is a key component of Massachusetts' mission to ensure that all teacher candidates in Elementary, Early Childhood, and Moderate Disabilities programs are well-prepared in early literacy instruction</w:t>
      </w:r>
      <w:r w:rsidR="00CF4C43">
        <w:rPr>
          <w:color w:val="222222"/>
          <w:shd w:val="clear" w:color="auto" w:fill="FFFFFF"/>
        </w:rPr>
        <w:t xml:space="preserve"> and an important source of data for programs’ continuous improvement</w:t>
      </w:r>
      <w:r w:rsidRPr="779A33E6">
        <w:rPr>
          <w:color w:val="222222"/>
          <w:shd w:val="clear" w:color="auto" w:fill="FFFFFF"/>
        </w:rPr>
        <w:t>.</w:t>
      </w:r>
    </w:p>
    <w:p w14:paraId="3D1456DF" w14:textId="4B76ADE2" w:rsidR="00360960" w:rsidRPr="00360960" w:rsidRDefault="00360960" w:rsidP="00B02E23">
      <w:pPr>
        <w:spacing w:after="0"/>
        <w:rPr>
          <w:rFonts w:cstheme="minorHAnsi"/>
          <w:b/>
          <w:bCs/>
          <w:color w:val="222222"/>
          <w:shd w:val="clear" w:color="auto" w:fill="FFFFFF"/>
        </w:rPr>
      </w:pPr>
      <w:r w:rsidRPr="00360960">
        <w:rPr>
          <w:rFonts w:cstheme="minorHAnsi"/>
          <w:b/>
          <w:bCs/>
          <w:color w:val="222222"/>
          <w:shd w:val="clear" w:color="auto" w:fill="FFFFFF"/>
        </w:rPr>
        <w:t>When should supervisors use the Early Literacy Observation Form?</w:t>
      </w:r>
    </w:p>
    <w:p w14:paraId="5A73E825" w14:textId="6F3B0A95" w:rsidR="00360960" w:rsidRDefault="00360960">
      <w:r>
        <w:t>In the 2023-24 school year, Sponsoring Organizations are required to begin implementing the form</w:t>
      </w:r>
      <w:r w:rsidR="00D73D8F">
        <w:t xml:space="preserve"> </w:t>
      </w:r>
      <w:r w:rsidR="00740B55">
        <w:t xml:space="preserve">during CAP </w:t>
      </w:r>
      <w:r w:rsidR="00D73D8F">
        <w:t>with a subset of candidates</w:t>
      </w:r>
      <w:r w:rsidR="00AD7714">
        <w:t xml:space="preserve"> (at least 10 per relevant program)</w:t>
      </w:r>
      <w:r>
        <w:t>. By 2024-25, all teacher candidates in relevant programs will be observed and receive feedback using the form</w:t>
      </w:r>
      <w:r w:rsidR="00740B55">
        <w:t xml:space="preserve"> during CAP</w:t>
      </w:r>
      <w:r>
        <w:t>.</w:t>
      </w:r>
    </w:p>
    <w:p w14:paraId="0536D8E0" w14:textId="77777777" w:rsidR="001E54C7" w:rsidRDefault="001E54C7" w:rsidP="001E54C7">
      <w:pPr>
        <w:spacing w:after="0"/>
      </w:pPr>
      <w:r>
        <w:rPr>
          <w:b/>
          <w:bCs/>
        </w:rPr>
        <w:t>Does the form need to be used in one observation (one sitting)?</w:t>
      </w:r>
    </w:p>
    <w:p w14:paraId="242AC253" w14:textId="7E573353" w:rsidR="001E54C7" w:rsidRDefault="001E54C7" w:rsidP="001E54C7">
      <w:pPr>
        <w:spacing w:after="0"/>
      </w:pPr>
      <w:r>
        <w:t xml:space="preserve">No. Teacher candidates should be observed on all components of a full core literacy block, but this may occur </w:t>
      </w:r>
      <w:r w:rsidR="00B62DB7">
        <w:rPr>
          <w:rFonts w:cstheme="minorHAnsi"/>
        </w:rPr>
        <w:t>in multiple parts</w:t>
      </w:r>
      <w:r>
        <w:rPr>
          <w:rFonts w:cstheme="minorHAnsi"/>
        </w:rPr>
        <w:t xml:space="preserve"> due to scheduling.</w:t>
      </w:r>
      <w:r w:rsidR="00B62DB7">
        <w:rPr>
          <w:rFonts w:cstheme="minorHAnsi"/>
        </w:rPr>
        <w:t xml:space="preserve"> </w:t>
      </w:r>
      <w:r w:rsidR="00E1608F">
        <w:rPr>
          <w:rFonts w:cstheme="minorHAnsi"/>
        </w:rPr>
        <w:t>If</w:t>
      </w:r>
      <w:r w:rsidR="00B62DB7">
        <w:rPr>
          <w:rFonts w:cstheme="minorHAnsi"/>
        </w:rPr>
        <w:t xml:space="preserve"> </w:t>
      </w:r>
      <w:r w:rsidR="00E1608F">
        <w:rPr>
          <w:rFonts w:cstheme="minorHAnsi"/>
        </w:rPr>
        <w:t xml:space="preserve">an </w:t>
      </w:r>
      <w:r w:rsidR="00B62DB7">
        <w:rPr>
          <w:rFonts w:cstheme="minorHAnsi"/>
        </w:rPr>
        <w:t>additional observation</w:t>
      </w:r>
      <w:r w:rsidR="00E1608F">
        <w:rPr>
          <w:rFonts w:cstheme="minorHAnsi"/>
        </w:rPr>
        <w:t xml:space="preserve"> is</w:t>
      </w:r>
      <w:r w:rsidR="00B62DB7">
        <w:rPr>
          <w:rFonts w:cstheme="minorHAnsi"/>
        </w:rPr>
        <w:t xml:space="preserve"> necessary to c</w:t>
      </w:r>
      <w:r w:rsidR="00E1608F">
        <w:rPr>
          <w:rFonts w:cstheme="minorHAnsi"/>
        </w:rPr>
        <w:t xml:space="preserve">ollect data for all components of </w:t>
      </w:r>
      <w:r w:rsidR="00F92496">
        <w:rPr>
          <w:rFonts w:cstheme="minorHAnsi"/>
        </w:rPr>
        <w:t>the</w:t>
      </w:r>
      <w:r w:rsidR="00E1608F">
        <w:rPr>
          <w:rFonts w:cstheme="minorHAnsi"/>
        </w:rPr>
        <w:t xml:space="preserve"> literacy block, th</w:t>
      </w:r>
      <w:r w:rsidR="00F92496">
        <w:rPr>
          <w:rFonts w:cstheme="minorHAnsi"/>
        </w:rPr>
        <w:t xml:space="preserve">e additional visit may be incorporated into the required CAP observations or </w:t>
      </w:r>
      <w:r w:rsidR="00B43EBE">
        <w:rPr>
          <w:rFonts w:cstheme="minorHAnsi"/>
        </w:rPr>
        <w:t>be supplemental.</w:t>
      </w:r>
    </w:p>
    <w:p w14:paraId="172CD4AA" w14:textId="77777777" w:rsidR="001E54C7" w:rsidRDefault="001E54C7" w:rsidP="00C32F31">
      <w:pPr>
        <w:spacing w:after="0"/>
        <w:rPr>
          <w:b/>
          <w:bCs/>
        </w:rPr>
      </w:pPr>
    </w:p>
    <w:p w14:paraId="74A38544" w14:textId="0ECADA7E" w:rsidR="00F41C63" w:rsidRDefault="00F41C63" w:rsidP="00C32F31">
      <w:pPr>
        <w:spacing w:after="0"/>
        <w:rPr>
          <w:b/>
          <w:bCs/>
        </w:rPr>
      </w:pPr>
      <w:r>
        <w:rPr>
          <w:b/>
          <w:bCs/>
        </w:rPr>
        <w:t>What is included in the form?</w:t>
      </w:r>
    </w:p>
    <w:p w14:paraId="0BCEAE6B" w14:textId="5320EE6D" w:rsidR="00702391" w:rsidRDefault="00F41C63" w:rsidP="00C32F31">
      <w:pPr>
        <w:spacing w:after="0"/>
      </w:pPr>
      <w:r>
        <w:t xml:space="preserve">The form includes </w:t>
      </w:r>
      <w:r w:rsidR="00702391">
        <w:t>the following:</w:t>
      </w:r>
    </w:p>
    <w:p w14:paraId="1F57178E" w14:textId="576A0E95" w:rsidR="00DA35B8" w:rsidRDefault="00702391" w:rsidP="00702391">
      <w:pPr>
        <w:pStyle w:val="ListParagraph"/>
        <w:numPr>
          <w:ilvl w:val="0"/>
          <w:numId w:val="5"/>
        </w:numPr>
        <w:spacing w:after="0"/>
      </w:pPr>
      <w:r>
        <w:t>An</w:t>
      </w:r>
      <w:r w:rsidR="00F41C63">
        <w:t xml:space="preserve"> overview of the core components of the early literacy block (foundational skills, engaging with complex text, and writing) and links to informational resources</w:t>
      </w:r>
    </w:p>
    <w:p w14:paraId="3D244117" w14:textId="1ABE604B" w:rsidR="00DA35B8" w:rsidRDefault="00DA35B8" w:rsidP="00702391">
      <w:pPr>
        <w:pStyle w:val="ListParagraph"/>
        <w:numPr>
          <w:ilvl w:val="0"/>
          <w:numId w:val="5"/>
        </w:numPr>
        <w:spacing w:after="0"/>
      </w:pPr>
      <w:r>
        <w:t>E</w:t>
      </w:r>
      <w:r w:rsidR="00F41C63">
        <w:t>vidence-based Look Fors to guide the observation and feedback</w:t>
      </w:r>
    </w:p>
    <w:p w14:paraId="6981F37A" w14:textId="2F665D44" w:rsidR="00F41C63" w:rsidRPr="00F41C63" w:rsidRDefault="00DA35B8" w:rsidP="0078368F">
      <w:pPr>
        <w:pStyle w:val="ListParagraph"/>
        <w:numPr>
          <w:ilvl w:val="0"/>
          <w:numId w:val="5"/>
        </w:numPr>
        <w:spacing w:after="0"/>
      </w:pPr>
      <w:r>
        <w:t>A</w:t>
      </w:r>
      <w:r w:rsidR="00F41C63">
        <w:t xml:space="preserve"> template for synthesizing evidence and providing feedback to the teacher candidate</w:t>
      </w:r>
    </w:p>
    <w:p w14:paraId="22F90221" w14:textId="6C358740" w:rsidR="00F41C63" w:rsidRDefault="00F41C63" w:rsidP="00C32F31">
      <w:pPr>
        <w:spacing w:after="0"/>
      </w:pPr>
    </w:p>
    <w:p w14:paraId="5C9294D0" w14:textId="7ABA939A" w:rsidR="00F41C63" w:rsidRPr="00F41C63" w:rsidRDefault="00F41C63" w:rsidP="00C32F31">
      <w:pPr>
        <w:spacing w:after="0"/>
        <w:rPr>
          <w:b/>
          <w:bCs/>
        </w:rPr>
      </w:pPr>
      <w:r w:rsidRPr="00F41C63">
        <w:rPr>
          <w:b/>
          <w:bCs/>
        </w:rPr>
        <w:t>Which</w:t>
      </w:r>
      <w:r>
        <w:rPr>
          <w:b/>
          <w:bCs/>
        </w:rPr>
        <w:t xml:space="preserve"> Look Fors do I use?</w:t>
      </w:r>
    </w:p>
    <w:p w14:paraId="475BCF35" w14:textId="1A25948C" w:rsidR="00517453" w:rsidRPr="00517453" w:rsidRDefault="006C31E5" w:rsidP="0078368F">
      <w:r>
        <w:t>The</w:t>
      </w:r>
      <w:r w:rsidR="00F41C63">
        <w:t xml:space="preserve"> Look Fors </w:t>
      </w:r>
      <w:r w:rsidR="00550FC3">
        <w:t xml:space="preserve">are grouped </w:t>
      </w:r>
      <w:r w:rsidR="00C43035">
        <w:t xml:space="preserve">for use in the following </w:t>
      </w:r>
      <w:r w:rsidR="006F4555">
        <w:t>grade spans</w:t>
      </w:r>
      <w:r w:rsidR="00550FC3">
        <w:t>:</w:t>
      </w:r>
      <w:r w:rsidR="00FD440C">
        <w:t xml:space="preserve"> </w:t>
      </w:r>
      <w:r w:rsidR="00F41C63">
        <w:t xml:space="preserve">Grades PK-2, </w:t>
      </w:r>
      <w:r w:rsidR="00C51551">
        <w:t xml:space="preserve">Grades </w:t>
      </w:r>
      <w:r w:rsidR="00F41C63">
        <w:t xml:space="preserve">3-5, </w:t>
      </w:r>
      <w:r w:rsidR="00C51551">
        <w:t>Grades</w:t>
      </w:r>
      <w:r w:rsidR="00F41C63">
        <w:t xml:space="preserve"> 4-6</w:t>
      </w:r>
      <w:r w:rsidR="00D4336D">
        <w:t xml:space="preserve">, </w:t>
      </w:r>
      <w:r w:rsidR="00A66956">
        <w:t>and</w:t>
      </w:r>
      <w:r w:rsidR="00F41C63">
        <w:t xml:space="preserve"> </w:t>
      </w:r>
      <w:r w:rsidR="00D4336D">
        <w:t xml:space="preserve">Grades 7-8 </w:t>
      </w:r>
      <w:r w:rsidR="006E59CE">
        <w:t xml:space="preserve">(for Moderate Disabilities PK-8 candidates who are placed in </w:t>
      </w:r>
      <w:r w:rsidR="00836A89">
        <w:t xml:space="preserve">those upper grade </w:t>
      </w:r>
      <w:r w:rsidR="00D4336D">
        <w:t>classrooms</w:t>
      </w:r>
      <w:r w:rsidR="00836A89">
        <w:t>)</w:t>
      </w:r>
      <w:r w:rsidR="00D4336D">
        <w:t xml:space="preserve">. </w:t>
      </w:r>
      <w:r w:rsidR="00E67FEF">
        <w:t xml:space="preserve"> </w:t>
      </w:r>
      <w:r w:rsidR="00517453" w:rsidRPr="00517453">
        <w:t xml:space="preserve">The Look Fors are not a </w:t>
      </w:r>
      <w:proofErr w:type="gramStart"/>
      <w:r w:rsidR="00517453" w:rsidRPr="00517453">
        <w:t>checklist, but</w:t>
      </w:r>
      <w:proofErr w:type="gramEnd"/>
      <w:r w:rsidR="00517453" w:rsidRPr="00517453">
        <w:t xml:space="preserve"> meant to provide a comprehensive picture of effective early literacy instruction. Supervisors should be looking for </w:t>
      </w:r>
      <w:proofErr w:type="gramStart"/>
      <w:r w:rsidR="00517453" w:rsidRPr="00517453">
        <w:t>all of</w:t>
      </w:r>
      <w:proofErr w:type="gramEnd"/>
      <w:r w:rsidR="00517453" w:rsidRPr="00517453">
        <w:t xml:space="preserve"> these practices but may not necessarily need to comment on all of them on the observation template.</w:t>
      </w:r>
    </w:p>
    <w:p w14:paraId="19CFD8A0" w14:textId="636FAA78" w:rsidR="00C32F31" w:rsidRPr="00854E52" w:rsidRDefault="00C32F31" w:rsidP="00C32F31">
      <w:pPr>
        <w:spacing w:after="0"/>
        <w:rPr>
          <w:b/>
          <w:bCs/>
        </w:rPr>
      </w:pPr>
      <w:r w:rsidRPr="00854E52">
        <w:rPr>
          <w:b/>
          <w:bCs/>
        </w:rPr>
        <w:t xml:space="preserve">How does the Early Literacy Observation Form </w:t>
      </w:r>
      <w:r w:rsidR="008F1C2B">
        <w:rPr>
          <w:b/>
          <w:bCs/>
        </w:rPr>
        <w:t>work within</w:t>
      </w:r>
      <w:r w:rsidR="008F1C2B" w:rsidRPr="00854E52">
        <w:rPr>
          <w:b/>
          <w:bCs/>
        </w:rPr>
        <w:t xml:space="preserve"> </w:t>
      </w:r>
      <w:r w:rsidRPr="00854E52">
        <w:rPr>
          <w:b/>
          <w:bCs/>
        </w:rPr>
        <w:t>CAP?</w:t>
      </w:r>
    </w:p>
    <w:p w14:paraId="22C64D30" w14:textId="1D7F8FB2" w:rsidR="00854E52" w:rsidRDefault="00360960">
      <w:r>
        <w:t xml:space="preserve">The Early Literacy Observation Form is designed to be used during </w:t>
      </w:r>
      <w:r w:rsidR="00C32F31">
        <w:t xml:space="preserve">CAP </w:t>
      </w:r>
      <w:r>
        <w:t>Announced Observation #2</w:t>
      </w:r>
      <w:r w:rsidR="00854E52">
        <w:t xml:space="preserve"> because </w:t>
      </w:r>
      <w:r w:rsidR="00F41C63">
        <w:t xml:space="preserve">of the </w:t>
      </w:r>
      <w:r w:rsidR="00E81A37">
        <w:t xml:space="preserve">expectation </w:t>
      </w:r>
      <w:r w:rsidR="00854E52">
        <w:t xml:space="preserve">that a candidate </w:t>
      </w:r>
      <w:proofErr w:type="gramStart"/>
      <w:r w:rsidR="00854E52">
        <w:t>assume</w:t>
      </w:r>
      <w:proofErr w:type="gramEnd"/>
      <w:r w:rsidR="00854E52">
        <w:t xml:space="preserve"> responsibility of a full core teaching block</w:t>
      </w:r>
      <w:r w:rsidR="00F41C63">
        <w:t>.</w:t>
      </w:r>
      <w:r w:rsidR="00854E52">
        <w:t xml:space="preserve"> </w:t>
      </w:r>
      <w:r w:rsidR="006E4432">
        <w:t>For SOs using the paper-based CAP, it replaces the general observation form. For SOs using the CAP Online Platform, it can be used within the platform with some adjustments (see the next page for specific instructions).</w:t>
      </w:r>
    </w:p>
    <w:p w14:paraId="189A2AC2" w14:textId="4B372F4D" w:rsidR="00360960" w:rsidRDefault="00854E52">
      <w:r>
        <w:lastRenderedPageBreak/>
        <w:t xml:space="preserve">The </w:t>
      </w:r>
      <w:r w:rsidR="00360960">
        <w:t>Early Literacy Observation Form is associated with the following three essential elements: 1.A.1 Subject Matter Knowledge, 1.A.3 Well-Structured Units and Lessons, and 2.E.1 High Expectations. As such, an alternative sequence of focus elements for CAP observations (see below) may be used for candidates using the form. Following this alternative sequence when implementing the Early Literacy CAP Observation Form will ensure that candidates are assessed on all essential elements over the course of the practicum.</w:t>
      </w:r>
    </w:p>
    <w:p w14:paraId="4B0A0458" w14:textId="4D2EE35E" w:rsidR="00F70209" w:rsidRPr="00E64F24" w:rsidRDefault="00F70209" w:rsidP="0078368F">
      <w:pPr>
        <w:rPr>
          <w:b/>
          <w:bCs/>
        </w:rPr>
      </w:pPr>
      <w:r w:rsidRPr="00E64F24">
        <w:rPr>
          <w:b/>
          <w:bCs/>
        </w:rPr>
        <w:t>Traditional CAP Observation Sequence of Focus Elements</w:t>
      </w:r>
      <w:r w:rsidR="003262CB">
        <w:rPr>
          <w:b/>
          <w:bCs/>
        </w:rPr>
        <w:t xml:space="preserve"> (based on the CAP Guidelines)</w:t>
      </w:r>
    </w:p>
    <w:tbl>
      <w:tblPr>
        <w:tblStyle w:val="TableGrid"/>
        <w:tblW w:w="10495" w:type="dxa"/>
        <w:tblLook w:val="04A0" w:firstRow="1" w:lastRow="0" w:firstColumn="1" w:lastColumn="0" w:noHBand="0" w:noVBand="1"/>
      </w:tblPr>
      <w:tblGrid>
        <w:gridCol w:w="3386"/>
        <w:gridCol w:w="1777"/>
        <w:gridCol w:w="1777"/>
        <w:gridCol w:w="1777"/>
        <w:gridCol w:w="1778"/>
      </w:tblGrid>
      <w:tr w:rsidR="00871947" w14:paraId="301039D8" w14:textId="77777777" w:rsidTr="0078368F">
        <w:trPr>
          <w:trHeight w:val="137"/>
        </w:trPr>
        <w:tc>
          <w:tcPr>
            <w:tcW w:w="3386" w:type="dxa"/>
            <w:vAlign w:val="bottom"/>
          </w:tcPr>
          <w:p w14:paraId="1D478E29" w14:textId="6A7DE69F" w:rsidR="000F70AF" w:rsidRDefault="000F70AF" w:rsidP="002E441C">
            <w:r>
              <w:t>Essential Element</w:t>
            </w:r>
          </w:p>
        </w:tc>
        <w:tc>
          <w:tcPr>
            <w:tcW w:w="1777" w:type="dxa"/>
          </w:tcPr>
          <w:p w14:paraId="5D256BAC" w14:textId="127594D0" w:rsidR="000F70AF" w:rsidRDefault="000F70AF">
            <w:r>
              <w:t>Announced</w:t>
            </w:r>
            <w:r w:rsidR="0054177A">
              <w:t xml:space="preserve"> Observation #1</w:t>
            </w:r>
          </w:p>
        </w:tc>
        <w:tc>
          <w:tcPr>
            <w:tcW w:w="1777" w:type="dxa"/>
          </w:tcPr>
          <w:p w14:paraId="7FA088D6" w14:textId="29EC6537" w:rsidR="000F70AF" w:rsidRDefault="000F70AF">
            <w:r>
              <w:t>Unannounced</w:t>
            </w:r>
            <w:r w:rsidR="0054177A">
              <w:t xml:space="preserve"> #1</w:t>
            </w:r>
          </w:p>
        </w:tc>
        <w:tc>
          <w:tcPr>
            <w:tcW w:w="1777" w:type="dxa"/>
          </w:tcPr>
          <w:p w14:paraId="4CAE7466" w14:textId="7469BA13" w:rsidR="000F70AF" w:rsidRDefault="000F70AF">
            <w:r>
              <w:t>Announced</w:t>
            </w:r>
            <w:r w:rsidR="0054177A">
              <w:t xml:space="preserve"> Observation #2</w:t>
            </w:r>
          </w:p>
        </w:tc>
        <w:tc>
          <w:tcPr>
            <w:tcW w:w="1778" w:type="dxa"/>
          </w:tcPr>
          <w:p w14:paraId="5BB4543B" w14:textId="7C81C10D" w:rsidR="000F70AF" w:rsidRDefault="000F70AF">
            <w:r>
              <w:t>Unannounced</w:t>
            </w:r>
            <w:r w:rsidR="0054177A">
              <w:t xml:space="preserve"> Observation #2</w:t>
            </w:r>
          </w:p>
        </w:tc>
      </w:tr>
      <w:tr w:rsidR="00871947" w14:paraId="17FF5967" w14:textId="77777777" w:rsidTr="0078368F">
        <w:trPr>
          <w:trHeight w:val="255"/>
        </w:trPr>
        <w:tc>
          <w:tcPr>
            <w:tcW w:w="3386" w:type="dxa"/>
          </w:tcPr>
          <w:p w14:paraId="6DE44A2A" w14:textId="3D5778E9" w:rsidR="000F70AF" w:rsidRPr="000F70AF" w:rsidRDefault="000F70AF" w:rsidP="009D0AFD">
            <w:pPr>
              <w:rPr>
                <w:sz w:val="20"/>
                <w:szCs w:val="20"/>
              </w:rPr>
            </w:pPr>
            <w:r w:rsidRPr="000F70AF">
              <w:rPr>
                <w:sz w:val="20"/>
                <w:szCs w:val="20"/>
              </w:rPr>
              <w:t>1.A.1 Subject Matter Knowledge</w:t>
            </w:r>
          </w:p>
        </w:tc>
        <w:tc>
          <w:tcPr>
            <w:tcW w:w="1777" w:type="dxa"/>
          </w:tcPr>
          <w:p w14:paraId="69FE127C" w14:textId="77777777" w:rsidR="000F70AF" w:rsidRDefault="000F70AF" w:rsidP="00D03A81">
            <w:pPr>
              <w:pStyle w:val="ListParagraph"/>
              <w:numPr>
                <w:ilvl w:val="0"/>
                <w:numId w:val="4"/>
              </w:numPr>
            </w:pPr>
          </w:p>
        </w:tc>
        <w:tc>
          <w:tcPr>
            <w:tcW w:w="1777" w:type="dxa"/>
          </w:tcPr>
          <w:p w14:paraId="5318082C" w14:textId="77777777" w:rsidR="000F70AF" w:rsidRDefault="000F70AF" w:rsidP="006B640E">
            <w:pPr>
              <w:pStyle w:val="ListParagraph"/>
              <w:numPr>
                <w:ilvl w:val="0"/>
                <w:numId w:val="4"/>
              </w:numPr>
            </w:pPr>
          </w:p>
        </w:tc>
        <w:tc>
          <w:tcPr>
            <w:tcW w:w="1777" w:type="dxa"/>
          </w:tcPr>
          <w:p w14:paraId="5BFE53C1" w14:textId="77777777" w:rsidR="000F70AF" w:rsidRDefault="000F70AF"/>
        </w:tc>
        <w:tc>
          <w:tcPr>
            <w:tcW w:w="1778" w:type="dxa"/>
          </w:tcPr>
          <w:p w14:paraId="46DFEFCD" w14:textId="77777777" w:rsidR="000F70AF" w:rsidRDefault="000F70AF"/>
        </w:tc>
      </w:tr>
      <w:tr w:rsidR="00871947" w14:paraId="7B6AC631" w14:textId="77777777" w:rsidTr="0078368F">
        <w:trPr>
          <w:trHeight w:val="305"/>
        </w:trPr>
        <w:tc>
          <w:tcPr>
            <w:tcW w:w="3386" w:type="dxa"/>
          </w:tcPr>
          <w:p w14:paraId="641B6412" w14:textId="116F4900" w:rsidR="000F70AF" w:rsidRPr="000F70AF" w:rsidRDefault="000F70AF" w:rsidP="009D0AFD">
            <w:pPr>
              <w:rPr>
                <w:sz w:val="20"/>
                <w:szCs w:val="20"/>
              </w:rPr>
            </w:pPr>
            <w:r w:rsidRPr="000F70AF">
              <w:rPr>
                <w:sz w:val="20"/>
                <w:szCs w:val="20"/>
              </w:rPr>
              <w:t>1.A.3 Well-Structured Units and Lessons</w:t>
            </w:r>
          </w:p>
        </w:tc>
        <w:tc>
          <w:tcPr>
            <w:tcW w:w="1777" w:type="dxa"/>
          </w:tcPr>
          <w:p w14:paraId="09DAE5ED" w14:textId="77777777" w:rsidR="000F70AF" w:rsidRDefault="000F70AF" w:rsidP="00AE5D0C">
            <w:pPr>
              <w:pStyle w:val="ListParagraph"/>
              <w:numPr>
                <w:ilvl w:val="0"/>
                <w:numId w:val="4"/>
              </w:numPr>
            </w:pPr>
          </w:p>
        </w:tc>
        <w:tc>
          <w:tcPr>
            <w:tcW w:w="1777" w:type="dxa"/>
          </w:tcPr>
          <w:p w14:paraId="2DB37157" w14:textId="77777777" w:rsidR="000F70AF" w:rsidRDefault="000F70AF" w:rsidP="00B02E23">
            <w:pPr>
              <w:pStyle w:val="ListParagraph"/>
              <w:numPr>
                <w:ilvl w:val="0"/>
                <w:numId w:val="3"/>
              </w:numPr>
            </w:pPr>
          </w:p>
        </w:tc>
        <w:tc>
          <w:tcPr>
            <w:tcW w:w="1777" w:type="dxa"/>
          </w:tcPr>
          <w:p w14:paraId="580FF1F1" w14:textId="77777777" w:rsidR="000F70AF" w:rsidRDefault="000F70AF"/>
        </w:tc>
        <w:tc>
          <w:tcPr>
            <w:tcW w:w="1778" w:type="dxa"/>
          </w:tcPr>
          <w:p w14:paraId="76C1947F" w14:textId="77777777" w:rsidR="000F70AF" w:rsidRDefault="000F70AF"/>
        </w:tc>
      </w:tr>
      <w:tr w:rsidR="00871947" w14:paraId="41B768E9" w14:textId="77777777" w:rsidTr="0078368F">
        <w:trPr>
          <w:trHeight w:val="250"/>
        </w:trPr>
        <w:tc>
          <w:tcPr>
            <w:tcW w:w="3386" w:type="dxa"/>
          </w:tcPr>
          <w:p w14:paraId="6AE92D17" w14:textId="1D8B6579" w:rsidR="000F70AF" w:rsidRPr="000F70AF" w:rsidRDefault="000F70AF" w:rsidP="009D0AFD">
            <w:pPr>
              <w:rPr>
                <w:sz w:val="20"/>
                <w:szCs w:val="20"/>
              </w:rPr>
            </w:pPr>
            <w:r w:rsidRPr="000F70AF">
              <w:rPr>
                <w:sz w:val="20"/>
                <w:szCs w:val="20"/>
              </w:rPr>
              <w:t>1.B.2 Adjustments to Practice</w:t>
            </w:r>
          </w:p>
        </w:tc>
        <w:tc>
          <w:tcPr>
            <w:tcW w:w="1777" w:type="dxa"/>
          </w:tcPr>
          <w:p w14:paraId="0E73CA70" w14:textId="77777777" w:rsidR="000F70AF" w:rsidRDefault="000F70AF"/>
        </w:tc>
        <w:tc>
          <w:tcPr>
            <w:tcW w:w="1777" w:type="dxa"/>
          </w:tcPr>
          <w:p w14:paraId="0B29E091" w14:textId="77777777" w:rsidR="000F70AF" w:rsidRDefault="000F70AF"/>
        </w:tc>
        <w:tc>
          <w:tcPr>
            <w:tcW w:w="1777" w:type="dxa"/>
          </w:tcPr>
          <w:p w14:paraId="6098BECA" w14:textId="77777777" w:rsidR="000F70AF" w:rsidRDefault="000F70AF" w:rsidP="008B3B02">
            <w:pPr>
              <w:pStyle w:val="ListParagraph"/>
              <w:numPr>
                <w:ilvl w:val="0"/>
                <w:numId w:val="3"/>
              </w:numPr>
            </w:pPr>
          </w:p>
        </w:tc>
        <w:tc>
          <w:tcPr>
            <w:tcW w:w="1778" w:type="dxa"/>
          </w:tcPr>
          <w:p w14:paraId="5EDC3A5A" w14:textId="77777777" w:rsidR="000F70AF" w:rsidRDefault="000F70AF" w:rsidP="00B02E23">
            <w:pPr>
              <w:pStyle w:val="ListParagraph"/>
              <w:numPr>
                <w:ilvl w:val="0"/>
                <w:numId w:val="2"/>
              </w:numPr>
            </w:pPr>
          </w:p>
        </w:tc>
      </w:tr>
      <w:tr w:rsidR="00871947" w14:paraId="040C6843" w14:textId="77777777" w:rsidTr="0078368F">
        <w:trPr>
          <w:trHeight w:val="255"/>
        </w:trPr>
        <w:tc>
          <w:tcPr>
            <w:tcW w:w="3386" w:type="dxa"/>
          </w:tcPr>
          <w:p w14:paraId="2999D6E5" w14:textId="3FBA6E3F" w:rsidR="000F70AF" w:rsidRPr="000F70AF" w:rsidRDefault="000F70AF" w:rsidP="009D0AFD">
            <w:pPr>
              <w:rPr>
                <w:sz w:val="20"/>
                <w:szCs w:val="20"/>
              </w:rPr>
            </w:pPr>
            <w:r w:rsidRPr="000F70AF">
              <w:rPr>
                <w:sz w:val="20"/>
                <w:szCs w:val="20"/>
              </w:rPr>
              <w:t>2.A.3 Meeting Diverse Needs</w:t>
            </w:r>
          </w:p>
        </w:tc>
        <w:tc>
          <w:tcPr>
            <w:tcW w:w="1777" w:type="dxa"/>
          </w:tcPr>
          <w:p w14:paraId="0DD5DF4B" w14:textId="77777777" w:rsidR="000F70AF" w:rsidRDefault="000F70AF"/>
        </w:tc>
        <w:tc>
          <w:tcPr>
            <w:tcW w:w="1777" w:type="dxa"/>
          </w:tcPr>
          <w:p w14:paraId="60E3FA64" w14:textId="77777777" w:rsidR="000F70AF" w:rsidRDefault="000F70AF"/>
        </w:tc>
        <w:tc>
          <w:tcPr>
            <w:tcW w:w="1777" w:type="dxa"/>
          </w:tcPr>
          <w:p w14:paraId="2509A65F" w14:textId="77777777" w:rsidR="000F70AF" w:rsidRDefault="000F70AF" w:rsidP="008B3B02">
            <w:pPr>
              <w:pStyle w:val="ListParagraph"/>
              <w:numPr>
                <w:ilvl w:val="0"/>
                <w:numId w:val="2"/>
              </w:numPr>
            </w:pPr>
          </w:p>
        </w:tc>
        <w:tc>
          <w:tcPr>
            <w:tcW w:w="1778" w:type="dxa"/>
          </w:tcPr>
          <w:p w14:paraId="7E404E65" w14:textId="77777777" w:rsidR="000F70AF" w:rsidRDefault="000F70AF"/>
        </w:tc>
      </w:tr>
      <w:tr w:rsidR="00871947" w14:paraId="0B418E6C" w14:textId="77777777" w:rsidTr="0078368F">
        <w:trPr>
          <w:trHeight w:val="250"/>
        </w:trPr>
        <w:tc>
          <w:tcPr>
            <w:tcW w:w="3386" w:type="dxa"/>
          </w:tcPr>
          <w:p w14:paraId="43AE95D1" w14:textId="11EEB4D0" w:rsidR="000F70AF" w:rsidRPr="000F70AF" w:rsidRDefault="000F70AF" w:rsidP="009D0AFD">
            <w:pPr>
              <w:rPr>
                <w:sz w:val="20"/>
                <w:szCs w:val="20"/>
              </w:rPr>
            </w:pPr>
            <w:r w:rsidRPr="000F70AF">
              <w:rPr>
                <w:sz w:val="20"/>
                <w:szCs w:val="20"/>
              </w:rPr>
              <w:t>2.B.1 Safe Learning Environment</w:t>
            </w:r>
          </w:p>
        </w:tc>
        <w:tc>
          <w:tcPr>
            <w:tcW w:w="1777" w:type="dxa"/>
          </w:tcPr>
          <w:p w14:paraId="1BB65CF4" w14:textId="77777777" w:rsidR="000F70AF" w:rsidRDefault="000F70AF"/>
        </w:tc>
        <w:tc>
          <w:tcPr>
            <w:tcW w:w="1777" w:type="dxa"/>
          </w:tcPr>
          <w:p w14:paraId="3E18B0F1" w14:textId="77777777" w:rsidR="000F70AF" w:rsidRDefault="000F70AF" w:rsidP="00B02E23">
            <w:pPr>
              <w:pStyle w:val="ListParagraph"/>
              <w:numPr>
                <w:ilvl w:val="0"/>
                <w:numId w:val="2"/>
              </w:numPr>
            </w:pPr>
          </w:p>
        </w:tc>
        <w:tc>
          <w:tcPr>
            <w:tcW w:w="1777" w:type="dxa"/>
          </w:tcPr>
          <w:p w14:paraId="5448DF26" w14:textId="77777777" w:rsidR="000F70AF" w:rsidRDefault="000F70AF"/>
        </w:tc>
        <w:tc>
          <w:tcPr>
            <w:tcW w:w="1778" w:type="dxa"/>
          </w:tcPr>
          <w:p w14:paraId="0AA5873B" w14:textId="77777777" w:rsidR="000F70AF" w:rsidRDefault="000F70AF"/>
        </w:tc>
      </w:tr>
      <w:tr w:rsidR="00871947" w14:paraId="7D95AB93" w14:textId="77777777" w:rsidTr="0078368F">
        <w:trPr>
          <w:trHeight w:val="255"/>
        </w:trPr>
        <w:tc>
          <w:tcPr>
            <w:tcW w:w="3386" w:type="dxa"/>
          </w:tcPr>
          <w:p w14:paraId="6A55E8BF" w14:textId="37D7ADA8" w:rsidR="000F70AF" w:rsidRPr="000F70AF" w:rsidRDefault="000F70AF" w:rsidP="009D0AFD">
            <w:pPr>
              <w:rPr>
                <w:sz w:val="20"/>
                <w:szCs w:val="20"/>
              </w:rPr>
            </w:pPr>
            <w:r w:rsidRPr="000F70AF">
              <w:rPr>
                <w:sz w:val="20"/>
                <w:szCs w:val="20"/>
              </w:rPr>
              <w:t>2.E.1 High Expectations</w:t>
            </w:r>
          </w:p>
        </w:tc>
        <w:tc>
          <w:tcPr>
            <w:tcW w:w="1777" w:type="dxa"/>
          </w:tcPr>
          <w:p w14:paraId="7CCEDCF2" w14:textId="77777777" w:rsidR="000F70AF" w:rsidRDefault="000F70AF" w:rsidP="00AE5D0C">
            <w:pPr>
              <w:pStyle w:val="ListParagraph"/>
              <w:numPr>
                <w:ilvl w:val="0"/>
                <w:numId w:val="2"/>
              </w:numPr>
            </w:pPr>
          </w:p>
        </w:tc>
        <w:tc>
          <w:tcPr>
            <w:tcW w:w="1777" w:type="dxa"/>
          </w:tcPr>
          <w:p w14:paraId="26FF2FE5" w14:textId="77777777" w:rsidR="000F70AF" w:rsidRDefault="000F70AF"/>
        </w:tc>
        <w:tc>
          <w:tcPr>
            <w:tcW w:w="1777" w:type="dxa"/>
          </w:tcPr>
          <w:p w14:paraId="26DD20F6" w14:textId="77777777" w:rsidR="000F70AF" w:rsidRDefault="000F70AF"/>
        </w:tc>
        <w:tc>
          <w:tcPr>
            <w:tcW w:w="1778" w:type="dxa"/>
          </w:tcPr>
          <w:p w14:paraId="0C463CC3" w14:textId="77777777" w:rsidR="000F70AF" w:rsidRDefault="000F70AF"/>
        </w:tc>
      </w:tr>
    </w:tbl>
    <w:p w14:paraId="7727FBD4" w14:textId="77777777" w:rsidR="00FA490C" w:rsidRDefault="00FA490C" w:rsidP="00871947">
      <w:pPr>
        <w:spacing w:after="0"/>
      </w:pPr>
    </w:p>
    <w:p w14:paraId="5598312C" w14:textId="3F2E8F15" w:rsidR="00E64F24" w:rsidRDefault="00E64F24" w:rsidP="006A0171">
      <w:pPr>
        <w:spacing w:after="0"/>
        <w:rPr>
          <w:b/>
          <w:bCs/>
        </w:rPr>
      </w:pPr>
      <w:r w:rsidRPr="00772B08">
        <w:rPr>
          <w:b/>
          <w:bCs/>
        </w:rPr>
        <w:t xml:space="preserve">Alternative CAP Observation Sequence of Focus Elements </w:t>
      </w:r>
      <w:r w:rsidR="00AF3017">
        <w:rPr>
          <w:b/>
          <w:bCs/>
        </w:rPr>
        <w:t>for Early Literacy Observation</w:t>
      </w:r>
    </w:p>
    <w:tbl>
      <w:tblPr>
        <w:tblStyle w:val="TableGrid"/>
        <w:tblW w:w="10507" w:type="dxa"/>
        <w:tblLook w:val="04A0" w:firstRow="1" w:lastRow="0" w:firstColumn="1" w:lastColumn="0" w:noHBand="0" w:noVBand="1"/>
      </w:tblPr>
      <w:tblGrid>
        <w:gridCol w:w="3387"/>
        <w:gridCol w:w="1780"/>
        <w:gridCol w:w="1780"/>
        <w:gridCol w:w="1780"/>
        <w:gridCol w:w="1780"/>
      </w:tblGrid>
      <w:tr w:rsidR="00AF3017" w14:paraId="65B774E7" w14:textId="77777777" w:rsidTr="0078368F">
        <w:trPr>
          <w:trHeight w:val="892"/>
        </w:trPr>
        <w:tc>
          <w:tcPr>
            <w:tcW w:w="3387" w:type="dxa"/>
            <w:vAlign w:val="bottom"/>
          </w:tcPr>
          <w:p w14:paraId="4AD086DC" w14:textId="77777777" w:rsidR="00AF3017" w:rsidRDefault="00AF3017" w:rsidP="00AF3017">
            <w:r>
              <w:t>Essential Element</w:t>
            </w:r>
          </w:p>
        </w:tc>
        <w:tc>
          <w:tcPr>
            <w:tcW w:w="1780" w:type="dxa"/>
          </w:tcPr>
          <w:p w14:paraId="3CD28DA0" w14:textId="2CF4595A" w:rsidR="00AF3017" w:rsidRDefault="00AF3017" w:rsidP="00AF3017">
            <w:r>
              <w:t>Announced Observation #1</w:t>
            </w:r>
          </w:p>
        </w:tc>
        <w:tc>
          <w:tcPr>
            <w:tcW w:w="1780" w:type="dxa"/>
          </w:tcPr>
          <w:p w14:paraId="748FF595" w14:textId="7125C50E" w:rsidR="00AF3017" w:rsidRDefault="00AF3017" w:rsidP="00AF3017">
            <w:r>
              <w:t>Unannounced #1</w:t>
            </w:r>
          </w:p>
        </w:tc>
        <w:tc>
          <w:tcPr>
            <w:tcW w:w="1780" w:type="dxa"/>
            <w:shd w:val="clear" w:color="auto" w:fill="E2EFD9" w:themeFill="accent6" w:themeFillTint="33"/>
          </w:tcPr>
          <w:p w14:paraId="51CD59C0" w14:textId="5EB6C31B" w:rsidR="00AF3017" w:rsidRDefault="00AF3017" w:rsidP="00AF3017">
            <w:r>
              <w:t>Announced Observation #2 (Early Literacy)</w:t>
            </w:r>
          </w:p>
        </w:tc>
        <w:tc>
          <w:tcPr>
            <w:tcW w:w="1780" w:type="dxa"/>
          </w:tcPr>
          <w:p w14:paraId="4DF90812" w14:textId="7DC5341C" w:rsidR="00AF3017" w:rsidRDefault="00AF3017" w:rsidP="00AF3017">
            <w:r>
              <w:t>Unannounced Observation #2</w:t>
            </w:r>
          </w:p>
        </w:tc>
      </w:tr>
      <w:tr w:rsidR="009D0AFD" w14:paraId="494276E0" w14:textId="77777777" w:rsidTr="0078368F">
        <w:trPr>
          <w:trHeight w:val="252"/>
        </w:trPr>
        <w:tc>
          <w:tcPr>
            <w:tcW w:w="3387" w:type="dxa"/>
          </w:tcPr>
          <w:p w14:paraId="4A0C9E01" w14:textId="77777777" w:rsidR="000F70AF" w:rsidRPr="000F70AF" w:rsidRDefault="4649C444" w:rsidP="009D0AFD">
            <w:pPr>
              <w:rPr>
                <w:sz w:val="20"/>
                <w:szCs w:val="20"/>
              </w:rPr>
            </w:pPr>
            <w:r w:rsidRPr="779A33E6">
              <w:rPr>
                <w:sz w:val="20"/>
                <w:szCs w:val="20"/>
              </w:rPr>
              <w:t>1.A.1 Subject Matter Knowledge</w:t>
            </w:r>
          </w:p>
        </w:tc>
        <w:tc>
          <w:tcPr>
            <w:tcW w:w="1780" w:type="dxa"/>
          </w:tcPr>
          <w:p w14:paraId="61166F44" w14:textId="77777777" w:rsidR="000F70AF" w:rsidRDefault="000F70AF" w:rsidP="00161DF0">
            <w:pPr>
              <w:pStyle w:val="ListParagraph"/>
              <w:numPr>
                <w:ilvl w:val="0"/>
                <w:numId w:val="1"/>
              </w:numPr>
            </w:pPr>
          </w:p>
        </w:tc>
        <w:tc>
          <w:tcPr>
            <w:tcW w:w="1780" w:type="dxa"/>
          </w:tcPr>
          <w:p w14:paraId="34B77AEA" w14:textId="77777777" w:rsidR="000F70AF" w:rsidRDefault="000F70AF" w:rsidP="00E464EF">
            <w:pPr>
              <w:pStyle w:val="ListParagraph"/>
              <w:numPr>
                <w:ilvl w:val="0"/>
                <w:numId w:val="1"/>
              </w:numPr>
            </w:pPr>
          </w:p>
        </w:tc>
        <w:tc>
          <w:tcPr>
            <w:tcW w:w="1780" w:type="dxa"/>
            <w:shd w:val="clear" w:color="auto" w:fill="E2EFD9" w:themeFill="accent6" w:themeFillTint="33"/>
          </w:tcPr>
          <w:p w14:paraId="7DF33C78" w14:textId="77777777" w:rsidR="000F70AF" w:rsidRDefault="000F70AF" w:rsidP="00161DF0">
            <w:pPr>
              <w:pStyle w:val="ListParagraph"/>
              <w:numPr>
                <w:ilvl w:val="0"/>
                <w:numId w:val="1"/>
              </w:numPr>
            </w:pPr>
          </w:p>
        </w:tc>
        <w:tc>
          <w:tcPr>
            <w:tcW w:w="1780" w:type="dxa"/>
          </w:tcPr>
          <w:p w14:paraId="7763C326" w14:textId="77777777" w:rsidR="000F70AF" w:rsidRDefault="000F70AF" w:rsidP="0004615F"/>
        </w:tc>
      </w:tr>
      <w:tr w:rsidR="009D0AFD" w14:paraId="05BD10DD" w14:textId="77777777" w:rsidTr="0078368F">
        <w:trPr>
          <w:trHeight w:val="252"/>
        </w:trPr>
        <w:tc>
          <w:tcPr>
            <w:tcW w:w="3387" w:type="dxa"/>
          </w:tcPr>
          <w:p w14:paraId="15D742C6" w14:textId="77777777" w:rsidR="000F70AF" w:rsidRPr="000F70AF" w:rsidRDefault="000F70AF" w:rsidP="009D0AFD">
            <w:pPr>
              <w:rPr>
                <w:sz w:val="20"/>
                <w:szCs w:val="20"/>
              </w:rPr>
            </w:pPr>
            <w:r w:rsidRPr="000F70AF">
              <w:rPr>
                <w:sz w:val="20"/>
                <w:szCs w:val="20"/>
              </w:rPr>
              <w:t>1.A.3 Well-Structured Units and Lessons</w:t>
            </w:r>
          </w:p>
        </w:tc>
        <w:tc>
          <w:tcPr>
            <w:tcW w:w="1780" w:type="dxa"/>
          </w:tcPr>
          <w:p w14:paraId="7E295FC5" w14:textId="77777777" w:rsidR="000F70AF" w:rsidRDefault="000F70AF" w:rsidP="0004615F"/>
        </w:tc>
        <w:tc>
          <w:tcPr>
            <w:tcW w:w="1780" w:type="dxa"/>
          </w:tcPr>
          <w:p w14:paraId="144C1177" w14:textId="77777777" w:rsidR="000F70AF" w:rsidRDefault="000F70AF" w:rsidP="00161DF0">
            <w:pPr>
              <w:pStyle w:val="ListParagraph"/>
              <w:numPr>
                <w:ilvl w:val="0"/>
                <w:numId w:val="1"/>
              </w:numPr>
            </w:pPr>
          </w:p>
        </w:tc>
        <w:tc>
          <w:tcPr>
            <w:tcW w:w="1780" w:type="dxa"/>
            <w:shd w:val="clear" w:color="auto" w:fill="E2EFD9" w:themeFill="accent6" w:themeFillTint="33"/>
          </w:tcPr>
          <w:p w14:paraId="4546B050" w14:textId="77777777" w:rsidR="000F70AF" w:rsidRDefault="000F70AF" w:rsidP="00161DF0">
            <w:pPr>
              <w:pStyle w:val="ListParagraph"/>
              <w:numPr>
                <w:ilvl w:val="0"/>
                <w:numId w:val="1"/>
              </w:numPr>
            </w:pPr>
          </w:p>
        </w:tc>
        <w:tc>
          <w:tcPr>
            <w:tcW w:w="1780" w:type="dxa"/>
          </w:tcPr>
          <w:p w14:paraId="43E6BBBD" w14:textId="77777777" w:rsidR="000F70AF" w:rsidRDefault="000F70AF" w:rsidP="0004615F"/>
        </w:tc>
      </w:tr>
      <w:tr w:rsidR="009D0AFD" w14:paraId="65A021D0" w14:textId="77777777" w:rsidTr="0078368F">
        <w:trPr>
          <w:trHeight w:val="244"/>
        </w:trPr>
        <w:tc>
          <w:tcPr>
            <w:tcW w:w="3387" w:type="dxa"/>
          </w:tcPr>
          <w:p w14:paraId="413CA189" w14:textId="77777777" w:rsidR="000F70AF" w:rsidRPr="000F70AF" w:rsidRDefault="000F70AF" w:rsidP="009D0AFD">
            <w:pPr>
              <w:rPr>
                <w:sz w:val="20"/>
                <w:szCs w:val="20"/>
              </w:rPr>
            </w:pPr>
            <w:r w:rsidRPr="000F70AF">
              <w:rPr>
                <w:sz w:val="20"/>
                <w:szCs w:val="20"/>
              </w:rPr>
              <w:t>1.B.2 Adjustments to Practice</w:t>
            </w:r>
          </w:p>
        </w:tc>
        <w:tc>
          <w:tcPr>
            <w:tcW w:w="1780" w:type="dxa"/>
          </w:tcPr>
          <w:p w14:paraId="4E0DE7E6" w14:textId="77777777" w:rsidR="000F70AF" w:rsidRDefault="000F70AF" w:rsidP="0004615F"/>
        </w:tc>
        <w:tc>
          <w:tcPr>
            <w:tcW w:w="1780" w:type="dxa"/>
          </w:tcPr>
          <w:p w14:paraId="06864850" w14:textId="77777777" w:rsidR="000F70AF" w:rsidRDefault="000F70AF" w:rsidP="0004615F"/>
        </w:tc>
        <w:tc>
          <w:tcPr>
            <w:tcW w:w="1780" w:type="dxa"/>
            <w:shd w:val="clear" w:color="auto" w:fill="E2EFD9" w:themeFill="accent6" w:themeFillTint="33"/>
          </w:tcPr>
          <w:p w14:paraId="6890CBCC" w14:textId="77777777" w:rsidR="000F70AF" w:rsidRDefault="000F70AF" w:rsidP="0004615F"/>
        </w:tc>
        <w:tc>
          <w:tcPr>
            <w:tcW w:w="1780" w:type="dxa"/>
          </w:tcPr>
          <w:p w14:paraId="15E74DCB" w14:textId="77777777" w:rsidR="000F70AF" w:rsidRDefault="000F70AF" w:rsidP="00161DF0">
            <w:pPr>
              <w:pStyle w:val="ListParagraph"/>
              <w:numPr>
                <w:ilvl w:val="0"/>
                <w:numId w:val="1"/>
              </w:numPr>
            </w:pPr>
          </w:p>
        </w:tc>
      </w:tr>
      <w:tr w:rsidR="009D0AFD" w14:paraId="3820C995" w14:textId="77777777" w:rsidTr="0078368F">
        <w:trPr>
          <w:trHeight w:val="244"/>
        </w:trPr>
        <w:tc>
          <w:tcPr>
            <w:tcW w:w="3387" w:type="dxa"/>
          </w:tcPr>
          <w:p w14:paraId="4B3E03D3" w14:textId="77777777" w:rsidR="000F70AF" w:rsidRPr="000F70AF" w:rsidRDefault="000F70AF" w:rsidP="009D0AFD">
            <w:pPr>
              <w:rPr>
                <w:sz w:val="20"/>
                <w:szCs w:val="20"/>
              </w:rPr>
            </w:pPr>
            <w:r w:rsidRPr="000F70AF">
              <w:rPr>
                <w:sz w:val="20"/>
                <w:szCs w:val="20"/>
              </w:rPr>
              <w:t>2.A.3 Meeting Diverse Needs</w:t>
            </w:r>
          </w:p>
        </w:tc>
        <w:tc>
          <w:tcPr>
            <w:tcW w:w="1780" w:type="dxa"/>
          </w:tcPr>
          <w:p w14:paraId="252598A2" w14:textId="77777777" w:rsidR="000F70AF" w:rsidRDefault="000F70AF" w:rsidP="00161DF0">
            <w:pPr>
              <w:pStyle w:val="ListParagraph"/>
              <w:numPr>
                <w:ilvl w:val="0"/>
                <w:numId w:val="1"/>
              </w:numPr>
            </w:pPr>
          </w:p>
        </w:tc>
        <w:tc>
          <w:tcPr>
            <w:tcW w:w="1780" w:type="dxa"/>
          </w:tcPr>
          <w:p w14:paraId="2E5D56AB" w14:textId="77777777" w:rsidR="000F70AF" w:rsidRDefault="000F70AF" w:rsidP="0004615F"/>
        </w:tc>
        <w:tc>
          <w:tcPr>
            <w:tcW w:w="1780" w:type="dxa"/>
            <w:shd w:val="clear" w:color="auto" w:fill="E2EFD9" w:themeFill="accent6" w:themeFillTint="33"/>
          </w:tcPr>
          <w:p w14:paraId="4DD2B377" w14:textId="77777777" w:rsidR="000F70AF" w:rsidRDefault="000F70AF" w:rsidP="0004615F"/>
        </w:tc>
        <w:tc>
          <w:tcPr>
            <w:tcW w:w="1780" w:type="dxa"/>
          </w:tcPr>
          <w:p w14:paraId="273BB1CD" w14:textId="77777777" w:rsidR="000F70AF" w:rsidRDefault="000F70AF" w:rsidP="0004615F"/>
        </w:tc>
      </w:tr>
      <w:tr w:rsidR="009D0AFD" w14:paraId="1014FE0D" w14:textId="77777777" w:rsidTr="0078368F">
        <w:trPr>
          <w:trHeight w:val="252"/>
        </w:trPr>
        <w:tc>
          <w:tcPr>
            <w:tcW w:w="3387" w:type="dxa"/>
          </w:tcPr>
          <w:p w14:paraId="5CE2373D" w14:textId="77777777" w:rsidR="000F70AF" w:rsidRPr="000F70AF" w:rsidRDefault="000F70AF" w:rsidP="009D0AFD">
            <w:pPr>
              <w:rPr>
                <w:sz w:val="20"/>
                <w:szCs w:val="20"/>
              </w:rPr>
            </w:pPr>
            <w:r w:rsidRPr="000F70AF">
              <w:rPr>
                <w:sz w:val="20"/>
                <w:szCs w:val="20"/>
              </w:rPr>
              <w:t>2.B.1 Safe Learning Environment</w:t>
            </w:r>
          </w:p>
        </w:tc>
        <w:tc>
          <w:tcPr>
            <w:tcW w:w="1780" w:type="dxa"/>
          </w:tcPr>
          <w:p w14:paraId="6D6DFE64" w14:textId="77777777" w:rsidR="000F70AF" w:rsidRDefault="000F70AF" w:rsidP="0004615F"/>
        </w:tc>
        <w:tc>
          <w:tcPr>
            <w:tcW w:w="1780" w:type="dxa"/>
          </w:tcPr>
          <w:p w14:paraId="2FC53D5D" w14:textId="77777777" w:rsidR="000F70AF" w:rsidRDefault="000F70AF" w:rsidP="00161DF0">
            <w:pPr>
              <w:pStyle w:val="ListParagraph"/>
              <w:numPr>
                <w:ilvl w:val="0"/>
                <w:numId w:val="1"/>
              </w:numPr>
            </w:pPr>
          </w:p>
        </w:tc>
        <w:tc>
          <w:tcPr>
            <w:tcW w:w="1780" w:type="dxa"/>
            <w:shd w:val="clear" w:color="auto" w:fill="E2EFD9" w:themeFill="accent6" w:themeFillTint="33"/>
          </w:tcPr>
          <w:p w14:paraId="3CCFD627" w14:textId="77777777" w:rsidR="000F70AF" w:rsidRDefault="000F70AF" w:rsidP="0004615F"/>
        </w:tc>
        <w:tc>
          <w:tcPr>
            <w:tcW w:w="1780" w:type="dxa"/>
          </w:tcPr>
          <w:p w14:paraId="0C5766F2" w14:textId="77777777" w:rsidR="000F70AF" w:rsidRDefault="000F70AF" w:rsidP="0004615F"/>
        </w:tc>
      </w:tr>
      <w:tr w:rsidR="009D0AFD" w14:paraId="31471FD2" w14:textId="77777777" w:rsidTr="0078368F">
        <w:trPr>
          <w:trHeight w:val="244"/>
        </w:trPr>
        <w:tc>
          <w:tcPr>
            <w:tcW w:w="3387" w:type="dxa"/>
          </w:tcPr>
          <w:p w14:paraId="1062EBAD" w14:textId="77777777" w:rsidR="000F70AF" w:rsidRPr="000F70AF" w:rsidRDefault="000F70AF" w:rsidP="009D0AFD">
            <w:pPr>
              <w:rPr>
                <w:sz w:val="20"/>
                <w:szCs w:val="20"/>
              </w:rPr>
            </w:pPr>
            <w:r w:rsidRPr="000F70AF">
              <w:rPr>
                <w:sz w:val="20"/>
                <w:szCs w:val="20"/>
              </w:rPr>
              <w:t>2.E.1 High Expectations</w:t>
            </w:r>
          </w:p>
        </w:tc>
        <w:tc>
          <w:tcPr>
            <w:tcW w:w="1780" w:type="dxa"/>
          </w:tcPr>
          <w:p w14:paraId="3DF8131B" w14:textId="77777777" w:rsidR="000F70AF" w:rsidRDefault="000F70AF" w:rsidP="00161DF0">
            <w:pPr>
              <w:pStyle w:val="ListParagraph"/>
              <w:numPr>
                <w:ilvl w:val="0"/>
                <w:numId w:val="1"/>
              </w:numPr>
            </w:pPr>
          </w:p>
        </w:tc>
        <w:tc>
          <w:tcPr>
            <w:tcW w:w="1780" w:type="dxa"/>
          </w:tcPr>
          <w:p w14:paraId="7101C2AE" w14:textId="77777777" w:rsidR="000F70AF" w:rsidRDefault="000F70AF" w:rsidP="0004615F"/>
        </w:tc>
        <w:tc>
          <w:tcPr>
            <w:tcW w:w="1780" w:type="dxa"/>
            <w:shd w:val="clear" w:color="auto" w:fill="E2EFD9" w:themeFill="accent6" w:themeFillTint="33"/>
          </w:tcPr>
          <w:p w14:paraId="6B967F2D" w14:textId="77777777" w:rsidR="000F70AF" w:rsidRDefault="000F70AF" w:rsidP="00161DF0">
            <w:pPr>
              <w:pStyle w:val="ListParagraph"/>
              <w:numPr>
                <w:ilvl w:val="0"/>
                <w:numId w:val="1"/>
              </w:numPr>
            </w:pPr>
          </w:p>
        </w:tc>
        <w:tc>
          <w:tcPr>
            <w:tcW w:w="1780" w:type="dxa"/>
          </w:tcPr>
          <w:p w14:paraId="0799C5D5" w14:textId="77777777" w:rsidR="000F70AF" w:rsidRDefault="000F70AF" w:rsidP="0004615F"/>
        </w:tc>
      </w:tr>
    </w:tbl>
    <w:p w14:paraId="3C2E47DD" w14:textId="77777777" w:rsidR="001711F2" w:rsidRDefault="001711F2" w:rsidP="001711F2">
      <w:pPr>
        <w:spacing w:after="0"/>
        <w:rPr>
          <w:b/>
          <w:bCs/>
        </w:rPr>
      </w:pPr>
    </w:p>
    <w:p w14:paraId="55675BF9" w14:textId="7833EBB9" w:rsidR="006031DC" w:rsidRPr="002E441C" w:rsidRDefault="006031DC" w:rsidP="00BA6F39">
      <w:pPr>
        <w:spacing w:after="0"/>
      </w:pPr>
      <w:r w:rsidRPr="006031DC">
        <w:rPr>
          <w:b/>
          <w:bCs/>
        </w:rPr>
        <w:t>Can the Early Literacy Observation Form</w:t>
      </w:r>
      <w:r>
        <w:rPr>
          <w:b/>
          <w:bCs/>
        </w:rPr>
        <w:t xml:space="preserve"> be used</w:t>
      </w:r>
      <w:r w:rsidRPr="006031DC">
        <w:rPr>
          <w:b/>
          <w:bCs/>
        </w:rPr>
        <w:t xml:space="preserve"> in the CAP Online Platform?</w:t>
      </w:r>
    </w:p>
    <w:p w14:paraId="5EFD3807" w14:textId="477F454E" w:rsidR="006031DC" w:rsidRDefault="006031DC">
      <w:r>
        <w:t>Yes, the Early Literacy Observation Form mirror</w:t>
      </w:r>
      <w:r w:rsidR="001E0B9E">
        <w:t>s</w:t>
      </w:r>
      <w:r>
        <w:t xml:space="preserve"> the general CAP Observation Form</w:t>
      </w:r>
      <w:r w:rsidR="00A7014B">
        <w:t xml:space="preserve"> so Program Supervisors can continue to </w:t>
      </w:r>
      <w:r w:rsidR="005D2AD1">
        <w:t xml:space="preserve">use the </w:t>
      </w:r>
      <w:r w:rsidR="00A5245F">
        <w:t xml:space="preserve">CAP </w:t>
      </w:r>
      <w:r w:rsidR="005D2AD1">
        <w:t>Online Platform to enter evidence and feedback</w:t>
      </w:r>
      <w:r w:rsidR="00C51FA9">
        <w:t xml:space="preserve">. </w:t>
      </w:r>
      <w:r w:rsidR="005D2AD1">
        <w:t xml:space="preserve">However, as the full tool </w:t>
      </w:r>
      <w:r w:rsidR="008473EF">
        <w:t xml:space="preserve">also </w:t>
      </w:r>
      <w:r w:rsidR="005D2AD1">
        <w:t xml:space="preserve">includes a </w:t>
      </w:r>
      <w:r w:rsidR="005D2AD1" w:rsidRPr="00152D54">
        <w:t>protocol for conducting the observation and specific Look Fors</w:t>
      </w:r>
      <w:r w:rsidR="009A7F22" w:rsidRPr="00152D54">
        <w:t xml:space="preserve"> that are not integrated into the Online Platform</w:t>
      </w:r>
      <w:r w:rsidR="005D2AD1" w:rsidRPr="00152D54">
        <w:t xml:space="preserve">, supervisors should </w:t>
      </w:r>
      <w:r w:rsidR="006971DC">
        <w:t>a</w:t>
      </w:r>
      <w:r w:rsidR="002F73E1">
        <w:t>ccess</w:t>
      </w:r>
      <w:r w:rsidR="005D2AD1" w:rsidRPr="00152D54">
        <w:t xml:space="preserve"> </w:t>
      </w:r>
      <w:r w:rsidR="00855964" w:rsidRPr="00152D54">
        <w:t xml:space="preserve">a </w:t>
      </w:r>
      <w:r w:rsidR="005D2AD1" w:rsidRPr="00152D54">
        <w:t xml:space="preserve">copy of the </w:t>
      </w:r>
      <w:hyperlink r:id="rId13" w:history="1">
        <w:r w:rsidR="005D2AD1" w:rsidRPr="00FA22D7">
          <w:rPr>
            <w:rStyle w:val="Hyperlink"/>
          </w:rPr>
          <w:t>Early Literacy Observation Form</w:t>
        </w:r>
      </w:hyperlink>
      <w:r w:rsidR="005D2AD1" w:rsidRPr="00152D54">
        <w:t xml:space="preserve"> </w:t>
      </w:r>
      <w:r w:rsidR="008473EF" w:rsidRPr="00152D54">
        <w:rPr>
          <w:i/>
          <w:iCs/>
        </w:rPr>
        <w:t>separately</w:t>
      </w:r>
      <w:r w:rsidR="008473EF" w:rsidRPr="00152D54">
        <w:t xml:space="preserve"> from the </w:t>
      </w:r>
      <w:r w:rsidR="00A5245F" w:rsidRPr="00152D54">
        <w:t xml:space="preserve">CAP </w:t>
      </w:r>
      <w:r w:rsidR="008473EF" w:rsidRPr="00152D54">
        <w:t>Online Platform</w:t>
      </w:r>
      <w:r w:rsidR="007828F9" w:rsidRPr="00152D54">
        <w:t xml:space="preserve"> as guidance for their observation and feedback</w:t>
      </w:r>
      <w:r w:rsidR="008473EF" w:rsidRPr="00152D54">
        <w:t>.</w:t>
      </w:r>
      <w:r w:rsidR="005D2AD1">
        <w:t xml:space="preserve"> </w:t>
      </w:r>
    </w:p>
    <w:p w14:paraId="5B4D9475" w14:textId="48A24E34" w:rsidR="006031DC" w:rsidRDefault="00AB3DA4">
      <w:r>
        <w:t>In the CAP Online Platform, th</w:t>
      </w:r>
      <w:r w:rsidR="000F4186">
        <w:t>e designated focus element</w:t>
      </w:r>
      <w:r w:rsidR="00C51FA9">
        <w:t>s</w:t>
      </w:r>
      <w:r w:rsidR="000F4186">
        <w:t xml:space="preserve"> for each observation are </w:t>
      </w:r>
      <w:r w:rsidR="0023568C">
        <w:t>“</w:t>
      </w:r>
      <w:r w:rsidR="000F4186">
        <w:t>required fields.</w:t>
      </w:r>
      <w:r w:rsidR="00645F14">
        <w:t>”</w:t>
      </w:r>
      <w:r w:rsidR="000F4186">
        <w:t xml:space="preserve"> This means that supervisors must enter information into th</w:t>
      </w:r>
      <w:r w:rsidR="0023568C">
        <w:t xml:space="preserve">ose text boxes </w:t>
      </w:r>
      <w:proofErr w:type="gramStart"/>
      <w:r w:rsidR="0023568C">
        <w:t>in order for</w:t>
      </w:r>
      <w:proofErr w:type="gramEnd"/>
      <w:r w:rsidR="0023568C">
        <w:t xml:space="preserve"> the form to be marked as complete in the system.</w:t>
      </w:r>
      <w:r w:rsidR="00C51FA9">
        <w:t xml:space="preserve"> </w:t>
      </w:r>
      <w:r w:rsidR="00426504">
        <w:t xml:space="preserve">Because the Early Literacy Observation Form necessitates a </w:t>
      </w:r>
      <w:r w:rsidR="00426504" w:rsidRPr="000838F1">
        <w:rPr>
          <w:i/>
          <w:iCs/>
        </w:rPr>
        <w:t>different sequence of focus elements</w:t>
      </w:r>
      <w:r w:rsidR="00426504">
        <w:t xml:space="preserve"> than what is currently in the system, supervisors </w:t>
      </w:r>
      <w:r w:rsidR="00C51FA9">
        <w:t xml:space="preserve">may </w:t>
      </w:r>
      <w:r w:rsidR="00426504">
        <w:t>have to use the following workaround</w:t>
      </w:r>
      <w:r w:rsidR="000838F1">
        <w:t xml:space="preserve"> for completing Announced Observation Forms </w:t>
      </w:r>
      <w:r w:rsidR="006031DC" w:rsidRPr="00426504">
        <w:t>i</w:t>
      </w:r>
      <w:r w:rsidR="00F03C4C">
        <w:t>n</w:t>
      </w:r>
      <w:r w:rsidR="006031DC" w:rsidRPr="00426504">
        <w:t xml:space="preserve"> the CAP Online Platform for teacher candidates being observed with the Early Literacy Observation Form during the 2023-24 school year.</w:t>
      </w:r>
      <w:r w:rsidR="004418A8">
        <w:t xml:space="preserve"> There is no change to Unannounced Observations. </w:t>
      </w:r>
    </w:p>
    <w:tbl>
      <w:tblPr>
        <w:tblStyle w:val="TableGrid"/>
        <w:tblW w:w="10044" w:type="dxa"/>
        <w:tblLook w:val="04A0" w:firstRow="1" w:lastRow="0" w:firstColumn="1" w:lastColumn="0" w:noHBand="0" w:noVBand="1"/>
      </w:tblPr>
      <w:tblGrid>
        <w:gridCol w:w="3301"/>
        <w:gridCol w:w="6743"/>
      </w:tblGrid>
      <w:tr w:rsidR="00426504" w14:paraId="6FEBBBC4" w14:textId="77777777" w:rsidTr="0078368F">
        <w:trPr>
          <w:trHeight w:val="531"/>
        </w:trPr>
        <w:tc>
          <w:tcPr>
            <w:tcW w:w="3301" w:type="dxa"/>
            <w:shd w:val="clear" w:color="auto" w:fill="D9E2F3" w:themeFill="accent1" w:themeFillTint="33"/>
          </w:tcPr>
          <w:p w14:paraId="702BB2DC" w14:textId="560AD580" w:rsidR="00426504" w:rsidRPr="00426504" w:rsidRDefault="00426504" w:rsidP="003769B9">
            <w:pPr>
              <w:jc w:val="center"/>
              <w:rPr>
                <w:b/>
                <w:bCs/>
              </w:rPr>
            </w:pPr>
            <w:r w:rsidRPr="00426504">
              <w:rPr>
                <w:b/>
                <w:bCs/>
              </w:rPr>
              <w:lastRenderedPageBreak/>
              <w:t>Announced Observation #1</w:t>
            </w:r>
          </w:p>
        </w:tc>
        <w:tc>
          <w:tcPr>
            <w:tcW w:w="6743" w:type="dxa"/>
            <w:shd w:val="clear" w:color="auto" w:fill="D9E2F3" w:themeFill="accent1" w:themeFillTint="33"/>
          </w:tcPr>
          <w:p w14:paraId="57799F93" w14:textId="76320035" w:rsidR="00426504" w:rsidRPr="005C6715" w:rsidRDefault="005C6715" w:rsidP="003769B9">
            <w:pPr>
              <w:jc w:val="center"/>
              <w:rPr>
                <w:b/>
                <w:bCs/>
                <w:i/>
                <w:iCs/>
              </w:rPr>
            </w:pPr>
            <w:r w:rsidRPr="005C6715">
              <w:rPr>
                <w:b/>
                <w:bCs/>
                <w:i/>
                <w:iCs/>
              </w:rPr>
              <w:t>What to enter in each text field</w:t>
            </w:r>
          </w:p>
        </w:tc>
      </w:tr>
      <w:tr w:rsidR="00426504" w14:paraId="70CC407A" w14:textId="77777777" w:rsidTr="0078368F">
        <w:trPr>
          <w:trHeight w:val="399"/>
        </w:trPr>
        <w:tc>
          <w:tcPr>
            <w:tcW w:w="3301" w:type="dxa"/>
            <w:shd w:val="clear" w:color="auto" w:fill="FBE4D5" w:themeFill="accent2" w:themeFillTint="33"/>
            <w:vAlign w:val="center"/>
          </w:tcPr>
          <w:p w14:paraId="418F4796" w14:textId="6D1DF5F6" w:rsidR="00426504" w:rsidRPr="004D51D1" w:rsidRDefault="00426504" w:rsidP="00F119F8">
            <w:pPr>
              <w:rPr>
                <w:sz w:val="20"/>
                <w:szCs w:val="20"/>
              </w:rPr>
            </w:pPr>
            <w:r w:rsidRPr="004D51D1">
              <w:rPr>
                <w:sz w:val="20"/>
                <w:szCs w:val="20"/>
              </w:rPr>
              <w:t>1.A.1 Subject Matter Knowledge</w:t>
            </w:r>
          </w:p>
        </w:tc>
        <w:tc>
          <w:tcPr>
            <w:tcW w:w="6743" w:type="dxa"/>
            <w:shd w:val="clear" w:color="auto" w:fill="FBE4D5" w:themeFill="accent2" w:themeFillTint="33"/>
          </w:tcPr>
          <w:p w14:paraId="30BA2939" w14:textId="2AC672AA" w:rsidR="00426504" w:rsidRPr="004D51D1" w:rsidRDefault="005C6715" w:rsidP="006C2972">
            <w:pPr>
              <w:rPr>
                <w:sz w:val="20"/>
                <w:szCs w:val="20"/>
              </w:rPr>
            </w:pPr>
            <w:r w:rsidRPr="004D51D1">
              <w:rPr>
                <w:sz w:val="20"/>
                <w:szCs w:val="20"/>
              </w:rPr>
              <w:t xml:space="preserve">Focus Element (no change). Enter evidence from the observation. </w:t>
            </w:r>
          </w:p>
        </w:tc>
      </w:tr>
      <w:tr w:rsidR="00426504" w14:paraId="42F502AC" w14:textId="77777777" w:rsidTr="0078368F">
        <w:trPr>
          <w:trHeight w:val="616"/>
        </w:trPr>
        <w:tc>
          <w:tcPr>
            <w:tcW w:w="3301" w:type="dxa"/>
            <w:vAlign w:val="center"/>
          </w:tcPr>
          <w:p w14:paraId="66D2812D" w14:textId="4126A599" w:rsidR="00426504" w:rsidRPr="004D51D1" w:rsidRDefault="00426504" w:rsidP="00F119F8">
            <w:pPr>
              <w:rPr>
                <w:sz w:val="20"/>
                <w:szCs w:val="20"/>
              </w:rPr>
            </w:pPr>
            <w:r w:rsidRPr="004D51D1">
              <w:rPr>
                <w:sz w:val="20"/>
                <w:szCs w:val="20"/>
              </w:rPr>
              <w:t>1.A.3 Well-Structured Units and Lessons</w:t>
            </w:r>
          </w:p>
        </w:tc>
        <w:tc>
          <w:tcPr>
            <w:tcW w:w="6743" w:type="dxa"/>
          </w:tcPr>
          <w:p w14:paraId="34B29B1A" w14:textId="0610AE82" w:rsidR="00426504" w:rsidRPr="004D51D1" w:rsidRDefault="005C6715" w:rsidP="006C2972">
            <w:pPr>
              <w:rPr>
                <w:sz w:val="20"/>
                <w:szCs w:val="20"/>
              </w:rPr>
            </w:pPr>
            <w:r w:rsidRPr="004D51D1">
              <w:rPr>
                <w:sz w:val="20"/>
                <w:szCs w:val="20"/>
              </w:rPr>
              <w:t xml:space="preserve">This element is not </w:t>
            </w:r>
            <w:r w:rsidR="00C51FA9" w:rsidRPr="004D51D1">
              <w:rPr>
                <w:sz w:val="20"/>
                <w:szCs w:val="20"/>
              </w:rPr>
              <w:t xml:space="preserve">a focus element </w:t>
            </w:r>
            <w:r w:rsidRPr="004D51D1">
              <w:rPr>
                <w:sz w:val="20"/>
                <w:szCs w:val="20"/>
              </w:rPr>
              <w:t xml:space="preserve">but is </w:t>
            </w:r>
            <w:r w:rsidR="003769B9" w:rsidRPr="004D51D1">
              <w:rPr>
                <w:sz w:val="20"/>
                <w:szCs w:val="20"/>
              </w:rPr>
              <w:t xml:space="preserve">currently </w:t>
            </w:r>
            <w:r w:rsidRPr="004D51D1">
              <w:rPr>
                <w:sz w:val="20"/>
                <w:szCs w:val="20"/>
              </w:rPr>
              <w:t xml:space="preserve">a required field. </w:t>
            </w:r>
            <w:r w:rsidR="00C51FA9" w:rsidRPr="004D51D1">
              <w:rPr>
                <w:sz w:val="20"/>
                <w:szCs w:val="20"/>
              </w:rPr>
              <w:t>If not commenting on this element, t</w:t>
            </w:r>
            <w:r w:rsidR="000E3F4D" w:rsidRPr="004D51D1">
              <w:rPr>
                <w:sz w:val="20"/>
                <w:szCs w:val="20"/>
              </w:rPr>
              <w:t>ype</w:t>
            </w:r>
            <w:r w:rsidRPr="004D51D1">
              <w:rPr>
                <w:sz w:val="20"/>
                <w:szCs w:val="20"/>
              </w:rPr>
              <w:t xml:space="preserve"> “See Announced Observation #2”</w:t>
            </w:r>
            <w:r w:rsidR="000E3F4D" w:rsidRPr="004D51D1">
              <w:rPr>
                <w:sz w:val="20"/>
                <w:szCs w:val="20"/>
              </w:rPr>
              <w:t xml:space="preserve"> into the field.</w:t>
            </w:r>
          </w:p>
        </w:tc>
      </w:tr>
      <w:tr w:rsidR="003769B9" w14:paraId="4B15FB99" w14:textId="77777777" w:rsidTr="0078368F">
        <w:trPr>
          <w:trHeight w:val="421"/>
        </w:trPr>
        <w:tc>
          <w:tcPr>
            <w:tcW w:w="3301" w:type="dxa"/>
            <w:vAlign w:val="center"/>
          </w:tcPr>
          <w:p w14:paraId="4C744C3D" w14:textId="301242B1" w:rsidR="003769B9" w:rsidRPr="004D51D1" w:rsidRDefault="003769B9" w:rsidP="00F119F8">
            <w:pPr>
              <w:rPr>
                <w:sz w:val="20"/>
                <w:szCs w:val="20"/>
              </w:rPr>
            </w:pPr>
            <w:r w:rsidRPr="004D51D1">
              <w:rPr>
                <w:sz w:val="20"/>
                <w:szCs w:val="20"/>
              </w:rPr>
              <w:t>1.B.2 Adjustments to Practice</w:t>
            </w:r>
          </w:p>
        </w:tc>
        <w:tc>
          <w:tcPr>
            <w:tcW w:w="6743" w:type="dxa"/>
          </w:tcPr>
          <w:p w14:paraId="249D8C24" w14:textId="3CE5FB74" w:rsidR="003769B9" w:rsidRPr="004D51D1" w:rsidRDefault="003769B9" w:rsidP="006C2972">
            <w:pPr>
              <w:rPr>
                <w:sz w:val="20"/>
                <w:szCs w:val="20"/>
              </w:rPr>
            </w:pPr>
            <w:r w:rsidRPr="004D51D1">
              <w:rPr>
                <w:sz w:val="20"/>
                <w:szCs w:val="20"/>
              </w:rPr>
              <w:t xml:space="preserve">This element is </w:t>
            </w:r>
            <w:r w:rsidR="005F409B" w:rsidRPr="004D51D1">
              <w:rPr>
                <w:sz w:val="20"/>
                <w:szCs w:val="20"/>
              </w:rPr>
              <w:t xml:space="preserve">not a focus element </w:t>
            </w:r>
            <w:r w:rsidRPr="004D51D1">
              <w:rPr>
                <w:sz w:val="20"/>
                <w:szCs w:val="20"/>
              </w:rPr>
              <w:t xml:space="preserve">and is not a required field. </w:t>
            </w:r>
            <w:r w:rsidR="005F409B" w:rsidRPr="004D51D1">
              <w:rPr>
                <w:sz w:val="20"/>
                <w:szCs w:val="20"/>
              </w:rPr>
              <w:t>It can be left</w:t>
            </w:r>
            <w:r w:rsidRPr="004D51D1">
              <w:rPr>
                <w:sz w:val="20"/>
                <w:szCs w:val="20"/>
              </w:rPr>
              <w:t xml:space="preserve"> blank.</w:t>
            </w:r>
          </w:p>
        </w:tc>
      </w:tr>
      <w:tr w:rsidR="00426504" w14:paraId="63B9656F" w14:textId="77777777" w:rsidTr="0078368F">
        <w:trPr>
          <w:trHeight w:val="421"/>
        </w:trPr>
        <w:tc>
          <w:tcPr>
            <w:tcW w:w="3301" w:type="dxa"/>
            <w:shd w:val="clear" w:color="auto" w:fill="FBE4D5" w:themeFill="accent2" w:themeFillTint="33"/>
            <w:vAlign w:val="center"/>
          </w:tcPr>
          <w:p w14:paraId="2561F11A" w14:textId="603F4C03" w:rsidR="00426504" w:rsidRPr="004D51D1" w:rsidRDefault="00426504" w:rsidP="00F119F8">
            <w:pPr>
              <w:rPr>
                <w:sz w:val="20"/>
                <w:szCs w:val="20"/>
              </w:rPr>
            </w:pPr>
            <w:r w:rsidRPr="004D51D1">
              <w:rPr>
                <w:sz w:val="20"/>
                <w:szCs w:val="20"/>
              </w:rPr>
              <w:t>2.A.3 Meeting Diverse Needs</w:t>
            </w:r>
          </w:p>
        </w:tc>
        <w:tc>
          <w:tcPr>
            <w:tcW w:w="6743" w:type="dxa"/>
            <w:shd w:val="clear" w:color="auto" w:fill="FBE4D5" w:themeFill="accent2" w:themeFillTint="33"/>
          </w:tcPr>
          <w:p w14:paraId="396B4817" w14:textId="59C44B4F" w:rsidR="00426504" w:rsidRPr="004D51D1" w:rsidRDefault="005C6715" w:rsidP="006C2972">
            <w:pPr>
              <w:rPr>
                <w:sz w:val="20"/>
                <w:szCs w:val="20"/>
              </w:rPr>
            </w:pPr>
            <w:r w:rsidRPr="004D51D1">
              <w:rPr>
                <w:sz w:val="20"/>
                <w:szCs w:val="20"/>
              </w:rPr>
              <w:t>Focus Element</w:t>
            </w:r>
            <w:r w:rsidR="003769B9" w:rsidRPr="004D51D1">
              <w:rPr>
                <w:sz w:val="20"/>
                <w:szCs w:val="20"/>
              </w:rPr>
              <w:t xml:space="preserve"> (new)</w:t>
            </w:r>
            <w:r w:rsidRPr="004D51D1">
              <w:rPr>
                <w:sz w:val="20"/>
                <w:szCs w:val="20"/>
              </w:rPr>
              <w:t xml:space="preserve">: Enter evidence from the observation. </w:t>
            </w:r>
          </w:p>
        </w:tc>
      </w:tr>
      <w:tr w:rsidR="005C6715" w14:paraId="3F0FD8A2" w14:textId="77777777" w:rsidTr="0078368F">
        <w:trPr>
          <w:trHeight w:val="421"/>
        </w:trPr>
        <w:tc>
          <w:tcPr>
            <w:tcW w:w="3301" w:type="dxa"/>
            <w:vAlign w:val="center"/>
          </w:tcPr>
          <w:p w14:paraId="5A752D50" w14:textId="5A8B0385" w:rsidR="005C6715" w:rsidRPr="004D51D1" w:rsidRDefault="005C6715" w:rsidP="00F119F8">
            <w:pPr>
              <w:rPr>
                <w:sz w:val="20"/>
                <w:szCs w:val="20"/>
              </w:rPr>
            </w:pPr>
            <w:r w:rsidRPr="004D51D1">
              <w:rPr>
                <w:sz w:val="20"/>
                <w:szCs w:val="20"/>
              </w:rPr>
              <w:t>2.B.1 Safe Learning Environment</w:t>
            </w:r>
          </w:p>
        </w:tc>
        <w:tc>
          <w:tcPr>
            <w:tcW w:w="6743" w:type="dxa"/>
          </w:tcPr>
          <w:p w14:paraId="5C5835AB" w14:textId="178EDF26" w:rsidR="005C6715" w:rsidRPr="004D51D1" w:rsidRDefault="005F409B" w:rsidP="006C2972">
            <w:pPr>
              <w:rPr>
                <w:sz w:val="20"/>
                <w:szCs w:val="20"/>
              </w:rPr>
            </w:pPr>
            <w:r w:rsidRPr="004D51D1">
              <w:rPr>
                <w:sz w:val="20"/>
                <w:szCs w:val="20"/>
              </w:rPr>
              <w:t>This element is not a focus element and is not a required field. It can be left blank.</w:t>
            </w:r>
          </w:p>
        </w:tc>
      </w:tr>
      <w:tr w:rsidR="005C6715" w14:paraId="539C31B2" w14:textId="77777777" w:rsidTr="0078368F">
        <w:trPr>
          <w:trHeight w:val="312"/>
        </w:trPr>
        <w:tc>
          <w:tcPr>
            <w:tcW w:w="3301" w:type="dxa"/>
            <w:shd w:val="clear" w:color="auto" w:fill="FBE4D5" w:themeFill="accent2" w:themeFillTint="33"/>
            <w:vAlign w:val="center"/>
          </w:tcPr>
          <w:p w14:paraId="165A22B4" w14:textId="775403AD" w:rsidR="005C6715" w:rsidRPr="004D51D1" w:rsidRDefault="005C6715" w:rsidP="00F119F8">
            <w:pPr>
              <w:rPr>
                <w:sz w:val="20"/>
                <w:szCs w:val="20"/>
              </w:rPr>
            </w:pPr>
            <w:r w:rsidRPr="004D51D1">
              <w:rPr>
                <w:sz w:val="20"/>
                <w:szCs w:val="20"/>
              </w:rPr>
              <w:t>2.E.1 High Expectations</w:t>
            </w:r>
          </w:p>
        </w:tc>
        <w:tc>
          <w:tcPr>
            <w:tcW w:w="6743" w:type="dxa"/>
            <w:shd w:val="clear" w:color="auto" w:fill="FBE4D5" w:themeFill="accent2" w:themeFillTint="33"/>
          </w:tcPr>
          <w:p w14:paraId="1AF211A9" w14:textId="4DE9356D" w:rsidR="005C6715" w:rsidRPr="004D51D1" w:rsidRDefault="005C6715" w:rsidP="006C2972">
            <w:pPr>
              <w:rPr>
                <w:sz w:val="20"/>
                <w:szCs w:val="20"/>
              </w:rPr>
            </w:pPr>
            <w:r w:rsidRPr="004D51D1">
              <w:rPr>
                <w:sz w:val="20"/>
                <w:szCs w:val="20"/>
              </w:rPr>
              <w:t xml:space="preserve">Focus Element (no change). Enter evidence from the observation. </w:t>
            </w:r>
          </w:p>
        </w:tc>
      </w:tr>
    </w:tbl>
    <w:p w14:paraId="3BEFF84E" w14:textId="77777777" w:rsidR="000F559A" w:rsidRDefault="000F559A"/>
    <w:tbl>
      <w:tblPr>
        <w:tblStyle w:val="TableGrid"/>
        <w:tblW w:w="10066" w:type="dxa"/>
        <w:tblLook w:val="04A0" w:firstRow="1" w:lastRow="0" w:firstColumn="1" w:lastColumn="0" w:noHBand="0" w:noVBand="1"/>
      </w:tblPr>
      <w:tblGrid>
        <w:gridCol w:w="3269"/>
        <w:gridCol w:w="6797"/>
      </w:tblGrid>
      <w:tr w:rsidR="005C6715" w14:paraId="4748590D" w14:textId="77777777" w:rsidTr="0078368F">
        <w:trPr>
          <w:trHeight w:val="482"/>
        </w:trPr>
        <w:tc>
          <w:tcPr>
            <w:tcW w:w="3269" w:type="dxa"/>
            <w:shd w:val="clear" w:color="auto" w:fill="D9E2F3" w:themeFill="accent1" w:themeFillTint="33"/>
          </w:tcPr>
          <w:p w14:paraId="18316811" w14:textId="4DE7CD54" w:rsidR="005C6715" w:rsidRPr="00426504" w:rsidRDefault="005C6715" w:rsidP="003769B9">
            <w:pPr>
              <w:jc w:val="center"/>
              <w:rPr>
                <w:b/>
                <w:bCs/>
              </w:rPr>
            </w:pPr>
            <w:r w:rsidRPr="00426504">
              <w:rPr>
                <w:b/>
                <w:bCs/>
              </w:rPr>
              <w:t>Announced Observation #</w:t>
            </w:r>
            <w:r>
              <w:rPr>
                <w:b/>
                <w:bCs/>
              </w:rPr>
              <w:t>2</w:t>
            </w:r>
            <w:r w:rsidR="006C2972">
              <w:rPr>
                <w:b/>
                <w:bCs/>
              </w:rPr>
              <w:t xml:space="preserve"> (Early Literacy Focus)</w:t>
            </w:r>
          </w:p>
        </w:tc>
        <w:tc>
          <w:tcPr>
            <w:tcW w:w="6797" w:type="dxa"/>
            <w:shd w:val="clear" w:color="auto" w:fill="D9E2F3" w:themeFill="accent1" w:themeFillTint="33"/>
          </w:tcPr>
          <w:p w14:paraId="3A722027" w14:textId="77777777" w:rsidR="005C6715" w:rsidRPr="005C6715" w:rsidRDefault="005C6715" w:rsidP="003769B9">
            <w:pPr>
              <w:jc w:val="center"/>
              <w:rPr>
                <w:b/>
                <w:bCs/>
                <w:i/>
                <w:iCs/>
              </w:rPr>
            </w:pPr>
            <w:r w:rsidRPr="005C6715">
              <w:rPr>
                <w:b/>
                <w:bCs/>
                <w:i/>
                <w:iCs/>
              </w:rPr>
              <w:t>What to enter in each text field</w:t>
            </w:r>
          </w:p>
        </w:tc>
      </w:tr>
      <w:tr w:rsidR="005C6715" w14:paraId="2053D8B4" w14:textId="77777777" w:rsidTr="0078368F">
        <w:trPr>
          <w:trHeight w:val="265"/>
        </w:trPr>
        <w:tc>
          <w:tcPr>
            <w:tcW w:w="3269" w:type="dxa"/>
            <w:shd w:val="clear" w:color="auto" w:fill="FBE4D5" w:themeFill="accent2" w:themeFillTint="33"/>
            <w:vAlign w:val="center"/>
          </w:tcPr>
          <w:p w14:paraId="3D8D1C3E" w14:textId="3171D0C9" w:rsidR="005C6715" w:rsidRPr="004D51D1" w:rsidRDefault="005C6715" w:rsidP="00F119F8">
            <w:pPr>
              <w:rPr>
                <w:sz w:val="20"/>
                <w:szCs w:val="20"/>
              </w:rPr>
            </w:pPr>
            <w:r w:rsidRPr="004D51D1">
              <w:rPr>
                <w:sz w:val="20"/>
                <w:szCs w:val="20"/>
              </w:rPr>
              <w:t>1.A.1 Subject Matter Knowledge</w:t>
            </w:r>
          </w:p>
        </w:tc>
        <w:tc>
          <w:tcPr>
            <w:tcW w:w="6797" w:type="dxa"/>
            <w:shd w:val="clear" w:color="auto" w:fill="FBE4D5" w:themeFill="accent2" w:themeFillTint="33"/>
          </w:tcPr>
          <w:p w14:paraId="69814C2A" w14:textId="782C0B60" w:rsidR="005C6715" w:rsidRPr="004D51D1" w:rsidRDefault="003769B9" w:rsidP="006C2972">
            <w:pPr>
              <w:rPr>
                <w:sz w:val="20"/>
                <w:szCs w:val="20"/>
              </w:rPr>
            </w:pPr>
            <w:r w:rsidRPr="004D51D1">
              <w:rPr>
                <w:sz w:val="20"/>
                <w:szCs w:val="20"/>
              </w:rPr>
              <w:t>Focus Element (new): Enter evidence from the observation</w:t>
            </w:r>
            <w:r w:rsidR="006C2972">
              <w:rPr>
                <w:sz w:val="20"/>
                <w:szCs w:val="20"/>
              </w:rPr>
              <w:t xml:space="preserve"> based on Look Fors from the Early Literacy Observation Form</w:t>
            </w:r>
            <w:r w:rsidRPr="004D51D1">
              <w:rPr>
                <w:sz w:val="20"/>
                <w:szCs w:val="20"/>
              </w:rPr>
              <w:t>.</w:t>
            </w:r>
          </w:p>
        </w:tc>
      </w:tr>
      <w:tr w:rsidR="005C6715" w14:paraId="492D38F6" w14:textId="77777777" w:rsidTr="0078368F">
        <w:trPr>
          <w:trHeight w:val="288"/>
        </w:trPr>
        <w:tc>
          <w:tcPr>
            <w:tcW w:w="3269" w:type="dxa"/>
            <w:shd w:val="clear" w:color="auto" w:fill="FBE4D5" w:themeFill="accent2" w:themeFillTint="33"/>
            <w:vAlign w:val="center"/>
          </w:tcPr>
          <w:p w14:paraId="4BAD2504" w14:textId="76637094" w:rsidR="005C6715" w:rsidRPr="004D51D1" w:rsidRDefault="005C6715" w:rsidP="00F119F8">
            <w:pPr>
              <w:rPr>
                <w:sz w:val="20"/>
                <w:szCs w:val="20"/>
              </w:rPr>
            </w:pPr>
            <w:r w:rsidRPr="004D51D1">
              <w:rPr>
                <w:sz w:val="20"/>
                <w:szCs w:val="20"/>
              </w:rPr>
              <w:t>1.A.3 Well-Structured Units and Lessons</w:t>
            </w:r>
          </w:p>
        </w:tc>
        <w:tc>
          <w:tcPr>
            <w:tcW w:w="6797" w:type="dxa"/>
            <w:shd w:val="clear" w:color="auto" w:fill="FBE4D5" w:themeFill="accent2" w:themeFillTint="33"/>
          </w:tcPr>
          <w:p w14:paraId="4C71EA10" w14:textId="2D63AF7B" w:rsidR="005C6715" w:rsidRPr="004D51D1" w:rsidRDefault="003769B9" w:rsidP="006C2972">
            <w:pPr>
              <w:rPr>
                <w:sz w:val="20"/>
                <w:szCs w:val="20"/>
              </w:rPr>
            </w:pPr>
            <w:r w:rsidRPr="004D51D1">
              <w:rPr>
                <w:sz w:val="20"/>
                <w:szCs w:val="20"/>
              </w:rPr>
              <w:t>Focus Element (new): Enter evidence from the observation</w:t>
            </w:r>
            <w:r w:rsidR="006C2972">
              <w:rPr>
                <w:sz w:val="20"/>
                <w:szCs w:val="20"/>
              </w:rPr>
              <w:t xml:space="preserve"> based on Look Fors from the Early Literacy Observation Form</w:t>
            </w:r>
            <w:r w:rsidRPr="004D51D1">
              <w:rPr>
                <w:sz w:val="20"/>
                <w:szCs w:val="20"/>
              </w:rPr>
              <w:t>.</w:t>
            </w:r>
          </w:p>
        </w:tc>
      </w:tr>
      <w:tr w:rsidR="005C6715" w14:paraId="116AA458" w14:textId="77777777" w:rsidTr="0078368F">
        <w:trPr>
          <w:trHeight w:val="482"/>
        </w:trPr>
        <w:tc>
          <w:tcPr>
            <w:tcW w:w="3269" w:type="dxa"/>
            <w:vAlign w:val="center"/>
          </w:tcPr>
          <w:p w14:paraId="66EF0457" w14:textId="77777777" w:rsidR="005C6715" w:rsidRPr="004D51D1" w:rsidRDefault="005C6715" w:rsidP="00F119F8">
            <w:pPr>
              <w:rPr>
                <w:sz w:val="20"/>
                <w:szCs w:val="20"/>
              </w:rPr>
            </w:pPr>
            <w:r w:rsidRPr="004D51D1">
              <w:rPr>
                <w:sz w:val="20"/>
                <w:szCs w:val="20"/>
              </w:rPr>
              <w:t>1.B.2 Adjustments to Practice</w:t>
            </w:r>
          </w:p>
        </w:tc>
        <w:tc>
          <w:tcPr>
            <w:tcW w:w="6797" w:type="dxa"/>
          </w:tcPr>
          <w:p w14:paraId="7A8668AD" w14:textId="707BA71E" w:rsidR="005C6715" w:rsidRPr="004D51D1" w:rsidRDefault="004D51D1" w:rsidP="006C2972">
            <w:pPr>
              <w:rPr>
                <w:sz w:val="20"/>
                <w:szCs w:val="20"/>
              </w:rPr>
            </w:pPr>
            <w:r w:rsidRPr="004D51D1">
              <w:rPr>
                <w:sz w:val="20"/>
                <w:szCs w:val="20"/>
              </w:rPr>
              <w:t>This element is not a focus element but is currently a required field. If not commenting on this element, t</w:t>
            </w:r>
            <w:r w:rsidR="000E3F4D" w:rsidRPr="004D51D1">
              <w:rPr>
                <w:sz w:val="20"/>
                <w:szCs w:val="20"/>
              </w:rPr>
              <w:t xml:space="preserve">ype </w:t>
            </w:r>
            <w:r w:rsidR="003769B9" w:rsidRPr="004D51D1">
              <w:rPr>
                <w:sz w:val="20"/>
                <w:szCs w:val="20"/>
              </w:rPr>
              <w:t>“See Unannounced Observation #2”</w:t>
            </w:r>
            <w:r w:rsidR="000E3F4D" w:rsidRPr="004D51D1">
              <w:rPr>
                <w:sz w:val="20"/>
                <w:szCs w:val="20"/>
              </w:rPr>
              <w:t xml:space="preserve"> into the field.</w:t>
            </w:r>
          </w:p>
        </w:tc>
      </w:tr>
      <w:tr w:rsidR="005C6715" w14:paraId="00F20FA4" w14:textId="77777777" w:rsidTr="0078368F">
        <w:trPr>
          <w:trHeight w:val="603"/>
        </w:trPr>
        <w:tc>
          <w:tcPr>
            <w:tcW w:w="3269" w:type="dxa"/>
            <w:vAlign w:val="center"/>
          </w:tcPr>
          <w:p w14:paraId="432F823C" w14:textId="0C56525A" w:rsidR="005C6715" w:rsidRPr="004D51D1" w:rsidRDefault="005C6715" w:rsidP="00F119F8">
            <w:pPr>
              <w:rPr>
                <w:sz w:val="20"/>
                <w:szCs w:val="20"/>
              </w:rPr>
            </w:pPr>
            <w:r w:rsidRPr="004D51D1">
              <w:rPr>
                <w:sz w:val="20"/>
                <w:szCs w:val="20"/>
              </w:rPr>
              <w:t>2.A.3 Meeting Diverse Needs</w:t>
            </w:r>
          </w:p>
        </w:tc>
        <w:tc>
          <w:tcPr>
            <w:tcW w:w="6797" w:type="dxa"/>
          </w:tcPr>
          <w:p w14:paraId="10A40F77" w14:textId="2CE3057E" w:rsidR="005C6715" w:rsidRPr="004D51D1" w:rsidRDefault="004D51D1" w:rsidP="006C2972">
            <w:pPr>
              <w:rPr>
                <w:sz w:val="20"/>
                <w:szCs w:val="20"/>
              </w:rPr>
            </w:pPr>
            <w:r w:rsidRPr="004D51D1">
              <w:rPr>
                <w:sz w:val="20"/>
                <w:szCs w:val="20"/>
              </w:rPr>
              <w:t>This element is not a focus element but is currently a required field. If not commenting on this element, t</w:t>
            </w:r>
            <w:r w:rsidR="000E3F4D" w:rsidRPr="004D51D1">
              <w:rPr>
                <w:sz w:val="20"/>
                <w:szCs w:val="20"/>
              </w:rPr>
              <w:t>ype</w:t>
            </w:r>
            <w:r w:rsidR="003769B9" w:rsidRPr="004D51D1">
              <w:rPr>
                <w:sz w:val="20"/>
                <w:szCs w:val="20"/>
              </w:rPr>
              <w:t xml:space="preserve"> “See Announced Observation #1”</w:t>
            </w:r>
            <w:r w:rsidR="000E3F4D" w:rsidRPr="004D51D1">
              <w:rPr>
                <w:sz w:val="20"/>
                <w:szCs w:val="20"/>
              </w:rPr>
              <w:t xml:space="preserve"> into the field.</w:t>
            </w:r>
          </w:p>
        </w:tc>
      </w:tr>
      <w:tr w:rsidR="003769B9" w14:paraId="4706EF89" w14:textId="77777777" w:rsidTr="0078368F">
        <w:trPr>
          <w:trHeight w:val="411"/>
        </w:trPr>
        <w:tc>
          <w:tcPr>
            <w:tcW w:w="3269" w:type="dxa"/>
            <w:vAlign w:val="center"/>
          </w:tcPr>
          <w:p w14:paraId="614EBE06" w14:textId="77777777" w:rsidR="003769B9" w:rsidRPr="004D51D1" w:rsidRDefault="003769B9" w:rsidP="00F119F8">
            <w:pPr>
              <w:rPr>
                <w:sz w:val="20"/>
                <w:szCs w:val="20"/>
              </w:rPr>
            </w:pPr>
            <w:r w:rsidRPr="004D51D1">
              <w:rPr>
                <w:sz w:val="20"/>
                <w:szCs w:val="20"/>
              </w:rPr>
              <w:t>2.B.1 Safe Learning Environment</w:t>
            </w:r>
          </w:p>
        </w:tc>
        <w:tc>
          <w:tcPr>
            <w:tcW w:w="6797" w:type="dxa"/>
          </w:tcPr>
          <w:p w14:paraId="24DCD5E8" w14:textId="2390291F" w:rsidR="003769B9" w:rsidRPr="004D51D1" w:rsidRDefault="003769B9" w:rsidP="006C2972">
            <w:pPr>
              <w:rPr>
                <w:sz w:val="20"/>
                <w:szCs w:val="20"/>
              </w:rPr>
            </w:pPr>
            <w:r w:rsidRPr="004D51D1">
              <w:rPr>
                <w:sz w:val="20"/>
                <w:szCs w:val="20"/>
              </w:rPr>
              <w:t xml:space="preserve">This element is not observed and is not a required field. </w:t>
            </w:r>
            <w:r w:rsidR="004D51D1" w:rsidRPr="004D51D1">
              <w:rPr>
                <w:sz w:val="20"/>
                <w:szCs w:val="20"/>
              </w:rPr>
              <w:t>It can be left blank.</w:t>
            </w:r>
          </w:p>
        </w:tc>
      </w:tr>
      <w:tr w:rsidR="003769B9" w14:paraId="3D2C451B" w14:textId="77777777" w:rsidTr="0078368F">
        <w:trPr>
          <w:trHeight w:val="578"/>
        </w:trPr>
        <w:tc>
          <w:tcPr>
            <w:tcW w:w="3269" w:type="dxa"/>
            <w:shd w:val="clear" w:color="auto" w:fill="FBE4D5" w:themeFill="accent2" w:themeFillTint="33"/>
            <w:vAlign w:val="center"/>
          </w:tcPr>
          <w:p w14:paraId="702034D5" w14:textId="5FE2DB7E" w:rsidR="003769B9" w:rsidRPr="004D51D1" w:rsidRDefault="003769B9" w:rsidP="00F119F8">
            <w:pPr>
              <w:rPr>
                <w:sz w:val="20"/>
                <w:szCs w:val="20"/>
              </w:rPr>
            </w:pPr>
            <w:r w:rsidRPr="004D51D1">
              <w:rPr>
                <w:sz w:val="20"/>
                <w:szCs w:val="20"/>
              </w:rPr>
              <w:t>2.E.1 High Expectations</w:t>
            </w:r>
          </w:p>
        </w:tc>
        <w:tc>
          <w:tcPr>
            <w:tcW w:w="6797" w:type="dxa"/>
            <w:shd w:val="clear" w:color="auto" w:fill="FBE4D5" w:themeFill="accent2" w:themeFillTint="33"/>
          </w:tcPr>
          <w:p w14:paraId="1E97B5F5" w14:textId="3A61962E" w:rsidR="003769B9" w:rsidRPr="004D51D1" w:rsidRDefault="003769B9" w:rsidP="006C2972">
            <w:pPr>
              <w:rPr>
                <w:sz w:val="20"/>
                <w:szCs w:val="20"/>
              </w:rPr>
            </w:pPr>
            <w:r w:rsidRPr="004D51D1">
              <w:rPr>
                <w:sz w:val="20"/>
                <w:szCs w:val="20"/>
              </w:rPr>
              <w:t>Focus Element (new): Enter evidence from the observation</w:t>
            </w:r>
            <w:r w:rsidR="006C2972">
              <w:rPr>
                <w:sz w:val="20"/>
                <w:szCs w:val="20"/>
              </w:rPr>
              <w:t xml:space="preserve"> based on Look Fors from the Early Literacy Observation Form</w:t>
            </w:r>
            <w:r w:rsidR="006C2972" w:rsidRPr="004D51D1">
              <w:rPr>
                <w:sz w:val="20"/>
                <w:szCs w:val="20"/>
              </w:rPr>
              <w:t>.</w:t>
            </w:r>
          </w:p>
        </w:tc>
      </w:tr>
    </w:tbl>
    <w:p w14:paraId="314AA890" w14:textId="1FA98D55" w:rsidR="005C6715" w:rsidRDefault="005C6715"/>
    <w:p w14:paraId="0F0D1C60" w14:textId="2038AB34" w:rsidR="000838F1" w:rsidRDefault="000838F1">
      <w:r>
        <w:t>Please note that this will likely only be applicable in the short-term, pending updates to CAP and the CAP Online Platform.</w:t>
      </w:r>
    </w:p>
    <w:p w14:paraId="6A7CA766" w14:textId="0AAC8138" w:rsidR="00577A65" w:rsidRDefault="00577A65" w:rsidP="00577A65">
      <w:pPr>
        <w:spacing w:after="0"/>
      </w:pPr>
      <w:r>
        <w:rPr>
          <w:b/>
          <w:bCs/>
        </w:rPr>
        <w:t xml:space="preserve">How can Program Supervisors </w:t>
      </w:r>
      <w:r w:rsidR="000F559A">
        <w:rPr>
          <w:b/>
          <w:bCs/>
        </w:rPr>
        <w:t xml:space="preserve">develop their </w:t>
      </w:r>
      <w:r w:rsidR="00957AF6">
        <w:rPr>
          <w:b/>
          <w:bCs/>
        </w:rPr>
        <w:t>understanding of the practices included in this tool?</w:t>
      </w:r>
    </w:p>
    <w:p w14:paraId="362EDE4C" w14:textId="0E91FD9D" w:rsidR="00FF39E1" w:rsidRPr="00FF39E1" w:rsidRDefault="00E47F81" w:rsidP="00577A65">
      <w:pPr>
        <w:spacing w:after="0"/>
      </w:pPr>
      <w:r>
        <w:t xml:space="preserve">The </w:t>
      </w:r>
      <w:hyperlink r:id="rId14" w:history="1">
        <w:r w:rsidRPr="00E81A37">
          <w:rPr>
            <w:rStyle w:val="Hyperlink"/>
          </w:rPr>
          <w:t>Mass Literacy Guide</w:t>
        </w:r>
      </w:hyperlink>
      <w:r>
        <w:t xml:space="preserve"> and </w:t>
      </w:r>
      <w:hyperlink r:id="rId15" w:history="1">
        <w:r w:rsidRPr="00E47F81">
          <w:rPr>
            <w:rStyle w:val="Hyperlink"/>
          </w:rPr>
          <w:t>Mass Literacy Guide Online Course</w:t>
        </w:r>
      </w:hyperlink>
      <w:r>
        <w:t xml:space="preserve"> are two resources currently available to build understanding of evidence-based early literacy practices. </w:t>
      </w:r>
      <w:r w:rsidR="00376D9F">
        <w:t xml:space="preserve">See the </w:t>
      </w:r>
      <w:hyperlink r:id="rId16" w:history="1">
        <w:r w:rsidR="00376D9F" w:rsidRPr="00376D9F">
          <w:rPr>
            <w:rStyle w:val="Hyperlink"/>
          </w:rPr>
          <w:t>Early Literacy Observation Form webpage</w:t>
        </w:r>
      </w:hyperlink>
      <w:r w:rsidR="00376D9F">
        <w:t xml:space="preserve"> for more information about implementation supports.</w:t>
      </w:r>
    </w:p>
    <w:p w14:paraId="5182E43B" w14:textId="77777777" w:rsidR="00577A65" w:rsidRDefault="00577A65"/>
    <w:p w14:paraId="7F67A682" w14:textId="48FA9DC2" w:rsidR="004418A8" w:rsidRDefault="004418A8">
      <w:r>
        <w:t xml:space="preserve">Please reach out to </w:t>
      </w:r>
      <w:hyperlink r:id="rId17" w:history="1">
        <w:r w:rsidRPr="00684510">
          <w:rPr>
            <w:rStyle w:val="Hyperlink"/>
          </w:rPr>
          <w:t>educatorpreparation@mass.gov</w:t>
        </w:r>
      </w:hyperlink>
      <w:r>
        <w:t xml:space="preserve"> with any questions. </w:t>
      </w:r>
    </w:p>
    <w:sectPr w:rsidR="004418A8" w:rsidSect="0078368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9935" w14:textId="77777777" w:rsidR="00D1408A" w:rsidRDefault="00D1408A" w:rsidP="0078368F">
      <w:pPr>
        <w:spacing w:after="0" w:line="240" w:lineRule="auto"/>
      </w:pPr>
      <w:r>
        <w:separator/>
      </w:r>
    </w:p>
  </w:endnote>
  <w:endnote w:type="continuationSeparator" w:id="0">
    <w:p w14:paraId="37784B50" w14:textId="77777777" w:rsidR="00D1408A" w:rsidRDefault="00D1408A" w:rsidP="0078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3492" w14:textId="77777777" w:rsidR="00D1408A" w:rsidRDefault="00D1408A" w:rsidP="0078368F">
      <w:pPr>
        <w:spacing w:after="0" w:line="240" w:lineRule="auto"/>
      </w:pPr>
      <w:r>
        <w:separator/>
      </w:r>
    </w:p>
  </w:footnote>
  <w:footnote w:type="continuationSeparator" w:id="0">
    <w:p w14:paraId="6AE1F283" w14:textId="77777777" w:rsidR="00D1408A" w:rsidRDefault="00D1408A" w:rsidP="0078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6854" w14:textId="10FB7029" w:rsidR="0078368F" w:rsidRPr="0078368F" w:rsidRDefault="0078368F" w:rsidP="0078368F">
    <w:pPr>
      <w:pStyle w:val="Header"/>
      <w:jc w:val="right"/>
      <w:rPr>
        <w:i/>
        <w:iCs/>
      </w:rPr>
    </w:pPr>
    <w:r w:rsidRPr="0078368F">
      <w:rPr>
        <w:i/>
        <w:iCs/>
      </w:rPr>
      <w:t>Updated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614"/>
    <w:multiLevelType w:val="hybridMultilevel"/>
    <w:tmpl w:val="BFA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6159E"/>
    <w:multiLevelType w:val="hybridMultilevel"/>
    <w:tmpl w:val="5EC2A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202AF"/>
    <w:multiLevelType w:val="hybridMultilevel"/>
    <w:tmpl w:val="D8421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10712"/>
    <w:multiLevelType w:val="hybridMultilevel"/>
    <w:tmpl w:val="A2BA5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5B62"/>
    <w:multiLevelType w:val="hybridMultilevel"/>
    <w:tmpl w:val="17D6D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5272C"/>
    <w:multiLevelType w:val="hybridMultilevel"/>
    <w:tmpl w:val="E9AAB320"/>
    <w:lvl w:ilvl="0" w:tplc="65721C92">
      <w:start w:val="1"/>
      <w:numFmt w:val="bullet"/>
      <w:lvlText w:val="•"/>
      <w:lvlJc w:val="left"/>
      <w:pPr>
        <w:tabs>
          <w:tab w:val="num" w:pos="720"/>
        </w:tabs>
        <w:ind w:left="720" w:hanging="360"/>
      </w:pPr>
      <w:rPr>
        <w:rFonts w:ascii="Arial" w:hAnsi="Arial" w:hint="default"/>
      </w:rPr>
    </w:lvl>
    <w:lvl w:ilvl="1" w:tplc="921A6EA2" w:tentative="1">
      <w:start w:val="1"/>
      <w:numFmt w:val="bullet"/>
      <w:lvlText w:val="•"/>
      <w:lvlJc w:val="left"/>
      <w:pPr>
        <w:tabs>
          <w:tab w:val="num" w:pos="1440"/>
        </w:tabs>
        <w:ind w:left="1440" w:hanging="360"/>
      </w:pPr>
      <w:rPr>
        <w:rFonts w:ascii="Arial" w:hAnsi="Arial" w:hint="default"/>
      </w:rPr>
    </w:lvl>
    <w:lvl w:ilvl="2" w:tplc="D94A81D6" w:tentative="1">
      <w:start w:val="1"/>
      <w:numFmt w:val="bullet"/>
      <w:lvlText w:val="•"/>
      <w:lvlJc w:val="left"/>
      <w:pPr>
        <w:tabs>
          <w:tab w:val="num" w:pos="2160"/>
        </w:tabs>
        <w:ind w:left="2160" w:hanging="360"/>
      </w:pPr>
      <w:rPr>
        <w:rFonts w:ascii="Arial" w:hAnsi="Arial" w:hint="default"/>
      </w:rPr>
    </w:lvl>
    <w:lvl w:ilvl="3" w:tplc="8FC63C46" w:tentative="1">
      <w:start w:val="1"/>
      <w:numFmt w:val="bullet"/>
      <w:lvlText w:val="•"/>
      <w:lvlJc w:val="left"/>
      <w:pPr>
        <w:tabs>
          <w:tab w:val="num" w:pos="2880"/>
        </w:tabs>
        <w:ind w:left="2880" w:hanging="360"/>
      </w:pPr>
      <w:rPr>
        <w:rFonts w:ascii="Arial" w:hAnsi="Arial" w:hint="default"/>
      </w:rPr>
    </w:lvl>
    <w:lvl w:ilvl="4" w:tplc="D354FF96" w:tentative="1">
      <w:start w:val="1"/>
      <w:numFmt w:val="bullet"/>
      <w:lvlText w:val="•"/>
      <w:lvlJc w:val="left"/>
      <w:pPr>
        <w:tabs>
          <w:tab w:val="num" w:pos="3600"/>
        </w:tabs>
        <w:ind w:left="3600" w:hanging="360"/>
      </w:pPr>
      <w:rPr>
        <w:rFonts w:ascii="Arial" w:hAnsi="Arial" w:hint="default"/>
      </w:rPr>
    </w:lvl>
    <w:lvl w:ilvl="5" w:tplc="D51C4740" w:tentative="1">
      <w:start w:val="1"/>
      <w:numFmt w:val="bullet"/>
      <w:lvlText w:val="•"/>
      <w:lvlJc w:val="left"/>
      <w:pPr>
        <w:tabs>
          <w:tab w:val="num" w:pos="4320"/>
        </w:tabs>
        <w:ind w:left="4320" w:hanging="360"/>
      </w:pPr>
      <w:rPr>
        <w:rFonts w:ascii="Arial" w:hAnsi="Arial" w:hint="default"/>
      </w:rPr>
    </w:lvl>
    <w:lvl w:ilvl="6" w:tplc="F69EA696" w:tentative="1">
      <w:start w:val="1"/>
      <w:numFmt w:val="bullet"/>
      <w:lvlText w:val="•"/>
      <w:lvlJc w:val="left"/>
      <w:pPr>
        <w:tabs>
          <w:tab w:val="num" w:pos="5040"/>
        </w:tabs>
        <w:ind w:left="5040" w:hanging="360"/>
      </w:pPr>
      <w:rPr>
        <w:rFonts w:ascii="Arial" w:hAnsi="Arial" w:hint="default"/>
      </w:rPr>
    </w:lvl>
    <w:lvl w:ilvl="7" w:tplc="79AA136C" w:tentative="1">
      <w:start w:val="1"/>
      <w:numFmt w:val="bullet"/>
      <w:lvlText w:val="•"/>
      <w:lvlJc w:val="left"/>
      <w:pPr>
        <w:tabs>
          <w:tab w:val="num" w:pos="5760"/>
        </w:tabs>
        <w:ind w:left="5760" w:hanging="360"/>
      </w:pPr>
      <w:rPr>
        <w:rFonts w:ascii="Arial" w:hAnsi="Arial" w:hint="default"/>
      </w:rPr>
    </w:lvl>
    <w:lvl w:ilvl="8" w:tplc="6128D046" w:tentative="1">
      <w:start w:val="1"/>
      <w:numFmt w:val="bullet"/>
      <w:lvlText w:val="•"/>
      <w:lvlJc w:val="left"/>
      <w:pPr>
        <w:tabs>
          <w:tab w:val="num" w:pos="6480"/>
        </w:tabs>
        <w:ind w:left="6480" w:hanging="360"/>
      </w:pPr>
      <w:rPr>
        <w:rFonts w:ascii="Arial" w:hAnsi="Arial" w:hint="default"/>
      </w:rPr>
    </w:lvl>
  </w:abstractNum>
  <w:num w:numId="1" w16cid:durableId="1185562166">
    <w:abstractNumId w:val="4"/>
  </w:num>
  <w:num w:numId="2" w16cid:durableId="2053260227">
    <w:abstractNumId w:val="2"/>
  </w:num>
  <w:num w:numId="3" w16cid:durableId="668682276">
    <w:abstractNumId w:val="3"/>
  </w:num>
  <w:num w:numId="4" w16cid:durableId="4947464">
    <w:abstractNumId w:val="1"/>
  </w:num>
  <w:num w:numId="5" w16cid:durableId="906648295">
    <w:abstractNumId w:val="0"/>
  </w:num>
  <w:num w:numId="6" w16cid:durableId="125458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60"/>
    <w:rsid w:val="000008A9"/>
    <w:rsid w:val="000360CA"/>
    <w:rsid w:val="0004615F"/>
    <w:rsid w:val="00052F63"/>
    <w:rsid w:val="00075F0E"/>
    <w:rsid w:val="000838F1"/>
    <w:rsid w:val="000A59FC"/>
    <w:rsid w:val="000E3F4D"/>
    <w:rsid w:val="000F4186"/>
    <w:rsid w:val="000F559A"/>
    <w:rsid w:val="000F70AF"/>
    <w:rsid w:val="00112A95"/>
    <w:rsid w:val="00126609"/>
    <w:rsid w:val="00152D54"/>
    <w:rsid w:val="00161DF0"/>
    <w:rsid w:val="001711F2"/>
    <w:rsid w:val="001E0B9E"/>
    <w:rsid w:val="001E54C7"/>
    <w:rsid w:val="001F00BA"/>
    <w:rsid w:val="0020079E"/>
    <w:rsid w:val="0023568C"/>
    <w:rsid w:val="002403A7"/>
    <w:rsid w:val="00264E0C"/>
    <w:rsid w:val="002765C4"/>
    <w:rsid w:val="00282A57"/>
    <w:rsid w:val="002D4C0B"/>
    <w:rsid w:val="002E441C"/>
    <w:rsid w:val="002F42A6"/>
    <w:rsid w:val="002F73E1"/>
    <w:rsid w:val="00307ED6"/>
    <w:rsid w:val="003262CB"/>
    <w:rsid w:val="003417D6"/>
    <w:rsid w:val="00360960"/>
    <w:rsid w:val="00374D72"/>
    <w:rsid w:val="003769B9"/>
    <w:rsid w:val="00376D9F"/>
    <w:rsid w:val="003B08FD"/>
    <w:rsid w:val="003B51FB"/>
    <w:rsid w:val="003C37C1"/>
    <w:rsid w:val="003E4F8E"/>
    <w:rsid w:val="00426504"/>
    <w:rsid w:val="004309E4"/>
    <w:rsid w:val="004418A8"/>
    <w:rsid w:val="0045375F"/>
    <w:rsid w:val="00474942"/>
    <w:rsid w:val="004D51D1"/>
    <w:rsid w:val="004F294C"/>
    <w:rsid w:val="00504F04"/>
    <w:rsid w:val="00517453"/>
    <w:rsid w:val="00521433"/>
    <w:rsid w:val="0054177A"/>
    <w:rsid w:val="00550FC3"/>
    <w:rsid w:val="00577A65"/>
    <w:rsid w:val="005C6715"/>
    <w:rsid w:val="005D2AD1"/>
    <w:rsid w:val="005D4584"/>
    <w:rsid w:val="005F409B"/>
    <w:rsid w:val="006031DC"/>
    <w:rsid w:val="00645F14"/>
    <w:rsid w:val="00675FE6"/>
    <w:rsid w:val="006810AE"/>
    <w:rsid w:val="00685102"/>
    <w:rsid w:val="006971DC"/>
    <w:rsid w:val="006A0171"/>
    <w:rsid w:val="006B640E"/>
    <w:rsid w:val="006C2972"/>
    <w:rsid w:val="006C31E5"/>
    <w:rsid w:val="006E4432"/>
    <w:rsid w:val="006E59CE"/>
    <w:rsid w:val="006F4555"/>
    <w:rsid w:val="00702391"/>
    <w:rsid w:val="00740B55"/>
    <w:rsid w:val="007579BF"/>
    <w:rsid w:val="00772B08"/>
    <w:rsid w:val="007828F9"/>
    <w:rsid w:val="0078368F"/>
    <w:rsid w:val="008070B9"/>
    <w:rsid w:val="00832EC7"/>
    <w:rsid w:val="00836A89"/>
    <w:rsid w:val="008370F0"/>
    <w:rsid w:val="008473EF"/>
    <w:rsid w:val="00854E52"/>
    <w:rsid w:val="00855964"/>
    <w:rsid w:val="00861126"/>
    <w:rsid w:val="00871947"/>
    <w:rsid w:val="00880B0A"/>
    <w:rsid w:val="008B3B02"/>
    <w:rsid w:val="008F1C2B"/>
    <w:rsid w:val="00921243"/>
    <w:rsid w:val="009217A7"/>
    <w:rsid w:val="00944A65"/>
    <w:rsid w:val="0095374E"/>
    <w:rsid w:val="00957AF6"/>
    <w:rsid w:val="00977B5F"/>
    <w:rsid w:val="009935A8"/>
    <w:rsid w:val="009A063B"/>
    <w:rsid w:val="009A7F22"/>
    <w:rsid w:val="009B24D8"/>
    <w:rsid w:val="009D0AFD"/>
    <w:rsid w:val="009D1E89"/>
    <w:rsid w:val="009F3594"/>
    <w:rsid w:val="00A5245F"/>
    <w:rsid w:val="00A66956"/>
    <w:rsid w:val="00A7014B"/>
    <w:rsid w:val="00A87C14"/>
    <w:rsid w:val="00AB3DA4"/>
    <w:rsid w:val="00AD7714"/>
    <w:rsid w:val="00AE4A42"/>
    <w:rsid w:val="00AE53A2"/>
    <w:rsid w:val="00AE5D0C"/>
    <w:rsid w:val="00AF3017"/>
    <w:rsid w:val="00B02E23"/>
    <w:rsid w:val="00B165B2"/>
    <w:rsid w:val="00B43EBE"/>
    <w:rsid w:val="00B62DB7"/>
    <w:rsid w:val="00BA6F39"/>
    <w:rsid w:val="00BB04AA"/>
    <w:rsid w:val="00BD0BB0"/>
    <w:rsid w:val="00BF5017"/>
    <w:rsid w:val="00BF7032"/>
    <w:rsid w:val="00C10E43"/>
    <w:rsid w:val="00C32F31"/>
    <w:rsid w:val="00C411A8"/>
    <w:rsid w:val="00C43035"/>
    <w:rsid w:val="00C51551"/>
    <w:rsid w:val="00C51FA9"/>
    <w:rsid w:val="00C53E94"/>
    <w:rsid w:val="00C7572E"/>
    <w:rsid w:val="00CD1B0C"/>
    <w:rsid w:val="00CF4C43"/>
    <w:rsid w:val="00D02440"/>
    <w:rsid w:val="00D03A81"/>
    <w:rsid w:val="00D1408A"/>
    <w:rsid w:val="00D36D0A"/>
    <w:rsid w:val="00D4336D"/>
    <w:rsid w:val="00D6663C"/>
    <w:rsid w:val="00D73D8F"/>
    <w:rsid w:val="00DA35B8"/>
    <w:rsid w:val="00DC2B4B"/>
    <w:rsid w:val="00DD6EBB"/>
    <w:rsid w:val="00E01E32"/>
    <w:rsid w:val="00E1608F"/>
    <w:rsid w:val="00E22771"/>
    <w:rsid w:val="00E464EF"/>
    <w:rsid w:val="00E47F81"/>
    <w:rsid w:val="00E64F24"/>
    <w:rsid w:val="00E67FEF"/>
    <w:rsid w:val="00E76219"/>
    <w:rsid w:val="00E80251"/>
    <w:rsid w:val="00E81A37"/>
    <w:rsid w:val="00E93775"/>
    <w:rsid w:val="00EC0F34"/>
    <w:rsid w:val="00EF3E04"/>
    <w:rsid w:val="00F03C4C"/>
    <w:rsid w:val="00F119F8"/>
    <w:rsid w:val="00F327FC"/>
    <w:rsid w:val="00F36234"/>
    <w:rsid w:val="00F41C63"/>
    <w:rsid w:val="00F54DAD"/>
    <w:rsid w:val="00F70209"/>
    <w:rsid w:val="00F761D1"/>
    <w:rsid w:val="00F92496"/>
    <w:rsid w:val="00F9596D"/>
    <w:rsid w:val="00FA22D7"/>
    <w:rsid w:val="00FA490C"/>
    <w:rsid w:val="00FB26D3"/>
    <w:rsid w:val="00FC7805"/>
    <w:rsid w:val="00FD440C"/>
    <w:rsid w:val="00FE737A"/>
    <w:rsid w:val="00FF2C26"/>
    <w:rsid w:val="00FF39E1"/>
    <w:rsid w:val="00FF5D6E"/>
    <w:rsid w:val="00FF61FF"/>
    <w:rsid w:val="15092E8F"/>
    <w:rsid w:val="1626B8C9"/>
    <w:rsid w:val="263853A4"/>
    <w:rsid w:val="29EAD27C"/>
    <w:rsid w:val="3F39D997"/>
    <w:rsid w:val="4649C444"/>
    <w:rsid w:val="591AF78A"/>
    <w:rsid w:val="59E05A60"/>
    <w:rsid w:val="779A33E6"/>
    <w:rsid w:val="77A117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A4FC"/>
  <w15:chartTrackingRefBased/>
  <w15:docId w15:val="{65BBC9A6-CADD-4BC5-B2B0-DFE6B0E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9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9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60960"/>
    <w:rPr>
      <w:color w:val="0000FF"/>
      <w:u w:val="single"/>
    </w:rPr>
  </w:style>
  <w:style w:type="character" w:customStyle="1" w:styleId="Heading2Char">
    <w:name w:val="Heading 2 Char"/>
    <w:basedOn w:val="DefaultParagraphFont"/>
    <w:link w:val="Heading2"/>
    <w:uiPriority w:val="9"/>
    <w:rsid w:val="003609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09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0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07ED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61DF0"/>
    <w:pPr>
      <w:ind w:left="720"/>
      <w:contextualSpacing/>
    </w:pPr>
  </w:style>
  <w:style w:type="paragraph" w:styleId="CommentSubject">
    <w:name w:val="annotation subject"/>
    <w:basedOn w:val="CommentText"/>
    <w:next w:val="CommentText"/>
    <w:link w:val="CommentSubjectChar"/>
    <w:uiPriority w:val="99"/>
    <w:semiHidden/>
    <w:unhideWhenUsed/>
    <w:rsid w:val="00CD1B0C"/>
    <w:rPr>
      <w:b/>
      <w:bCs/>
    </w:rPr>
  </w:style>
  <w:style w:type="character" w:customStyle="1" w:styleId="CommentSubjectChar">
    <w:name w:val="Comment Subject Char"/>
    <w:basedOn w:val="CommentTextChar"/>
    <w:link w:val="CommentSubject"/>
    <w:uiPriority w:val="99"/>
    <w:semiHidden/>
    <w:rsid w:val="00CD1B0C"/>
    <w:rPr>
      <w:b/>
      <w:bCs/>
      <w:sz w:val="20"/>
      <w:szCs w:val="20"/>
    </w:rPr>
  </w:style>
  <w:style w:type="character" w:styleId="FollowedHyperlink">
    <w:name w:val="FollowedHyperlink"/>
    <w:basedOn w:val="DefaultParagraphFont"/>
    <w:uiPriority w:val="99"/>
    <w:semiHidden/>
    <w:unhideWhenUsed/>
    <w:rsid w:val="000A59FC"/>
    <w:rPr>
      <w:color w:val="954F72" w:themeColor="followedHyperlink"/>
      <w:u w:val="single"/>
    </w:rPr>
  </w:style>
  <w:style w:type="paragraph" w:styleId="Revision">
    <w:name w:val="Revision"/>
    <w:hidden/>
    <w:uiPriority w:val="99"/>
    <w:semiHidden/>
    <w:rsid w:val="0020079E"/>
    <w:pPr>
      <w:spacing w:after="0" w:line="240" w:lineRule="auto"/>
    </w:pPr>
  </w:style>
  <w:style w:type="paragraph" w:styleId="Header">
    <w:name w:val="header"/>
    <w:basedOn w:val="Normal"/>
    <w:link w:val="HeaderChar"/>
    <w:uiPriority w:val="99"/>
    <w:unhideWhenUsed/>
    <w:rsid w:val="00783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8F"/>
  </w:style>
  <w:style w:type="paragraph" w:styleId="Footer">
    <w:name w:val="footer"/>
    <w:basedOn w:val="Normal"/>
    <w:link w:val="FooterChar"/>
    <w:uiPriority w:val="99"/>
    <w:unhideWhenUsed/>
    <w:rsid w:val="00783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79940">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edprep/resources/early-literacy-observ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www.doe.mass.edu/edprep/resources/early-literacy.html" TargetMode="External"/><Relationship Id="rId17" Type="http://schemas.openxmlformats.org/officeDocument/2006/relationships/hyperlink" Target="mailto:educatorpreparation@mass.gov" TargetMode="External"/><Relationship Id="rId2" Type="http://schemas.openxmlformats.org/officeDocument/2006/relationships/customXml" Target="../customXml/item2.xml"/><Relationship Id="rId16" Type="http://schemas.openxmlformats.org/officeDocument/2006/relationships/hyperlink" Target="https://www.doe.mass.edu/edprep/resources/early-literacy-observ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massliteracy/" TargetMode="External"/><Relationship Id="rId5" Type="http://schemas.openxmlformats.org/officeDocument/2006/relationships/styles" Target="styles.xml"/><Relationship Id="rId15" Type="http://schemas.openxmlformats.org/officeDocument/2006/relationships/hyperlink" Target="https://keystoliteracy.com/mass-literacy-online-course/" TargetMode="External"/><Relationship Id="rId10" Type="http://schemas.openxmlformats.org/officeDocument/2006/relationships/hyperlink" Target="https://www.doe.mass.edu/edprep/resources/early-literacy-observa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massliteracy/" TargetMode="External"/></Relationships>
</file>

<file path=word/documenttasks/documenttasks1.xml><?xml version="1.0" encoding="utf-8"?>
<t:Tasks xmlns:t="http://schemas.microsoft.com/office/tasks/2019/documenttasks" xmlns:oel="http://schemas.microsoft.com/office/2019/extlst">
  <t:Task id="{16941100-179E-495F-8277-58D6B86972E6}">
    <t:Anchor>
      <t:Comment id="253281796"/>
    </t:Anchor>
    <t:History>
      <t:Event id="{7D9DB032-15E4-4EF0-B622-AC6EC44AA54D}" time="2023-05-09T14:14:10.915Z">
        <t:Attribution userId="S::grace.a.kingsbery@mass.gov::5675b5dc-d005-4d66-8b1b-0dbf919de2bf" userProvider="AD" userName="Kingsbery, Grace A. (DESE)"/>
        <t:Anchor>
          <t:Comment id="253281796"/>
        </t:Anchor>
        <t:Create/>
      </t:Event>
      <t:Event id="{A8D3D271-9E6D-4122-90F8-603C80A08D14}" time="2023-05-09T14:14:10.915Z">
        <t:Attribution userId="S::grace.a.kingsbery@mass.gov::5675b5dc-d005-4d66-8b1b-0dbf919de2bf" userProvider="AD" userName="Kingsbery, Grace A. (DESE)"/>
        <t:Anchor>
          <t:Comment id="253281796"/>
        </t:Anchor>
        <t:Assign userId="S::Shannon.Clancy@mass.gov::0d21b35f-b60b-4b60-8c9e-9d88af43d1ba" userProvider="AD" userName="Clancy, Shannon (DESE)"/>
      </t:Event>
      <t:Event id="{65E0043D-1539-422B-9FDE-CD49D773C363}" time="2023-05-09T14:14:10.915Z">
        <t:Attribution userId="S::grace.a.kingsbery@mass.gov::5675b5dc-d005-4d66-8b1b-0dbf919de2bf" userProvider="AD" userName="Kingsbery, Grace A. (DESE)"/>
        <t:Anchor>
          <t:Comment id="253281796"/>
        </t:Anchor>
        <t:SetTitle title="@Clancy, Shannon (DESE) So if a program has 7 candidates, do they all have to us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5" ma:contentTypeDescription="Create a new document." ma:contentTypeScope="" ma:versionID="1709bd00a18d76b6c87928706a1dccfa">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b0e0e9b989a08f34f28b247372c68c7a"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Kingsbery, Grace A. (DESE)</DisplayName>
        <AccountId>21</AccountId>
        <AccountType/>
      </UserInfo>
      <UserInfo>
        <DisplayName>Allen, Siobhan M. (DESE)</DisplayName>
        <AccountId>52</AccountId>
        <AccountType/>
      </UserInfo>
    </SharedWithUsers>
  </documentManagement>
</p:properties>
</file>

<file path=customXml/itemProps1.xml><?xml version="1.0" encoding="utf-8"?>
<ds:datastoreItem xmlns:ds="http://schemas.openxmlformats.org/officeDocument/2006/customXml" ds:itemID="{2E63B82A-E38B-4A7B-B7B6-10C64DE4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7043D-F9A2-42A7-AA14-B08DDE7FB997}">
  <ds:schemaRefs>
    <ds:schemaRef ds:uri="http://schemas.microsoft.com/sharepoint/v3/contenttype/forms"/>
  </ds:schemaRefs>
</ds:datastoreItem>
</file>

<file path=customXml/itemProps3.xml><?xml version="1.0" encoding="utf-8"?>
<ds:datastoreItem xmlns:ds="http://schemas.openxmlformats.org/officeDocument/2006/customXml" ds:itemID="{F616C0B4-D416-4A9D-B89D-698F40C52C1D}">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FAQs for Supervisors - Early Lit Observation Form and CAP</vt:lpstr>
    </vt:vector>
  </TitlesOfParts>
  <Company/>
  <LinksUpToDate>false</LinksUpToDate>
  <CharactersWithSpaces>8326</CharactersWithSpaces>
  <SharedDoc>false</SharedDoc>
  <HLinks>
    <vt:vector size="48" baseType="variant">
      <vt:variant>
        <vt:i4>3211285</vt:i4>
      </vt:variant>
      <vt:variant>
        <vt:i4>21</vt:i4>
      </vt:variant>
      <vt:variant>
        <vt:i4>0</vt:i4>
      </vt:variant>
      <vt:variant>
        <vt:i4>5</vt:i4>
      </vt:variant>
      <vt:variant>
        <vt:lpwstr>mailto:educatorpreparation@mass.gov</vt:lpwstr>
      </vt:variant>
      <vt:variant>
        <vt:lpwstr/>
      </vt:variant>
      <vt:variant>
        <vt:i4>6225986</vt:i4>
      </vt:variant>
      <vt:variant>
        <vt:i4>18</vt:i4>
      </vt:variant>
      <vt:variant>
        <vt:i4>0</vt:i4>
      </vt:variant>
      <vt:variant>
        <vt:i4>5</vt:i4>
      </vt:variant>
      <vt:variant>
        <vt:lpwstr>https://www.doe.mass.edu/edprep/resources/early-literacy-observation.html</vt:lpwstr>
      </vt:variant>
      <vt:variant>
        <vt:lpwstr/>
      </vt:variant>
      <vt:variant>
        <vt:i4>7143536</vt:i4>
      </vt:variant>
      <vt:variant>
        <vt:i4>15</vt:i4>
      </vt:variant>
      <vt:variant>
        <vt:i4>0</vt:i4>
      </vt:variant>
      <vt:variant>
        <vt:i4>5</vt:i4>
      </vt:variant>
      <vt:variant>
        <vt:lpwstr>https://keystoliteracy.com/mass-literacy-online-course/</vt:lpwstr>
      </vt:variant>
      <vt:variant>
        <vt:lpwstr/>
      </vt:variant>
      <vt:variant>
        <vt:i4>3342396</vt:i4>
      </vt:variant>
      <vt:variant>
        <vt:i4>12</vt:i4>
      </vt:variant>
      <vt:variant>
        <vt:i4>0</vt:i4>
      </vt:variant>
      <vt:variant>
        <vt:i4>5</vt:i4>
      </vt:variant>
      <vt:variant>
        <vt:lpwstr>https://www.doe.mass.edu/massliteracy/</vt:lpwstr>
      </vt:variant>
      <vt:variant>
        <vt:lpwstr/>
      </vt:variant>
      <vt:variant>
        <vt:i4>6225986</vt:i4>
      </vt:variant>
      <vt:variant>
        <vt:i4>9</vt:i4>
      </vt:variant>
      <vt:variant>
        <vt:i4>0</vt:i4>
      </vt:variant>
      <vt:variant>
        <vt:i4>5</vt:i4>
      </vt:variant>
      <vt:variant>
        <vt:lpwstr>https://www.doe.mass.edu/edprep/resources/early-literacy-observation.html</vt:lpwstr>
      </vt:variant>
      <vt:variant>
        <vt:lpwstr/>
      </vt:variant>
      <vt:variant>
        <vt:i4>5701637</vt:i4>
      </vt:variant>
      <vt:variant>
        <vt:i4>6</vt:i4>
      </vt:variant>
      <vt:variant>
        <vt:i4>0</vt:i4>
      </vt:variant>
      <vt:variant>
        <vt:i4>5</vt:i4>
      </vt:variant>
      <vt:variant>
        <vt:lpwstr>https://www.doe.mass.edu/edprep/resources/early-literacy.html</vt:lpwstr>
      </vt:variant>
      <vt:variant>
        <vt:lpwstr/>
      </vt:variant>
      <vt:variant>
        <vt:i4>3342396</vt:i4>
      </vt:variant>
      <vt:variant>
        <vt:i4>3</vt:i4>
      </vt:variant>
      <vt:variant>
        <vt:i4>0</vt:i4>
      </vt:variant>
      <vt:variant>
        <vt:i4>5</vt:i4>
      </vt:variant>
      <vt:variant>
        <vt:lpwstr>https://www.doe.mass.edu/massliteracy/</vt:lpwstr>
      </vt:variant>
      <vt:variant>
        <vt:lpwstr/>
      </vt:variant>
      <vt:variant>
        <vt:i4>6225986</vt:i4>
      </vt:variant>
      <vt:variant>
        <vt:i4>0</vt:i4>
      </vt:variant>
      <vt:variant>
        <vt:i4>0</vt:i4>
      </vt:variant>
      <vt:variant>
        <vt:i4>5</vt:i4>
      </vt:variant>
      <vt:variant>
        <vt:lpwstr>https://www.doe.mass.edu/edprep/resources/early-literacy-observation.html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The Early Literacy Observation Form and CAP (2023-24 School Year)</dc:title>
  <dc:subject/>
  <dc:creator>DESE</dc:creator>
  <cp:keywords/>
  <dc:description/>
  <cp:lastModifiedBy>Zou, Dong (EOE)</cp:lastModifiedBy>
  <cp:revision>42</cp:revision>
  <dcterms:created xsi:type="dcterms:W3CDTF">2023-12-14T00:26:00Z</dcterms:created>
  <dcterms:modified xsi:type="dcterms:W3CDTF">2023-12-18T22:16:00Z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18 2023 12:00AM</vt:lpwstr>
  </property>
</Properties>
</file>