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3173D" w14:textId="77777777" w:rsidR="00B07D6D" w:rsidRDefault="00D9675D">
      <w:pPr>
        <w:pStyle w:val="Heading1"/>
        <w:rPr>
          <w:sz w:val="30"/>
          <w:szCs w:val="30"/>
        </w:rPr>
      </w:pPr>
      <w:bookmarkStart w:id="0" w:name="_heading=h.6b19m266ewjo" w:colFirst="0" w:colLast="0"/>
      <w:bookmarkEnd w:id="0"/>
      <w:r>
        <w:rPr>
          <w:sz w:val="30"/>
          <w:szCs w:val="30"/>
        </w:rPr>
        <w:t>Overview: Teacher Candidates’ Access to IEP Information</w:t>
      </w:r>
    </w:p>
    <w:p w14:paraId="5B7C5504" w14:textId="77777777" w:rsidR="00BE7844" w:rsidRDefault="00BE7844" w:rsidP="00C54DA0"/>
    <w:p w14:paraId="3E42756C" w14:textId="6E234E36" w:rsidR="00BE7844" w:rsidRDefault="00BE7844" w:rsidP="00BE7844">
      <w:pPr>
        <w:pStyle w:val="Heading2"/>
      </w:pPr>
      <w:r w:rsidRPr="009078FF">
        <w:t>Resource Key Focus Areas</w:t>
      </w:r>
    </w:p>
    <w:p w14:paraId="009D8ED0" w14:textId="77777777" w:rsidR="00BE7844" w:rsidRDefault="00BE7844" w:rsidP="00BE7844">
      <w:pPr>
        <w:pStyle w:val="ListParagraph"/>
        <w:numPr>
          <w:ilvl w:val="0"/>
          <w:numId w:val="7"/>
        </w:numPr>
      </w:pPr>
      <w:r>
        <w:t>Training of Program Supervisors and Supervising Practitioners</w:t>
      </w:r>
    </w:p>
    <w:p w14:paraId="377C7E55" w14:textId="77777777" w:rsidR="00BE7844" w:rsidRDefault="00BE7844" w:rsidP="00BE7844">
      <w:pPr>
        <w:pStyle w:val="ListParagraph"/>
        <w:numPr>
          <w:ilvl w:val="0"/>
          <w:numId w:val="7"/>
        </w:numPr>
      </w:pPr>
      <w:r>
        <w:t>Productive Partnerships with Districts and Educator Preparation Programs</w:t>
      </w:r>
    </w:p>
    <w:p w14:paraId="58C062D2" w14:textId="3E074245" w:rsidR="00BE7844" w:rsidRPr="00BE7844" w:rsidRDefault="00BE7844" w:rsidP="00BE7844">
      <w:pPr>
        <w:pStyle w:val="ListParagraph"/>
        <w:numPr>
          <w:ilvl w:val="0"/>
          <w:numId w:val="7"/>
        </w:numPr>
      </w:pPr>
      <w:r>
        <w:t>Field-based Experiences</w:t>
      </w:r>
    </w:p>
    <w:p w14:paraId="2A2F6357" w14:textId="77777777" w:rsidR="00B07D6D" w:rsidRDefault="00B07D6D" w:rsidP="00C54DA0">
      <w:bookmarkStart w:id="1" w:name="_heading=h.3mimb4g6z47k" w:colFirst="0" w:colLast="0"/>
      <w:bookmarkEnd w:id="1"/>
    </w:p>
    <w:p w14:paraId="2262FE15" w14:textId="77777777" w:rsidR="00BE7844" w:rsidRDefault="00BE7844" w:rsidP="00C54DA0">
      <w:bookmarkStart w:id="2" w:name="_heading=h.73eikdx1lfn8" w:colFirst="0" w:colLast="0"/>
      <w:bookmarkStart w:id="3" w:name="_heading=h.ei596ba87ump" w:colFirst="0" w:colLast="0"/>
      <w:bookmarkEnd w:id="2"/>
      <w:bookmarkEnd w:id="3"/>
    </w:p>
    <w:p w14:paraId="6AE913BD" w14:textId="6DD1BD95" w:rsidR="00B07D6D" w:rsidRDefault="00D9675D">
      <w:pPr>
        <w:pStyle w:val="Heading2"/>
      </w:pPr>
      <w:r>
        <w:t>Resource Description and Timing for Use</w:t>
      </w:r>
    </w:p>
    <w:p w14:paraId="0AA738D1" w14:textId="77777777" w:rsidR="00B07D6D" w:rsidRDefault="00D9675D">
      <w:r>
        <w:t>This resource provides reasons, supported by both federal and state laws and practices, for teacher candidates to have access to student information, specifically information contained in a student's Individualized Education Plan (IEP). This document can be helpful to the Educator Preparation Program faculty, including Program Supervisors as they work with a school district, in ensuring that teacher candidates have a successful practicum experience.</w:t>
      </w:r>
    </w:p>
    <w:p w14:paraId="4C3B66D8" w14:textId="77777777" w:rsidR="00B07D6D" w:rsidRDefault="00B07D6D">
      <w:pPr>
        <w:rPr>
          <w:sz w:val="10"/>
          <w:szCs w:val="10"/>
        </w:rPr>
      </w:pPr>
    </w:p>
    <w:p w14:paraId="1DE539CC" w14:textId="77777777" w:rsidR="00B07D6D" w:rsidRDefault="00D9675D">
      <w:r>
        <w:t>There are many reasons why teacher candidates should have access to information about the classrooms and students during their pre-practicum and practicum placements.  This document provides guidance and reference to legislation in three areas:</w:t>
      </w:r>
    </w:p>
    <w:p w14:paraId="7DE70BF7" w14:textId="77777777" w:rsidR="00B07D6D" w:rsidRDefault="00D9675D">
      <w:pPr>
        <w:numPr>
          <w:ilvl w:val="0"/>
          <w:numId w:val="4"/>
        </w:numPr>
      </w:pPr>
      <w:r>
        <w:t xml:space="preserve">Provision of FAPE </w:t>
      </w:r>
    </w:p>
    <w:p w14:paraId="23C3002A" w14:textId="77777777" w:rsidR="00B07D6D" w:rsidRDefault="00D9675D">
      <w:pPr>
        <w:numPr>
          <w:ilvl w:val="0"/>
          <w:numId w:val="4"/>
        </w:numPr>
      </w:pPr>
      <w:r>
        <w:t>Opportunities to understand supports within a school setting</w:t>
      </w:r>
    </w:p>
    <w:p w14:paraId="0AEA016F" w14:textId="77777777" w:rsidR="00B07D6D" w:rsidRDefault="00D9675D">
      <w:pPr>
        <w:numPr>
          <w:ilvl w:val="0"/>
          <w:numId w:val="4"/>
        </w:numPr>
      </w:pPr>
      <w:r>
        <w:t>Opportunities to work with a range of students in inclusive settings</w:t>
      </w:r>
    </w:p>
    <w:p w14:paraId="7C3DE6F2" w14:textId="77777777" w:rsidR="00BE7844" w:rsidRDefault="00BE7844" w:rsidP="00C54DA0">
      <w:bookmarkStart w:id="4" w:name="_heading=h.br8ku7743a1o" w:colFirst="0" w:colLast="0"/>
      <w:bookmarkEnd w:id="4"/>
    </w:p>
    <w:p w14:paraId="64C93E8C" w14:textId="4BD66DC4" w:rsidR="00B07D6D" w:rsidRDefault="00D9675D">
      <w:pPr>
        <w:pStyle w:val="Heading2"/>
      </w:pPr>
      <w:r>
        <w:t>Supplemental Resources</w:t>
      </w:r>
    </w:p>
    <w:p w14:paraId="17715C93" w14:textId="77777777" w:rsidR="00B07D6D" w:rsidRDefault="00B07D6D">
      <w:hyperlink r:id="rId8">
        <w:r>
          <w:rPr>
            <w:color w:val="1155CC"/>
            <w:u w:val="single"/>
          </w:rPr>
          <w:t>Letter from Lindsay Zorich, Assistant Director of Educator Preparation, MA DESE</w:t>
        </w:r>
      </w:hyperlink>
      <w:hyperlink r:id="rId9">
        <w:r>
          <w:rPr>
            <w:color w:val="1155CC"/>
            <w:u w:val="single"/>
          </w:rPr>
          <w:t xml:space="preserve"> </w:t>
        </w:r>
      </w:hyperlink>
    </w:p>
    <w:p w14:paraId="72F93377" w14:textId="77777777" w:rsidR="00B07D6D" w:rsidRDefault="00B07D6D">
      <w:hyperlink r:id="rId10">
        <w:r>
          <w:rPr>
            <w:color w:val="1155CC"/>
            <w:u w:val="single"/>
          </w:rPr>
          <w:t>Guidelines for the Candidate Assessment of Performance</w:t>
        </w:r>
      </w:hyperlink>
      <w:r>
        <w:t xml:space="preserve"> (CAP) (2024)</w:t>
      </w:r>
    </w:p>
    <w:p w14:paraId="5D3841AF" w14:textId="77777777" w:rsidR="00B07D6D" w:rsidRDefault="00B07D6D">
      <w:pPr>
        <w:rPr>
          <w:sz w:val="14"/>
          <w:szCs w:val="14"/>
        </w:rPr>
      </w:pPr>
    </w:p>
    <w:p w14:paraId="523CAE51" w14:textId="77777777" w:rsidR="00B07D6D" w:rsidRDefault="00D9675D">
      <w:pPr>
        <w:pStyle w:val="Heading2"/>
      </w:pPr>
      <w:bookmarkStart w:id="5" w:name="_heading=h.w7nmv3hexba0" w:colFirst="0" w:colLast="0"/>
      <w:bookmarkEnd w:id="5"/>
      <w:r>
        <w:t xml:space="preserve">Resource Alignment and Context </w:t>
      </w:r>
    </w:p>
    <w:p w14:paraId="7CF827CC" w14:textId="77777777" w:rsidR="00B07D6D" w:rsidRDefault="00D9675D">
      <w:pPr>
        <w:rPr>
          <w:sz w:val="16"/>
          <w:szCs w:val="16"/>
        </w:rPr>
      </w:pPr>
      <w:r>
        <w:rPr>
          <w:b/>
          <w:bCs/>
        </w:rPr>
        <w:t xml:space="preserve">Proficiency Level: </w:t>
      </w:r>
      <w:r>
        <w:t>Demonstrate</w:t>
      </w:r>
    </w:p>
    <w:p w14:paraId="571BBD29" w14:textId="77777777" w:rsidR="00B07D6D" w:rsidRDefault="00D9675D">
      <w:r>
        <w:rPr>
          <w:b/>
          <w:bCs/>
        </w:rPr>
        <w:t xml:space="preserve">Alignment to </w:t>
      </w:r>
      <w:hyperlink r:id="rId11">
        <w:r w:rsidR="00B07D6D">
          <w:rPr>
            <w:b/>
            <w:bCs/>
            <w:color w:val="1155CC"/>
            <w:u w:val="single"/>
          </w:rPr>
          <w:t>Early Literacy Program Approval Criteria</w:t>
        </w:r>
      </w:hyperlink>
      <w:r>
        <w:rPr>
          <w:b/>
          <w:bCs/>
        </w:rPr>
        <w:t>:</w:t>
      </w:r>
      <w:r>
        <w:t xml:space="preserve"> </w:t>
      </w:r>
    </w:p>
    <w:p w14:paraId="5E34B811" w14:textId="77777777" w:rsidR="00B07D6D" w:rsidRDefault="00D9675D">
      <w:pPr>
        <w:numPr>
          <w:ilvl w:val="0"/>
          <w:numId w:val="3"/>
        </w:numPr>
      </w:pPr>
      <w:r>
        <w:t>FBE.A., FBE.B., FBE.C.</w:t>
      </w:r>
    </w:p>
    <w:p w14:paraId="27864CC7" w14:textId="77777777" w:rsidR="00B07D6D" w:rsidRDefault="00D9675D">
      <w:pPr>
        <w:numPr>
          <w:ilvl w:val="0"/>
          <w:numId w:val="3"/>
        </w:numPr>
      </w:pPr>
      <w:r>
        <w:t>PAR.A.2.</w:t>
      </w:r>
    </w:p>
    <w:p w14:paraId="663C37A5" w14:textId="77777777" w:rsidR="00B07D6D" w:rsidRDefault="00D9675D">
      <w:r>
        <w:rPr>
          <w:b/>
          <w:bCs/>
        </w:rPr>
        <w:t xml:space="preserve">Alignment to Mass Literacy: </w:t>
      </w:r>
    </w:p>
    <w:p w14:paraId="2F2FAE7A" w14:textId="77777777" w:rsidR="00B07D6D" w:rsidRDefault="00B07D6D">
      <w:pPr>
        <w:numPr>
          <w:ilvl w:val="0"/>
          <w:numId w:val="2"/>
        </w:numPr>
        <w:rPr>
          <w:rFonts w:ascii="Times New Roman" w:eastAsia="Times New Roman" w:hAnsi="Times New Roman" w:cs="Times New Roman"/>
        </w:rPr>
      </w:pPr>
      <w:hyperlink r:id="rId12">
        <w:r>
          <w:rPr>
            <w:color w:val="1155CC"/>
            <w:u w:val="single"/>
          </w:rPr>
          <w:t>Students Experiencing Reading Difficulties</w:t>
        </w:r>
      </w:hyperlink>
    </w:p>
    <w:p w14:paraId="5345499F" w14:textId="77777777" w:rsidR="00B07D6D" w:rsidRDefault="00B07D6D">
      <w:pPr>
        <w:numPr>
          <w:ilvl w:val="0"/>
          <w:numId w:val="2"/>
        </w:numPr>
        <w:rPr>
          <w:rFonts w:ascii="Times New Roman" w:eastAsia="Times New Roman" w:hAnsi="Times New Roman" w:cs="Times New Roman"/>
        </w:rPr>
      </w:pPr>
      <w:hyperlink r:id="rId13">
        <w:r>
          <w:rPr>
            <w:color w:val="1155CC"/>
            <w:u w:val="single"/>
          </w:rPr>
          <w:t>Leading a Multi-tiered System of Support</w:t>
        </w:r>
      </w:hyperlink>
    </w:p>
    <w:p w14:paraId="242647A8" w14:textId="77777777" w:rsidR="00B07D6D" w:rsidRDefault="00D9675D">
      <w:r>
        <w:rPr>
          <w:b/>
          <w:bCs/>
        </w:rPr>
        <w:t xml:space="preserve">Contributor: </w:t>
      </w:r>
      <w:r>
        <w:t xml:space="preserve"> </w:t>
      </w:r>
      <w:hyperlink r:id="rId14">
        <w:r w:rsidR="00B07D6D">
          <w:rPr>
            <w:b/>
            <w:bCs/>
            <w:noProof/>
            <w:color w:val="1155CC"/>
            <w:u w:val="single"/>
          </w:rPr>
          <w:drawing>
            <wp:inline distT="0" distB="0" distL="0" distR="0" wp14:anchorId="664DC41A" wp14:editId="506917EC">
              <wp:extent cx="1053033" cy="516391"/>
              <wp:effectExtent l="0" t="0" r="0" b="0"/>
              <wp:docPr id="19" name="image2.png" descr="The Reading Circuit logo"/>
              <wp:cNvGraphicFramePr/>
              <a:graphic xmlns:a="http://schemas.openxmlformats.org/drawingml/2006/main">
                <a:graphicData uri="http://schemas.openxmlformats.org/drawingml/2006/picture">
                  <pic:pic xmlns:pic="http://schemas.openxmlformats.org/drawingml/2006/picture">
                    <pic:nvPicPr>
                      <pic:cNvPr id="0" name="image2.png" descr="The Reading Circuit logo"/>
                      <pic:cNvPicPr preferRelativeResize="0"/>
                    </pic:nvPicPr>
                    <pic:blipFill>
                      <a:blip r:embed="rId15"/>
                      <a:srcRect/>
                      <a:stretch>
                        <a:fillRect/>
                      </a:stretch>
                    </pic:blipFill>
                    <pic:spPr>
                      <a:xfrm>
                        <a:off x="0" y="0"/>
                        <a:ext cx="1053033" cy="516391"/>
                      </a:xfrm>
                      <a:prstGeom prst="rect">
                        <a:avLst/>
                      </a:prstGeom>
                      <a:ln/>
                    </pic:spPr>
                  </pic:pic>
                </a:graphicData>
              </a:graphic>
            </wp:inline>
          </w:drawing>
        </w:r>
      </w:hyperlink>
    </w:p>
    <w:p w14:paraId="6B97CB46" w14:textId="77777777" w:rsidR="00B07D6D" w:rsidRDefault="00D9675D">
      <w:r>
        <w:rPr>
          <w:b/>
          <w:bCs/>
        </w:rPr>
        <w:t xml:space="preserve">Date Posted: </w:t>
      </w:r>
      <w:r>
        <w:t>December 2025</w:t>
      </w:r>
    </w:p>
    <w:p w14:paraId="395E3511" w14:textId="77777777" w:rsidR="00B07D6D" w:rsidRDefault="00D9675D">
      <w:pPr>
        <w:rPr>
          <w:highlight w:val="yellow"/>
        </w:rPr>
      </w:pPr>
      <w:r>
        <w:tab/>
      </w:r>
    </w:p>
    <w:p w14:paraId="6EB7F61D" w14:textId="77777777" w:rsidR="00BE7844" w:rsidRDefault="00BE7844">
      <w:pPr>
        <w:rPr>
          <w:rFonts w:ascii="Calibri" w:eastAsia="Calibri" w:hAnsi="Calibri" w:cs="Calibri"/>
          <w:b/>
          <w:bCs/>
          <w:color w:val="00795D"/>
          <w:sz w:val="30"/>
          <w:szCs w:val="30"/>
        </w:rPr>
      </w:pPr>
      <w:bookmarkStart w:id="6" w:name="_heading=h.j2gh1fyuvn0f" w:colFirst="0" w:colLast="0"/>
      <w:bookmarkEnd w:id="6"/>
      <w:r>
        <w:rPr>
          <w:sz w:val="30"/>
          <w:szCs w:val="30"/>
        </w:rPr>
        <w:br w:type="page"/>
      </w:r>
    </w:p>
    <w:p w14:paraId="6E2691BC" w14:textId="1E8BA7FA" w:rsidR="00B07D6D" w:rsidRPr="002A5353" w:rsidRDefault="00D9675D" w:rsidP="002A5353">
      <w:pPr>
        <w:rPr>
          <w:rFonts w:ascii="Calibri" w:hAnsi="Calibri" w:cs="Calibri"/>
          <w:b/>
          <w:bCs/>
          <w:color w:val="00795D"/>
          <w:sz w:val="30"/>
          <w:szCs w:val="30"/>
        </w:rPr>
      </w:pPr>
      <w:r w:rsidRPr="002A5353">
        <w:rPr>
          <w:rFonts w:ascii="Calibri" w:hAnsi="Calibri" w:cs="Calibri"/>
          <w:b/>
          <w:bCs/>
          <w:color w:val="00795D"/>
          <w:sz w:val="30"/>
          <w:szCs w:val="30"/>
        </w:rPr>
        <w:lastRenderedPageBreak/>
        <w:t>Teacher Candidates’ Access to IEP Information</w:t>
      </w:r>
    </w:p>
    <w:p w14:paraId="58B1BADA" w14:textId="77777777" w:rsidR="00B07D6D" w:rsidRDefault="00D9675D">
      <w:r>
        <w:t>Concern for student privacy is an important consideration for school districts and supervising practitioners.  There are confidentiality and FERPA laws, together with Massachusetts laws regarding student records.  The intent of these laws are to limit access to student data, including information in an Individualized Education Plan (IEP) to only those who have a legitimate need and interest in seeing the records and information.  A teacher candidate is someone who does have a legitimate need and interest in seeing student information.</w:t>
      </w:r>
    </w:p>
    <w:p w14:paraId="355A2A38" w14:textId="77777777" w:rsidR="00B07D6D" w:rsidRDefault="00B07D6D"/>
    <w:p w14:paraId="5F1264D5" w14:textId="77777777" w:rsidR="00B07D6D" w:rsidRDefault="00D9675D">
      <w:r>
        <w:t>Several laws and guidance documents support teacher candidates’ right to IEP information.</w:t>
      </w:r>
    </w:p>
    <w:p w14:paraId="5FB32BF3" w14:textId="77777777" w:rsidR="00B07D6D" w:rsidRDefault="00B07D6D"/>
    <w:p w14:paraId="77A9EAAE" w14:textId="77777777" w:rsidR="00B07D6D" w:rsidRDefault="00D9675D">
      <w:r>
        <w:t xml:space="preserve">1. A teacher candidate, in a practicum placement, is considered part of the authorized school personnel, which is defined in </w:t>
      </w:r>
      <w:hyperlink r:id="rId16">
        <w:r w:rsidR="00B07D6D">
          <w:rPr>
            <w:color w:val="1155CC"/>
            <w:u w:val="single"/>
          </w:rPr>
          <w:t>Massachusetts Law 603CMR 23.02</w:t>
        </w:r>
      </w:hyperlink>
    </w:p>
    <w:p w14:paraId="4C9D1A82" w14:textId="77777777" w:rsidR="00B07D6D" w:rsidRDefault="00B07D6D"/>
    <w:p w14:paraId="420ECC76" w14:textId="77777777" w:rsidR="00B07D6D" w:rsidRDefault="00D9675D">
      <w:r>
        <w:t>Authorized school personnel shall consist of three groups:</w:t>
      </w:r>
    </w:p>
    <w:p w14:paraId="4CC69F89" w14:textId="77777777" w:rsidR="00B07D6D" w:rsidRDefault="00D9675D">
      <w:pPr>
        <w:numPr>
          <w:ilvl w:val="0"/>
          <w:numId w:val="6"/>
        </w:numPr>
      </w:pPr>
      <w:r>
        <w:t>(a) School administrators, teachers, counselors and other professionals who are employed by the school committee or who are providing services to the student under an agreement between the school committee and a service provider, and who are working directly with the student in an administrative, teaching counseling, and/or diagnostic capacity. Any such personnel who are not employed directly by the school committee shall have access only to the student record information that is required for them to perform their duties.</w:t>
      </w:r>
    </w:p>
    <w:p w14:paraId="7AE32E59" w14:textId="77777777" w:rsidR="00B07D6D" w:rsidRDefault="00D9675D">
      <w:pPr>
        <w:numPr>
          <w:ilvl w:val="0"/>
          <w:numId w:val="6"/>
        </w:numPr>
      </w:pPr>
      <w:r>
        <w:t>(b) Administrative office staff and clerical personnel.</w:t>
      </w:r>
    </w:p>
    <w:p w14:paraId="7875F587" w14:textId="77777777" w:rsidR="00B07D6D" w:rsidRDefault="00D9675D">
      <w:pPr>
        <w:numPr>
          <w:ilvl w:val="0"/>
          <w:numId w:val="6"/>
        </w:numPr>
      </w:pPr>
      <w:r>
        <w:t>(c) The Evaluation Team which evaluates a student.</w:t>
      </w:r>
    </w:p>
    <w:p w14:paraId="60593D25" w14:textId="77777777" w:rsidR="00B07D6D" w:rsidRDefault="00B07D6D"/>
    <w:p w14:paraId="5A8B8D15" w14:textId="77777777" w:rsidR="00B07D6D" w:rsidRDefault="00D9675D">
      <w:r>
        <w:t>Teacher candidates are those 'personnel who are not employed directly by the school committee' but who have responsibility for serving the needs of the students.  Teacher candidates need not have  access to the whole student record, but they need access to the IEP so that they can carry out instruction accordingly.</w:t>
      </w:r>
    </w:p>
    <w:p w14:paraId="36B033E6" w14:textId="77777777" w:rsidR="00B07D6D" w:rsidRDefault="00B07D6D"/>
    <w:p w14:paraId="20C3CD28" w14:textId="77777777" w:rsidR="00B07D6D" w:rsidRDefault="00D9675D">
      <w:r>
        <w:t xml:space="preserve">In fact, if the teacher candidate, who will be responsible for teaching the class, does NOT have the IEP, with the information about accommodations and services that the student with special needs has, the school district could be jeopardizing the student's right to FAPE (Free and Appropriate Public Education).  </w:t>
      </w:r>
    </w:p>
    <w:p w14:paraId="12A23FC4" w14:textId="77777777" w:rsidR="00B07D6D" w:rsidRDefault="00B07D6D"/>
    <w:p w14:paraId="7574F992" w14:textId="77777777" w:rsidR="00B07D6D" w:rsidRDefault="00D9675D">
      <w:r>
        <w:t xml:space="preserve">Contraventions or impediments to FAPE  is a much more serious violation of the IDEA Special Education laws.  It could be impinging on the students’ ability to get the correct services, specialized instruction and/or accommodations and modifications to which they are legally entitled.  </w:t>
      </w:r>
    </w:p>
    <w:p w14:paraId="23975F29" w14:textId="77777777" w:rsidR="00B07D6D" w:rsidRDefault="00B07D6D"/>
    <w:p w14:paraId="012A6AF6" w14:textId="77777777" w:rsidR="00B07D6D" w:rsidRDefault="00D9675D">
      <w:pPr>
        <w:rPr>
          <w:b/>
          <w:bCs/>
        </w:rPr>
      </w:pPr>
      <w:r>
        <w:rPr>
          <w:b/>
          <w:bCs/>
        </w:rPr>
        <w:t xml:space="preserve">In summary, a teacher candidate has a legitimate educational interest in seeing records.  Denying them the ability to do so can be more problematic for a school district. </w:t>
      </w:r>
    </w:p>
    <w:p w14:paraId="53560248" w14:textId="77777777" w:rsidR="00B07D6D" w:rsidRDefault="00D9675D">
      <w:pPr>
        <w:rPr>
          <w:b/>
          <w:bCs/>
        </w:rPr>
      </w:pPr>
      <w:r>
        <w:rPr>
          <w:b/>
          <w:bCs/>
        </w:rPr>
        <w:t>There is nothing in either Federal or State law that prohibits a teacher candidate from seeing IEPs and student records.</w:t>
      </w:r>
    </w:p>
    <w:p w14:paraId="25A276BA" w14:textId="77777777" w:rsidR="00B07D6D" w:rsidRDefault="00B07D6D"/>
    <w:p w14:paraId="64B17218" w14:textId="77777777" w:rsidR="00B07D6D" w:rsidRDefault="00D9675D">
      <w:pPr>
        <w:spacing w:line="240" w:lineRule="auto"/>
      </w:pPr>
      <w:r>
        <w:lastRenderedPageBreak/>
        <w:t xml:space="preserve">2. A letter to PK-12 school and district administrators, sent by the Assistant Director of Educator Preparation, on May 16, 2025, gives guidance on access to records and student information for teacher candidates.  It stresses the importance of providing teacher candidates with opportunities to work with a wide range of students and supports within the school, including working with students with IEPs. </w:t>
      </w:r>
    </w:p>
    <w:p w14:paraId="0672E939" w14:textId="77777777" w:rsidR="00B07D6D" w:rsidRDefault="00B07D6D">
      <w:pPr>
        <w:spacing w:line="240" w:lineRule="auto"/>
      </w:pPr>
    </w:p>
    <w:p w14:paraId="0169F5C5" w14:textId="77777777" w:rsidR="00B07D6D" w:rsidRDefault="00D9675D">
      <w:pPr>
        <w:ind w:left="720"/>
      </w:pPr>
      <w:r>
        <w:t>Providing teacher candidates with experience in all areas of student support and school life is essential to an aspiring teacher’s growth and development, as well as their readiness on day one of employment. Schools and districts are encouraged to consider experiences and settings that candidates might appropriately access during their field-based placement, weighing the importance of allowing candidates to practice accessing and using information.</w:t>
      </w:r>
    </w:p>
    <w:p w14:paraId="590633AC" w14:textId="77777777" w:rsidR="00B07D6D" w:rsidRDefault="00B07D6D">
      <w:pPr>
        <w:ind w:left="720"/>
      </w:pPr>
    </w:p>
    <w:p w14:paraId="5DF934A9" w14:textId="77777777" w:rsidR="00B07D6D" w:rsidRDefault="00D9675D">
      <w:pPr>
        <w:ind w:left="720"/>
      </w:pPr>
      <w:r>
        <w:t>Examples of information and events that are supportive of candidates’ growth include:</w:t>
      </w:r>
    </w:p>
    <w:p w14:paraId="3C662145" w14:textId="77777777" w:rsidR="00B07D6D" w:rsidRDefault="00D9675D">
      <w:pPr>
        <w:numPr>
          <w:ilvl w:val="0"/>
          <w:numId w:val="1"/>
        </w:numPr>
      </w:pPr>
      <w:r>
        <w:t>Curricular resources, including online resources;</w:t>
      </w:r>
    </w:p>
    <w:p w14:paraId="351720CB" w14:textId="77777777" w:rsidR="00B07D6D" w:rsidRDefault="00D9675D">
      <w:pPr>
        <w:numPr>
          <w:ilvl w:val="0"/>
          <w:numId w:val="1"/>
        </w:numPr>
      </w:pPr>
      <w:r>
        <w:t>Online tools and subscriptions afforded to in-service educators;</w:t>
      </w:r>
    </w:p>
    <w:p w14:paraId="5351E596" w14:textId="77777777" w:rsidR="00B07D6D" w:rsidRDefault="00D9675D">
      <w:pPr>
        <w:numPr>
          <w:ilvl w:val="0"/>
          <w:numId w:val="1"/>
        </w:numPr>
      </w:pPr>
      <w:r>
        <w:t>Student-specific differentiated intervention information (e.g. IEPs, FBAs) with proper consent; and</w:t>
      </w:r>
    </w:p>
    <w:p w14:paraId="07E17D2B" w14:textId="77777777" w:rsidR="00B07D6D" w:rsidRDefault="00D9675D">
      <w:pPr>
        <w:numPr>
          <w:ilvl w:val="0"/>
          <w:numId w:val="1"/>
        </w:numPr>
      </w:pPr>
      <w:r>
        <w:t>Staff meetings, IEP meetings, professional development opportunities, and family engagement opportunities</w:t>
      </w:r>
    </w:p>
    <w:p w14:paraId="708B8DA5" w14:textId="77777777" w:rsidR="00B07D6D" w:rsidRDefault="00B07D6D">
      <w:pPr>
        <w:ind w:left="720"/>
      </w:pPr>
    </w:p>
    <w:p w14:paraId="34C5E788" w14:textId="77777777" w:rsidR="00B07D6D" w:rsidRDefault="00B07D6D"/>
    <w:p w14:paraId="27501829" w14:textId="77777777" w:rsidR="00B07D6D" w:rsidRDefault="00D9675D">
      <w:r>
        <w:t xml:space="preserve">3. One of the Essential Elements in the Candidate Assessment of Performance (CAP) that a teacher candidate must fulfill is the ability to provide Inclusive Instruction (II-A-3).  In order for a teacher candidate to receive a proficient or exemplary rating, the teacher candidate must demonstrate that they: </w:t>
      </w:r>
    </w:p>
    <w:p w14:paraId="46BBA8DF" w14:textId="77777777" w:rsidR="00B07D6D" w:rsidRDefault="00B07D6D"/>
    <w:p w14:paraId="284A53E5" w14:textId="77777777" w:rsidR="00B07D6D" w:rsidRDefault="00D9675D">
      <w:pPr>
        <w:ind w:left="720"/>
      </w:pPr>
      <w:r>
        <w:t xml:space="preserve">Accommodate and support individual differences in all students’ learning needs, abilities, interests, and levels of readiness, including those of students with disabilities (in accordance with relevant IEPs or 504 plans), English learners and former English learners, academically advanced students, and students who have been historically marginalized, by: </w:t>
      </w:r>
    </w:p>
    <w:p w14:paraId="46814CB6" w14:textId="77777777" w:rsidR="00B07D6D" w:rsidRDefault="00D9675D">
      <w:pPr>
        <w:numPr>
          <w:ilvl w:val="0"/>
          <w:numId w:val="5"/>
        </w:numPr>
      </w:pPr>
      <w:r>
        <w:t xml:space="preserve">Using appropriate inclusive practices, such as tiered supports, educational and assistive technologies, scaffolded instruction, and leveraging of students’ native language and linguistic resources, to make grade-level content accessible and affirming for all students. </w:t>
      </w:r>
    </w:p>
    <w:p w14:paraId="6968B7C2" w14:textId="77777777" w:rsidR="00B07D6D" w:rsidRDefault="00D9675D">
      <w:pPr>
        <w:numPr>
          <w:ilvl w:val="0"/>
          <w:numId w:val="5"/>
        </w:numPr>
      </w:pPr>
      <w:r>
        <w:t>Providing students with multiple ways to learn content and demonstrate understanding, as appropriate</w:t>
      </w:r>
    </w:p>
    <w:p w14:paraId="715E7EEA" w14:textId="77777777" w:rsidR="00B07D6D" w:rsidRDefault="00D9675D">
      <w:r>
        <w:t xml:space="preserve"> </w:t>
      </w:r>
    </w:p>
    <w:p w14:paraId="5137D75C" w14:textId="77777777" w:rsidR="00B07D6D" w:rsidRDefault="00D9675D">
      <w:pPr>
        <w:rPr>
          <w:b/>
          <w:bCs/>
          <w:color w:val="235393"/>
          <w:sz w:val="24"/>
          <w:szCs w:val="24"/>
        </w:rPr>
      </w:pPr>
      <w:r>
        <w:t xml:space="preserve"> Access to student records and IEPs is essential to meeting this expectation.</w:t>
      </w:r>
    </w:p>
    <w:sectPr w:rsidR="00B07D6D">
      <w:headerReference w:type="default" r:id="rId17"/>
      <w:footerReference w:type="default" r:id="rId18"/>
      <w:headerReference w:type="first" r:id="rId19"/>
      <w:footerReference w:type="first" r:id="rId20"/>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0F34D" w14:textId="77777777" w:rsidR="00CE430C" w:rsidRDefault="00CE430C">
      <w:pPr>
        <w:spacing w:line="240" w:lineRule="auto"/>
      </w:pPr>
      <w:r>
        <w:separator/>
      </w:r>
    </w:p>
  </w:endnote>
  <w:endnote w:type="continuationSeparator" w:id="0">
    <w:p w14:paraId="383B08CE" w14:textId="77777777" w:rsidR="00CE430C" w:rsidRDefault="00CE43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96E96B68-723B-4EB9-8D59-C7F51DFADD7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5277E47-3185-4CB4-94C2-C44A2175E410}"/>
    <w:embedBold r:id="rId3" w:fontKey="{A0B95981-0BF5-48A7-96F4-B100AC09B033}"/>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4" w:fontKey="{35C3AC29-F0C7-44BF-9309-6C16BD6AFC8D}"/>
  </w:font>
  <w:font w:name="Cambria">
    <w:panose1 w:val="02040503050406030204"/>
    <w:charset w:val="00"/>
    <w:family w:val="roman"/>
    <w:pitch w:val="variable"/>
    <w:sig w:usb0="E00006FF" w:usb1="420024FF" w:usb2="02000000" w:usb3="00000000" w:csb0="0000019F" w:csb1="00000000"/>
    <w:embedRegular r:id="rId5" w:fontKey="{8D93576E-BE44-442F-99EE-55BD630BB64D}"/>
  </w:font>
  <w:font w:name="Cordia New">
    <w:panose1 w:val="020B0304020202020204"/>
    <w:charset w:val="DE"/>
    <w:family w:val="swiss"/>
    <w:pitch w:val="variable"/>
    <w:sig w:usb0="81000003" w:usb1="00000000" w:usb2="00000000" w:usb3="00000000" w:csb0="00010001" w:csb1="00000000"/>
    <w:embedRegular r:id="rId6" w:fontKey="{CABC04BD-47D3-497D-9CEB-C47E238769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46E8" w14:textId="77777777" w:rsidR="00B07D6D" w:rsidRDefault="00D9675D">
    <w:pPr>
      <w:ind w:left="-1440" w:right="-1440"/>
    </w:pPr>
    <w:r>
      <w:rPr>
        <w:noProof/>
      </w:rPr>
      <w:drawing>
        <wp:anchor distT="0" distB="0" distL="0" distR="0" simplePos="0" relativeHeight="251658240" behindDoc="1" locked="0" layoutInCell="1" hidden="0" allowOverlap="1" wp14:anchorId="430A7B5E" wp14:editId="042B928E">
          <wp:simplePos x="0" y="0"/>
          <wp:positionH relativeFrom="column">
            <wp:posOffset>-895348</wp:posOffset>
          </wp:positionH>
          <wp:positionV relativeFrom="paragraph">
            <wp:posOffset>114300</wp:posOffset>
          </wp:positionV>
          <wp:extent cx="7786687" cy="619125"/>
          <wp:effectExtent l="0" t="0" r="0" b="0"/>
          <wp:wrapNone/>
          <wp:docPr id="16"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A6CE7" w14:textId="77777777" w:rsidR="00B07D6D" w:rsidRDefault="00D9675D">
    <w:pPr>
      <w:rPr>
        <w:i/>
        <w:iCs/>
        <w:sz w:val="20"/>
        <w:szCs w:val="20"/>
      </w:rPr>
    </w:pPr>
    <w:r>
      <w:rPr>
        <w:b/>
        <w:bCs/>
        <w:i/>
        <w:iCs/>
        <w:sz w:val="20"/>
        <w:szCs w:val="20"/>
      </w:rPr>
      <w:t>Note:</w:t>
    </w:r>
    <w:r>
      <w:rPr>
        <w:i/>
        <w:iCs/>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r>
      <w:rPr>
        <w:noProof/>
      </w:rPr>
      <w:drawing>
        <wp:anchor distT="0" distB="0" distL="0" distR="0" simplePos="0" relativeHeight="251659264" behindDoc="1" locked="0" layoutInCell="1" hidden="0" allowOverlap="1" wp14:anchorId="4247FCE2" wp14:editId="5EBD3EFE">
          <wp:simplePos x="0" y="0"/>
          <wp:positionH relativeFrom="column">
            <wp:posOffset>-919162</wp:posOffset>
          </wp:positionH>
          <wp:positionV relativeFrom="paragraph">
            <wp:posOffset>504825</wp:posOffset>
          </wp:positionV>
          <wp:extent cx="7786687" cy="619125"/>
          <wp:effectExtent l="0" t="0" r="0" b="0"/>
          <wp:wrapNone/>
          <wp:docPr id="18"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5F1EB" w14:textId="77777777" w:rsidR="00CE430C" w:rsidRDefault="00CE430C">
      <w:pPr>
        <w:spacing w:line="240" w:lineRule="auto"/>
      </w:pPr>
      <w:r>
        <w:separator/>
      </w:r>
    </w:p>
  </w:footnote>
  <w:footnote w:type="continuationSeparator" w:id="0">
    <w:p w14:paraId="1DC71A78" w14:textId="77777777" w:rsidR="00CE430C" w:rsidRDefault="00CE43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02684" w14:textId="77777777" w:rsidR="00B07D6D" w:rsidRDefault="00D9675D">
    <w:pPr>
      <w:ind w:left="-1440" w:right="-1440"/>
    </w:pPr>
    <w:r>
      <w:rPr>
        <w:noProof/>
      </w:rPr>
      <w:drawing>
        <wp:inline distT="114300" distB="114300" distL="114300" distR="114300" wp14:anchorId="5C7B4003" wp14:editId="7F538B0D">
          <wp:extent cx="7753350" cy="804863"/>
          <wp:effectExtent l="0" t="0" r="0" b="0"/>
          <wp:docPr id="20"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53350" cy="80486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193A6" w14:textId="77777777" w:rsidR="00B07D6D" w:rsidRDefault="00D9675D">
    <w:pPr>
      <w:ind w:left="-1440" w:right="-1440"/>
    </w:pPr>
    <w:r>
      <w:rPr>
        <w:noProof/>
      </w:rPr>
      <w:drawing>
        <wp:inline distT="114300" distB="114300" distL="114300" distR="114300" wp14:anchorId="16A1F70E" wp14:editId="5E8F80AB">
          <wp:extent cx="7758113" cy="619125"/>
          <wp:effectExtent l="0" t="0" r="0" b="0"/>
          <wp:docPr id="17"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58113" cy="6191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E60B3"/>
    <w:multiLevelType w:val="multilevel"/>
    <w:tmpl w:val="EBB8B8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BC3357"/>
    <w:multiLevelType w:val="multilevel"/>
    <w:tmpl w:val="A5625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AA66A6"/>
    <w:multiLevelType w:val="multilevel"/>
    <w:tmpl w:val="8612FB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BC914EF"/>
    <w:multiLevelType w:val="multilevel"/>
    <w:tmpl w:val="A37654E0"/>
    <w:lvl w:ilvl="0">
      <w:start w:val="1"/>
      <w:numFmt w:val="bullet"/>
      <w:lvlText w:val=""/>
      <w:lvlJc w:val="left"/>
      <w:pPr>
        <w:ind w:left="720" w:hanging="360"/>
      </w:pPr>
      <w:rPr>
        <w:rFonts w:ascii="Roboto" w:eastAsia="Roboto" w:hAnsi="Roboto" w:cs="Roboto"/>
        <w:color w:val="212529"/>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5958A8"/>
    <w:multiLevelType w:val="multilevel"/>
    <w:tmpl w:val="F5D0E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D550D6"/>
    <w:multiLevelType w:val="hybridMultilevel"/>
    <w:tmpl w:val="E8CA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05627D"/>
    <w:multiLevelType w:val="multilevel"/>
    <w:tmpl w:val="51246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5384398">
    <w:abstractNumId w:val="0"/>
  </w:num>
  <w:num w:numId="2" w16cid:durableId="505750326">
    <w:abstractNumId w:val="6"/>
  </w:num>
  <w:num w:numId="3" w16cid:durableId="1909027031">
    <w:abstractNumId w:val="1"/>
  </w:num>
  <w:num w:numId="4" w16cid:durableId="1205405442">
    <w:abstractNumId w:val="4"/>
  </w:num>
  <w:num w:numId="5" w16cid:durableId="1443114685">
    <w:abstractNumId w:val="2"/>
  </w:num>
  <w:num w:numId="6" w16cid:durableId="906915230">
    <w:abstractNumId w:val="3"/>
  </w:num>
  <w:num w:numId="7" w16cid:durableId="1250092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D6D"/>
    <w:rsid w:val="00074DE8"/>
    <w:rsid w:val="00235C6C"/>
    <w:rsid w:val="002A5353"/>
    <w:rsid w:val="002D6583"/>
    <w:rsid w:val="00345A9F"/>
    <w:rsid w:val="003C2D22"/>
    <w:rsid w:val="00480FDD"/>
    <w:rsid w:val="00506313"/>
    <w:rsid w:val="008915F7"/>
    <w:rsid w:val="009078FF"/>
    <w:rsid w:val="0091502E"/>
    <w:rsid w:val="00B07D6D"/>
    <w:rsid w:val="00B13BD1"/>
    <w:rsid w:val="00BE16F4"/>
    <w:rsid w:val="00BE7844"/>
    <w:rsid w:val="00C54DA0"/>
    <w:rsid w:val="00CB3B33"/>
    <w:rsid w:val="00CE430C"/>
    <w:rsid w:val="00D9675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F854F"/>
  <w15:docId w15:val="{F6ADDEA2-0E95-D840-8628-4A9ADDF7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bCs/>
      <w:color w:val="00795D"/>
      <w:sz w:val="32"/>
      <w:szCs w:val="32"/>
    </w:rPr>
  </w:style>
  <w:style w:type="paragraph" w:styleId="Heading2">
    <w:name w:val="heading 2"/>
    <w:basedOn w:val="Normal"/>
    <w:next w:val="Normal"/>
    <w:uiPriority w:val="9"/>
    <w:unhideWhenUsed/>
    <w:qFormat/>
    <w:pPr>
      <w:keepNext/>
      <w:keepLines/>
      <w:outlineLvl w:val="1"/>
    </w:pPr>
    <w:rPr>
      <w:b/>
      <w:bCs/>
      <w:color w:val="235393"/>
      <w:sz w:val="24"/>
      <w:szCs w:val="24"/>
    </w:rPr>
  </w:style>
  <w:style w:type="paragraph" w:styleId="Heading3">
    <w:name w:val="heading 3"/>
    <w:basedOn w:val="Normal"/>
    <w:next w:val="Normal"/>
    <w:uiPriority w:val="9"/>
    <w:semiHidden/>
    <w:unhideWhenUsed/>
    <w:qFormat/>
    <w:pPr>
      <w:keepNext/>
      <w:keepLines/>
      <w:outlineLvl w:val="2"/>
    </w:pPr>
    <w:rPr>
      <w:b/>
      <w:bCs/>
      <w:color w:val="E6913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00" w:after="120" w:line="240" w:lineRule="auto"/>
      <w:jc w:val="both"/>
    </w:pPr>
    <w:rPr>
      <w:rFonts w:ascii="Calibri" w:eastAsia="Calibri" w:hAnsi="Calibri" w:cs="Calibri"/>
      <w:b/>
      <w:bCs/>
      <w:color w:val="0B5394"/>
      <w:sz w:val="48"/>
      <w:szCs w:val="48"/>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4">
    <w:basedOn w:val="TableNormal"/>
    <w:tblPr>
      <w:tblStyleRowBandSize w:val="1"/>
      <w:tblStyleColBandSize w:val="1"/>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paragraph" w:styleId="ListParagraph">
    <w:name w:val="List Paragraph"/>
    <w:basedOn w:val="Normal"/>
    <w:uiPriority w:val="34"/>
    <w:qFormat/>
    <w:rsid w:val="00BE7844"/>
    <w:pPr>
      <w:ind w:left="720"/>
      <w:contextualSpacing/>
    </w:pPr>
  </w:style>
  <w:style w:type="paragraph" w:styleId="Header">
    <w:name w:val="header"/>
    <w:basedOn w:val="Normal"/>
    <w:link w:val="HeaderChar"/>
    <w:uiPriority w:val="99"/>
    <w:unhideWhenUsed/>
    <w:rsid w:val="00074DE8"/>
    <w:pPr>
      <w:tabs>
        <w:tab w:val="center" w:pos="4680"/>
        <w:tab w:val="right" w:pos="9360"/>
      </w:tabs>
      <w:spacing w:line="240" w:lineRule="auto"/>
    </w:pPr>
  </w:style>
  <w:style w:type="character" w:customStyle="1" w:styleId="HeaderChar">
    <w:name w:val="Header Char"/>
    <w:basedOn w:val="DefaultParagraphFont"/>
    <w:link w:val="Header"/>
    <w:uiPriority w:val="99"/>
    <w:rsid w:val="00074DE8"/>
  </w:style>
  <w:style w:type="paragraph" w:styleId="Footer">
    <w:name w:val="footer"/>
    <w:basedOn w:val="Normal"/>
    <w:link w:val="FooterChar"/>
    <w:uiPriority w:val="99"/>
    <w:unhideWhenUsed/>
    <w:rsid w:val="00074DE8"/>
    <w:pPr>
      <w:tabs>
        <w:tab w:val="center" w:pos="4680"/>
        <w:tab w:val="right" w:pos="9360"/>
      </w:tabs>
      <w:spacing w:line="240" w:lineRule="auto"/>
    </w:pPr>
  </w:style>
  <w:style w:type="character" w:customStyle="1" w:styleId="FooterChar">
    <w:name w:val="Footer Char"/>
    <w:basedOn w:val="DefaultParagraphFont"/>
    <w:link w:val="Footer"/>
    <w:uiPriority w:val="99"/>
    <w:rsid w:val="00074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edprep/resources/guidelines-advisories/teachers-guide/prep-expectations.pdf" TargetMode="External"/><Relationship Id="rId13" Type="http://schemas.openxmlformats.org/officeDocument/2006/relationships/hyperlink" Target="https://www.doe.mass.edu/massliteracy/leading-mtss/default.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oe.mass.edu/massliteracy/reading-difficulties/default.ht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doe.mass.edu/lawsregs/603cmr23.html?section=al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e.mass.edu/edprep/resources/early-literacy-criteria.pdf"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www.doe.mass.edu/edprep/cap/cap-guidelines.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doe.mass.edu/edprep/resources/guidelines-advisories/teachers-guide/prep-expectations.pdf" TargetMode="External"/><Relationship Id="rId14" Type="http://schemas.openxmlformats.org/officeDocument/2006/relationships/hyperlink" Target="https://www.thereadingcircuit.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YXZa7pJtVh42pywTHlL1CqSjzA==">CgMxLjAaHQoBMBIYChYIB0ISEhBBcmlhbCBVbmljb2RlIE1TGh0KATESGAoWCAdCEhIQQXJpYWwgVW5pY29kZSBNUxodCgEyEhgKFggHQhISEEFyaWFsIFVuaWNvZGUgTVMyDmguNmIxOW0yNjZld2pvMg5oLjNtaW1iNGc2ejQ3azIOaC43M2Vpa2R4MWxmbjgyDmguZWk1OTZiYTg3dW1wMg5oLmJyOGt1Nzc0M2ExbzIOaC53N25tdjNoZXhiYTAyDmguajJnaDFmeXV2bjBmOAByITFjTGtZSXBYU3NZa2lGTlZieGxUZW1qV0hTNWVJX2to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1069</Words>
  <Characters>6387</Characters>
  <Application>Microsoft Office Word</Application>
  <DocSecurity>0</DocSecurity>
  <Lines>135</Lines>
  <Paragraphs>63</Paragraphs>
  <ScaleCrop>false</ScaleCrop>
  <HeadingPairs>
    <vt:vector size="2" baseType="variant">
      <vt:variant>
        <vt:lpstr>Title</vt:lpstr>
      </vt:variant>
      <vt:variant>
        <vt:i4>1</vt:i4>
      </vt:variant>
    </vt:vector>
  </HeadingPairs>
  <TitlesOfParts>
    <vt:vector size="1" baseType="lpstr">
      <vt:lpstr>Teacher Candidates' Access to IEP Information</vt:lpstr>
    </vt:vector>
  </TitlesOfParts>
  <Company/>
  <LinksUpToDate>false</LinksUpToDate>
  <CharactersWithSpaces>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Candidates’ Access to IEP Information Targeted and Focused Monitoring Report 2026</dc:title>
  <dc:creator>DESE</dc:creator>
  <cp:lastModifiedBy>Zou, Dong (EOE)</cp:lastModifiedBy>
  <cp:revision>8</cp:revision>
  <dcterms:created xsi:type="dcterms:W3CDTF">2025-05-15T01:15:00Z</dcterms:created>
  <dcterms:modified xsi:type="dcterms:W3CDTF">2026-04-01T00:28:00Z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