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3EE568" w14:textId="77777777" w:rsidR="00480EB6" w:rsidRDefault="00BC7FB0">
      <w:pPr>
        <w:pStyle w:val="Heading1"/>
        <w:rPr>
          <w:sz w:val="30"/>
          <w:szCs w:val="30"/>
        </w:rPr>
      </w:pPr>
      <w:bookmarkStart w:id="0" w:name="_heading=h.6b19m266ewjo" w:colFirst="0" w:colLast="0"/>
      <w:bookmarkEnd w:id="0"/>
      <w:r>
        <w:rPr>
          <w:sz w:val="30"/>
          <w:szCs w:val="30"/>
        </w:rPr>
        <w:t xml:space="preserve">Overview: Literacy Education and SEI Strategy Alignment </w:t>
      </w:r>
    </w:p>
    <w:p w14:paraId="260ECA31" w14:textId="77777777" w:rsidR="0009516D" w:rsidRDefault="0009516D" w:rsidP="0009516D"/>
    <w:p w14:paraId="70F0B694" w14:textId="4683E471" w:rsidR="0009516D" w:rsidRDefault="0009516D" w:rsidP="000142DF">
      <w:pPr>
        <w:pStyle w:val="Heading2"/>
      </w:pPr>
      <w:r w:rsidRPr="00DB403F">
        <w:t>Resource Key Focus Areas</w:t>
      </w:r>
    </w:p>
    <w:p w14:paraId="45D0FFFF" w14:textId="77777777" w:rsidR="0009516D" w:rsidRPr="0009516D" w:rsidRDefault="0009516D" w:rsidP="0009516D">
      <w:pPr>
        <w:pStyle w:val="ListParagraph"/>
        <w:numPr>
          <w:ilvl w:val="0"/>
          <w:numId w:val="3"/>
        </w:numPr>
      </w:pPr>
      <w:r>
        <w:t xml:space="preserve">Opportunities for </w:t>
      </w:r>
      <w:r w:rsidRPr="0009516D">
        <w:t>Candidates to Acquire, Practice and Demonstrate Skills</w:t>
      </w:r>
    </w:p>
    <w:p w14:paraId="2459E401" w14:textId="5014F7AF" w:rsidR="00480EB6" w:rsidRDefault="0009516D" w:rsidP="0009516D">
      <w:pPr>
        <w:pStyle w:val="ListParagraph"/>
        <w:numPr>
          <w:ilvl w:val="0"/>
          <w:numId w:val="3"/>
        </w:numPr>
      </w:pPr>
      <w:r w:rsidRPr="0009516D">
        <w:t>Shifts to Programm</w:t>
      </w:r>
      <w:r>
        <w:t>atic Alignment with ELPAC</w:t>
      </w:r>
    </w:p>
    <w:p w14:paraId="45EB9D2B" w14:textId="77777777" w:rsidR="0009516D" w:rsidRDefault="0009516D" w:rsidP="0009516D">
      <w:pPr>
        <w:pStyle w:val="ListParagraph"/>
      </w:pPr>
    </w:p>
    <w:p w14:paraId="278CB209" w14:textId="77777777" w:rsidR="00480EB6" w:rsidRDefault="00480EB6"/>
    <w:p w14:paraId="5B96DB89" w14:textId="77777777" w:rsidR="00480EB6" w:rsidRDefault="00BC7FB0">
      <w:pPr>
        <w:pStyle w:val="Heading2"/>
      </w:pPr>
      <w:bookmarkStart w:id="1" w:name="_heading=h.ei596ba87ump" w:colFirst="0" w:colLast="0"/>
      <w:bookmarkEnd w:id="1"/>
      <w:r>
        <w:t>Resource Description and Timing for Use</w:t>
      </w:r>
    </w:p>
    <w:p w14:paraId="4570EF8F" w14:textId="77777777" w:rsidR="00480EB6" w:rsidRDefault="00BC7FB0">
      <w:pPr>
        <w:spacing w:line="240" w:lineRule="auto"/>
      </w:pPr>
      <w:r>
        <w:t>This resource is a crosswalk between strategies taught in an SEI course and routines and topics  that are taught in a Language &amp; Literacy Methods course.  The table gives some specific examples where strategies align (even when the names of the routines/strategies might differ), allowing instructors, in either SEI or early literacy classes, to draw students’ attention to the overlap and the importance of centering the early literacy needs of diverse learners, including multilingual learners.</w:t>
      </w:r>
    </w:p>
    <w:p w14:paraId="7712D6A4" w14:textId="77777777" w:rsidR="002F7C30" w:rsidRDefault="002F7C30">
      <w:pPr>
        <w:spacing w:line="240" w:lineRule="auto"/>
      </w:pPr>
    </w:p>
    <w:p w14:paraId="18A32428" w14:textId="77777777" w:rsidR="00480EB6" w:rsidRDefault="00BC7FB0">
      <w:pPr>
        <w:spacing w:line="240" w:lineRule="auto"/>
      </w:pPr>
      <w:r>
        <w:t>Teacher candidates will benefit by recognizing similarities in literacy instruction that address the needs of diverse learners that occur across courses. There are also spiral learning opportunities that encountering these strategies in different courses affords.</w:t>
      </w:r>
    </w:p>
    <w:p w14:paraId="17BC61D3" w14:textId="77777777" w:rsidR="002F7C30" w:rsidRDefault="002F7C30">
      <w:pPr>
        <w:spacing w:line="240" w:lineRule="auto"/>
      </w:pPr>
    </w:p>
    <w:p w14:paraId="45AED8E4" w14:textId="77777777" w:rsidR="00480EB6" w:rsidRDefault="00480EB6"/>
    <w:p w14:paraId="5FC36BCF" w14:textId="77777777" w:rsidR="00480EB6" w:rsidRDefault="00BC7FB0">
      <w:pPr>
        <w:pStyle w:val="Heading2"/>
      </w:pPr>
      <w:bookmarkStart w:id="2" w:name="_heading=h.w7nmv3hexba0" w:colFirst="0" w:colLast="0"/>
      <w:bookmarkEnd w:id="2"/>
      <w:r>
        <w:t xml:space="preserve">Resource Alignment and Context </w:t>
      </w:r>
    </w:p>
    <w:p w14:paraId="670BBAE4" w14:textId="77777777" w:rsidR="00480EB6" w:rsidRDefault="00BC7FB0">
      <w:pPr>
        <w:rPr>
          <w:sz w:val="16"/>
          <w:szCs w:val="16"/>
        </w:rPr>
      </w:pPr>
      <w:r>
        <w:rPr>
          <w:b/>
          <w:bCs/>
        </w:rPr>
        <w:t>Proficiency Level:</w:t>
      </w:r>
      <w:r>
        <w:t xml:space="preserve"> Practice </w:t>
      </w:r>
    </w:p>
    <w:p w14:paraId="480D9CBC" w14:textId="77777777" w:rsidR="00480EB6" w:rsidRDefault="00BC7FB0">
      <w:pPr>
        <w:rPr>
          <w:b/>
          <w:bCs/>
        </w:rPr>
      </w:pPr>
      <w:r>
        <w:rPr>
          <w:b/>
          <w:bCs/>
        </w:rPr>
        <w:t xml:space="preserve">Section of </w:t>
      </w:r>
      <w:hyperlink r:id="rId8">
        <w:r w:rsidR="00480EB6">
          <w:rPr>
            <w:b/>
            <w:bCs/>
            <w:color w:val="1155CC"/>
            <w:u w:val="single"/>
          </w:rPr>
          <w:t>Early Literacy Program Approval Criteria</w:t>
        </w:r>
      </w:hyperlink>
      <w:r>
        <w:rPr>
          <w:b/>
          <w:bCs/>
        </w:rPr>
        <w:t xml:space="preserve">: </w:t>
      </w:r>
    </w:p>
    <w:p w14:paraId="4D42C551" w14:textId="77777777" w:rsidR="00480EB6" w:rsidRDefault="00BC7FB0">
      <w:pPr>
        <w:numPr>
          <w:ilvl w:val="0"/>
          <w:numId w:val="1"/>
        </w:numPr>
      </w:pPr>
      <w:r>
        <w:t xml:space="preserve">INS.A.1.a-b, INS.A.2., INS.A.3., INS.B.2., INS.D.3.    </w:t>
      </w:r>
    </w:p>
    <w:p w14:paraId="15989948" w14:textId="77777777" w:rsidR="00480EB6" w:rsidRDefault="00BC7FB0">
      <w:r>
        <w:rPr>
          <w:b/>
          <w:bCs/>
        </w:rPr>
        <w:t xml:space="preserve">Alignment to Mass Literacy: </w:t>
      </w:r>
    </w:p>
    <w:p w14:paraId="1A3D255E" w14:textId="77777777" w:rsidR="00480EB6" w:rsidRDefault="00480EB6">
      <w:pPr>
        <w:numPr>
          <w:ilvl w:val="0"/>
          <w:numId w:val="2"/>
        </w:numPr>
        <w:rPr>
          <w:rFonts w:ascii="Times New Roman" w:eastAsia="Times New Roman" w:hAnsi="Times New Roman" w:cs="Times New Roman"/>
          <w:color w:val="000000"/>
          <w:sz w:val="24"/>
          <w:szCs w:val="24"/>
        </w:rPr>
      </w:pPr>
      <w:hyperlink r:id="rId9">
        <w:r>
          <w:rPr>
            <w:color w:val="1155CC"/>
            <w:u w:val="single"/>
          </w:rPr>
          <w:t>Components of the Core Literacy Block</w:t>
        </w:r>
      </w:hyperlink>
    </w:p>
    <w:p w14:paraId="36CF4231" w14:textId="77777777" w:rsidR="00480EB6" w:rsidRDefault="00480EB6">
      <w:pPr>
        <w:numPr>
          <w:ilvl w:val="0"/>
          <w:numId w:val="2"/>
        </w:numPr>
        <w:rPr>
          <w:rFonts w:ascii="Times New Roman" w:eastAsia="Times New Roman" w:hAnsi="Times New Roman" w:cs="Times New Roman"/>
          <w:color w:val="000000"/>
          <w:sz w:val="24"/>
          <w:szCs w:val="24"/>
        </w:rPr>
      </w:pPr>
      <w:hyperlink r:id="rId10">
        <w:r>
          <w:rPr>
            <w:color w:val="1155CC"/>
            <w:u w:val="single"/>
          </w:rPr>
          <w:t>Skills for Early Reading</w:t>
        </w:r>
      </w:hyperlink>
    </w:p>
    <w:p w14:paraId="482B30BC" w14:textId="77777777" w:rsidR="00480EB6" w:rsidRDefault="00480EB6">
      <w:pPr>
        <w:numPr>
          <w:ilvl w:val="0"/>
          <w:numId w:val="2"/>
        </w:numPr>
      </w:pPr>
      <w:hyperlink r:id="rId11">
        <w:r>
          <w:rPr>
            <w:color w:val="1155CC"/>
            <w:sz w:val="24"/>
            <w:szCs w:val="24"/>
            <w:u w:val="single"/>
          </w:rPr>
          <w:t>Vocabulary and morphology</w:t>
        </w:r>
      </w:hyperlink>
    </w:p>
    <w:p w14:paraId="3BF97B75" w14:textId="77777777" w:rsidR="00480EB6" w:rsidRDefault="00480EB6">
      <w:pPr>
        <w:numPr>
          <w:ilvl w:val="0"/>
          <w:numId w:val="2"/>
        </w:numPr>
      </w:pPr>
      <w:hyperlink r:id="rId12">
        <w:r>
          <w:rPr>
            <w:color w:val="1155CC"/>
            <w:u w:val="single"/>
          </w:rPr>
          <w:t>Oral Language</w:t>
        </w:r>
      </w:hyperlink>
    </w:p>
    <w:p w14:paraId="6D020534" w14:textId="77777777" w:rsidR="00480EB6" w:rsidRDefault="00480EB6">
      <w:pPr>
        <w:numPr>
          <w:ilvl w:val="0"/>
          <w:numId w:val="2"/>
        </w:numPr>
      </w:pPr>
      <w:hyperlink r:id="rId13">
        <w:r>
          <w:rPr>
            <w:color w:val="1155CC"/>
            <w:u w:val="single"/>
          </w:rPr>
          <w:t>Equity in Early Literacy</w:t>
        </w:r>
      </w:hyperlink>
    </w:p>
    <w:p w14:paraId="018E8398" w14:textId="77777777" w:rsidR="00480EB6" w:rsidRDefault="00480EB6">
      <w:pPr>
        <w:rPr>
          <w:b/>
          <w:bCs/>
        </w:rPr>
      </w:pPr>
    </w:p>
    <w:p w14:paraId="535B20AE" w14:textId="77777777" w:rsidR="00480EB6" w:rsidRDefault="00BC7FB0">
      <w:pPr>
        <w:rPr>
          <w:i/>
          <w:iCs/>
        </w:rPr>
      </w:pPr>
      <w:r>
        <w:rPr>
          <w:b/>
          <w:bCs/>
        </w:rPr>
        <w:t xml:space="preserve">Contributors: </w:t>
      </w:r>
      <w:r>
        <w:rPr>
          <w:rFonts w:ascii="Roboto" w:eastAsia="Roboto" w:hAnsi="Roboto" w:cs="Roboto"/>
          <w:color w:val="202124"/>
          <w:sz w:val="21"/>
          <w:szCs w:val="21"/>
        </w:rPr>
        <w:t xml:space="preserve">Dr. Marlene Correia &amp; Dr. Susan Flis, </w:t>
      </w:r>
      <w:r>
        <w:rPr>
          <w:rFonts w:ascii="Roboto" w:eastAsia="Roboto" w:hAnsi="Roboto" w:cs="Roboto"/>
          <w:i/>
          <w:iCs/>
          <w:color w:val="202124"/>
          <w:sz w:val="21"/>
          <w:szCs w:val="21"/>
        </w:rPr>
        <w:t xml:space="preserve">Bridgewater State University </w:t>
      </w:r>
    </w:p>
    <w:p w14:paraId="6A019178" w14:textId="77777777" w:rsidR="00480EB6" w:rsidRDefault="00BC7FB0">
      <w:r>
        <w:rPr>
          <w:b/>
          <w:bCs/>
        </w:rPr>
        <w:t xml:space="preserve">Date Posted: </w:t>
      </w:r>
      <w:r>
        <w:t>December 2025</w:t>
      </w:r>
    </w:p>
    <w:p w14:paraId="5936A13A" w14:textId="77777777" w:rsidR="00480EB6" w:rsidRDefault="00480EB6"/>
    <w:p w14:paraId="1FD418D8" w14:textId="77777777" w:rsidR="00480EB6" w:rsidRDefault="00BC7FB0">
      <w:r>
        <w:tab/>
      </w:r>
    </w:p>
    <w:p w14:paraId="26C9EA17" w14:textId="77777777" w:rsidR="00480EB6" w:rsidRDefault="00480EB6"/>
    <w:p w14:paraId="27155158" w14:textId="77777777" w:rsidR="00DB403F" w:rsidRDefault="00DB403F">
      <w:pPr>
        <w:rPr>
          <w:rFonts w:ascii="Calibri" w:eastAsia="Calibri" w:hAnsi="Calibri" w:cs="Calibri"/>
          <w:b/>
          <w:bCs/>
          <w:color w:val="00795D"/>
          <w:sz w:val="30"/>
          <w:szCs w:val="30"/>
        </w:rPr>
      </w:pPr>
      <w:bookmarkStart w:id="3" w:name="_heading=h.eaux38hju9mo" w:colFirst="0" w:colLast="0"/>
      <w:bookmarkEnd w:id="3"/>
      <w:r>
        <w:rPr>
          <w:sz w:val="30"/>
          <w:szCs w:val="30"/>
        </w:rPr>
        <w:br w:type="page"/>
      </w:r>
    </w:p>
    <w:p w14:paraId="0F3BA451" w14:textId="05F8710A" w:rsidR="00480EB6" w:rsidRPr="007B0054" w:rsidRDefault="00BC7FB0" w:rsidP="007B0054">
      <w:pPr>
        <w:rPr>
          <w:rFonts w:ascii="Calibri" w:hAnsi="Calibri" w:cs="Calibri"/>
          <w:b/>
          <w:bCs/>
          <w:color w:val="00795D"/>
          <w:sz w:val="30"/>
          <w:szCs w:val="30"/>
        </w:rPr>
      </w:pPr>
      <w:r w:rsidRPr="007B0054">
        <w:rPr>
          <w:rFonts w:ascii="Calibri" w:hAnsi="Calibri" w:cs="Calibri"/>
          <w:b/>
          <w:bCs/>
          <w:color w:val="00795D"/>
          <w:sz w:val="30"/>
          <w:szCs w:val="30"/>
        </w:rPr>
        <w:lastRenderedPageBreak/>
        <w:t xml:space="preserve">Literacy Education and SEI Strategy Alignment </w:t>
      </w:r>
    </w:p>
    <w:p w14:paraId="7E1B74A4" w14:textId="77777777" w:rsidR="00480EB6" w:rsidRDefault="00480EB6"/>
    <w:p w14:paraId="7E56A0C6" w14:textId="77777777" w:rsidR="00480EB6" w:rsidRDefault="00BC7FB0">
      <w:r>
        <w:t>There is a strong connection between the understanding of how students acquire literacy and language skills and how to effectively support multilingual learners in the classroom.</w:t>
      </w:r>
    </w:p>
    <w:p w14:paraId="5C62CD08" w14:textId="77777777" w:rsidR="00480EB6" w:rsidRDefault="00BC7FB0">
      <w:r>
        <w:t>The Sheltered English Immersion (SEI) strategies promoted by DESE help support multilingual learners in acquiring English while also assisting all emerging readers in their literacy development.</w:t>
      </w:r>
    </w:p>
    <w:p w14:paraId="5560848C" w14:textId="77777777" w:rsidR="00480EB6" w:rsidRDefault="00480EB6"/>
    <w:p w14:paraId="72C9C420" w14:textId="77777777" w:rsidR="00480EB6" w:rsidRDefault="00BC7FB0">
      <w:r>
        <w:t xml:space="preserve">Aligning a Literacy &amp; Language methods course with the Sheltered English Immersion (SEI) course supports teacher candidates in understanding how to best teach emergent readers and multilingual learners.  Pairing the SEI strategies with the instructional routines in the Literacy and Language course shows students the many skills needed to learn to read and write and how many of the strategies and routines are applicable, no matter the language. </w:t>
      </w:r>
    </w:p>
    <w:p w14:paraId="4175F497" w14:textId="77777777" w:rsidR="00480EB6" w:rsidRDefault="00480EB6"/>
    <w:p w14:paraId="65350D29" w14:textId="77777777" w:rsidR="00480EB6" w:rsidRDefault="00BC7FB0">
      <w:r>
        <w:t>We suggest that teacher preparation programs reconsider having teacher candidates take the two classes during the same semester, especially if they include a fieldwork component. If two different professors are teaching the courses, it is an opportunity to collaborate on their course planning.</w:t>
      </w:r>
    </w:p>
    <w:p w14:paraId="520EE861" w14:textId="77777777" w:rsidR="00DB403F" w:rsidRDefault="00DB403F"/>
    <w:p w14:paraId="3F46C299" w14:textId="77777777" w:rsidR="00480EB6" w:rsidRDefault="00BC7FB0">
      <w:r>
        <w:t xml:space="preserve">Below are some of the strategies and routines that align across SEI and Literacy courses. </w:t>
      </w:r>
    </w:p>
    <w:p w14:paraId="18A44638" w14:textId="77777777" w:rsidR="00480EB6" w:rsidRDefault="00480EB6"/>
    <w:tbl>
      <w:tblPr>
        <w:tblStyle w:val="ab"/>
        <w:tblW w:w="913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4860"/>
        <w:gridCol w:w="4275"/>
      </w:tblGrid>
      <w:tr w:rsidR="00480EB6" w14:paraId="7396EFC2" w14:textId="77777777" w:rsidTr="00DB403F">
        <w:trPr>
          <w:trHeight w:val="519"/>
        </w:trPr>
        <w:tc>
          <w:tcPr>
            <w:tcW w:w="4860" w:type="dxa"/>
            <w:shd w:val="clear" w:color="auto" w:fill="CFE2F3"/>
          </w:tcPr>
          <w:p w14:paraId="712695A0" w14:textId="77777777" w:rsidR="00480EB6" w:rsidRDefault="00BC7FB0">
            <w:pPr>
              <w:widowControl w:val="0"/>
              <w:spacing w:before="110" w:line="240" w:lineRule="auto"/>
              <w:ind w:left="849"/>
              <w:rPr>
                <w:b/>
                <w:bCs/>
              </w:rPr>
            </w:pPr>
            <w:r>
              <w:rPr>
                <w:b/>
                <w:bCs/>
              </w:rPr>
              <w:t>Literacy &amp; Language Topic</w:t>
            </w:r>
          </w:p>
        </w:tc>
        <w:tc>
          <w:tcPr>
            <w:tcW w:w="4275" w:type="dxa"/>
            <w:shd w:val="clear" w:color="auto" w:fill="CFE2F3"/>
          </w:tcPr>
          <w:p w14:paraId="70471FAC" w14:textId="77777777" w:rsidR="00480EB6" w:rsidRDefault="00BC7FB0">
            <w:pPr>
              <w:widowControl w:val="0"/>
              <w:spacing w:before="110" w:line="240" w:lineRule="auto"/>
              <w:ind w:left="25"/>
              <w:jc w:val="center"/>
              <w:rPr>
                <w:b/>
                <w:bCs/>
              </w:rPr>
            </w:pPr>
            <w:r>
              <w:rPr>
                <w:b/>
                <w:bCs/>
              </w:rPr>
              <w:t>SEI Strategy</w:t>
            </w:r>
          </w:p>
        </w:tc>
      </w:tr>
      <w:tr w:rsidR="00480EB6" w14:paraId="4DB8B745" w14:textId="77777777" w:rsidTr="0009516D">
        <w:trPr>
          <w:trHeight w:val="637"/>
        </w:trPr>
        <w:tc>
          <w:tcPr>
            <w:tcW w:w="4860" w:type="dxa"/>
          </w:tcPr>
          <w:p w14:paraId="38B9D9D7" w14:textId="16798FC7" w:rsidR="00480EB6" w:rsidRDefault="00BC7FB0" w:rsidP="0009516D">
            <w:pPr>
              <w:widowControl w:val="0"/>
              <w:spacing w:before="117" w:line="240" w:lineRule="auto"/>
              <w:ind w:left="94"/>
            </w:pPr>
            <w:r>
              <w:t>Oral Language Development</w:t>
            </w:r>
          </w:p>
        </w:tc>
        <w:tc>
          <w:tcPr>
            <w:tcW w:w="4275" w:type="dxa"/>
          </w:tcPr>
          <w:p w14:paraId="4CE6CFA4" w14:textId="77777777" w:rsidR="00480EB6" w:rsidRDefault="00BC7FB0">
            <w:pPr>
              <w:widowControl w:val="0"/>
              <w:spacing w:before="117" w:line="240" w:lineRule="auto"/>
              <w:ind w:left="109"/>
            </w:pPr>
            <w:r>
              <w:t>Think-Pair-Share</w:t>
            </w:r>
          </w:p>
        </w:tc>
      </w:tr>
      <w:tr w:rsidR="00480EB6" w14:paraId="42388389" w14:textId="77777777" w:rsidTr="00DB403F">
        <w:trPr>
          <w:trHeight w:val="539"/>
        </w:trPr>
        <w:tc>
          <w:tcPr>
            <w:tcW w:w="4860" w:type="dxa"/>
          </w:tcPr>
          <w:p w14:paraId="425BB319" w14:textId="77777777" w:rsidR="00480EB6" w:rsidRDefault="00BC7FB0">
            <w:pPr>
              <w:widowControl w:val="0"/>
              <w:spacing w:before="117" w:line="240" w:lineRule="auto"/>
              <w:ind w:left="94"/>
            </w:pPr>
            <w:r>
              <w:t>Writing Lesson Plans</w:t>
            </w:r>
          </w:p>
        </w:tc>
        <w:tc>
          <w:tcPr>
            <w:tcW w:w="4275" w:type="dxa"/>
          </w:tcPr>
          <w:p w14:paraId="52F2A889" w14:textId="77777777" w:rsidR="00480EB6" w:rsidRDefault="00BC7FB0">
            <w:pPr>
              <w:widowControl w:val="0"/>
              <w:spacing w:before="117" w:line="240" w:lineRule="auto"/>
              <w:ind w:left="109"/>
            </w:pPr>
            <w:r>
              <w:t>Focused Language Goals</w:t>
            </w:r>
          </w:p>
        </w:tc>
      </w:tr>
      <w:tr w:rsidR="00480EB6" w14:paraId="013BCDED" w14:textId="77777777" w:rsidTr="0009516D">
        <w:trPr>
          <w:trHeight w:val="1222"/>
        </w:trPr>
        <w:tc>
          <w:tcPr>
            <w:tcW w:w="4860" w:type="dxa"/>
          </w:tcPr>
          <w:p w14:paraId="0D1AEA9A" w14:textId="77777777" w:rsidR="00480EB6" w:rsidRDefault="00BC7FB0">
            <w:pPr>
              <w:widowControl w:val="0"/>
              <w:spacing w:before="103" w:line="240" w:lineRule="auto"/>
              <w:ind w:left="94"/>
            </w:pPr>
            <w:r>
              <w:t xml:space="preserve">Activating Prior Knowledge </w:t>
            </w:r>
          </w:p>
          <w:p w14:paraId="5CA6C287" w14:textId="77777777" w:rsidR="00480EB6" w:rsidRDefault="00BC7FB0">
            <w:pPr>
              <w:widowControl w:val="0"/>
              <w:spacing w:before="103" w:line="240" w:lineRule="auto"/>
              <w:ind w:left="94"/>
            </w:pPr>
            <w:r>
              <w:t>Building Background Knowledge</w:t>
            </w:r>
          </w:p>
          <w:p w14:paraId="79C360BA" w14:textId="4E57811A" w:rsidR="00480EB6" w:rsidRDefault="00BC7FB0" w:rsidP="00DB403F">
            <w:pPr>
              <w:widowControl w:val="0"/>
              <w:spacing w:before="103" w:line="240" w:lineRule="auto"/>
              <w:ind w:left="94"/>
            </w:pPr>
            <w:r>
              <w:t>Oral Language Development</w:t>
            </w:r>
          </w:p>
        </w:tc>
        <w:tc>
          <w:tcPr>
            <w:tcW w:w="4275" w:type="dxa"/>
          </w:tcPr>
          <w:p w14:paraId="5762B80E" w14:textId="77777777" w:rsidR="00480EB6" w:rsidRDefault="00BC7FB0">
            <w:pPr>
              <w:widowControl w:val="0"/>
              <w:spacing w:before="103" w:line="240" w:lineRule="auto"/>
              <w:ind w:left="109"/>
            </w:pPr>
            <w:r>
              <w:t>Think-Pair-Share</w:t>
            </w:r>
          </w:p>
        </w:tc>
      </w:tr>
      <w:tr w:rsidR="00480EB6" w14:paraId="7424EDF3" w14:textId="77777777" w:rsidTr="00DB403F">
        <w:trPr>
          <w:trHeight w:val="520"/>
        </w:trPr>
        <w:tc>
          <w:tcPr>
            <w:tcW w:w="4860" w:type="dxa"/>
          </w:tcPr>
          <w:p w14:paraId="6E57B298" w14:textId="77777777" w:rsidR="00480EB6" w:rsidRDefault="00BC7FB0">
            <w:pPr>
              <w:widowControl w:val="0"/>
              <w:spacing w:before="112" w:line="240" w:lineRule="auto"/>
              <w:ind w:left="94"/>
            </w:pPr>
            <w:r>
              <w:t>Vocabulary Instruction</w:t>
            </w:r>
          </w:p>
        </w:tc>
        <w:tc>
          <w:tcPr>
            <w:tcW w:w="4275" w:type="dxa"/>
          </w:tcPr>
          <w:p w14:paraId="356B6596" w14:textId="77777777" w:rsidR="00480EB6" w:rsidRDefault="00BC7FB0">
            <w:pPr>
              <w:widowControl w:val="0"/>
              <w:spacing w:before="112" w:line="240" w:lineRule="auto"/>
              <w:ind w:left="109"/>
            </w:pPr>
            <w:r>
              <w:t>7 Steps Vocabulary</w:t>
            </w:r>
          </w:p>
        </w:tc>
      </w:tr>
      <w:tr w:rsidR="00480EB6" w14:paraId="6323BEBD" w14:textId="77777777" w:rsidTr="00DB403F">
        <w:trPr>
          <w:trHeight w:val="539"/>
        </w:trPr>
        <w:tc>
          <w:tcPr>
            <w:tcW w:w="4860" w:type="dxa"/>
          </w:tcPr>
          <w:p w14:paraId="47C987E6" w14:textId="77777777" w:rsidR="00480EB6" w:rsidRDefault="00BC7FB0">
            <w:pPr>
              <w:widowControl w:val="0"/>
              <w:spacing w:before="119" w:line="240" w:lineRule="auto"/>
              <w:ind w:left="94"/>
            </w:pPr>
            <w:r>
              <w:t>Fluency Instruction</w:t>
            </w:r>
          </w:p>
        </w:tc>
        <w:tc>
          <w:tcPr>
            <w:tcW w:w="4275" w:type="dxa"/>
          </w:tcPr>
          <w:p w14:paraId="196F6FE1" w14:textId="77777777" w:rsidR="00480EB6" w:rsidRDefault="00BC7FB0">
            <w:pPr>
              <w:widowControl w:val="0"/>
              <w:spacing w:before="119" w:line="240" w:lineRule="auto"/>
              <w:ind w:left="109"/>
            </w:pPr>
            <w:r>
              <w:t>Partner Reading</w:t>
            </w:r>
          </w:p>
        </w:tc>
      </w:tr>
      <w:tr w:rsidR="00480EB6" w14:paraId="2AD09E2F" w14:textId="77777777" w:rsidTr="0009516D">
        <w:trPr>
          <w:trHeight w:val="862"/>
        </w:trPr>
        <w:tc>
          <w:tcPr>
            <w:tcW w:w="4860" w:type="dxa"/>
          </w:tcPr>
          <w:p w14:paraId="6D5934BF" w14:textId="77777777" w:rsidR="00480EB6" w:rsidRDefault="00BC7FB0">
            <w:pPr>
              <w:widowControl w:val="0"/>
              <w:spacing w:before="106" w:line="240" w:lineRule="auto"/>
              <w:ind w:left="94"/>
            </w:pPr>
            <w:r>
              <w:t>Response to Reading</w:t>
            </w:r>
          </w:p>
        </w:tc>
        <w:tc>
          <w:tcPr>
            <w:tcW w:w="4275" w:type="dxa"/>
          </w:tcPr>
          <w:p w14:paraId="1249664C" w14:textId="77777777" w:rsidR="00480EB6" w:rsidRDefault="00BC7FB0">
            <w:pPr>
              <w:widowControl w:val="0"/>
              <w:spacing w:before="106" w:line="240" w:lineRule="auto"/>
              <w:ind w:left="109"/>
            </w:pPr>
            <w:r>
              <w:t xml:space="preserve">Sentence Stems </w:t>
            </w:r>
          </w:p>
          <w:p w14:paraId="24E61C18" w14:textId="77777777" w:rsidR="00480EB6" w:rsidRDefault="00BC7FB0">
            <w:pPr>
              <w:widowControl w:val="0"/>
              <w:spacing w:before="106" w:line="240" w:lineRule="auto"/>
              <w:ind w:left="109"/>
            </w:pPr>
            <w:r>
              <w:t>Sentence Frames</w:t>
            </w:r>
          </w:p>
        </w:tc>
      </w:tr>
      <w:tr w:rsidR="00480EB6" w14:paraId="64AD1599" w14:textId="77777777" w:rsidTr="00DB403F">
        <w:trPr>
          <w:trHeight w:val="860"/>
        </w:trPr>
        <w:tc>
          <w:tcPr>
            <w:tcW w:w="4860" w:type="dxa"/>
          </w:tcPr>
          <w:p w14:paraId="20514645" w14:textId="77777777" w:rsidR="00480EB6" w:rsidRDefault="00BC7FB0">
            <w:pPr>
              <w:widowControl w:val="0"/>
              <w:spacing w:before="113" w:line="240" w:lineRule="auto"/>
              <w:ind w:left="94"/>
            </w:pPr>
            <w:r>
              <w:t>Comprehension Instruction</w:t>
            </w:r>
          </w:p>
        </w:tc>
        <w:tc>
          <w:tcPr>
            <w:tcW w:w="4275" w:type="dxa"/>
          </w:tcPr>
          <w:p w14:paraId="69018CB2" w14:textId="77777777" w:rsidR="00480EB6" w:rsidRDefault="00BC7FB0">
            <w:pPr>
              <w:widowControl w:val="0"/>
              <w:spacing w:before="113" w:line="240" w:lineRule="auto"/>
              <w:ind w:left="109" w:right="128"/>
            </w:pPr>
            <w:r>
              <w:t xml:space="preserve">Text Dependent Questions </w:t>
            </w:r>
          </w:p>
          <w:p w14:paraId="7B7F7B60" w14:textId="77777777" w:rsidR="00480EB6" w:rsidRDefault="00BC7FB0">
            <w:pPr>
              <w:widowControl w:val="0"/>
              <w:spacing w:before="113" w:line="240" w:lineRule="auto"/>
              <w:ind w:left="109" w:right="128"/>
            </w:pPr>
            <w:r>
              <w:t>Think Aloud</w:t>
            </w:r>
          </w:p>
        </w:tc>
      </w:tr>
      <w:tr w:rsidR="00480EB6" w14:paraId="51B9C34D" w14:textId="77777777" w:rsidTr="00DB403F">
        <w:trPr>
          <w:trHeight w:val="520"/>
        </w:trPr>
        <w:tc>
          <w:tcPr>
            <w:tcW w:w="4860" w:type="dxa"/>
          </w:tcPr>
          <w:p w14:paraId="5F227502" w14:textId="77777777" w:rsidR="00480EB6" w:rsidRDefault="00BC7FB0">
            <w:pPr>
              <w:widowControl w:val="0"/>
              <w:spacing w:before="102" w:line="240" w:lineRule="auto"/>
              <w:ind w:left="94"/>
            </w:pPr>
            <w:r>
              <w:t>Writing Instruction</w:t>
            </w:r>
          </w:p>
        </w:tc>
        <w:tc>
          <w:tcPr>
            <w:tcW w:w="4275" w:type="dxa"/>
          </w:tcPr>
          <w:p w14:paraId="47EFB32E" w14:textId="77777777" w:rsidR="00480EB6" w:rsidRDefault="00BC7FB0">
            <w:pPr>
              <w:widowControl w:val="0"/>
              <w:spacing w:before="102" w:line="240" w:lineRule="auto"/>
              <w:ind w:left="109"/>
            </w:pPr>
            <w:r>
              <w:t>Write Around</w:t>
            </w:r>
          </w:p>
        </w:tc>
      </w:tr>
    </w:tbl>
    <w:p w14:paraId="5E8647C6" w14:textId="77777777" w:rsidR="00480EB6" w:rsidRDefault="00480EB6" w:rsidP="00DB403F">
      <w:pPr>
        <w:rPr>
          <w:b/>
          <w:bCs/>
          <w:color w:val="235393"/>
        </w:rPr>
      </w:pPr>
    </w:p>
    <w:sectPr w:rsidR="00480EB6" w:rsidSect="00DB403F">
      <w:headerReference w:type="default" r:id="rId14"/>
      <w:footerReference w:type="default" r:id="rId15"/>
      <w:headerReference w:type="first" r:id="rId16"/>
      <w:footerReference w:type="first" r:id="rId17"/>
      <w:pgSz w:w="12240" w:h="15840"/>
      <w:pgMar w:top="1440" w:right="1440" w:bottom="1440" w:left="1440" w:header="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85C81" w14:textId="77777777" w:rsidR="00EB0C90" w:rsidRDefault="00EB0C90">
      <w:pPr>
        <w:spacing w:line="240" w:lineRule="auto"/>
      </w:pPr>
      <w:r>
        <w:separator/>
      </w:r>
    </w:p>
  </w:endnote>
  <w:endnote w:type="continuationSeparator" w:id="0">
    <w:p w14:paraId="2BFD588A" w14:textId="77777777" w:rsidR="00EB0C90" w:rsidRDefault="00EB0C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5A2DA02-BFEC-4400-8310-79A2DB82409B}"/>
    <w:embedBold r:id="rId2" w:fontKey="{1CA9FA39-CB10-46A3-9C47-377C6A410141}"/>
  </w:font>
  <w:font w:name="Roboto">
    <w:charset w:val="00"/>
    <w:family w:val="auto"/>
    <w:pitch w:val="variable"/>
    <w:sig w:usb0="E0000AFF" w:usb1="5000217F" w:usb2="00000021" w:usb3="00000000" w:csb0="0000019F" w:csb1="00000000"/>
    <w:embedRegular r:id="rId3" w:fontKey="{3E2434F2-6863-4A67-BF82-0D316871665A}"/>
    <w:embedItalic r:id="rId4" w:fontKey="{44F53F88-1DFD-4F8F-96F4-1C81E4019336}"/>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5" w:fontKey="{87857C90-682E-4982-887E-E07135B03B03}"/>
  </w:font>
  <w:font w:name="Cambria">
    <w:panose1 w:val="02040503050406030204"/>
    <w:charset w:val="00"/>
    <w:family w:val="roman"/>
    <w:pitch w:val="variable"/>
    <w:sig w:usb0="E00006FF" w:usb1="420024FF" w:usb2="02000000" w:usb3="00000000" w:csb0="0000019F" w:csb1="00000000"/>
    <w:embedRegular r:id="rId6" w:fontKey="{29BEABE9-3CB3-41B8-B786-AD51163C25A3}"/>
  </w:font>
  <w:font w:name="Cordia New">
    <w:panose1 w:val="020B0304020202020204"/>
    <w:charset w:val="DE"/>
    <w:family w:val="swiss"/>
    <w:pitch w:val="variable"/>
    <w:sig w:usb0="81000003" w:usb1="00000000" w:usb2="00000000" w:usb3="00000000" w:csb0="00010001" w:csb1="00000000"/>
    <w:embedRegular r:id="rId7" w:fontKey="{D658A5E6-1F19-4F8C-93CA-038A54869A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CA7CC" w14:textId="1D9B1762" w:rsidR="00480EB6" w:rsidRPr="00DB403F" w:rsidRDefault="00DB403F" w:rsidP="00DB403F">
    <w:pPr>
      <w:rPr>
        <w:i/>
        <w:iCs/>
        <w:sz w:val="20"/>
        <w:szCs w:val="20"/>
      </w:rPr>
    </w:pPr>
    <w:r>
      <w:rPr>
        <w:noProof/>
      </w:rPr>
      <w:drawing>
        <wp:anchor distT="0" distB="0" distL="0" distR="0" simplePos="0" relativeHeight="251658240" behindDoc="1" locked="0" layoutInCell="1" hidden="0" allowOverlap="1" wp14:anchorId="0E552EB6" wp14:editId="6619683D">
          <wp:simplePos x="0" y="0"/>
          <wp:positionH relativeFrom="column">
            <wp:posOffset>-917575</wp:posOffset>
          </wp:positionH>
          <wp:positionV relativeFrom="paragraph">
            <wp:posOffset>-7620</wp:posOffset>
          </wp:positionV>
          <wp:extent cx="7786687" cy="619125"/>
          <wp:effectExtent l="0" t="0" r="0" b="0"/>
          <wp:wrapNone/>
          <wp:docPr id="23" name="image2.png" descr="decorative"/>
          <wp:cNvGraphicFramePr/>
          <a:graphic xmlns:a="http://schemas.openxmlformats.org/drawingml/2006/main">
            <a:graphicData uri="http://schemas.openxmlformats.org/drawingml/2006/picture">
              <pic:pic xmlns:pic="http://schemas.openxmlformats.org/drawingml/2006/picture">
                <pic:nvPicPr>
                  <pic:cNvPr id="0" name="image2.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936E6" w14:textId="6C9B72C9" w:rsidR="00480EB6" w:rsidRPr="00DB403F" w:rsidRDefault="00DB403F" w:rsidP="00DB403F">
    <w:pPr>
      <w:rPr>
        <w:i/>
        <w:iCs/>
        <w:sz w:val="20"/>
        <w:szCs w:val="20"/>
      </w:rPr>
    </w:pPr>
    <w:r>
      <w:rPr>
        <w:noProof/>
      </w:rPr>
      <w:drawing>
        <wp:anchor distT="0" distB="0" distL="0" distR="0" simplePos="0" relativeHeight="251660288" behindDoc="1" locked="0" layoutInCell="1" hidden="0" allowOverlap="1" wp14:anchorId="66F2DB2F" wp14:editId="0DCF812E">
          <wp:simplePos x="0" y="0"/>
          <wp:positionH relativeFrom="column">
            <wp:posOffset>-948055</wp:posOffset>
          </wp:positionH>
          <wp:positionV relativeFrom="paragraph">
            <wp:posOffset>500380</wp:posOffset>
          </wp:positionV>
          <wp:extent cx="7786687" cy="619125"/>
          <wp:effectExtent l="0" t="0" r="0" b="0"/>
          <wp:wrapNone/>
          <wp:docPr id="1206768607" name="image2.png" descr="decorative"/>
          <wp:cNvGraphicFramePr/>
          <a:graphic xmlns:a="http://schemas.openxmlformats.org/drawingml/2006/main">
            <a:graphicData uri="http://schemas.openxmlformats.org/drawingml/2006/picture">
              <pic:pic xmlns:pic="http://schemas.openxmlformats.org/drawingml/2006/picture">
                <pic:nvPicPr>
                  <pic:cNvPr id="0" name="image2.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r>
      <w:rPr>
        <w:b/>
        <w:bCs/>
        <w:i/>
        <w:iCs/>
        <w:sz w:val="20"/>
        <w:szCs w:val="20"/>
      </w:rPr>
      <w:t>Note:</w:t>
    </w:r>
    <w:r>
      <w:rPr>
        <w:i/>
        <w:iCs/>
        <w:sz w:val="20"/>
        <w:szCs w:val="20"/>
      </w:rPr>
      <w:t xml:space="preserve"> This resource was submitted for inclusion in the Evidence-Based Early Literacy Professional Learning Resource Hub. It is intended to serve as a reference and source of guidance for Educator Preparation Programs as they implement the Early Literacy Program Approval Criteria. While it reflects one approach, users should adapt its content to fit the specific context and needs of their own institutions.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E3F51" w14:textId="77777777" w:rsidR="00EB0C90" w:rsidRDefault="00EB0C90">
      <w:pPr>
        <w:spacing w:line="240" w:lineRule="auto"/>
      </w:pPr>
      <w:r>
        <w:separator/>
      </w:r>
    </w:p>
  </w:footnote>
  <w:footnote w:type="continuationSeparator" w:id="0">
    <w:p w14:paraId="2A928CDA" w14:textId="77777777" w:rsidR="00EB0C90" w:rsidRDefault="00EB0C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5A20F" w14:textId="77777777" w:rsidR="00480EB6" w:rsidRDefault="00BC7FB0">
    <w:pPr>
      <w:ind w:left="-1440" w:right="-1440"/>
    </w:pPr>
    <w:r>
      <w:rPr>
        <w:noProof/>
      </w:rPr>
      <w:drawing>
        <wp:inline distT="114300" distB="114300" distL="114300" distR="114300" wp14:anchorId="74A011D5" wp14:editId="3BD8FC55">
          <wp:extent cx="7753350" cy="804863"/>
          <wp:effectExtent l="0" t="0" r="0" b="0"/>
          <wp:docPr id="24" name="image2.png" descr="decorative"/>
          <wp:cNvGraphicFramePr/>
          <a:graphic xmlns:a="http://schemas.openxmlformats.org/drawingml/2006/main">
            <a:graphicData uri="http://schemas.openxmlformats.org/drawingml/2006/picture">
              <pic:pic xmlns:pic="http://schemas.openxmlformats.org/drawingml/2006/picture">
                <pic:nvPicPr>
                  <pic:cNvPr id="0" name="image2.png" descr="decorative"/>
                  <pic:cNvPicPr preferRelativeResize="0"/>
                </pic:nvPicPr>
                <pic:blipFill>
                  <a:blip r:embed="rId1"/>
                  <a:srcRect/>
                  <a:stretch>
                    <a:fillRect/>
                  </a:stretch>
                </pic:blipFill>
                <pic:spPr>
                  <a:xfrm>
                    <a:off x="0" y="0"/>
                    <a:ext cx="7753350" cy="804863"/>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29836" w14:textId="31A5371B" w:rsidR="00480EB6" w:rsidRDefault="00DB403F" w:rsidP="00DB403F">
    <w:pPr>
      <w:pStyle w:val="Heading1"/>
      <w:ind w:left="-1440"/>
      <w:jc w:val="center"/>
    </w:pPr>
    <w:r>
      <w:rPr>
        <w:noProof/>
      </w:rPr>
      <w:drawing>
        <wp:inline distT="114300" distB="114300" distL="114300" distR="114300" wp14:anchorId="2A3FE6DE" wp14:editId="69599373">
          <wp:extent cx="7755890" cy="616559"/>
          <wp:effectExtent l="0" t="0" r="0" b="6350"/>
          <wp:docPr id="830653891" name="image2.png" descr="decorative"/>
          <wp:cNvGraphicFramePr/>
          <a:graphic xmlns:a="http://schemas.openxmlformats.org/drawingml/2006/main">
            <a:graphicData uri="http://schemas.openxmlformats.org/drawingml/2006/picture">
              <pic:pic xmlns:pic="http://schemas.openxmlformats.org/drawingml/2006/picture">
                <pic:nvPicPr>
                  <pic:cNvPr id="0" name="image2.png" descr="decorative"/>
                  <pic:cNvPicPr preferRelativeResize="0"/>
                </pic:nvPicPr>
                <pic:blipFill>
                  <a:blip r:embed="rId1"/>
                  <a:srcRect/>
                  <a:stretch>
                    <a:fillRect/>
                  </a:stretch>
                </pic:blipFill>
                <pic:spPr>
                  <a:xfrm>
                    <a:off x="0" y="0"/>
                    <a:ext cx="7907671" cy="6286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DD1C12"/>
    <w:multiLevelType w:val="multilevel"/>
    <w:tmpl w:val="133C5C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E4E54B0"/>
    <w:multiLevelType w:val="multilevel"/>
    <w:tmpl w:val="77FC8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2003068"/>
    <w:multiLevelType w:val="hybridMultilevel"/>
    <w:tmpl w:val="95A2E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4043815">
    <w:abstractNumId w:val="0"/>
  </w:num>
  <w:num w:numId="2" w16cid:durableId="237712861">
    <w:abstractNumId w:val="1"/>
  </w:num>
  <w:num w:numId="3" w16cid:durableId="6144071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EB6"/>
    <w:rsid w:val="000142DF"/>
    <w:rsid w:val="00094430"/>
    <w:rsid w:val="0009516D"/>
    <w:rsid w:val="000F37C0"/>
    <w:rsid w:val="001558A4"/>
    <w:rsid w:val="00240AFC"/>
    <w:rsid w:val="002F0EFA"/>
    <w:rsid w:val="002F7C30"/>
    <w:rsid w:val="00480EB6"/>
    <w:rsid w:val="004D35A2"/>
    <w:rsid w:val="005507F4"/>
    <w:rsid w:val="00592086"/>
    <w:rsid w:val="005F304E"/>
    <w:rsid w:val="006A64AF"/>
    <w:rsid w:val="006E4FC6"/>
    <w:rsid w:val="007B0054"/>
    <w:rsid w:val="008915F7"/>
    <w:rsid w:val="0091502E"/>
    <w:rsid w:val="009433B5"/>
    <w:rsid w:val="00A24BB0"/>
    <w:rsid w:val="00A61E4A"/>
    <w:rsid w:val="00B24D1E"/>
    <w:rsid w:val="00BB044C"/>
    <w:rsid w:val="00BB0762"/>
    <w:rsid w:val="00BC4E5F"/>
    <w:rsid w:val="00BC7FB0"/>
    <w:rsid w:val="00C45C07"/>
    <w:rsid w:val="00CA579E"/>
    <w:rsid w:val="00CD6105"/>
    <w:rsid w:val="00D42DF5"/>
    <w:rsid w:val="00D46B76"/>
    <w:rsid w:val="00DB403F"/>
    <w:rsid w:val="00EB0C90"/>
    <w:rsid w:val="00F0766F"/>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EC7445"/>
  <w15:docId w15:val="{F6ADDEA2-0E95-D840-8628-4A9ADDF73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outlineLvl w:val="0"/>
    </w:pPr>
    <w:rPr>
      <w:rFonts w:ascii="Calibri" w:eastAsia="Calibri" w:hAnsi="Calibri" w:cs="Calibri"/>
      <w:b/>
      <w:bCs/>
      <w:color w:val="00795D"/>
      <w:sz w:val="32"/>
      <w:szCs w:val="32"/>
    </w:rPr>
  </w:style>
  <w:style w:type="paragraph" w:styleId="Heading2">
    <w:name w:val="heading 2"/>
    <w:basedOn w:val="Normal"/>
    <w:next w:val="Normal"/>
    <w:uiPriority w:val="9"/>
    <w:unhideWhenUsed/>
    <w:qFormat/>
    <w:pPr>
      <w:keepNext/>
      <w:keepLines/>
      <w:outlineLvl w:val="1"/>
    </w:pPr>
    <w:rPr>
      <w:b/>
      <w:bCs/>
      <w:color w:val="235393"/>
      <w:sz w:val="24"/>
      <w:szCs w:val="24"/>
    </w:rPr>
  </w:style>
  <w:style w:type="paragraph" w:styleId="Heading3">
    <w:name w:val="heading 3"/>
    <w:basedOn w:val="Normal"/>
    <w:next w:val="Normal"/>
    <w:uiPriority w:val="9"/>
    <w:semiHidden/>
    <w:unhideWhenUsed/>
    <w:qFormat/>
    <w:pPr>
      <w:keepNext/>
      <w:keepLines/>
      <w:spacing w:before="2" w:line="249" w:lineRule="auto"/>
      <w:ind w:left="9" w:right="4"/>
      <w:outlineLvl w:val="2"/>
    </w:pPr>
    <w:rPr>
      <w:b/>
      <w:bCs/>
      <w:color w:val="E6913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00" w:after="120" w:line="240" w:lineRule="auto"/>
      <w:jc w:val="both"/>
    </w:pPr>
    <w:rPr>
      <w:rFonts w:ascii="Calibri" w:eastAsia="Calibri" w:hAnsi="Calibri" w:cs="Calibri"/>
      <w:b/>
      <w:bCs/>
      <w:color w:val="0B5394"/>
      <w:sz w:val="48"/>
      <w:szCs w:val="48"/>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a">
    <w:basedOn w:val="TableNormal"/>
    <w:tblPr>
      <w:tblStyleRowBandSize w:val="1"/>
      <w:tblStyleColBandSize w:val="1"/>
    </w:tblPr>
    <w:tblStylePr w:type="firstRow">
      <w:rPr>
        <w:b/>
        <w:bCs/>
        <w:color w:val="FFFFFF"/>
      </w:rPr>
      <w:tblPr/>
      <w:tcPr>
        <w:shd w:val="clear" w:color="auto" w:fill="156082"/>
      </w:tcPr>
    </w:tblStylePr>
    <w:tblStylePr w:type="lastRow">
      <w:rPr>
        <w:b/>
        <w:bCs/>
      </w:rPr>
      <w:tblPr/>
      <w:tcPr>
        <w:tcBorders>
          <w:top w:val="single" w:sz="4" w:space="0" w:color="15608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56082"/>
          <w:right w:val="single" w:sz="4" w:space="0" w:color="156082"/>
        </w:tcBorders>
      </w:tcPr>
    </w:tblStylePr>
    <w:tblStylePr w:type="band1Horz">
      <w:tblPr/>
      <w:tcPr>
        <w:tcBorders>
          <w:top w:val="single" w:sz="4" w:space="0" w:color="156082"/>
          <w:bottom w:val="single" w:sz="4" w:space="0" w:color="15608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156082"/>
          <w:left w:val="nil"/>
        </w:tcBorders>
      </w:tcPr>
    </w:tblStylePr>
    <w:tblStylePr w:type="swCell">
      <w:tblPr/>
      <w:tcPr>
        <w:tcBorders>
          <w:top w:val="single" w:sz="4" w:space="0" w:color="156082"/>
          <w:right w:val="nil"/>
        </w:tcBorders>
      </w:tcPr>
    </w:tblStylePr>
  </w:style>
  <w:style w:type="table" w:customStyle="1" w:styleId="ab">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DB403F"/>
    <w:pPr>
      <w:tabs>
        <w:tab w:val="center" w:pos="4680"/>
        <w:tab w:val="right" w:pos="9360"/>
      </w:tabs>
      <w:spacing w:line="240" w:lineRule="auto"/>
    </w:pPr>
  </w:style>
  <w:style w:type="character" w:customStyle="1" w:styleId="HeaderChar">
    <w:name w:val="Header Char"/>
    <w:basedOn w:val="DefaultParagraphFont"/>
    <w:link w:val="Header"/>
    <w:uiPriority w:val="99"/>
    <w:rsid w:val="00DB403F"/>
  </w:style>
  <w:style w:type="paragraph" w:styleId="Footer">
    <w:name w:val="footer"/>
    <w:basedOn w:val="Normal"/>
    <w:link w:val="FooterChar"/>
    <w:uiPriority w:val="99"/>
    <w:unhideWhenUsed/>
    <w:rsid w:val="00DB403F"/>
    <w:pPr>
      <w:tabs>
        <w:tab w:val="center" w:pos="4680"/>
        <w:tab w:val="right" w:pos="9360"/>
      </w:tabs>
      <w:spacing w:line="240" w:lineRule="auto"/>
    </w:pPr>
  </w:style>
  <w:style w:type="character" w:customStyle="1" w:styleId="FooterChar">
    <w:name w:val="Footer Char"/>
    <w:basedOn w:val="DefaultParagraphFont"/>
    <w:link w:val="Footer"/>
    <w:uiPriority w:val="99"/>
    <w:rsid w:val="00DB403F"/>
  </w:style>
  <w:style w:type="paragraph" w:styleId="ListParagraph">
    <w:name w:val="List Paragraph"/>
    <w:basedOn w:val="Normal"/>
    <w:uiPriority w:val="34"/>
    <w:qFormat/>
    <w:rsid w:val="0009516D"/>
    <w:pPr>
      <w:ind w:left="720"/>
      <w:contextualSpacing/>
    </w:pPr>
  </w:style>
  <w:style w:type="paragraph" w:styleId="Revision">
    <w:name w:val="Revision"/>
    <w:hidden/>
    <w:uiPriority w:val="99"/>
    <w:semiHidden/>
    <w:rsid w:val="002F7C30"/>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oe.mass.edu/edprep/resources/early-literacy-criteria.pdf" TargetMode="External"/><Relationship Id="rId13" Type="http://schemas.openxmlformats.org/officeDocument/2006/relationships/hyperlink" Target="https://www.doe.mass.edu/massliteracy/pathway-to-equity.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oe.mass.edu/massliteracy/families/oral-language.htm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e.mass.edu/massliteracy/skilled-reading/language-comprehend/vocab-morphology.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doe.mass.edu/massliteracy/literacy-block/default.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doe.mass.edu/massliteracy/literacy-block/default.htm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6jZKsojCWkUq90KSwlQ3ZWxBJw==">CgMxLjAaHQoBMBIYChYIB0ISEhBBcmlhbCBVbmljb2RlIE1TGh0KATESGAoWCAdCEhIQQXJpYWwgVW5pY29kZSBNUzIOaC42YjE5bTI2NmV3am8yDmguZWk1OTZiYTg3dW1wMg5oLnc3bm12M2hleGJhMDIOaC5lYXV4MzhoanU5bW8yDmguYWkxcjljZHVkd2gzOAByITFsU2hUeVdKbExuRDhzZUhlcC12dDF0YUFfQWFQUVhKcA==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522</Words>
  <Characters>3186</Characters>
  <Application>Microsoft Office Word</Application>
  <DocSecurity>0</DocSecurity>
  <Lines>96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Literacy Education and SEI Strategy Alignment Targeted and Focused Monitoring Report 2026</dc:title>
  <dc:creator>DESE</dc:creator>
  <cp:lastModifiedBy>Zou, Dong (EOE)</cp:lastModifiedBy>
  <cp:revision>11</cp:revision>
  <dcterms:created xsi:type="dcterms:W3CDTF">2026-03-17T18:29:00Z</dcterms:created>
  <dcterms:modified xsi:type="dcterms:W3CDTF">2026-04-01T00:29:00Z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Mar 31 2026 12:00AM</vt:lpwstr>
  </property>
</Properties>
</file>