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D19E" w14:textId="77777777" w:rsidR="0071271D" w:rsidRDefault="00696531" w:rsidP="008E45E1">
      <w:r>
        <w:rPr>
          <w:szCs w:val="22"/>
        </w:rPr>
        <w:t xml:space="preserve">The criteria used to evaluate Sponsoring Organizations </w:t>
      </w:r>
      <w:r w:rsidR="009A6E42">
        <w:rPr>
          <w:szCs w:val="22"/>
        </w:rPr>
        <w:t xml:space="preserve">for purposes of new or continuing approval </w:t>
      </w:r>
      <w:r>
        <w:rPr>
          <w:szCs w:val="22"/>
        </w:rPr>
        <w:t xml:space="preserve">are listed below. </w:t>
      </w:r>
      <w:r w:rsidR="0071271D">
        <w:t xml:space="preserve">Each criterion is written as the expectation against which evidence is evaluated. Criteria are derived directly from the </w:t>
      </w:r>
      <w:hyperlink r:id="rId12" w:history="1">
        <w:r w:rsidR="0071271D" w:rsidRPr="000962EA">
          <w:rPr>
            <w:rStyle w:val="Hyperlink"/>
          </w:rPr>
          <w:t>Program Approval Standards</w:t>
        </w:r>
      </w:hyperlink>
      <w:r w:rsidR="0071271D">
        <w:t xml:space="preserve"> and are designed to distill high-level concepts into a set of concrete, actionable criteria. Criteria were intentionally developed to be descriptive of expectations, not prescriptive of approaches or strategies.</w:t>
      </w:r>
    </w:p>
    <w:p w14:paraId="2296821A" w14:textId="77777777" w:rsidR="0071271D" w:rsidRDefault="0071271D" w:rsidP="008E45E1"/>
    <w:p w14:paraId="0309E1E9" w14:textId="77777777" w:rsidR="007F5DB4" w:rsidRDefault="0071271D" w:rsidP="008E45E1">
      <w:pPr>
        <w:rPr>
          <w:szCs w:val="22"/>
        </w:rPr>
      </w:pPr>
      <w:r>
        <w:t xml:space="preserve">These criteria have been </w:t>
      </w:r>
      <w:r w:rsidR="00612ED2">
        <w:t>refined</w:t>
      </w:r>
      <w:r>
        <w:t xml:space="preserve"> over</w:t>
      </w:r>
      <w:r w:rsidR="00994379">
        <w:t xml:space="preserve"> </w:t>
      </w:r>
      <w:r>
        <w:t>time</w:t>
      </w:r>
      <w:r w:rsidR="00612ED2">
        <w:t xml:space="preserve"> for clarity and to reduce redundancy where it exists</w:t>
      </w:r>
      <w:r>
        <w:t xml:space="preserve">. </w:t>
      </w:r>
      <w:r w:rsidR="00696531">
        <w:rPr>
          <w:szCs w:val="22"/>
        </w:rPr>
        <w:t>For a detailed overview of how these criteria were developed</w:t>
      </w:r>
      <w:r w:rsidR="0059651D">
        <w:rPr>
          <w:szCs w:val="22"/>
        </w:rPr>
        <w:t xml:space="preserve"> </w:t>
      </w:r>
      <w:r w:rsidR="00696531">
        <w:rPr>
          <w:szCs w:val="22"/>
        </w:rPr>
        <w:t xml:space="preserve">and </w:t>
      </w:r>
      <w:r w:rsidR="000962EA">
        <w:rPr>
          <w:szCs w:val="22"/>
        </w:rPr>
        <w:t xml:space="preserve">to learn more about </w:t>
      </w:r>
      <w:r w:rsidR="00696531">
        <w:rPr>
          <w:szCs w:val="22"/>
        </w:rPr>
        <w:t xml:space="preserve">how they </w:t>
      </w:r>
      <w:r w:rsidR="000962EA">
        <w:rPr>
          <w:szCs w:val="22"/>
        </w:rPr>
        <w:t xml:space="preserve">are </w:t>
      </w:r>
      <w:r w:rsidR="00696531">
        <w:rPr>
          <w:szCs w:val="22"/>
        </w:rPr>
        <w:t xml:space="preserve">used during the review, please </w:t>
      </w:r>
      <w:r>
        <w:rPr>
          <w:szCs w:val="22"/>
        </w:rPr>
        <w:t xml:space="preserve">refer to the resources available at </w:t>
      </w:r>
      <w:hyperlink r:id="rId13" w:history="1">
        <w:r w:rsidRPr="00F0588C">
          <w:rPr>
            <w:rStyle w:val="Hyperlink"/>
            <w:szCs w:val="22"/>
          </w:rPr>
          <w:t>http://www.doe.mass.edu/edprep/pr.html</w:t>
        </w:r>
      </w:hyperlink>
      <w:r w:rsidR="00E41D3E">
        <w:rPr>
          <w:szCs w:val="22"/>
        </w:rPr>
        <w:t>.</w:t>
      </w:r>
    </w:p>
    <w:p w14:paraId="2D2C5F8B" w14:textId="77777777" w:rsidR="00B3306D" w:rsidRDefault="00B3306D" w:rsidP="008E45E1">
      <w:pPr>
        <w:spacing w:after="120"/>
        <w:rPr>
          <w:szCs w:val="22"/>
        </w:rPr>
      </w:pPr>
    </w:p>
    <w:p w14:paraId="1A5A1E4F" w14:textId="77777777" w:rsidR="007F5DB4" w:rsidRPr="00964BE5" w:rsidRDefault="007F5DB4" w:rsidP="008E45E1">
      <w:pPr>
        <w:spacing w:after="120"/>
        <w:rPr>
          <w:b/>
          <w:color w:val="244061" w:themeColor="accent1" w:themeShade="80"/>
          <w:szCs w:val="22"/>
        </w:rPr>
      </w:pPr>
      <w:r w:rsidRPr="00964BE5">
        <w:rPr>
          <w:b/>
          <w:color w:val="244061" w:themeColor="accent1" w:themeShade="80"/>
          <w:szCs w:val="22"/>
        </w:rPr>
        <w:t>Domain: The Organization</w:t>
      </w:r>
      <w:r w:rsidR="00B3306D">
        <w:rPr>
          <w:b/>
          <w:color w:val="244061" w:themeColor="accent1" w:themeShade="80"/>
          <w:szCs w:val="22"/>
        </w:rPr>
        <w:t xml:space="preserve"> (ORG)</w:t>
      </w:r>
    </w:p>
    <w:p w14:paraId="0E4979C5" w14:textId="77777777" w:rsidR="009E1914" w:rsidRDefault="000F0879" w:rsidP="008E45E1">
      <w:pPr>
        <w:pStyle w:val="ListParagraph"/>
        <w:numPr>
          <w:ilvl w:val="0"/>
          <w:numId w:val="41"/>
        </w:numPr>
        <w:spacing w:after="120"/>
        <w:contextualSpacing w:val="0"/>
        <w:rPr>
          <w:szCs w:val="22"/>
        </w:rPr>
      </w:pPr>
      <w:r w:rsidRPr="000F0879">
        <w:rPr>
          <w:szCs w:val="22"/>
        </w:rPr>
        <w:t>Organization demonstrates sufficient capacity and authority to effectively support and sustain effect</w:t>
      </w:r>
      <w:r w:rsidR="00002289">
        <w:rPr>
          <w:szCs w:val="22"/>
        </w:rPr>
        <w:t>ive</w:t>
      </w:r>
      <w:r w:rsidRPr="000F0879">
        <w:rPr>
          <w:szCs w:val="22"/>
        </w:rPr>
        <w:t xml:space="preserve"> educator prep</w:t>
      </w:r>
      <w:r w:rsidR="00002289">
        <w:rPr>
          <w:szCs w:val="22"/>
        </w:rPr>
        <w:t>aration</w:t>
      </w:r>
      <w:r w:rsidRPr="000F0879">
        <w:rPr>
          <w:szCs w:val="22"/>
        </w:rPr>
        <w:t xml:space="preserve"> programs.</w:t>
      </w:r>
    </w:p>
    <w:p w14:paraId="33D12F78" w14:textId="77777777" w:rsidR="009E1914" w:rsidRDefault="007F5DB4" w:rsidP="008E45E1">
      <w:pPr>
        <w:pStyle w:val="ListParagraph"/>
        <w:numPr>
          <w:ilvl w:val="0"/>
          <w:numId w:val="41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 xml:space="preserve">Systems/structures support collaboration within departments and across disciplines </w:t>
      </w:r>
      <w:r w:rsidR="002D0156">
        <w:rPr>
          <w:szCs w:val="22"/>
        </w:rPr>
        <w:t xml:space="preserve">and </w:t>
      </w:r>
      <w:r w:rsidRPr="003B0BAC">
        <w:rPr>
          <w:szCs w:val="22"/>
        </w:rPr>
        <w:t>improve candidate preparation.</w:t>
      </w:r>
    </w:p>
    <w:p w14:paraId="7B16CB35" w14:textId="77777777" w:rsidR="009E1914" w:rsidRDefault="007F5DB4" w:rsidP="008E45E1">
      <w:pPr>
        <w:pStyle w:val="ListParagraph"/>
        <w:numPr>
          <w:ilvl w:val="0"/>
          <w:numId w:val="41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>Budget</w:t>
      </w:r>
      <w:r w:rsidR="00897CCD">
        <w:rPr>
          <w:szCs w:val="22"/>
        </w:rPr>
        <w:t>s</w:t>
      </w:r>
      <w:r w:rsidRPr="003B0BAC">
        <w:rPr>
          <w:szCs w:val="22"/>
        </w:rPr>
        <w:t xml:space="preserve"> support ongoing </w:t>
      </w:r>
      <w:r w:rsidR="000B6B17">
        <w:rPr>
          <w:szCs w:val="22"/>
        </w:rPr>
        <w:t xml:space="preserve">educator preparation </w:t>
      </w:r>
      <w:r w:rsidR="0007660A">
        <w:rPr>
          <w:szCs w:val="22"/>
        </w:rPr>
        <w:t xml:space="preserve">program </w:t>
      </w:r>
      <w:r w:rsidRPr="003B0BAC">
        <w:rPr>
          <w:szCs w:val="22"/>
        </w:rPr>
        <w:t xml:space="preserve">sustainability and allocate resources according to </w:t>
      </w:r>
      <w:r w:rsidR="00367C37">
        <w:rPr>
          <w:szCs w:val="22"/>
        </w:rPr>
        <w:t xml:space="preserve">the </w:t>
      </w:r>
      <w:r w:rsidR="00FF547E">
        <w:rPr>
          <w:szCs w:val="22"/>
        </w:rPr>
        <w:t>Sponsoring O</w:t>
      </w:r>
      <w:r w:rsidRPr="003B0BAC">
        <w:rPr>
          <w:szCs w:val="22"/>
        </w:rPr>
        <w:t>rganization</w:t>
      </w:r>
      <w:r w:rsidR="00367C37">
        <w:rPr>
          <w:szCs w:val="22"/>
        </w:rPr>
        <w:t>’s</w:t>
      </w:r>
      <w:r w:rsidRPr="003B0BAC">
        <w:rPr>
          <w:szCs w:val="22"/>
        </w:rPr>
        <w:t xml:space="preserve"> goals.</w:t>
      </w:r>
    </w:p>
    <w:p w14:paraId="347EAE6F" w14:textId="77777777" w:rsidR="009E1914" w:rsidRDefault="007F5DB4" w:rsidP="008E45E1">
      <w:pPr>
        <w:pStyle w:val="ListParagraph"/>
        <w:numPr>
          <w:ilvl w:val="0"/>
          <w:numId w:val="41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>All candidates, regardless of program or delivery model, have equitable and consistent access to resources.</w:t>
      </w:r>
    </w:p>
    <w:p w14:paraId="7AF6ADAA" w14:textId="77777777" w:rsidR="009E1914" w:rsidRDefault="007F5DB4" w:rsidP="008E45E1">
      <w:pPr>
        <w:pStyle w:val="ListParagraph"/>
        <w:numPr>
          <w:ilvl w:val="0"/>
          <w:numId w:val="41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>Recruitment, selection</w:t>
      </w:r>
      <w:r w:rsidR="00845B3D">
        <w:rPr>
          <w:szCs w:val="22"/>
        </w:rPr>
        <w:t>,</w:t>
      </w:r>
      <w:r w:rsidRPr="003B0BAC">
        <w:rPr>
          <w:szCs w:val="22"/>
        </w:rPr>
        <w:t xml:space="preserve"> and evaluation processes result in the hiring and retention of effective faculty</w:t>
      </w:r>
      <w:r w:rsidR="008356C6">
        <w:rPr>
          <w:szCs w:val="22"/>
        </w:rPr>
        <w:t>/instructors</w:t>
      </w:r>
      <w:r w:rsidRPr="003B0BAC">
        <w:rPr>
          <w:szCs w:val="22"/>
        </w:rPr>
        <w:t xml:space="preserve"> and staff.</w:t>
      </w:r>
    </w:p>
    <w:p w14:paraId="64714EB0" w14:textId="77777777" w:rsidR="009E1914" w:rsidRDefault="007F5DB4" w:rsidP="008E45E1">
      <w:pPr>
        <w:pStyle w:val="ListParagraph"/>
        <w:numPr>
          <w:ilvl w:val="0"/>
          <w:numId w:val="41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>Faculty</w:t>
      </w:r>
      <w:r w:rsidR="0067693F">
        <w:rPr>
          <w:szCs w:val="22"/>
        </w:rPr>
        <w:t>/instructors</w:t>
      </w:r>
      <w:r w:rsidRPr="003B0BAC">
        <w:rPr>
          <w:szCs w:val="22"/>
        </w:rPr>
        <w:t xml:space="preserve"> and staff engage in professional development </w:t>
      </w:r>
      <w:r w:rsidR="0013214C">
        <w:rPr>
          <w:szCs w:val="22"/>
        </w:rPr>
        <w:t>or</w:t>
      </w:r>
      <w:r w:rsidRPr="003B0BAC">
        <w:rPr>
          <w:szCs w:val="22"/>
        </w:rPr>
        <w:t xml:space="preserve"> work in the field that has </w:t>
      </w:r>
      <w:r w:rsidR="000F0879">
        <w:rPr>
          <w:szCs w:val="22"/>
        </w:rPr>
        <w:t>a positive impact on the quality of preparation provided to candidates</w:t>
      </w:r>
      <w:r w:rsidRPr="003B0BAC">
        <w:rPr>
          <w:szCs w:val="22"/>
        </w:rPr>
        <w:t>.</w:t>
      </w:r>
    </w:p>
    <w:p w14:paraId="69E4A08F" w14:textId="77777777" w:rsidR="00EF256A" w:rsidRDefault="00EF256A" w:rsidP="008E45E1">
      <w:pPr>
        <w:rPr>
          <w:b/>
          <w:color w:val="244061" w:themeColor="accent1" w:themeShade="80"/>
          <w:szCs w:val="22"/>
        </w:rPr>
      </w:pPr>
    </w:p>
    <w:p w14:paraId="02F07A00" w14:textId="77777777" w:rsidR="0051383D" w:rsidRPr="00964BE5" w:rsidRDefault="0051383D" w:rsidP="008E45E1">
      <w:pPr>
        <w:spacing w:after="120"/>
        <w:rPr>
          <w:b/>
          <w:color w:val="244061" w:themeColor="accent1" w:themeShade="80"/>
          <w:szCs w:val="22"/>
        </w:rPr>
      </w:pPr>
      <w:r w:rsidRPr="00964BE5">
        <w:rPr>
          <w:b/>
          <w:color w:val="244061" w:themeColor="accent1" w:themeShade="80"/>
          <w:szCs w:val="22"/>
        </w:rPr>
        <w:t>Domain: Partnerships</w:t>
      </w:r>
      <w:r w:rsidR="00B3306D">
        <w:rPr>
          <w:b/>
          <w:color w:val="244061" w:themeColor="accent1" w:themeShade="80"/>
          <w:szCs w:val="22"/>
        </w:rPr>
        <w:t xml:space="preserve"> (PAR)</w:t>
      </w:r>
    </w:p>
    <w:p w14:paraId="5E8502A0" w14:textId="77777777" w:rsidR="009E1914" w:rsidRDefault="005B2B66" w:rsidP="008E45E1">
      <w:pPr>
        <w:pStyle w:val="ListParagraph"/>
        <w:numPr>
          <w:ilvl w:val="0"/>
          <w:numId w:val="42"/>
        </w:numPr>
        <w:spacing w:after="120"/>
        <w:contextualSpacing w:val="0"/>
        <w:rPr>
          <w:szCs w:val="22"/>
        </w:rPr>
      </w:pPr>
      <w:r>
        <w:rPr>
          <w:szCs w:val="22"/>
        </w:rPr>
        <w:t>Sponsoring Organization</w:t>
      </w:r>
      <w:r w:rsidRPr="005B2B66">
        <w:rPr>
          <w:szCs w:val="22"/>
        </w:rPr>
        <w:t xml:space="preserve"> responds to</w:t>
      </w:r>
      <w:r>
        <w:rPr>
          <w:szCs w:val="22"/>
        </w:rPr>
        <w:t xml:space="preserve"> the needs of PK-12 district</w:t>
      </w:r>
      <w:r w:rsidR="00B775F5">
        <w:rPr>
          <w:szCs w:val="22"/>
        </w:rPr>
        <w:t>s</w:t>
      </w:r>
      <w:r>
        <w:rPr>
          <w:szCs w:val="22"/>
        </w:rPr>
        <w:t>/schools</w:t>
      </w:r>
      <w:r w:rsidR="00323179">
        <w:rPr>
          <w:szCs w:val="22"/>
        </w:rPr>
        <w:t>.</w:t>
      </w:r>
      <w:r>
        <w:rPr>
          <w:szCs w:val="22"/>
        </w:rPr>
        <w:t xml:space="preserve"> </w:t>
      </w:r>
    </w:p>
    <w:p w14:paraId="2FC2AFE9" w14:textId="77777777" w:rsidR="009E1914" w:rsidRDefault="005B2B66" w:rsidP="008E45E1">
      <w:pPr>
        <w:pStyle w:val="ListParagraph"/>
        <w:numPr>
          <w:ilvl w:val="0"/>
          <w:numId w:val="42"/>
        </w:numPr>
        <w:spacing w:after="120"/>
        <w:contextualSpacing w:val="0"/>
        <w:rPr>
          <w:szCs w:val="22"/>
        </w:rPr>
      </w:pPr>
      <w:r>
        <w:rPr>
          <w:szCs w:val="22"/>
        </w:rPr>
        <w:t xml:space="preserve">PK-12 </w:t>
      </w:r>
      <w:r w:rsidR="00992F1E">
        <w:rPr>
          <w:szCs w:val="22"/>
        </w:rPr>
        <w:t>p</w:t>
      </w:r>
      <w:r w:rsidR="0051383D" w:rsidRPr="003B0BAC">
        <w:rPr>
          <w:szCs w:val="22"/>
        </w:rPr>
        <w:t>artners make contributions that inform Sponsoring Organization’s continuous improvement efforts.</w:t>
      </w:r>
    </w:p>
    <w:p w14:paraId="5AE34AD2" w14:textId="77777777" w:rsidR="009E1914" w:rsidRDefault="0051383D" w:rsidP="008E45E1">
      <w:pPr>
        <w:pStyle w:val="ListParagraph"/>
        <w:numPr>
          <w:ilvl w:val="0"/>
          <w:numId w:val="42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>Partnerships improve experience for preparation candidates</w:t>
      </w:r>
      <w:r w:rsidR="005B2B66">
        <w:rPr>
          <w:szCs w:val="22"/>
        </w:rPr>
        <w:t>.</w:t>
      </w:r>
    </w:p>
    <w:p w14:paraId="5CBA3793" w14:textId="77777777" w:rsidR="009E1914" w:rsidRDefault="005B2B66" w:rsidP="008E45E1">
      <w:pPr>
        <w:pStyle w:val="ListParagraph"/>
        <w:numPr>
          <w:ilvl w:val="0"/>
          <w:numId w:val="42"/>
        </w:numPr>
        <w:spacing w:after="120"/>
        <w:contextualSpacing w:val="0"/>
        <w:rPr>
          <w:szCs w:val="22"/>
        </w:rPr>
      </w:pPr>
      <w:r>
        <w:rPr>
          <w:szCs w:val="22"/>
        </w:rPr>
        <w:t xml:space="preserve">Partnerships positively impact the </w:t>
      </w:r>
      <w:r w:rsidR="0051383D" w:rsidRPr="003B0BAC">
        <w:rPr>
          <w:szCs w:val="22"/>
        </w:rPr>
        <w:t xml:space="preserve">outcomes </w:t>
      </w:r>
      <w:r>
        <w:rPr>
          <w:szCs w:val="22"/>
        </w:rPr>
        <w:t>of</w:t>
      </w:r>
      <w:r w:rsidRPr="003B0BAC">
        <w:rPr>
          <w:szCs w:val="22"/>
        </w:rPr>
        <w:t xml:space="preserve"> </w:t>
      </w:r>
      <w:r w:rsidR="0051383D" w:rsidRPr="003B0BAC">
        <w:rPr>
          <w:szCs w:val="22"/>
        </w:rPr>
        <w:t>PK-12 students.</w:t>
      </w:r>
    </w:p>
    <w:p w14:paraId="6EF2E1B5" w14:textId="77777777" w:rsidR="009E1914" w:rsidRDefault="0051383D" w:rsidP="008E45E1">
      <w:pPr>
        <w:pStyle w:val="ListParagraph"/>
        <w:numPr>
          <w:ilvl w:val="0"/>
          <w:numId w:val="42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 xml:space="preserve">Sponsoring Organization </w:t>
      </w:r>
      <w:r w:rsidR="00887864">
        <w:rPr>
          <w:szCs w:val="22"/>
        </w:rPr>
        <w:t>evaluate</w:t>
      </w:r>
      <w:r w:rsidR="008D7E95">
        <w:rPr>
          <w:szCs w:val="22"/>
        </w:rPr>
        <w:t>s</w:t>
      </w:r>
      <w:r w:rsidR="00887864">
        <w:rPr>
          <w:szCs w:val="22"/>
        </w:rPr>
        <w:t xml:space="preserve"> partnerships on an ongoing basis, </w:t>
      </w:r>
      <w:r w:rsidRPr="003B0BAC">
        <w:rPr>
          <w:szCs w:val="22"/>
        </w:rPr>
        <w:t>sustain</w:t>
      </w:r>
      <w:r w:rsidR="00B775F5">
        <w:rPr>
          <w:szCs w:val="22"/>
        </w:rPr>
        <w:t>s</w:t>
      </w:r>
      <w:r w:rsidRPr="003B0BAC">
        <w:rPr>
          <w:szCs w:val="22"/>
        </w:rPr>
        <w:t xml:space="preserve"> </w:t>
      </w:r>
      <w:r w:rsidR="00887864">
        <w:rPr>
          <w:szCs w:val="22"/>
        </w:rPr>
        <w:t>those</w:t>
      </w:r>
      <w:r w:rsidR="00887864" w:rsidRPr="003B0BAC">
        <w:rPr>
          <w:szCs w:val="22"/>
        </w:rPr>
        <w:t xml:space="preserve"> </w:t>
      </w:r>
      <w:r w:rsidRPr="003B0BAC">
        <w:rPr>
          <w:szCs w:val="22"/>
        </w:rPr>
        <w:t>that are effective</w:t>
      </w:r>
      <w:r w:rsidR="00D906A6">
        <w:rPr>
          <w:szCs w:val="22"/>
        </w:rPr>
        <w:t>,</w:t>
      </w:r>
      <w:r w:rsidR="00887864">
        <w:rPr>
          <w:szCs w:val="22"/>
        </w:rPr>
        <w:t xml:space="preserve"> and take</w:t>
      </w:r>
      <w:r w:rsidR="00B775F5">
        <w:rPr>
          <w:szCs w:val="22"/>
        </w:rPr>
        <w:t>s</w:t>
      </w:r>
      <w:r w:rsidR="00887864">
        <w:rPr>
          <w:szCs w:val="22"/>
        </w:rPr>
        <w:t xml:space="preserve"> steps to improve those that are not</w:t>
      </w:r>
      <w:r w:rsidRPr="003B0BAC">
        <w:rPr>
          <w:szCs w:val="22"/>
        </w:rPr>
        <w:t>.</w:t>
      </w:r>
    </w:p>
    <w:p w14:paraId="76C9DEC0" w14:textId="77777777" w:rsidR="00B3306D" w:rsidRDefault="00B3306D" w:rsidP="008E45E1">
      <w:pPr>
        <w:rPr>
          <w:b/>
          <w:color w:val="244061" w:themeColor="accent1" w:themeShade="80"/>
          <w:szCs w:val="22"/>
        </w:rPr>
      </w:pPr>
    </w:p>
    <w:p w14:paraId="397371A6" w14:textId="77777777" w:rsidR="0051383D" w:rsidRPr="00964BE5" w:rsidRDefault="0051383D" w:rsidP="008E45E1">
      <w:pPr>
        <w:spacing w:after="120"/>
        <w:rPr>
          <w:b/>
          <w:color w:val="244061" w:themeColor="accent1" w:themeShade="80"/>
          <w:szCs w:val="22"/>
        </w:rPr>
      </w:pPr>
      <w:r w:rsidRPr="00964BE5">
        <w:rPr>
          <w:b/>
          <w:color w:val="244061" w:themeColor="accent1" w:themeShade="80"/>
          <w:szCs w:val="22"/>
        </w:rPr>
        <w:t>Domain: Continuous Improvement</w:t>
      </w:r>
      <w:r w:rsidR="00B3306D">
        <w:rPr>
          <w:b/>
          <w:color w:val="244061" w:themeColor="accent1" w:themeShade="80"/>
          <w:szCs w:val="22"/>
        </w:rPr>
        <w:t xml:space="preserve"> (CI)</w:t>
      </w:r>
    </w:p>
    <w:p w14:paraId="1CDBB790" w14:textId="77777777" w:rsidR="004709BD" w:rsidRDefault="004709BD" w:rsidP="008E45E1">
      <w:pPr>
        <w:pStyle w:val="ListParagraph"/>
        <w:numPr>
          <w:ilvl w:val="0"/>
          <w:numId w:val="43"/>
        </w:numPr>
        <w:spacing w:after="120"/>
        <w:contextualSpacing w:val="0"/>
        <w:rPr>
          <w:szCs w:val="22"/>
        </w:rPr>
      </w:pPr>
      <w:r>
        <w:rPr>
          <w:szCs w:val="22"/>
        </w:rPr>
        <w:t xml:space="preserve">Sponsoring Organization oversees </w:t>
      </w:r>
      <w:r w:rsidR="00103709">
        <w:rPr>
          <w:szCs w:val="22"/>
        </w:rPr>
        <w:t xml:space="preserve">and has systems in place to monitor </w:t>
      </w:r>
      <w:r>
        <w:rPr>
          <w:szCs w:val="22"/>
        </w:rPr>
        <w:t>all individual licensure programs to ensure each is effective.</w:t>
      </w:r>
      <w:r w:rsidRPr="004709BD">
        <w:rPr>
          <w:szCs w:val="22"/>
        </w:rPr>
        <w:t xml:space="preserve"> </w:t>
      </w:r>
    </w:p>
    <w:p w14:paraId="341DC304" w14:textId="77777777" w:rsidR="009E1914" w:rsidRDefault="0051383D" w:rsidP="008E45E1">
      <w:pPr>
        <w:pStyle w:val="ListParagraph"/>
        <w:numPr>
          <w:ilvl w:val="0"/>
          <w:numId w:val="43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lastRenderedPageBreak/>
        <w:t xml:space="preserve">The consistent and ongoing use of internal and external evidence, including ESE data, informs strategic decisions that impact the </w:t>
      </w:r>
      <w:r w:rsidR="008E45E1">
        <w:rPr>
          <w:szCs w:val="22"/>
        </w:rPr>
        <w:t>Sponsoring Organization</w:t>
      </w:r>
      <w:r w:rsidRPr="003B0BAC">
        <w:rPr>
          <w:szCs w:val="22"/>
        </w:rPr>
        <w:t>, education programs, candidates</w:t>
      </w:r>
      <w:r w:rsidR="00A07309">
        <w:rPr>
          <w:szCs w:val="22"/>
        </w:rPr>
        <w:t>,</w:t>
      </w:r>
      <w:r w:rsidRPr="003B0BAC">
        <w:rPr>
          <w:szCs w:val="22"/>
        </w:rPr>
        <w:t xml:space="preserve"> and employing </w:t>
      </w:r>
      <w:r w:rsidR="0059651D">
        <w:rPr>
          <w:szCs w:val="22"/>
        </w:rPr>
        <w:t>schools/districts</w:t>
      </w:r>
      <w:r w:rsidRPr="003B0BAC">
        <w:rPr>
          <w:szCs w:val="22"/>
        </w:rPr>
        <w:t>.</w:t>
      </w:r>
    </w:p>
    <w:p w14:paraId="74CF30AA" w14:textId="77777777" w:rsidR="009E1914" w:rsidRDefault="008E45E1" w:rsidP="008E45E1">
      <w:pPr>
        <w:pStyle w:val="ListParagraph"/>
        <w:numPr>
          <w:ilvl w:val="0"/>
          <w:numId w:val="43"/>
        </w:numPr>
        <w:spacing w:after="120"/>
        <w:contextualSpacing w:val="0"/>
        <w:rPr>
          <w:szCs w:val="22"/>
        </w:rPr>
      </w:pPr>
      <w:r>
        <w:rPr>
          <w:szCs w:val="22"/>
        </w:rPr>
        <w:t>Sponsoring Organization</w:t>
      </w:r>
      <w:r w:rsidR="0051383D" w:rsidRPr="003B0BAC">
        <w:rPr>
          <w:szCs w:val="22"/>
        </w:rPr>
        <w:t xml:space="preserve"> acts on feedback solicited from internal and external stakeholders (including candidates, graduates, district and school personnel</w:t>
      </w:r>
      <w:r w:rsidR="00A07309">
        <w:rPr>
          <w:szCs w:val="22"/>
        </w:rPr>
        <w:t>,</w:t>
      </w:r>
      <w:r w:rsidR="0051383D" w:rsidRPr="003B0BAC">
        <w:rPr>
          <w:szCs w:val="22"/>
        </w:rPr>
        <w:t xml:space="preserve"> and employers) in continuous improvement efforts.</w:t>
      </w:r>
    </w:p>
    <w:p w14:paraId="4B8ADD26" w14:textId="77777777" w:rsidR="00367C37" w:rsidRDefault="006A1C4B" w:rsidP="008E45E1">
      <w:pPr>
        <w:pStyle w:val="ListParagraph"/>
        <w:numPr>
          <w:ilvl w:val="0"/>
          <w:numId w:val="43"/>
        </w:numPr>
        <w:spacing w:after="120"/>
        <w:contextualSpacing w:val="0"/>
        <w:rPr>
          <w:szCs w:val="22"/>
        </w:rPr>
      </w:pPr>
      <w:r w:rsidRPr="006A1C4B">
        <w:rPr>
          <w:szCs w:val="22"/>
        </w:rPr>
        <w:t xml:space="preserve">Goals articulated in the State Annual Report yield improvements to the </w:t>
      </w:r>
      <w:r w:rsidR="00BF2E41">
        <w:rPr>
          <w:szCs w:val="22"/>
        </w:rPr>
        <w:t>Sponsoring Organization’s</w:t>
      </w:r>
      <w:r w:rsidR="00BF2E41" w:rsidRPr="006A1C4B">
        <w:rPr>
          <w:szCs w:val="22"/>
        </w:rPr>
        <w:t xml:space="preserve"> </w:t>
      </w:r>
      <w:r w:rsidRPr="006A1C4B">
        <w:rPr>
          <w:szCs w:val="22"/>
        </w:rPr>
        <w:t xml:space="preserve">educator preparation programs. </w:t>
      </w:r>
    </w:p>
    <w:p w14:paraId="2952CA28" w14:textId="77777777" w:rsidR="00612ED2" w:rsidRDefault="00612ED2" w:rsidP="008E45E1">
      <w:pPr>
        <w:rPr>
          <w:b/>
          <w:color w:val="244061" w:themeColor="accent1" w:themeShade="80"/>
          <w:szCs w:val="22"/>
        </w:rPr>
      </w:pPr>
    </w:p>
    <w:p w14:paraId="682221B7" w14:textId="77777777" w:rsidR="0051383D" w:rsidRPr="00964BE5" w:rsidRDefault="0051383D" w:rsidP="008E45E1">
      <w:pPr>
        <w:spacing w:after="120"/>
        <w:rPr>
          <w:b/>
          <w:color w:val="244061" w:themeColor="accent1" w:themeShade="80"/>
          <w:szCs w:val="22"/>
        </w:rPr>
      </w:pPr>
      <w:r w:rsidRPr="00964BE5">
        <w:rPr>
          <w:b/>
          <w:color w:val="244061" w:themeColor="accent1" w:themeShade="80"/>
          <w:szCs w:val="22"/>
        </w:rPr>
        <w:t>Domain: The Candidate</w:t>
      </w:r>
      <w:r w:rsidR="00B3306D">
        <w:rPr>
          <w:b/>
          <w:color w:val="244061" w:themeColor="accent1" w:themeShade="80"/>
          <w:szCs w:val="22"/>
        </w:rPr>
        <w:t xml:space="preserve"> (CAN)</w:t>
      </w:r>
    </w:p>
    <w:p w14:paraId="00746ABC" w14:textId="77777777" w:rsidR="009E1914" w:rsidRDefault="002445CB" w:rsidP="008E45E1">
      <w:pPr>
        <w:pStyle w:val="ListParagraph"/>
        <w:numPr>
          <w:ilvl w:val="0"/>
          <w:numId w:val="44"/>
        </w:numPr>
        <w:spacing w:after="120"/>
        <w:contextualSpacing w:val="0"/>
      </w:pPr>
      <w:r>
        <w:t xml:space="preserve">Systems to recruit and admit candidates result in </w:t>
      </w:r>
      <w:r w:rsidR="00AA4AFA">
        <w:t xml:space="preserve">the </w:t>
      </w:r>
      <w:r>
        <w:t xml:space="preserve">increased racial and ethnic diversity </w:t>
      </w:r>
      <w:r w:rsidR="005B5EBF">
        <w:t xml:space="preserve">of completers in </w:t>
      </w:r>
      <w:r>
        <w:t>the workforce</w:t>
      </w:r>
      <w:r w:rsidR="00B401E6">
        <w:t>.</w:t>
      </w:r>
    </w:p>
    <w:p w14:paraId="0D2F6E70" w14:textId="77777777" w:rsidR="009E1914" w:rsidRDefault="00F20669" w:rsidP="008E45E1">
      <w:pPr>
        <w:pStyle w:val="ListParagraph"/>
        <w:numPr>
          <w:ilvl w:val="0"/>
          <w:numId w:val="44"/>
        </w:numPr>
        <w:spacing w:after="120"/>
        <w:contextualSpacing w:val="0"/>
        <w:rPr>
          <w:szCs w:val="22"/>
        </w:rPr>
      </w:pPr>
      <w:r>
        <w:rPr>
          <w:szCs w:val="22"/>
        </w:rPr>
        <w:t xml:space="preserve">Admission criteria and processes are rigorous such that those admitted demonstrate success in the program and during employment in </w:t>
      </w:r>
      <w:r w:rsidR="00AA4AFA">
        <w:rPr>
          <w:szCs w:val="22"/>
        </w:rPr>
        <w:t xml:space="preserve">the </w:t>
      </w:r>
      <w:r>
        <w:rPr>
          <w:szCs w:val="22"/>
        </w:rPr>
        <w:t xml:space="preserve">licensure role. </w:t>
      </w:r>
    </w:p>
    <w:p w14:paraId="6FAC84BE" w14:textId="77777777" w:rsidR="009E1914" w:rsidRDefault="00C403F9" w:rsidP="008E45E1">
      <w:pPr>
        <w:pStyle w:val="ListParagraph"/>
        <w:numPr>
          <w:ilvl w:val="0"/>
          <w:numId w:val="44"/>
        </w:numPr>
        <w:spacing w:after="120"/>
        <w:contextualSpacing w:val="0"/>
        <w:rPr>
          <w:szCs w:val="22"/>
        </w:rPr>
      </w:pPr>
      <w:r>
        <w:rPr>
          <w:szCs w:val="22"/>
        </w:rPr>
        <w:t>C</w:t>
      </w:r>
      <w:r w:rsidR="0051383D" w:rsidRPr="003B0BAC">
        <w:rPr>
          <w:szCs w:val="22"/>
        </w:rPr>
        <w:t>andidates receive effective advising throughout the program</w:t>
      </w:r>
      <w:r>
        <w:rPr>
          <w:szCs w:val="22"/>
        </w:rPr>
        <w:t xml:space="preserve"> (including, but not limited to, being knowledgeable about licensure requirements and career development and placement services that contribute to employment upon completion)</w:t>
      </w:r>
      <w:r w:rsidR="0051383D" w:rsidRPr="003B0BAC">
        <w:rPr>
          <w:szCs w:val="22"/>
        </w:rPr>
        <w:t>.</w:t>
      </w:r>
    </w:p>
    <w:p w14:paraId="486D725C" w14:textId="77777777" w:rsidR="009E1914" w:rsidRDefault="0051383D" w:rsidP="008E45E1">
      <w:pPr>
        <w:pStyle w:val="ListParagraph"/>
        <w:numPr>
          <w:ilvl w:val="0"/>
          <w:numId w:val="44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>Candidates at</w:t>
      </w:r>
      <w:r w:rsidR="00AA4AFA">
        <w:rPr>
          <w:szCs w:val="22"/>
        </w:rPr>
        <w:t xml:space="preserve"> </w:t>
      </w:r>
      <w:r w:rsidRPr="003B0BAC">
        <w:rPr>
          <w:szCs w:val="22"/>
        </w:rPr>
        <w:t xml:space="preserve">risk of not meeting standards are identified </w:t>
      </w:r>
      <w:r w:rsidR="00302279" w:rsidRPr="003B0BAC">
        <w:rPr>
          <w:szCs w:val="22"/>
        </w:rPr>
        <w:t>throughout the program (in pre-practicum, during coursework, and while in practicum) and</w:t>
      </w:r>
      <w:r w:rsidRPr="003B0BAC">
        <w:rPr>
          <w:szCs w:val="22"/>
        </w:rPr>
        <w:t xml:space="preserve"> receive necessary supports and guidance to improve or exit</w:t>
      </w:r>
      <w:r w:rsidR="00E92748">
        <w:rPr>
          <w:szCs w:val="22"/>
        </w:rPr>
        <w:t xml:space="preserve"> the program</w:t>
      </w:r>
      <w:r w:rsidRPr="003B0BAC">
        <w:rPr>
          <w:szCs w:val="22"/>
        </w:rPr>
        <w:t xml:space="preserve">. </w:t>
      </w:r>
    </w:p>
    <w:p w14:paraId="29C902EC" w14:textId="77777777" w:rsidR="009E1914" w:rsidRDefault="0051383D" w:rsidP="008E45E1">
      <w:pPr>
        <w:pStyle w:val="ListParagraph"/>
        <w:numPr>
          <w:ilvl w:val="0"/>
          <w:numId w:val="44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>Waiver policy ensures that academic and professional standards of the licensure role are met.</w:t>
      </w:r>
    </w:p>
    <w:p w14:paraId="1F81E6DC" w14:textId="77777777" w:rsidR="008E45E1" w:rsidRPr="008E45E1" w:rsidRDefault="008E45E1" w:rsidP="008E45E1">
      <w:pPr>
        <w:pStyle w:val="ListParagraph"/>
        <w:contextualSpacing w:val="0"/>
        <w:rPr>
          <w:szCs w:val="22"/>
        </w:rPr>
      </w:pPr>
    </w:p>
    <w:p w14:paraId="55825891" w14:textId="77777777" w:rsidR="0051383D" w:rsidRPr="00964BE5" w:rsidRDefault="0051383D" w:rsidP="008E45E1">
      <w:pPr>
        <w:spacing w:after="120"/>
        <w:rPr>
          <w:color w:val="244061" w:themeColor="accent1" w:themeShade="80"/>
          <w:szCs w:val="22"/>
        </w:rPr>
      </w:pPr>
      <w:r w:rsidRPr="00964BE5">
        <w:rPr>
          <w:b/>
          <w:color w:val="244061" w:themeColor="accent1" w:themeShade="80"/>
          <w:szCs w:val="22"/>
        </w:rPr>
        <w:t>Domain: Field-Based Experiences</w:t>
      </w:r>
      <w:r w:rsidR="00B3306D">
        <w:rPr>
          <w:b/>
          <w:color w:val="244061" w:themeColor="accent1" w:themeShade="80"/>
          <w:szCs w:val="22"/>
        </w:rPr>
        <w:t xml:space="preserve"> (FBE)</w:t>
      </w:r>
    </w:p>
    <w:p w14:paraId="048C99EE" w14:textId="77777777" w:rsidR="009E1914" w:rsidRDefault="0051383D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 xml:space="preserve">Practicum hours meet regulatory requirements as per </w:t>
      </w:r>
      <w:hyperlink r:id="rId14" w:history="1">
        <w:r w:rsidRPr="00691386">
          <w:rPr>
            <w:rStyle w:val="Hyperlink"/>
            <w:szCs w:val="22"/>
          </w:rPr>
          <w:t>603 CMR 7.04 (4)</w:t>
        </w:r>
      </w:hyperlink>
    </w:p>
    <w:p w14:paraId="20F9FE7A" w14:textId="77777777" w:rsidR="009E1914" w:rsidRDefault="0051383D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>District partners are involved in the design, implementation</w:t>
      </w:r>
      <w:r w:rsidR="00AA4AFA">
        <w:rPr>
          <w:szCs w:val="22"/>
        </w:rPr>
        <w:t>,</w:t>
      </w:r>
      <w:r w:rsidRPr="00691386">
        <w:rPr>
          <w:szCs w:val="22"/>
        </w:rPr>
        <w:t xml:space="preserve"> and assessment of field-based experiences.</w:t>
      </w:r>
    </w:p>
    <w:p w14:paraId="31A45EF2" w14:textId="77777777" w:rsidR="009E1914" w:rsidRDefault="0014033A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>Field-based experiences are</w:t>
      </w:r>
      <w:r w:rsidR="007359CD" w:rsidRPr="00691386">
        <w:rPr>
          <w:szCs w:val="22"/>
        </w:rPr>
        <w:t xml:space="preserve"> fully</w:t>
      </w:r>
      <w:r w:rsidRPr="00691386">
        <w:rPr>
          <w:szCs w:val="22"/>
        </w:rPr>
        <w:t xml:space="preserve"> embedded in program coursework such that </w:t>
      </w:r>
      <w:r w:rsidR="007912CE" w:rsidRPr="007912CE">
        <w:rPr>
          <w:szCs w:val="22"/>
        </w:rPr>
        <w:t xml:space="preserve">connections </w:t>
      </w:r>
      <w:r w:rsidR="007912CE">
        <w:rPr>
          <w:szCs w:val="22"/>
        </w:rPr>
        <w:t xml:space="preserve">between theory and practice are explicit. </w:t>
      </w:r>
    </w:p>
    <w:p w14:paraId="09DB2E7A" w14:textId="77777777" w:rsidR="009E1914" w:rsidRDefault="0051383D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>Responsibilities in</w:t>
      </w:r>
      <w:r w:rsidR="005B5EBF">
        <w:rPr>
          <w:szCs w:val="22"/>
        </w:rPr>
        <w:t xml:space="preserve"> </w:t>
      </w:r>
      <w:r w:rsidR="008E45E1">
        <w:rPr>
          <w:szCs w:val="22"/>
        </w:rPr>
        <w:t>pre-practicum and practicum experiences</w:t>
      </w:r>
      <w:r w:rsidRPr="00691386">
        <w:rPr>
          <w:szCs w:val="22"/>
        </w:rPr>
        <w:t xml:space="preserve"> build to candidate readiness for full responsibility in licensure role.</w:t>
      </w:r>
    </w:p>
    <w:p w14:paraId="3892B984" w14:textId="77777777" w:rsidR="009E1914" w:rsidRDefault="0059651D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>
        <w:rPr>
          <w:szCs w:val="22"/>
        </w:rPr>
        <w:t>Sponsoring Organization</w:t>
      </w:r>
      <w:r w:rsidRPr="00691386">
        <w:rPr>
          <w:szCs w:val="22"/>
        </w:rPr>
        <w:t xml:space="preserve"> </w:t>
      </w:r>
      <w:r w:rsidR="00D638D5" w:rsidRPr="00691386">
        <w:rPr>
          <w:szCs w:val="22"/>
        </w:rPr>
        <w:t xml:space="preserve">secures and/or verifies placement(s) that meet regulatory requirements and </w:t>
      </w:r>
      <w:r w:rsidR="00E866D8">
        <w:rPr>
          <w:szCs w:val="22"/>
        </w:rPr>
        <w:t xml:space="preserve">the </w:t>
      </w:r>
      <w:r w:rsidR="00D638D5" w:rsidRPr="00691386">
        <w:rPr>
          <w:szCs w:val="22"/>
        </w:rPr>
        <w:t xml:space="preserve">SO’s expectations </w:t>
      </w:r>
      <w:r w:rsidR="002301CD">
        <w:rPr>
          <w:szCs w:val="22"/>
        </w:rPr>
        <w:t xml:space="preserve">for a high-quality placement </w:t>
      </w:r>
      <w:r w:rsidR="00D638D5" w:rsidRPr="00691386">
        <w:rPr>
          <w:szCs w:val="22"/>
        </w:rPr>
        <w:t xml:space="preserve">for all candidates.  </w:t>
      </w:r>
    </w:p>
    <w:p w14:paraId="6FE3C375" w14:textId="77777777" w:rsidR="009E1914" w:rsidRDefault="00D638D5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>Candidates participate in field-based experiences that cover the full academic year.</w:t>
      </w:r>
    </w:p>
    <w:p w14:paraId="0FCE5CCA" w14:textId="77777777" w:rsidR="009E1914" w:rsidRDefault="00D638D5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 xml:space="preserve">Field-based experiences are in settings with diverse learners (e.g., students from diverse ethnic, racial, gender, socioeconomic, and exceptional groups). </w:t>
      </w:r>
    </w:p>
    <w:p w14:paraId="7ACA5977" w14:textId="77777777" w:rsidR="009E1914" w:rsidRDefault="0051383D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 xml:space="preserve">Supervising Practitioner qualifications meet regulatory requirements set forth in </w:t>
      </w:r>
      <w:hyperlink r:id="rId15" w:history="1">
        <w:r w:rsidRPr="00691386">
          <w:rPr>
            <w:rStyle w:val="Hyperlink"/>
            <w:szCs w:val="22"/>
          </w:rPr>
          <w:t>603 CMR 7.02</w:t>
        </w:r>
      </w:hyperlink>
      <w:r w:rsidRPr="00691386">
        <w:rPr>
          <w:szCs w:val="22"/>
        </w:rPr>
        <w:t xml:space="preserve"> and in </w:t>
      </w:r>
      <w:hyperlink r:id="rId16" w:history="1">
        <w:r w:rsidRPr="00691386">
          <w:rPr>
            <w:rStyle w:val="Hyperlink"/>
            <w:szCs w:val="22"/>
          </w:rPr>
          <w:t xml:space="preserve">Guidelines for Program Approval. </w:t>
        </w:r>
      </w:hyperlink>
      <w:r w:rsidRPr="00691386">
        <w:rPr>
          <w:szCs w:val="22"/>
        </w:rPr>
        <w:t xml:space="preserve"> </w:t>
      </w:r>
    </w:p>
    <w:p w14:paraId="3FD73140" w14:textId="77777777" w:rsidR="009E1914" w:rsidRDefault="00D31605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>Supervising Practitioners and Program Supervisors receive training, support and development from the SO that impacts candidate effectiveness.</w:t>
      </w:r>
    </w:p>
    <w:p w14:paraId="3D894A61" w14:textId="77777777" w:rsidR="009E1914" w:rsidRDefault="00D31605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691386">
        <w:rPr>
          <w:szCs w:val="22"/>
        </w:rPr>
        <w:t>Candidates receive high-quality, targeted feedback during field-based experiences that improves their practice</w:t>
      </w:r>
      <w:r w:rsidR="003B0BAC" w:rsidRPr="00691386">
        <w:rPr>
          <w:szCs w:val="22"/>
        </w:rPr>
        <w:t>.</w:t>
      </w:r>
    </w:p>
    <w:p w14:paraId="56F734D1" w14:textId="77777777" w:rsidR="009E1914" w:rsidRPr="00B304FF" w:rsidRDefault="00D31605" w:rsidP="008E45E1">
      <w:pPr>
        <w:pStyle w:val="ListParagraph"/>
        <w:numPr>
          <w:ilvl w:val="0"/>
          <w:numId w:val="45"/>
        </w:numPr>
        <w:spacing w:after="120"/>
        <w:contextualSpacing w:val="0"/>
        <w:rPr>
          <w:szCs w:val="22"/>
        </w:rPr>
      </w:pPr>
      <w:r w:rsidRPr="00B304FF">
        <w:rPr>
          <w:szCs w:val="22"/>
        </w:rPr>
        <w:lastRenderedPageBreak/>
        <w:t xml:space="preserve">Sponsoring Organization </w:t>
      </w:r>
      <w:r w:rsidR="008E45E1" w:rsidRPr="00B304FF">
        <w:rPr>
          <w:szCs w:val="22"/>
        </w:rPr>
        <w:t>ensures that</w:t>
      </w:r>
      <w:r w:rsidRPr="00B304FF">
        <w:rPr>
          <w:szCs w:val="22"/>
        </w:rPr>
        <w:t xml:space="preserve"> Program Supervisors and Supervising Practitioners </w:t>
      </w:r>
      <w:r w:rsidR="008E45E1" w:rsidRPr="00B304FF">
        <w:rPr>
          <w:szCs w:val="22"/>
        </w:rPr>
        <w:t>are</w:t>
      </w:r>
      <w:r w:rsidRPr="00B304FF">
        <w:rPr>
          <w:szCs w:val="22"/>
        </w:rPr>
        <w:t xml:space="preserve"> </w:t>
      </w:r>
      <w:r w:rsidR="00D638D5" w:rsidRPr="00B304FF">
        <w:rPr>
          <w:szCs w:val="22"/>
        </w:rPr>
        <w:t xml:space="preserve">measurably </w:t>
      </w:r>
      <w:r w:rsidRPr="00B304FF">
        <w:rPr>
          <w:szCs w:val="22"/>
        </w:rPr>
        <w:t xml:space="preserve">contributing to and </w:t>
      </w:r>
      <w:r w:rsidR="00D638D5" w:rsidRPr="00B304FF">
        <w:rPr>
          <w:szCs w:val="22"/>
        </w:rPr>
        <w:t xml:space="preserve">effectively </w:t>
      </w:r>
      <w:r w:rsidRPr="00B304FF">
        <w:rPr>
          <w:szCs w:val="22"/>
        </w:rPr>
        <w:t xml:space="preserve">evaluating </w:t>
      </w:r>
      <w:r w:rsidR="00D638D5" w:rsidRPr="00B304FF">
        <w:rPr>
          <w:szCs w:val="22"/>
        </w:rPr>
        <w:t xml:space="preserve">the readiness of candidates. </w:t>
      </w:r>
    </w:p>
    <w:p w14:paraId="64B21E00" w14:textId="77777777" w:rsidR="000B3FA9" w:rsidRPr="00A65CC5" w:rsidRDefault="00D50722" w:rsidP="00EE60E5">
      <w:pPr>
        <w:pStyle w:val="ListParagraph"/>
        <w:numPr>
          <w:ilvl w:val="0"/>
          <w:numId w:val="45"/>
        </w:numPr>
        <w:spacing w:after="120"/>
        <w:contextualSpacing w:val="0"/>
        <w:rPr>
          <w:b/>
          <w:color w:val="244061" w:themeColor="accent1" w:themeShade="80"/>
          <w:szCs w:val="22"/>
        </w:rPr>
      </w:pPr>
      <w:r w:rsidRPr="00B304FF">
        <w:rPr>
          <w:szCs w:val="22"/>
        </w:rPr>
        <w:t>Candidate</w:t>
      </w:r>
      <w:r>
        <w:rPr>
          <w:szCs w:val="22"/>
        </w:rPr>
        <w:t xml:space="preserve"> readiness for the licensure role is measured using a performance assessment (e.g. Candidate Assessment of Performance)</w:t>
      </w:r>
      <w:r w:rsidR="00EE60E5">
        <w:rPr>
          <w:szCs w:val="22"/>
        </w:rPr>
        <w:t xml:space="preserve"> that is implemented consistently across</w:t>
      </w:r>
      <w:r w:rsidR="000960A7">
        <w:rPr>
          <w:szCs w:val="22"/>
        </w:rPr>
        <w:t>/within</w:t>
      </w:r>
      <w:r w:rsidR="00EE60E5">
        <w:rPr>
          <w:szCs w:val="22"/>
        </w:rPr>
        <w:t xml:space="preserve"> programs and rigorous</w:t>
      </w:r>
      <w:r w:rsidR="00B304FF">
        <w:rPr>
          <w:szCs w:val="22"/>
        </w:rPr>
        <w:t>ly</w:t>
      </w:r>
      <w:r w:rsidR="00EE60E5">
        <w:rPr>
          <w:szCs w:val="22"/>
        </w:rPr>
        <w:t xml:space="preserve"> such that only candidates who are </w:t>
      </w:r>
      <w:r w:rsidR="000B3FA9">
        <w:rPr>
          <w:szCs w:val="22"/>
        </w:rPr>
        <w:t>ready to make a positive impact for PK-12 students in the licensure role complete the program.</w:t>
      </w:r>
    </w:p>
    <w:p w14:paraId="2035CB4E" w14:textId="77777777" w:rsidR="00EE60E5" w:rsidRDefault="00EE60E5" w:rsidP="00EE60E5">
      <w:pPr>
        <w:pStyle w:val="ListParagraph"/>
        <w:spacing w:after="120"/>
        <w:contextualSpacing w:val="0"/>
        <w:rPr>
          <w:b/>
          <w:color w:val="244061" w:themeColor="accent1" w:themeShade="80"/>
          <w:szCs w:val="22"/>
        </w:rPr>
      </w:pPr>
    </w:p>
    <w:p w14:paraId="4AC538FD" w14:textId="77777777" w:rsidR="00D638D5" w:rsidRDefault="0051383D" w:rsidP="008E45E1">
      <w:pPr>
        <w:spacing w:after="120"/>
        <w:rPr>
          <w:b/>
          <w:color w:val="244061" w:themeColor="accent1" w:themeShade="80"/>
          <w:szCs w:val="22"/>
        </w:rPr>
      </w:pPr>
      <w:r w:rsidRPr="00964BE5">
        <w:rPr>
          <w:b/>
          <w:color w:val="244061" w:themeColor="accent1" w:themeShade="80"/>
          <w:szCs w:val="22"/>
        </w:rPr>
        <w:t>Domain: Instruction</w:t>
      </w:r>
      <w:r w:rsidR="00C57861">
        <w:rPr>
          <w:b/>
          <w:color w:val="244061" w:themeColor="accent1" w:themeShade="80"/>
          <w:szCs w:val="22"/>
        </w:rPr>
        <w:t xml:space="preserve"> </w:t>
      </w:r>
      <w:r w:rsidR="00B3306D">
        <w:rPr>
          <w:b/>
          <w:color w:val="244061" w:themeColor="accent1" w:themeShade="80"/>
          <w:szCs w:val="22"/>
        </w:rPr>
        <w:t>(INS)</w:t>
      </w:r>
    </w:p>
    <w:p w14:paraId="0B2830F5" w14:textId="77777777" w:rsidR="00B3306D" w:rsidRDefault="00A617F3" w:rsidP="00284883">
      <w:pPr>
        <w:rPr>
          <w:i/>
          <w:szCs w:val="22"/>
        </w:rPr>
      </w:pPr>
      <w:r>
        <w:rPr>
          <w:i/>
          <w:szCs w:val="22"/>
        </w:rPr>
        <w:t>Sponsoring Organizations</w:t>
      </w:r>
      <w:r w:rsidR="00B3306D">
        <w:rPr>
          <w:i/>
          <w:szCs w:val="22"/>
        </w:rPr>
        <w:t xml:space="preserve"> must monitor individual program efficacy (see CI Domain). For purposes of review, ESE will evaluate the quality of instruction </w:t>
      </w:r>
      <w:r w:rsidR="000960A7">
        <w:rPr>
          <w:i/>
          <w:szCs w:val="22"/>
        </w:rPr>
        <w:t xml:space="preserve">with </w:t>
      </w:r>
      <w:r w:rsidR="00EF256A">
        <w:rPr>
          <w:i/>
          <w:szCs w:val="22"/>
        </w:rPr>
        <w:t xml:space="preserve">aggregated evidence </w:t>
      </w:r>
      <w:r w:rsidR="00B3306D">
        <w:rPr>
          <w:i/>
          <w:szCs w:val="22"/>
        </w:rPr>
        <w:t>for the following programs types: Initial Teacher</w:t>
      </w:r>
      <w:r w:rsidR="00E866D8">
        <w:rPr>
          <w:i/>
          <w:szCs w:val="22"/>
        </w:rPr>
        <w:t xml:space="preserve"> – </w:t>
      </w:r>
      <w:r w:rsidR="00B3306D">
        <w:rPr>
          <w:i/>
          <w:szCs w:val="22"/>
        </w:rPr>
        <w:t>Baccalaureate, Initial Teacher</w:t>
      </w:r>
      <w:r w:rsidR="00E866D8">
        <w:rPr>
          <w:i/>
          <w:szCs w:val="22"/>
        </w:rPr>
        <w:t xml:space="preserve"> – </w:t>
      </w:r>
      <w:r w:rsidR="00B3306D">
        <w:rPr>
          <w:i/>
          <w:szCs w:val="22"/>
        </w:rPr>
        <w:t xml:space="preserve">Post-Baccalaureate, </w:t>
      </w:r>
      <w:r w:rsidR="002C63B5">
        <w:rPr>
          <w:i/>
          <w:szCs w:val="22"/>
        </w:rPr>
        <w:t>Initial Teacher Specialist</w:t>
      </w:r>
      <w:r w:rsidR="00BF2E41">
        <w:rPr>
          <w:i/>
          <w:szCs w:val="22"/>
        </w:rPr>
        <w:t xml:space="preserve"> (e.g., Reading Specialist)</w:t>
      </w:r>
      <w:r w:rsidR="002C63B5">
        <w:rPr>
          <w:i/>
          <w:szCs w:val="22"/>
        </w:rPr>
        <w:t xml:space="preserve">, </w:t>
      </w:r>
      <w:r w:rsidR="00B3306D">
        <w:rPr>
          <w:i/>
          <w:szCs w:val="22"/>
        </w:rPr>
        <w:t>Professional</w:t>
      </w:r>
      <w:r w:rsidR="00A65CC5">
        <w:rPr>
          <w:i/>
          <w:szCs w:val="22"/>
        </w:rPr>
        <w:t>,</w:t>
      </w:r>
      <w:r w:rsidR="00B3306D">
        <w:rPr>
          <w:i/>
          <w:szCs w:val="22"/>
        </w:rPr>
        <w:t xml:space="preserve"> Professional Support Personnel, and Administrative Leadership. </w:t>
      </w:r>
    </w:p>
    <w:p w14:paraId="1FEAE1D3" w14:textId="77777777" w:rsidR="00B3306D" w:rsidRDefault="00B3306D" w:rsidP="00284883">
      <w:pPr>
        <w:rPr>
          <w:i/>
          <w:szCs w:val="22"/>
        </w:rPr>
      </w:pPr>
    </w:p>
    <w:p w14:paraId="10E625AF" w14:textId="77777777" w:rsidR="00132E78" w:rsidRDefault="00132E78" w:rsidP="008E45E1">
      <w:pPr>
        <w:spacing w:after="120"/>
        <w:rPr>
          <w:i/>
          <w:szCs w:val="22"/>
        </w:rPr>
      </w:pPr>
      <w:r>
        <w:rPr>
          <w:i/>
          <w:szCs w:val="22"/>
        </w:rPr>
        <w:t>Outcome Criteria:</w:t>
      </w:r>
    </w:p>
    <w:p w14:paraId="68406FBB" w14:textId="77777777" w:rsidR="009E1914" w:rsidRPr="002301CD" w:rsidRDefault="008E45E1" w:rsidP="008E45E1">
      <w:pPr>
        <w:pStyle w:val="ListParagraph"/>
        <w:numPr>
          <w:ilvl w:val="0"/>
          <w:numId w:val="46"/>
        </w:numPr>
        <w:spacing w:after="120"/>
        <w:contextualSpacing w:val="0"/>
        <w:rPr>
          <w:szCs w:val="22"/>
        </w:rPr>
      </w:pPr>
      <w:r>
        <w:rPr>
          <w:szCs w:val="22"/>
        </w:rPr>
        <w:t>Completers</w:t>
      </w:r>
      <w:r w:rsidR="00E111B2" w:rsidRPr="002301CD">
        <w:rPr>
          <w:szCs w:val="22"/>
        </w:rPr>
        <w:t xml:space="preserve"> </w:t>
      </w:r>
      <w:r w:rsidR="00B3306D" w:rsidRPr="002301CD">
        <w:rPr>
          <w:szCs w:val="22"/>
        </w:rPr>
        <w:t>have the content knowledge</w:t>
      </w:r>
      <w:r w:rsidR="00132E78" w:rsidRPr="002301CD">
        <w:rPr>
          <w:szCs w:val="22"/>
        </w:rPr>
        <w:t xml:space="preserve"> (SMK) </w:t>
      </w:r>
      <w:r w:rsidR="00B3306D" w:rsidRPr="002301CD">
        <w:rPr>
          <w:szCs w:val="22"/>
        </w:rPr>
        <w:t xml:space="preserve">to be effective in the licensure role. </w:t>
      </w:r>
      <w:r w:rsidR="00852261">
        <w:rPr>
          <w:i/>
          <w:szCs w:val="22"/>
        </w:rPr>
        <w:t xml:space="preserve">For </w:t>
      </w:r>
      <w:r w:rsidR="005F4E58">
        <w:rPr>
          <w:i/>
          <w:szCs w:val="22"/>
        </w:rPr>
        <w:t>P</w:t>
      </w:r>
      <w:r w:rsidR="00852261">
        <w:rPr>
          <w:i/>
          <w:szCs w:val="22"/>
        </w:rPr>
        <w:t xml:space="preserve">rofessional licensure programs: </w:t>
      </w:r>
      <w:r w:rsidR="00852261" w:rsidRPr="00147474">
        <w:rPr>
          <w:szCs w:val="22"/>
        </w:rPr>
        <w:t xml:space="preserve">Completers have deeper content knowledge that makes them more effective in the licensure role. </w:t>
      </w:r>
    </w:p>
    <w:p w14:paraId="0B0B4BE1" w14:textId="77777777" w:rsidR="009E1914" w:rsidRPr="002301CD" w:rsidRDefault="008E45E1" w:rsidP="008E45E1">
      <w:pPr>
        <w:pStyle w:val="ListParagraph"/>
        <w:numPr>
          <w:ilvl w:val="0"/>
          <w:numId w:val="46"/>
        </w:numPr>
        <w:spacing w:after="120"/>
        <w:contextualSpacing w:val="0"/>
        <w:rPr>
          <w:szCs w:val="22"/>
        </w:rPr>
      </w:pPr>
      <w:r>
        <w:rPr>
          <w:szCs w:val="22"/>
        </w:rPr>
        <w:t>Completers</w:t>
      </w:r>
      <w:r w:rsidR="00B3306D" w:rsidRPr="002301CD">
        <w:rPr>
          <w:szCs w:val="22"/>
        </w:rPr>
        <w:t xml:space="preserve"> have the </w:t>
      </w:r>
      <w:r w:rsidR="00132E78" w:rsidRPr="002301CD">
        <w:rPr>
          <w:szCs w:val="22"/>
        </w:rPr>
        <w:t>pedagogical skills (PST/PS</w:t>
      </w:r>
      <w:r w:rsidR="002C63B5">
        <w:rPr>
          <w:szCs w:val="22"/>
        </w:rPr>
        <w:t>AL</w:t>
      </w:r>
      <w:r w:rsidR="00132E78" w:rsidRPr="002301CD">
        <w:rPr>
          <w:szCs w:val="22"/>
        </w:rPr>
        <w:t xml:space="preserve">) to be effective in the licensure role. </w:t>
      </w:r>
      <w:r w:rsidR="00852261">
        <w:rPr>
          <w:i/>
          <w:szCs w:val="22"/>
        </w:rPr>
        <w:t xml:space="preserve">For </w:t>
      </w:r>
      <w:r w:rsidR="007D5549">
        <w:rPr>
          <w:i/>
          <w:szCs w:val="22"/>
        </w:rPr>
        <w:t>P</w:t>
      </w:r>
      <w:r w:rsidR="00852261">
        <w:rPr>
          <w:i/>
          <w:szCs w:val="22"/>
        </w:rPr>
        <w:t xml:space="preserve">rofessional licensure programs: </w:t>
      </w:r>
      <w:r w:rsidR="00852261" w:rsidRPr="00147474">
        <w:rPr>
          <w:szCs w:val="22"/>
        </w:rPr>
        <w:t>Completers have increased pedagogical skill that makes them more effective in the licensure role.</w:t>
      </w:r>
    </w:p>
    <w:p w14:paraId="4B6A9C47" w14:textId="77777777" w:rsidR="009E1914" w:rsidRPr="002301CD" w:rsidRDefault="00132E78" w:rsidP="00284883">
      <w:pPr>
        <w:pStyle w:val="ListParagraph"/>
        <w:numPr>
          <w:ilvl w:val="0"/>
          <w:numId w:val="46"/>
        </w:numPr>
        <w:contextualSpacing w:val="0"/>
        <w:rPr>
          <w:szCs w:val="22"/>
        </w:rPr>
      </w:pPr>
      <w:r w:rsidRPr="002301CD">
        <w:rPr>
          <w:szCs w:val="22"/>
        </w:rPr>
        <w:t xml:space="preserve">Completers have a positive impact on </w:t>
      </w:r>
      <w:r w:rsidR="002301CD">
        <w:rPr>
          <w:szCs w:val="22"/>
        </w:rPr>
        <w:t xml:space="preserve">outcomes for </w:t>
      </w:r>
      <w:r w:rsidRPr="002301CD">
        <w:rPr>
          <w:szCs w:val="22"/>
        </w:rPr>
        <w:t>PK-12 students</w:t>
      </w:r>
      <w:r w:rsidR="00852261">
        <w:rPr>
          <w:szCs w:val="22"/>
        </w:rPr>
        <w:t xml:space="preserve">. </w:t>
      </w:r>
      <w:r w:rsidR="00852261">
        <w:rPr>
          <w:i/>
          <w:szCs w:val="22"/>
        </w:rPr>
        <w:t xml:space="preserve">For </w:t>
      </w:r>
      <w:r w:rsidR="007D5549">
        <w:rPr>
          <w:i/>
          <w:szCs w:val="22"/>
        </w:rPr>
        <w:t>P</w:t>
      </w:r>
      <w:r w:rsidR="00852261">
        <w:rPr>
          <w:i/>
          <w:szCs w:val="22"/>
        </w:rPr>
        <w:t xml:space="preserve">rofessional licensure programs: </w:t>
      </w:r>
      <w:r w:rsidR="00852261" w:rsidRPr="00147474">
        <w:rPr>
          <w:szCs w:val="22"/>
        </w:rPr>
        <w:t>Completers have an increasingly positive impact on outcomes for PK-12 students.</w:t>
      </w:r>
    </w:p>
    <w:p w14:paraId="53FA29B5" w14:textId="77777777" w:rsidR="00132E78" w:rsidRDefault="00132E78" w:rsidP="00284883">
      <w:pPr>
        <w:rPr>
          <w:b/>
          <w:color w:val="E36C0A" w:themeColor="accent6" w:themeShade="BF"/>
          <w:szCs w:val="22"/>
        </w:rPr>
      </w:pPr>
    </w:p>
    <w:p w14:paraId="3F1EDD65" w14:textId="77777777" w:rsidR="00132E78" w:rsidRPr="00132E78" w:rsidRDefault="00132E78" w:rsidP="008E45E1">
      <w:pPr>
        <w:spacing w:after="120"/>
        <w:rPr>
          <w:i/>
          <w:szCs w:val="22"/>
        </w:rPr>
      </w:pPr>
      <w:r>
        <w:rPr>
          <w:i/>
          <w:szCs w:val="22"/>
        </w:rPr>
        <w:t>Supporting (Input) Criteria:</w:t>
      </w:r>
    </w:p>
    <w:p w14:paraId="1E2040F6" w14:textId="77777777" w:rsidR="00C67998" w:rsidRPr="002301CD" w:rsidRDefault="00C67998" w:rsidP="008E45E1">
      <w:pPr>
        <w:pStyle w:val="ListParagraph"/>
        <w:numPr>
          <w:ilvl w:val="0"/>
          <w:numId w:val="47"/>
        </w:numPr>
        <w:spacing w:after="120"/>
        <w:contextualSpacing w:val="0"/>
        <w:rPr>
          <w:szCs w:val="22"/>
        </w:rPr>
      </w:pPr>
      <w:r w:rsidRPr="002301CD">
        <w:rPr>
          <w:szCs w:val="22"/>
        </w:rPr>
        <w:t>Program</w:t>
      </w:r>
      <w:r w:rsidR="00827131">
        <w:rPr>
          <w:szCs w:val="22"/>
        </w:rPr>
        <w:t>(s)</w:t>
      </w:r>
      <w:r w:rsidRPr="002301CD">
        <w:rPr>
          <w:szCs w:val="22"/>
        </w:rPr>
        <w:t xml:space="preserve"> of Study is sequenced to support the increased depth of skills and knowledge acquired and applied over time.</w:t>
      </w:r>
    </w:p>
    <w:p w14:paraId="5668EBF7" w14:textId="77777777" w:rsidR="0051383D" w:rsidRPr="002301CD" w:rsidRDefault="00377664" w:rsidP="008E45E1">
      <w:pPr>
        <w:pStyle w:val="ListParagraph"/>
        <w:numPr>
          <w:ilvl w:val="0"/>
          <w:numId w:val="47"/>
        </w:numPr>
        <w:spacing w:after="120"/>
        <w:contextualSpacing w:val="0"/>
        <w:rPr>
          <w:szCs w:val="22"/>
        </w:rPr>
      </w:pPr>
      <w:r w:rsidRPr="002301CD">
        <w:rPr>
          <w:szCs w:val="22"/>
        </w:rPr>
        <w:t>P</w:t>
      </w:r>
      <w:r w:rsidR="0051383D" w:rsidRPr="002301CD">
        <w:rPr>
          <w:szCs w:val="22"/>
        </w:rPr>
        <w:t>rogram design</w:t>
      </w:r>
      <w:r w:rsidRPr="002301CD">
        <w:rPr>
          <w:szCs w:val="22"/>
        </w:rPr>
        <w:t xml:space="preserve"> results in a coherent program of study </w:t>
      </w:r>
      <w:r w:rsidR="0051383D" w:rsidRPr="002301CD">
        <w:rPr>
          <w:szCs w:val="22"/>
        </w:rPr>
        <w:t xml:space="preserve">such that connections among and between courses </w:t>
      </w:r>
      <w:r w:rsidRPr="002301CD">
        <w:rPr>
          <w:szCs w:val="22"/>
        </w:rPr>
        <w:t>are</w:t>
      </w:r>
      <w:r w:rsidR="0051383D" w:rsidRPr="002301CD">
        <w:rPr>
          <w:szCs w:val="22"/>
        </w:rPr>
        <w:t xml:space="preserve"> evident.</w:t>
      </w:r>
    </w:p>
    <w:p w14:paraId="12315154" w14:textId="77777777" w:rsidR="0051383D" w:rsidRPr="002301CD" w:rsidRDefault="0051383D" w:rsidP="008E45E1">
      <w:pPr>
        <w:pStyle w:val="ListParagraph"/>
        <w:numPr>
          <w:ilvl w:val="0"/>
          <w:numId w:val="47"/>
        </w:numPr>
        <w:spacing w:after="120"/>
        <w:contextualSpacing w:val="0"/>
        <w:rPr>
          <w:szCs w:val="22"/>
        </w:rPr>
      </w:pPr>
      <w:r w:rsidRPr="002301CD">
        <w:rPr>
          <w:szCs w:val="22"/>
        </w:rPr>
        <w:t>Content is differentiated by subject area and level of licensure.</w:t>
      </w:r>
    </w:p>
    <w:p w14:paraId="0909BAE4" w14:textId="77777777" w:rsidR="0051383D" w:rsidRPr="002301CD" w:rsidRDefault="0051383D" w:rsidP="008E45E1">
      <w:pPr>
        <w:pStyle w:val="ListParagraph"/>
        <w:numPr>
          <w:ilvl w:val="0"/>
          <w:numId w:val="47"/>
        </w:numPr>
        <w:spacing w:after="120"/>
        <w:contextualSpacing w:val="0"/>
        <w:rPr>
          <w:szCs w:val="22"/>
        </w:rPr>
      </w:pPr>
      <w:r w:rsidRPr="002301CD">
        <w:rPr>
          <w:szCs w:val="22"/>
        </w:rPr>
        <w:t>Content delivery is calibrated for consistency within programs (e.g. different instructors of same course, in satellites, online, etc.).</w:t>
      </w:r>
    </w:p>
    <w:p w14:paraId="55537938" w14:textId="77777777" w:rsidR="009E1914" w:rsidRDefault="0051383D" w:rsidP="008E45E1">
      <w:pPr>
        <w:pStyle w:val="ListParagraph"/>
        <w:numPr>
          <w:ilvl w:val="0"/>
          <w:numId w:val="47"/>
        </w:numPr>
        <w:spacing w:after="120"/>
        <w:contextualSpacing w:val="0"/>
        <w:rPr>
          <w:szCs w:val="22"/>
        </w:rPr>
      </w:pPr>
      <w:r w:rsidRPr="002301CD">
        <w:rPr>
          <w:szCs w:val="22"/>
        </w:rPr>
        <w:t>Faculty</w:t>
      </w:r>
      <w:r w:rsidR="00722C26" w:rsidRPr="002301CD">
        <w:rPr>
          <w:szCs w:val="22"/>
        </w:rPr>
        <w:t>/instructors</w:t>
      </w:r>
      <w:r w:rsidRPr="003B0BAC">
        <w:rPr>
          <w:szCs w:val="22"/>
        </w:rPr>
        <w:t xml:space="preserve"> model effective pedagogical and content practices of discipline</w:t>
      </w:r>
      <w:r w:rsidR="00C67998">
        <w:rPr>
          <w:szCs w:val="22"/>
        </w:rPr>
        <w:t xml:space="preserve"> (including </w:t>
      </w:r>
      <w:r w:rsidR="00EF256A">
        <w:rPr>
          <w:szCs w:val="22"/>
        </w:rPr>
        <w:t xml:space="preserve">strategies </w:t>
      </w:r>
      <w:r w:rsidR="004E2461">
        <w:rPr>
          <w:szCs w:val="22"/>
        </w:rPr>
        <w:t>to meet the needs of diverse learners).</w:t>
      </w:r>
      <w:r w:rsidR="004E2461" w:rsidRPr="003B0BAC" w:rsidDel="00C67998">
        <w:rPr>
          <w:szCs w:val="22"/>
        </w:rPr>
        <w:t xml:space="preserve"> </w:t>
      </w:r>
    </w:p>
    <w:p w14:paraId="7E5E429D" w14:textId="77777777" w:rsidR="009E1914" w:rsidRDefault="0051383D" w:rsidP="008E45E1">
      <w:pPr>
        <w:pStyle w:val="ListParagraph"/>
        <w:numPr>
          <w:ilvl w:val="0"/>
          <w:numId w:val="47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>Faculty</w:t>
      </w:r>
      <w:r w:rsidR="00E42BE3">
        <w:rPr>
          <w:szCs w:val="22"/>
        </w:rPr>
        <w:t>/instructors</w:t>
      </w:r>
      <w:r w:rsidRPr="003B0BAC">
        <w:rPr>
          <w:szCs w:val="22"/>
        </w:rPr>
        <w:t xml:space="preserve"> use formative and summative assessment data to target areas of candidate need.</w:t>
      </w:r>
    </w:p>
    <w:p w14:paraId="012E891C" w14:textId="77777777" w:rsidR="0051383D" w:rsidRPr="003B0BAC" w:rsidRDefault="0051383D" w:rsidP="008E45E1">
      <w:pPr>
        <w:pStyle w:val="ListParagraph"/>
        <w:numPr>
          <w:ilvl w:val="0"/>
          <w:numId w:val="47"/>
        </w:numPr>
        <w:spacing w:after="120"/>
        <w:contextualSpacing w:val="0"/>
        <w:rPr>
          <w:szCs w:val="22"/>
        </w:rPr>
      </w:pPr>
      <w:r w:rsidRPr="003B0BAC">
        <w:rPr>
          <w:szCs w:val="22"/>
        </w:rPr>
        <w:t xml:space="preserve">Candidates receive targeted feedback </w:t>
      </w:r>
      <w:r w:rsidR="00C67998">
        <w:rPr>
          <w:szCs w:val="22"/>
        </w:rPr>
        <w:t>from faculty/instructors in coursework</w:t>
      </w:r>
      <w:r w:rsidRPr="003B0BAC">
        <w:rPr>
          <w:szCs w:val="22"/>
        </w:rPr>
        <w:t xml:space="preserve"> that improves their practice. </w:t>
      </w:r>
    </w:p>
    <w:p w14:paraId="714EA540" w14:textId="77777777" w:rsidR="00D85B5C" w:rsidRPr="003B0BAC" w:rsidRDefault="00D85B5C" w:rsidP="008E45E1">
      <w:pPr>
        <w:spacing w:after="120"/>
        <w:rPr>
          <w:szCs w:val="22"/>
        </w:rPr>
      </w:pPr>
    </w:p>
    <w:sectPr w:rsidR="00D85B5C" w:rsidRPr="003B0BAC" w:rsidSect="007268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33" w:right="1080" w:bottom="117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49069" w14:textId="77777777" w:rsidR="00A816D8" w:rsidRDefault="00A816D8" w:rsidP="00B6602D">
      <w:r>
        <w:separator/>
      </w:r>
    </w:p>
  </w:endnote>
  <w:endnote w:type="continuationSeparator" w:id="0">
    <w:p w14:paraId="501BEB77" w14:textId="77777777" w:rsidR="00A816D8" w:rsidRDefault="00A816D8" w:rsidP="00B6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9D4D" w14:textId="77777777" w:rsidR="00E367D6" w:rsidRDefault="00E36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6AA3E" w14:textId="77777777" w:rsidR="00BF2E41" w:rsidRDefault="0010023B" w:rsidP="00B6602D">
    <w:pPr>
      <w:pStyle w:val="Footer"/>
      <w:jc w:val="right"/>
    </w:pP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1ED5B33" wp14:editId="79D08007">
              <wp:simplePos x="0" y="0"/>
              <wp:positionH relativeFrom="column">
                <wp:posOffset>866775</wp:posOffset>
              </wp:positionH>
              <wp:positionV relativeFrom="paragraph">
                <wp:posOffset>218439</wp:posOffset>
              </wp:positionV>
              <wp:extent cx="5695950" cy="0"/>
              <wp:effectExtent l="0" t="0" r="0" b="0"/>
              <wp:wrapNone/>
              <wp:docPr id="1" name="AutoShape 1" descr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E6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horizontal line" style="position:absolute;margin-left:68.25pt;margin-top:17.2pt;width:448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4ZRgIAAI0EAAAOAAAAZHJzL2Uyb0RvYy54bWysVMFu2zAMvQ/YPwi+J7azOG2MOkVhJ7t0&#10;W4F2H6BIcixMFgVJiZMN+/dRchK022UYdpElSnzkIx99d3/sFTkI6yToKsmnWUKEZsCl3lXJ15fN&#10;5DYhzlPNqQItquQkXHK/ev/ubjClmEEHigtLEES7cjBV0nlvyjR1rBM9dVMwQuNlC7anHo92l3JL&#10;B0TvVTrLskU6gOXGAhPOobUZL5NVxG9bwfyXtnXCE1UlmJuPq43rNqzp6o6WO0tNJ9k5DfoPWfRU&#10;agx6hWqop2Rv5R9QvWQWHLR+yqBPoW0lE5EDssmz39g8d9SIyAWL48y1TO7/wbLPhydLJMfeJUTT&#10;Hlv0sPcQIxM0ceEYlqsDK7+D9lQRJbUIZRuMK9G71k82EGdH/WwegX1zREPdUb0TEeTlZBAzDx7p&#10;G5dwcAaDb4dPwPENxbixhsfW9gESq0OOsVWna6vE0ROGxmKxLJYFdpRd7lJaXhyNdf6jgJ6ETZU4&#10;b6ncdb4GrVEQYPMYhh4enQ9p0fLiEKJq2Eiloi6UJkOVLItZER0cKMnDZXgWFSpqZcmBorYoY0L7&#10;EVjte2Q02m+KLDurDM2oxdEcTRj4ihLTeBPAwl7zmEYnKF+f955KNe7RW+mQCZYEiZx3o+h+LLPl&#10;+nZ9O5/MZ4v1ZJ41zeRhU88ni01+UzQfmrpu8p+BVD4vO8m50IHXZQDy+d8J7DyKo3SvI3AtYPoW&#10;PVLEZC/fmHTURJDBKKgt8NOTvWgFNR8fn+czDNXrM+5f/0VWvwAAAP//AwBQSwMEFAAGAAgAAAAh&#10;ABWlg6jfAAAACgEAAA8AAABkcnMvZG93bnJldi54bWxMj0FLw0AQhe+C/2EZwUuxG91aSsymqKgU&#10;BMHYQ4/b7JiEZmdDdtOk/94pHvT43ny8eS9bT64VR+xD40nD7TwBgVR621ClYfv1erMCEaIha1pP&#10;qOGEAdb55UVmUutH+sRjESvBIRRSo6GOsUulDGWNzoS575D49u17ZyLLvpK2NyOHu1beJclSOtMQ&#10;f6hNh881lodicBo2s0O528mXYvb+MZ3eGoWbp3HQ+vpqenwAEXGKfzCc63N1yLnT3g9kg2hZq+U9&#10;oxrUYgHiDCRKsbP/dWSeyf8T8h8AAAD//wMAUEsBAi0AFAAGAAgAAAAhALaDOJL+AAAA4QEAABMA&#10;AAAAAAAAAAAAAAAAAAAAAFtDb250ZW50X1R5cGVzXS54bWxQSwECLQAUAAYACAAAACEAOP0h/9YA&#10;AACUAQAACwAAAAAAAAAAAAAAAAAvAQAAX3JlbHMvLnJlbHNQSwECLQAUAAYACAAAACEA5auuGUYC&#10;AACNBAAADgAAAAAAAAAAAAAAAAAuAgAAZHJzL2Uyb0RvYy54bWxQSwECLQAUAAYACAAAACEAFaWD&#10;qN8AAAAKAQAADwAAAAAAAAAAAAAAAACgBAAAZHJzL2Rvd25yZXYueG1sUEsFBgAAAAAEAAQA8wAA&#10;AKwFAAAAAA==&#10;" strokecolor="#365f91 [2404]"/>
          </w:pict>
        </mc:Fallback>
      </mc:AlternateContent>
    </w:r>
    <w:r w:rsidR="00BF2E41"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4ECC77D7" wp14:editId="151E5125">
          <wp:simplePos x="0" y="0"/>
          <wp:positionH relativeFrom="column">
            <wp:posOffset>-285750</wp:posOffset>
          </wp:positionH>
          <wp:positionV relativeFrom="paragraph">
            <wp:posOffset>-191135</wp:posOffset>
          </wp:positionV>
          <wp:extent cx="1096645" cy="533400"/>
          <wp:effectExtent l="19050" t="0" r="8255" b="0"/>
          <wp:wrapNone/>
          <wp:docPr id="2" name="Picture 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achusetts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2E41">
      <w:t xml:space="preserve">Educator Preparation Review                                                                   </w:t>
    </w:r>
    <w:r w:rsidR="00E00DE9">
      <w:fldChar w:fldCharType="begin"/>
    </w:r>
    <w:r w:rsidR="00BF2E41">
      <w:instrText xml:space="preserve"> PAGE   \* MERGEFORMAT </w:instrText>
    </w:r>
    <w:r w:rsidR="00E00DE9">
      <w:fldChar w:fldCharType="separate"/>
    </w:r>
    <w:r w:rsidR="00E41D3E">
      <w:rPr>
        <w:noProof/>
      </w:rPr>
      <w:t>2</w:t>
    </w:r>
    <w:r w:rsidR="00E00DE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60871" w14:textId="77777777" w:rsidR="00E367D6" w:rsidRDefault="00E3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7D49" w14:textId="77777777" w:rsidR="00A816D8" w:rsidRDefault="00A816D8" w:rsidP="00B6602D">
      <w:r>
        <w:separator/>
      </w:r>
    </w:p>
  </w:footnote>
  <w:footnote w:type="continuationSeparator" w:id="0">
    <w:p w14:paraId="051E5E68" w14:textId="77777777" w:rsidR="00A816D8" w:rsidRDefault="00A816D8" w:rsidP="00B6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13488" w14:textId="77777777" w:rsidR="00E367D6" w:rsidRDefault="00E36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5F20" w14:textId="77777777" w:rsidR="00BF2E41" w:rsidRDefault="00BF2E41">
    <w:pPr>
      <w:pStyle w:val="Header"/>
      <w:tabs>
        <w:tab w:val="clear" w:pos="4680"/>
        <w:tab w:val="clear" w:pos="9360"/>
        <w:tab w:val="left" w:pos="2467"/>
      </w:tabs>
      <w:jc w:val="center"/>
      <w:rPr>
        <w:sz w:val="18"/>
        <w:szCs w:val="2"/>
      </w:rPr>
    </w:pPr>
    <w:r w:rsidRPr="00E111B2">
      <w:rPr>
        <w:b/>
        <w:color w:val="E36C0A" w:themeColor="accent6" w:themeShade="BF"/>
      </w:rPr>
      <w:t>Program Approval Criteria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68" w:type="dxa"/>
      <w:tblBorders>
        <w:bottom w:val="single" w:sz="12" w:space="0" w:color="154786"/>
      </w:tblBorders>
      <w:tblLook w:val="04A0" w:firstRow="1" w:lastRow="0" w:firstColumn="1" w:lastColumn="0" w:noHBand="0" w:noVBand="1"/>
      <w:tblDescription w:val="Educator Preparation &#10;Program Approval Criteria List  &#10;&#10;Success After High School Logo"/>
    </w:tblPr>
    <w:tblGrid>
      <w:gridCol w:w="6462"/>
      <w:gridCol w:w="3906"/>
    </w:tblGrid>
    <w:tr w:rsidR="00BF2E41" w:rsidRPr="000962EA" w14:paraId="6843701B" w14:textId="77777777" w:rsidTr="00B61772">
      <w:trPr>
        <w:trHeight w:val="1350"/>
        <w:tblHeader/>
      </w:trPr>
      <w:tc>
        <w:tcPr>
          <w:tcW w:w="6462" w:type="dxa"/>
          <w:shd w:val="clear" w:color="auto" w:fill="FFFFFF"/>
          <w:vAlign w:val="center"/>
        </w:tcPr>
        <w:p w14:paraId="6B13050A" w14:textId="77777777" w:rsidR="00BF2E41" w:rsidRPr="000962EA" w:rsidRDefault="00BF2E41" w:rsidP="00323179">
          <w:pPr>
            <w:pStyle w:val="Header"/>
            <w:rPr>
              <w:color w:val="1F497D" w:themeColor="text2"/>
              <w:sz w:val="48"/>
            </w:rPr>
          </w:pPr>
          <w:bookmarkStart w:id="0" w:name="_GoBack"/>
          <w:r w:rsidRPr="000962EA">
            <w:rPr>
              <w:color w:val="1F497D" w:themeColor="text2"/>
              <w:sz w:val="48"/>
            </w:rPr>
            <w:t xml:space="preserve">Educator Preparation </w:t>
          </w:r>
        </w:p>
        <w:p w14:paraId="53B535C9" w14:textId="77777777" w:rsidR="00BF2E41" w:rsidRPr="000962EA" w:rsidRDefault="00BF2E41" w:rsidP="00323179">
          <w:pPr>
            <w:pStyle w:val="Header"/>
            <w:rPr>
              <w:b/>
              <w:color w:val="E36C0A" w:themeColor="accent6" w:themeShade="BF"/>
            </w:rPr>
          </w:pPr>
          <w:r w:rsidRPr="000962EA">
            <w:rPr>
              <w:b/>
              <w:color w:val="E36C0A" w:themeColor="accent6" w:themeShade="BF"/>
              <w:sz w:val="28"/>
            </w:rPr>
            <w:t>Program Approval Criteria List</w:t>
          </w:r>
          <w:bookmarkEnd w:id="0"/>
        </w:p>
      </w:tc>
      <w:tc>
        <w:tcPr>
          <w:tcW w:w="3906" w:type="dxa"/>
        </w:tcPr>
        <w:p w14:paraId="69DD4240" w14:textId="77777777" w:rsidR="00BF2E41" w:rsidRPr="000962EA" w:rsidRDefault="00BF2E41" w:rsidP="00323179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471BAA58" wp14:editId="0B62CAC3">
                <wp:extent cx="2027555" cy="826770"/>
                <wp:effectExtent l="0" t="0" r="0" b="0"/>
                <wp:docPr id="5" name="Picture 4" descr="Success After High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7500" b="9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55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30BA5C" w14:textId="77777777" w:rsidR="00BF2E41" w:rsidRDefault="00BF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005"/>
    <w:multiLevelType w:val="hybridMultilevel"/>
    <w:tmpl w:val="CAE8C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C560C"/>
    <w:multiLevelType w:val="hybridMultilevel"/>
    <w:tmpl w:val="38B023D6"/>
    <w:lvl w:ilvl="0" w:tplc="F970F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2923"/>
    <w:multiLevelType w:val="hybridMultilevel"/>
    <w:tmpl w:val="A07E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876"/>
    <w:multiLevelType w:val="hybridMultilevel"/>
    <w:tmpl w:val="F0A4844A"/>
    <w:lvl w:ilvl="0" w:tplc="43CEC3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F2D3B"/>
    <w:multiLevelType w:val="hybridMultilevel"/>
    <w:tmpl w:val="EC2C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1B01"/>
    <w:multiLevelType w:val="hybridMultilevel"/>
    <w:tmpl w:val="32C2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7D81"/>
    <w:multiLevelType w:val="hybridMultilevel"/>
    <w:tmpl w:val="226C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63624"/>
    <w:multiLevelType w:val="hybridMultilevel"/>
    <w:tmpl w:val="A0A0C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D3DEF"/>
    <w:multiLevelType w:val="hybridMultilevel"/>
    <w:tmpl w:val="A07E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00FD"/>
    <w:multiLevelType w:val="hybridMultilevel"/>
    <w:tmpl w:val="4A68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74315"/>
    <w:multiLevelType w:val="hybridMultilevel"/>
    <w:tmpl w:val="4A565AC0"/>
    <w:lvl w:ilvl="0" w:tplc="DA00A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C2EEB"/>
    <w:multiLevelType w:val="hybridMultilevel"/>
    <w:tmpl w:val="F9DE8290"/>
    <w:lvl w:ilvl="0" w:tplc="C3226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696019"/>
    <w:multiLevelType w:val="hybridMultilevel"/>
    <w:tmpl w:val="E9B2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14AFE"/>
    <w:multiLevelType w:val="hybridMultilevel"/>
    <w:tmpl w:val="84AA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12AB5"/>
    <w:multiLevelType w:val="hybridMultilevel"/>
    <w:tmpl w:val="F3F2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5092"/>
    <w:multiLevelType w:val="hybridMultilevel"/>
    <w:tmpl w:val="6704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814"/>
    <w:multiLevelType w:val="hybridMultilevel"/>
    <w:tmpl w:val="78FE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D398E"/>
    <w:multiLevelType w:val="hybridMultilevel"/>
    <w:tmpl w:val="71D68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B808C0"/>
    <w:multiLevelType w:val="hybridMultilevel"/>
    <w:tmpl w:val="99B2F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55042"/>
    <w:multiLevelType w:val="hybridMultilevel"/>
    <w:tmpl w:val="3070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63E5B"/>
    <w:multiLevelType w:val="hybridMultilevel"/>
    <w:tmpl w:val="C7CC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80925"/>
    <w:multiLevelType w:val="hybridMultilevel"/>
    <w:tmpl w:val="DE7C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11CAD"/>
    <w:multiLevelType w:val="hybridMultilevel"/>
    <w:tmpl w:val="1F16DA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725F6F"/>
    <w:multiLevelType w:val="hybridMultilevel"/>
    <w:tmpl w:val="BFD85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80B4A"/>
    <w:multiLevelType w:val="hybridMultilevel"/>
    <w:tmpl w:val="68E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63428"/>
    <w:multiLevelType w:val="hybridMultilevel"/>
    <w:tmpl w:val="38C6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E7835"/>
    <w:multiLevelType w:val="hybridMultilevel"/>
    <w:tmpl w:val="9C8E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37CB1"/>
    <w:multiLevelType w:val="hybridMultilevel"/>
    <w:tmpl w:val="A5A6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E557B"/>
    <w:multiLevelType w:val="hybridMultilevel"/>
    <w:tmpl w:val="2946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50234"/>
    <w:multiLevelType w:val="hybridMultilevel"/>
    <w:tmpl w:val="97EA8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9E2482"/>
    <w:multiLevelType w:val="hybridMultilevel"/>
    <w:tmpl w:val="F16C6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191A99"/>
    <w:multiLevelType w:val="hybridMultilevel"/>
    <w:tmpl w:val="398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D2A79"/>
    <w:multiLevelType w:val="hybridMultilevel"/>
    <w:tmpl w:val="426A5B1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AF9437B"/>
    <w:multiLevelType w:val="hybridMultilevel"/>
    <w:tmpl w:val="89F88C2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B1B7E"/>
    <w:multiLevelType w:val="hybridMultilevel"/>
    <w:tmpl w:val="BEBA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D54E2"/>
    <w:multiLevelType w:val="hybridMultilevel"/>
    <w:tmpl w:val="C5F6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23292"/>
    <w:multiLevelType w:val="hybridMultilevel"/>
    <w:tmpl w:val="9FB8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7196F"/>
    <w:multiLevelType w:val="hybridMultilevel"/>
    <w:tmpl w:val="CE94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1D88"/>
    <w:multiLevelType w:val="hybridMultilevel"/>
    <w:tmpl w:val="2692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C637D"/>
    <w:multiLevelType w:val="hybridMultilevel"/>
    <w:tmpl w:val="D0246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DF083F"/>
    <w:multiLevelType w:val="hybridMultilevel"/>
    <w:tmpl w:val="F262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125B6"/>
    <w:multiLevelType w:val="hybridMultilevel"/>
    <w:tmpl w:val="DC3A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A006D"/>
    <w:multiLevelType w:val="hybridMultilevel"/>
    <w:tmpl w:val="E5C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25EC5"/>
    <w:multiLevelType w:val="hybridMultilevel"/>
    <w:tmpl w:val="E47C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87F60"/>
    <w:multiLevelType w:val="hybridMultilevel"/>
    <w:tmpl w:val="A3A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32956"/>
    <w:multiLevelType w:val="hybridMultilevel"/>
    <w:tmpl w:val="E180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91706"/>
    <w:multiLevelType w:val="hybridMultilevel"/>
    <w:tmpl w:val="FC00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4"/>
  </w:num>
  <w:num w:numId="4">
    <w:abstractNumId w:val="28"/>
  </w:num>
  <w:num w:numId="5">
    <w:abstractNumId w:val="13"/>
  </w:num>
  <w:num w:numId="6">
    <w:abstractNumId w:val="45"/>
  </w:num>
  <w:num w:numId="7">
    <w:abstractNumId w:val="31"/>
  </w:num>
  <w:num w:numId="8">
    <w:abstractNumId w:val="24"/>
  </w:num>
  <w:num w:numId="9">
    <w:abstractNumId w:val="6"/>
  </w:num>
  <w:num w:numId="10">
    <w:abstractNumId w:val="1"/>
  </w:num>
  <w:num w:numId="11">
    <w:abstractNumId w:val="29"/>
  </w:num>
  <w:num w:numId="12">
    <w:abstractNumId w:val="38"/>
  </w:num>
  <w:num w:numId="13">
    <w:abstractNumId w:val="30"/>
  </w:num>
  <w:num w:numId="14">
    <w:abstractNumId w:val="8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7"/>
  </w:num>
  <w:num w:numId="20">
    <w:abstractNumId w:val="35"/>
  </w:num>
  <w:num w:numId="21">
    <w:abstractNumId w:val="22"/>
  </w:num>
  <w:num w:numId="22">
    <w:abstractNumId w:val="39"/>
  </w:num>
  <w:num w:numId="23">
    <w:abstractNumId w:val="19"/>
  </w:num>
  <w:num w:numId="24">
    <w:abstractNumId w:val="14"/>
  </w:num>
  <w:num w:numId="25">
    <w:abstractNumId w:val="33"/>
  </w:num>
  <w:num w:numId="26">
    <w:abstractNumId w:val="11"/>
  </w:num>
  <w:num w:numId="27">
    <w:abstractNumId w:val="9"/>
  </w:num>
  <w:num w:numId="28">
    <w:abstractNumId w:val="21"/>
  </w:num>
  <w:num w:numId="29">
    <w:abstractNumId w:val="20"/>
  </w:num>
  <w:num w:numId="30">
    <w:abstractNumId w:val="42"/>
  </w:num>
  <w:num w:numId="31">
    <w:abstractNumId w:val="40"/>
  </w:num>
  <w:num w:numId="32">
    <w:abstractNumId w:val="25"/>
  </w:num>
  <w:num w:numId="33">
    <w:abstractNumId w:val="44"/>
  </w:num>
  <w:num w:numId="34">
    <w:abstractNumId w:val="43"/>
  </w:num>
  <w:num w:numId="35">
    <w:abstractNumId w:val="26"/>
  </w:num>
  <w:num w:numId="36">
    <w:abstractNumId w:val="34"/>
  </w:num>
  <w:num w:numId="37">
    <w:abstractNumId w:val="41"/>
  </w:num>
  <w:num w:numId="38">
    <w:abstractNumId w:val="46"/>
  </w:num>
  <w:num w:numId="39">
    <w:abstractNumId w:val="5"/>
  </w:num>
  <w:num w:numId="40">
    <w:abstractNumId w:val="12"/>
  </w:num>
  <w:num w:numId="41">
    <w:abstractNumId w:val="36"/>
  </w:num>
  <w:num w:numId="42">
    <w:abstractNumId w:val="27"/>
  </w:num>
  <w:num w:numId="43">
    <w:abstractNumId w:val="23"/>
  </w:num>
  <w:num w:numId="44">
    <w:abstractNumId w:val="18"/>
  </w:num>
  <w:num w:numId="45">
    <w:abstractNumId w:val="10"/>
  </w:num>
  <w:num w:numId="46">
    <w:abstractNumId w:val="3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D8"/>
    <w:rsid w:val="00002289"/>
    <w:rsid w:val="00003D85"/>
    <w:rsid w:val="0002641B"/>
    <w:rsid w:val="0005491A"/>
    <w:rsid w:val="00066FBE"/>
    <w:rsid w:val="0007660A"/>
    <w:rsid w:val="00084C48"/>
    <w:rsid w:val="000960A7"/>
    <w:rsid w:val="000962EA"/>
    <w:rsid w:val="000B3FA9"/>
    <w:rsid w:val="000B54BE"/>
    <w:rsid w:val="000B6B17"/>
    <w:rsid w:val="000C1C5C"/>
    <w:rsid w:val="000C2CFA"/>
    <w:rsid w:val="000D10D5"/>
    <w:rsid w:val="000D1F11"/>
    <w:rsid w:val="000F0879"/>
    <w:rsid w:val="0010023B"/>
    <w:rsid w:val="001028A0"/>
    <w:rsid w:val="00103709"/>
    <w:rsid w:val="00106F9F"/>
    <w:rsid w:val="00115221"/>
    <w:rsid w:val="0013214C"/>
    <w:rsid w:val="00132E78"/>
    <w:rsid w:val="001379EF"/>
    <w:rsid w:val="0014033A"/>
    <w:rsid w:val="00144A86"/>
    <w:rsid w:val="00147474"/>
    <w:rsid w:val="00150510"/>
    <w:rsid w:val="00151DAF"/>
    <w:rsid w:val="00171D85"/>
    <w:rsid w:val="00180CB0"/>
    <w:rsid w:val="00197AEC"/>
    <w:rsid w:val="001B7C53"/>
    <w:rsid w:val="001C6525"/>
    <w:rsid w:val="001C6C05"/>
    <w:rsid w:val="001E4630"/>
    <w:rsid w:val="001F4663"/>
    <w:rsid w:val="00221EEC"/>
    <w:rsid w:val="002301CD"/>
    <w:rsid w:val="00242402"/>
    <w:rsid w:val="002445CB"/>
    <w:rsid w:val="00267773"/>
    <w:rsid w:val="002706A7"/>
    <w:rsid w:val="002761D2"/>
    <w:rsid w:val="00280B51"/>
    <w:rsid w:val="002829DB"/>
    <w:rsid w:val="00284883"/>
    <w:rsid w:val="0029424A"/>
    <w:rsid w:val="00296D9B"/>
    <w:rsid w:val="002A3FC7"/>
    <w:rsid w:val="002C5810"/>
    <w:rsid w:val="002C63B5"/>
    <w:rsid w:val="002D0156"/>
    <w:rsid w:val="002D13CA"/>
    <w:rsid w:val="002D243E"/>
    <w:rsid w:val="002E4736"/>
    <w:rsid w:val="002E4D55"/>
    <w:rsid w:val="00302279"/>
    <w:rsid w:val="00323179"/>
    <w:rsid w:val="00341095"/>
    <w:rsid w:val="0034203A"/>
    <w:rsid w:val="00355B80"/>
    <w:rsid w:val="00366593"/>
    <w:rsid w:val="00367C37"/>
    <w:rsid w:val="00367E49"/>
    <w:rsid w:val="00374104"/>
    <w:rsid w:val="00377664"/>
    <w:rsid w:val="003A0F44"/>
    <w:rsid w:val="003A3355"/>
    <w:rsid w:val="003B0BAC"/>
    <w:rsid w:val="003C3A54"/>
    <w:rsid w:val="003E7F11"/>
    <w:rsid w:val="003F5B1B"/>
    <w:rsid w:val="0042466C"/>
    <w:rsid w:val="00430C70"/>
    <w:rsid w:val="00443890"/>
    <w:rsid w:val="00446C6F"/>
    <w:rsid w:val="00453691"/>
    <w:rsid w:val="004709BD"/>
    <w:rsid w:val="004714AB"/>
    <w:rsid w:val="0047642F"/>
    <w:rsid w:val="004A2B73"/>
    <w:rsid w:val="004A4746"/>
    <w:rsid w:val="004C2A0B"/>
    <w:rsid w:val="004C6F32"/>
    <w:rsid w:val="004D2A65"/>
    <w:rsid w:val="004E2461"/>
    <w:rsid w:val="00511B19"/>
    <w:rsid w:val="0051383D"/>
    <w:rsid w:val="00530DA6"/>
    <w:rsid w:val="00535F90"/>
    <w:rsid w:val="00541106"/>
    <w:rsid w:val="0056671F"/>
    <w:rsid w:val="00575BD2"/>
    <w:rsid w:val="005811AB"/>
    <w:rsid w:val="0059443C"/>
    <w:rsid w:val="0059651D"/>
    <w:rsid w:val="005A3E94"/>
    <w:rsid w:val="005A47C3"/>
    <w:rsid w:val="005B2B66"/>
    <w:rsid w:val="005B5EBF"/>
    <w:rsid w:val="005C54F2"/>
    <w:rsid w:val="005C669D"/>
    <w:rsid w:val="005F399B"/>
    <w:rsid w:val="005F4E58"/>
    <w:rsid w:val="00612ED2"/>
    <w:rsid w:val="00614D8F"/>
    <w:rsid w:val="00622CCF"/>
    <w:rsid w:val="00624B10"/>
    <w:rsid w:val="00625E1E"/>
    <w:rsid w:val="006316B6"/>
    <w:rsid w:val="006603C0"/>
    <w:rsid w:val="0067043D"/>
    <w:rsid w:val="0067693F"/>
    <w:rsid w:val="00684081"/>
    <w:rsid w:val="00691386"/>
    <w:rsid w:val="00693882"/>
    <w:rsid w:val="00696531"/>
    <w:rsid w:val="00696EA1"/>
    <w:rsid w:val="006A1C4B"/>
    <w:rsid w:val="006D6CE5"/>
    <w:rsid w:val="006E3B90"/>
    <w:rsid w:val="006F7AFB"/>
    <w:rsid w:val="00700BA5"/>
    <w:rsid w:val="0071250A"/>
    <w:rsid w:val="0071271D"/>
    <w:rsid w:val="00715A7F"/>
    <w:rsid w:val="00722C26"/>
    <w:rsid w:val="00724681"/>
    <w:rsid w:val="00724D60"/>
    <w:rsid w:val="00726857"/>
    <w:rsid w:val="007359CD"/>
    <w:rsid w:val="007505F7"/>
    <w:rsid w:val="007674C7"/>
    <w:rsid w:val="007912CE"/>
    <w:rsid w:val="007A183B"/>
    <w:rsid w:val="007D5145"/>
    <w:rsid w:val="007D5549"/>
    <w:rsid w:val="007E1A05"/>
    <w:rsid w:val="007F5DB4"/>
    <w:rsid w:val="00811ED9"/>
    <w:rsid w:val="00811EE9"/>
    <w:rsid w:val="0082179F"/>
    <w:rsid w:val="008242C6"/>
    <w:rsid w:val="00827131"/>
    <w:rsid w:val="008356C6"/>
    <w:rsid w:val="00845B3D"/>
    <w:rsid w:val="00852261"/>
    <w:rsid w:val="0085373F"/>
    <w:rsid w:val="00864B33"/>
    <w:rsid w:val="00866730"/>
    <w:rsid w:val="00873754"/>
    <w:rsid w:val="00887864"/>
    <w:rsid w:val="0089546F"/>
    <w:rsid w:val="00897CCD"/>
    <w:rsid w:val="008B045C"/>
    <w:rsid w:val="008B121E"/>
    <w:rsid w:val="008D7E95"/>
    <w:rsid w:val="008E45E1"/>
    <w:rsid w:val="008E5A2F"/>
    <w:rsid w:val="009249B1"/>
    <w:rsid w:val="00964BE5"/>
    <w:rsid w:val="00991CB4"/>
    <w:rsid w:val="00992F1E"/>
    <w:rsid w:val="00994379"/>
    <w:rsid w:val="009A6E42"/>
    <w:rsid w:val="009D4CAE"/>
    <w:rsid w:val="009E1914"/>
    <w:rsid w:val="009E2183"/>
    <w:rsid w:val="009F01E8"/>
    <w:rsid w:val="009F214D"/>
    <w:rsid w:val="00A05CCE"/>
    <w:rsid w:val="00A07309"/>
    <w:rsid w:val="00A10EBF"/>
    <w:rsid w:val="00A2533E"/>
    <w:rsid w:val="00A465CE"/>
    <w:rsid w:val="00A47352"/>
    <w:rsid w:val="00A617F3"/>
    <w:rsid w:val="00A65CC5"/>
    <w:rsid w:val="00A816D8"/>
    <w:rsid w:val="00A823DF"/>
    <w:rsid w:val="00AA3B65"/>
    <w:rsid w:val="00AA4AFA"/>
    <w:rsid w:val="00AB5E84"/>
    <w:rsid w:val="00AC0ED5"/>
    <w:rsid w:val="00AC62AC"/>
    <w:rsid w:val="00AF69A8"/>
    <w:rsid w:val="00B022DD"/>
    <w:rsid w:val="00B0278B"/>
    <w:rsid w:val="00B04984"/>
    <w:rsid w:val="00B113AD"/>
    <w:rsid w:val="00B272EE"/>
    <w:rsid w:val="00B304FF"/>
    <w:rsid w:val="00B3306D"/>
    <w:rsid w:val="00B339E3"/>
    <w:rsid w:val="00B401E6"/>
    <w:rsid w:val="00B42E50"/>
    <w:rsid w:val="00B61772"/>
    <w:rsid w:val="00B638D3"/>
    <w:rsid w:val="00B6602D"/>
    <w:rsid w:val="00B76F59"/>
    <w:rsid w:val="00B775F5"/>
    <w:rsid w:val="00B81D10"/>
    <w:rsid w:val="00BC2C69"/>
    <w:rsid w:val="00BC3A46"/>
    <w:rsid w:val="00BC3FFF"/>
    <w:rsid w:val="00BE1238"/>
    <w:rsid w:val="00BF1950"/>
    <w:rsid w:val="00BF2E41"/>
    <w:rsid w:val="00C16725"/>
    <w:rsid w:val="00C30D70"/>
    <w:rsid w:val="00C403F9"/>
    <w:rsid w:val="00C5232F"/>
    <w:rsid w:val="00C53DD8"/>
    <w:rsid w:val="00C57861"/>
    <w:rsid w:val="00C67998"/>
    <w:rsid w:val="00C958E1"/>
    <w:rsid w:val="00C97AA3"/>
    <w:rsid w:val="00CB597A"/>
    <w:rsid w:val="00D17788"/>
    <w:rsid w:val="00D266A2"/>
    <w:rsid w:val="00D31605"/>
    <w:rsid w:val="00D42047"/>
    <w:rsid w:val="00D4750A"/>
    <w:rsid w:val="00D50722"/>
    <w:rsid w:val="00D52150"/>
    <w:rsid w:val="00D638D5"/>
    <w:rsid w:val="00D64694"/>
    <w:rsid w:val="00D85B5C"/>
    <w:rsid w:val="00D906A6"/>
    <w:rsid w:val="00DB2BDF"/>
    <w:rsid w:val="00DC56C3"/>
    <w:rsid w:val="00E00DE9"/>
    <w:rsid w:val="00E111B2"/>
    <w:rsid w:val="00E30722"/>
    <w:rsid w:val="00E367D6"/>
    <w:rsid w:val="00E41D3E"/>
    <w:rsid w:val="00E42BE3"/>
    <w:rsid w:val="00E47A05"/>
    <w:rsid w:val="00E56C7C"/>
    <w:rsid w:val="00E74534"/>
    <w:rsid w:val="00E866D8"/>
    <w:rsid w:val="00E92748"/>
    <w:rsid w:val="00EA7A17"/>
    <w:rsid w:val="00EB1D24"/>
    <w:rsid w:val="00EB1E6A"/>
    <w:rsid w:val="00EB474A"/>
    <w:rsid w:val="00EE5511"/>
    <w:rsid w:val="00EE60E5"/>
    <w:rsid w:val="00EF256A"/>
    <w:rsid w:val="00F01448"/>
    <w:rsid w:val="00F20669"/>
    <w:rsid w:val="00F338A9"/>
    <w:rsid w:val="00F34C61"/>
    <w:rsid w:val="00F40FFA"/>
    <w:rsid w:val="00F416CD"/>
    <w:rsid w:val="00F53BD4"/>
    <w:rsid w:val="00F57ED1"/>
    <w:rsid w:val="00F83D06"/>
    <w:rsid w:val="00F9610C"/>
    <w:rsid w:val="00FA3768"/>
    <w:rsid w:val="00FC2E99"/>
    <w:rsid w:val="00FE0801"/>
    <w:rsid w:val="00FE1BC2"/>
    <w:rsid w:val="00FE6326"/>
    <w:rsid w:val="00FF24F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759AEE"/>
  <w15:docId w15:val="{18885115-29A5-4E86-BF66-62D30808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D2"/>
    <w:pPr>
      <w:spacing w:after="0" w:line="240" w:lineRule="auto"/>
    </w:pPr>
    <w:rPr>
      <w:rFonts w:cs="Times New Roman"/>
      <w:szCs w:val="24"/>
    </w:rPr>
  </w:style>
  <w:style w:type="paragraph" w:styleId="Heading1">
    <w:name w:val="heading 1"/>
    <w:next w:val="Normal"/>
    <w:link w:val="Heading1Char"/>
    <w:qFormat/>
    <w:rsid w:val="00D266A2"/>
    <w:pPr>
      <w:keepNext/>
      <w:spacing w:before="280" w:after="120" w:line="240" w:lineRule="auto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6A2"/>
    <w:rPr>
      <w:rFonts w:asciiTheme="minorHAnsi" w:hAnsiTheme="minorHAnsi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uiPriority w:val="34"/>
    <w:qFormat/>
    <w:rsid w:val="0029424A"/>
    <w:pPr>
      <w:ind w:left="720"/>
      <w:contextualSpacing/>
    </w:pPr>
  </w:style>
  <w:style w:type="table" w:styleId="TableGrid">
    <w:name w:val="Table Grid"/>
    <w:basedOn w:val="TableNormal"/>
    <w:uiPriority w:val="59"/>
    <w:rsid w:val="0034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D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2D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2D"/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4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43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3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3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3F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3F9"/>
    <w:rPr>
      <w:vertAlign w:val="superscript"/>
    </w:rPr>
  </w:style>
  <w:style w:type="paragraph" w:styleId="Revision">
    <w:name w:val="Revision"/>
    <w:hidden/>
    <w:uiPriority w:val="99"/>
    <w:semiHidden/>
    <w:rsid w:val="00A617F3"/>
    <w:pPr>
      <w:spacing w:after="0" w:line="240" w:lineRule="auto"/>
    </w:pPr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4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prep/pr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doe.mass.edu/lawsregs/603cmr7.html?section=0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prep/ProgramApproval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lawsregs/603cmr7.html?section=02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awsregs/603cmr7.html?section=04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DESE-231-38733</_dlc_DocId>
    <_dlc_DocIdUrl xmlns="733efe1c-5bbe-4968-87dc-d400e65c879f">
      <Url>https://sharepoint.doemass.org/ese/webteam/cps/_layouts/DocIdRedir.aspx?ID=DESE-231-38733</Url>
      <Description>DESE-231-38733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B023-3B1D-447D-9712-3E6B5765F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D0BBF-75FC-48FF-9079-DE01C1301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6ADA6-DFB3-4F7E-B15B-773203EE7D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041F62-FF93-42AF-8B49-A5A45028F9D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E1E7DF9-0A1C-4A2F-9BDA-6CA78128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Criteria List</vt:lpstr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Educator Preparation Program Approval Criteria List</dc:title>
  <dc:creator>ESE</dc:creator>
  <cp:lastModifiedBy>Zou, Dong (EOE)</cp:lastModifiedBy>
  <cp:revision>5</cp:revision>
  <dcterms:created xsi:type="dcterms:W3CDTF">2017-12-14T21:51:00Z</dcterms:created>
  <dcterms:modified xsi:type="dcterms:W3CDTF">2020-11-16T15:41:00Z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2017</vt:lpwstr>
  </property>
</Properties>
</file>