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27DA6E9A" w14:textId="18A7DA92" w:rsidR="00BA6045" w:rsidRPr="00FD2BED" w:rsidRDefault="008C6D59" w:rsidP="00B978FE">
      <w:pPr>
        <w:tabs>
          <w:tab w:val="left" w:pos="7830"/>
        </w:tabs>
        <w:rPr>
          <w:rFonts w:ascii="Calibri" w:hAnsi="Calibri"/>
          <w:b/>
          <w:color w:val="2E74B5" w:themeColor="accent1" w:themeShade="BF"/>
          <w:sz w:val="32"/>
          <w:szCs w:val="32"/>
        </w:rPr>
      </w:pPr>
      <w:sdt>
        <w:sdtPr>
          <w:rPr>
            <w:rFonts w:ascii="Calibri" w:hAnsi="Calibri"/>
            <w:b/>
            <w:color w:val="2E74B5" w:themeColor="accent1" w:themeShade="BF"/>
            <w:sz w:val="32"/>
            <w:szCs w:val="32"/>
          </w:rPr>
          <w:alias w:val="Title"/>
          <w:tag w:val=""/>
          <w:id w:val="496705198"/>
          <w:placeholder>
            <w:docPart w:val="F0D09CDDB0B74D1089451CDBDA6AEBAE"/>
          </w:placeholder>
          <w:dataBinding w:prefixMappings="xmlns:ns0='http://purl.org/dc/elements/1.1/' xmlns:ns1='http://schemas.openxmlformats.org/package/2006/metadata/core-properties' " w:xpath="/ns1:coreProperties[1]/ns0:title[1]" w:storeItemID="{6C3C8BC8-F283-45AE-878A-BAB7291924A1}"/>
          <w:text/>
        </w:sdtPr>
        <w:sdtEndPr/>
        <w:sdtContent>
          <w:r w:rsidR="00FD411F" w:rsidRPr="00B978FE">
            <w:rPr>
              <w:rFonts w:ascii="Calibri" w:hAnsi="Calibri"/>
              <w:b/>
              <w:color w:val="2E74B5" w:themeColor="accent1" w:themeShade="BF"/>
              <w:sz w:val="32"/>
              <w:szCs w:val="32"/>
            </w:rPr>
            <w:t>Cr</w:t>
          </w:r>
          <w:r w:rsidR="00BA6045" w:rsidRPr="00B978FE">
            <w:rPr>
              <w:rFonts w:ascii="Calibri" w:hAnsi="Calibri"/>
              <w:b/>
              <w:color w:val="2E74B5" w:themeColor="accent1" w:themeShade="BF"/>
              <w:sz w:val="32"/>
              <w:szCs w:val="32"/>
            </w:rPr>
            <w:t>osscutting Subject Matter Knowledge (SMK) Matrix</w:t>
          </w:r>
        </w:sdtContent>
      </w:sdt>
      <w:r w:rsidR="00B978FE">
        <w:rPr>
          <w:rFonts w:ascii="Calibri" w:hAnsi="Calibri"/>
          <w:b/>
          <w:color w:val="2E74B5" w:themeColor="accent1" w:themeShade="BF"/>
          <w:sz w:val="32"/>
          <w:szCs w:val="32"/>
        </w:rPr>
        <w:t xml:space="preserve"> </w:t>
      </w:r>
      <w:r w:rsidR="00B978FE" w:rsidRPr="00B92C60">
        <w:rPr>
          <w:rFonts w:ascii="Calibri" w:hAnsi="Calibri"/>
          <w:b/>
          <w:color w:val="2E74B5" w:themeColor="accent1" w:themeShade="BF"/>
          <w:sz w:val="32"/>
          <w:szCs w:val="32"/>
        </w:rPr>
        <w:t>(Required)</w:t>
      </w:r>
    </w:p>
    <w:tbl>
      <w:tblPr>
        <w:tblStyle w:val="LightList-Accent1"/>
        <w:tblpPr w:leftFromText="180" w:rightFromText="180" w:vertAnchor="text" w:horzAnchor="margin" w:tblpX="18" w:tblpY="166"/>
        <w:tblW w:w="0" w:type="auto"/>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ayout w:type="fixed"/>
        <w:tblLook w:val="04A0" w:firstRow="1" w:lastRow="0" w:firstColumn="1" w:lastColumn="0" w:noHBand="0" w:noVBand="1"/>
        <w:tblDescription w:val="Sponsoring Organization:   &#10;Licensure Program (License and Grade Level): ¬   &#10;"/>
      </w:tblPr>
      <w:tblGrid>
        <w:gridCol w:w="5047"/>
        <w:gridCol w:w="8111"/>
      </w:tblGrid>
      <w:tr w:rsidR="00BA6045" w14:paraId="40FCA7E5" w14:textId="77777777" w:rsidTr="00FD411F">
        <w:trPr>
          <w:cnfStyle w:val="100000000000" w:firstRow="1" w:lastRow="0" w:firstColumn="0" w:lastColumn="0" w:oddVBand="0" w:evenVBand="0" w:oddHBand="0" w:evenHBand="0" w:firstRowFirstColumn="0" w:firstRowLastColumn="0" w:lastRowFirstColumn="0" w:lastRowLastColumn="0"/>
          <w:trHeight w:val="342"/>
          <w:tblHeader/>
        </w:trPr>
        <w:tc>
          <w:tcPr>
            <w:cnfStyle w:val="001000000000" w:firstRow="0" w:lastRow="0" w:firstColumn="1" w:lastColumn="0" w:oddVBand="0" w:evenVBand="0" w:oddHBand="0" w:evenHBand="0" w:firstRowFirstColumn="0" w:firstRowLastColumn="0" w:lastRowFirstColumn="0" w:lastRowLastColumn="0"/>
            <w:tcW w:w="5047" w:type="dxa"/>
            <w:tcBorders>
              <w:bottom w:val="single" w:sz="8" w:space="0" w:color="5B9BD5" w:themeColor="accent1"/>
            </w:tcBorders>
            <w:shd w:val="clear" w:color="auto" w:fill="auto"/>
          </w:tcPr>
          <w:p w14:paraId="01D1C212" w14:textId="77777777" w:rsidR="00BA6045" w:rsidRPr="009B7AA9" w:rsidRDefault="00FD411F" w:rsidP="00272AE8">
            <w:pPr>
              <w:tabs>
                <w:tab w:val="left" w:pos="5025"/>
              </w:tabs>
              <w:rPr>
                <w:rFonts w:cs="Arial"/>
                <w:color w:val="auto"/>
              </w:rPr>
            </w:pPr>
            <w:r>
              <w:rPr>
                <w:rFonts w:cs="Arial"/>
                <w:color w:val="auto"/>
              </w:rPr>
              <w:t xml:space="preserve">Sponsoring Organization: </w:t>
            </w:r>
          </w:p>
        </w:tc>
        <w:tc>
          <w:tcPr>
            <w:tcW w:w="8111" w:type="dxa"/>
            <w:tcBorders>
              <w:right w:val="single" w:sz="6" w:space="0" w:color="2E74B5" w:themeColor="accent1" w:themeShade="BF"/>
            </w:tcBorders>
            <w:shd w:val="clear" w:color="auto" w:fill="auto"/>
          </w:tcPr>
          <w:p w14:paraId="670EE1E3" w14:textId="77777777" w:rsidR="00BA6045" w:rsidRPr="009B7AA9" w:rsidRDefault="00BA6045" w:rsidP="00272AE8">
            <w:pPr>
              <w:tabs>
                <w:tab w:val="left" w:pos="5025"/>
              </w:tabs>
              <w:cnfStyle w:val="100000000000" w:firstRow="1" w:lastRow="0" w:firstColumn="0" w:lastColumn="0" w:oddVBand="0" w:evenVBand="0" w:oddHBand="0" w:evenHBand="0" w:firstRowFirstColumn="0" w:firstRowLastColumn="0" w:lastRowFirstColumn="0" w:lastRowLastColumn="0"/>
              <w:rPr>
                <w:rFonts w:cs="Arial"/>
                <w:color w:val="auto"/>
              </w:rPr>
            </w:pPr>
          </w:p>
        </w:tc>
      </w:tr>
      <w:tr w:rsidR="00BA6045" w:rsidRPr="00F82074" w14:paraId="0640D2A0" w14:textId="77777777" w:rsidTr="00272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7" w:type="dxa"/>
            <w:shd w:val="clear" w:color="auto" w:fill="auto"/>
          </w:tcPr>
          <w:p w14:paraId="37C1D249" w14:textId="77777777" w:rsidR="00BA6045" w:rsidRPr="00AA4686" w:rsidRDefault="00BA6045" w:rsidP="00272AE8">
            <w:pPr>
              <w:tabs>
                <w:tab w:val="left" w:pos="5025"/>
              </w:tabs>
              <w:rPr>
                <w:rFonts w:cs="Arial"/>
              </w:rPr>
            </w:pPr>
            <w:r w:rsidRPr="00AA4686">
              <w:rPr>
                <w:rFonts w:cs="Arial"/>
              </w:rPr>
              <w:t xml:space="preserve">Licensure Program (License and Grade Level): </w:t>
            </w:r>
            <w:r w:rsidRPr="00AA4686">
              <w:rPr>
                <w:rFonts w:cs="Arial"/>
              </w:rPr>
              <w:softHyphen/>
              <w:t xml:space="preserve">  </w:t>
            </w:r>
          </w:p>
        </w:tc>
        <w:tc>
          <w:tcPr>
            <w:tcW w:w="8111" w:type="dxa"/>
            <w:tcBorders>
              <w:right w:val="single" w:sz="6" w:space="0" w:color="2E74B5" w:themeColor="accent1" w:themeShade="BF"/>
            </w:tcBorders>
            <w:shd w:val="clear" w:color="auto" w:fill="auto"/>
          </w:tcPr>
          <w:p w14:paraId="21AD090C" w14:textId="77777777" w:rsidR="00BA6045" w:rsidRPr="00AA4686" w:rsidRDefault="00BA6045" w:rsidP="00272AE8">
            <w:pPr>
              <w:tabs>
                <w:tab w:val="left" w:pos="5025"/>
              </w:tabs>
              <w:cnfStyle w:val="000000100000" w:firstRow="0" w:lastRow="0" w:firstColumn="0" w:lastColumn="0" w:oddVBand="0" w:evenVBand="0" w:oddHBand="1" w:evenHBand="0" w:firstRowFirstColumn="0" w:firstRowLastColumn="0" w:lastRowFirstColumn="0" w:lastRowLastColumn="0"/>
              <w:rPr>
                <w:rFonts w:cs="Arial"/>
              </w:rPr>
            </w:pPr>
          </w:p>
        </w:tc>
      </w:tr>
    </w:tbl>
    <w:p w14:paraId="7FDCFF9D" w14:textId="77777777" w:rsidR="00BA6045" w:rsidRDefault="00BA6045" w:rsidP="00BA6045">
      <w:pPr>
        <w:spacing w:after="0"/>
      </w:pPr>
    </w:p>
    <w:tbl>
      <w:tblPr>
        <w:tblStyle w:val="TableGrid"/>
        <w:tblW w:w="13359" w:type="dxa"/>
        <w:tblLayout w:type="fixed"/>
        <w:tblCellMar>
          <w:left w:w="115" w:type="dxa"/>
          <w:right w:w="115" w:type="dxa"/>
        </w:tblCellMar>
        <w:tblLook w:val="04A0" w:firstRow="1" w:lastRow="0" w:firstColumn="1" w:lastColumn="0" w:noHBand="0" w:noVBand="1"/>
        <w:tblDescription w:val="Crosscutting Subject Matter Knowledge (SMK) Requirement Course(s) that cover the knowledge needed to meet these requirements&#10; Basic Functional Fluent Expert&#10;Support the integration of standards for literacy across the content areas as outlined in the 2017 ELA/Literacy Framework.&#10;   &#10;Apply basic principles and concepts for digital literacy and computer science in Computing and Society, Digital Tools and Collaboration, and Computing Systems as outlined in the 2016 Digital Literacy Computer Science Framework.&#10;   &#10;Apply the theories of cognitive, social, emotional, language, and physical development from childhood through adolescence.    &#10;Understand the characteristics and instructional implications of moderately and severely disabling conditions.    &#10;Apply special education policies and procedures.    &#10;Support English learners through English learner education instruction.    &#10;"/>
      </w:tblPr>
      <w:tblGrid>
        <w:gridCol w:w="5443"/>
        <w:gridCol w:w="1978"/>
        <w:gridCol w:w="1979"/>
        <w:gridCol w:w="1978"/>
        <w:gridCol w:w="1981"/>
      </w:tblGrid>
      <w:tr w:rsidR="00BA6045" w14:paraId="23C4C72D" w14:textId="77777777" w:rsidTr="00BA6045">
        <w:trPr>
          <w:trHeight w:val="520"/>
          <w:tblHeader/>
        </w:trPr>
        <w:tc>
          <w:tcPr>
            <w:tcW w:w="5443" w:type="dxa"/>
            <w:vMerge w:val="restart"/>
            <w:tcBorders>
              <w:top w:val="single" w:sz="4" w:space="0" w:color="auto"/>
            </w:tcBorders>
            <w:shd w:val="clear" w:color="auto" w:fill="BDD6EE" w:themeFill="accent1" w:themeFillTint="66"/>
            <w:vAlign w:val="center"/>
          </w:tcPr>
          <w:p w14:paraId="5C4732C7" w14:textId="77777777" w:rsidR="00BA6045" w:rsidRPr="0026724F" w:rsidRDefault="00BA6045" w:rsidP="00272AE8">
            <w:r>
              <w:rPr>
                <w:b/>
              </w:rPr>
              <w:t xml:space="preserve">Crosscutting </w:t>
            </w:r>
            <w:r w:rsidRPr="0026724F">
              <w:rPr>
                <w:b/>
              </w:rPr>
              <w:t>Subject Matter Knowledge</w:t>
            </w:r>
            <w:r>
              <w:rPr>
                <w:b/>
              </w:rPr>
              <w:t xml:space="preserve"> (SMK) Requirement</w:t>
            </w:r>
          </w:p>
        </w:tc>
        <w:tc>
          <w:tcPr>
            <w:tcW w:w="7916" w:type="dxa"/>
            <w:gridSpan w:val="4"/>
            <w:tcBorders>
              <w:top w:val="single" w:sz="4" w:space="0" w:color="auto"/>
            </w:tcBorders>
            <w:shd w:val="clear" w:color="auto" w:fill="BDD6EE" w:themeFill="accent1" w:themeFillTint="66"/>
            <w:vAlign w:val="center"/>
          </w:tcPr>
          <w:p w14:paraId="3273E92A" w14:textId="77777777" w:rsidR="00BA6045" w:rsidRDefault="00BA6045" w:rsidP="00272AE8">
            <w:pPr>
              <w:jc w:val="center"/>
              <w:rPr>
                <w:rFonts w:ascii="Calibri" w:hAnsi="Calibri" w:cs="Arial"/>
                <w:b/>
                <w:bCs/>
              </w:rPr>
            </w:pPr>
            <w:r>
              <w:rPr>
                <w:rFonts w:ascii="Calibri" w:hAnsi="Calibri" w:cs="Arial"/>
                <w:b/>
                <w:bCs/>
              </w:rPr>
              <w:t>Course(s) that cover the knowledge needed to meet these requirements</w:t>
            </w:r>
          </w:p>
        </w:tc>
      </w:tr>
      <w:tr w:rsidR="00BA6045" w14:paraId="3912CEAA" w14:textId="77777777" w:rsidTr="00BA6045">
        <w:trPr>
          <w:trHeight w:val="520"/>
          <w:tblHeader/>
        </w:trPr>
        <w:tc>
          <w:tcPr>
            <w:tcW w:w="5443" w:type="dxa"/>
            <w:vMerge/>
            <w:shd w:val="clear" w:color="auto" w:fill="BDD6EE" w:themeFill="accent1" w:themeFillTint="66"/>
            <w:vAlign w:val="center"/>
          </w:tcPr>
          <w:p w14:paraId="4F19D7CC" w14:textId="77777777" w:rsidR="00BA6045" w:rsidRDefault="00BA6045" w:rsidP="00272AE8">
            <w:pPr>
              <w:rPr>
                <w:b/>
              </w:rPr>
            </w:pPr>
          </w:p>
        </w:tc>
        <w:tc>
          <w:tcPr>
            <w:tcW w:w="1978" w:type="dxa"/>
            <w:tcBorders>
              <w:top w:val="single" w:sz="4" w:space="0" w:color="auto"/>
            </w:tcBorders>
            <w:shd w:val="clear" w:color="auto" w:fill="DEEAF6" w:themeFill="accent1" w:themeFillTint="33"/>
            <w:vAlign w:val="center"/>
          </w:tcPr>
          <w:p w14:paraId="2D788DC5" w14:textId="77777777" w:rsidR="00BA6045" w:rsidRDefault="00BA6045" w:rsidP="00272AE8">
            <w:pPr>
              <w:tabs>
                <w:tab w:val="left" w:pos="1612"/>
              </w:tabs>
              <w:jc w:val="center"/>
            </w:pPr>
            <w:r>
              <w:t>Basic</w:t>
            </w:r>
          </w:p>
        </w:tc>
        <w:tc>
          <w:tcPr>
            <w:tcW w:w="1979" w:type="dxa"/>
            <w:tcBorders>
              <w:top w:val="single" w:sz="4" w:space="0" w:color="auto"/>
            </w:tcBorders>
            <w:shd w:val="clear" w:color="auto" w:fill="DEEAF6" w:themeFill="accent1" w:themeFillTint="33"/>
            <w:vAlign w:val="center"/>
          </w:tcPr>
          <w:p w14:paraId="04E37E2F" w14:textId="77777777" w:rsidR="00BA6045" w:rsidRDefault="00BA6045" w:rsidP="00272AE8">
            <w:pPr>
              <w:jc w:val="center"/>
            </w:pPr>
            <w:r>
              <w:t>Functional</w:t>
            </w:r>
          </w:p>
        </w:tc>
        <w:tc>
          <w:tcPr>
            <w:tcW w:w="1978" w:type="dxa"/>
            <w:tcBorders>
              <w:top w:val="single" w:sz="4" w:space="0" w:color="auto"/>
            </w:tcBorders>
            <w:shd w:val="clear" w:color="auto" w:fill="DEEAF6" w:themeFill="accent1" w:themeFillTint="33"/>
            <w:vAlign w:val="center"/>
          </w:tcPr>
          <w:p w14:paraId="266C8CB8" w14:textId="77777777" w:rsidR="00BA6045" w:rsidRDefault="00BA6045" w:rsidP="00272AE8">
            <w:pPr>
              <w:jc w:val="center"/>
            </w:pPr>
            <w:r>
              <w:t>Fluent</w:t>
            </w:r>
          </w:p>
        </w:tc>
        <w:tc>
          <w:tcPr>
            <w:tcW w:w="1979" w:type="dxa"/>
            <w:tcBorders>
              <w:top w:val="single" w:sz="4" w:space="0" w:color="auto"/>
            </w:tcBorders>
            <w:shd w:val="clear" w:color="auto" w:fill="DEEAF6" w:themeFill="accent1" w:themeFillTint="33"/>
            <w:vAlign w:val="center"/>
          </w:tcPr>
          <w:p w14:paraId="2D5F38CD" w14:textId="77777777" w:rsidR="00BA6045" w:rsidRPr="00392386" w:rsidRDefault="00BA6045" w:rsidP="00272AE8">
            <w:pPr>
              <w:jc w:val="center"/>
              <w:rPr>
                <w:rFonts w:ascii="Calibri" w:hAnsi="Calibri" w:cs="Arial"/>
                <w:bCs/>
              </w:rPr>
            </w:pPr>
            <w:r w:rsidRPr="00392386">
              <w:rPr>
                <w:rFonts w:ascii="Calibri" w:hAnsi="Calibri" w:cs="Arial"/>
                <w:bCs/>
              </w:rPr>
              <w:t>Expert</w:t>
            </w:r>
          </w:p>
        </w:tc>
      </w:tr>
      <w:tr w:rsidR="00BA6045" w14:paraId="2FB3F111" w14:textId="77777777" w:rsidTr="00BA6045">
        <w:trPr>
          <w:trHeight w:val="1147"/>
        </w:trPr>
        <w:tc>
          <w:tcPr>
            <w:tcW w:w="5443" w:type="dxa"/>
            <w:vAlign w:val="center"/>
          </w:tcPr>
          <w:p w14:paraId="218F2075" w14:textId="77777777" w:rsidR="00BA6045" w:rsidRPr="00392386" w:rsidRDefault="00BA6045" w:rsidP="00272AE8">
            <w:pPr>
              <w:rPr>
                <w:rFonts w:ascii="Calibri" w:eastAsia="Calibri" w:hAnsi="Calibri" w:cs="Times New Roman"/>
              </w:rPr>
            </w:pPr>
            <w:r w:rsidRPr="00392386">
              <w:rPr>
                <w:rFonts w:ascii="Calibri" w:hAnsi="Calibri" w:cs="Calibri"/>
                <w:color w:val="000000"/>
              </w:rPr>
              <w:t xml:space="preserve">Support the integration of standards for literacy across the content areas as outlined in the </w:t>
            </w:r>
            <w:hyperlink r:id="rId8" w:history="1">
              <w:r w:rsidRPr="00392386">
                <w:rPr>
                  <w:rStyle w:val="Hyperlink"/>
                  <w:rFonts w:cs="Calibri"/>
                </w:rPr>
                <w:t>2017 ELA/Literacy Framework</w:t>
              </w:r>
            </w:hyperlink>
            <w:r>
              <w:rPr>
                <w:rStyle w:val="Hyperlink"/>
                <w:rFonts w:cs="Calibri"/>
              </w:rPr>
              <w:t>.</w:t>
            </w:r>
          </w:p>
        </w:tc>
        <w:tc>
          <w:tcPr>
            <w:tcW w:w="1978" w:type="dxa"/>
            <w:shd w:val="clear" w:color="auto" w:fill="FFFFFF" w:themeFill="background1"/>
          </w:tcPr>
          <w:p w14:paraId="0ADCF409" w14:textId="77777777" w:rsidR="00BA6045" w:rsidRPr="00392386" w:rsidRDefault="00BA6045" w:rsidP="00272AE8">
            <w:pPr>
              <w:rPr>
                <w:rFonts w:ascii="Calibri" w:hAnsi="Calibri" w:cs="Calibri"/>
              </w:rPr>
            </w:pPr>
          </w:p>
        </w:tc>
        <w:tc>
          <w:tcPr>
            <w:tcW w:w="1979" w:type="dxa"/>
            <w:shd w:val="clear" w:color="auto" w:fill="FFFFFF" w:themeFill="background1"/>
          </w:tcPr>
          <w:p w14:paraId="598AB457" w14:textId="77777777" w:rsidR="00BA6045" w:rsidRPr="00392386" w:rsidRDefault="00BA6045" w:rsidP="00272AE8">
            <w:pPr>
              <w:rPr>
                <w:rFonts w:ascii="Calibri" w:hAnsi="Calibri" w:cs="Calibri"/>
              </w:rPr>
            </w:pPr>
          </w:p>
        </w:tc>
        <w:tc>
          <w:tcPr>
            <w:tcW w:w="1978" w:type="dxa"/>
            <w:shd w:val="clear" w:color="auto" w:fill="FFFFFF" w:themeFill="background1"/>
          </w:tcPr>
          <w:p w14:paraId="39355ADA" w14:textId="77777777" w:rsidR="00BA6045" w:rsidRPr="00392386" w:rsidRDefault="00BA6045" w:rsidP="00272AE8">
            <w:pPr>
              <w:rPr>
                <w:rFonts w:ascii="Calibri" w:hAnsi="Calibri" w:cs="Calibri"/>
              </w:rPr>
            </w:pPr>
          </w:p>
        </w:tc>
        <w:tc>
          <w:tcPr>
            <w:tcW w:w="1979" w:type="dxa"/>
            <w:shd w:val="clear" w:color="auto" w:fill="FFFFFF" w:themeFill="background1"/>
          </w:tcPr>
          <w:p w14:paraId="4EEB3097" w14:textId="77777777" w:rsidR="00BA6045" w:rsidRPr="00392386" w:rsidRDefault="00BA6045" w:rsidP="00272AE8">
            <w:pPr>
              <w:rPr>
                <w:rFonts w:ascii="Calibri" w:hAnsi="Calibri" w:cs="Calibri"/>
              </w:rPr>
            </w:pPr>
          </w:p>
        </w:tc>
      </w:tr>
      <w:tr w:rsidR="00BA6045" w14:paraId="277360C2" w14:textId="77777777" w:rsidTr="00BA6045">
        <w:trPr>
          <w:trHeight w:val="1580"/>
        </w:trPr>
        <w:tc>
          <w:tcPr>
            <w:tcW w:w="5443" w:type="dxa"/>
            <w:vAlign w:val="center"/>
          </w:tcPr>
          <w:p w14:paraId="2533D558" w14:textId="7B4AD100" w:rsidR="00BA6045" w:rsidRPr="00392386" w:rsidRDefault="00BA6045" w:rsidP="00272AE8">
            <w:pPr>
              <w:rPr>
                <w:rFonts w:ascii="Calibri" w:eastAsia="Calibri" w:hAnsi="Calibri" w:cs="Arial"/>
              </w:rPr>
            </w:pPr>
            <w:r w:rsidRPr="00392386">
              <w:rPr>
                <w:rFonts w:ascii="Calibri" w:hAnsi="Calibri" w:cs="Calibri"/>
                <w:color w:val="000000"/>
              </w:rPr>
              <w:t xml:space="preserve">Apply basic principles and concepts for digital literacy and computer science in Computing and Society, Digital Tools and Collaboration, and Computing Systems as outlined in the </w:t>
            </w:r>
            <w:hyperlink r:id="rId9" w:history="1">
              <w:r w:rsidRPr="00392386">
                <w:rPr>
                  <w:rStyle w:val="Hyperlink"/>
                  <w:rFonts w:cs="Calibri"/>
                </w:rPr>
                <w:t>2016 Digital Literacy Computer Science Framework</w:t>
              </w:r>
            </w:hyperlink>
            <w:r>
              <w:rPr>
                <w:rStyle w:val="Hyperlink"/>
                <w:rFonts w:cs="Calibri"/>
              </w:rPr>
              <w:t>.</w:t>
            </w:r>
          </w:p>
        </w:tc>
        <w:tc>
          <w:tcPr>
            <w:tcW w:w="1978" w:type="dxa"/>
            <w:shd w:val="clear" w:color="auto" w:fill="FFFFFF" w:themeFill="background1"/>
          </w:tcPr>
          <w:p w14:paraId="508C6556" w14:textId="77777777" w:rsidR="00BA6045" w:rsidRPr="00392386" w:rsidRDefault="00BA6045" w:rsidP="00272AE8"/>
        </w:tc>
        <w:tc>
          <w:tcPr>
            <w:tcW w:w="1979" w:type="dxa"/>
            <w:shd w:val="clear" w:color="auto" w:fill="FFFFFF" w:themeFill="background1"/>
          </w:tcPr>
          <w:p w14:paraId="35188250" w14:textId="77777777" w:rsidR="00BA6045" w:rsidRPr="00392386" w:rsidRDefault="00BA6045" w:rsidP="00272AE8"/>
        </w:tc>
        <w:tc>
          <w:tcPr>
            <w:tcW w:w="1978" w:type="dxa"/>
            <w:shd w:val="clear" w:color="auto" w:fill="FFFFFF" w:themeFill="background1"/>
          </w:tcPr>
          <w:p w14:paraId="084C0A63" w14:textId="77777777" w:rsidR="00BA6045" w:rsidRPr="00392386" w:rsidRDefault="00BA6045" w:rsidP="00272AE8"/>
        </w:tc>
        <w:tc>
          <w:tcPr>
            <w:tcW w:w="1979" w:type="dxa"/>
            <w:shd w:val="clear" w:color="auto" w:fill="FFFFFF" w:themeFill="background1"/>
          </w:tcPr>
          <w:p w14:paraId="68372AD7" w14:textId="77777777" w:rsidR="00BA6045" w:rsidRPr="00392386" w:rsidRDefault="00BA6045" w:rsidP="00272AE8"/>
        </w:tc>
      </w:tr>
      <w:tr w:rsidR="00BA6045" w14:paraId="542A7F0D" w14:textId="77777777" w:rsidTr="00BA6045">
        <w:trPr>
          <w:trHeight w:val="1226"/>
        </w:trPr>
        <w:tc>
          <w:tcPr>
            <w:tcW w:w="5443" w:type="dxa"/>
            <w:vAlign w:val="center"/>
          </w:tcPr>
          <w:p w14:paraId="1053C679" w14:textId="77777777" w:rsidR="00BA6045" w:rsidRPr="00392386" w:rsidRDefault="00BA6045" w:rsidP="00272AE8">
            <w:pPr>
              <w:pStyle w:val="NormalWeb"/>
              <w:spacing w:before="0" w:beforeAutospacing="0" w:after="0" w:afterAutospacing="0"/>
              <w:textAlignment w:val="baseline"/>
              <w:rPr>
                <w:rFonts w:ascii="Calibri" w:hAnsi="Calibri" w:cs="Calibri"/>
                <w:color w:val="000000"/>
                <w:sz w:val="22"/>
                <w:szCs w:val="22"/>
              </w:rPr>
            </w:pPr>
            <w:r w:rsidRPr="00392386">
              <w:rPr>
                <w:rFonts w:ascii="Calibri" w:hAnsi="Calibri" w:cs="Calibri"/>
                <w:color w:val="000000"/>
                <w:sz w:val="22"/>
                <w:szCs w:val="22"/>
              </w:rPr>
              <w:t>Apply the theories of cognitive, social, emotional, language, and physical development from childhood through adolescence.</w:t>
            </w:r>
          </w:p>
        </w:tc>
        <w:tc>
          <w:tcPr>
            <w:tcW w:w="1978" w:type="dxa"/>
            <w:shd w:val="clear" w:color="auto" w:fill="FFFFFF" w:themeFill="background1"/>
          </w:tcPr>
          <w:p w14:paraId="78F1DB2F" w14:textId="77777777" w:rsidR="00BA6045" w:rsidRPr="00392386" w:rsidRDefault="00BA6045" w:rsidP="00272AE8"/>
        </w:tc>
        <w:tc>
          <w:tcPr>
            <w:tcW w:w="1979" w:type="dxa"/>
            <w:shd w:val="clear" w:color="auto" w:fill="FFFFFF" w:themeFill="background1"/>
          </w:tcPr>
          <w:p w14:paraId="717281FF" w14:textId="77777777" w:rsidR="00BA6045" w:rsidRPr="00392386" w:rsidRDefault="00BA6045" w:rsidP="00272AE8"/>
        </w:tc>
        <w:tc>
          <w:tcPr>
            <w:tcW w:w="1978" w:type="dxa"/>
            <w:shd w:val="clear" w:color="auto" w:fill="FFFFFF" w:themeFill="background1"/>
          </w:tcPr>
          <w:p w14:paraId="50F21171" w14:textId="77777777" w:rsidR="00BA6045" w:rsidRPr="00392386" w:rsidRDefault="00BA6045" w:rsidP="00272AE8"/>
        </w:tc>
        <w:tc>
          <w:tcPr>
            <w:tcW w:w="1979" w:type="dxa"/>
            <w:shd w:val="clear" w:color="auto" w:fill="FFFFFF" w:themeFill="background1"/>
          </w:tcPr>
          <w:p w14:paraId="7193F4FD" w14:textId="77777777" w:rsidR="00BA6045" w:rsidRPr="00392386" w:rsidRDefault="00BA6045" w:rsidP="00272AE8"/>
        </w:tc>
      </w:tr>
      <w:tr w:rsidR="00BA6045" w14:paraId="5CA37FFD" w14:textId="77777777" w:rsidTr="00BA6045">
        <w:trPr>
          <w:trHeight w:val="1138"/>
        </w:trPr>
        <w:tc>
          <w:tcPr>
            <w:tcW w:w="5443" w:type="dxa"/>
            <w:tcBorders>
              <w:bottom w:val="single" w:sz="4" w:space="0" w:color="auto"/>
            </w:tcBorders>
            <w:vAlign w:val="center"/>
          </w:tcPr>
          <w:p w14:paraId="7D58FA59" w14:textId="77777777" w:rsidR="00BA6045" w:rsidRPr="00392386" w:rsidRDefault="00BA6045" w:rsidP="00272AE8">
            <w:pPr>
              <w:rPr>
                <w:rFonts w:ascii="Calibri" w:eastAsia="Calibri" w:hAnsi="Calibri" w:cs="Arial"/>
              </w:rPr>
            </w:pPr>
            <w:r w:rsidRPr="00392386">
              <w:rPr>
                <w:rFonts w:ascii="Calibri" w:hAnsi="Calibri" w:cs="Calibri"/>
                <w:color w:val="000000"/>
              </w:rPr>
              <w:t>Understand the characteristics and instructional implications of moderately and severely disabling conditions</w:t>
            </w:r>
            <w:r>
              <w:rPr>
                <w:rFonts w:ascii="Calibri" w:hAnsi="Calibri" w:cs="Calibri"/>
                <w:color w:val="000000"/>
              </w:rPr>
              <w:t>.</w:t>
            </w:r>
          </w:p>
        </w:tc>
        <w:tc>
          <w:tcPr>
            <w:tcW w:w="1978" w:type="dxa"/>
            <w:shd w:val="clear" w:color="auto" w:fill="FFFFFF" w:themeFill="background1"/>
          </w:tcPr>
          <w:p w14:paraId="5989265C" w14:textId="77777777" w:rsidR="00BA6045" w:rsidRPr="00392386" w:rsidRDefault="00BA6045" w:rsidP="00272AE8"/>
        </w:tc>
        <w:tc>
          <w:tcPr>
            <w:tcW w:w="1979" w:type="dxa"/>
            <w:shd w:val="clear" w:color="auto" w:fill="FFFFFF" w:themeFill="background1"/>
          </w:tcPr>
          <w:p w14:paraId="7D918557" w14:textId="77777777" w:rsidR="00BA6045" w:rsidRPr="00392386" w:rsidRDefault="00BA6045" w:rsidP="00272AE8"/>
        </w:tc>
        <w:tc>
          <w:tcPr>
            <w:tcW w:w="1978" w:type="dxa"/>
            <w:shd w:val="clear" w:color="auto" w:fill="FFFFFF" w:themeFill="background1"/>
          </w:tcPr>
          <w:p w14:paraId="52B5465A" w14:textId="77777777" w:rsidR="00BA6045" w:rsidRPr="00392386" w:rsidRDefault="00BA6045" w:rsidP="00272AE8"/>
        </w:tc>
        <w:tc>
          <w:tcPr>
            <w:tcW w:w="1979" w:type="dxa"/>
            <w:shd w:val="clear" w:color="auto" w:fill="FFFFFF" w:themeFill="background1"/>
          </w:tcPr>
          <w:p w14:paraId="0F58CC55" w14:textId="77777777" w:rsidR="00BA6045" w:rsidRPr="00392386" w:rsidRDefault="00BA6045" w:rsidP="00272AE8"/>
        </w:tc>
      </w:tr>
      <w:tr w:rsidR="00BA6045" w14:paraId="34BCD3A6" w14:textId="77777777" w:rsidTr="00BA6045">
        <w:trPr>
          <w:trHeight w:val="250"/>
        </w:trPr>
        <w:tc>
          <w:tcPr>
            <w:tcW w:w="5443" w:type="dxa"/>
            <w:vAlign w:val="center"/>
          </w:tcPr>
          <w:p w14:paraId="07720613" w14:textId="77777777" w:rsidR="00BA6045" w:rsidRPr="00392386" w:rsidRDefault="00BA6045" w:rsidP="00272AE8">
            <w:pPr>
              <w:pStyle w:val="NormalWeb"/>
              <w:spacing w:before="0" w:beforeAutospacing="0" w:after="0" w:afterAutospacing="0"/>
              <w:textAlignment w:val="baseline"/>
              <w:rPr>
                <w:rFonts w:ascii="Calibri" w:hAnsi="Calibri" w:cs="Calibri"/>
                <w:color w:val="000000"/>
                <w:sz w:val="22"/>
                <w:szCs w:val="22"/>
              </w:rPr>
            </w:pPr>
            <w:r w:rsidRPr="00392386">
              <w:rPr>
                <w:rFonts w:ascii="Calibri" w:hAnsi="Calibri" w:cs="Calibri"/>
                <w:color w:val="000000"/>
                <w:sz w:val="22"/>
                <w:szCs w:val="22"/>
              </w:rPr>
              <w:t>Apply special education policies and procedures.</w:t>
            </w:r>
          </w:p>
        </w:tc>
        <w:tc>
          <w:tcPr>
            <w:tcW w:w="1978" w:type="dxa"/>
            <w:shd w:val="clear" w:color="auto" w:fill="FFFFFF" w:themeFill="background1"/>
          </w:tcPr>
          <w:p w14:paraId="3C5FAF5D" w14:textId="77777777" w:rsidR="00BA6045" w:rsidRPr="00392386" w:rsidRDefault="00BA6045" w:rsidP="00272AE8"/>
        </w:tc>
        <w:tc>
          <w:tcPr>
            <w:tcW w:w="1979" w:type="dxa"/>
            <w:shd w:val="clear" w:color="auto" w:fill="FFFFFF" w:themeFill="background1"/>
          </w:tcPr>
          <w:p w14:paraId="3DD75FEC" w14:textId="77777777" w:rsidR="00BA6045" w:rsidRPr="00392386" w:rsidRDefault="00BA6045" w:rsidP="00272AE8"/>
        </w:tc>
        <w:tc>
          <w:tcPr>
            <w:tcW w:w="1978" w:type="dxa"/>
            <w:shd w:val="clear" w:color="auto" w:fill="FFFFFF" w:themeFill="background1"/>
          </w:tcPr>
          <w:p w14:paraId="0A87B21C" w14:textId="77777777" w:rsidR="00BA6045" w:rsidRPr="00392386" w:rsidRDefault="00BA6045" w:rsidP="00272AE8"/>
        </w:tc>
        <w:tc>
          <w:tcPr>
            <w:tcW w:w="1979" w:type="dxa"/>
            <w:shd w:val="clear" w:color="auto" w:fill="FFFFFF" w:themeFill="background1"/>
          </w:tcPr>
          <w:p w14:paraId="12C899B1" w14:textId="77777777" w:rsidR="00BA6045" w:rsidRPr="00392386" w:rsidRDefault="00BA6045" w:rsidP="00272AE8"/>
        </w:tc>
      </w:tr>
      <w:tr w:rsidR="00BA6045" w14:paraId="7BECB3B7" w14:textId="77777777" w:rsidTr="00BA6045">
        <w:trPr>
          <w:trHeight w:val="696"/>
        </w:trPr>
        <w:tc>
          <w:tcPr>
            <w:tcW w:w="5443" w:type="dxa"/>
            <w:tcBorders>
              <w:bottom w:val="single" w:sz="4" w:space="0" w:color="auto"/>
            </w:tcBorders>
            <w:vAlign w:val="center"/>
          </w:tcPr>
          <w:p w14:paraId="4B10518F" w14:textId="77777777" w:rsidR="00BA6045" w:rsidRPr="00392386" w:rsidRDefault="00BA6045" w:rsidP="00272AE8">
            <w:pPr>
              <w:rPr>
                <w:rFonts w:ascii="Calibri" w:eastAsia="Calibri" w:hAnsi="Calibri" w:cs="Arial"/>
              </w:rPr>
            </w:pPr>
            <w:r w:rsidRPr="00392386">
              <w:rPr>
                <w:rFonts w:ascii="Calibri" w:hAnsi="Calibri" w:cs="Calibri"/>
                <w:color w:val="000000"/>
              </w:rPr>
              <w:t>Support English learners through English learner education instruction.</w:t>
            </w:r>
          </w:p>
        </w:tc>
        <w:tc>
          <w:tcPr>
            <w:tcW w:w="1978" w:type="dxa"/>
            <w:tcBorders>
              <w:bottom w:val="single" w:sz="4" w:space="0" w:color="auto"/>
            </w:tcBorders>
            <w:shd w:val="clear" w:color="auto" w:fill="FFFFFF" w:themeFill="background1"/>
          </w:tcPr>
          <w:p w14:paraId="4C15B503" w14:textId="77777777" w:rsidR="00BA6045" w:rsidRPr="00392386" w:rsidRDefault="00BA6045" w:rsidP="00272AE8"/>
        </w:tc>
        <w:tc>
          <w:tcPr>
            <w:tcW w:w="1979" w:type="dxa"/>
            <w:tcBorders>
              <w:bottom w:val="single" w:sz="4" w:space="0" w:color="auto"/>
            </w:tcBorders>
            <w:shd w:val="clear" w:color="auto" w:fill="FFFFFF" w:themeFill="background1"/>
          </w:tcPr>
          <w:p w14:paraId="77CE1AAA" w14:textId="77777777" w:rsidR="00BA6045" w:rsidRPr="00392386" w:rsidRDefault="00BA6045" w:rsidP="00272AE8"/>
        </w:tc>
        <w:tc>
          <w:tcPr>
            <w:tcW w:w="1978" w:type="dxa"/>
            <w:tcBorders>
              <w:bottom w:val="single" w:sz="4" w:space="0" w:color="auto"/>
            </w:tcBorders>
            <w:shd w:val="clear" w:color="auto" w:fill="FFFFFF" w:themeFill="background1"/>
          </w:tcPr>
          <w:p w14:paraId="38E1DF26" w14:textId="77777777" w:rsidR="00BA6045" w:rsidRPr="00392386" w:rsidRDefault="00BA6045" w:rsidP="00272AE8"/>
        </w:tc>
        <w:tc>
          <w:tcPr>
            <w:tcW w:w="1979" w:type="dxa"/>
            <w:tcBorders>
              <w:bottom w:val="single" w:sz="4" w:space="0" w:color="auto"/>
            </w:tcBorders>
            <w:shd w:val="clear" w:color="auto" w:fill="FFFFFF" w:themeFill="background1"/>
          </w:tcPr>
          <w:p w14:paraId="4C3A8427" w14:textId="77777777" w:rsidR="00BA6045" w:rsidRPr="00392386" w:rsidRDefault="00BA6045" w:rsidP="00272AE8"/>
        </w:tc>
      </w:tr>
    </w:tbl>
    <w:p w14:paraId="42B774BB" w14:textId="77777777" w:rsidR="00B52485" w:rsidRDefault="00B52485" w:rsidP="00FD411F"/>
    <w:sectPr w:rsidR="00B52485" w:rsidSect="00BA604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045"/>
    <w:rsid w:val="000A4CDD"/>
    <w:rsid w:val="000A5BB0"/>
    <w:rsid w:val="00297B28"/>
    <w:rsid w:val="003B5F59"/>
    <w:rsid w:val="006A71AC"/>
    <w:rsid w:val="008C6D59"/>
    <w:rsid w:val="00B52485"/>
    <w:rsid w:val="00B92C60"/>
    <w:rsid w:val="00B978FE"/>
    <w:rsid w:val="00BA6045"/>
    <w:rsid w:val="00EB125F"/>
    <w:rsid w:val="00F01617"/>
    <w:rsid w:val="00FD411F"/>
    <w:rsid w:val="00FE0E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3E9D"/>
  <w15:chartTrackingRefBased/>
  <w15:docId w15:val="{EFAF1072-BE0F-4AE2-9C25-FA78319B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045"/>
    <w:rPr>
      <w:color w:val="0000FF"/>
      <w:u w:val="single"/>
    </w:rPr>
  </w:style>
  <w:style w:type="paragraph" w:styleId="NormalWeb">
    <w:name w:val="Normal (Web)"/>
    <w:basedOn w:val="Normal"/>
    <w:uiPriority w:val="99"/>
    <w:unhideWhenUsed/>
    <w:rsid w:val="00BA604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A6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A6045"/>
    <w:pPr>
      <w:spacing w:after="0" w:line="240" w:lineRule="auto"/>
    </w:pPr>
    <w:rPr>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PlaceholderText">
    <w:name w:val="Placeholder Text"/>
    <w:basedOn w:val="DefaultParagraphFont"/>
    <w:uiPriority w:val="99"/>
    <w:semiHidden/>
    <w:rsid w:val="00B978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frameworks/ela/2017-06.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doe.mass.edu/frameworks/dlcs.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D09CDDB0B74D1089451CDBDA6AEBAE"/>
        <w:category>
          <w:name w:val="General"/>
          <w:gallery w:val="placeholder"/>
        </w:category>
        <w:types>
          <w:type w:val="bbPlcHdr"/>
        </w:types>
        <w:behaviors>
          <w:behavior w:val="content"/>
        </w:behaviors>
        <w:guid w:val="{474A2FFE-C34A-4F37-97DA-D362E2D544A1}"/>
      </w:docPartPr>
      <w:docPartBody>
        <w:p w:rsidR="00426D8A" w:rsidRDefault="00C9266E">
          <w:r w:rsidRPr="006E5CB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6E"/>
    <w:rsid w:val="00426D8A"/>
    <w:rsid w:val="00835746"/>
    <w:rsid w:val="008C0843"/>
    <w:rsid w:val="00B16764"/>
    <w:rsid w:val="00C92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26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DESE-231-69531</_dlc_DocId>
    <_dlc_DocIdUrl xmlns="733efe1c-5bbe-4968-87dc-d400e65c879f">
      <Url>https://sharepoint.doemass.org/ese/webteam/cps/_layouts/DocIdRedir.aspx?ID=DESE-231-69531</Url>
      <Description>DESE-231-69531</Description>
    </_dlc_DocIdUrl>
  </documentManagement>
</p:properties>
</file>

<file path=customXml/itemProps1.xml><?xml version="1.0" encoding="utf-8"?>
<ds:datastoreItem xmlns:ds="http://schemas.openxmlformats.org/officeDocument/2006/customXml" ds:itemID="{F2C5ED3F-9201-444C-9065-84FF9FDFB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4A7F73-0637-4BFE-BD7F-5CFADB16D207}">
  <ds:schemaRefs>
    <ds:schemaRef ds:uri="http://schemas.microsoft.com/sharepoint/v3/contenttype/forms"/>
  </ds:schemaRefs>
</ds:datastoreItem>
</file>

<file path=customXml/itemProps3.xml><?xml version="1.0" encoding="utf-8"?>
<ds:datastoreItem xmlns:ds="http://schemas.openxmlformats.org/officeDocument/2006/customXml" ds:itemID="{FCCC578D-46B0-48EF-ADAD-9B600EC25C52}">
  <ds:schemaRefs>
    <ds:schemaRef ds:uri="http://schemas.microsoft.com/sharepoint/events"/>
  </ds:schemaRefs>
</ds:datastoreItem>
</file>

<file path=customXml/itemProps4.xml><?xml version="1.0" encoding="utf-8"?>
<ds:datastoreItem xmlns:ds="http://schemas.openxmlformats.org/officeDocument/2006/customXml" ds:itemID="{74ED62F5-8C5A-477F-B006-C217C468D75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Crosscutting Subject Matter Knowledge (SMK) Matrix</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Crosscutting Subject Matter Knowledge (SMK) Matrix</dc:title>
  <dc:subject/>
  <dc:creator>DESE</dc:creator>
  <cp:keywords/>
  <dc:description/>
  <cp:lastModifiedBy>Zou, Dong (EOE)</cp:lastModifiedBy>
  <cp:revision>4</cp:revision>
  <dcterms:created xsi:type="dcterms:W3CDTF">2021-04-02T14:57:00Z</dcterms:created>
  <dcterms:modified xsi:type="dcterms:W3CDTF">2021-04-02T20:37:00Z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eadate">
    <vt:lpwstr>Apr 2 2021</vt:lpwstr>
  </property>
</Properties>
</file>