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38B3B" w14:textId="7AF1DA19" w:rsidR="00F52B36" w:rsidRPr="00C44ECC" w:rsidRDefault="00C44ECC" w:rsidP="0017754F">
      <w:pPr>
        <w:pStyle w:val="Heading1-CoverTitle"/>
        <w:rPr>
          <w:color w:val="1F3864" w:themeColor="accent1" w:themeShade="80"/>
        </w:rPr>
      </w:pPr>
      <w:bookmarkStart w:id="0" w:name="_Toc170896940"/>
      <w:bookmarkStart w:id="1" w:name="_Toc170897329"/>
      <w:bookmarkStart w:id="2" w:name="Title"/>
      <w:r>
        <w:rPr>
          <w:noProof/>
          <w:color w:val="4472C4" w:themeColor="accent1"/>
          <w14:ligatures w14:val="standardContextual"/>
        </w:rPr>
        <w:drawing>
          <wp:anchor distT="0" distB="0" distL="114300" distR="114300" simplePos="0" relativeHeight="251659290" behindDoc="1" locked="0" layoutInCell="1" allowOverlap="1" wp14:anchorId="2B48DBA2" wp14:editId="664BEC9E">
            <wp:simplePos x="0" y="0"/>
            <wp:positionH relativeFrom="page">
              <wp:align>right</wp:align>
            </wp:positionH>
            <wp:positionV relativeFrom="paragraph">
              <wp:posOffset>112395</wp:posOffset>
            </wp:positionV>
            <wp:extent cx="7858125" cy="6886575"/>
            <wp:effectExtent l="0" t="0" r="9525" b="9525"/>
            <wp:wrapNone/>
            <wp:docPr id="1898876826" name="Picture 25" descr="Watercolor stripes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76826" name="Picture 1898876826" descr="Watercolor stripes pattern"/>
                    <pic:cNvPicPr/>
                  </pic:nvPicPr>
                  <pic:blipFill>
                    <a:blip r:embed="rId12">
                      <a:alphaModFix amt="35000"/>
                      <a:extLst>
                        <a:ext uri="{28A0092B-C50C-407E-A947-70E740481C1C}">
                          <a14:useLocalDpi xmlns:a14="http://schemas.microsoft.com/office/drawing/2010/main" val="0"/>
                        </a:ext>
                      </a:extLst>
                    </a:blip>
                    <a:stretch>
                      <a:fillRect/>
                    </a:stretch>
                  </pic:blipFill>
                  <pic:spPr>
                    <a:xfrm>
                      <a:off x="0" y="0"/>
                      <a:ext cx="7858125" cy="6886575"/>
                    </a:xfrm>
                    <a:prstGeom prst="rect">
                      <a:avLst/>
                    </a:prstGeom>
                  </pic:spPr>
                </pic:pic>
              </a:graphicData>
            </a:graphic>
            <wp14:sizeRelH relativeFrom="margin">
              <wp14:pctWidth>0</wp14:pctWidth>
            </wp14:sizeRelH>
            <wp14:sizeRelV relativeFrom="margin">
              <wp14:pctHeight>0</wp14:pctHeight>
            </wp14:sizeRelV>
          </wp:anchor>
        </w:drawing>
      </w:r>
      <w:r w:rsidR="00F52B36" w:rsidRPr="00C44ECC">
        <w:rPr>
          <w:noProof/>
          <w:color w:val="1F3864" w:themeColor="accent1" w:themeShade="80"/>
        </w:rPr>
        <w:t xml:space="preserve">Educator Preparation </w:t>
      </w:r>
      <w:r w:rsidR="004F6C96" w:rsidRPr="00C44ECC">
        <w:rPr>
          <w:noProof/>
          <w:color w:val="1F3864" w:themeColor="accent1" w:themeShade="80"/>
        </w:rPr>
        <w:t xml:space="preserve">Promising Practices </w:t>
      </w:r>
      <w:r w:rsidR="00F52B36" w:rsidRPr="00C44ECC">
        <w:rPr>
          <w:noProof/>
          <w:color w:val="1F3864" w:themeColor="accent1" w:themeShade="80"/>
        </w:rPr>
        <w:t>Resource Kit</w:t>
      </w:r>
      <w:bookmarkEnd w:id="0"/>
      <w:bookmarkEnd w:id="1"/>
    </w:p>
    <w:p w14:paraId="5CA128A1" w14:textId="1B3827FA" w:rsidR="00F52B36" w:rsidRPr="00C44ECC" w:rsidRDefault="000411B6" w:rsidP="007C3D1C">
      <w:pPr>
        <w:pStyle w:val="Cover-Authors"/>
        <w:rPr>
          <w:color w:val="1F3864" w:themeColor="accent1" w:themeShade="80"/>
        </w:rPr>
      </w:pPr>
      <w:r w:rsidRPr="00C44ECC">
        <w:rPr>
          <w:color w:val="1F3864" w:themeColor="accent1" w:themeShade="80"/>
        </w:rPr>
        <w:t>Octo</w:t>
      </w:r>
      <w:r w:rsidR="00A37AD5" w:rsidRPr="00C44ECC">
        <w:rPr>
          <w:color w:val="1F3864" w:themeColor="accent1" w:themeShade="80"/>
        </w:rPr>
        <w:t>ber</w:t>
      </w:r>
      <w:r w:rsidR="00F52B36" w:rsidRPr="00C44ECC">
        <w:rPr>
          <w:color w:val="1F3864" w:themeColor="accent1" w:themeShade="80"/>
        </w:rPr>
        <w:t xml:space="preserve"> 2024</w:t>
      </w:r>
    </w:p>
    <w:p w14:paraId="35F6E4C9" w14:textId="4E8788ED" w:rsidR="00550E1F" w:rsidRPr="00C44ECC" w:rsidRDefault="73E2BFF1" w:rsidP="1A406CC9">
      <w:pPr>
        <w:pStyle w:val="Cover-Authors"/>
        <w:rPr>
          <w:i/>
          <w:iCs/>
          <w:color w:val="1F3864" w:themeColor="accent1" w:themeShade="80"/>
          <w:sz w:val="18"/>
          <w:szCs w:val="18"/>
        </w:rPr>
      </w:pPr>
      <w:r w:rsidRPr="1A406CC9">
        <w:rPr>
          <w:i/>
          <w:iCs/>
          <w:color w:val="1F3864" w:themeColor="accent1" w:themeShade="80"/>
          <w:sz w:val="20"/>
          <w:szCs w:val="20"/>
        </w:rPr>
        <w:t>Updated May 2025</w:t>
      </w:r>
    </w:p>
    <w:p w14:paraId="1BE90F93" w14:textId="77777777" w:rsidR="00550E1F" w:rsidRPr="00C44ECC" w:rsidRDefault="00550E1F" w:rsidP="007C3D1C">
      <w:pPr>
        <w:pStyle w:val="Cover-Authors"/>
        <w:rPr>
          <w:color w:val="1F3864" w:themeColor="accent1" w:themeShade="80"/>
        </w:rPr>
      </w:pPr>
    </w:p>
    <w:p w14:paraId="09D157F4" w14:textId="77777777" w:rsidR="00550E1F" w:rsidRPr="00C44ECC" w:rsidRDefault="00550E1F" w:rsidP="007C3D1C">
      <w:pPr>
        <w:pStyle w:val="Cover-Authors"/>
        <w:rPr>
          <w:color w:val="1F3864" w:themeColor="accent1" w:themeShade="80"/>
        </w:rPr>
      </w:pPr>
    </w:p>
    <w:p w14:paraId="23729768" w14:textId="77777777" w:rsidR="00550E1F" w:rsidRPr="00C44ECC" w:rsidRDefault="00550E1F" w:rsidP="007C3D1C">
      <w:pPr>
        <w:pStyle w:val="Cover-Authors"/>
        <w:rPr>
          <w:color w:val="1F3864" w:themeColor="accent1" w:themeShade="80"/>
        </w:rPr>
      </w:pPr>
    </w:p>
    <w:p w14:paraId="5265652D" w14:textId="1C444D76" w:rsidR="00550E1F" w:rsidRPr="00C44ECC" w:rsidRDefault="00550E1F" w:rsidP="007C3D1C">
      <w:pPr>
        <w:pStyle w:val="Cover-Authors"/>
        <w:rPr>
          <w:i/>
          <w:iCs/>
          <w:color w:val="1F3864" w:themeColor="accent1" w:themeShade="80"/>
          <w:sz w:val="24"/>
          <w:szCs w:val="22"/>
        </w:rPr>
      </w:pPr>
      <w:r w:rsidRPr="00C44ECC">
        <w:rPr>
          <w:i/>
          <w:iCs/>
          <w:color w:val="1F3864" w:themeColor="accent1" w:themeShade="80"/>
          <w:sz w:val="24"/>
          <w:szCs w:val="22"/>
        </w:rPr>
        <w:t>Created for DESE in partnership with WestEd</w:t>
      </w:r>
    </w:p>
    <w:p w14:paraId="2DA08C4B" w14:textId="77777777" w:rsidR="00F52B36" w:rsidRPr="00C44ECC" w:rsidRDefault="00F52B36" w:rsidP="007C3D1C">
      <w:pPr>
        <w:sectPr w:rsidR="00F52B36" w:rsidRPr="00C44ECC" w:rsidSect="0098143B">
          <w:headerReference w:type="even" r:id="rId13"/>
          <w:headerReference w:type="default" r:id="rId14"/>
          <w:footerReference w:type="even" r:id="rId15"/>
          <w:footerReference w:type="default" r:id="rId16"/>
          <w:pgSz w:w="12240" w:h="15840"/>
          <w:pgMar w:top="720" w:right="1008" w:bottom="806" w:left="1008" w:header="720" w:footer="432" w:gutter="0"/>
          <w:cols w:space="708"/>
          <w:docGrid w:linePitch="360"/>
        </w:sectPr>
      </w:pPr>
      <w:r w:rsidRPr="00C44ECC">
        <w:br w:type="page"/>
      </w:r>
    </w:p>
    <w:p w14:paraId="174B39AD" w14:textId="77777777" w:rsidR="003C26D5" w:rsidRDefault="00F52B36" w:rsidP="003C26D5">
      <w:pPr>
        <w:pStyle w:val="TOCTitle"/>
        <w:rPr>
          <w:noProof/>
        </w:rPr>
      </w:pPr>
      <w:bookmarkStart w:id="3" w:name="_Toc170048388"/>
      <w:bookmarkStart w:id="4" w:name="_Toc170286287"/>
      <w:bookmarkStart w:id="5" w:name="_Toc170286762"/>
      <w:bookmarkStart w:id="6" w:name="_Toc170896941"/>
      <w:r w:rsidRPr="00D029FD">
        <w:lastRenderedPageBreak/>
        <w:t>Contents</w:t>
      </w:r>
      <w:bookmarkEnd w:id="3"/>
      <w:bookmarkEnd w:id="4"/>
      <w:bookmarkEnd w:id="5"/>
      <w:bookmarkEnd w:id="6"/>
      <w:r w:rsidR="003C26D5">
        <w:fldChar w:fldCharType="begin"/>
      </w:r>
      <w:r w:rsidR="003C26D5">
        <w:instrText xml:space="preserve"> TOC \h \z \t "Heading 2,2,Heading 1 - Cover Title,1,Heading 2a,2" </w:instrText>
      </w:r>
      <w:r w:rsidR="003C26D5">
        <w:fldChar w:fldCharType="separate"/>
      </w:r>
    </w:p>
    <w:p w14:paraId="1BB1DE56" w14:textId="1835C062" w:rsidR="003C26D5" w:rsidRDefault="003C26D5">
      <w:pPr>
        <w:pStyle w:val="TOC2"/>
        <w:rPr>
          <w:b w:val="0"/>
          <w:noProof/>
          <w:color w:val="auto"/>
          <w:kern w:val="2"/>
          <w:szCs w:val="24"/>
          <w:lang w:eastAsia="en-US"/>
          <w14:ligatures w14:val="standardContextual"/>
        </w:rPr>
      </w:pPr>
      <w:hyperlink w:anchor="_Toc170897330" w:history="1">
        <w:r w:rsidRPr="00D74182">
          <w:rPr>
            <w:rStyle w:val="Hyperlink"/>
            <w:noProof/>
          </w:rPr>
          <w:t>Introduction to the Educator Preparation Promising Practices Resource Kit</w:t>
        </w:r>
        <w:r>
          <w:rPr>
            <w:noProof/>
            <w:webHidden/>
          </w:rPr>
          <w:tab/>
        </w:r>
        <w:r>
          <w:rPr>
            <w:noProof/>
            <w:webHidden/>
          </w:rPr>
          <w:fldChar w:fldCharType="begin"/>
        </w:r>
        <w:r>
          <w:rPr>
            <w:noProof/>
            <w:webHidden/>
          </w:rPr>
          <w:instrText xml:space="preserve"> PAGEREF _Toc170897330 \h </w:instrText>
        </w:r>
        <w:r>
          <w:rPr>
            <w:noProof/>
            <w:webHidden/>
          </w:rPr>
        </w:r>
        <w:r>
          <w:rPr>
            <w:noProof/>
            <w:webHidden/>
          </w:rPr>
          <w:fldChar w:fldCharType="separate"/>
        </w:r>
        <w:r w:rsidR="00902279">
          <w:rPr>
            <w:noProof/>
            <w:webHidden/>
          </w:rPr>
          <w:t>1</w:t>
        </w:r>
        <w:r>
          <w:rPr>
            <w:noProof/>
            <w:webHidden/>
          </w:rPr>
          <w:fldChar w:fldCharType="end"/>
        </w:r>
      </w:hyperlink>
    </w:p>
    <w:p w14:paraId="11AB54D9" w14:textId="2381B87D" w:rsidR="003C26D5" w:rsidRDefault="003C26D5">
      <w:pPr>
        <w:pStyle w:val="TOC2"/>
        <w:rPr>
          <w:b w:val="0"/>
          <w:noProof/>
          <w:color w:val="auto"/>
          <w:kern w:val="2"/>
          <w:szCs w:val="24"/>
          <w:lang w:eastAsia="en-US"/>
          <w14:ligatures w14:val="standardContextual"/>
        </w:rPr>
      </w:pPr>
      <w:hyperlink r:id="rId17" w:anchor="_Toc170897331" w:history="1">
        <w:r w:rsidRPr="00D74182">
          <w:rPr>
            <w:rStyle w:val="Hyperlink"/>
            <w:noProof/>
          </w:rPr>
          <w:t>Promising Practices Guide for Educator Preparation Programs</w:t>
        </w:r>
        <w:r>
          <w:rPr>
            <w:noProof/>
            <w:webHidden/>
          </w:rPr>
          <w:tab/>
        </w:r>
        <w:r>
          <w:rPr>
            <w:noProof/>
            <w:webHidden/>
          </w:rPr>
          <w:fldChar w:fldCharType="begin"/>
        </w:r>
        <w:r>
          <w:rPr>
            <w:noProof/>
            <w:webHidden/>
          </w:rPr>
          <w:instrText xml:space="preserve"> PAGEREF _Toc170897331 \h </w:instrText>
        </w:r>
        <w:r>
          <w:rPr>
            <w:noProof/>
            <w:webHidden/>
          </w:rPr>
        </w:r>
        <w:r>
          <w:rPr>
            <w:noProof/>
            <w:webHidden/>
          </w:rPr>
          <w:fldChar w:fldCharType="separate"/>
        </w:r>
        <w:r w:rsidR="00902279">
          <w:rPr>
            <w:noProof/>
            <w:webHidden/>
          </w:rPr>
          <w:t>2</w:t>
        </w:r>
        <w:r>
          <w:rPr>
            <w:noProof/>
            <w:webHidden/>
          </w:rPr>
          <w:fldChar w:fldCharType="end"/>
        </w:r>
      </w:hyperlink>
    </w:p>
    <w:p w14:paraId="74E2C6DF" w14:textId="4CE86031" w:rsidR="003C26D5" w:rsidRDefault="003C26D5" w:rsidP="00D2191D">
      <w:pPr>
        <w:pStyle w:val="TOC2"/>
        <w:ind w:left="1440"/>
        <w:rPr>
          <w:b w:val="0"/>
          <w:noProof/>
          <w:color w:val="auto"/>
          <w:kern w:val="2"/>
          <w:szCs w:val="24"/>
          <w:lang w:eastAsia="en-US"/>
          <w14:ligatures w14:val="standardContextual"/>
        </w:rPr>
      </w:pPr>
      <w:hyperlink r:id="rId18" w:anchor="_Toc170897332" w:history="1">
        <w:r w:rsidRPr="00550E1F">
          <w:rPr>
            <w:rStyle w:val="Hyperlink"/>
            <w:b w:val="0"/>
            <w:noProof/>
          </w:rPr>
          <w:t>Promising Practices for the Continuous Improvement Domain</w:t>
        </w:r>
        <w:r w:rsidRPr="00550E1F">
          <w:rPr>
            <w:b w:val="0"/>
            <w:noProof/>
            <w:webHidden/>
          </w:rPr>
          <w:tab/>
        </w:r>
        <w:r w:rsidRPr="00550E1F">
          <w:rPr>
            <w:b w:val="0"/>
            <w:noProof/>
            <w:webHidden/>
          </w:rPr>
          <w:fldChar w:fldCharType="begin"/>
        </w:r>
        <w:r w:rsidRPr="00550E1F">
          <w:rPr>
            <w:b w:val="0"/>
            <w:noProof/>
            <w:webHidden/>
          </w:rPr>
          <w:instrText xml:space="preserve"> PAGEREF _Toc170897332 \h </w:instrText>
        </w:r>
        <w:r w:rsidRPr="00550E1F">
          <w:rPr>
            <w:b w:val="0"/>
            <w:noProof/>
            <w:webHidden/>
          </w:rPr>
        </w:r>
        <w:r w:rsidRPr="00550E1F">
          <w:rPr>
            <w:b w:val="0"/>
            <w:noProof/>
            <w:webHidden/>
          </w:rPr>
          <w:fldChar w:fldCharType="separate"/>
        </w:r>
        <w:r w:rsidR="00902279">
          <w:rPr>
            <w:b w:val="0"/>
            <w:noProof/>
            <w:webHidden/>
          </w:rPr>
          <w:t>3</w:t>
        </w:r>
        <w:r w:rsidRPr="00550E1F">
          <w:rPr>
            <w:b w:val="0"/>
            <w:noProof/>
            <w:webHidden/>
          </w:rPr>
          <w:fldChar w:fldCharType="end"/>
        </w:r>
      </w:hyperlink>
    </w:p>
    <w:p w14:paraId="479A0C8F" w14:textId="25F72E1C" w:rsidR="003C26D5" w:rsidRDefault="003C26D5" w:rsidP="00D2191D">
      <w:pPr>
        <w:pStyle w:val="TOC2"/>
        <w:ind w:left="1440"/>
        <w:rPr>
          <w:b w:val="0"/>
          <w:noProof/>
          <w:color w:val="auto"/>
          <w:kern w:val="2"/>
          <w:szCs w:val="24"/>
          <w:lang w:eastAsia="en-US"/>
          <w14:ligatures w14:val="standardContextual"/>
        </w:rPr>
      </w:pPr>
      <w:hyperlink r:id="rId19" w:anchor="_Toc170897334" w:history="1">
        <w:r w:rsidRPr="00550E1F">
          <w:rPr>
            <w:rStyle w:val="Hyperlink"/>
            <w:b w:val="0"/>
            <w:noProof/>
          </w:rPr>
          <w:t>Promising Practices for the Candidate Domain</w:t>
        </w:r>
        <w:r w:rsidRPr="00550E1F">
          <w:rPr>
            <w:b w:val="0"/>
            <w:noProof/>
            <w:webHidden/>
          </w:rPr>
          <w:tab/>
        </w:r>
        <w:r w:rsidRPr="00550E1F">
          <w:rPr>
            <w:b w:val="0"/>
            <w:noProof/>
            <w:webHidden/>
          </w:rPr>
          <w:fldChar w:fldCharType="begin"/>
        </w:r>
        <w:r w:rsidRPr="00550E1F">
          <w:rPr>
            <w:b w:val="0"/>
            <w:noProof/>
            <w:webHidden/>
          </w:rPr>
          <w:instrText xml:space="preserve"> PAGEREF _Toc170897334 \h </w:instrText>
        </w:r>
        <w:r w:rsidRPr="00550E1F">
          <w:rPr>
            <w:b w:val="0"/>
            <w:noProof/>
            <w:webHidden/>
          </w:rPr>
        </w:r>
        <w:r w:rsidRPr="00550E1F">
          <w:rPr>
            <w:b w:val="0"/>
            <w:noProof/>
            <w:webHidden/>
          </w:rPr>
          <w:fldChar w:fldCharType="separate"/>
        </w:r>
        <w:r w:rsidR="00902279">
          <w:rPr>
            <w:b w:val="0"/>
            <w:noProof/>
            <w:webHidden/>
          </w:rPr>
          <w:t>7</w:t>
        </w:r>
        <w:r w:rsidRPr="00550E1F">
          <w:rPr>
            <w:b w:val="0"/>
            <w:noProof/>
            <w:webHidden/>
          </w:rPr>
          <w:fldChar w:fldCharType="end"/>
        </w:r>
      </w:hyperlink>
    </w:p>
    <w:p w14:paraId="7570DD1C" w14:textId="4C1CE41C" w:rsidR="003C26D5" w:rsidRDefault="003C26D5" w:rsidP="00D2191D">
      <w:pPr>
        <w:pStyle w:val="TOC2"/>
        <w:ind w:left="1440"/>
        <w:rPr>
          <w:b w:val="0"/>
          <w:noProof/>
          <w:color w:val="auto"/>
          <w:kern w:val="2"/>
          <w:szCs w:val="24"/>
          <w:lang w:eastAsia="en-US"/>
          <w14:ligatures w14:val="standardContextual"/>
        </w:rPr>
      </w:pPr>
      <w:hyperlink r:id="rId20" w:anchor="_Toc170897336" w:history="1">
        <w:r w:rsidRPr="00550E1F">
          <w:rPr>
            <w:rStyle w:val="Hyperlink"/>
            <w:b w:val="0"/>
            <w:noProof/>
          </w:rPr>
          <w:t xml:space="preserve">Promising Practices for </w:t>
        </w:r>
        <w:r w:rsidR="0014678D" w:rsidRPr="00550E1F">
          <w:rPr>
            <w:rStyle w:val="Hyperlink"/>
            <w:b w:val="0"/>
            <w:noProof/>
          </w:rPr>
          <w:t xml:space="preserve">the </w:t>
        </w:r>
        <w:r w:rsidRPr="00550E1F">
          <w:rPr>
            <w:rStyle w:val="Hyperlink"/>
            <w:b w:val="0"/>
            <w:noProof/>
          </w:rPr>
          <w:t>Partnerships Domain</w:t>
        </w:r>
        <w:r w:rsidRPr="00550E1F">
          <w:rPr>
            <w:b w:val="0"/>
            <w:noProof/>
            <w:webHidden/>
          </w:rPr>
          <w:tab/>
        </w:r>
        <w:r w:rsidRPr="00550E1F">
          <w:rPr>
            <w:b w:val="0"/>
            <w:noProof/>
            <w:webHidden/>
          </w:rPr>
          <w:fldChar w:fldCharType="begin"/>
        </w:r>
        <w:r w:rsidRPr="00550E1F">
          <w:rPr>
            <w:b w:val="0"/>
            <w:noProof/>
            <w:webHidden/>
          </w:rPr>
          <w:instrText xml:space="preserve"> PAGEREF _Toc170897336 \h </w:instrText>
        </w:r>
        <w:r w:rsidRPr="00550E1F">
          <w:rPr>
            <w:b w:val="0"/>
            <w:noProof/>
            <w:webHidden/>
          </w:rPr>
        </w:r>
        <w:r w:rsidRPr="00550E1F">
          <w:rPr>
            <w:b w:val="0"/>
            <w:noProof/>
            <w:webHidden/>
          </w:rPr>
          <w:fldChar w:fldCharType="separate"/>
        </w:r>
        <w:r w:rsidR="00902279">
          <w:rPr>
            <w:b w:val="0"/>
            <w:noProof/>
            <w:webHidden/>
          </w:rPr>
          <w:t>12</w:t>
        </w:r>
        <w:r w:rsidRPr="00550E1F">
          <w:rPr>
            <w:b w:val="0"/>
            <w:noProof/>
            <w:webHidden/>
          </w:rPr>
          <w:fldChar w:fldCharType="end"/>
        </w:r>
      </w:hyperlink>
    </w:p>
    <w:p w14:paraId="4577CBB6" w14:textId="4D17E857" w:rsidR="003C26D5" w:rsidRDefault="003C26D5">
      <w:pPr>
        <w:pStyle w:val="TOC2"/>
        <w:rPr>
          <w:b w:val="0"/>
          <w:noProof/>
          <w:color w:val="auto"/>
          <w:kern w:val="2"/>
          <w:szCs w:val="24"/>
          <w:lang w:eastAsia="en-US"/>
          <w14:ligatures w14:val="standardContextual"/>
        </w:rPr>
      </w:pPr>
      <w:hyperlink w:anchor="_Toc170897339" w:history="1">
        <w:r w:rsidRPr="00D74182">
          <w:rPr>
            <w:rStyle w:val="Hyperlink"/>
            <w:noProof/>
          </w:rPr>
          <w:t>Case Studies of Promising Practices</w:t>
        </w:r>
        <w:r>
          <w:rPr>
            <w:noProof/>
            <w:webHidden/>
          </w:rPr>
          <w:tab/>
        </w:r>
        <w:r>
          <w:rPr>
            <w:noProof/>
            <w:webHidden/>
          </w:rPr>
          <w:fldChar w:fldCharType="begin"/>
        </w:r>
        <w:r>
          <w:rPr>
            <w:noProof/>
            <w:webHidden/>
          </w:rPr>
          <w:instrText xml:space="preserve"> PAGEREF _Toc170897339 \h </w:instrText>
        </w:r>
        <w:r>
          <w:rPr>
            <w:noProof/>
            <w:webHidden/>
          </w:rPr>
        </w:r>
        <w:r>
          <w:rPr>
            <w:noProof/>
            <w:webHidden/>
          </w:rPr>
          <w:fldChar w:fldCharType="separate"/>
        </w:r>
        <w:r w:rsidR="00902279">
          <w:rPr>
            <w:noProof/>
            <w:webHidden/>
          </w:rPr>
          <w:t>16</w:t>
        </w:r>
        <w:r>
          <w:rPr>
            <w:noProof/>
            <w:webHidden/>
          </w:rPr>
          <w:fldChar w:fldCharType="end"/>
        </w:r>
      </w:hyperlink>
    </w:p>
    <w:p w14:paraId="1FCEE5DA" w14:textId="3C5560CF" w:rsidR="003C26D5" w:rsidRDefault="003C26D5" w:rsidP="00D2191D">
      <w:pPr>
        <w:pStyle w:val="TOC2"/>
        <w:ind w:left="1440"/>
        <w:rPr>
          <w:b w:val="0"/>
          <w:noProof/>
          <w:color w:val="auto"/>
          <w:kern w:val="2"/>
          <w:szCs w:val="24"/>
          <w:lang w:eastAsia="en-US"/>
          <w14:ligatures w14:val="standardContextual"/>
        </w:rPr>
      </w:pPr>
      <w:hyperlink r:id="rId21" w:anchor="_Toc170897340" w:history="1">
        <w:r w:rsidRPr="00550E1F">
          <w:rPr>
            <w:rStyle w:val="Hyperlink"/>
            <w:b w:val="0"/>
            <w:noProof/>
          </w:rPr>
          <w:t>Stonehill College</w:t>
        </w:r>
        <w:r w:rsidR="00F07F5C" w:rsidRPr="00550E1F">
          <w:rPr>
            <w:rStyle w:val="Hyperlink"/>
            <w:b w:val="0"/>
            <w:noProof/>
          </w:rPr>
          <w:t xml:space="preserve">: </w:t>
        </w:r>
        <w:r w:rsidRPr="00550E1F">
          <w:rPr>
            <w:rStyle w:val="Hyperlink"/>
            <w:b w:val="0"/>
            <w:noProof/>
          </w:rPr>
          <w:t>Continuous Improvement</w:t>
        </w:r>
        <w:r w:rsidRPr="00550E1F">
          <w:rPr>
            <w:b w:val="0"/>
            <w:noProof/>
            <w:webHidden/>
          </w:rPr>
          <w:tab/>
        </w:r>
        <w:r w:rsidRPr="00550E1F">
          <w:rPr>
            <w:b w:val="0"/>
            <w:noProof/>
            <w:webHidden/>
          </w:rPr>
          <w:fldChar w:fldCharType="begin"/>
        </w:r>
        <w:r w:rsidRPr="00550E1F">
          <w:rPr>
            <w:b w:val="0"/>
            <w:noProof/>
            <w:webHidden/>
          </w:rPr>
          <w:instrText xml:space="preserve"> PAGEREF _Toc170897340 \h </w:instrText>
        </w:r>
        <w:r w:rsidRPr="00550E1F">
          <w:rPr>
            <w:b w:val="0"/>
            <w:noProof/>
            <w:webHidden/>
          </w:rPr>
        </w:r>
        <w:r w:rsidRPr="00550E1F">
          <w:rPr>
            <w:b w:val="0"/>
            <w:noProof/>
            <w:webHidden/>
          </w:rPr>
          <w:fldChar w:fldCharType="separate"/>
        </w:r>
        <w:r w:rsidR="00902279">
          <w:rPr>
            <w:b w:val="0"/>
            <w:noProof/>
            <w:webHidden/>
          </w:rPr>
          <w:t>16</w:t>
        </w:r>
        <w:r w:rsidRPr="00550E1F">
          <w:rPr>
            <w:b w:val="0"/>
            <w:noProof/>
            <w:webHidden/>
          </w:rPr>
          <w:fldChar w:fldCharType="end"/>
        </w:r>
      </w:hyperlink>
    </w:p>
    <w:p w14:paraId="5F54A2C7" w14:textId="5814C38D" w:rsidR="003C26D5" w:rsidRDefault="003C26D5" w:rsidP="00D2191D">
      <w:pPr>
        <w:pStyle w:val="TOC2"/>
        <w:ind w:left="1440"/>
        <w:rPr>
          <w:b w:val="0"/>
          <w:noProof/>
          <w:color w:val="auto"/>
          <w:kern w:val="2"/>
          <w:szCs w:val="24"/>
          <w:lang w:eastAsia="en-US"/>
          <w14:ligatures w14:val="standardContextual"/>
        </w:rPr>
      </w:pPr>
      <w:hyperlink r:id="rId22" w:anchor="_Toc170897341" w:history="1">
        <w:r w:rsidRPr="00550E1F">
          <w:rPr>
            <w:rStyle w:val="Hyperlink"/>
            <w:b w:val="0"/>
            <w:noProof/>
          </w:rPr>
          <w:t>Springfield College</w:t>
        </w:r>
        <w:r w:rsidR="00F07F5C" w:rsidRPr="00550E1F">
          <w:rPr>
            <w:rStyle w:val="Hyperlink"/>
            <w:b w:val="0"/>
            <w:noProof/>
          </w:rPr>
          <w:t>:</w:t>
        </w:r>
        <w:r w:rsidRPr="00550E1F">
          <w:rPr>
            <w:rStyle w:val="Hyperlink"/>
            <w:b w:val="0"/>
            <w:noProof/>
          </w:rPr>
          <w:t xml:space="preserve"> Candidate Supports</w:t>
        </w:r>
        <w:r w:rsidRPr="00550E1F">
          <w:rPr>
            <w:b w:val="0"/>
            <w:noProof/>
            <w:webHidden/>
          </w:rPr>
          <w:tab/>
        </w:r>
        <w:r w:rsidRPr="00550E1F">
          <w:rPr>
            <w:b w:val="0"/>
            <w:noProof/>
            <w:webHidden/>
          </w:rPr>
          <w:fldChar w:fldCharType="begin"/>
        </w:r>
        <w:r w:rsidRPr="00550E1F">
          <w:rPr>
            <w:b w:val="0"/>
            <w:noProof/>
            <w:webHidden/>
          </w:rPr>
          <w:instrText xml:space="preserve"> PAGEREF _Toc170897341 \h </w:instrText>
        </w:r>
        <w:r w:rsidRPr="00550E1F">
          <w:rPr>
            <w:b w:val="0"/>
            <w:noProof/>
            <w:webHidden/>
          </w:rPr>
        </w:r>
        <w:r w:rsidRPr="00550E1F">
          <w:rPr>
            <w:b w:val="0"/>
            <w:noProof/>
            <w:webHidden/>
          </w:rPr>
          <w:fldChar w:fldCharType="separate"/>
        </w:r>
        <w:r w:rsidR="00902279">
          <w:rPr>
            <w:b w:val="0"/>
            <w:noProof/>
            <w:webHidden/>
          </w:rPr>
          <w:t>19</w:t>
        </w:r>
        <w:r w:rsidRPr="00550E1F">
          <w:rPr>
            <w:b w:val="0"/>
            <w:noProof/>
            <w:webHidden/>
          </w:rPr>
          <w:fldChar w:fldCharType="end"/>
        </w:r>
      </w:hyperlink>
    </w:p>
    <w:p w14:paraId="4CF58A2D" w14:textId="67142088" w:rsidR="003C26D5" w:rsidRDefault="003C26D5" w:rsidP="00D2191D">
      <w:pPr>
        <w:pStyle w:val="TOC2"/>
        <w:ind w:left="1440"/>
        <w:rPr>
          <w:b w:val="0"/>
          <w:noProof/>
          <w:color w:val="auto"/>
          <w:kern w:val="2"/>
          <w:szCs w:val="24"/>
          <w:lang w:eastAsia="en-US"/>
          <w14:ligatures w14:val="standardContextual"/>
        </w:rPr>
      </w:pPr>
      <w:hyperlink r:id="rId23" w:anchor="_Toc170897342" w:history="1">
        <w:r w:rsidRPr="00550E1F">
          <w:rPr>
            <w:rStyle w:val="Hyperlink"/>
            <w:b w:val="0"/>
            <w:noProof/>
          </w:rPr>
          <w:t>Mount Holyoke College</w:t>
        </w:r>
        <w:r w:rsidR="00F07F5C" w:rsidRPr="00550E1F">
          <w:rPr>
            <w:rStyle w:val="Hyperlink"/>
            <w:b w:val="0"/>
            <w:noProof/>
          </w:rPr>
          <w:t>:</w:t>
        </w:r>
        <w:r w:rsidRPr="00550E1F">
          <w:rPr>
            <w:rStyle w:val="Hyperlink"/>
            <w:b w:val="0"/>
            <w:noProof/>
          </w:rPr>
          <w:t xml:space="preserve"> Partnerships</w:t>
        </w:r>
        <w:r w:rsidRPr="00550E1F">
          <w:rPr>
            <w:b w:val="0"/>
            <w:noProof/>
            <w:webHidden/>
          </w:rPr>
          <w:tab/>
        </w:r>
        <w:r w:rsidRPr="00550E1F">
          <w:rPr>
            <w:b w:val="0"/>
            <w:noProof/>
            <w:webHidden/>
          </w:rPr>
          <w:fldChar w:fldCharType="begin"/>
        </w:r>
        <w:r w:rsidRPr="00550E1F">
          <w:rPr>
            <w:b w:val="0"/>
            <w:noProof/>
            <w:webHidden/>
          </w:rPr>
          <w:instrText xml:space="preserve"> PAGEREF _Toc170897342 \h </w:instrText>
        </w:r>
        <w:r w:rsidRPr="00550E1F">
          <w:rPr>
            <w:b w:val="0"/>
            <w:noProof/>
            <w:webHidden/>
          </w:rPr>
        </w:r>
        <w:r w:rsidRPr="00550E1F">
          <w:rPr>
            <w:b w:val="0"/>
            <w:noProof/>
            <w:webHidden/>
          </w:rPr>
          <w:fldChar w:fldCharType="separate"/>
        </w:r>
        <w:r w:rsidR="00902279">
          <w:rPr>
            <w:b w:val="0"/>
            <w:noProof/>
            <w:webHidden/>
          </w:rPr>
          <w:t>22</w:t>
        </w:r>
        <w:r w:rsidRPr="00550E1F">
          <w:rPr>
            <w:b w:val="0"/>
            <w:noProof/>
            <w:webHidden/>
          </w:rPr>
          <w:fldChar w:fldCharType="end"/>
        </w:r>
      </w:hyperlink>
    </w:p>
    <w:p w14:paraId="02C2D10B" w14:textId="25E6A04B" w:rsidR="003C26D5" w:rsidRDefault="003C26D5">
      <w:pPr>
        <w:pStyle w:val="TOC2"/>
        <w:rPr>
          <w:b w:val="0"/>
          <w:noProof/>
          <w:color w:val="auto"/>
          <w:kern w:val="2"/>
          <w:szCs w:val="24"/>
          <w:lang w:eastAsia="en-US"/>
          <w14:ligatures w14:val="standardContextual"/>
        </w:rPr>
      </w:pPr>
      <w:hyperlink r:id="rId24" w:anchor="_Toc170897343" w:history="1">
        <w:r w:rsidRPr="00D74182">
          <w:rPr>
            <w:rStyle w:val="Hyperlink"/>
            <w:noProof/>
          </w:rPr>
          <w:t>Action Planning T</w:t>
        </w:r>
        <w:r w:rsidR="00223E60">
          <w:rPr>
            <w:rStyle w:val="Hyperlink"/>
            <w:noProof/>
          </w:rPr>
          <w:t>ool</w:t>
        </w:r>
        <w:r w:rsidR="00F07F5C">
          <w:rPr>
            <w:rStyle w:val="Hyperlink"/>
            <w:noProof/>
          </w:rPr>
          <w:t>s</w:t>
        </w:r>
        <w:r>
          <w:rPr>
            <w:noProof/>
            <w:webHidden/>
          </w:rPr>
          <w:tab/>
        </w:r>
        <w:r>
          <w:rPr>
            <w:noProof/>
            <w:webHidden/>
          </w:rPr>
          <w:fldChar w:fldCharType="begin"/>
        </w:r>
        <w:r>
          <w:rPr>
            <w:noProof/>
            <w:webHidden/>
          </w:rPr>
          <w:instrText xml:space="preserve"> PAGEREF _Toc170897343 \h </w:instrText>
        </w:r>
        <w:r>
          <w:rPr>
            <w:noProof/>
            <w:webHidden/>
          </w:rPr>
        </w:r>
        <w:r>
          <w:rPr>
            <w:noProof/>
            <w:webHidden/>
          </w:rPr>
          <w:fldChar w:fldCharType="separate"/>
        </w:r>
        <w:r w:rsidR="00902279">
          <w:rPr>
            <w:noProof/>
            <w:webHidden/>
          </w:rPr>
          <w:t>24</w:t>
        </w:r>
        <w:r>
          <w:rPr>
            <w:noProof/>
            <w:webHidden/>
          </w:rPr>
          <w:fldChar w:fldCharType="end"/>
        </w:r>
      </w:hyperlink>
    </w:p>
    <w:p w14:paraId="7FE25536" w14:textId="6D7376E1" w:rsidR="003C26D5" w:rsidRDefault="003C26D5" w:rsidP="00D2191D">
      <w:pPr>
        <w:pStyle w:val="TOC2"/>
        <w:ind w:left="1440"/>
        <w:rPr>
          <w:b w:val="0"/>
          <w:noProof/>
          <w:color w:val="auto"/>
          <w:kern w:val="2"/>
          <w:szCs w:val="24"/>
          <w:lang w:eastAsia="en-US"/>
          <w14:ligatures w14:val="standardContextual"/>
        </w:rPr>
      </w:pPr>
      <w:hyperlink r:id="rId25" w:anchor="_Toc170897345" w:history="1">
        <w:r w:rsidRPr="00550E1F">
          <w:rPr>
            <w:rStyle w:val="Hyperlink"/>
            <w:b w:val="0"/>
            <w:noProof/>
          </w:rPr>
          <w:t>Continuous Improvement Action Planning T</w:t>
        </w:r>
        <w:r w:rsidR="00223E60" w:rsidRPr="00550E1F">
          <w:rPr>
            <w:rStyle w:val="Hyperlink"/>
            <w:b w:val="0"/>
            <w:noProof/>
          </w:rPr>
          <w:t>ool</w:t>
        </w:r>
        <w:r w:rsidRPr="00550E1F">
          <w:rPr>
            <w:b w:val="0"/>
            <w:noProof/>
            <w:webHidden/>
          </w:rPr>
          <w:tab/>
        </w:r>
        <w:r w:rsidRPr="00550E1F">
          <w:rPr>
            <w:b w:val="0"/>
            <w:noProof/>
            <w:webHidden/>
          </w:rPr>
          <w:fldChar w:fldCharType="begin"/>
        </w:r>
        <w:r w:rsidRPr="00550E1F">
          <w:rPr>
            <w:b w:val="0"/>
            <w:noProof/>
            <w:webHidden/>
          </w:rPr>
          <w:instrText xml:space="preserve"> PAGEREF _Toc170897345 \h </w:instrText>
        </w:r>
        <w:r w:rsidRPr="00550E1F">
          <w:rPr>
            <w:b w:val="0"/>
            <w:noProof/>
            <w:webHidden/>
          </w:rPr>
        </w:r>
        <w:r w:rsidRPr="00550E1F">
          <w:rPr>
            <w:b w:val="0"/>
            <w:noProof/>
            <w:webHidden/>
          </w:rPr>
          <w:fldChar w:fldCharType="separate"/>
        </w:r>
        <w:r w:rsidR="00902279">
          <w:rPr>
            <w:b w:val="0"/>
            <w:noProof/>
            <w:webHidden/>
          </w:rPr>
          <w:t>25</w:t>
        </w:r>
        <w:r w:rsidRPr="00550E1F">
          <w:rPr>
            <w:b w:val="0"/>
            <w:noProof/>
            <w:webHidden/>
          </w:rPr>
          <w:fldChar w:fldCharType="end"/>
        </w:r>
      </w:hyperlink>
    </w:p>
    <w:p w14:paraId="28EC0360" w14:textId="003B32D5" w:rsidR="003C26D5" w:rsidRDefault="003C26D5" w:rsidP="00D2191D">
      <w:pPr>
        <w:pStyle w:val="TOC2"/>
        <w:tabs>
          <w:tab w:val="left" w:pos="1440"/>
          <w:tab w:val="left" w:pos="1530"/>
        </w:tabs>
        <w:ind w:left="1440" w:firstLine="3"/>
        <w:rPr>
          <w:b w:val="0"/>
          <w:noProof/>
          <w:color w:val="auto"/>
          <w:kern w:val="2"/>
          <w:szCs w:val="24"/>
          <w:lang w:eastAsia="en-US"/>
          <w14:ligatures w14:val="standardContextual"/>
        </w:rPr>
      </w:pPr>
      <w:hyperlink r:id="rId26" w:anchor="_Toc170897346" w:history="1">
        <w:r w:rsidRPr="00550E1F">
          <w:rPr>
            <w:rStyle w:val="Hyperlink"/>
            <w:b w:val="0"/>
            <w:noProof/>
          </w:rPr>
          <w:t>The Candidate Action Planning T</w:t>
        </w:r>
        <w:r w:rsidR="00223E60" w:rsidRPr="00550E1F">
          <w:rPr>
            <w:rStyle w:val="Hyperlink"/>
            <w:b w:val="0"/>
            <w:noProof/>
          </w:rPr>
          <w:t>ool</w:t>
        </w:r>
        <w:r w:rsidRPr="00550E1F">
          <w:rPr>
            <w:b w:val="0"/>
            <w:noProof/>
            <w:webHidden/>
          </w:rPr>
          <w:tab/>
        </w:r>
        <w:r w:rsidRPr="00550E1F">
          <w:rPr>
            <w:b w:val="0"/>
            <w:noProof/>
            <w:webHidden/>
          </w:rPr>
          <w:fldChar w:fldCharType="begin"/>
        </w:r>
        <w:r w:rsidRPr="00550E1F">
          <w:rPr>
            <w:b w:val="0"/>
            <w:noProof/>
            <w:webHidden/>
          </w:rPr>
          <w:instrText xml:space="preserve"> PAGEREF _Toc170897346 \h </w:instrText>
        </w:r>
        <w:r w:rsidRPr="00550E1F">
          <w:rPr>
            <w:b w:val="0"/>
            <w:noProof/>
            <w:webHidden/>
          </w:rPr>
        </w:r>
        <w:r w:rsidRPr="00550E1F">
          <w:rPr>
            <w:b w:val="0"/>
            <w:noProof/>
            <w:webHidden/>
          </w:rPr>
          <w:fldChar w:fldCharType="separate"/>
        </w:r>
        <w:r w:rsidR="00902279">
          <w:rPr>
            <w:b w:val="0"/>
            <w:noProof/>
            <w:webHidden/>
          </w:rPr>
          <w:t>32</w:t>
        </w:r>
        <w:r w:rsidRPr="00550E1F">
          <w:rPr>
            <w:b w:val="0"/>
            <w:noProof/>
            <w:webHidden/>
          </w:rPr>
          <w:fldChar w:fldCharType="end"/>
        </w:r>
      </w:hyperlink>
    </w:p>
    <w:p w14:paraId="014A53B8" w14:textId="57D5E97B" w:rsidR="003C26D5" w:rsidRDefault="003C26D5" w:rsidP="00D2191D">
      <w:pPr>
        <w:pStyle w:val="TOC2"/>
        <w:tabs>
          <w:tab w:val="left" w:pos="1350"/>
          <w:tab w:val="left" w:pos="1530"/>
        </w:tabs>
        <w:ind w:left="1800" w:hanging="357"/>
        <w:rPr>
          <w:b w:val="0"/>
          <w:noProof/>
          <w:color w:val="auto"/>
          <w:kern w:val="2"/>
          <w:szCs w:val="24"/>
          <w:lang w:eastAsia="en-US"/>
          <w14:ligatures w14:val="standardContextual"/>
        </w:rPr>
      </w:pPr>
      <w:hyperlink r:id="rId27" w:anchor="_Toc170897347" w:history="1">
        <w:r w:rsidRPr="00550E1F">
          <w:rPr>
            <w:rStyle w:val="Hyperlink"/>
            <w:b w:val="0"/>
            <w:noProof/>
          </w:rPr>
          <w:t>Partnerships Action Planning T</w:t>
        </w:r>
        <w:r w:rsidR="00223E60" w:rsidRPr="00550E1F">
          <w:rPr>
            <w:rStyle w:val="Hyperlink"/>
            <w:b w:val="0"/>
            <w:noProof/>
          </w:rPr>
          <w:t>ool</w:t>
        </w:r>
        <w:r w:rsidRPr="00550E1F">
          <w:rPr>
            <w:b w:val="0"/>
            <w:noProof/>
            <w:webHidden/>
          </w:rPr>
          <w:tab/>
        </w:r>
        <w:r w:rsidRPr="00550E1F">
          <w:rPr>
            <w:b w:val="0"/>
            <w:noProof/>
            <w:webHidden/>
          </w:rPr>
          <w:fldChar w:fldCharType="begin"/>
        </w:r>
        <w:r w:rsidRPr="00550E1F">
          <w:rPr>
            <w:b w:val="0"/>
            <w:noProof/>
            <w:webHidden/>
          </w:rPr>
          <w:instrText xml:space="preserve"> PAGEREF _Toc170897347 \h </w:instrText>
        </w:r>
        <w:r w:rsidRPr="00550E1F">
          <w:rPr>
            <w:b w:val="0"/>
            <w:noProof/>
            <w:webHidden/>
          </w:rPr>
        </w:r>
        <w:r w:rsidRPr="00550E1F">
          <w:rPr>
            <w:b w:val="0"/>
            <w:noProof/>
            <w:webHidden/>
          </w:rPr>
          <w:fldChar w:fldCharType="separate"/>
        </w:r>
        <w:r w:rsidR="00902279">
          <w:rPr>
            <w:b w:val="0"/>
            <w:noProof/>
            <w:webHidden/>
          </w:rPr>
          <w:t>40</w:t>
        </w:r>
        <w:r w:rsidRPr="00550E1F">
          <w:rPr>
            <w:b w:val="0"/>
            <w:noProof/>
            <w:webHidden/>
          </w:rPr>
          <w:fldChar w:fldCharType="end"/>
        </w:r>
      </w:hyperlink>
    </w:p>
    <w:p w14:paraId="1B7A6528" w14:textId="24F7857D" w:rsidR="003C26D5" w:rsidRDefault="003C26D5">
      <w:pPr>
        <w:pStyle w:val="TOC2"/>
        <w:rPr>
          <w:b w:val="0"/>
          <w:noProof/>
          <w:color w:val="auto"/>
          <w:kern w:val="2"/>
          <w:szCs w:val="24"/>
          <w:lang w:eastAsia="en-US"/>
          <w14:ligatures w14:val="standardContextual"/>
        </w:rPr>
      </w:pPr>
      <w:hyperlink r:id="rId28" w:anchor="_Toc170897348" w:history="1">
        <w:r w:rsidRPr="00D74182">
          <w:rPr>
            <w:rStyle w:val="Hyperlink"/>
            <w:noProof/>
          </w:rPr>
          <w:t>Tools and Resources</w:t>
        </w:r>
        <w:r>
          <w:rPr>
            <w:noProof/>
            <w:webHidden/>
          </w:rPr>
          <w:tab/>
        </w:r>
        <w:r>
          <w:rPr>
            <w:noProof/>
            <w:webHidden/>
          </w:rPr>
          <w:fldChar w:fldCharType="begin"/>
        </w:r>
        <w:r>
          <w:rPr>
            <w:noProof/>
            <w:webHidden/>
          </w:rPr>
          <w:instrText xml:space="preserve"> PAGEREF _Toc170897348 \h </w:instrText>
        </w:r>
        <w:r>
          <w:rPr>
            <w:noProof/>
            <w:webHidden/>
          </w:rPr>
        </w:r>
        <w:r>
          <w:rPr>
            <w:noProof/>
            <w:webHidden/>
          </w:rPr>
          <w:fldChar w:fldCharType="separate"/>
        </w:r>
        <w:r w:rsidR="00902279">
          <w:rPr>
            <w:noProof/>
            <w:webHidden/>
          </w:rPr>
          <w:t>47</w:t>
        </w:r>
        <w:r>
          <w:rPr>
            <w:noProof/>
            <w:webHidden/>
          </w:rPr>
          <w:fldChar w:fldCharType="end"/>
        </w:r>
      </w:hyperlink>
    </w:p>
    <w:p w14:paraId="058426DB" w14:textId="76EA5852" w:rsidR="00F52B36" w:rsidRDefault="003C26D5" w:rsidP="003C26D5">
      <w:pPr>
        <w:pStyle w:val="TOCTitle"/>
        <w:sectPr w:rsidR="00F52B36" w:rsidSect="0098143B">
          <w:footerReference w:type="default" r:id="rId29"/>
          <w:pgSz w:w="12240" w:h="15840"/>
          <w:pgMar w:top="720" w:right="1008" w:bottom="806" w:left="1008" w:header="720" w:footer="432" w:gutter="0"/>
          <w:cols w:space="720"/>
          <w:docGrid w:linePitch="360"/>
        </w:sectPr>
      </w:pPr>
      <w:r>
        <w:fldChar w:fldCharType="end"/>
      </w:r>
    </w:p>
    <w:p w14:paraId="49A7A833" w14:textId="6803F3BC" w:rsidR="00F52B36" w:rsidRPr="00550E1F" w:rsidRDefault="00F52B36" w:rsidP="00A21882">
      <w:pPr>
        <w:pStyle w:val="Heading2"/>
        <w:rPr>
          <w:color w:val="1F3864" w:themeColor="accent1" w:themeShade="80"/>
        </w:rPr>
      </w:pPr>
      <w:bookmarkStart w:id="7" w:name="_Toc170897330"/>
      <w:r w:rsidRPr="00550E1F">
        <w:rPr>
          <w:color w:val="1F3864" w:themeColor="accent1" w:themeShade="80"/>
        </w:rPr>
        <w:lastRenderedPageBreak/>
        <w:t xml:space="preserve">Introduction to the Educator Preparation </w:t>
      </w:r>
      <w:r w:rsidR="004F6C96" w:rsidRPr="00550E1F">
        <w:rPr>
          <w:color w:val="1F3864" w:themeColor="accent1" w:themeShade="80"/>
        </w:rPr>
        <w:t xml:space="preserve">Promising Practices </w:t>
      </w:r>
      <w:r w:rsidRPr="00550E1F">
        <w:rPr>
          <w:color w:val="1F3864" w:themeColor="accent1" w:themeShade="80"/>
        </w:rPr>
        <w:t>Resource Kit</w:t>
      </w:r>
      <w:bookmarkEnd w:id="7"/>
    </w:p>
    <w:p w14:paraId="3FF0CE16" w14:textId="77777777" w:rsidR="00B16F61" w:rsidRPr="00B16F61" w:rsidRDefault="00B16F61" w:rsidP="00B16F61"/>
    <w:bookmarkEnd w:id="2"/>
    <w:p w14:paraId="3FEC8744" w14:textId="5CCFBFBD" w:rsidR="00F52B36" w:rsidRPr="00550E1F" w:rsidRDefault="00F52B36" w:rsidP="007C3D1C">
      <w:pPr>
        <w:pStyle w:val="BodyText"/>
        <w:rPr>
          <w:rFonts w:ascii="Aptos" w:hAnsi="Aptos"/>
          <w:szCs w:val="24"/>
        </w:rPr>
      </w:pPr>
      <w:r w:rsidRPr="00550E1F">
        <w:rPr>
          <w:rFonts w:ascii="Aptos" w:hAnsi="Aptos"/>
          <w:szCs w:val="24"/>
        </w:rPr>
        <w:t>The Massachusetts Department of Elementary and Secondary Education (DESE) is committed to supporting educator preparation programs to ensure that all educators are prepared to be effective, meaning they use evidence-based practices, including anti-racist and culturally and linguistically sustaining practices</w:t>
      </w:r>
      <w:r w:rsidR="00D47AC8" w:rsidRPr="00550E1F">
        <w:rPr>
          <w:rFonts w:ascii="Aptos" w:hAnsi="Aptos"/>
          <w:szCs w:val="24"/>
        </w:rPr>
        <w:t xml:space="preserve"> to provide all students with an equitable and effective education</w:t>
      </w:r>
      <w:r w:rsidRPr="00550E1F">
        <w:rPr>
          <w:rFonts w:ascii="Aptos" w:hAnsi="Aptos"/>
          <w:szCs w:val="24"/>
        </w:rPr>
        <w:t xml:space="preserve">. This </w:t>
      </w:r>
      <w:r w:rsidR="00CD07DF" w:rsidRPr="00550E1F">
        <w:rPr>
          <w:rFonts w:ascii="Aptos" w:hAnsi="Aptos"/>
          <w:szCs w:val="24"/>
        </w:rPr>
        <w:t>R</w:t>
      </w:r>
      <w:r w:rsidRPr="00550E1F">
        <w:rPr>
          <w:rFonts w:ascii="Aptos" w:hAnsi="Aptos"/>
          <w:szCs w:val="24"/>
        </w:rPr>
        <w:t xml:space="preserve">esource </w:t>
      </w:r>
      <w:r w:rsidR="00CD07DF" w:rsidRPr="00550E1F">
        <w:rPr>
          <w:rFonts w:ascii="Aptos" w:hAnsi="Aptos"/>
          <w:szCs w:val="24"/>
        </w:rPr>
        <w:t xml:space="preserve">Kit </w:t>
      </w:r>
      <w:r w:rsidRPr="00550E1F">
        <w:rPr>
          <w:rFonts w:ascii="Aptos" w:hAnsi="Aptos"/>
          <w:szCs w:val="24"/>
        </w:rPr>
        <w:t>focuses on</w:t>
      </w:r>
      <w:r w:rsidR="00815EBD" w:rsidRPr="00550E1F">
        <w:rPr>
          <w:rFonts w:ascii="Aptos" w:hAnsi="Aptos"/>
          <w:szCs w:val="24"/>
        </w:rPr>
        <w:t xml:space="preserve"> promising practices that align with</w:t>
      </w:r>
      <w:r w:rsidRPr="00550E1F">
        <w:rPr>
          <w:rFonts w:ascii="Aptos" w:hAnsi="Aptos"/>
          <w:szCs w:val="24"/>
        </w:rPr>
        <w:t xml:space="preserve"> the Continuous Improvement</w:t>
      </w:r>
      <w:r w:rsidR="00EA0562" w:rsidRPr="00550E1F">
        <w:rPr>
          <w:rFonts w:ascii="Aptos" w:hAnsi="Aptos"/>
          <w:szCs w:val="24"/>
        </w:rPr>
        <w:t xml:space="preserve"> domain</w:t>
      </w:r>
      <w:r w:rsidRPr="00550E1F">
        <w:rPr>
          <w:rFonts w:ascii="Aptos" w:hAnsi="Aptos"/>
          <w:szCs w:val="24"/>
        </w:rPr>
        <w:t>, the Candidate</w:t>
      </w:r>
      <w:r w:rsidR="00EA0562" w:rsidRPr="00550E1F">
        <w:rPr>
          <w:rFonts w:ascii="Aptos" w:hAnsi="Aptos"/>
          <w:szCs w:val="24"/>
        </w:rPr>
        <w:t xml:space="preserve"> domain</w:t>
      </w:r>
      <w:r w:rsidRPr="00550E1F">
        <w:rPr>
          <w:rFonts w:ascii="Aptos" w:hAnsi="Aptos"/>
          <w:szCs w:val="24"/>
        </w:rPr>
        <w:t>,</w:t>
      </w:r>
      <w:r w:rsidR="00EA0562" w:rsidRPr="00550E1F">
        <w:rPr>
          <w:rFonts w:ascii="Aptos" w:hAnsi="Aptos"/>
          <w:szCs w:val="24"/>
        </w:rPr>
        <w:t xml:space="preserve"> and</w:t>
      </w:r>
      <w:r w:rsidRPr="00550E1F">
        <w:rPr>
          <w:rFonts w:ascii="Aptos" w:hAnsi="Aptos"/>
          <w:szCs w:val="24"/>
        </w:rPr>
        <w:t xml:space="preserve"> Partnerships domain from DESE’s </w:t>
      </w:r>
      <w:hyperlink r:id="rId30">
        <w:r w:rsidRPr="00550E1F">
          <w:rPr>
            <w:rStyle w:val="Hyperlink"/>
            <w:rFonts w:ascii="Aptos" w:hAnsi="Aptos"/>
            <w:i/>
            <w:iCs/>
            <w:color w:val="000000" w:themeColor="text1"/>
            <w:szCs w:val="24"/>
          </w:rPr>
          <w:t xml:space="preserve">2023 Guidelines for </w:t>
        </w:r>
        <w:r w:rsidR="00425170" w:rsidRPr="00550E1F">
          <w:rPr>
            <w:rStyle w:val="Hyperlink"/>
            <w:rFonts w:ascii="Aptos" w:hAnsi="Aptos"/>
            <w:i/>
            <w:iCs/>
            <w:color w:val="000000" w:themeColor="text1"/>
            <w:szCs w:val="24"/>
          </w:rPr>
          <w:t xml:space="preserve">Educator Preparation </w:t>
        </w:r>
        <w:r w:rsidRPr="00550E1F">
          <w:rPr>
            <w:rStyle w:val="Hyperlink"/>
            <w:rFonts w:ascii="Aptos" w:hAnsi="Aptos"/>
            <w:i/>
            <w:iCs/>
            <w:color w:val="000000" w:themeColor="text1"/>
            <w:szCs w:val="24"/>
          </w:rPr>
          <w:t>Program Approval</w:t>
        </w:r>
      </w:hyperlink>
      <w:r w:rsidRPr="00550E1F">
        <w:rPr>
          <w:rFonts w:ascii="Aptos" w:hAnsi="Aptos"/>
          <w:szCs w:val="24"/>
        </w:rPr>
        <w:t>.</w:t>
      </w:r>
    </w:p>
    <w:p w14:paraId="5237C8B7" w14:textId="77777777" w:rsidR="00672A3C" w:rsidRDefault="00F52B36" w:rsidP="007C3D1C">
      <w:pPr>
        <w:pStyle w:val="BodyText"/>
        <w:rPr>
          <w:rFonts w:ascii="Aptos" w:hAnsi="Aptos"/>
          <w:szCs w:val="24"/>
        </w:rPr>
      </w:pPr>
      <w:r w:rsidRPr="00550E1F">
        <w:rPr>
          <w:rFonts w:ascii="Aptos" w:hAnsi="Aptos"/>
          <w:b/>
          <w:bCs/>
          <w:szCs w:val="24"/>
        </w:rPr>
        <w:t>Purpose:</w:t>
      </w:r>
      <w:r w:rsidRPr="00550E1F">
        <w:rPr>
          <w:rFonts w:ascii="Aptos" w:hAnsi="Aptos"/>
          <w:szCs w:val="24"/>
        </w:rPr>
        <w:t xml:space="preserve"> </w:t>
      </w:r>
      <w:r w:rsidR="00672A3C" w:rsidRPr="003B10C0">
        <w:rPr>
          <w:rFonts w:ascii="Aptos" w:hAnsi="Aptos"/>
          <w:szCs w:val="24"/>
        </w:rPr>
        <w:t>The purpose of this Resource Kit is to build the knowledge capacity of educator preparation personnel and provide concrete support and direction for improving practices in alignment with DESE’s 2023 Program Approval Criteria by presenting research/evidence-based promising practices.</w:t>
      </w:r>
    </w:p>
    <w:p w14:paraId="00778B7F" w14:textId="46DB0201" w:rsidR="004255D9" w:rsidRPr="00550E1F" w:rsidRDefault="008C5CB7" w:rsidP="007C3D1C">
      <w:pPr>
        <w:pStyle w:val="BodyText"/>
        <w:rPr>
          <w:rFonts w:ascii="Aptos" w:hAnsi="Aptos"/>
          <w:szCs w:val="24"/>
        </w:rPr>
      </w:pPr>
      <w:r w:rsidRPr="00550E1F">
        <w:rPr>
          <w:rFonts w:ascii="Aptos" w:hAnsi="Aptos"/>
          <w:szCs w:val="24"/>
        </w:rPr>
        <w:t>This Resou</w:t>
      </w:r>
      <w:r w:rsidR="00352115" w:rsidRPr="00550E1F">
        <w:rPr>
          <w:rFonts w:ascii="Aptos" w:hAnsi="Aptos"/>
          <w:szCs w:val="24"/>
        </w:rPr>
        <w:t>r</w:t>
      </w:r>
      <w:r w:rsidRPr="00550E1F">
        <w:rPr>
          <w:rFonts w:ascii="Aptos" w:hAnsi="Aptos"/>
          <w:szCs w:val="24"/>
        </w:rPr>
        <w:t xml:space="preserve">ce Kit is </w:t>
      </w:r>
      <w:r w:rsidR="00352115" w:rsidRPr="00550E1F">
        <w:rPr>
          <w:rFonts w:ascii="Aptos" w:hAnsi="Aptos"/>
          <w:szCs w:val="24"/>
        </w:rPr>
        <w:t>comprised of three sections</w:t>
      </w:r>
      <w:r w:rsidR="004255D9" w:rsidRPr="00550E1F">
        <w:rPr>
          <w:rFonts w:ascii="Aptos" w:hAnsi="Aptos"/>
          <w:szCs w:val="24"/>
        </w:rPr>
        <w:t>:</w:t>
      </w:r>
    </w:p>
    <w:p w14:paraId="730D9AFB" w14:textId="7C9BF372" w:rsidR="009A4A2A" w:rsidRPr="00550E1F" w:rsidRDefault="009A4A2A" w:rsidP="004255D9">
      <w:pPr>
        <w:pStyle w:val="BodyText"/>
        <w:numPr>
          <w:ilvl w:val="0"/>
          <w:numId w:val="16"/>
        </w:numPr>
        <w:rPr>
          <w:rFonts w:ascii="Aptos" w:hAnsi="Aptos"/>
          <w:szCs w:val="24"/>
        </w:rPr>
      </w:pPr>
      <w:r w:rsidRPr="00550E1F">
        <w:rPr>
          <w:rFonts w:ascii="Aptos" w:hAnsi="Aptos"/>
          <w:szCs w:val="24"/>
        </w:rPr>
        <w:t>T</w:t>
      </w:r>
      <w:r w:rsidR="004C0777" w:rsidRPr="00550E1F">
        <w:rPr>
          <w:rFonts w:ascii="Aptos" w:hAnsi="Aptos"/>
          <w:szCs w:val="24"/>
        </w:rPr>
        <w:t xml:space="preserve">he </w:t>
      </w:r>
      <w:hyperlink w:anchor="PracGuide" w:history="1">
        <w:r w:rsidR="004A5768" w:rsidRPr="00550E1F">
          <w:rPr>
            <w:rStyle w:val="Hyperlink"/>
            <w:rFonts w:ascii="Aptos" w:hAnsi="Aptos"/>
            <w:szCs w:val="24"/>
          </w:rPr>
          <w:t>Promising Practices</w:t>
        </w:r>
        <w:r w:rsidR="004C0777" w:rsidRPr="00550E1F">
          <w:rPr>
            <w:rStyle w:val="Hyperlink"/>
            <w:rFonts w:ascii="Aptos" w:hAnsi="Aptos"/>
            <w:szCs w:val="24"/>
          </w:rPr>
          <w:t xml:space="preserve"> Guide</w:t>
        </w:r>
      </w:hyperlink>
      <w:r w:rsidR="004C0777" w:rsidRPr="00550E1F">
        <w:rPr>
          <w:rFonts w:ascii="Aptos" w:hAnsi="Aptos"/>
          <w:szCs w:val="24"/>
        </w:rPr>
        <w:t xml:space="preserve">, which contains </w:t>
      </w:r>
      <w:r w:rsidR="00BD0C74" w:rsidRPr="00550E1F">
        <w:rPr>
          <w:rFonts w:ascii="Aptos" w:hAnsi="Aptos"/>
          <w:szCs w:val="24"/>
        </w:rPr>
        <w:t xml:space="preserve">promising practices for the three featured domains and real-life examples of </w:t>
      </w:r>
      <w:r w:rsidR="008260A8" w:rsidRPr="00550E1F">
        <w:rPr>
          <w:rFonts w:ascii="Aptos" w:hAnsi="Aptos"/>
          <w:szCs w:val="24"/>
        </w:rPr>
        <w:t xml:space="preserve">the practices in action. </w:t>
      </w:r>
    </w:p>
    <w:p w14:paraId="41E12FB5" w14:textId="41304B5F" w:rsidR="009A4A2A" w:rsidRPr="00550E1F" w:rsidRDefault="009A4A2A" w:rsidP="004255D9">
      <w:pPr>
        <w:pStyle w:val="BodyText"/>
        <w:numPr>
          <w:ilvl w:val="0"/>
          <w:numId w:val="16"/>
        </w:numPr>
        <w:rPr>
          <w:rFonts w:ascii="Aptos" w:hAnsi="Aptos"/>
          <w:szCs w:val="24"/>
        </w:rPr>
      </w:pPr>
      <w:hyperlink w:anchor="CaseStudies" w:history="1">
        <w:r w:rsidRPr="00550E1F">
          <w:rPr>
            <w:rStyle w:val="Hyperlink"/>
            <w:rFonts w:ascii="Aptos" w:hAnsi="Aptos"/>
            <w:szCs w:val="24"/>
          </w:rPr>
          <w:t xml:space="preserve">Case </w:t>
        </w:r>
        <w:r w:rsidR="00550E1F">
          <w:rPr>
            <w:rStyle w:val="Hyperlink"/>
            <w:rFonts w:ascii="Aptos" w:hAnsi="Aptos"/>
            <w:szCs w:val="24"/>
          </w:rPr>
          <w:t>S</w:t>
        </w:r>
        <w:r w:rsidRPr="00550E1F">
          <w:rPr>
            <w:rStyle w:val="Hyperlink"/>
            <w:rFonts w:ascii="Aptos" w:hAnsi="Aptos"/>
            <w:szCs w:val="24"/>
          </w:rPr>
          <w:t>tudies</w:t>
        </w:r>
      </w:hyperlink>
      <w:r w:rsidR="007B5C99" w:rsidRPr="00550E1F">
        <w:rPr>
          <w:rFonts w:ascii="Aptos" w:hAnsi="Aptos"/>
          <w:szCs w:val="24"/>
        </w:rPr>
        <w:t xml:space="preserve">, </w:t>
      </w:r>
      <w:r w:rsidR="00FF7872" w:rsidRPr="00550E1F">
        <w:rPr>
          <w:rFonts w:ascii="Aptos" w:hAnsi="Aptos"/>
          <w:szCs w:val="24"/>
        </w:rPr>
        <w:t xml:space="preserve">each of which profiles a sponsoring organization </w:t>
      </w:r>
      <w:r w:rsidR="0099415F" w:rsidRPr="00550E1F">
        <w:rPr>
          <w:rFonts w:ascii="Aptos" w:hAnsi="Aptos"/>
          <w:szCs w:val="24"/>
        </w:rPr>
        <w:t>who</w:t>
      </w:r>
      <w:r w:rsidR="00A7298C" w:rsidRPr="00550E1F">
        <w:rPr>
          <w:rFonts w:ascii="Aptos" w:hAnsi="Aptos"/>
          <w:szCs w:val="24"/>
        </w:rPr>
        <w:t xml:space="preserve"> demonstrate</w:t>
      </w:r>
      <w:r w:rsidR="009C3B78">
        <w:rPr>
          <w:rFonts w:ascii="Aptos" w:hAnsi="Aptos"/>
          <w:szCs w:val="24"/>
        </w:rPr>
        <w:t>s</w:t>
      </w:r>
      <w:r w:rsidR="00A7298C" w:rsidRPr="00550E1F">
        <w:rPr>
          <w:rFonts w:ascii="Aptos" w:hAnsi="Aptos"/>
          <w:szCs w:val="24"/>
        </w:rPr>
        <w:t xml:space="preserve"> </w:t>
      </w:r>
      <w:r w:rsidR="006B0E22" w:rsidRPr="00550E1F">
        <w:rPr>
          <w:rFonts w:ascii="Aptos" w:hAnsi="Aptos"/>
          <w:szCs w:val="24"/>
        </w:rPr>
        <w:t xml:space="preserve">multiple promising practices within the featured domain. </w:t>
      </w:r>
    </w:p>
    <w:p w14:paraId="36FD4C20" w14:textId="60176E58" w:rsidR="00520C1F" w:rsidRPr="00550E1F" w:rsidRDefault="006B0E22" w:rsidP="00550E1F">
      <w:pPr>
        <w:pStyle w:val="BodyText"/>
        <w:numPr>
          <w:ilvl w:val="0"/>
          <w:numId w:val="16"/>
        </w:numPr>
        <w:rPr>
          <w:rFonts w:ascii="Aptos" w:hAnsi="Aptos"/>
          <w:szCs w:val="24"/>
        </w:rPr>
      </w:pPr>
      <w:hyperlink w:anchor="ActTools" w:history="1">
        <w:r w:rsidRPr="00550E1F">
          <w:rPr>
            <w:rStyle w:val="Hyperlink"/>
            <w:rFonts w:ascii="Aptos" w:hAnsi="Aptos"/>
            <w:szCs w:val="24"/>
          </w:rPr>
          <w:t>Action Planning Tools</w:t>
        </w:r>
      </w:hyperlink>
      <w:r w:rsidRPr="00550E1F">
        <w:rPr>
          <w:rFonts w:ascii="Aptos" w:hAnsi="Aptos"/>
          <w:szCs w:val="24"/>
        </w:rPr>
        <w:t xml:space="preserve"> that sponsoring organizations can use to evaluate their own practices</w:t>
      </w:r>
      <w:r w:rsidR="00E31122" w:rsidRPr="00550E1F">
        <w:rPr>
          <w:rFonts w:ascii="Aptos" w:hAnsi="Aptos"/>
          <w:szCs w:val="24"/>
        </w:rPr>
        <w:t xml:space="preserve"> and identify areas of strength and opportunities to improve.</w:t>
      </w:r>
    </w:p>
    <w:p w14:paraId="700E1444" w14:textId="1DA9D271" w:rsidR="00F52B36" w:rsidRPr="00550E1F" w:rsidRDefault="00F52B36" w:rsidP="19A14AB0">
      <w:pPr>
        <w:pStyle w:val="BodyText"/>
        <w:rPr>
          <w:rFonts w:ascii="Aptos" w:hAnsi="Aptos"/>
          <w:color w:val="1F3864" w:themeColor="accent1" w:themeShade="80"/>
          <w:szCs w:val="24"/>
        </w:rPr>
        <w:sectPr w:rsidR="00F52B36" w:rsidRPr="00550E1F" w:rsidSect="0098143B">
          <w:headerReference w:type="default" r:id="rId31"/>
          <w:footerReference w:type="default" r:id="rId32"/>
          <w:pgSz w:w="12240" w:h="15840"/>
          <w:pgMar w:top="720" w:right="1008" w:bottom="806" w:left="1008" w:header="720" w:footer="432" w:gutter="0"/>
          <w:pgNumType w:start="1"/>
          <w:cols w:space="720"/>
          <w:docGrid w:linePitch="360"/>
        </w:sectPr>
      </w:pPr>
    </w:p>
    <w:p w14:paraId="6C335B76" w14:textId="60944D80" w:rsidR="003F5704" w:rsidRPr="008E60DF" w:rsidRDefault="007F1674" w:rsidP="003F5704">
      <w:r w:rsidRPr="008E60DF">
        <w:rPr>
          <w:noProof/>
        </w:rPr>
        <w:lastRenderedPageBreak/>
        <mc:AlternateContent>
          <mc:Choice Requires="wps">
            <w:drawing>
              <wp:anchor distT="0" distB="0" distL="114300" distR="114300" simplePos="0" relativeHeight="251658246" behindDoc="0" locked="0" layoutInCell="1" allowOverlap="1" wp14:anchorId="5012B581" wp14:editId="346A5B93">
                <wp:simplePos x="0" y="0"/>
                <wp:positionH relativeFrom="column">
                  <wp:posOffset>7620</wp:posOffset>
                </wp:positionH>
                <wp:positionV relativeFrom="paragraph">
                  <wp:posOffset>33655</wp:posOffset>
                </wp:positionV>
                <wp:extent cx="6477000" cy="411480"/>
                <wp:effectExtent l="0" t="0" r="0" b="7620"/>
                <wp:wrapNone/>
                <wp:docPr id="1731862404" name="Text Box 2">
                  <a:hlinkClick xmlns:a="http://schemas.openxmlformats.org/drawingml/2006/main" r:id="rId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77000" cy="411480"/>
                        </a:xfrm>
                        <a:prstGeom prst="rect">
                          <a:avLst/>
                        </a:prstGeom>
                        <a:solidFill>
                          <a:schemeClr val="accent1">
                            <a:lumMod val="50000"/>
                          </a:schemeClr>
                        </a:solidFill>
                        <a:ln w="6350">
                          <a:noFill/>
                        </a:ln>
                      </wps:spPr>
                      <wps:txbx>
                        <w:txbxContent>
                          <w:p w14:paraId="648BFDA3" w14:textId="449D743C" w:rsidR="003F5704" w:rsidRPr="0017754F" w:rsidRDefault="00087C01" w:rsidP="0017754F">
                            <w:pPr>
                              <w:pStyle w:val="Heading2"/>
                            </w:pPr>
                            <w:bookmarkStart w:id="8" w:name="PracGuide"/>
                            <w:bookmarkStart w:id="9" w:name="_Toc170897331"/>
                            <w:bookmarkEnd w:id="8"/>
                            <w:r w:rsidRPr="00087C01">
                              <w:rPr>
                                <w:rStyle w:val="Heading2Char"/>
                                <w:b/>
                                <w:bCs/>
                              </w:rPr>
                              <w:t>Promising Practices</w:t>
                            </w:r>
                            <w:r w:rsidR="003F5704" w:rsidRPr="0017754F">
                              <w:t xml:space="preserve"> Guide for Educator Preparation Programs</w:t>
                            </w:r>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2B581" id="_x0000_t202" coordsize="21600,21600" o:spt="202" path="m,l,21600r21600,l21600,xe">
                <v:stroke joinstyle="miter"/>
                <v:path gradientshapeok="t" o:connecttype="rect"/>
              </v:shapetype>
              <v:shape id="Text Box 2" o:spid="_x0000_s1026" type="#_x0000_t202" alt="&quot;&quot;" href="https://massgov.sharepoint.com/sites/doe-educator-effectiveness/Educator Effectiveness Documents/Educator_Prep/Program Approval/Program Approval Cluster Running Agenda.docx?web=1" style="position:absolute;margin-left:.6pt;margin-top:2.65pt;width:510pt;height:32.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" o:button="t" fillcolor="#1f3763 [1604]" stroked="f" strokeweight=".5pt">
                <v:fill o:detectmouseclick="t"/>
                <v:textbox>
                  <w:txbxContent>
                    <w:p w14:paraId="648BFDA3" w14:textId="449D743C" w:rsidR="003F5704" w:rsidRPr="0017754F" w:rsidRDefault="00087C01" w:rsidP="0017754F">
                      <w:pPr>
                        <w:pStyle w:val="Heading2"/>
                      </w:pPr>
                      <w:bookmarkStart w:id="10" w:name="PracGuide"/>
                      <w:bookmarkStart w:id="11" w:name="_Toc170897331"/>
                      <w:bookmarkEnd w:id="10"/>
                      <w:r w:rsidRPr="00087C01">
                        <w:rPr>
                          <w:rStyle w:val="Heading2Char"/>
                          <w:b/>
                          <w:bCs/>
                        </w:rPr>
                        <w:t>Promising Practices</w:t>
                      </w:r>
                      <w:r w:rsidR="003F5704" w:rsidRPr="0017754F">
                        <w:t xml:space="preserve"> Guide for Educator Preparation Programs</w:t>
                      </w:r>
                      <w:bookmarkEnd w:id="11"/>
                    </w:p>
                  </w:txbxContent>
                </v:textbox>
              </v:shape>
            </w:pict>
          </mc:Fallback>
        </mc:AlternateContent>
      </w:r>
    </w:p>
    <w:p w14:paraId="77D2D7D5" w14:textId="6ABBA8BD" w:rsidR="003F5704" w:rsidRPr="008E2A84" w:rsidRDefault="008E2A84" w:rsidP="008E2A84">
      <w:pPr>
        <w:pStyle w:val="BodyText2"/>
      </w:pPr>
      <w:r w:rsidRPr="008E2A84">
        <w:rPr>
          <w:noProof/>
        </w:rPr>
        <mc:AlternateContent>
          <mc:Choice Requires="wps">
            <w:drawing>
              <wp:anchor distT="0" distB="0" distL="114300" distR="114300" simplePos="0" relativeHeight="251658251" behindDoc="0" locked="0" layoutInCell="1" allowOverlap="1" wp14:anchorId="3C4548E1" wp14:editId="3B4D641D">
                <wp:simplePos x="0" y="0"/>
                <wp:positionH relativeFrom="column">
                  <wp:posOffset>8189</wp:posOffset>
                </wp:positionH>
                <wp:positionV relativeFrom="paragraph">
                  <wp:posOffset>183439</wp:posOffset>
                </wp:positionV>
                <wp:extent cx="6477000" cy="4625"/>
                <wp:effectExtent l="0" t="19050" r="19050" b="33655"/>
                <wp:wrapNone/>
                <wp:docPr id="120610748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77000" cy="4625"/>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77D7F" id="Straight Connector 1" o:spid="_x0000_s1026" alt="&quot;&quot;"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45pt" to="510.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" strokecolor="#8c1176" strokeweight="3pt">
                <v:stroke joinstyle="miter"/>
              </v:lin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3"/>
        <w:gridCol w:w="7181"/>
      </w:tblGrid>
      <w:tr w:rsidR="003F5704" w:rsidRPr="003F5704" w14:paraId="126257F0" w14:textId="77777777" w:rsidTr="00902279">
        <w:tc>
          <w:tcPr>
            <w:tcW w:w="1488" w:type="pct"/>
          </w:tcPr>
          <w:p w14:paraId="4942B607" w14:textId="45FE25B0" w:rsidR="003F5704" w:rsidRDefault="003F5704" w:rsidP="007F632E">
            <w:r w:rsidRPr="003F5704">
              <w:rPr>
                <w:noProof/>
              </w:rPr>
              <w:drawing>
                <wp:inline distT="0" distB="0" distL="0" distR="0" wp14:anchorId="41F8A395" wp14:editId="26F0C890">
                  <wp:extent cx="1554480" cy="1371600"/>
                  <wp:effectExtent l="19050" t="19050" r="26670" b="19050"/>
                  <wp:docPr id="678427149" name="Picture 678427149">
                    <a:hlinkClick xmlns:a="http://schemas.openxmlformats.org/drawingml/2006/main" r:id="rId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427149" name="Picture 678427149">
                            <a:hlinkClick r:id="rId34"/>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4480" cy="1371600"/>
                          </a:xfrm>
                          <a:prstGeom prst="rect">
                            <a:avLst/>
                          </a:prstGeom>
                          <a:ln>
                            <a:solidFill>
                              <a:schemeClr val="accent1">
                                <a:lumMod val="75000"/>
                              </a:schemeClr>
                            </a:solidFill>
                          </a:ln>
                        </pic:spPr>
                      </pic:pic>
                    </a:graphicData>
                  </a:graphic>
                </wp:inline>
              </w:drawing>
            </w:r>
          </w:p>
          <w:p w14:paraId="6AE7975F" w14:textId="1569B48C" w:rsidR="003F5704" w:rsidRPr="00550E1F" w:rsidRDefault="003F5704" w:rsidP="00550E1F">
            <w:pPr>
              <w:pStyle w:val="BodyText"/>
              <w:jc w:val="center"/>
              <w:rPr>
                <w:rStyle w:val="Hyperlink"/>
                <w:rFonts w:ascii="Aptos" w:hAnsi="Aptos"/>
                <w:b/>
                <w:bCs/>
              </w:rPr>
            </w:pPr>
            <w:hyperlink w:anchor="_How_does_a" w:history="1">
              <w:r w:rsidRPr="00550E1F">
                <w:rPr>
                  <w:rStyle w:val="Hyperlink"/>
                  <w:rFonts w:ascii="Aptos" w:hAnsi="Aptos"/>
                  <w:b/>
                  <w:bCs/>
                </w:rPr>
                <w:t>Continuous Improvement</w:t>
              </w:r>
            </w:hyperlink>
          </w:p>
        </w:tc>
        <w:tc>
          <w:tcPr>
            <w:tcW w:w="3512" w:type="pct"/>
          </w:tcPr>
          <w:p w14:paraId="78424248" w14:textId="71F0E960" w:rsidR="003F5704" w:rsidRPr="00550E1F" w:rsidRDefault="00CF757E" w:rsidP="00CF757E">
            <w:pPr>
              <w:pStyle w:val="BodyText"/>
              <w:jc w:val="center"/>
              <w:rPr>
                <w:rFonts w:ascii="Aptos" w:hAnsi="Aptos"/>
                <w:b/>
                <w:bCs/>
                <w:color w:val="1F3864" w:themeColor="accent1" w:themeShade="80"/>
                <w:sz w:val="32"/>
                <w:szCs w:val="32"/>
              </w:rPr>
            </w:pPr>
            <w:r w:rsidRPr="00550E1F">
              <w:rPr>
                <w:rFonts w:ascii="Aptos" w:hAnsi="Aptos"/>
                <w:b/>
                <w:bCs/>
                <w:color w:val="1F3864" w:themeColor="accent1" w:themeShade="80"/>
                <w:sz w:val="32"/>
                <w:szCs w:val="32"/>
              </w:rPr>
              <w:t>What are promising practices</w:t>
            </w:r>
            <w:r w:rsidR="00087C01" w:rsidRPr="00550E1F">
              <w:rPr>
                <w:rFonts w:ascii="Aptos" w:hAnsi="Aptos"/>
                <w:b/>
                <w:bCs/>
                <w:color w:val="1F3864" w:themeColor="accent1" w:themeShade="80"/>
                <w:sz w:val="32"/>
                <w:szCs w:val="32"/>
              </w:rPr>
              <w:t>?</w:t>
            </w:r>
          </w:p>
          <w:p w14:paraId="51A71876" w14:textId="2B3088DF" w:rsidR="00CF757E" w:rsidRPr="00CF757E" w:rsidRDefault="00CF757E" w:rsidP="00CF757E">
            <w:pPr>
              <w:pStyle w:val="BodyText"/>
              <w:rPr>
                <w:b/>
                <w:bCs/>
                <w:color w:val="0563C1"/>
              </w:rPr>
            </w:pPr>
            <w:r w:rsidRPr="00550E1F">
              <w:rPr>
                <w:rFonts w:ascii="Aptos" w:hAnsi="Aptos"/>
                <w:color w:val="163A42"/>
              </w:rPr>
              <w:t xml:space="preserve">Promising practices are research-backed strategies and actions that are aligned with MA DESE’s </w:t>
            </w:r>
            <w:r w:rsidR="00C54B9C" w:rsidRPr="00550E1F">
              <w:rPr>
                <w:rFonts w:ascii="Aptos" w:hAnsi="Aptos"/>
                <w:i/>
                <w:iCs/>
                <w:color w:val="163A42"/>
              </w:rPr>
              <w:t xml:space="preserve">2023 </w:t>
            </w:r>
            <w:r w:rsidRPr="00550E1F">
              <w:rPr>
                <w:rFonts w:ascii="Aptos" w:hAnsi="Aptos"/>
                <w:i/>
                <w:iCs/>
                <w:color w:val="163A42"/>
              </w:rPr>
              <w:t>Guidelines for Educator Preparation Program Approval</w:t>
            </w:r>
            <w:r w:rsidR="00C66160" w:rsidRPr="00550E1F">
              <w:rPr>
                <w:rFonts w:ascii="Aptos" w:hAnsi="Aptos"/>
                <w:color w:val="163A42"/>
              </w:rPr>
              <w:t xml:space="preserve"> (Program Approval Guidelines)</w:t>
            </w:r>
            <w:r w:rsidRPr="00550E1F">
              <w:rPr>
                <w:rFonts w:ascii="Aptos" w:hAnsi="Aptos"/>
                <w:i/>
                <w:iCs/>
                <w:color w:val="163A42"/>
              </w:rPr>
              <w:t>.</w:t>
            </w:r>
            <w:r w:rsidRPr="00550E1F">
              <w:rPr>
                <w:rFonts w:ascii="Aptos" w:hAnsi="Aptos"/>
                <w:color w:val="163A42"/>
              </w:rPr>
              <w:t xml:space="preserve"> To ensure that educator preparation programs are aligned with the highest standards of equity and effectiveness, the </w:t>
            </w:r>
            <w:r w:rsidR="00C66160" w:rsidRPr="00550E1F">
              <w:rPr>
                <w:rFonts w:ascii="Aptos" w:hAnsi="Aptos"/>
                <w:color w:val="163A42"/>
              </w:rPr>
              <w:t>Program Approval Guidelines</w:t>
            </w:r>
            <w:r w:rsidRPr="00550E1F">
              <w:rPr>
                <w:rFonts w:ascii="Aptos" w:hAnsi="Aptos"/>
                <w:color w:val="163A42"/>
              </w:rPr>
              <w:t xml:space="preserve"> were updated in 2023 to be:</w:t>
            </w:r>
          </w:p>
        </w:tc>
      </w:tr>
      <w:tr w:rsidR="003F5704" w:rsidRPr="003F5704" w14:paraId="443E05FE" w14:textId="77777777" w:rsidTr="00902279">
        <w:tc>
          <w:tcPr>
            <w:tcW w:w="1488" w:type="pct"/>
          </w:tcPr>
          <w:p w14:paraId="0F3735AF" w14:textId="77777777" w:rsidR="00CF757E" w:rsidRDefault="003F5704" w:rsidP="007F632E">
            <w:r w:rsidRPr="003F5704">
              <w:rPr>
                <w:noProof/>
              </w:rPr>
              <w:drawing>
                <wp:inline distT="0" distB="0" distL="0" distR="0" wp14:anchorId="0B2E4C1A" wp14:editId="74E9004E">
                  <wp:extent cx="1554480" cy="1371600"/>
                  <wp:effectExtent l="19050" t="19050" r="26670" b="19050"/>
                  <wp:docPr id="2052541965" name="Picture 2052541965">
                    <a:hlinkClick xmlns:a="http://schemas.openxmlformats.org/drawingml/2006/main" r:id="rId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541965" name="Picture 2052541965">
                            <a:hlinkClick r:id="rId36"/>
                            <a:extLst>
                              <a:ext uri="{C183D7F6-B498-43B3-948B-1728B52AA6E4}">
                                <adec:decorative xmlns:adec="http://schemas.microsoft.com/office/drawing/2017/decorative" val="1"/>
                              </a:ext>
                            </a:extLst>
                          </pic:cNvPr>
                          <pic:cNvPicPr/>
                        </pic:nvPicPr>
                        <pic:blipFill rotWithShape="1">
                          <a:blip r:embed="rId37" cstate="print">
                            <a:extLst>
                              <a:ext uri="{28A0092B-C50C-407E-A947-70E740481C1C}">
                                <a14:useLocalDpi xmlns:a14="http://schemas.microsoft.com/office/drawing/2010/main" val="0"/>
                              </a:ext>
                            </a:extLst>
                          </a:blip>
                          <a:srcRect l="28292" t="10481" r="6834" b="7264"/>
                          <a:stretch/>
                        </pic:blipFill>
                        <pic:spPr bwMode="auto">
                          <a:xfrm>
                            <a:off x="0" y="0"/>
                            <a:ext cx="1554480" cy="1371600"/>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61D44955" w14:textId="51D687C7" w:rsidR="003F5704" w:rsidRPr="00550E1F" w:rsidRDefault="003F5704" w:rsidP="00550E1F">
            <w:pPr>
              <w:pStyle w:val="BodyText"/>
              <w:jc w:val="center"/>
              <w:rPr>
                <w:rFonts w:ascii="Aptos" w:hAnsi="Aptos"/>
                <w:b/>
                <w:bCs/>
                <w:szCs w:val="24"/>
              </w:rPr>
            </w:pPr>
            <w:hyperlink w:anchor="_How_can_strong" w:history="1">
              <w:r w:rsidRPr="00550E1F">
                <w:rPr>
                  <w:rStyle w:val="Hyperlink"/>
                  <w:rFonts w:ascii="Aptos" w:hAnsi="Aptos"/>
                  <w:b/>
                  <w:bCs/>
                  <w:szCs w:val="24"/>
                </w:rPr>
                <w:t>Candidates</w:t>
              </w:r>
            </w:hyperlink>
          </w:p>
        </w:tc>
        <w:tc>
          <w:tcPr>
            <w:tcW w:w="3512" w:type="pct"/>
          </w:tcPr>
          <w:p w14:paraId="3A6ED069" w14:textId="1190F2D6" w:rsidR="003F5704" w:rsidRPr="00550E1F" w:rsidRDefault="00CF757E" w:rsidP="00CF757E">
            <w:pPr>
              <w:pStyle w:val="ListNumber"/>
              <w:rPr>
                <w:rFonts w:ascii="Aptos" w:hAnsi="Aptos"/>
                <w:color w:val="163A42"/>
                <w:sz w:val="24"/>
                <w:szCs w:val="24"/>
              </w:rPr>
            </w:pPr>
            <w:r w:rsidRPr="00550E1F">
              <w:rPr>
                <w:rFonts w:ascii="Aptos" w:hAnsi="Aptos"/>
                <w:b/>
                <w:bCs/>
                <w:color w:val="1F3864" w:themeColor="accent1" w:themeShade="80"/>
                <w:sz w:val="24"/>
                <w:szCs w:val="24"/>
              </w:rPr>
              <w:t>Evidence-</w:t>
            </w:r>
            <w:r w:rsidR="00C66160" w:rsidRPr="00550E1F">
              <w:rPr>
                <w:rFonts w:ascii="Aptos" w:hAnsi="Aptos"/>
                <w:b/>
                <w:bCs/>
                <w:color w:val="1F3864" w:themeColor="accent1" w:themeShade="80"/>
                <w:sz w:val="24"/>
                <w:szCs w:val="24"/>
              </w:rPr>
              <w:t>based</w:t>
            </w:r>
            <w:r w:rsidRPr="00550E1F">
              <w:rPr>
                <w:rFonts w:ascii="Aptos" w:hAnsi="Aptos"/>
                <w:color w:val="1F3864" w:themeColor="accent1" w:themeShade="80"/>
                <w:sz w:val="24"/>
                <w:szCs w:val="24"/>
              </w:rPr>
              <w:t xml:space="preserve">: </w:t>
            </w:r>
            <w:r w:rsidRPr="00550E1F">
              <w:rPr>
                <w:rFonts w:ascii="Aptos" w:hAnsi="Aptos"/>
                <w:color w:val="163A42"/>
                <w:sz w:val="24"/>
                <w:szCs w:val="24"/>
              </w:rPr>
              <w:t>grounded in a review of research focused on equity-based approaches in educator preparation; drawing on evidence-based practices with documented effectiveness at yielding positive results and improving outcomes across diverse populations.</w:t>
            </w:r>
          </w:p>
          <w:p w14:paraId="280E3618" w14:textId="3FA27A44" w:rsidR="00CF757E" w:rsidRPr="00550E1F" w:rsidRDefault="00CF757E" w:rsidP="00CF757E">
            <w:pPr>
              <w:pStyle w:val="ListNumber"/>
              <w:rPr>
                <w:rFonts w:ascii="Aptos" w:hAnsi="Aptos"/>
                <w:color w:val="163A42"/>
                <w:sz w:val="24"/>
                <w:szCs w:val="24"/>
              </w:rPr>
            </w:pPr>
            <w:r w:rsidRPr="00550E1F">
              <w:rPr>
                <w:rFonts w:ascii="Aptos" w:hAnsi="Aptos"/>
                <w:b/>
                <w:bCs/>
                <w:color w:val="1F3864" w:themeColor="accent1" w:themeShade="80"/>
                <w:sz w:val="24"/>
                <w:szCs w:val="24"/>
              </w:rPr>
              <w:t>Anti-racist:</w:t>
            </w:r>
            <w:r w:rsidRPr="00550E1F">
              <w:rPr>
                <w:rFonts w:ascii="Aptos" w:hAnsi="Aptos"/>
                <w:color w:val="1F3864" w:themeColor="accent1" w:themeShade="80"/>
                <w:sz w:val="24"/>
                <w:szCs w:val="24"/>
              </w:rPr>
              <w:t xml:space="preserve"> </w:t>
            </w:r>
            <w:r w:rsidRPr="00550E1F">
              <w:rPr>
                <w:rFonts w:ascii="Aptos" w:hAnsi="Aptos"/>
                <w:color w:val="163A42"/>
                <w:sz w:val="24"/>
                <w:szCs w:val="24"/>
              </w:rPr>
              <w:t>actively seeking to reimagine the structures, policies, institutions, and systems that erect barriers and perpetuate race-based inequities among candidates from marginalized groups; fostering recognition and respect for the full humanity and dignity of all candidates, while also preparing them to extend the same level of respect and understanding to their future students.</w:t>
            </w:r>
          </w:p>
        </w:tc>
      </w:tr>
      <w:tr w:rsidR="003F5704" w:rsidRPr="003F5704" w14:paraId="312819CE" w14:textId="77777777" w:rsidTr="00902279">
        <w:tc>
          <w:tcPr>
            <w:tcW w:w="1488" w:type="pct"/>
          </w:tcPr>
          <w:p w14:paraId="02862B0B" w14:textId="20DE12B9" w:rsidR="00CF757E" w:rsidRDefault="00CF757E" w:rsidP="00CF757E">
            <w:pPr>
              <w:pStyle w:val="BodyText"/>
              <w:rPr>
                <w:sz w:val="21"/>
              </w:rPr>
            </w:pPr>
            <w:r w:rsidRPr="003F5704">
              <w:rPr>
                <w:noProof/>
              </w:rPr>
              <w:drawing>
                <wp:inline distT="0" distB="0" distL="0" distR="0" wp14:anchorId="0280F3FD" wp14:editId="0F303A8D">
                  <wp:extent cx="1554480" cy="1371600"/>
                  <wp:effectExtent l="19050" t="19050" r="26670" b="19050"/>
                  <wp:docPr id="1139641254" name="Picture 1139641254">
                    <a:hlinkClick xmlns:a="http://schemas.openxmlformats.org/drawingml/2006/main" r:id="rId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641254" name="Picture 1139641254">
                            <a:hlinkClick r:id="rId38"/>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val="0"/>
                              </a:ext>
                            </a:extLst>
                          </a:blip>
                          <a:srcRect r="11308"/>
                          <a:stretch/>
                        </pic:blipFill>
                        <pic:spPr bwMode="auto">
                          <a:xfrm>
                            <a:off x="0" y="0"/>
                            <a:ext cx="1554480" cy="1371600"/>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A78C1DC" w14:textId="1D426039" w:rsidR="003F5704" w:rsidRPr="00550E1F" w:rsidRDefault="003F5704" w:rsidP="00550E1F">
            <w:pPr>
              <w:pStyle w:val="BodyText"/>
              <w:jc w:val="center"/>
              <w:rPr>
                <w:rFonts w:ascii="Aptos" w:hAnsi="Aptos"/>
                <w:b/>
                <w:bCs/>
                <w:color w:val="163A42"/>
                <w:szCs w:val="24"/>
              </w:rPr>
            </w:pPr>
            <w:hyperlink w:anchor="_How_can_strong_1" w:history="1">
              <w:r w:rsidRPr="00550E1F">
                <w:rPr>
                  <w:rStyle w:val="Hyperlink"/>
                  <w:rFonts w:ascii="Aptos" w:hAnsi="Aptos"/>
                  <w:b/>
                  <w:bCs/>
                  <w:szCs w:val="24"/>
                </w:rPr>
                <w:t>Partnerships</w:t>
              </w:r>
            </w:hyperlink>
          </w:p>
        </w:tc>
        <w:tc>
          <w:tcPr>
            <w:tcW w:w="3512" w:type="pct"/>
          </w:tcPr>
          <w:p w14:paraId="6AF98708" w14:textId="5C1EB16E" w:rsidR="003F5704" w:rsidRPr="00550E1F" w:rsidRDefault="00CF757E" w:rsidP="00CF757E">
            <w:pPr>
              <w:pStyle w:val="ListNumber"/>
              <w:rPr>
                <w:rFonts w:ascii="Aptos" w:hAnsi="Aptos"/>
                <w:color w:val="163A42"/>
                <w:sz w:val="24"/>
                <w:szCs w:val="24"/>
              </w:rPr>
            </w:pPr>
            <w:r w:rsidRPr="00550E1F">
              <w:rPr>
                <w:rFonts w:ascii="Aptos" w:hAnsi="Aptos"/>
                <w:b/>
                <w:bCs/>
                <w:color w:val="1F3864" w:themeColor="accent1" w:themeShade="80"/>
                <w:sz w:val="24"/>
                <w:szCs w:val="24"/>
              </w:rPr>
              <w:t>Culturally and Linguistically Sustaining:</w:t>
            </w:r>
            <w:r w:rsidRPr="00550E1F">
              <w:rPr>
                <w:rFonts w:ascii="Aptos" w:hAnsi="Aptos"/>
                <w:color w:val="163A42"/>
                <w:sz w:val="24"/>
                <w:szCs w:val="24"/>
              </w:rPr>
              <w:t xml:space="preserve"> enabling sponsoring organizations to not only respect and affirm the diverse backgrounds of candidates but also treat their cultural knowledge and language practices as assets for their training as future educators.</w:t>
            </w:r>
          </w:p>
          <w:p w14:paraId="25B1CD92" w14:textId="32BB4F71" w:rsidR="00CF757E" w:rsidRPr="00550E1F" w:rsidRDefault="00CF757E" w:rsidP="00CF757E">
            <w:pPr>
              <w:pStyle w:val="BodyText"/>
              <w:tabs>
                <w:tab w:val="left" w:pos="2449"/>
              </w:tabs>
              <w:ind w:left="113"/>
              <w:rPr>
                <w:rFonts w:ascii="Aptos" w:hAnsi="Aptos"/>
                <w:color w:val="163A42"/>
                <w:szCs w:val="24"/>
              </w:rPr>
            </w:pPr>
            <w:r w:rsidRPr="00550E1F">
              <w:rPr>
                <w:rFonts w:ascii="Aptos" w:hAnsi="Aptos"/>
                <w:color w:val="163A42"/>
                <w:szCs w:val="24"/>
              </w:rPr>
              <w:t xml:space="preserve">The promising practices illustrated in this resource </w:t>
            </w:r>
            <w:r w:rsidR="00FE19DE" w:rsidRPr="00550E1F">
              <w:rPr>
                <w:rFonts w:ascii="Aptos" w:hAnsi="Aptos"/>
                <w:color w:val="163A42"/>
                <w:szCs w:val="24"/>
              </w:rPr>
              <w:t xml:space="preserve">kit </w:t>
            </w:r>
            <w:r w:rsidRPr="00550E1F">
              <w:rPr>
                <w:rFonts w:ascii="Aptos" w:hAnsi="Aptos"/>
                <w:color w:val="163A42"/>
                <w:szCs w:val="24"/>
              </w:rPr>
              <w:t xml:space="preserve">draw on initiatives that sponsoring organizations have already developed and </w:t>
            </w:r>
            <w:r w:rsidR="00607EB0">
              <w:rPr>
                <w:rFonts w:ascii="Aptos" w:hAnsi="Aptos"/>
                <w:color w:val="163A42"/>
                <w:szCs w:val="24"/>
              </w:rPr>
              <w:t>adopted</w:t>
            </w:r>
            <w:r w:rsidRPr="00550E1F">
              <w:rPr>
                <w:rFonts w:ascii="Aptos" w:hAnsi="Aptos"/>
                <w:color w:val="163A42"/>
                <w:szCs w:val="24"/>
              </w:rPr>
              <w:t xml:space="preserve"> within their programs.</w:t>
            </w:r>
          </w:p>
        </w:tc>
      </w:tr>
    </w:tbl>
    <w:p w14:paraId="0C0366A8" w14:textId="77777777" w:rsidR="007F1674" w:rsidRDefault="007F1674" w:rsidP="19A14AB0">
      <w:pPr>
        <w:spacing w:before="0" w:after="0"/>
        <w:rPr>
          <w:rFonts w:asciiTheme="minorHAnsi" w:eastAsia="Libre Franklin" w:hAnsiTheme="minorHAnsi" w:cs="Libre Franklin"/>
          <w:color w:val="163A42"/>
        </w:rPr>
      </w:pPr>
      <w:bookmarkStart w:id="10" w:name="_Toc170048390"/>
      <w:bookmarkStart w:id="11" w:name="_Toc170286764"/>
      <w:bookmarkStart w:id="12" w:name="_Toc170287930"/>
      <w:r w:rsidRPr="19A14AB0">
        <w:rPr>
          <w:color w:val="163A42"/>
        </w:rPr>
        <w:br w:type="page"/>
      </w:r>
    </w:p>
    <w:p w14:paraId="1A896EA3" w14:textId="092C7240" w:rsidR="00617EC2" w:rsidRPr="007F1674" w:rsidRDefault="00CF648D" w:rsidP="007F1674">
      <w:pPr>
        <w:pStyle w:val="Paragraph-AfterList"/>
        <w:rPr>
          <w:rStyle w:val="BodyTextChar"/>
        </w:rPr>
      </w:pPr>
      <w:r w:rsidRPr="008E2A84">
        <w:rPr>
          <w:noProof/>
        </w:rPr>
        <mc:AlternateContent>
          <mc:Choice Requires="wps">
            <w:drawing>
              <wp:anchor distT="0" distB="0" distL="114300" distR="114300" simplePos="0" relativeHeight="251658259" behindDoc="0" locked="0" layoutInCell="1" allowOverlap="1" wp14:anchorId="6860D0E9" wp14:editId="03588F20">
                <wp:simplePos x="0" y="0"/>
                <wp:positionH relativeFrom="column">
                  <wp:posOffset>0</wp:posOffset>
                </wp:positionH>
                <wp:positionV relativeFrom="paragraph">
                  <wp:posOffset>307794</wp:posOffset>
                </wp:positionV>
                <wp:extent cx="6400800" cy="0"/>
                <wp:effectExtent l="0" t="12700" r="25400" b="25400"/>
                <wp:wrapNone/>
                <wp:docPr id="10629230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F450AE" id="Straight Connector 1" o:spid="_x0000_s1026" alt="&quot;&quot;" style="position:absolute;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4.25pt" to="7in,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" strokecolor="#8c1176" strokeweight="3pt">
                <v:stroke joinstyle="miter"/>
              </v:line>
            </w:pict>
          </mc:Fallback>
        </mc:AlternateContent>
      </w:r>
      <w:r w:rsidR="00AF58FC" w:rsidRPr="007F1674">
        <w:rPr>
          <w:rStyle w:val="BodyTextChar"/>
          <w:noProof/>
        </w:rPr>
        <mc:AlternateContent>
          <mc:Choice Requires="wps">
            <w:drawing>
              <wp:anchor distT="0" distB="0" distL="114300" distR="114300" simplePos="0" relativeHeight="251658258" behindDoc="0" locked="0" layoutInCell="1" allowOverlap="1" wp14:anchorId="7DEF7F7F" wp14:editId="198B9925">
                <wp:simplePos x="0" y="0"/>
                <wp:positionH relativeFrom="column">
                  <wp:posOffset>-3810</wp:posOffset>
                </wp:positionH>
                <wp:positionV relativeFrom="paragraph">
                  <wp:posOffset>-66040</wp:posOffset>
                </wp:positionV>
                <wp:extent cx="6400800" cy="365760"/>
                <wp:effectExtent l="0" t="0" r="0" b="2540"/>
                <wp:wrapNone/>
                <wp:docPr id="76692034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7166B895" w14:textId="1025EEE0" w:rsidR="00AF58FC" w:rsidRPr="00550E1F" w:rsidRDefault="00607EB0" w:rsidP="00087C01">
                            <w:pPr>
                              <w:pStyle w:val="Heading2a"/>
                              <w:rPr>
                                <w:sz w:val="36"/>
                                <w:szCs w:val="56"/>
                              </w:rPr>
                            </w:pPr>
                            <w:bookmarkStart w:id="13" w:name="_Toc170897332"/>
                            <w:r w:rsidRPr="00550E1F">
                              <w:rPr>
                                <w:sz w:val="36"/>
                                <w:szCs w:val="56"/>
                              </w:rPr>
                              <w:t>The Continuous Improvement Domain</w:t>
                            </w:r>
                            <w:r w:rsidR="007631A7" w:rsidRPr="00550E1F">
                              <w:rPr>
                                <w:sz w:val="36"/>
                                <w:szCs w:val="56"/>
                              </w:rPr>
                              <w:t xml:space="preserve"> </w:t>
                            </w:r>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F7F7F" id="Text Box 1" o:spid="_x0000_s1027" type="#_x0000_t202" alt="&quot;&quot;" style="position:absolute;margin-left:-.3pt;margin-top:-5.2pt;width:7in;height:28.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" fillcolor="#1f3763 [1604]" stroked="f" strokeweight=".5pt">
                <v:textbox>
                  <w:txbxContent>
                    <w:p w14:paraId="7166B895" w14:textId="1025EEE0" w:rsidR="00AF58FC" w:rsidRPr="00550E1F" w:rsidRDefault="00607EB0" w:rsidP="00087C01">
                      <w:pPr>
                        <w:pStyle w:val="Heading2a"/>
                        <w:rPr>
                          <w:sz w:val="36"/>
                          <w:szCs w:val="56"/>
                        </w:rPr>
                      </w:pPr>
                      <w:bookmarkStart w:id="16" w:name="_Toc170897332"/>
                      <w:r w:rsidRPr="00550E1F">
                        <w:rPr>
                          <w:sz w:val="36"/>
                          <w:szCs w:val="56"/>
                        </w:rPr>
                        <w:t>The Continuous Improvement Domain</w:t>
                      </w:r>
                      <w:r w:rsidR="007631A7" w:rsidRPr="00550E1F">
                        <w:rPr>
                          <w:sz w:val="36"/>
                          <w:szCs w:val="56"/>
                        </w:rPr>
                        <w:t xml:space="preserve"> </w:t>
                      </w:r>
                      <w:bookmarkEnd w:id="16"/>
                    </w:p>
                  </w:txbxContent>
                </v:textbox>
              </v:shape>
            </w:pict>
          </mc:Fallback>
        </mc:AlternateContent>
      </w:r>
      <w:bookmarkEnd w:id="10"/>
      <w:bookmarkEnd w:id="11"/>
      <w:bookmarkEnd w:id="12"/>
    </w:p>
    <w:p w14:paraId="2BD3B8CB" w14:textId="5903FDCC" w:rsidR="6049E9AC" w:rsidRPr="00550E1F" w:rsidRDefault="6049E9AC" w:rsidP="0017754F">
      <w:pPr>
        <w:pStyle w:val="Paragraph-AfterList"/>
        <w:spacing w:before="360"/>
        <w:ind w:right="144"/>
        <w:rPr>
          <w:rFonts w:ascii="Aptos" w:hAnsi="Aptos"/>
        </w:rPr>
      </w:pPr>
      <w:r w:rsidRPr="00550E1F">
        <w:rPr>
          <w:rFonts w:ascii="Aptos" w:hAnsi="Aptos"/>
        </w:rPr>
        <w:t>Sponsoring organizations should create a comprehensive system for collecting and analyzing multiple data sources to frequently reflect upon strengths and areas for growth in their programs and take action towards more equitable and effective preparation experiences.</w:t>
      </w:r>
    </w:p>
    <w:p w14:paraId="24054435" w14:textId="031151D5" w:rsidR="6049E9AC" w:rsidRDefault="6049E9AC" w:rsidP="007C3D1C">
      <w:r>
        <w:rPr>
          <w:noProof/>
        </w:rPr>
        <w:drawing>
          <wp:inline distT="0" distB="0" distL="0" distR="0" wp14:anchorId="1F8067C3" wp14:editId="6A74932B">
            <wp:extent cx="6400800" cy="2422315"/>
            <wp:effectExtent l="0" t="0" r="0" b="3810"/>
            <wp:docPr id="1749031740" name="Picture 174903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31740" name="Picture 174903174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400800" cy="2422315"/>
                    </a:xfrm>
                    <a:prstGeom prst="rect">
                      <a:avLst/>
                    </a:prstGeom>
                  </pic:spPr>
                </pic:pic>
              </a:graphicData>
            </a:graphic>
          </wp:inline>
        </w:drawing>
      </w:r>
    </w:p>
    <w:p w14:paraId="7C743DC1" w14:textId="3F2616BA" w:rsidR="6049E9AC" w:rsidRPr="00550E1F" w:rsidRDefault="6049E9AC" w:rsidP="000C220A">
      <w:pPr>
        <w:pStyle w:val="Heading3"/>
        <w:rPr>
          <w:rFonts w:ascii="Aptos" w:hAnsi="Aptos"/>
        </w:rPr>
      </w:pPr>
      <w:bookmarkStart w:id="14" w:name="_How_does_a"/>
      <w:bookmarkEnd w:id="14"/>
      <w:r w:rsidRPr="00550E1F">
        <w:rPr>
          <w:rFonts w:ascii="Aptos" w:hAnsi="Aptos"/>
        </w:rPr>
        <w:t>How does a continuous improvement system ensure equitable experiences and outcomes for all candidates, PK-12 students, schools, and districts?</w:t>
      </w:r>
    </w:p>
    <w:p w14:paraId="14BEAADB" w14:textId="72A54B3D" w:rsidR="6049E9AC" w:rsidRPr="00550E1F" w:rsidRDefault="6049E9AC" w:rsidP="007C3D1C">
      <w:pPr>
        <w:pStyle w:val="BodyText2"/>
        <w:rPr>
          <w:rFonts w:ascii="Aptos" w:hAnsi="Aptos"/>
          <w:sz w:val="24"/>
          <w:szCs w:val="22"/>
        </w:rPr>
      </w:pPr>
      <w:r w:rsidRPr="00550E1F">
        <w:rPr>
          <w:rFonts w:ascii="Aptos" w:hAnsi="Aptos"/>
          <w:sz w:val="24"/>
          <w:szCs w:val="22"/>
        </w:rPr>
        <w:t>An effective continuous improvement system promotes equitable experiences and outcomes for all participants by:</w:t>
      </w:r>
    </w:p>
    <w:p w14:paraId="759A9656" w14:textId="6CC69ED7" w:rsidR="00965758" w:rsidRPr="00550E1F" w:rsidRDefault="00965758" w:rsidP="009A09A6">
      <w:pPr>
        <w:pStyle w:val="ListBullet"/>
        <w:ind w:right="144"/>
        <w:rPr>
          <w:rFonts w:ascii="Aptos" w:hAnsi="Aptos"/>
          <w:sz w:val="24"/>
          <w:szCs w:val="22"/>
        </w:rPr>
      </w:pPr>
      <w:r w:rsidRPr="00550E1F">
        <w:rPr>
          <w:rFonts w:ascii="Aptos" w:hAnsi="Aptos"/>
          <w:b/>
          <w:bCs w:val="0"/>
          <w:color w:val="1F3864" w:themeColor="accent1" w:themeShade="80"/>
          <w:sz w:val="24"/>
          <w:szCs w:val="22"/>
        </w:rPr>
        <w:t>Establishing a leadership vision for continuous improvement:</w:t>
      </w:r>
      <w:r w:rsidRPr="00550E1F">
        <w:rPr>
          <w:rFonts w:ascii="Aptos" w:hAnsi="Aptos"/>
          <w:color w:val="1F3864" w:themeColor="accent1" w:themeShade="80"/>
          <w:sz w:val="24"/>
          <w:szCs w:val="22"/>
        </w:rPr>
        <w:t xml:space="preserve"> </w:t>
      </w:r>
      <w:r w:rsidRPr="00550E1F">
        <w:rPr>
          <w:rFonts w:ascii="Aptos" w:hAnsi="Aptos"/>
          <w:sz w:val="24"/>
          <w:szCs w:val="22"/>
        </w:rPr>
        <w:t>Institutional leaders must be committed to anti-racist and culturally sustaining guiding principles and foster a culture based on these guiding principles with all staff (Temponi, 2005). This includes reflecting on whether end goals of the continuous improvement system, like improving candidate outcomes, are culturally sustaining and anti-racist (Cochran-Smith et al., 2016).</w:t>
      </w:r>
    </w:p>
    <w:p w14:paraId="46865AB3" w14:textId="73BBA106" w:rsidR="00965758" w:rsidRPr="00550E1F" w:rsidRDefault="00965758" w:rsidP="009A09A6">
      <w:pPr>
        <w:pStyle w:val="ListBullet"/>
        <w:ind w:right="144"/>
        <w:rPr>
          <w:rFonts w:ascii="Aptos" w:hAnsi="Aptos"/>
          <w:sz w:val="24"/>
          <w:szCs w:val="22"/>
        </w:rPr>
      </w:pPr>
      <w:r w:rsidRPr="00550E1F">
        <w:rPr>
          <w:rFonts w:ascii="Aptos" w:hAnsi="Aptos"/>
          <w:b/>
          <w:bCs w:val="0"/>
          <w:color w:val="1F3864" w:themeColor="accent1" w:themeShade="80"/>
          <w:sz w:val="24"/>
          <w:szCs w:val="22"/>
        </w:rPr>
        <w:t>Creating actionable data systems and supporting equity-oriented data analysis:</w:t>
      </w:r>
      <w:r w:rsidRPr="00550E1F">
        <w:rPr>
          <w:rFonts w:ascii="Aptos" w:hAnsi="Aptos"/>
          <w:color w:val="1F3864" w:themeColor="accent1" w:themeShade="80"/>
          <w:sz w:val="24"/>
          <w:szCs w:val="22"/>
        </w:rPr>
        <w:t xml:space="preserve"> </w:t>
      </w:r>
      <w:r w:rsidRPr="00550E1F">
        <w:rPr>
          <w:rFonts w:ascii="Aptos" w:hAnsi="Aptos"/>
          <w:sz w:val="24"/>
          <w:szCs w:val="22"/>
        </w:rPr>
        <w:t>Educator preparation programs should shift from analysis void of racial, cultural, and linguistic considerations to disaggregated data analysis by identity markers</w:t>
      </w:r>
      <w:r w:rsidR="0061091C" w:rsidRPr="00550E1F">
        <w:rPr>
          <w:rFonts w:ascii="Aptos" w:hAnsi="Aptos"/>
          <w:sz w:val="24"/>
          <w:szCs w:val="22"/>
        </w:rPr>
        <w:t>. They should</w:t>
      </w:r>
      <w:r w:rsidRPr="00550E1F">
        <w:rPr>
          <w:rFonts w:ascii="Aptos" w:hAnsi="Aptos"/>
          <w:sz w:val="24"/>
          <w:szCs w:val="22"/>
        </w:rPr>
        <w:t xml:space="preserve"> examine data in context to account for the existence of institutional racism and its effects on people’s experiences, and work to disrupt its impact (Kohli et al., 2022).</w:t>
      </w:r>
    </w:p>
    <w:p w14:paraId="17C7E2DD" w14:textId="440A0F31" w:rsidR="009A09A6" w:rsidRPr="00550E1F" w:rsidRDefault="00965758" w:rsidP="009A09A6">
      <w:pPr>
        <w:pStyle w:val="ListBullet"/>
        <w:ind w:right="144"/>
        <w:rPr>
          <w:rFonts w:ascii="Aptos" w:hAnsi="Aptos"/>
          <w:sz w:val="24"/>
          <w:szCs w:val="22"/>
        </w:rPr>
      </w:pPr>
      <w:r w:rsidRPr="00550E1F">
        <w:rPr>
          <w:rFonts w:ascii="Aptos" w:hAnsi="Aptos"/>
          <w:b/>
          <w:color w:val="1F3864" w:themeColor="accent1" w:themeShade="80"/>
          <w:sz w:val="24"/>
          <w:szCs w:val="22"/>
        </w:rPr>
        <w:t>Assess program complexities using diverse data:</w:t>
      </w:r>
      <w:r w:rsidRPr="00550E1F">
        <w:rPr>
          <w:rFonts w:ascii="Aptos" w:hAnsi="Aptos"/>
          <w:color w:val="1F3864" w:themeColor="accent1" w:themeShade="80"/>
          <w:sz w:val="24"/>
          <w:szCs w:val="22"/>
        </w:rPr>
        <w:t xml:space="preserve"> </w:t>
      </w:r>
      <w:r w:rsidRPr="00550E1F">
        <w:rPr>
          <w:rFonts w:ascii="Aptos" w:hAnsi="Aptos"/>
          <w:sz w:val="24"/>
          <w:szCs w:val="22"/>
        </w:rPr>
        <w:t>Two-part investigations of “how things are” and “how things work” can support effective continuous improvement systems. Sponsoring organizations can analyze both “how things are” by describing and analyzing the current conditions, potential successes, and constraints, and “how things work” by investigating the programming processes that lead to inequity (Cochran-Smith, 2016).</w:t>
      </w:r>
    </w:p>
    <w:p w14:paraId="50F59488" w14:textId="77777777" w:rsidR="009A09A6" w:rsidRDefault="009A09A6">
      <w:pPr>
        <w:spacing w:before="0" w:after="0"/>
        <w:rPr>
          <w:rFonts w:asciiTheme="minorHAnsi" w:eastAsia="Libre Franklin" w:hAnsiTheme="minorHAnsi" w:cs="Libre Franklin"/>
          <w:bCs/>
          <w:color w:val="000000" w:themeColor="text1"/>
          <w:sz w:val="22"/>
          <w:szCs w:val="20"/>
        </w:rPr>
      </w:pPr>
      <w:r>
        <w:br w:type="page"/>
      </w:r>
    </w:p>
    <w:p w14:paraId="0FB9AD41" w14:textId="260BE570" w:rsidR="009A09A6" w:rsidRPr="00550E1F" w:rsidRDefault="009A09A6" w:rsidP="009A09A6">
      <w:pPr>
        <w:pStyle w:val="HighlightText"/>
        <w:spacing w:before="0" w:after="120"/>
        <w:jc w:val="center"/>
        <w:rPr>
          <w:rFonts w:ascii="Aptos" w:hAnsi="Aptos"/>
          <w:b/>
          <w:bCs/>
          <w:color w:val="1F3864" w:themeColor="accent1" w:themeShade="80"/>
        </w:rPr>
      </w:pPr>
      <w:r w:rsidRPr="00550E1F">
        <w:rPr>
          <w:rFonts w:ascii="Aptos" w:hAnsi="Aptos"/>
          <w:b/>
          <w:bCs/>
          <w:color w:val="1F3864" w:themeColor="accent1" w:themeShade="80"/>
        </w:rPr>
        <w:t>Why does an evidence-based continuous improvement system matter?</w:t>
      </w:r>
    </w:p>
    <w:p w14:paraId="074A9E97" w14:textId="723D9709" w:rsidR="009A09A6" w:rsidRPr="00550E1F" w:rsidRDefault="009A09A6" w:rsidP="009A09A6">
      <w:pPr>
        <w:pStyle w:val="HighlightText"/>
        <w:spacing w:before="0" w:after="120"/>
        <w:rPr>
          <w:rFonts w:ascii="Aptos" w:hAnsi="Aptos"/>
        </w:rPr>
      </w:pPr>
      <w:r w:rsidRPr="00550E1F">
        <w:rPr>
          <w:rFonts w:ascii="Aptos" w:hAnsi="Aptos"/>
        </w:rPr>
        <w:t>System</w:t>
      </w:r>
      <w:r w:rsidR="001428B6" w:rsidRPr="00550E1F">
        <w:rPr>
          <w:rFonts w:ascii="Aptos" w:hAnsi="Aptos"/>
        </w:rPr>
        <w:t>at</w:t>
      </w:r>
      <w:r w:rsidRPr="00550E1F">
        <w:rPr>
          <w:rFonts w:ascii="Aptos" w:hAnsi="Aptos"/>
        </w:rPr>
        <w:t xml:space="preserve">ically analyzing educator preparation programs to inform continuous improvement shifts the responsibility from an individual to the collective for ensuring equitable educator candidate experiences and outcomes (Kohli et al., 2022). Furthermore, </w:t>
      </w:r>
      <w:r w:rsidR="006B4CB4" w:rsidRPr="00550E1F">
        <w:rPr>
          <w:rFonts w:ascii="Aptos" w:hAnsi="Aptos"/>
        </w:rPr>
        <w:t>consistency in using evidence to inform continuous improvement efforts</w:t>
      </w:r>
      <w:r w:rsidR="001055DB" w:rsidRPr="00550E1F">
        <w:rPr>
          <w:rFonts w:ascii="Aptos" w:hAnsi="Aptos"/>
        </w:rPr>
        <w:t xml:space="preserve"> mitigates bias in the analysis of what </w:t>
      </w:r>
      <w:r w:rsidR="001850A9" w:rsidRPr="00550E1F">
        <w:rPr>
          <w:rFonts w:ascii="Aptos" w:hAnsi="Aptos"/>
        </w:rPr>
        <w:t>works and what doesn’t.</w:t>
      </w:r>
    </w:p>
    <w:p w14:paraId="37E388D9" w14:textId="4A790F39" w:rsidR="6049E9AC" w:rsidRDefault="6049E9AC" w:rsidP="007C3D1C">
      <w:pPr>
        <w:pStyle w:val="Heading3"/>
      </w:pPr>
      <w:r w:rsidRPr="6049E9AC">
        <w:t>Promising Practices</w:t>
      </w:r>
      <w:r w:rsidR="007B2CC2">
        <w:t xml:space="preserve"> for the Continuous Improvement Domain</w:t>
      </w:r>
    </w:p>
    <w:p w14:paraId="51519B72" w14:textId="53842474" w:rsidR="004F6C96" w:rsidRPr="004F6C96" w:rsidRDefault="004F6C96" w:rsidP="004F6C96">
      <w:pPr>
        <w:pStyle w:val="TableTitle"/>
      </w:pPr>
      <w:r w:rsidRPr="004F6C96">
        <w:t>Establish Systems to Support Equitable Data Practices</w:t>
      </w:r>
    </w:p>
    <w:tbl>
      <w:tblPr>
        <w:tblStyle w:val="GridTable4-Accent3"/>
        <w:tblW w:w="5000" w:type="pct"/>
        <w:tblLook w:val="06A0" w:firstRow="1" w:lastRow="0" w:firstColumn="1" w:lastColumn="0" w:noHBand="1" w:noVBand="1"/>
      </w:tblPr>
      <w:tblGrid>
        <w:gridCol w:w="5107"/>
        <w:gridCol w:w="5107"/>
      </w:tblGrid>
      <w:tr w:rsidR="004F6C96" w:rsidRPr="004F6C96" w14:paraId="653B35D4" w14:textId="77777777" w:rsidTr="0010457E">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500" w:type="pct"/>
            <w:shd w:val="clear" w:color="auto" w:fill="1F3864" w:themeFill="accent1" w:themeFillShade="80"/>
            <w:vAlign w:val="center"/>
          </w:tcPr>
          <w:p w14:paraId="3E5CFCF7" w14:textId="597CE59D" w:rsidR="004F6C96" w:rsidRPr="00550E1F" w:rsidRDefault="004F6C96" w:rsidP="004F6C96">
            <w:pPr>
              <w:pStyle w:val="TableHeaderRow"/>
              <w:rPr>
                <w:rFonts w:ascii="Aptos" w:hAnsi="Aptos"/>
                <w:b/>
                <w:bCs/>
              </w:rPr>
            </w:pPr>
            <w:r w:rsidRPr="00550E1F">
              <w:rPr>
                <w:rFonts w:ascii="Aptos" w:hAnsi="Aptos"/>
              </w:rPr>
              <w:t>Practice</w:t>
            </w:r>
          </w:p>
        </w:tc>
        <w:tc>
          <w:tcPr>
            <w:tcW w:w="2500" w:type="pct"/>
            <w:shd w:val="clear" w:color="auto" w:fill="1F3864" w:themeFill="accent1" w:themeFillShade="80"/>
            <w:vAlign w:val="center"/>
          </w:tcPr>
          <w:p w14:paraId="336F5BB4" w14:textId="46CF9235" w:rsidR="004F6C96" w:rsidRPr="00550E1F" w:rsidRDefault="004F6C96" w:rsidP="004F6C96">
            <w:pPr>
              <w:pStyle w:val="TableHeaderRow"/>
              <w:cnfStyle w:val="100000000000" w:firstRow="1" w:lastRow="0" w:firstColumn="0" w:lastColumn="0" w:oddVBand="0" w:evenVBand="0" w:oddHBand="0" w:evenHBand="0" w:firstRowFirstColumn="0" w:firstRowLastColumn="0" w:lastRowFirstColumn="0" w:lastRowLastColumn="0"/>
              <w:rPr>
                <w:rFonts w:ascii="Aptos" w:hAnsi="Aptos"/>
                <w:b/>
                <w:bCs/>
              </w:rPr>
            </w:pPr>
            <w:r w:rsidRPr="00550E1F">
              <w:rPr>
                <w:rFonts w:ascii="Aptos" w:hAnsi="Aptos"/>
              </w:rPr>
              <w:t>Example</w:t>
            </w:r>
          </w:p>
        </w:tc>
      </w:tr>
      <w:tr w:rsidR="6049E9AC" w14:paraId="0DADD89B" w14:textId="77777777" w:rsidTr="0010457E">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6598BDE9" w14:textId="25F30145" w:rsidR="6049E9AC" w:rsidRPr="00550E1F" w:rsidRDefault="6049E9AC" w:rsidP="00F2313A">
            <w:pPr>
              <w:pStyle w:val="BodyText2"/>
              <w:rPr>
                <w:rFonts w:ascii="Aptos" w:hAnsi="Aptos"/>
                <w:b w:val="0"/>
                <w:bCs w:val="0"/>
              </w:rPr>
            </w:pPr>
            <w:r w:rsidRPr="00550E1F">
              <w:rPr>
                <w:rFonts w:ascii="Aptos" w:hAnsi="Aptos"/>
              </w:rPr>
              <w:t>Create a leadership team dedicated to regularly collecting and analyzing a variety of data about educator candidate progress towards outcomes or other parallel initiatives. Encourage discussions about the data amongst all faculty to understand the strengths of the program and actionable areas for growth (White et al., 2020).</w:t>
            </w:r>
          </w:p>
        </w:tc>
        <w:tc>
          <w:tcPr>
            <w:tcW w:w="2500" w:type="pct"/>
          </w:tcPr>
          <w:p w14:paraId="604A53F2" w14:textId="5F6E6C46" w:rsidR="6049E9AC" w:rsidRPr="00550E1F" w:rsidRDefault="6049E9AC" w:rsidP="007C3D1C">
            <w:pPr>
              <w:pStyle w:val="BodyText3"/>
              <w:cnfStyle w:val="000000000000" w:firstRow="0" w:lastRow="0" w:firstColumn="0" w:lastColumn="0" w:oddVBand="0" w:evenVBand="0" w:oddHBand="0" w:evenHBand="0" w:firstRowFirstColumn="0" w:firstRowLastColumn="0" w:lastRowFirstColumn="0" w:lastRowLastColumn="0"/>
              <w:rPr>
                <w:rFonts w:ascii="Aptos" w:eastAsia="Calibri" w:hAnsi="Aptos" w:cs="Calibri"/>
              </w:rPr>
            </w:pPr>
            <w:r w:rsidRPr="00550E1F">
              <w:rPr>
                <w:rFonts w:ascii="Aptos" w:eastAsia="Calibri" w:hAnsi="Aptos" w:cs="Calibri"/>
              </w:rPr>
              <w:t xml:space="preserve">Mount Holyoke College’s graduate program directors collect quantitative and qualitative data from multiple </w:t>
            </w:r>
            <w:r w:rsidR="76FF5024" w:rsidRPr="00550E1F">
              <w:rPr>
                <w:rFonts w:ascii="Aptos" w:eastAsia="Calibri" w:hAnsi="Aptos" w:cs="Calibri"/>
              </w:rPr>
              <w:t xml:space="preserve">sources. The directors use these data to </w:t>
            </w:r>
            <w:r w:rsidRPr="00550E1F">
              <w:rPr>
                <w:rFonts w:ascii="Aptos" w:eastAsia="Calibri" w:hAnsi="Aptos" w:cs="Calibri"/>
              </w:rPr>
              <w:t xml:space="preserve">facilitate </w:t>
            </w:r>
            <w:r w:rsidR="76FF5024" w:rsidRPr="00550E1F">
              <w:rPr>
                <w:rFonts w:ascii="Aptos" w:eastAsia="Calibri" w:hAnsi="Aptos" w:cs="Calibri"/>
              </w:rPr>
              <w:t>an annual</w:t>
            </w:r>
            <w:r w:rsidRPr="00550E1F">
              <w:rPr>
                <w:rFonts w:ascii="Aptos" w:eastAsia="Calibri" w:hAnsi="Aptos" w:cs="Calibri"/>
              </w:rPr>
              <w:t xml:space="preserve"> data dive with faculty to assess areas of growth and determine programmatic shifts</w:t>
            </w:r>
            <w:r w:rsidR="76FF5024" w:rsidRPr="00550E1F">
              <w:rPr>
                <w:rFonts w:ascii="Aptos" w:eastAsia="Calibri" w:hAnsi="Aptos" w:cs="Calibri"/>
              </w:rPr>
              <w:t>.</w:t>
            </w:r>
          </w:p>
        </w:tc>
      </w:tr>
      <w:tr w:rsidR="6049E9AC" w14:paraId="3A1B27A5" w14:textId="77777777" w:rsidTr="0010457E">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14082F02" w14:textId="3EEBB530" w:rsidR="6049E9AC" w:rsidRPr="00550E1F" w:rsidRDefault="6049E9AC" w:rsidP="007C3D1C">
            <w:pPr>
              <w:pStyle w:val="BodyText2"/>
              <w:rPr>
                <w:rFonts w:ascii="Aptos" w:hAnsi="Aptos"/>
                <w:b w:val="0"/>
                <w:bCs w:val="0"/>
              </w:rPr>
            </w:pPr>
            <w:r w:rsidRPr="00550E1F">
              <w:rPr>
                <w:rFonts w:ascii="Aptos" w:hAnsi="Aptos"/>
              </w:rPr>
              <w:t>Foster a shared vision based on equitable guiding principles, invested member buy-in, and structures for shared decision-making when collectively analyzing data for continuous improvement (Reusser et al., 2007).</w:t>
            </w:r>
          </w:p>
        </w:tc>
        <w:tc>
          <w:tcPr>
            <w:tcW w:w="2500" w:type="pct"/>
          </w:tcPr>
          <w:p w14:paraId="371F2EE6" w14:textId="454A3391" w:rsidR="6049E9AC" w:rsidRPr="00550E1F" w:rsidRDefault="6049E9AC" w:rsidP="007C3D1C">
            <w:pPr>
              <w:pStyle w:val="BodyText3"/>
              <w:cnfStyle w:val="000000000000" w:firstRow="0" w:lastRow="0" w:firstColumn="0" w:lastColumn="0" w:oddVBand="0" w:evenVBand="0" w:oddHBand="0" w:evenHBand="0" w:firstRowFirstColumn="0" w:firstRowLastColumn="0" w:lastRowFirstColumn="0" w:lastRowLastColumn="0"/>
              <w:rPr>
                <w:rFonts w:ascii="Aptos" w:hAnsi="Aptos"/>
              </w:rPr>
            </w:pPr>
            <w:r w:rsidRPr="00550E1F">
              <w:rPr>
                <w:rFonts w:ascii="Aptos" w:hAnsi="Aptos"/>
              </w:rPr>
              <w:t>Stonehill College uses their Equity in Teacher Education Framework to center equity and ensure a shared understanding of their program goals and outcomes during cycles of continuous improvement.</w:t>
            </w:r>
          </w:p>
        </w:tc>
      </w:tr>
      <w:tr w:rsidR="008768EB" w14:paraId="1E6FB054" w14:textId="77777777" w:rsidTr="0010457E">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60897853" w14:textId="51731D6C" w:rsidR="008768EB" w:rsidRPr="00550E1F" w:rsidRDefault="008768EB" w:rsidP="008768EB">
            <w:pPr>
              <w:pStyle w:val="BodyText2"/>
              <w:rPr>
                <w:rFonts w:ascii="Aptos" w:hAnsi="Aptos"/>
                <w:b w:val="0"/>
                <w:bCs w:val="0"/>
                <w:color w:val="auto"/>
              </w:rPr>
            </w:pPr>
            <w:r w:rsidRPr="00550E1F">
              <w:rPr>
                <w:rFonts w:ascii="Aptos" w:hAnsi="Aptos"/>
                <w:color w:val="auto"/>
              </w:rPr>
              <w:t>Create a culture of data-sharing that uses agreed upon assessments to cultivate collective accountability for educator candidate growth and values each member’s perspective (Temponi, 2005).</w:t>
            </w:r>
          </w:p>
        </w:tc>
        <w:tc>
          <w:tcPr>
            <w:tcW w:w="2500" w:type="pct"/>
          </w:tcPr>
          <w:p w14:paraId="764DBF1B" w14:textId="084056C9" w:rsidR="008768EB" w:rsidRPr="00550E1F" w:rsidRDefault="09B55658" w:rsidP="008768EB">
            <w:pPr>
              <w:pStyle w:val="BodyText3"/>
              <w:cnfStyle w:val="000000000000" w:firstRow="0" w:lastRow="0" w:firstColumn="0" w:lastColumn="0" w:oddVBand="0" w:evenVBand="0" w:oddHBand="0" w:evenHBand="0" w:firstRowFirstColumn="0" w:firstRowLastColumn="0" w:lastRowFirstColumn="0" w:lastRowLastColumn="0"/>
              <w:rPr>
                <w:rFonts w:ascii="Aptos" w:hAnsi="Aptos"/>
                <w:color w:val="auto"/>
              </w:rPr>
            </w:pPr>
            <w:r w:rsidRPr="00550E1F">
              <w:rPr>
                <w:rFonts w:ascii="Aptos" w:hAnsi="Aptos"/>
                <w:color w:val="auto"/>
              </w:rPr>
              <w:t>T</w:t>
            </w:r>
            <w:r w:rsidR="3133A9C1" w:rsidRPr="00550E1F">
              <w:rPr>
                <w:rFonts w:ascii="Aptos" w:hAnsi="Aptos"/>
                <w:color w:val="auto"/>
              </w:rPr>
              <w:t>he</w:t>
            </w:r>
            <w:r w:rsidR="008768EB" w:rsidRPr="00550E1F">
              <w:rPr>
                <w:rFonts w:ascii="Aptos" w:hAnsi="Aptos"/>
                <w:color w:val="auto"/>
              </w:rPr>
              <w:t xml:space="preserve"> Elementary and Early Childhood Education Department at Bridgewater State University utilizes shared assessments and templates to periodically distribute information amongst course instructors about candidate growth. Information is then used to reflect on the supports and instruction provided in each course as well as to preemptively provide candidates supports as needed.</w:t>
            </w:r>
          </w:p>
        </w:tc>
      </w:tr>
    </w:tbl>
    <w:p w14:paraId="5554A470" w14:textId="589F20B8" w:rsidR="00143F36" w:rsidRPr="00550E1F" w:rsidRDefault="00BF247B" w:rsidP="00BF247B">
      <w:pPr>
        <w:pStyle w:val="TableTitle"/>
        <w:rPr>
          <w:rFonts w:ascii="Aptos" w:hAnsi="Aptos"/>
        </w:rPr>
      </w:pPr>
      <w:r w:rsidRPr="00550E1F">
        <w:rPr>
          <w:rFonts w:ascii="Aptos" w:hAnsi="Aptos"/>
        </w:rPr>
        <w:t>Create Accessible and Actionable Data Systems</w:t>
      </w:r>
    </w:p>
    <w:tbl>
      <w:tblPr>
        <w:tblW w:w="5000" w:type="pct"/>
        <w:tblLook w:val="06A0" w:firstRow="1" w:lastRow="0" w:firstColumn="1" w:lastColumn="0" w:noHBand="1" w:noVBand="1"/>
      </w:tblPr>
      <w:tblGrid>
        <w:gridCol w:w="5046"/>
        <w:gridCol w:w="5148"/>
      </w:tblGrid>
      <w:tr w:rsidR="00BF247B" w:rsidRPr="004563EE" w14:paraId="279FEB08" w14:textId="77777777" w:rsidTr="0010457E">
        <w:trPr>
          <w:trHeight w:val="300"/>
          <w:tblHeader/>
        </w:trPr>
        <w:tc>
          <w:tcPr>
            <w:tcW w:w="247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Mar>
              <w:top w:w="180" w:type="dxa"/>
              <w:left w:w="180" w:type="dxa"/>
              <w:bottom w:w="180" w:type="dxa"/>
              <w:right w:w="180" w:type="dxa"/>
            </w:tcMar>
          </w:tcPr>
          <w:p w14:paraId="1CB19B29" w14:textId="09C3830C" w:rsidR="00BF247B" w:rsidRPr="00550E1F" w:rsidRDefault="00BF247B" w:rsidP="009B6FAD">
            <w:pPr>
              <w:pStyle w:val="TableHeaderRow"/>
              <w:rPr>
                <w:rFonts w:ascii="Aptos" w:hAnsi="Aptos"/>
              </w:rPr>
            </w:pPr>
            <w:r w:rsidRPr="00550E1F">
              <w:rPr>
                <w:rFonts w:ascii="Aptos" w:hAnsi="Aptos"/>
              </w:rPr>
              <w:t>Practice</w:t>
            </w:r>
          </w:p>
        </w:tc>
        <w:tc>
          <w:tcPr>
            <w:tcW w:w="252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Pr>
          <w:p w14:paraId="5B56D496" w14:textId="4B043E54" w:rsidR="00BF247B" w:rsidRPr="00550E1F" w:rsidRDefault="00BF247B" w:rsidP="009B6FAD">
            <w:pPr>
              <w:pStyle w:val="TableHeaderRow"/>
              <w:rPr>
                <w:rFonts w:ascii="Aptos" w:hAnsi="Aptos"/>
              </w:rPr>
            </w:pPr>
            <w:r w:rsidRPr="00550E1F">
              <w:rPr>
                <w:rFonts w:ascii="Aptos" w:hAnsi="Aptos"/>
              </w:rPr>
              <w:t>Example</w:t>
            </w:r>
          </w:p>
        </w:tc>
      </w:tr>
      <w:tr w:rsidR="6049E9AC" w:rsidRPr="004563EE" w14:paraId="55E9A9D8" w14:textId="77777777" w:rsidTr="0010457E">
        <w:trPr>
          <w:trHeight w:val="300"/>
        </w:trPr>
        <w:tc>
          <w:tcPr>
            <w:tcW w:w="247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05A49883" w14:textId="534F3CBF" w:rsidR="6049E9AC" w:rsidRPr="00550E1F" w:rsidRDefault="6049E9AC" w:rsidP="007C3D1C">
            <w:pPr>
              <w:pStyle w:val="BodyText2"/>
              <w:rPr>
                <w:rFonts w:ascii="Aptos" w:hAnsi="Aptos"/>
              </w:rPr>
            </w:pPr>
            <w:r w:rsidRPr="00550E1F">
              <w:rPr>
                <w:rFonts w:ascii="Aptos" w:hAnsi="Aptos"/>
              </w:rPr>
              <w:t xml:space="preserve">Collect </w:t>
            </w:r>
            <w:r w:rsidRPr="00550E1F">
              <w:rPr>
                <w:rFonts w:ascii="Aptos" w:hAnsi="Aptos"/>
                <w:i/>
                <w:iCs/>
              </w:rPr>
              <w:t xml:space="preserve">meaningful </w:t>
            </w:r>
            <w:r w:rsidRPr="00550E1F">
              <w:rPr>
                <w:rFonts w:ascii="Aptos" w:hAnsi="Aptos"/>
              </w:rPr>
              <w:t xml:space="preserve">and </w:t>
            </w:r>
            <w:r w:rsidRPr="00550E1F">
              <w:rPr>
                <w:rFonts w:ascii="Aptos" w:hAnsi="Aptos"/>
                <w:i/>
                <w:iCs/>
              </w:rPr>
              <w:t>actionable</w:t>
            </w:r>
            <w:r w:rsidRPr="00550E1F">
              <w:rPr>
                <w:rFonts w:ascii="Aptos" w:hAnsi="Aptos"/>
                <w:b/>
                <w:bCs/>
                <w:i/>
                <w:iCs/>
              </w:rPr>
              <w:t xml:space="preserve"> </w:t>
            </w:r>
            <w:r w:rsidRPr="00550E1F">
              <w:rPr>
                <w:rFonts w:ascii="Aptos" w:hAnsi="Aptos"/>
              </w:rPr>
              <w:t>data that relates to key organizational initiatives and educator candidate progress. Disseminate results along a timeline that encourages stakeholders to take informed action to improve practices and processes within your organization (White et al., 2020).</w:t>
            </w:r>
          </w:p>
        </w:tc>
        <w:tc>
          <w:tcPr>
            <w:tcW w:w="252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FD7B88C" w14:textId="50A9478B" w:rsidR="6049E9AC" w:rsidRPr="00550E1F" w:rsidRDefault="6049E9AC" w:rsidP="007C3D1C">
            <w:pPr>
              <w:pStyle w:val="BodyText3"/>
              <w:rPr>
                <w:rFonts w:ascii="Aptos" w:hAnsi="Aptos"/>
              </w:rPr>
            </w:pPr>
            <w:r w:rsidRPr="00550E1F">
              <w:rPr>
                <w:rFonts w:ascii="Aptos" w:hAnsi="Aptos"/>
              </w:rPr>
              <w:t>Endicott College utilize</w:t>
            </w:r>
            <w:r w:rsidR="00160DEB" w:rsidRPr="00550E1F">
              <w:rPr>
                <w:rFonts w:ascii="Aptos" w:hAnsi="Aptos"/>
              </w:rPr>
              <w:t>d</w:t>
            </w:r>
            <w:r w:rsidRPr="00550E1F">
              <w:rPr>
                <w:rFonts w:ascii="Aptos" w:hAnsi="Aptos"/>
              </w:rPr>
              <w:t xml:space="preserve"> the Data Wise protocol to analyze the first-time pass rates of teacher candidates on the MTEL exam. The team focuse</w:t>
            </w:r>
            <w:r w:rsidR="00160DEB" w:rsidRPr="00550E1F">
              <w:rPr>
                <w:rFonts w:ascii="Aptos" w:hAnsi="Aptos"/>
              </w:rPr>
              <w:t>d</w:t>
            </w:r>
            <w:r w:rsidRPr="00550E1F">
              <w:rPr>
                <w:rFonts w:ascii="Aptos" w:hAnsi="Aptos"/>
              </w:rPr>
              <w:t xml:space="preserve"> on a learner-centered problem of supporting candidates to instruct students on alternative methods to solve a math problem, created a math lab support program for candidates, and continued to assess progress via formative assessments and Math MTEL pass rates.</w:t>
            </w:r>
          </w:p>
        </w:tc>
      </w:tr>
      <w:tr w:rsidR="6049E9AC" w:rsidRPr="004563EE" w14:paraId="7BECF213" w14:textId="77777777" w:rsidTr="0010457E">
        <w:trPr>
          <w:trHeight w:val="300"/>
        </w:trPr>
        <w:tc>
          <w:tcPr>
            <w:tcW w:w="247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53B58AC" w14:textId="69EFE672" w:rsidR="6049E9AC" w:rsidRPr="00550E1F" w:rsidRDefault="6049E9AC" w:rsidP="007C3D1C">
            <w:pPr>
              <w:pStyle w:val="BodyText2"/>
              <w:rPr>
                <w:rFonts w:ascii="Aptos" w:hAnsi="Aptos"/>
              </w:rPr>
            </w:pPr>
            <w:r w:rsidRPr="00550E1F">
              <w:rPr>
                <w:rFonts w:ascii="Aptos" w:hAnsi="Aptos"/>
              </w:rPr>
              <w:t>Ensure that meaningful data is accessible and usable for all pertinent members. This can create a cultural shift that increases personnel’s awareness of the data being collected and analyzed, so they feel invested in the need for change (Reusser et al., 2007; White et al., 2020).</w:t>
            </w:r>
          </w:p>
        </w:tc>
        <w:tc>
          <w:tcPr>
            <w:tcW w:w="2525"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749FA73" w14:textId="61E45D6F" w:rsidR="6049E9AC" w:rsidRPr="00550E1F" w:rsidRDefault="6049E9AC" w:rsidP="007C3D1C">
            <w:pPr>
              <w:pStyle w:val="BodyText3"/>
              <w:rPr>
                <w:rFonts w:ascii="Aptos" w:hAnsi="Aptos"/>
              </w:rPr>
            </w:pPr>
            <w:r w:rsidRPr="00550E1F">
              <w:rPr>
                <w:rFonts w:ascii="Aptos" w:hAnsi="Aptos"/>
              </w:rPr>
              <w:t xml:space="preserve">MA DESE </w:t>
            </w:r>
            <w:r w:rsidR="00C9354B" w:rsidRPr="00550E1F">
              <w:rPr>
                <w:rFonts w:ascii="Aptos" w:hAnsi="Aptos"/>
              </w:rPr>
              <w:t xml:space="preserve">publishes data about </w:t>
            </w:r>
            <w:r w:rsidR="00C43CA8" w:rsidRPr="00550E1F">
              <w:rPr>
                <w:rFonts w:ascii="Aptos" w:hAnsi="Aptos"/>
              </w:rPr>
              <w:t xml:space="preserve">educator preparation programs so that </w:t>
            </w:r>
            <w:r w:rsidR="00AC57F5" w:rsidRPr="00550E1F">
              <w:rPr>
                <w:rFonts w:ascii="Aptos" w:hAnsi="Aptos"/>
              </w:rPr>
              <w:t>educator preparation</w:t>
            </w:r>
            <w:r w:rsidR="00C43CA8" w:rsidRPr="00550E1F">
              <w:rPr>
                <w:rFonts w:ascii="Aptos" w:hAnsi="Aptos"/>
              </w:rPr>
              <w:t xml:space="preserve"> personnel</w:t>
            </w:r>
            <w:r w:rsidR="00AC57F5" w:rsidRPr="00550E1F">
              <w:rPr>
                <w:rFonts w:ascii="Aptos" w:hAnsi="Aptos"/>
              </w:rPr>
              <w:t xml:space="preserve"> have</w:t>
            </w:r>
            <w:r w:rsidRPr="00550E1F">
              <w:rPr>
                <w:rFonts w:ascii="Aptos" w:hAnsi="Aptos"/>
              </w:rPr>
              <w:t xml:space="preserve"> direct access to a variety of data about </w:t>
            </w:r>
            <w:r w:rsidR="00AC57F5" w:rsidRPr="00550E1F">
              <w:rPr>
                <w:rFonts w:ascii="Aptos" w:hAnsi="Aptos"/>
              </w:rPr>
              <w:t>their</w:t>
            </w:r>
            <w:r w:rsidRPr="00550E1F">
              <w:rPr>
                <w:rFonts w:ascii="Aptos" w:hAnsi="Aptos"/>
              </w:rPr>
              <w:t xml:space="preserve"> candidates and completers, including </w:t>
            </w:r>
            <w:r w:rsidR="00701C63" w:rsidRPr="00550E1F">
              <w:rPr>
                <w:rFonts w:ascii="Aptos" w:hAnsi="Aptos"/>
              </w:rPr>
              <w:t xml:space="preserve">their </w:t>
            </w:r>
            <w:r w:rsidRPr="00550E1F">
              <w:rPr>
                <w:rFonts w:ascii="Aptos" w:hAnsi="Aptos"/>
              </w:rPr>
              <w:t xml:space="preserve">employment, </w:t>
            </w:r>
            <w:r w:rsidR="000B5BBD" w:rsidRPr="00550E1F">
              <w:rPr>
                <w:rFonts w:ascii="Aptos" w:hAnsi="Aptos"/>
              </w:rPr>
              <w:t xml:space="preserve">impact on </w:t>
            </w:r>
            <w:r w:rsidRPr="00550E1F">
              <w:rPr>
                <w:rFonts w:ascii="Aptos" w:hAnsi="Aptos"/>
              </w:rPr>
              <w:t>student growth,</w:t>
            </w:r>
            <w:r w:rsidR="0047325B" w:rsidRPr="00550E1F">
              <w:rPr>
                <w:rFonts w:ascii="Aptos" w:hAnsi="Aptos"/>
              </w:rPr>
              <w:t xml:space="preserve"> and</w:t>
            </w:r>
            <w:r w:rsidRPr="00550E1F">
              <w:rPr>
                <w:rFonts w:ascii="Aptos" w:hAnsi="Aptos"/>
              </w:rPr>
              <w:t xml:space="preserve"> </w:t>
            </w:r>
            <w:r w:rsidR="007032BD" w:rsidRPr="00550E1F">
              <w:rPr>
                <w:rFonts w:ascii="Aptos" w:hAnsi="Aptos"/>
              </w:rPr>
              <w:t>results o</w:t>
            </w:r>
            <w:r w:rsidR="00080EFF" w:rsidRPr="00550E1F">
              <w:rPr>
                <w:rFonts w:ascii="Aptos" w:hAnsi="Aptos"/>
              </w:rPr>
              <w:t xml:space="preserve">n several key </w:t>
            </w:r>
            <w:r w:rsidRPr="00550E1F">
              <w:rPr>
                <w:rFonts w:ascii="Aptos" w:hAnsi="Aptos"/>
              </w:rPr>
              <w:t>assessment</w:t>
            </w:r>
            <w:r w:rsidR="00080EFF" w:rsidRPr="00550E1F">
              <w:rPr>
                <w:rFonts w:ascii="Aptos" w:hAnsi="Aptos"/>
              </w:rPr>
              <w:t xml:space="preserve">s. This data also includes </w:t>
            </w:r>
            <w:r w:rsidR="00DE1AAD" w:rsidRPr="00550E1F">
              <w:rPr>
                <w:rFonts w:ascii="Aptos" w:hAnsi="Aptos"/>
              </w:rPr>
              <w:t>perception data from candidates, completers, supervising practitioners, and hiring principals.</w:t>
            </w:r>
          </w:p>
        </w:tc>
      </w:tr>
    </w:tbl>
    <w:p w14:paraId="5A4DEC37" w14:textId="24C27AC8" w:rsidR="00705DBE" w:rsidRPr="00550E1F" w:rsidRDefault="00BF247B" w:rsidP="00BF247B">
      <w:pPr>
        <w:pStyle w:val="TableTitle"/>
        <w:rPr>
          <w:rFonts w:ascii="Aptos" w:hAnsi="Aptos"/>
        </w:rPr>
      </w:pPr>
      <w:r w:rsidRPr="00550E1F">
        <w:rPr>
          <w:rFonts w:ascii="Aptos" w:hAnsi="Aptos"/>
        </w:rPr>
        <w:t>Equitably Assess Diverse Data Sources</w:t>
      </w:r>
    </w:p>
    <w:tbl>
      <w:tblPr>
        <w:tblW w:w="5000" w:type="pct"/>
        <w:tblLook w:val="06A0" w:firstRow="1" w:lastRow="0" w:firstColumn="1" w:lastColumn="0" w:noHBand="1" w:noVBand="1"/>
      </w:tblPr>
      <w:tblGrid>
        <w:gridCol w:w="5097"/>
        <w:gridCol w:w="5097"/>
      </w:tblGrid>
      <w:tr w:rsidR="00BF247B" w:rsidRPr="004563EE" w14:paraId="3B817EE8" w14:textId="77777777" w:rsidTr="0010457E">
        <w:trPr>
          <w:trHeight w:val="300"/>
          <w:tblHeader/>
        </w:trPr>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Mar>
              <w:top w:w="180" w:type="dxa"/>
              <w:left w:w="180" w:type="dxa"/>
              <w:bottom w:w="180" w:type="dxa"/>
              <w:right w:w="180" w:type="dxa"/>
            </w:tcMar>
          </w:tcPr>
          <w:p w14:paraId="294545B8" w14:textId="1DBE1F4F" w:rsidR="00BF247B" w:rsidRPr="00550E1F" w:rsidRDefault="00BF247B" w:rsidP="00BA6E1B">
            <w:pPr>
              <w:pStyle w:val="TableHeaderRow"/>
              <w:rPr>
                <w:rFonts w:ascii="Aptos" w:hAnsi="Aptos"/>
              </w:rPr>
            </w:pPr>
            <w:r w:rsidRPr="00550E1F">
              <w:rPr>
                <w:rFonts w:ascii="Aptos" w:hAnsi="Aptos"/>
              </w:rPr>
              <w:t>Practice</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Pr>
          <w:p w14:paraId="14576A1A" w14:textId="566DA394" w:rsidR="00BF247B" w:rsidRPr="00550E1F" w:rsidRDefault="00BF247B" w:rsidP="00BA6E1B">
            <w:pPr>
              <w:pStyle w:val="TableHeaderRow"/>
              <w:rPr>
                <w:rFonts w:ascii="Aptos" w:hAnsi="Aptos"/>
              </w:rPr>
            </w:pPr>
            <w:r w:rsidRPr="00550E1F">
              <w:rPr>
                <w:rFonts w:ascii="Aptos" w:hAnsi="Aptos"/>
              </w:rPr>
              <w:t>Example</w:t>
            </w:r>
          </w:p>
        </w:tc>
      </w:tr>
      <w:tr w:rsidR="6049E9AC" w:rsidRPr="004563EE" w14:paraId="6B61B2E4" w14:textId="77777777" w:rsidTr="0010457E">
        <w:trPr>
          <w:trHeight w:val="2475"/>
        </w:trPr>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60EEE543" w14:textId="6D462D48" w:rsidR="6049E9AC" w:rsidRPr="00550E1F" w:rsidRDefault="6049E9AC" w:rsidP="007C3D1C">
            <w:pPr>
              <w:pStyle w:val="BodyText2"/>
              <w:rPr>
                <w:rFonts w:ascii="Aptos" w:hAnsi="Aptos"/>
              </w:rPr>
            </w:pPr>
            <w:r w:rsidRPr="00550E1F">
              <w:rPr>
                <w:rFonts w:ascii="Aptos" w:hAnsi="Aptos"/>
              </w:rPr>
              <w:t>Gather diverse qualitative and quantitative data sources that gauge educator candidate growth towards determined outcomes, including sources that highlight the voices of a variety of invested stakeholders (Reusser et al., 2007).</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DD7CFE6" w14:textId="19E0CBFB" w:rsidR="00917E7A" w:rsidRPr="00550E1F" w:rsidRDefault="735BC642" w:rsidP="007C3D1C">
            <w:pPr>
              <w:pStyle w:val="BodyText3"/>
              <w:rPr>
                <w:rFonts w:ascii="Aptos" w:hAnsi="Aptos"/>
              </w:rPr>
            </w:pPr>
            <w:r w:rsidRPr="00550E1F">
              <w:rPr>
                <w:rFonts w:ascii="Aptos" w:hAnsi="Aptos"/>
              </w:rPr>
              <w:t>T</w:t>
            </w:r>
            <w:r w:rsidR="3A828C6D" w:rsidRPr="00550E1F">
              <w:rPr>
                <w:rFonts w:ascii="Aptos" w:hAnsi="Aptos"/>
              </w:rPr>
              <w:t>he</w:t>
            </w:r>
            <w:r w:rsidR="786328B2" w:rsidRPr="00550E1F">
              <w:rPr>
                <w:rFonts w:ascii="Aptos" w:hAnsi="Aptos"/>
              </w:rPr>
              <w:t xml:space="preserve"> University of Massachusetts Amherst uses annual ‘all licensure candidate’ exit surveys, as well as supervising practitioner and program supervisor feedback surveys</w:t>
            </w:r>
            <w:r w:rsidR="6E652C85" w:rsidRPr="00550E1F">
              <w:rPr>
                <w:rFonts w:ascii="Aptos" w:hAnsi="Aptos"/>
              </w:rPr>
              <w:t>. Feedback surveys are used</w:t>
            </w:r>
            <w:r w:rsidR="786328B2" w:rsidRPr="00550E1F">
              <w:rPr>
                <w:rFonts w:ascii="Aptos" w:hAnsi="Aptos"/>
              </w:rPr>
              <w:t xml:space="preserve"> </w:t>
            </w:r>
            <w:r w:rsidR="6E652C85" w:rsidRPr="00550E1F">
              <w:rPr>
                <w:rFonts w:ascii="Aptos" w:hAnsi="Aptos"/>
              </w:rPr>
              <w:t>to set goals for</w:t>
            </w:r>
            <w:r w:rsidR="786328B2" w:rsidRPr="00550E1F">
              <w:rPr>
                <w:rFonts w:ascii="Aptos" w:hAnsi="Aptos"/>
              </w:rPr>
              <w:t xml:space="preserve"> all programs for the following year. </w:t>
            </w:r>
            <w:r w:rsidR="6E652C85" w:rsidRPr="00550E1F">
              <w:rPr>
                <w:rFonts w:ascii="Aptos" w:hAnsi="Aptos"/>
              </w:rPr>
              <w:t>The resulting data</w:t>
            </w:r>
            <w:r w:rsidR="0C0C1C7A" w:rsidRPr="00550E1F">
              <w:rPr>
                <w:rFonts w:ascii="Aptos" w:hAnsi="Aptos"/>
              </w:rPr>
              <w:t xml:space="preserve"> </w:t>
            </w:r>
            <w:r w:rsidR="6E652C85" w:rsidRPr="00550E1F">
              <w:rPr>
                <w:rFonts w:ascii="Aptos" w:hAnsi="Aptos"/>
              </w:rPr>
              <w:t xml:space="preserve">is </w:t>
            </w:r>
            <w:r w:rsidR="72804986" w:rsidRPr="00550E1F">
              <w:rPr>
                <w:rFonts w:ascii="Aptos" w:hAnsi="Aptos"/>
              </w:rPr>
              <w:t xml:space="preserve">also </w:t>
            </w:r>
            <w:r w:rsidR="0C0C1C7A" w:rsidRPr="00550E1F">
              <w:rPr>
                <w:rFonts w:ascii="Aptos" w:hAnsi="Aptos"/>
              </w:rPr>
              <w:t>shared with program coordinators, who meet with faculty teaching in their programs to reflect back on the progress toward the previous year’s goals.</w:t>
            </w:r>
          </w:p>
        </w:tc>
      </w:tr>
      <w:tr w:rsidR="6049E9AC" w:rsidRPr="004563EE" w14:paraId="0B4E23B8" w14:textId="77777777" w:rsidTr="0010457E">
        <w:trPr>
          <w:trHeight w:val="300"/>
        </w:trPr>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A0B718F" w14:textId="5D346512" w:rsidR="6049E9AC" w:rsidRPr="00550E1F" w:rsidRDefault="6049E9AC" w:rsidP="007C3D1C">
            <w:pPr>
              <w:pStyle w:val="BodyText2"/>
              <w:rPr>
                <w:rFonts w:ascii="Aptos" w:hAnsi="Aptos"/>
              </w:rPr>
            </w:pPr>
            <w:r w:rsidRPr="00550E1F">
              <w:rPr>
                <w:rFonts w:ascii="Aptos" w:hAnsi="Aptos"/>
              </w:rPr>
              <w:t>Disaggregate qualitative and quantitative data sources by race, language, LGBTQ+ membership, first-generation status, and additional identities when possible to identify disparate experiences for educator candidates with different identities or backgrounds. Use this data to take action to support and prepare candidates more equitably (Kohli et al., 2022).</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846D597" w14:textId="26A5BA9A" w:rsidR="6049E9AC" w:rsidRPr="00550E1F" w:rsidRDefault="6049E9AC" w:rsidP="007C3D1C">
            <w:pPr>
              <w:pStyle w:val="BodyText3"/>
              <w:rPr>
                <w:rFonts w:ascii="Aptos" w:hAnsi="Aptos"/>
              </w:rPr>
            </w:pPr>
            <w:proofErr w:type="spellStart"/>
            <w:r w:rsidRPr="00550E1F">
              <w:rPr>
                <w:rFonts w:ascii="Aptos" w:hAnsi="Aptos"/>
              </w:rPr>
              <w:t>Kholi</w:t>
            </w:r>
            <w:proofErr w:type="spellEnd"/>
            <w:r w:rsidRPr="00550E1F">
              <w:rPr>
                <w:rFonts w:ascii="Aptos" w:hAnsi="Aptos"/>
              </w:rPr>
              <w:t xml:space="preserve"> et al. (2022) encourage faculty and administration of </w:t>
            </w:r>
            <w:r w:rsidR="00851161" w:rsidRPr="00550E1F">
              <w:rPr>
                <w:rFonts w:ascii="Aptos" w:hAnsi="Aptos"/>
              </w:rPr>
              <w:t>educator preparation programs</w:t>
            </w:r>
            <w:r w:rsidRPr="00550E1F">
              <w:rPr>
                <w:rFonts w:ascii="Aptos" w:hAnsi="Aptos"/>
              </w:rPr>
              <w:t xml:space="preserve"> to prioritize the voices of community members of Color when analyzing whether organizations are promoting a healthy racial climate within historical, psychological, behavioral, compositional, and organizational and structural dimensions.</w:t>
            </w:r>
          </w:p>
        </w:tc>
      </w:tr>
      <w:tr w:rsidR="6049E9AC" w:rsidRPr="004563EE" w14:paraId="52F86266" w14:textId="77777777" w:rsidTr="0010457E">
        <w:trPr>
          <w:trHeight w:val="300"/>
        </w:trPr>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50DEDA2" w14:textId="5A6CF209" w:rsidR="6049E9AC" w:rsidRPr="00550E1F" w:rsidRDefault="6049E9AC" w:rsidP="007C3D1C">
            <w:pPr>
              <w:pStyle w:val="BodyText2"/>
              <w:rPr>
                <w:rFonts w:ascii="Aptos" w:hAnsi="Aptos"/>
              </w:rPr>
            </w:pPr>
            <w:r w:rsidRPr="00550E1F">
              <w:rPr>
                <w:rFonts w:ascii="Aptos" w:hAnsi="Aptos"/>
              </w:rPr>
              <w:t>Assess completer impact on PK-12 student outcomes to gauge the longitudinal impact of your preparation programs on student learning (Reusser et al., 2007).</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929BBB8" w14:textId="4D0C9F45" w:rsidR="6049E9AC" w:rsidRPr="00550E1F" w:rsidRDefault="6049E9AC" w:rsidP="007C3D1C">
            <w:pPr>
              <w:pStyle w:val="BodyText3"/>
              <w:rPr>
                <w:rFonts w:ascii="Aptos" w:hAnsi="Aptos"/>
              </w:rPr>
            </w:pPr>
            <w:r w:rsidRPr="00550E1F">
              <w:rPr>
                <w:rFonts w:ascii="Aptos" w:hAnsi="Aptos"/>
              </w:rPr>
              <w:t>Reusser et al. (2007) described how one midwestern university created a teacher work sample performance test for physical education teacher candidates. Faculty collected data about the degree to which high-scoring candidates supported positive K-12 student outcomes and adjusted the performance test based on this data.</w:t>
            </w:r>
          </w:p>
        </w:tc>
      </w:tr>
    </w:tbl>
    <w:p w14:paraId="543983A5" w14:textId="4640096D" w:rsidR="6049E9AC" w:rsidRPr="00550E1F" w:rsidRDefault="6049E9AC" w:rsidP="0017754F">
      <w:pPr>
        <w:pStyle w:val="Heading3"/>
        <w:rPr>
          <w:rFonts w:ascii="Aptos" w:hAnsi="Aptos"/>
        </w:rPr>
      </w:pPr>
      <w:r w:rsidRPr="00550E1F">
        <w:rPr>
          <w:rFonts w:ascii="Aptos" w:hAnsi="Aptos"/>
        </w:rPr>
        <w:t>Tools and Resources</w:t>
      </w:r>
    </w:p>
    <w:p w14:paraId="1CAEDF63" w14:textId="624C78A3" w:rsidR="6049E9AC" w:rsidRPr="00550E1F" w:rsidRDefault="6049E9AC" w:rsidP="00BF247B">
      <w:pPr>
        <w:pStyle w:val="ListBullet"/>
        <w:spacing w:after="0"/>
        <w:rPr>
          <w:rFonts w:ascii="Aptos" w:hAnsi="Aptos"/>
        </w:rPr>
      </w:pPr>
      <w:hyperlink r:id="rId41">
        <w:r w:rsidRPr="00550E1F">
          <w:rPr>
            <w:rStyle w:val="Hyperlink"/>
            <w:rFonts w:ascii="Aptos" w:hAnsi="Aptos"/>
            <w:color w:val="0563C1"/>
            <w:u w:val="none"/>
          </w:rPr>
          <w:t>Candidate Journey Map example from California State University System</w:t>
        </w:r>
      </w:hyperlink>
      <w:r w:rsidRPr="00550E1F">
        <w:rPr>
          <w:rFonts w:ascii="Aptos" w:hAnsi="Aptos"/>
        </w:rPr>
        <w:t xml:space="preserve"> (White, et al., 2020, p.14)</w:t>
      </w:r>
    </w:p>
    <w:p w14:paraId="2602FBDE" w14:textId="2BA343CD" w:rsidR="003A77BB" w:rsidRPr="00550E1F" w:rsidRDefault="6049E9AC" w:rsidP="00BF247B">
      <w:pPr>
        <w:pStyle w:val="ListBullet"/>
        <w:spacing w:after="0"/>
        <w:rPr>
          <w:rFonts w:ascii="Aptos" w:hAnsi="Aptos"/>
        </w:rPr>
      </w:pPr>
      <w:hyperlink r:id="rId42">
        <w:r w:rsidRPr="00550E1F">
          <w:rPr>
            <w:rStyle w:val="Hyperlink"/>
            <w:rFonts w:ascii="Aptos" w:hAnsi="Aptos"/>
            <w:color w:val="0563C1"/>
            <w:u w:val="none"/>
          </w:rPr>
          <w:t>Data Wise Improvement Processes Example Protocol</w:t>
        </w:r>
      </w:hyperlink>
      <w:r w:rsidRPr="00550E1F">
        <w:rPr>
          <w:rFonts w:ascii="Aptos" w:hAnsi="Aptos"/>
        </w:rPr>
        <w:t xml:space="preserve"> (Endicott College; Quay &amp; Lockwood, 2019, p.11)</w:t>
      </w:r>
    </w:p>
    <w:p w14:paraId="590CF62D" w14:textId="389EA67D" w:rsidR="6049E9AC" w:rsidRPr="00550E1F" w:rsidRDefault="6049E9AC" w:rsidP="00BF247B">
      <w:pPr>
        <w:pStyle w:val="ListBullet"/>
        <w:spacing w:after="0"/>
        <w:rPr>
          <w:rFonts w:ascii="Aptos" w:hAnsi="Aptos"/>
        </w:rPr>
      </w:pPr>
      <w:hyperlink r:id="rId43">
        <w:r w:rsidRPr="00550E1F">
          <w:rPr>
            <w:rStyle w:val="Hyperlink"/>
            <w:rFonts w:ascii="Aptos" w:hAnsi="Aptos"/>
            <w:color w:val="0563C1"/>
            <w:u w:val="none"/>
          </w:rPr>
          <w:t>Guiding Questions for a Healthy Racial Climate for Teacher Candidates</w:t>
        </w:r>
      </w:hyperlink>
      <w:r w:rsidRPr="00550E1F">
        <w:rPr>
          <w:rFonts w:ascii="Aptos" w:hAnsi="Aptos"/>
        </w:rPr>
        <w:t xml:space="preserve"> (Kohli et al., 2022)</w:t>
      </w:r>
    </w:p>
    <w:p w14:paraId="441F874B" w14:textId="675707E5" w:rsidR="00646022" w:rsidRPr="00BB791D" w:rsidRDefault="00525650" w:rsidP="00BF247B">
      <w:pPr>
        <w:pStyle w:val="ListBullet"/>
        <w:spacing w:after="0"/>
      </w:pPr>
      <w:hyperlink w:anchor="StonehillEquity" w:history="1">
        <w:r w:rsidRPr="00550E1F">
          <w:rPr>
            <w:rStyle w:val="Hyperlink"/>
            <w:rFonts w:ascii="Aptos" w:hAnsi="Aptos"/>
          </w:rPr>
          <w:t>Equity in Teacher Education Framework and Program Outcomes</w:t>
        </w:r>
      </w:hyperlink>
      <w:r w:rsidR="6049E9AC" w:rsidRPr="00550E1F">
        <w:rPr>
          <w:rFonts w:ascii="Aptos" w:hAnsi="Aptos"/>
        </w:rPr>
        <w:t xml:space="preserve"> (Stonehill College)</w:t>
      </w:r>
      <w:r w:rsidR="00646022" w:rsidRPr="00BB791D">
        <w:br w:type="page"/>
      </w:r>
    </w:p>
    <w:bookmarkStart w:id="15" w:name="_Toc170815040"/>
    <w:bookmarkStart w:id="16" w:name="_Toc170821841"/>
    <w:bookmarkStart w:id="17" w:name="_Toc170822495"/>
    <w:bookmarkStart w:id="18" w:name="_Toc170822889"/>
    <w:bookmarkStart w:id="19" w:name="_Toc170896945"/>
    <w:bookmarkStart w:id="20" w:name="_Toc170897333"/>
    <w:p w14:paraId="4BF50755" w14:textId="4036CE5E" w:rsidR="00BD2B1A" w:rsidRPr="00705DBE" w:rsidRDefault="007F1674" w:rsidP="007C3D1C">
      <w:pPr>
        <w:pStyle w:val="Heading2"/>
        <w:rPr>
          <w:color w:val="163A42"/>
          <w:sz w:val="20"/>
          <w:szCs w:val="20"/>
        </w:rPr>
      </w:pPr>
      <w:r w:rsidRPr="007F1674">
        <w:rPr>
          <w:rStyle w:val="BodyTextChar"/>
          <w:noProof/>
        </w:rPr>
        <mc:AlternateContent>
          <mc:Choice Requires="wps">
            <w:drawing>
              <wp:anchor distT="0" distB="0" distL="114300" distR="114300" simplePos="0" relativeHeight="251658247" behindDoc="0" locked="0" layoutInCell="1" allowOverlap="1" wp14:anchorId="1197BD60" wp14:editId="49413F17">
                <wp:simplePos x="0" y="0"/>
                <wp:positionH relativeFrom="column">
                  <wp:posOffset>8255</wp:posOffset>
                </wp:positionH>
                <wp:positionV relativeFrom="paragraph">
                  <wp:posOffset>0</wp:posOffset>
                </wp:positionV>
                <wp:extent cx="6400800" cy="365760"/>
                <wp:effectExtent l="0" t="0" r="0" b="2540"/>
                <wp:wrapNone/>
                <wp:docPr id="513193857" name="Text Box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25EAEA9A" w14:textId="390BCA31" w:rsidR="007F1674" w:rsidRPr="00550E1F" w:rsidRDefault="008062BE" w:rsidP="003C26D5">
                            <w:pPr>
                              <w:pStyle w:val="Heading2a"/>
                              <w:rPr>
                                <w:sz w:val="36"/>
                                <w:szCs w:val="56"/>
                              </w:rPr>
                            </w:pPr>
                            <w:bookmarkStart w:id="21" w:name="_Toc170897334"/>
                            <w:r w:rsidRPr="00550E1F">
                              <w:rPr>
                                <w:sz w:val="36"/>
                                <w:szCs w:val="56"/>
                              </w:rPr>
                              <w:t>The</w:t>
                            </w:r>
                            <w:r w:rsidR="007F1674" w:rsidRPr="00550E1F">
                              <w:rPr>
                                <w:sz w:val="36"/>
                                <w:szCs w:val="56"/>
                              </w:rPr>
                              <w:t xml:space="preserve"> Candidate Domain</w:t>
                            </w:r>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7BD60" id="_x0000_s1028" type="#_x0000_t202" style="position:absolute;margin-left:.65pt;margin-top:0;width:7in;height:28.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" fillcolor="#1f3763 [1604]" stroked="f" strokeweight=".5pt">
                <v:textbox>
                  <w:txbxContent>
                    <w:p w14:paraId="25EAEA9A" w14:textId="390BCA31" w:rsidR="007F1674" w:rsidRPr="00550E1F" w:rsidRDefault="008062BE" w:rsidP="003C26D5">
                      <w:pPr>
                        <w:pStyle w:val="Heading2a"/>
                        <w:rPr>
                          <w:sz w:val="36"/>
                          <w:szCs w:val="56"/>
                        </w:rPr>
                      </w:pPr>
                      <w:bookmarkStart w:id="25" w:name="_Toc170897334"/>
                      <w:r w:rsidRPr="00550E1F">
                        <w:rPr>
                          <w:sz w:val="36"/>
                          <w:szCs w:val="56"/>
                        </w:rPr>
                        <w:t>The</w:t>
                      </w:r>
                      <w:r w:rsidR="007F1674" w:rsidRPr="00550E1F">
                        <w:rPr>
                          <w:sz w:val="36"/>
                          <w:szCs w:val="56"/>
                        </w:rPr>
                        <w:t xml:space="preserve"> Candidate Domain</w:t>
                      </w:r>
                      <w:bookmarkEnd w:id="25"/>
                    </w:p>
                  </w:txbxContent>
                </v:textbox>
              </v:shape>
            </w:pict>
          </mc:Fallback>
        </mc:AlternateContent>
      </w:r>
      <w:bookmarkEnd w:id="15"/>
      <w:bookmarkEnd w:id="16"/>
      <w:bookmarkEnd w:id="17"/>
      <w:bookmarkEnd w:id="18"/>
      <w:bookmarkEnd w:id="19"/>
      <w:bookmarkEnd w:id="20"/>
    </w:p>
    <w:p w14:paraId="30D6F4AD" w14:textId="4E4132D5" w:rsidR="0017754F" w:rsidRDefault="0017754F" w:rsidP="00CF648D">
      <w:pPr>
        <w:pStyle w:val="Paragraph-AfterList"/>
        <w:spacing w:after="0"/>
      </w:pPr>
      <w:r w:rsidRPr="008E2A84">
        <w:rPr>
          <w:noProof/>
        </w:rPr>
        <mc:AlternateContent>
          <mc:Choice Requires="wps">
            <w:drawing>
              <wp:anchor distT="0" distB="0" distL="114300" distR="114300" simplePos="0" relativeHeight="251658252" behindDoc="0" locked="0" layoutInCell="1" allowOverlap="1" wp14:anchorId="6F386822" wp14:editId="7F0566E8">
                <wp:simplePos x="0" y="0"/>
                <wp:positionH relativeFrom="column">
                  <wp:posOffset>3810</wp:posOffset>
                </wp:positionH>
                <wp:positionV relativeFrom="paragraph">
                  <wp:posOffset>215537</wp:posOffset>
                </wp:positionV>
                <wp:extent cx="6400800" cy="0"/>
                <wp:effectExtent l="0" t="12700" r="25400" b="25400"/>
                <wp:wrapNone/>
                <wp:docPr id="412323412"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660EF5" id="Straight Connector 1" o:spid="_x0000_s1026" alt="&quot;&quot;" style="position:absolute;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16.95pt" to="504.3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" strokecolor="#8c1176" strokeweight="3pt">
                <v:stroke joinstyle="miter"/>
              </v:line>
            </w:pict>
          </mc:Fallback>
        </mc:AlternateContent>
      </w:r>
    </w:p>
    <w:p w14:paraId="5501C2B7" w14:textId="57F43279" w:rsidR="6049E9AC" w:rsidRPr="00550E1F" w:rsidRDefault="6049E9AC" w:rsidP="00CF648D">
      <w:pPr>
        <w:pStyle w:val="Paragraph-AfterList"/>
        <w:spacing w:before="0"/>
        <w:rPr>
          <w:rFonts w:ascii="Aptos" w:hAnsi="Aptos"/>
        </w:rPr>
      </w:pPr>
      <w:r w:rsidRPr="00550E1F">
        <w:rPr>
          <w:rFonts w:ascii="Aptos" w:hAnsi="Aptos"/>
        </w:rPr>
        <w:t>Sponsoring organizations determine candidates’ readiness for endorsement and, in turn, readiness to impact PK-12 students from all races, ethnicities, identities, and backgrounds in the licensure role. The Candidate domain articulates the expectation that a sponsoring organization provides strong supports that candidates need to complete their program of study and be prepared for employment in their licensure role.</w:t>
      </w:r>
      <w:r w:rsidR="00AD5BD7" w:rsidRPr="00550E1F">
        <w:rPr>
          <w:rFonts w:ascii="Aptos" w:hAnsi="Aptos"/>
        </w:rPr>
        <w:t xml:space="preserve"> </w:t>
      </w:r>
    </w:p>
    <w:p w14:paraId="340C129E" w14:textId="51D1736E" w:rsidR="00AD5BD7" w:rsidRDefault="00AD5BD7" w:rsidP="00AD5BD7">
      <w:pPr>
        <w:pStyle w:val="BodyText"/>
      </w:pPr>
      <w:r>
        <w:rPr>
          <w:noProof/>
        </w:rPr>
        <w:drawing>
          <wp:inline distT="0" distB="0" distL="0" distR="0" wp14:anchorId="6B46135B" wp14:editId="4D78A8DF">
            <wp:extent cx="6418053" cy="2126796"/>
            <wp:effectExtent l="0" t="0" r="1905" b="6985"/>
            <wp:docPr id="139535395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53951" name="Picture 6">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422728" cy="2128345"/>
                    </a:xfrm>
                    <a:prstGeom prst="rect">
                      <a:avLst/>
                    </a:prstGeom>
                  </pic:spPr>
                </pic:pic>
              </a:graphicData>
            </a:graphic>
          </wp:inline>
        </w:drawing>
      </w:r>
    </w:p>
    <w:p w14:paraId="3716D2EC" w14:textId="64372ED2" w:rsidR="6049E9AC" w:rsidRPr="00550E1F" w:rsidRDefault="6049E9AC" w:rsidP="00AD5BD7">
      <w:pPr>
        <w:pStyle w:val="Heading3"/>
        <w:rPr>
          <w:rFonts w:ascii="Aptos" w:hAnsi="Aptos"/>
        </w:rPr>
      </w:pPr>
      <w:bookmarkStart w:id="22" w:name="_How_can_strong"/>
      <w:bookmarkEnd w:id="22"/>
      <w:r w:rsidRPr="00550E1F">
        <w:rPr>
          <w:rFonts w:ascii="Aptos" w:hAnsi="Aptos"/>
        </w:rPr>
        <w:t>How can strong supports prepare candidates to be effective educators?</w:t>
      </w:r>
    </w:p>
    <w:p w14:paraId="1055BFB0" w14:textId="2E6A4EB2" w:rsidR="6049E9AC" w:rsidRPr="00550E1F" w:rsidRDefault="6049E9AC" w:rsidP="007C3D1C">
      <w:pPr>
        <w:pStyle w:val="BodyText2"/>
        <w:rPr>
          <w:rFonts w:ascii="Aptos" w:hAnsi="Aptos"/>
          <w:sz w:val="24"/>
          <w:szCs w:val="22"/>
        </w:rPr>
      </w:pPr>
      <w:r w:rsidRPr="00550E1F">
        <w:rPr>
          <w:rFonts w:ascii="Aptos" w:hAnsi="Aptos"/>
          <w:sz w:val="24"/>
          <w:szCs w:val="22"/>
        </w:rPr>
        <w:t>Comprehensive and evidence-based supports ensure that candidates are prepared for employment and emphasize anti-racist and culturally and linguistically sustaining approaches. Providing strong candidate supports involves:</w:t>
      </w:r>
    </w:p>
    <w:p w14:paraId="6EC20ACC" w14:textId="56E36B8E" w:rsidR="00BF247B" w:rsidRPr="00550E1F" w:rsidRDefault="00BF247B" w:rsidP="00C106E3">
      <w:pPr>
        <w:pStyle w:val="ListBullet"/>
        <w:rPr>
          <w:rFonts w:ascii="Aptos" w:hAnsi="Aptos"/>
          <w:sz w:val="24"/>
          <w:szCs w:val="22"/>
        </w:rPr>
      </w:pPr>
      <w:r w:rsidRPr="00550E1F">
        <w:rPr>
          <w:rFonts w:ascii="Aptos" w:hAnsi="Aptos"/>
          <w:b/>
          <w:bCs w:val="0"/>
          <w:color w:val="1F3864" w:themeColor="accent1" w:themeShade="80"/>
          <w:sz w:val="24"/>
          <w:szCs w:val="22"/>
        </w:rPr>
        <w:t>Providing a multi-tiered system of supports:</w:t>
      </w:r>
      <w:r w:rsidRPr="00550E1F">
        <w:rPr>
          <w:rFonts w:ascii="Aptos" w:hAnsi="Aptos"/>
          <w:color w:val="1F3864" w:themeColor="accent1" w:themeShade="80"/>
          <w:sz w:val="24"/>
          <w:szCs w:val="22"/>
        </w:rPr>
        <w:t xml:space="preserve"> </w:t>
      </w:r>
      <w:r w:rsidRPr="00550E1F">
        <w:rPr>
          <w:rFonts w:ascii="Aptos" w:hAnsi="Aptos"/>
          <w:sz w:val="24"/>
          <w:szCs w:val="22"/>
        </w:rPr>
        <w:t>Candidates, like the students they will eventually serve, have varying learning styles, backgrounds, and abilities. Providing differentiated supports in preparation programs allows for individualized learning experiences and ensures that all candidates can fully grasp and apply educational concepts and are prepared for their roles as in-service educators (Sallese, Fogarty, &amp; Whiteside, 2023).</w:t>
      </w:r>
    </w:p>
    <w:p w14:paraId="25252913" w14:textId="77777777" w:rsidR="00BF247B" w:rsidRPr="00550E1F" w:rsidRDefault="00BF247B" w:rsidP="00C106E3">
      <w:pPr>
        <w:pStyle w:val="ListBullet"/>
        <w:rPr>
          <w:rFonts w:ascii="Aptos" w:hAnsi="Aptos"/>
          <w:sz w:val="24"/>
          <w:szCs w:val="22"/>
        </w:rPr>
      </w:pPr>
      <w:r w:rsidRPr="00550E1F">
        <w:rPr>
          <w:rFonts w:ascii="Aptos" w:hAnsi="Aptos"/>
          <w:b/>
          <w:bCs w:val="0"/>
          <w:color w:val="1F3864" w:themeColor="accent1" w:themeShade="80"/>
          <w:sz w:val="24"/>
          <w:szCs w:val="22"/>
        </w:rPr>
        <w:t>Creating an equity-centered program culture:</w:t>
      </w:r>
      <w:r w:rsidRPr="00550E1F">
        <w:rPr>
          <w:rFonts w:ascii="Aptos" w:hAnsi="Aptos"/>
          <w:color w:val="1F3864" w:themeColor="accent1" w:themeShade="80"/>
          <w:sz w:val="24"/>
          <w:szCs w:val="22"/>
        </w:rPr>
        <w:t xml:space="preserve"> </w:t>
      </w:r>
      <w:r w:rsidRPr="00550E1F">
        <w:rPr>
          <w:rFonts w:ascii="Aptos" w:hAnsi="Aptos"/>
          <w:sz w:val="24"/>
          <w:szCs w:val="22"/>
        </w:rPr>
        <w:t>A program-wide commitment to equity requires continuous awareness and action against systemic obstacles that may impede the inclusion and success of candidates from marginalized backgrounds (Holyoke et al., 2023; Rucinski, 2023). This includes identifying and addressing aspects of curriculum and policies that perpetuate a dominant culture of whiteness that further marginalizes and silences the experiences of candidates of color (Amos, 2010; Gist, 2017; Pizarro &amp; Kohli, 2020). By doing so, programs not only enhance the retention and preparedness of these candidates but also ensure that future educators are ready to thrive in the complex realities of PK-12 school systems.</w:t>
      </w:r>
    </w:p>
    <w:p w14:paraId="7F16E87D" w14:textId="7E411C24" w:rsidR="6049E9AC" w:rsidRPr="00550E1F" w:rsidRDefault="6049E9AC" w:rsidP="00C106E3">
      <w:pPr>
        <w:pStyle w:val="ListBullet"/>
        <w:rPr>
          <w:rFonts w:ascii="Aptos" w:hAnsi="Aptos"/>
          <w:sz w:val="24"/>
          <w:szCs w:val="22"/>
        </w:rPr>
      </w:pPr>
      <w:r w:rsidRPr="00550E1F">
        <w:rPr>
          <w:rFonts w:ascii="Aptos" w:hAnsi="Aptos"/>
          <w:b/>
          <w:bCs w:val="0"/>
          <w:color w:val="1F3864" w:themeColor="accent1" w:themeShade="80"/>
          <w:sz w:val="24"/>
          <w:szCs w:val="22"/>
        </w:rPr>
        <w:t>Making informed decisions by collaboratively monitoring and democratizing responsibility for candidates' readiness:</w:t>
      </w:r>
      <w:r w:rsidRPr="00550E1F">
        <w:rPr>
          <w:rFonts w:ascii="Aptos" w:hAnsi="Aptos"/>
          <w:sz w:val="24"/>
          <w:szCs w:val="22"/>
        </w:rPr>
        <w:t xml:space="preserve"> By promoting a team-based approach to supervision, sponsoring organizations can encourage candidates’ ownership of their own progress and shift the roles of faculty mentors and supervising practitioners from evaluators to collaborators. Choosing or designing assessments that reflect both the standardized criteria and candidates’ individual growth goals can also alleviate the tensions of assessment with equity-based approaches (Holyoke et al., 2023) while also ensuring that only candidates who are prepared to be effective educators are endorsed for the licensure role.</w:t>
      </w:r>
    </w:p>
    <w:p w14:paraId="7FC906F6" w14:textId="77777777" w:rsidR="00BF247B" w:rsidRPr="00550E1F" w:rsidRDefault="00BF247B" w:rsidP="00BF247B">
      <w:pPr>
        <w:pStyle w:val="HighlightText"/>
        <w:jc w:val="center"/>
        <w:rPr>
          <w:rFonts w:ascii="Aptos" w:hAnsi="Aptos"/>
          <w:b/>
          <w:bCs/>
          <w:color w:val="1F3864" w:themeColor="accent1" w:themeShade="80"/>
        </w:rPr>
      </w:pPr>
      <w:r w:rsidRPr="00550E1F">
        <w:rPr>
          <w:rFonts w:ascii="Aptos" w:hAnsi="Aptos"/>
          <w:b/>
          <w:bCs/>
          <w:color w:val="1F3864" w:themeColor="accent1" w:themeShade="80"/>
        </w:rPr>
        <w:t>Why do strong candidate supports matter?</w:t>
      </w:r>
    </w:p>
    <w:p w14:paraId="4A9A4FC0" w14:textId="5E1CF9CF" w:rsidR="00BF247B" w:rsidRPr="00550E1F" w:rsidRDefault="00BF247B" w:rsidP="00BF247B">
      <w:pPr>
        <w:pStyle w:val="HighlightText"/>
        <w:rPr>
          <w:rFonts w:ascii="Aptos" w:hAnsi="Aptos"/>
        </w:rPr>
      </w:pPr>
      <w:r w:rsidRPr="00550E1F">
        <w:rPr>
          <w:rFonts w:ascii="Aptos" w:hAnsi="Aptos"/>
        </w:rPr>
        <w:t>In Massachusetts, the educator workforce still does not fully reflect the diverse identities of its students (Rucinski, 2023). Research indicates that for candidates of color there are barriers to entry, experiences of discrimination within field placements, and an undervaluing of their cultural identities within their programs (Amos, 2010; Gist, 2017; Pizarro &amp; Kohli, 2020). By providing strong supports, sponsoring organizations can build equitable access and outcomes for all candidates, especially those from systemically marginalized backgrounds. Comprehensive guidance and support will also sustain candidates throughout their training to graduation and employment, ultimately contributing to a more diverse and effective educational workforce.</w:t>
      </w:r>
    </w:p>
    <w:p w14:paraId="0ED4C7DB" w14:textId="62183FB6" w:rsidR="6049E9AC" w:rsidRDefault="6049E9AC" w:rsidP="007C3D1C">
      <w:pPr>
        <w:pStyle w:val="Heading3"/>
      </w:pPr>
      <w:r w:rsidRPr="6049E9AC">
        <w:t>Promising Practices</w:t>
      </w:r>
      <w:r w:rsidR="001A2C32">
        <w:t xml:space="preserve"> for the Candidate Domain</w:t>
      </w:r>
    </w:p>
    <w:p w14:paraId="18046DA1" w14:textId="405E53B1" w:rsidR="00935741" w:rsidRPr="00550E1F" w:rsidRDefault="00935741" w:rsidP="00935741">
      <w:pPr>
        <w:pStyle w:val="TableTitle"/>
        <w:rPr>
          <w:rFonts w:ascii="Aptos" w:hAnsi="Aptos"/>
        </w:rPr>
      </w:pPr>
      <w:r w:rsidRPr="00550E1F">
        <w:rPr>
          <w:rFonts w:ascii="Aptos" w:hAnsi="Aptos"/>
        </w:rPr>
        <w:t>Adopt a multi-tiered system of supports (MTSS)</w:t>
      </w:r>
    </w:p>
    <w:tbl>
      <w:tblPr>
        <w:tblW w:w="5000" w:type="pct"/>
        <w:tblLook w:val="06A0" w:firstRow="1" w:lastRow="0" w:firstColumn="1" w:lastColumn="0" w:noHBand="1" w:noVBand="1"/>
      </w:tblPr>
      <w:tblGrid>
        <w:gridCol w:w="5097"/>
        <w:gridCol w:w="5097"/>
      </w:tblGrid>
      <w:tr w:rsidR="00935741" w:rsidRPr="001A2C32" w14:paraId="253FECEB" w14:textId="77777777" w:rsidTr="0010457E">
        <w:trPr>
          <w:trHeight w:hRule="exact" w:val="576"/>
          <w:tblHeader/>
        </w:trPr>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Mar>
              <w:top w:w="150" w:type="dxa"/>
              <w:left w:w="150" w:type="dxa"/>
              <w:bottom w:w="150" w:type="dxa"/>
              <w:right w:w="150" w:type="dxa"/>
            </w:tcMar>
          </w:tcPr>
          <w:p w14:paraId="068FBA90" w14:textId="55F7470E"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Pr>
          <w:p w14:paraId="3FA4D742" w14:textId="3B86A19C" w:rsidR="00935741" w:rsidRPr="00550E1F" w:rsidRDefault="00935741" w:rsidP="009B6FAD">
            <w:pPr>
              <w:pStyle w:val="TableHeaderRow"/>
              <w:rPr>
                <w:rFonts w:ascii="Aptos" w:hAnsi="Aptos"/>
              </w:rPr>
            </w:pPr>
            <w:r w:rsidRPr="00550E1F">
              <w:rPr>
                <w:rFonts w:ascii="Aptos" w:hAnsi="Aptos"/>
              </w:rPr>
              <w:t>Example</w:t>
            </w:r>
          </w:p>
        </w:tc>
      </w:tr>
      <w:tr w:rsidR="6049E9AC" w:rsidRPr="001A2C32" w14:paraId="51DCE8D5" w14:textId="77777777" w:rsidTr="0010457E">
        <w:trPr>
          <w:trHeight w:val="300"/>
        </w:trPr>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5D3CF92A" w14:textId="20FE31B6" w:rsidR="6049E9AC" w:rsidRPr="00550E1F" w:rsidRDefault="6049E9AC" w:rsidP="007C3D1C">
            <w:pPr>
              <w:pStyle w:val="BodyText2"/>
              <w:rPr>
                <w:rFonts w:ascii="Aptos" w:hAnsi="Aptos"/>
              </w:rPr>
            </w:pPr>
            <w:r w:rsidRPr="00550E1F">
              <w:rPr>
                <w:rFonts w:ascii="Aptos" w:hAnsi="Aptos"/>
              </w:rPr>
              <w:t xml:space="preserve">Establish a routine check-in process to identify early on which candidates may need </w:t>
            </w:r>
            <w:r w:rsidR="008163B6" w:rsidRPr="00550E1F">
              <w:rPr>
                <w:rFonts w:ascii="Aptos" w:hAnsi="Aptos"/>
              </w:rPr>
              <w:t>additional support,</w:t>
            </w:r>
            <w:r w:rsidRPr="00550E1F">
              <w:rPr>
                <w:rFonts w:ascii="Aptos" w:hAnsi="Aptos"/>
              </w:rPr>
              <w:t xml:space="preserve"> whether it be in their coursework, fieldwork, or with social and emotional well-being; maintain consistent communication among the support team to track </w:t>
            </w:r>
            <w:r w:rsidR="00BC7CAA" w:rsidRPr="00550E1F">
              <w:rPr>
                <w:rFonts w:ascii="Aptos" w:hAnsi="Aptos"/>
              </w:rPr>
              <w:t>candidates’</w:t>
            </w:r>
            <w:r w:rsidRPr="00550E1F">
              <w:rPr>
                <w:rFonts w:ascii="Aptos" w:hAnsi="Aptos"/>
              </w:rPr>
              <w:t xml:space="preserve"> progress and address areas where they need support. (Foran &amp; Mee, 2019).</w:t>
            </w:r>
          </w:p>
        </w:tc>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4AEA36E7" w14:textId="39F22C8E" w:rsidR="6049E9AC" w:rsidRPr="00550E1F" w:rsidRDefault="6049E9AC" w:rsidP="007C3D1C">
            <w:pPr>
              <w:pStyle w:val="BodyText3"/>
              <w:rPr>
                <w:rFonts w:ascii="Aptos" w:hAnsi="Aptos"/>
              </w:rPr>
            </w:pPr>
            <w:r w:rsidRPr="00550E1F">
              <w:rPr>
                <w:rFonts w:ascii="Aptos" w:hAnsi="Aptos"/>
              </w:rPr>
              <w:t xml:space="preserve">Harvard Graduate School of Education has implemented a comprehensive Tier 1 support system in which mentors meet with their mentees weekly and use a Google form to flag any concerns with fieldwork. This process maintains a focus on growth and relationships, with follow-up actions tracked for continuity. </w:t>
            </w:r>
            <w:r w:rsidR="00E54FCE" w:rsidRPr="00550E1F">
              <w:rPr>
                <w:rFonts w:ascii="Aptos" w:hAnsi="Aptos"/>
              </w:rPr>
              <w:t>Typically, the field administrator, core faculty member, or advisor closest to the candidate initiates contact, aiming to provide support through a "circle of support" meeting.</w:t>
            </w:r>
          </w:p>
          <w:p w14:paraId="6E095258" w14:textId="484B86E5" w:rsidR="6049E9AC" w:rsidRPr="00550E1F" w:rsidRDefault="6049E9AC" w:rsidP="007C3D1C">
            <w:pPr>
              <w:pStyle w:val="BodyText3"/>
              <w:rPr>
                <w:rFonts w:ascii="Aptos" w:hAnsi="Aptos"/>
              </w:rPr>
            </w:pPr>
            <w:r w:rsidRPr="00550E1F">
              <w:rPr>
                <w:rFonts w:ascii="Aptos" w:hAnsi="Aptos"/>
              </w:rPr>
              <w:t>Springfield College also provides Tier 1 support and prioritizes candidates’ social and emotional wellbeing by providing all candidates with a trauma-informed practice training module and a wellness training during their practicum that is specific to dealing with educator stress and in which they develop and implement self-care plans.</w:t>
            </w:r>
          </w:p>
        </w:tc>
      </w:tr>
      <w:tr w:rsidR="6049E9AC" w:rsidRPr="001A2C32" w14:paraId="07F380E7" w14:textId="77777777" w:rsidTr="0010457E">
        <w:trPr>
          <w:trHeight w:val="300"/>
        </w:trPr>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3B8E3FD8" w14:textId="299B0013" w:rsidR="6049E9AC" w:rsidRPr="00550E1F" w:rsidRDefault="6049E9AC" w:rsidP="007C3D1C">
            <w:pPr>
              <w:pStyle w:val="BodyText2"/>
              <w:rPr>
                <w:rFonts w:ascii="Aptos" w:hAnsi="Aptos"/>
              </w:rPr>
            </w:pPr>
            <w:r w:rsidRPr="00550E1F">
              <w:rPr>
                <w:rFonts w:ascii="Aptos" w:hAnsi="Aptos"/>
              </w:rPr>
              <w:t xml:space="preserve">Offer different levels of help and unique supports based on candidates' identities and needs so that they have opportunities to succeed from the </w:t>
            </w:r>
            <w:r w:rsidR="0047405B" w:rsidRPr="00550E1F">
              <w:rPr>
                <w:rFonts w:ascii="Aptos" w:hAnsi="Aptos"/>
              </w:rPr>
              <w:t>application to the program through</w:t>
            </w:r>
            <w:r w:rsidRPr="00550E1F">
              <w:rPr>
                <w:rFonts w:ascii="Aptos" w:hAnsi="Aptos"/>
              </w:rPr>
              <w:t xml:space="preserve"> completion. Simultaneously, encourage students to actively manage and be responsible for their own growth throughout their training (Cochran-Smith et al., 2015; Holyoke et al., 2023).</w:t>
            </w:r>
          </w:p>
        </w:tc>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2B986678" w14:textId="2ED2E669" w:rsidR="2DDCF10B" w:rsidRPr="00550E1F" w:rsidRDefault="2DDCF10B" w:rsidP="756D8F1B">
            <w:pPr>
              <w:pStyle w:val="BodyText3"/>
              <w:rPr>
                <w:rFonts w:ascii="Aptos" w:eastAsia="Calibri" w:hAnsi="Aptos" w:cs="Calibri"/>
              </w:rPr>
            </w:pPr>
            <w:r w:rsidRPr="00550E1F">
              <w:rPr>
                <w:rFonts w:ascii="Aptos" w:eastAsia="Calibri" w:hAnsi="Aptos" w:cs="Calibri"/>
              </w:rPr>
              <w:t>Mount Holyoke College helps potential students to apply to the program through advising sessions outside of working hours. Additionally, directors offer one-to-one sessions to support candidates with the application process.</w:t>
            </w:r>
          </w:p>
          <w:p w14:paraId="46235151" w14:textId="149E3975" w:rsidR="6049E9AC" w:rsidRPr="00550E1F" w:rsidRDefault="6049E9AC" w:rsidP="007C3D1C">
            <w:pPr>
              <w:pStyle w:val="BodyText3"/>
              <w:rPr>
                <w:rFonts w:ascii="Aptos" w:hAnsi="Aptos"/>
              </w:rPr>
            </w:pPr>
            <w:r w:rsidRPr="00550E1F">
              <w:rPr>
                <w:rFonts w:ascii="Aptos" w:hAnsi="Aptos"/>
              </w:rPr>
              <w:t xml:space="preserve">In addition, as a Tier 2 support, Stonehill College has developed a mini-course library that all candidates can access throughout their program to supplement their knowledge in areas where they need additional support. </w:t>
            </w:r>
          </w:p>
        </w:tc>
      </w:tr>
      <w:tr w:rsidR="6049E9AC" w:rsidRPr="001A2C32" w14:paraId="5C3C6B14" w14:textId="77777777" w:rsidTr="0010457E">
        <w:trPr>
          <w:trHeight w:val="300"/>
        </w:trPr>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0F52057C" w14:textId="7588234B" w:rsidR="6049E9AC" w:rsidRPr="00550E1F" w:rsidRDefault="6049E9AC" w:rsidP="007C3D1C">
            <w:pPr>
              <w:pStyle w:val="BodyText2"/>
              <w:rPr>
                <w:rFonts w:ascii="Aptos" w:hAnsi="Aptos"/>
              </w:rPr>
            </w:pPr>
            <w:r w:rsidRPr="00550E1F">
              <w:rPr>
                <w:rFonts w:ascii="Aptos" w:hAnsi="Aptos"/>
              </w:rPr>
              <w:t>Incorporate individualized and intensive interventions to assist pre-service teachers facing challenges beyond academic issues, such as food insecurity, mental health concerns, student loans, and family responsibilities. Provide holistic support by actively coordinating wraparound services from both campus and community resources. Ensure mental health and well-being are destigmatized, empowering pre-service teachers to access care and build resilience.</w:t>
            </w:r>
          </w:p>
        </w:tc>
        <w:tc>
          <w:tcPr>
            <w:tcW w:w="2500"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55CFEE75" w14:textId="2CB9A2A4" w:rsidR="6049E9AC" w:rsidRPr="00550E1F" w:rsidRDefault="3C1600E0" w:rsidP="007C3D1C">
            <w:pPr>
              <w:pStyle w:val="BodyText3"/>
              <w:rPr>
                <w:rFonts w:ascii="Aptos" w:hAnsi="Aptos"/>
              </w:rPr>
            </w:pPr>
            <w:r w:rsidRPr="00550E1F">
              <w:rPr>
                <w:rFonts w:ascii="Aptos" w:hAnsi="Aptos"/>
              </w:rPr>
              <w:t>Northeastern University has engaged in participatory action research on 'praxis shock'—the sense of surprise or disorientation that can occur when a candidate’s preconceived notions of the profession do not match the actual experience. To enhance Tier 3 interventions, they have piloted a community support structure using cross-college collaborators and offer candidates an extended network of wraparound support services.  In seminar, candidates are educated on praxis shock and its impact on candidate mental health and well-being, and a faculty member from the psychology department facilitates small group conversations to destigmatize "talk therapy" to manage stress. The program has also adopted self-reflection practices and activities specifically targeted to support social-emotional resilience in pre-service teachers, and candidates are encouraged to develop individualized strategies for self-care and well-being prior to exiting the program (Ballantyne and Retell, 2020; Madonna, 2024; Sharp, 2015).</w:t>
            </w:r>
          </w:p>
        </w:tc>
      </w:tr>
    </w:tbl>
    <w:p w14:paraId="341671A2" w14:textId="26E9218B" w:rsidR="00721620" w:rsidRPr="00550E1F" w:rsidRDefault="00935741" w:rsidP="00935741">
      <w:pPr>
        <w:pStyle w:val="TableTitle"/>
        <w:rPr>
          <w:rFonts w:ascii="Aptos" w:hAnsi="Aptos"/>
        </w:rPr>
      </w:pPr>
      <w:r w:rsidRPr="00550E1F">
        <w:rPr>
          <w:rFonts w:ascii="Aptos" w:hAnsi="Aptos"/>
        </w:rPr>
        <w:t>Ensure candidate supports are equity-oriented</w:t>
      </w:r>
    </w:p>
    <w:tbl>
      <w:tblPr>
        <w:tblW w:w="5000" w:type="pct"/>
        <w:tblLook w:val="06A0" w:firstRow="1" w:lastRow="0" w:firstColumn="1" w:lastColumn="0" w:noHBand="1" w:noVBand="1"/>
      </w:tblPr>
      <w:tblGrid>
        <w:gridCol w:w="5089"/>
        <w:gridCol w:w="8"/>
        <w:gridCol w:w="5097"/>
      </w:tblGrid>
      <w:tr w:rsidR="00935741" w:rsidRPr="001A2C32" w14:paraId="70CBFD56" w14:textId="77777777" w:rsidTr="00385C0C">
        <w:trPr>
          <w:trHeight w:hRule="exact" w:val="576"/>
          <w:tblHeader/>
        </w:trPr>
        <w:tc>
          <w:tcPr>
            <w:tcW w:w="2500" w:type="pct"/>
            <w:gridSpan w:val="2"/>
            <w:tcBorders>
              <w:top w:val="single" w:sz="12" w:space="0" w:color="CCCCCC"/>
              <w:left w:val="single" w:sz="12" w:space="0" w:color="CCCCCC"/>
              <w:bottom w:val="single" w:sz="12" w:space="0" w:color="CCCCCC"/>
              <w:right w:val="single" w:sz="12" w:space="0" w:color="CCCCCC"/>
            </w:tcBorders>
            <w:shd w:val="clear" w:color="auto" w:fill="1F3864" w:themeFill="accent1" w:themeFillShade="80"/>
            <w:tcMar>
              <w:top w:w="150" w:type="dxa"/>
              <w:left w:w="150" w:type="dxa"/>
              <w:bottom w:w="150" w:type="dxa"/>
              <w:right w:w="150" w:type="dxa"/>
            </w:tcMar>
          </w:tcPr>
          <w:p w14:paraId="43E5B1C2" w14:textId="035B2C5D"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Pr>
          <w:p w14:paraId="5E8B9A13" w14:textId="31B3E8C0" w:rsidR="00935741" w:rsidRPr="00550E1F" w:rsidRDefault="00935741" w:rsidP="009B6FAD">
            <w:pPr>
              <w:pStyle w:val="TableHeaderRow"/>
              <w:rPr>
                <w:rFonts w:ascii="Aptos" w:hAnsi="Aptos"/>
              </w:rPr>
            </w:pPr>
            <w:r w:rsidRPr="00550E1F">
              <w:rPr>
                <w:rFonts w:ascii="Aptos" w:hAnsi="Aptos"/>
              </w:rPr>
              <w:t>Example</w:t>
            </w:r>
          </w:p>
        </w:tc>
      </w:tr>
      <w:tr w:rsidR="6049E9AC" w:rsidRPr="001A2C32" w14:paraId="62DE259C"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7537C4AD" w14:textId="099697F3" w:rsidR="6049E9AC" w:rsidRPr="00550E1F" w:rsidRDefault="6049E9AC" w:rsidP="007C3D1C">
            <w:pPr>
              <w:pStyle w:val="BodyText2"/>
              <w:rPr>
                <w:rFonts w:ascii="Aptos" w:hAnsi="Aptos"/>
              </w:rPr>
            </w:pPr>
            <w:r w:rsidRPr="00550E1F">
              <w:rPr>
                <w:rFonts w:ascii="Aptos" w:hAnsi="Aptos"/>
              </w:rPr>
              <w:t>Because education and its practices are historically entrenched in a culture of white supremacy, encouraging and integrating anti-racist and culturally sustaining pedagogy throughout coursework functions as a form of candidate support for those traditionally not reflected within their educational experience (Crenshaw &amp; Yusuf, 2024). Doing so will ensure coursework reflects and validates the backgrounds and identities of all candidates while also preparing them to apply concepts effectively in diverse classroom settings.</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53452BB1" w14:textId="65820CB5" w:rsidR="6049E9AC" w:rsidRPr="00550E1F" w:rsidRDefault="6049E9AC" w:rsidP="007C3D1C">
            <w:pPr>
              <w:pStyle w:val="BodyText3"/>
              <w:rPr>
                <w:rFonts w:ascii="Aptos" w:hAnsi="Aptos"/>
              </w:rPr>
            </w:pPr>
            <w:r w:rsidRPr="00550E1F">
              <w:rPr>
                <w:rFonts w:ascii="Aptos" w:hAnsi="Aptos"/>
              </w:rPr>
              <w:t>Springfield College works to support diverse learners’ learning needs while also “setting white students on the path to addressing their biases and recognizing structural inequality” and embedding social justice education and multicultural education across all of their coursework.</w:t>
            </w:r>
          </w:p>
        </w:tc>
      </w:tr>
      <w:tr w:rsidR="6049E9AC" w:rsidRPr="001A2C32" w14:paraId="51EFBD88"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7B18C690" w14:textId="2398EA78" w:rsidR="6049E9AC" w:rsidRPr="00550E1F" w:rsidRDefault="6049E9AC" w:rsidP="007C3D1C">
            <w:pPr>
              <w:pStyle w:val="BodyText2"/>
              <w:rPr>
                <w:rFonts w:ascii="Aptos" w:hAnsi="Aptos"/>
              </w:rPr>
            </w:pPr>
            <w:r w:rsidRPr="00550E1F">
              <w:rPr>
                <w:rFonts w:ascii="Aptos" w:hAnsi="Aptos"/>
              </w:rPr>
              <w:t>Center anti-racism and cultural</w:t>
            </w:r>
            <w:r w:rsidR="001A7929" w:rsidRPr="00550E1F">
              <w:rPr>
                <w:rFonts w:ascii="Aptos" w:hAnsi="Aptos"/>
              </w:rPr>
              <w:t>ly</w:t>
            </w:r>
            <w:r w:rsidRPr="00550E1F">
              <w:rPr>
                <w:rFonts w:ascii="Aptos" w:hAnsi="Aptos"/>
              </w:rPr>
              <w:t xml:space="preserve"> sustaining principles and practices in supervising practitioner selection; communicate with candidates and district partners a programmatic expectation </w:t>
            </w:r>
            <w:r w:rsidR="0037283F" w:rsidRPr="00550E1F">
              <w:rPr>
                <w:rFonts w:ascii="Aptos" w:hAnsi="Aptos"/>
              </w:rPr>
              <w:t>that</w:t>
            </w:r>
            <w:r w:rsidRPr="00550E1F">
              <w:rPr>
                <w:rFonts w:ascii="Aptos" w:hAnsi="Aptos"/>
              </w:rPr>
              <w:t xml:space="preserve"> supervising practitioners</w:t>
            </w:r>
            <w:r w:rsidR="0037283F" w:rsidRPr="00550E1F">
              <w:rPr>
                <w:rFonts w:ascii="Aptos" w:hAnsi="Aptos"/>
              </w:rPr>
              <w:t xml:space="preserve"> </w:t>
            </w:r>
            <w:r w:rsidRPr="00550E1F">
              <w:rPr>
                <w:rFonts w:ascii="Aptos" w:hAnsi="Aptos"/>
              </w:rPr>
              <w:t>practice anti-racism and cultural responsiveness (Rodriguez-Mojica et al., 2020).</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4DD258A3" w14:textId="00B9B7A9" w:rsidR="6049E9AC" w:rsidRPr="00550E1F" w:rsidRDefault="6049E9AC" w:rsidP="007C3D1C">
            <w:pPr>
              <w:pStyle w:val="BodyText3"/>
              <w:rPr>
                <w:rFonts w:ascii="Aptos" w:hAnsi="Aptos"/>
              </w:rPr>
            </w:pPr>
            <w:r w:rsidRPr="00550E1F">
              <w:rPr>
                <w:rFonts w:ascii="Aptos" w:hAnsi="Aptos"/>
              </w:rPr>
              <w:t xml:space="preserve">Stonehill College puts the guiding principles of anti-racism and cultural responsiveness at the forefront when partnering with districts which then inform the ways in which district partners can select </w:t>
            </w:r>
            <w:r w:rsidR="0037283F" w:rsidRPr="00550E1F">
              <w:rPr>
                <w:rFonts w:ascii="Aptos" w:hAnsi="Aptos"/>
              </w:rPr>
              <w:t>supervising practitioners</w:t>
            </w:r>
            <w:r w:rsidRPr="00550E1F">
              <w:rPr>
                <w:rFonts w:ascii="Aptos" w:hAnsi="Aptos"/>
              </w:rPr>
              <w:t xml:space="preserve"> </w:t>
            </w:r>
            <w:r w:rsidR="002D000D" w:rsidRPr="00550E1F">
              <w:rPr>
                <w:rFonts w:ascii="Aptos" w:hAnsi="Aptos"/>
              </w:rPr>
              <w:t xml:space="preserve">who </w:t>
            </w:r>
            <w:r w:rsidR="00F037AD" w:rsidRPr="00550E1F">
              <w:rPr>
                <w:rFonts w:ascii="Aptos" w:hAnsi="Aptos"/>
              </w:rPr>
              <w:t>practice these</w:t>
            </w:r>
            <w:r w:rsidRPr="00550E1F">
              <w:rPr>
                <w:rFonts w:ascii="Aptos" w:hAnsi="Aptos"/>
              </w:rPr>
              <w:t xml:space="preserve"> principles. This ensures that </w:t>
            </w:r>
            <w:r w:rsidR="0037283F" w:rsidRPr="00550E1F">
              <w:rPr>
                <w:rFonts w:ascii="Aptos" w:hAnsi="Aptos"/>
              </w:rPr>
              <w:t>supervising practitioner</w:t>
            </w:r>
            <w:r w:rsidRPr="00550E1F">
              <w:rPr>
                <w:rFonts w:ascii="Aptos" w:hAnsi="Aptos"/>
              </w:rPr>
              <w:t>s are prepared to support candidates if they come across issues of racism or inequity in their placements.</w:t>
            </w:r>
          </w:p>
        </w:tc>
      </w:tr>
      <w:tr w:rsidR="6049E9AC" w:rsidRPr="001A2C32" w14:paraId="3069FA07"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282814B8" w14:textId="652E80C3" w:rsidR="6049E9AC" w:rsidRPr="00550E1F" w:rsidRDefault="6049E9AC" w:rsidP="007C3D1C">
            <w:pPr>
              <w:pStyle w:val="BodyText2"/>
              <w:rPr>
                <w:rFonts w:ascii="Aptos" w:hAnsi="Aptos"/>
              </w:rPr>
            </w:pPr>
            <w:r w:rsidRPr="00550E1F">
              <w:rPr>
                <w:rFonts w:ascii="Aptos" w:hAnsi="Aptos"/>
              </w:rPr>
              <w:t>Be responsive to candidates and provide a network of support as they balance the competing challenges of navigating their early field-based experiences and enacting equity-based practice anti-racist and culturally sustaining practices that they are learning about in their programs (Strom &amp; Martin, 2016).</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07C54FA2" w14:textId="65C81FBD" w:rsidR="6049E9AC" w:rsidRPr="00550E1F" w:rsidRDefault="1A14B639" w:rsidP="007C3D1C">
            <w:pPr>
              <w:pStyle w:val="BodyText3"/>
              <w:rPr>
                <w:rFonts w:ascii="Aptos" w:hAnsi="Aptos"/>
              </w:rPr>
            </w:pPr>
            <w:r w:rsidRPr="00550E1F">
              <w:rPr>
                <w:rFonts w:ascii="Aptos" w:hAnsi="Aptos"/>
              </w:rPr>
              <w:t>I</w:t>
            </w:r>
            <w:r w:rsidR="6049E9AC" w:rsidRPr="00550E1F">
              <w:rPr>
                <w:rFonts w:ascii="Aptos" w:hAnsi="Aptos"/>
              </w:rPr>
              <w:t>f candidates at Stonehill College face difficulties because the school's commitment to anti-racist and culturally sustaining practices doesn't align with the practices at their teaching placement, the college steps in to offer more guidance. They work to involve both the placement school and the supervising practitioner in embracing the college's mission to create a more supportive learning environment.</w:t>
            </w:r>
          </w:p>
        </w:tc>
      </w:tr>
    </w:tbl>
    <w:p w14:paraId="2E7B9C48" w14:textId="6EAE1529" w:rsidR="00721620" w:rsidRPr="00550E1F" w:rsidRDefault="00935741" w:rsidP="00935741">
      <w:pPr>
        <w:pStyle w:val="TableTitle"/>
        <w:rPr>
          <w:rFonts w:ascii="Aptos" w:hAnsi="Aptos"/>
        </w:rPr>
      </w:pPr>
      <w:r w:rsidRPr="00550E1F">
        <w:rPr>
          <w:rFonts w:ascii="Aptos" w:hAnsi="Aptos"/>
        </w:rPr>
        <w:t>Make Informed Decisions</w:t>
      </w:r>
    </w:p>
    <w:tbl>
      <w:tblPr>
        <w:tblW w:w="5000" w:type="pct"/>
        <w:tblLook w:val="06A0" w:firstRow="1" w:lastRow="0" w:firstColumn="1" w:lastColumn="0" w:noHBand="1" w:noVBand="1"/>
      </w:tblPr>
      <w:tblGrid>
        <w:gridCol w:w="5089"/>
        <w:gridCol w:w="8"/>
        <w:gridCol w:w="5097"/>
      </w:tblGrid>
      <w:tr w:rsidR="00935741" w:rsidRPr="001A2C32" w14:paraId="4D4F2C59" w14:textId="77777777" w:rsidTr="00385C0C">
        <w:trPr>
          <w:trHeight w:val="300"/>
          <w:tblHeader/>
        </w:trPr>
        <w:tc>
          <w:tcPr>
            <w:tcW w:w="2500" w:type="pct"/>
            <w:gridSpan w:val="2"/>
            <w:tcBorders>
              <w:top w:val="single" w:sz="12" w:space="0" w:color="CCCCCC"/>
              <w:left w:val="single" w:sz="12" w:space="0" w:color="CCCCCC"/>
              <w:bottom w:val="single" w:sz="12" w:space="0" w:color="CCCCCC"/>
              <w:right w:val="single" w:sz="12" w:space="0" w:color="CCCCCC"/>
            </w:tcBorders>
            <w:shd w:val="clear" w:color="auto" w:fill="1F3864" w:themeFill="accent1" w:themeFillShade="80"/>
            <w:tcMar>
              <w:top w:w="150" w:type="dxa"/>
              <w:left w:w="150" w:type="dxa"/>
              <w:bottom w:w="150" w:type="dxa"/>
              <w:right w:w="150" w:type="dxa"/>
            </w:tcMar>
          </w:tcPr>
          <w:p w14:paraId="26F05E62" w14:textId="5BAC41C6"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Pr>
          <w:p w14:paraId="7AC6294E" w14:textId="2BE79076" w:rsidR="00935741" w:rsidRPr="00550E1F" w:rsidRDefault="00935741" w:rsidP="009B6FAD">
            <w:pPr>
              <w:pStyle w:val="TableHeaderRow"/>
              <w:rPr>
                <w:rFonts w:ascii="Aptos" w:hAnsi="Aptos"/>
              </w:rPr>
            </w:pPr>
            <w:r w:rsidRPr="00550E1F">
              <w:rPr>
                <w:rFonts w:ascii="Aptos" w:hAnsi="Aptos"/>
              </w:rPr>
              <w:t>Example</w:t>
            </w:r>
          </w:p>
        </w:tc>
      </w:tr>
      <w:tr w:rsidR="6049E9AC" w:rsidRPr="001A2C32" w14:paraId="74AC1A13"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44B6716B" w14:textId="30B1C347" w:rsidR="6049E9AC" w:rsidRPr="00550E1F" w:rsidRDefault="6049E9AC" w:rsidP="007C3D1C">
            <w:pPr>
              <w:pStyle w:val="BodyText2"/>
              <w:rPr>
                <w:rFonts w:ascii="Aptos" w:hAnsi="Aptos"/>
              </w:rPr>
            </w:pPr>
            <w:r w:rsidRPr="00550E1F">
              <w:rPr>
                <w:rFonts w:ascii="Aptos" w:hAnsi="Aptos"/>
              </w:rPr>
              <w:t>Regularly examine recruitment, admissions, and retention data to make intentional, equity-informed choices about how to provide strong supports for candidates to become well-prepared educators.</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3F247C19" w14:textId="62C1CC99" w:rsidR="6049E9AC" w:rsidRPr="00550E1F" w:rsidRDefault="6049E9AC" w:rsidP="007C3D1C">
            <w:pPr>
              <w:pStyle w:val="BodyText3"/>
              <w:rPr>
                <w:rFonts w:ascii="Aptos" w:hAnsi="Aptos"/>
              </w:rPr>
            </w:pPr>
            <w:r w:rsidRPr="00550E1F">
              <w:rPr>
                <w:rFonts w:ascii="Aptos" w:hAnsi="Aptos"/>
              </w:rPr>
              <w:t xml:space="preserve">MA DESE uses a Racial Equity Decision Making Tool </w:t>
            </w:r>
            <w:r w:rsidR="00E77517" w:rsidRPr="00550E1F">
              <w:rPr>
                <w:rFonts w:ascii="Aptos" w:hAnsi="Aptos"/>
              </w:rPr>
              <w:t>to make informed, equity-based decisions. T</w:t>
            </w:r>
            <w:r w:rsidR="00D73E90" w:rsidRPr="00550E1F">
              <w:rPr>
                <w:rFonts w:ascii="Aptos" w:hAnsi="Aptos"/>
              </w:rPr>
              <w:t>he tool</w:t>
            </w:r>
            <w:r w:rsidRPr="00550E1F">
              <w:rPr>
                <w:rFonts w:ascii="Aptos" w:hAnsi="Aptos"/>
              </w:rPr>
              <w:t xml:space="preserve"> includes steps for analyzing data and historical context</w:t>
            </w:r>
            <w:r w:rsidR="00230D0E" w:rsidRPr="00550E1F">
              <w:rPr>
                <w:rFonts w:ascii="Aptos" w:hAnsi="Aptos"/>
              </w:rPr>
              <w:t xml:space="preserve"> to </w:t>
            </w:r>
            <w:r w:rsidR="00EB18E3" w:rsidRPr="00550E1F">
              <w:rPr>
                <w:rFonts w:ascii="Aptos" w:hAnsi="Aptos"/>
              </w:rPr>
              <w:t>inform how best to move forward</w:t>
            </w:r>
            <w:r w:rsidRPr="00550E1F">
              <w:rPr>
                <w:rFonts w:ascii="Aptos" w:hAnsi="Aptos"/>
              </w:rPr>
              <w:t>.</w:t>
            </w:r>
          </w:p>
        </w:tc>
      </w:tr>
      <w:tr w:rsidR="6049E9AC" w:rsidRPr="001A2C32" w14:paraId="611D89B2"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1A82D11B" w14:textId="48E4000D" w:rsidR="6049E9AC" w:rsidRPr="00550E1F" w:rsidRDefault="6049E9AC" w:rsidP="007C3D1C">
            <w:pPr>
              <w:pStyle w:val="BodyText2"/>
              <w:rPr>
                <w:rFonts w:ascii="Aptos" w:hAnsi="Aptos"/>
              </w:rPr>
            </w:pPr>
            <w:r w:rsidRPr="00550E1F">
              <w:rPr>
                <w:rFonts w:ascii="Aptos" w:hAnsi="Aptos"/>
              </w:rPr>
              <w:t>Identify students who may need more targeted support early by using placement or in-class assessments at the beginning of programs and courses (</w:t>
            </w:r>
            <w:proofErr w:type="spellStart"/>
            <w:r w:rsidRPr="00550E1F">
              <w:rPr>
                <w:rFonts w:ascii="Aptos" w:hAnsi="Aptos"/>
              </w:rPr>
              <w:t>Goe</w:t>
            </w:r>
            <w:proofErr w:type="spellEnd"/>
            <w:r w:rsidRPr="00550E1F">
              <w:rPr>
                <w:rFonts w:ascii="Aptos" w:hAnsi="Aptos"/>
              </w:rPr>
              <w:t xml:space="preserve"> &amp; Roth, 2019). Ensure everyone has the chance to succeed on required programmatic benchmarks.</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26192681" w14:textId="7AAD28A9" w:rsidR="6049E9AC" w:rsidRPr="00550E1F" w:rsidRDefault="6049E9AC" w:rsidP="007C3D1C">
            <w:pPr>
              <w:pStyle w:val="BodyText3"/>
              <w:rPr>
                <w:rFonts w:ascii="Aptos" w:hAnsi="Aptos"/>
              </w:rPr>
            </w:pPr>
            <w:r w:rsidRPr="00550E1F">
              <w:rPr>
                <w:rFonts w:ascii="Aptos" w:hAnsi="Aptos"/>
              </w:rPr>
              <w:t>Springfield College proactively identifies students requiring extra support by their foundational knowledge (using course grades as screeners), skills (using observation rubrics), and dispositions (notes from supervising practitioners and mentor faculty). This comprehensive approach ensures timely targeted assistance, aiming for every student's success in meeting program requirements.</w:t>
            </w:r>
            <w:r w:rsidR="00D64D8E" w:rsidRPr="00550E1F">
              <w:rPr>
                <w:rFonts w:ascii="Aptos" w:hAnsi="Aptos"/>
              </w:rPr>
              <w:t xml:space="preserve"> See more </w:t>
            </w:r>
            <w:r w:rsidR="00171FEE" w:rsidRPr="00550E1F">
              <w:rPr>
                <w:rFonts w:ascii="Aptos" w:hAnsi="Aptos"/>
              </w:rPr>
              <w:t xml:space="preserve">about Springfield College’s comprehensive supports for candidates </w:t>
            </w:r>
            <w:r w:rsidR="00D64D8E" w:rsidRPr="00550E1F">
              <w:rPr>
                <w:rFonts w:ascii="Aptos" w:hAnsi="Aptos"/>
              </w:rPr>
              <w:t>in the case study below</w:t>
            </w:r>
            <w:r w:rsidR="00171FEE" w:rsidRPr="00550E1F">
              <w:rPr>
                <w:rFonts w:ascii="Aptos" w:hAnsi="Aptos"/>
              </w:rPr>
              <w:t>.</w:t>
            </w:r>
            <w:r w:rsidR="00D64D8E" w:rsidRPr="00550E1F">
              <w:rPr>
                <w:rFonts w:ascii="Aptos" w:hAnsi="Aptos"/>
              </w:rPr>
              <w:t xml:space="preserve"> </w:t>
            </w:r>
          </w:p>
        </w:tc>
      </w:tr>
      <w:tr w:rsidR="6049E9AC" w:rsidRPr="001A2C32" w14:paraId="1E1BC118" w14:textId="77777777" w:rsidTr="00385C0C">
        <w:trPr>
          <w:trHeight w:val="300"/>
        </w:trPr>
        <w:tc>
          <w:tcPr>
            <w:tcW w:w="2496" w:type="pct"/>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66A70FCC" w14:textId="109ACACB" w:rsidR="6049E9AC" w:rsidRPr="00550E1F" w:rsidRDefault="6049E9AC" w:rsidP="007C3D1C">
            <w:pPr>
              <w:pStyle w:val="BodyText2"/>
              <w:rPr>
                <w:rFonts w:ascii="Aptos" w:hAnsi="Aptos"/>
              </w:rPr>
            </w:pPr>
            <w:r w:rsidRPr="00550E1F">
              <w:rPr>
                <w:rFonts w:ascii="Aptos" w:hAnsi="Aptos"/>
              </w:rPr>
              <w:t xml:space="preserve">Actively listen to and observe candidates to understand their distinctive identities and strengths, particularly those </w:t>
            </w:r>
            <w:r w:rsidR="00A9379E" w:rsidRPr="00550E1F">
              <w:rPr>
                <w:rFonts w:ascii="Aptos" w:hAnsi="Aptos"/>
              </w:rPr>
              <w:t>from marginalized communities</w:t>
            </w:r>
            <w:r w:rsidRPr="00550E1F">
              <w:rPr>
                <w:rFonts w:ascii="Aptos" w:hAnsi="Aptos"/>
              </w:rPr>
              <w:t xml:space="preserve"> to tailor supports that are responsive to those identities and strengths and effectively foster their access, progress, and graduation from the program.</w:t>
            </w:r>
          </w:p>
        </w:tc>
        <w:tc>
          <w:tcPr>
            <w:tcW w:w="2504" w:type="pct"/>
            <w:gridSpan w:val="2"/>
            <w:tcBorders>
              <w:top w:val="single" w:sz="12" w:space="0" w:color="CCCCCC"/>
              <w:left w:val="single" w:sz="12" w:space="0" w:color="CCCCCC"/>
              <w:bottom w:val="single" w:sz="12" w:space="0" w:color="CCCCCC"/>
              <w:right w:val="single" w:sz="12" w:space="0" w:color="CCCCCC"/>
            </w:tcBorders>
            <w:tcMar>
              <w:top w:w="150" w:type="dxa"/>
              <w:left w:w="150" w:type="dxa"/>
              <w:bottom w:w="150" w:type="dxa"/>
              <w:right w:w="150" w:type="dxa"/>
            </w:tcMar>
          </w:tcPr>
          <w:p w14:paraId="0040C86A" w14:textId="67987F78" w:rsidR="6049E9AC" w:rsidRPr="00550E1F" w:rsidRDefault="00FE2C9B" w:rsidP="007C3D1C">
            <w:pPr>
              <w:pStyle w:val="BodyText3"/>
              <w:rPr>
                <w:rFonts w:ascii="Aptos" w:hAnsi="Aptos"/>
              </w:rPr>
            </w:pPr>
            <w:r w:rsidRPr="00550E1F">
              <w:rPr>
                <w:rFonts w:ascii="Aptos" w:hAnsi="Aptos"/>
              </w:rPr>
              <w:t>Springfield</w:t>
            </w:r>
            <w:r w:rsidR="6049E9AC" w:rsidRPr="00550E1F">
              <w:rPr>
                <w:rFonts w:ascii="Aptos" w:hAnsi="Aptos"/>
              </w:rPr>
              <w:t xml:space="preserve"> College, recognizing the increase in Spanish-dominant speakers enrolling in recent years in their counseling program, has taken proactive steps to support these students by hiring a Spanish-bilingual faculty member. This faculty member not only instructs courses in Spanish but also serves as a program supervisor, offering bilingual coaching thus honoring candidates’ distinctive identities and building upon their linguistic strengths.</w:t>
            </w:r>
          </w:p>
        </w:tc>
      </w:tr>
    </w:tbl>
    <w:p w14:paraId="112B3726" w14:textId="1C7D33A6" w:rsidR="6049E9AC" w:rsidRPr="00550E1F" w:rsidRDefault="6049E9AC" w:rsidP="00F72DE4">
      <w:pPr>
        <w:pStyle w:val="Heading3"/>
        <w:rPr>
          <w:rFonts w:ascii="Aptos" w:hAnsi="Aptos"/>
        </w:rPr>
      </w:pPr>
      <w:r w:rsidRPr="00550E1F">
        <w:rPr>
          <w:rFonts w:ascii="Aptos" w:hAnsi="Aptos"/>
        </w:rPr>
        <w:t>Tools and Resources</w:t>
      </w:r>
    </w:p>
    <w:p w14:paraId="495AE285" w14:textId="77FE0F1E" w:rsidR="6049E9AC" w:rsidRPr="00550E1F" w:rsidRDefault="6049E9AC" w:rsidP="00F72DE4">
      <w:pPr>
        <w:pStyle w:val="ListBullet"/>
        <w:keepNext/>
        <w:spacing w:after="0"/>
        <w:rPr>
          <w:rFonts w:ascii="Aptos" w:hAnsi="Aptos"/>
        </w:rPr>
      </w:pPr>
      <w:hyperlink r:id="rId45">
        <w:r w:rsidRPr="00550E1F">
          <w:rPr>
            <w:rStyle w:val="Hyperlink"/>
            <w:rFonts w:ascii="Aptos" w:hAnsi="Aptos"/>
            <w:color w:val="0563C1"/>
            <w:u w:val="none"/>
          </w:rPr>
          <w:t>MA DESE Resources</w:t>
        </w:r>
      </w:hyperlink>
      <w:r w:rsidRPr="00550E1F">
        <w:rPr>
          <w:rFonts w:ascii="Aptos" w:hAnsi="Aptos"/>
        </w:rPr>
        <w:t xml:space="preserve"> for Multi-Tiered Systems of Support (MTSS)</w:t>
      </w:r>
    </w:p>
    <w:p w14:paraId="68583CE6" w14:textId="32CF36CF" w:rsidR="6049E9AC" w:rsidRDefault="6049E9AC" w:rsidP="00F72DE4">
      <w:pPr>
        <w:pStyle w:val="ListBullet"/>
        <w:keepNext/>
        <w:spacing w:after="0"/>
      </w:pPr>
      <w:hyperlink w:anchor="_Springfield_College_Resources" w:history="1">
        <w:r w:rsidRPr="00550E1F">
          <w:rPr>
            <w:rStyle w:val="Hyperlink"/>
            <w:rFonts w:ascii="Aptos" w:hAnsi="Aptos"/>
          </w:rPr>
          <w:t>Social-Emotional Supports for Teacher Candidates</w:t>
        </w:r>
      </w:hyperlink>
      <w:r w:rsidRPr="00550E1F">
        <w:rPr>
          <w:rFonts w:ascii="Aptos" w:hAnsi="Aptos"/>
        </w:rPr>
        <w:t xml:space="preserve"> (Springfield College)</w:t>
      </w:r>
      <w:r w:rsidR="00646022">
        <w:br w:type="page"/>
      </w:r>
    </w:p>
    <w:bookmarkStart w:id="23" w:name="_Toc170286770"/>
    <w:bookmarkStart w:id="24" w:name="_Toc170287936"/>
    <w:bookmarkStart w:id="25" w:name="_Toc170815044"/>
    <w:bookmarkStart w:id="26" w:name="_Toc170821846"/>
    <w:bookmarkStart w:id="27" w:name="_Toc170822500"/>
    <w:bookmarkStart w:id="28" w:name="_Toc170822894"/>
    <w:p w14:paraId="1D637C1A" w14:textId="02CE7BB5" w:rsidR="00EB20B6" w:rsidRDefault="003C26D5" w:rsidP="00EB20B6">
      <w:pPr>
        <w:pStyle w:val="Heading2a"/>
        <w:rPr>
          <w:rFonts w:eastAsia="Libre Franklin" w:cs="Libre Franklin"/>
          <w:color w:val="000000" w:themeColor="text1"/>
          <w:sz w:val="20"/>
          <w:szCs w:val="20"/>
        </w:rPr>
      </w:pPr>
      <w:r>
        <w:rPr>
          <w:noProof/>
        </w:rPr>
        <mc:AlternateContent>
          <mc:Choice Requires="wps">
            <w:drawing>
              <wp:anchor distT="0" distB="0" distL="114300" distR="114300" simplePos="0" relativeHeight="251658243" behindDoc="0" locked="0" layoutInCell="1" allowOverlap="1" wp14:anchorId="16A3C9A9" wp14:editId="7D03CCCF">
                <wp:simplePos x="0" y="0"/>
                <wp:positionH relativeFrom="column">
                  <wp:posOffset>5987</wp:posOffset>
                </wp:positionH>
                <wp:positionV relativeFrom="paragraph">
                  <wp:posOffset>-93345</wp:posOffset>
                </wp:positionV>
                <wp:extent cx="6400800" cy="365760"/>
                <wp:effectExtent l="0" t="0" r="0" b="2540"/>
                <wp:wrapNone/>
                <wp:docPr id="1491000993" name="Text Box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2397ECE7" w14:textId="48FED610" w:rsidR="00575AC2" w:rsidRPr="00550E1F" w:rsidRDefault="00591FF2" w:rsidP="003C26D5">
                            <w:pPr>
                              <w:pStyle w:val="Heading2a"/>
                              <w:rPr>
                                <w:sz w:val="36"/>
                                <w:szCs w:val="56"/>
                              </w:rPr>
                            </w:pPr>
                            <w:bookmarkStart w:id="29" w:name="_Toc170897336"/>
                            <w:r w:rsidRPr="00550E1F">
                              <w:rPr>
                                <w:sz w:val="36"/>
                                <w:szCs w:val="56"/>
                              </w:rPr>
                              <w:t>The</w:t>
                            </w:r>
                            <w:r w:rsidR="006F6154" w:rsidRPr="00550E1F">
                              <w:rPr>
                                <w:sz w:val="36"/>
                                <w:szCs w:val="56"/>
                              </w:rPr>
                              <w:t xml:space="preserve"> </w:t>
                            </w:r>
                            <w:r w:rsidR="00575AC2" w:rsidRPr="00550E1F">
                              <w:rPr>
                                <w:sz w:val="36"/>
                                <w:szCs w:val="56"/>
                              </w:rPr>
                              <w:t>Partnerships</w:t>
                            </w:r>
                            <w:r w:rsidR="006F6154" w:rsidRPr="00550E1F">
                              <w:rPr>
                                <w:sz w:val="36"/>
                                <w:szCs w:val="56"/>
                              </w:rPr>
                              <w:t xml:space="preserve"> Domain</w:t>
                            </w:r>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3C9A9" id="_x0000_s1029" type="#_x0000_t202" style="position:absolute;margin-left:.45pt;margin-top:-7.35pt;width:7in;height:2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" fillcolor="#1f3763 [1604]" stroked="f" strokeweight=".5pt">
                <v:textbox>
                  <w:txbxContent>
                    <w:p w14:paraId="2397ECE7" w14:textId="48FED610" w:rsidR="00575AC2" w:rsidRPr="00550E1F" w:rsidRDefault="00591FF2" w:rsidP="003C26D5">
                      <w:pPr>
                        <w:pStyle w:val="Heading2a"/>
                        <w:rPr>
                          <w:sz w:val="36"/>
                          <w:szCs w:val="56"/>
                        </w:rPr>
                      </w:pPr>
                      <w:bookmarkStart w:id="34" w:name="_Toc170897336"/>
                      <w:r w:rsidRPr="00550E1F">
                        <w:rPr>
                          <w:sz w:val="36"/>
                          <w:szCs w:val="56"/>
                        </w:rPr>
                        <w:t>The</w:t>
                      </w:r>
                      <w:r w:rsidR="006F6154" w:rsidRPr="00550E1F">
                        <w:rPr>
                          <w:sz w:val="36"/>
                          <w:szCs w:val="56"/>
                        </w:rPr>
                        <w:t xml:space="preserve"> </w:t>
                      </w:r>
                      <w:r w:rsidR="00575AC2" w:rsidRPr="00550E1F">
                        <w:rPr>
                          <w:sz w:val="36"/>
                          <w:szCs w:val="56"/>
                        </w:rPr>
                        <w:t>Partnerships</w:t>
                      </w:r>
                      <w:r w:rsidR="006F6154" w:rsidRPr="00550E1F">
                        <w:rPr>
                          <w:sz w:val="36"/>
                          <w:szCs w:val="56"/>
                        </w:rPr>
                        <w:t xml:space="preserve"> Domain</w:t>
                      </w:r>
                      <w:bookmarkEnd w:id="34"/>
                    </w:p>
                  </w:txbxContent>
                </v:textbox>
              </v:shape>
            </w:pict>
          </mc:Fallback>
        </mc:AlternateContent>
      </w:r>
      <w:r w:rsidR="00CF648D" w:rsidRPr="008E2A84">
        <w:rPr>
          <w:noProof/>
        </w:rPr>
        <mc:AlternateContent>
          <mc:Choice Requires="wps">
            <w:drawing>
              <wp:anchor distT="0" distB="0" distL="114300" distR="114300" simplePos="0" relativeHeight="251658254" behindDoc="0" locked="0" layoutInCell="1" allowOverlap="1" wp14:anchorId="10D17CEE" wp14:editId="479B707D">
                <wp:simplePos x="0" y="0"/>
                <wp:positionH relativeFrom="column">
                  <wp:posOffset>5715</wp:posOffset>
                </wp:positionH>
                <wp:positionV relativeFrom="paragraph">
                  <wp:posOffset>290014</wp:posOffset>
                </wp:positionV>
                <wp:extent cx="6400800" cy="0"/>
                <wp:effectExtent l="0" t="12700" r="25400" b="25400"/>
                <wp:wrapNone/>
                <wp:docPr id="40325010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9733D8" id="Straight Connector 1" o:spid="_x0000_s1026" alt="&quot;&quot;" style="position:absolute;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2.85pt" to="504.4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" strokecolor="#8c1176" strokeweight="3pt">
                <v:stroke joinstyle="miter"/>
              </v:line>
            </w:pict>
          </mc:Fallback>
        </mc:AlternateContent>
      </w:r>
      <w:bookmarkEnd w:id="23"/>
      <w:bookmarkEnd w:id="24"/>
      <w:bookmarkEnd w:id="25"/>
      <w:bookmarkEnd w:id="26"/>
      <w:bookmarkEnd w:id="27"/>
      <w:bookmarkEnd w:id="28"/>
    </w:p>
    <w:p w14:paraId="49490014" w14:textId="77777777" w:rsidR="00EB20B6" w:rsidRPr="00EB20B6" w:rsidRDefault="00EB20B6" w:rsidP="00EB20B6">
      <w:pPr>
        <w:pStyle w:val="Heading2a"/>
        <w:rPr>
          <w:rFonts w:eastAsia="Libre Franklin" w:cs="Libre Franklin"/>
          <w:color w:val="000000" w:themeColor="text1"/>
          <w:sz w:val="20"/>
          <w:szCs w:val="20"/>
        </w:rPr>
      </w:pPr>
    </w:p>
    <w:p w14:paraId="3CCABA59" w14:textId="158EABDA" w:rsidR="6049E9AC" w:rsidRPr="00550E1F" w:rsidRDefault="6049E9AC" w:rsidP="0098143B">
      <w:pPr>
        <w:pStyle w:val="Paragraph-AfterList"/>
        <w:ind w:right="144"/>
        <w:rPr>
          <w:rFonts w:ascii="Aptos" w:hAnsi="Aptos"/>
        </w:rPr>
      </w:pPr>
      <w:r w:rsidRPr="00550E1F">
        <w:rPr>
          <w:rFonts w:ascii="Aptos" w:hAnsi="Aptos"/>
        </w:rPr>
        <w:t>Sponsoring organizations should maintain effective partnerships with PK-12 schools/districts. Effective partnerships go beyond transactional relationships; they are mutually beneficial, sustainable relationships built upon open lines of communication, data sharing, and collaborative decision-making, such that they remain responsive to both preparation program and PK-12 school/district needs.</w:t>
      </w:r>
    </w:p>
    <w:p w14:paraId="43A7D714" w14:textId="77777777" w:rsidR="001B2B01" w:rsidRDefault="6049E9AC" w:rsidP="0098143B">
      <w:pPr>
        <w:ind w:right="144"/>
        <w:rPr>
          <w:rFonts w:eastAsia="Libre Franklin" w:cs="Libre Franklin"/>
          <w:color w:val="163A42"/>
        </w:rPr>
      </w:pPr>
      <w:r>
        <w:rPr>
          <w:noProof/>
        </w:rPr>
        <w:drawing>
          <wp:inline distT="0" distB="0" distL="0" distR="0" wp14:anchorId="77FD1764" wp14:editId="7A7928C9">
            <wp:extent cx="5746902" cy="2560320"/>
            <wp:effectExtent l="0" t="0" r="6350" b="5080"/>
            <wp:docPr id="733369160" name="Picture 733369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69160" name="Picture 73336916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5746902" cy="2560320"/>
                    </a:xfrm>
                    <a:prstGeom prst="rect">
                      <a:avLst/>
                    </a:prstGeom>
                  </pic:spPr>
                </pic:pic>
              </a:graphicData>
            </a:graphic>
          </wp:inline>
        </w:drawing>
      </w:r>
    </w:p>
    <w:p w14:paraId="5E8CFF36" w14:textId="2E189CB7" w:rsidR="6049E9AC" w:rsidRPr="00550E1F" w:rsidRDefault="6049E9AC" w:rsidP="005F2E4A">
      <w:pPr>
        <w:pStyle w:val="Heading3"/>
        <w:rPr>
          <w:rFonts w:ascii="Aptos" w:hAnsi="Aptos"/>
        </w:rPr>
      </w:pPr>
      <w:bookmarkStart w:id="30" w:name="_How_can_strong_1"/>
      <w:bookmarkEnd w:id="30"/>
      <w:r w:rsidRPr="00550E1F">
        <w:rPr>
          <w:rFonts w:ascii="Aptos" w:hAnsi="Aptos"/>
        </w:rPr>
        <w:t>How can strong partnerships support candidates’ field-based experiences?</w:t>
      </w:r>
    </w:p>
    <w:p w14:paraId="499650CF" w14:textId="242922A9" w:rsidR="6049E9AC" w:rsidRPr="00550E1F" w:rsidRDefault="6049E9AC" w:rsidP="007C3D1C">
      <w:pPr>
        <w:pStyle w:val="BodyText2"/>
        <w:rPr>
          <w:rFonts w:ascii="Aptos" w:hAnsi="Aptos"/>
          <w:sz w:val="24"/>
          <w:szCs w:val="24"/>
        </w:rPr>
      </w:pPr>
      <w:r w:rsidRPr="00550E1F">
        <w:rPr>
          <w:rFonts w:ascii="Aptos" w:hAnsi="Aptos"/>
          <w:sz w:val="24"/>
          <w:szCs w:val="24"/>
        </w:rPr>
        <w:t xml:space="preserve">Strong partnerships between sponsoring organizations and PK-12 schools/districts foster opportunities to develop shared expectations of effective practice and support educators at different points in their career to meet those expectations. This strengthens educator candidates’ preparation by providing authentic experiences to observe, practice, and </w:t>
      </w:r>
      <w:r w:rsidR="00E0573E" w:rsidRPr="00550E1F">
        <w:rPr>
          <w:rFonts w:ascii="Aptos" w:hAnsi="Aptos"/>
          <w:sz w:val="24"/>
          <w:szCs w:val="24"/>
        </w:rPr>
        <w:t>receive</w:t>
      </w:r>
      <w:r w:rsidRPr="00550E1F">
        <w:rPr>
          <w:rFonts w:ascii="Aptos" w:hAnsi="Aptos"/>
          <w:sz w:val="24"/>
          <w:szCs w:val="24"/>
        </w:rPr>
        <w:t xml:space="preserve"> feedback on what they learn through coursework. Culturally responsive and anti-racist partnerships honor educator candidates’ identities, support candidates to value PK-12 students’ identities, and prepare educators that will support all students to thrive. Features of strong partnerships can include:</w:t>
      </w:r>
    </w:p>
    <w:p w14:paraId="33F252FE" w14:textId="4B977063" w:rsidR="00105518" w:rsidRPr="00550E1F" w:rsidRDefault="00105518" w:rsidP="0098143B">
      <w:pPr>
        <w:pStyle w:val="ListBullet"/>
        <w:spacing w:after="0"/>
        <w:rPr>
          <w:rFonts w:ascii="Aptos" w:hAnsi="Aptos"/>
          <w:sz w:val="24"/>
          <w:szCs w:val="24"/>
        </w:rPr>
      </w:pPr>
      <w:r w:rsidRPr="00550E1F">
        <w:rPr>
          <w:rFonts w:ascii="Aptos" w:hAnsi="Aptos"/>
          <w:b/>
          <w:bCs w:val="0"/>
          <w:color w:val="1F3864" w:themeColor="accent1" w:themeShade="80"/>
          <w:sz w:val="24"/>
          <w:szCs w:val="24"/>
        </w:rPr>
        <w:t>Attending to “Strong Equity” in partnerships:</w:t>
      </w:r>
      <w:r w:rsidRPr="00550E1F">
        <w:rPr>
          <w:rFonts w:ascii="Aptos" w:hAnsi="Aptos"/>
          <w:color w:val="1F3864" w:themeColor="accent1" w:themeShade="80"/>
          <w:sz w:val="24"/>
          <w:szCs w:val="24"/>
        </w:rPr>
        <w:t xml:space="preserve"> </w:t>
      </w:r>
      <w:r w:rsidRPr="00550E1F">
        <w:rPr>
          <w:rFonts w:ascii="Aptos" w:hAnsi="Aptos"/>
          <w:sz w:val="24"/>
          <w:szCs w:val="24"/>
        </w:rPr>
        <w:t>Strong equity consists of four interrelated and mutually reinforcing concepts that support equitable access</w:t>
      </w:r>
      <w:r w:rsidR="00744458" w:rsidRPr="00550E1F">
        <w:rPr>
          <w:rFonts w:ascii="Aptos" w:hAnsi="Aptos"/>
          <w:sz w:val="24"/>
          <w:szCs w:val="24"/>
        </w:rPr>
        <w:t xml:space="preserve"> – redistribution</w:t>
      </w:r>
      <w:r w:rsidR="00AC30CE" w:rsidRPr="00550E1F">
        <w:rPr>
          <w:rFonts w:ascii="Aptos" w:hAnsi="Aptos"/>
          <w:sz w:val="24"/>
          <w:szCs w:val="24"/>
        </w:rPr>
        <w:t xml:space="preserve"> of resources and opportunities</w:t>
      </w:r>
      <w:r w:rsidR="00744458" w:rsidRPr="00550E1F">
        <w:rPr>
          <w:rFonts w:ascii="Aptos" w:hAnsi="Aptos"/>
          <w:sz w:val="24"/>
          <w:szCs w:val="24"/>
        </w:rPr>
        <w:t>, recognition</w:t>
      </w:r>
      <w:r w:rsidR="008872D3" w:rsidRPr="00550E1F">
        <w:rPr>
          <w:rFonts w:ascii="Aptos" w:hAnsi="Aptos"/>
          <w:sz w:val="24"/>
          <w:szCs w:val="24"/>
        </w:rPr>
        <w:t xml:space="preserve"> of the values of minoritized groups</w:t>
      </w:r>
      <w:r w:rsidR="00744458" w:rsidRPr="00550E1F">
        <w:rPr>
          <w:rFonts w:ascii="Aptos" w:hAnsi="Aptos"/>
          <w:sz w:val="24"/>
          <w:szCs w:val="24"/>
        </w:rPr>
        <w:t>, representation</w:t>
      </w:r>
      <w:r w:rsidR="00B92F09" w:rsidRPr="00550E1F">
        <w:rPr>
          <w:rFonts w:ascii="Aptos" w:hAnsi="Aptos"/>
          <w:sz w:val="24"/>
          <w:szCs w:val="24"/>
        </w:rPr>
        <w:t xml:space="preserve"> in establishment of norms and practices</w:t>
      </w:r>
      <w:r w:rsidR="00744458" w:rsidRPr="00550E1F">
        <w:rPr>
          <w:rFonts w:ascii="Aptos" w:hAnsi="Aptos"/>
          <w:sz w:val="24"/>
          <w:szCs w:val="24"/>
        </w:rPr>
        <w:t>, and reframing</w:t>
      </w:r>
      <w:r w:rsidR="00545ABA" w:rsidRPr="00550E1F">
        <w:rPr>
          <w:rFonts w:ascii="Aptos" w:hAnsi="Aptos"/>
          <w:sz w:val="24"/>
          <w:szCs w:val="24"/>
        </w:rPr>
        <w:t xml:space="preserve"> assumptions</w:t>
      </w:r>
      <w:r w:rsidR="00744458" w:rsidRPr="00550E1F">
        <w:rPr>
          <w:rFonts w:ascii="Aptos" w:hAnsi="Aptos"/>
          <w:sz w:val="24"/>
          <w:szCs w:val="24"/>
        </w:rPr>
        <w:t xml:space="preserve">. </w:t>
      </w:r>
      <w:r w:rsidRPr="00550E1F">
        <w:rPr>
          <w:rFonts w:ascii="Aptos" w:hAnsi="Aptos"/>
          <w:sz w:val="24"/>
          <w:szCs w:val="24"/>
        </w:rPr>
        <w:t xml:space="preserve">In partnerships, </w:t>
      </w:r>
      <w:r w:rsidR="008F246E" w:rsidRPr="00550E1F">
        <w:rPr>
          <w:rFonts w:ascii="Aptos" w:hAnsi="Aptos"/>
          <w:sz w:val="24"/>
          <w:szCs w:val="24"/>
        </w:rPr>
        <w:t xml:space="preserve">strong equity </w:t>
      </w:r>
      <w:r w:rsidRPr="00550E1F">
        <w:rPr>
          <w:rFonts w:ascii="Aptos" w:hAnsi="Aptos"/>
          <w:sz w:val="24"/>
          <w:szCs w:val="24"/>
        </w:rPr>
        <w:t>can be reflected in the representation of all voices</w:t>
      </w:r>
      <w:r w:rsidR="00C74EC9" w:rsidRPr="00550E1F">
        <w:rPr>
          <w:rFonts w:ascii="Aptos" w:hAnsi="Aptos"/>
          <w:sz w:val="24"/>
          <w:szCs w:val="24"/>
        </w:rPr>
        <w:t>, particularly minoritized voices,</w:t>
      </w:r>
      <w:r w:rsidRPr="00550E1F">
        <w:rPr>
          <w:rFonts w:ascii="Aptos" w:hAnsi="Aptos"/>
          <w:sz w:val="24"/>
          <w:szCs w:val="24"/>
        </w:rPr>
        <w:t xml:space="preserve"> in decision-making or to inform the redistribution of resources and supports (Cochran-Smith &amp; Keefe, 2022).</w:t>
      </w:r>
    </w:p>
    <w:p w14:paraId="7266A8B8" w14:textId="77777777" w:rsidR="00105518" w:rsidRPr="00550E1F" w:rsidRDefault="00105518" w:rsidP="0098143B">
      <w:pPr>
        <w:pStyle w:val="ListBullet"/>
        <w:spacing w:after="0"/>
        <w:rPr>
          <w:rFonts w:ascii="Aptos" w:hAnsi="Aptos"/>
          <w:sz w:val="24"/>
          <w:szCs w:val="24"/>
        </w:rPr>
      </w:pPr>
      <w:r w:rsidRPr="00550E1F">
        <w:rPr>
          <w:rFonts w:ascii="Aptos" w:hAnsi="Aptos"/>
          <w:b/>
          <w:bCs w:val="0"/>
          <w:color w:val="1F3864" w:themeColor="accent1" w:themeShade="80"/>
          <w:sz w:val="24"/>
          <w:szCs w:val="24"/>
        </w:rPr>
        <w:t xml:space="preserve">Explicitly acknowledging oppressive systems and working to disrupt them within the collaboration: </w:t>
      </w:r>
      <w:r w:rsidRPr="00550E1F">
        <w:rPr>
          <w:rFonts w:ascii="Aptos" w:hAnsi="Aptos"/>
          <w:sz w:val="24"/>
          <w:szCs w:val="24"/>
        </w:rPr>
        <w:t>This includes questioning existing processes, who they serve, and development of new structural approaches (Hill-Jackson, 2023).</w:t>
      </w:r>
    </w:p>
    <w:p w14:paraId="6763A1DD" w14:textId="0A45657A" w:rsidR="00105518" w:rsidRPr="00550E1F" w:rsidRDefault="00105518" w:rsidP="0098143B">
      <w:pPr>
        <w:pStyle w:val="ListBullet"/>
        <w:spacing w:after="0"/>
        <w:rPr>
          <w:rFonts w:ascii="Aptos" w:hAnsi="Aptos"/>
          <w:sz w:val="24"/>
          <w:szCs w:val="24"/>
        </w:rPr>
      </w:pPr>
      <w:r w:rsidRPr="00550E1F">
        <w:rPr>
          <w:rFonts w:ascii="Aptos" w:hAnsi="Aptos"/>
          <w:b/>
          <w:bCs w:val="0"/>
          <w:color w:val="1F3864" w:themeColor="accent1" w:themeShade="80"/>
          <w:sz w:val="24"/>
          <w:szCs w:val="24"/>
        </w:rPr>
        <w:t>Venturing out of your comfort zone:</w:t>
      </w:r>
      <w:r w:rsidRPr="00550E1F">
        <w:rPr>
          <w:rFonts w:ascii="Aptos" w:hAnsi="Aptos"/>
          <w:color w:val="1F3864" w:themeColor="accent1" w:themeShade="80"/>
          <w:sz w:val="24"/>
          <w:szCs w:val="24"/>
        </w:rPr>
        <w:t xml:space="preserve"> </w:t>
      </w:r>
      <w:r w:rsidRPr="00550E1F">
        <w:rPr>
          <w:rFonts w:ascii="Aptos" w:hAnsi="Aptos"/>
          <w:sz w:val="24"/>
          <w:szCs w:val="24"/>
        </w:rPr>
        <w:t xml:space="preserve">Moving away from what is familiar and comfortable to a place where tensions, contradictions, uncertainty, and discomfort are welcome can bring about meaningful change for the partnership, educator candidates, and PK-12 students. This involves taking time to consider approaches </w:t>
      </w:r>
      <w:r w:rsidR="004E379C" w:rsidRPr="00550E1F">
        <w:rPr>
          <w:rFonts w:ascii="Aptos" w:hAnsi="Aptos"/>
          <w:sz w:val="24"/>
          <w:szCs w:val="24"/>
        </w:rPr>
        <w:t xml:space="preserve">to sustaining partnerships </w:t>
      </w:r>
      <w:r w:rsidRPr="00550E1F">
        <w:rPr>
          <w:rFonts w:ascii="Aptos" w:hAnsi="Aptos"/>
          <w:sz w:val="24"/>
          <w:szCs w:val="24"/>
        </w:rPr>
        <w:t>that challenge the status quo and advance equity (</w:t>
      </w:r>
      <w:proofErr w:type="spellStart"/>
      <w:r w:rsidRPr="00550E1F">
        <w:rPr>
          <w:rFonts w:ascii="Aptos" w:hAnsi="Aptos"/>
          <w:sz w:val="24"/>
          <w:szCs w:val="24"/>
        </w:rPr>
        <w:t>Kumashiro</w:t>
      </w:r>
      <w:proofErr w:type="spellEnd"/>
      <w:r w:rsidRPr="00550E1F">
        <w:rPr>
          <w:rFonts w:ascii="Aptos" w:hAnsi="Aptos"/>
          <w:sz w:val="24"/>
          <w:szCs w:val="24"/>
        </w:rPr>
        <w:t>, 2013).</w:t>
      </w:r>
    </w:p>
    <w:p w14:paraId="743E93AE" w14:textId="2C0E79EF" w:rsidR="00105518" w:rsidRPr="00105518" w:rsidRDefault="00105518" w:rsidP="00105518">
      <w:pPr>
        <w:spacing w:before="0" w:after="0"/>
        <w:rPr>
          <w:rFonts w:asciiTheme="minorHAnsi" w:eastAsia="Libre Franklin" w:hAnsiTheme="minorHAnsi" w:cs="Libre Franklin"/>
          <w:bCs/>
          <w:color w:val="000000" w:themeColor="text1"/>
          <w:sz w:val="22"/>
          <w:szCs w:val="20"/>
        </w:rPr>
      </w:pPr>
    </w:p>
    <w:p w14:paraId="74458142" w14:textId="77777777" w:rsidR="00105518" w:rsidRPr="00550E1F" w:rsidRDefault="00105518" w:rsidP="0004299F">
      <w:pPr>
        <w:pStyle w:val="HighlightText"/>
        <w:jc w:val="center"/>
        <w:rPr>
          <w:rFonts w:ascii="Aptos" w:hAnsi="Aptos"/>
          <w:b/>
          <w:bCs/>
          <w:color w:val="1F3864" w:themeColor="accent1" w:themeShade="80"/>
        </w:rPr>
      </w:pPr>
      <w:r w:rsidRPr="00550E1F">
        <w:rPr>
          <w:rFonts w:ascii="Aptos" w:hAnsi="Aptos"/>
          <w:b/>
          <w:bCs/>
          <w:color w:val="1F3864" w:themeColor="accent1" w:themeShade="80"/>
        </w:rPr>
        <w:t>Why do strong partnerships matter?</w:t>
      </w:r>
    </w:p>
    <w:p w14:paraId="297CC959" w14:textId="3562C3CB" w:rsidR="00105518" w:rsidRPr="00550E1F" w:rsidRDefault="00105518" w:rsidP="00105518">
      <w:pPr>
        <w:pStyle w:val="HighlightText"/>
        <w:rPr>
          <w:rFonts w:ascii="Aptos" w:hAnsi="Aptos"/>
        </w:rPr>
      </w:pPr>
      <w:r w:rsidRPr="00550E1F">
        <w:rPr>
          <w:rFonts w:ascii="Aptos" w:hAnsi="Aptos"/>
        </w:rPr>
        <w:t>Strong partnerships are essential to educator preparation and fundamental to ensuring that candidates are well-. Strong partnerships integrate culturally responsive and anti-racist framing, structures, and practices, and value candidates’ humanity. This focus can more adequately reflect the identities and values of the larger school community, thus facilitating more effective learning experiences for education candidates (Marchitello &amp; Trinidad, 2019).</w:t>
      </w:r>
    </w:p>
    <w:p w14:paraId="29609718" w14:textId="3A7655AE" w:rsidR="6049E9AC" w:rsidRDefault="6049E9AC" w:rsidP="007C3D1C">
      <w:pPr>
        <w:pStyle w:val="Heading3"/>
      </w:pPr>
      <w:r w:rsidRPr="6049E9AC">
        <w:t>Promising Practices</w:t>
      </w:r>
      <w:r w:rsidR="00EA493E">
        <w:t xml:space="preserve"> for the Partnerships Domain</w:t>
      </w:r>
    </w:p>
    <w:p w14:paraId="4046AFE1" w14:textId="3FBFCD37" w:rsidR="00935741" w:rsidRPr="00550E1F" w:rsidRDefault="00935741" w:rsidP="00935741">
      <w:pPr>
        <w:pStyle w:val="TableTitle"/>
        <w:rPr>
          <w:rFonts w:ascii="Aptos" w:hAnsi="Aptos"/>
        </w:rPr>
      </w:pPr>
      <w:bookmarkStart w:id="31" w:name="_Toc49340280"/>
      <w:bookmarkStart w:id="32" w:name="_Toc49340330"/>
      <w:bookmarkStart w:id="33" w:name="_Toc55557381"/>
      <w:r w:rsidRPr="00550E1F">
        <w:rPr>
          <w:rFonts w:ascii="Aptos" w:hAnsi="Aptos"/>
        </w:rPr>
        <w:t>Establish a Foundation Focused on Strong Equity</w:t>
      </w:r>
      <w:bookmarkEnd w:id="31"/>
      <w:bookmarkEnd w:id="32"/>
      <w:bookmarkEnd w:id="33"/>
    </w:p>
    <w:tbl>
      <w:tblPr>
        <w:tblW w:w="5000" w:type="pct"/>
        <w:tblLook w:val="06A0" w:firstRow="1" w:lastRow="0" w:firstColumn="1" w:lastColumn="0" w:noHBand="1" w:noVBand="1"/>
      </w:tblPr>
      <w:tblGrid>
        <w:gridCol w:w="5089"/>
        <w:gridCol w:w="8"/>
        <w:gridCol w:w="5097"/>
      </w:tblGrid>
      <w:tr w:rsidR="00935741" w:rsidRPr="00AC2C89" w14:paraId="77E202D9" w14:textId="77777777" w:rsidTr="00385C0C">
        <w:trPr>
          <w:trHeight w:hRule="exact" w:val="576"/>
        </w:trPr>
        <w:tc>
          <w:tcPr>
            <w:tcW w:w="2500" w:type="pct"/>
            <w:gridSpan w:val="2"/>
            <w:tcBorders>
              <w:top w:val="single" w:sz="12" w:space="0" w:color="CCCCCC"/>
              <w:left w:val="single" w:sz="12" w:space="0" w:color="CCCCCC"/>
              <w:bottom w:val="single" w:sz="12" w:space="0" w:color="CCCCCC"/>
              <w:right w:val="single" w:sz="12" w:space="0" w:color="CCCCCC"/>
            </w:tcBorders>
            <w:shd w:val="clear" w:color="auto" w:fill="1F3864" w:themeFill="accent1" w:themeFillShade="80"/>
            <w:tcMar>
              <w:top w:w="150" w:type="dxa"/>
              <w:left w:w="150" w:type="dxa"/>
              <w:bottom w:w="150" w:type="dxa"/>
              <w:right w:w="150" w:type="dxa"/>
            </w:tcMar>
          </w:tcPr>
          <w:p w14:paraId="30251404" w14:textId="4BE06DB0"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CCCCCC"/>
              <w:left w:val="single" w:sz="12" w:space="0" w:color="CCCCCC"/>
              <w:bottom w:val="single" w:sz="12" w:space="0" w:color="CCCCCC"/>
              <w:right w:val="single" w:sz="12" w:space="0" w:color="CCCCCC"/>
            </w:tcBorders>
            <w:shd w:val="clear" w:color="auto" w:fill="1F3864" w:themeFill="accent1" w:themeFillShade="80"/>
          </w:tcPr>
          <w:p w14:paraId="6A647087" w14:textId="449D1D7D" w:rsidR="00935741" w:rsidRPr="00550E1F" w:rsidRDefault="00935741" w:rsidP="009B6FAD">
            <w:pPr>
              <w:pStyle w:val="TableHeaderRow"/>
              <w:rPr>
                <w:rFonts w:ascii="Aptos" w:hAnsi="Aptos"/>
              </w:rPr>
            </w:pPr>
            <w:r w:rsidRPr="00550E1F">
              <w:rPr>
                <w:rFonts w:ascii="Aptos" w:hAnsi="Aptos"/>
              </w:rPr>
              <w:t>Example</w:t>
            </w:r>
          </w:p>
        </w:tc>
      </w:tr>
      <w:tr w:rsidR="6049E9AC" w:rsidRPr="00AC2C89" w14:paraId="6EACFDAB" w14:textId="77777777" w:rsidTr="00385C0C">
        <w:trPr>
          <w:trHeight w:val="300"/>
        </w:trPr>
        <w:tc>
          <w:tcPr>
            <w:tcW w:w="2496" w:type="pct"/>
            <w:tcBorders>
              <w:top w:val="single" w:sz="12" w:space="0" w:color="CCCCCC"/>
              <w:left w:val="single" w:sz="12" w:space="0" w:color="CCCCCC"/>
              <w:bottom w:val="single" w:sz="12" w:space="0" w:color="DBDBDB" w:themeColor="accent3" w:themeTint="66"/>
              <w:right w:val="single" w:sz="12" w:space="0" w:color="CCCCCC"/>
            </w:tcBorders>
            <w:tcMar>
              <w:top w:w="150" w:type="dxa"/>
              <w:left w:w="150" w:type="dxa"/>
              <w:bottom w:w="150" w:type="dxa"/>
              <w:right w:w="150" w:type="dxa"/>
            </w:tcMar>
          </w:tcPr>
          <w:p w14:paraId="1C553026" w14:textId="61E5AE58" w:rsidR="6049E9AC" w:rsidRPr="00550E1F" w:rsidRDefault="6049E9AC" w:rsidP="007C3D1C">
            <w:pPr>
              <w:pStyle w:val="BodyText2"/>
              <w:rPr>
                <w:rFonts w:ascii="Aptos" w:hAnsi="Aptos"/>
              </w:rPr>
            </w:pPr>
            <w:r w:rsidRPr="00550E1F">
              <w:rPr>
                <w:rFonts w:ascii="Aptos" w:hAnsi="Aptos"/>
              </w:rPr>
              <w:t>Build a shared mission and vision with partner schools/districts based on culturally sustaining and anti-racist guiding principles. Begin new sponsoring organization-district partnerships by sharing your organization’s principles for partnering and discussing whether these principles align with the school district’s principles. If they are aligned, collaborate to establish a shared mission and vision for the partnership and identify action steps to achieve that vision (Torre Gibney et al., 2020).</w:t>
            </w:r>
          </w:p>
        </w:tc>
        <w:tc>
          <w:tcPr>
            <w:tcW w:w="2504" w:type="pct"/>
            <w:gridSpan w:val="2"/>
            <w:tcBorders>
              <w:top w:val="single" w:sz="12" w:space="0" w:color="CCCCCC"/>
              <w:left w:val="single" w:sz="12" w:space="0" w:color="CCCCCC"/>
              <w:bottom w:val="single" w:sz="12" w:space="0" w:color="DBDBDB" w:themeColor="accent3" w:themeTint="66"/>
              <w:right w:val="single" w:sz="12" w:space="0" w:color="CCCCCC"/>
            </w:tcBorders>
            <w:tcMar>
              <w:top w:w="150" w:type="dxa"/>
              <w:left w:w="150" w:type="dxa"/>
              <w:bottom w:w="150" w:type="dxa"/>
              <w:right w:w="150" w:type="dxa"/>
            </w:tcMar>
          </w:tcPr>
          <w:p w14:paraId="7752B502" w14:textId="7E748A23" w:rsidR="6049E9AC" w:rsidRPr="00550E1F" w:rsidRDefault="6049E9AC" w:rsidP="007C3D1C">
            <w:pPr>
              <w:pStyle w:val="BodyText3"/>
              <w:rPr>
                <w:rFonts w:ascii="Aptos" w:hAnsi="Aptos"/>
              </w:rPr>
            </w:pPr>
            <w:r w:rsidRPr="00550E1F">
              <w:rPr>
                <w:rFonts w:ascii="Aptos" w:hAnsi="Aptos"/>
              </w:rPr>
              <w:t>Stonehill College begins district partnerships by sharing their anti-racist, anti-oppressive, and social justice guiding principles to determine if they align with the district’s beliefs and guiding principles. They have a collaborative dialogue about whether the organizations’ respective principles are conducive to a strong partnership rather than asking districts to conform to the sponsoring organization’s model.</w:t>
            </w:r>
          </w:p>
        </w:tc>
      </w:tr>
    </w:tbl>
    <w:p w14:paraId="036BBCE6" w14:textId="2BA91F0D" w:rsidR="002E7870" w:rsidRPr="00550E1F" w:rsidRDefault="00935741" w:rsidP="00935741">
      <w:pPr>
        <w:pStyle w:val="TableTitle"/>
        <w:rPr>
          <w:rFonts w:ascii="Aptos" w:hAnsi="Aptos"/>
        </w:rPr>
      </w:pPr>
      <w:r w:rsidRPr="00550E1F">
        <w:rPr>
          <w:rFonts w:ascii="Aptos" w:hAnsi="Aptos"/>
        </w:rPr>
        <w:t>Collaborate to Disrupt and Reimagine Inequitable Systems</w:t>
      </w:r>
    </w:p>
    <w:tbl>
      <w:tblPr>
        <w:tblW w:w="5000" w:type="pct"/>
        <w:tblLook w:val="06A0" w:firstRow="1" w:lastRow="0" w:firstColumn="1" w:lastColumn="0" w:noHBand="1" w:noVBand="1"/>
      </w:tblPr>
      <w:tblGrid>
        <w:gridCol w:w="5089"/>
        <w:gridCol w:w="8"/>
        <w:gridCol w:w="5097"/>
      </w:tblGrid>
      <w:tr w:rsidR="00935741" w:rsidRPr="00AC2C89" w14:paraId="291DA061" w14:textId="77777777" w:rsidTr="1A406CC9">
        <w:trPr>
          <w:trHeight w:hRule="exact" w:val="576"/>
          <w:tblHeader/>
        </w:trPr>
        <w:tc>
          <w:tcPr>
            <w:tcW w:w="2500"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Mar>
              <w:top w:w="180" w:type="dxa"/>
              <w:left w:w="180" w:type="dxa"/>
              <w:bottom w:w="180" w:type="dxa"/>
              <w:right w:w="180" w:type="dxa"/>
            </w:tcMar>
            <w:vAlign w:val="center"/>
          </w:tcPr>
          <w:p w14:paraId="29F02B10" w14:textId="51C5C577" w:rsidR="00935741" w:rsidRPr="00550E1F" w:rsidRDefault="00935741" w:rsidP="00935741">
            <w:pPr>
              <w:pStyle w:val="TableHeaderRow"/>
              <w:rPr>
                <w:rFonts w:ascii="Aptos" w:hAnsi="Aptos"/>
              </w:rPr>
            </w:pPr>
            <w:r w:rsidRPr="00550E1F">
              <w:rPr>
                <w:rFonts w:ascii="Aptos" w:hAnsi="Aptos"/>
              </w:rPr>
              <w:t>Practice</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Pr>
          <w:p w14:paraId="02B223FC" w14:textId="70B0449F" w:rsidR="00935741" w:rsidRPr="00550E1F" w:rsidRDefault="00935741" w:rsidP="009B6FAD">
            <w:pPr>
              <w:pStyle w:val="TableHeaderRow"/>
              <w:rPr>
                <w:rFonts w:ascii="Aptos" w:hAnsi="Aptos"/>
              </w:rPr>
            </w:pPr>
            <w:r w:rsidRPr="00550E1F">
              <w:rPr>
                <w:rFonts w:ascii="Aptos" w:hAnsi="Aptos"/>
              </w:rPr>
              <w:t>Example</w:t>
            </w:r>
          </w:p>
        </w:tc>
      </w:tr>
      <w:tr w:rsidR="6049E9AC" w:rsidRPr="00AC2C89" w14:paraId="3E1006F3" w14:textId="77777777" w:rsidTr="1A406CC9">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543D5CAA" w14:textId="096FE415" w:rsidR="6049E9AC" w:rsidRPr="00550E1F" w:rsidRDefault="6049E9AC" w:rsidP="007C3D1C">
            <w:pPr>
              <w:pStyle w:val="BodyText2"/>
              <w:rPr>
                <w:rFonts w:ascii="Aptos" w:hAnsi="Aptos"/>
              </w:rPr>
            </w:pPr>
            <w:r w:rsidRPr="00550E1F">
              <w:rPr>
                <w:rFonts w:ascii="Aptos" w:hAnsi="Aptos"/>
              </w:rPr>
              <w:t>Collaborate with districts to provide ongoing support to educator candidates during field-based experiences and beyond. Provide training, tools, and resources to supervising practitioners to strengthen their skills in mentoring, and align expectations for supporting candidates (Wexler, 2020). Communicate regularly with districts, supervising practitioners, and candidates so that adjustments can be made as needed.</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B041EC4" w14:textId="6ECC260B" w:rsidR="6049E9AC" w:rsidRPr="00550E1F" w:rsidRDefault="6049E9AC" w:rsidP="007C3D1C">
            <w:pPr>
              <w:pStyle w:val="BodyText3"/>
              <w:rPr>
                <w:rFonts w:ascii="Aptos" w:hAnsi="Aptos"/>
              </w:rPr>
            </w:pPr>
            <w:r w:rsidRPr="00550E1F">
              <w:rPr>
                <w:rFonts w:ascii="Aptos" w:hAnsi="Aptos"/>
              </w:rPr>
              <w:t xml:space="preserve">Clark University </w:t>
            </w:r>
            <w:r w:rsidR="00BF5895" w:rsidRPr="00550E1F">
              <w:rPr>
                <w:rFonts w:ascii="Aptos" w:hAnsi="Aptos"/>
              </w:rPr>
              <w:t>provides opportunities for supervising practitioners to engage in content-specific curriculum teams in after-school meetings so that participants can share information and build skills that support them in their classroom teaching and mentorship of candidates. In addition to a survey to learn about supervising practitioners’ strengths and needs, Clark solicits feedback in person, through luncheons that they host twice a year.</w:t>
            </w:r>
          </w:p>
        </w:tc>
      </w:tr>
      <w:tr w:rsidR="6049E9AC" w:rsidRPr="00AC2C89" w14:paraId="018DA02D" w14:textId="77777777" w:rsidTr="1A406CC9">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5CCD6E9" w14:textId="08F441C7" w:rsidR="6049E9AC" w:rsidRPr="00550E1F" w:rsidRDefault="6049E9AC" w:rsidP="007C3D1C">
            <w:pPr>
              <w:pStyle w:val="BodyText2"/>
              <w:rPr>
                <w:rFonts w:ascii="Aptos" w:hAnsi="Aptos"/>
              </w:rPr>
            </w:pPr>
            <w:r w:rsidRPr="00550E1F">
              <w:rPr>
                <w:rFonts w:ascii="Aptos" w:hAnsi="Aptos"/>
              </w:rPr>
              <w:t>Reflect upon ways both the sponsoring organization and partner school/district can adapt their systems and structures to honor educator candidate strengths and attend to their needs. This collaboration can include developing clear criteria for anti-racist and culturally and linguistically sustaining practices, providing training to support educators’ growth in practices, and using a matching process to pair educator candidates with effective supervising practitioners (Foran &amp; Mee, 2019).</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5DFDA7C9" w14:textId="5C131AC6" w:rsidR="6049E9AC" w:rsidRPr="00550E1F" w:rsidRDefault="6049E9AC" w:rsidP="007C3D1C">
            <w:pPr>
              <w:pStyle w:val="BodyText3"/>
              <w:rPr>
                <w:rFonts w:ascii="Aptos" w:hAnsi="Aptos"/>
              </w:rPr>
            </w:pPr>
            <w:r w:rsidRPr="1A406CC9">
              <w:rPr>
                <w:rFonts w:ascii="Aptos" w:hAnsi="Aptos"/>
              </w:rPr>
              <w:t>Fitchburg State</w:t>
            </w:r>
            <w:r w:rsidR="00160DEB" w:rsidRPr="1A406CC9">
              <w:rPr>
                <w:rFonts w:ascii="Aptos" w:hAnsi="Aptos"/>
              </w:rPr>
              <w:t xml:space="preserve"> University</w:t>
            </w:r>
            <w:r w:rsidRPr="1A406CC9">
              <w:rPr>
                <w:rFonts w:ascii="Aptos" w:hAnsi="Aptos"/>
              </w:rPr>
              <w:t xml:space="preserve"> collaborates with districts to identify supervising practitioners that utilize anti-racist practices and meet DESE regulations. Supervising practitioners and educator candidates’ complete applications to support matching based on needs, identities, and dispositions.</w:t>
            </w:r>
          </w:p>
        </w:tc>
      </w:tr>
      <w:tr w:rsidR="6049E9AC" w:rsidRPr="00AC2C89" w14:paraId="4403BCF7" w14:textId="77777777" w:rsidTr="1A406CC9">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63566A05" w14:textId="6B3C788C" w:rsidR="6049E9AC" w:rsidRPr="00550E1F" w:rsidRDefault="6049E9AC" w:rsidP="007C3D1C">
            <w:pPr>
              <w:pStyle w:val="BodyText2"/>
              <w:rPr>
                <w:rFonts w:ascii="Aptos" w:hAnsi="Aptos"/>
              </w:rPr>
            </w:pPr>
            <w:r w:rsidRPr="00550E1F">
              <w:rPr>
                <w:rFonts w:ascii="Aptos" w:hAnsi="Aptos"/>
              </w:rPr>
              <w:t xml:space="preserve">Consider establishing a cohort model with a partner school/district. The use of this model can foster deeper relationships, facilitate two-way communication between the SO and district, and strengthen academic and social </w:t>
            </w:r>
            <w:r w:rsidR="00FD1E9F" w:rsidRPr="00550E1F">
              <w:rPr>
                <w:rFonts w:ascii="Aptos" w:hAnsi="Aptos"/>
              </w:rPr>
              <w:t xml:space="preserve">and </w:t>
            </w:r>
            <w:r w:rsidRPr="00550E1F">
              <w:rPr>
                <w:rFonts w:ascii="Aptos" w:hAnsi="Aptos"/>
              </w:rPr>
              <w:t>emotional supports for the educator candidates at each site.</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55FDF25F" w14:textId="24212819" w:rsidR="6049E9AC" w:rsidRPr="00550E1F" w:rsidRDefault="6049E9AC" w:rsidP="007C3D1C">
            <w:pPr>
              <w:pStyle w:val="BodyText3"/>
              <w:rPr>
                <w:rFonts w:ascii="Aptos" w:hAnsi="Aptos"/>
              </w:rPr>
            </w:pPr>
            <w:r w:rsidRPr="00550E1F">
              <w:rPr>
                <w:rFonts w:ascii="Aptos" w:hAnsi="Aptos"/>
              </w:rPr>
              <w:t xml:space="preserve">Westfield State </w:t>
            </w:r>
            <w:r w:rsidR="00160DEB" w:rsidRPr="00550E1F">
              <w:rPr>
                <w:rFonts w:ascii="Aptos" w:hAnsi="Aptos"/>
              </w:rPr>
              <w:t xml:space="preserve">University </w:t>
            </w:r>
            <w:r w:rsidRPr="00550E1F">
              <w:rPr>
                <w:rFonts w:ascii="Aptos" w:hAnsi="Aptos"/>
              </w:rPr>
              <w:t>has recently started using an informal cohort model in a few schools, with plans to amend existing district MOUs to include more structured cohorts in the future. In this early work, program supervisors are more present in the schools. Program supervisors’ additional time at the school enhances dialogue between the SOs and school staff, including between program supervisors, supervising practitioners and administrators. Program supervisors have shared that this closer collaboration gives them deeper insight into the unique atmosphere of each school and how they can provide the most effective support.</w:t>
            </w:r>
          </w:p>
        </w:tc>
      </w:tr>
      <w:tr w:rsidR="00543484" w:rsidRPr="00AC2C89" w14:paraId="60A8E24A" w14:textId="77777777" w:rsidTr="1A406CC9">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6B793D56" w14:textId="02183736" w:rsidR="00543484" w:rsidRPr="00550E1F" w:rsidRDefault="00543484" w:rsidP="00543484">
            <w:pPr>
              <w:pStyle w:val="BodyText2"/>
              <w:rPr>
                <w:rFonts w:ascii="Aptos" w:hAnsi="Aptos"/>
              </w:rPr>
            </w:pPr>
            <w:r w:rsidRPr="00550E1F">
              <w:rPr>
                <w:rFonts w:ascii="Aptos" w:hAnsi="Aptos"/>
              </w:rPr>
              <w:t>Work in tandem with the partner school/district to understand and respond to their changing needs. Take responsibility for making aligned programmatic changes to improve partnerships or candidates’ preparation.</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754D4E32" w14:textId="3EABACA7" w:rsidR="00543484" w:rsidRPr="00550E1F" w:rsidRDefault="00543484" w:rsidP="00543484">
            <w:pPr>
              <w:pStyle w:val="BodyText3"/>
              <w:rPr>
                <w:rFonts w:ascii="Aptos" w:hAnsi="Aptos"/>
                <w:color w:val="auto"/>
              </w:rPr>
            </w:pPr>
            <w:r w:rsidRPr="00550E1F">
              <w:rPr>
                <w:rFonts w:ascii="Aptos" w:hAnsi="Aptos"/>
                <w:color w:val="auto"/>
              </w:rPr>
              <w:t>Bridgewater State University utilizes a professional development school model with gateway cities in Southeastern Massachusetts. University administrators and faculty meet monthly with teachers and school administrators to collaborate and discuss teaching and learning best practices. These PDS teams work together to provide support, share resources and provide professional development around current issues in education.</w:t>
            </w:r>
          </w:p>
        </w:tc>
      </w:tr>
    </w:tbl>
    <w:p w14:paraId="0FA3BE64" w14:textId="0E000D09" w:rsidR="002E7870" w:rsidRPr="00550E1F" w:rsidRDefault="00935741" w:rsidP="00935741">
      <w:pPr>
        <w:pStyle w:val="TableTitle"/>
        <w:rPr>
          <w:rFonts w:ascii="Aptos" w:hAnsi="Aptos"/>
        </w:rPr>
      </w:pPr>
      <w:r w:rsidRPr="00550E1F">
        <w:rPr>
          <w:rFonts w:ascii="Aptos" w:hAnsi="Aptos"/>
        </w:rPr>
        <w:t>Gather Feedback to Make Changes Outside Your Comfort Zone</w:t>
      </w:r>
    </w:p>
    <w:tbl>
      <w:tblPr>
        <w:tblW w:w="5000" w:type="pct"/>
        <w:tblLook w:val="06A0" w:firstRow="1" w:lastRow="0" w:firstColumn="1" w:lastColumn="0" w:noHBand="1" w:noVBand="1"/>
      </w:tblPr>
      <w:tblGrid>
        <w:gridCol w:w="5089"/>
        <w:gridCol w:w="8"/>
        <w:gridCol w:w="5097"/>
      </w:tblGrid>
      <w:tr w:rsidR="00935741" w:rsidRPr="00AC2C89" w14:paraId="3718B527" w14:textId="77777777" w:rsidTr="00AB54A3">
        <w:trPr>
          <w:trHeight w:hRule="exact" w:val="576"/>
          <w:tblHeader/>
        </w:trPr>
        <w:tc>
          <w:tcPr>
            <w:tcW w:w="2500"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Mar>
              <w:top w:w="180" w:type="dxa"/>
              <w:left w:w="180" w:type="dxa"/>
              <w:bottom w:w="180" w:type="dxa"/>
              <w:right w:w="180" w:type="dxa"/>
            </w:tcMar>
          </w:tcPr>
          <w:p w14:paraId="66C433CF" w14:textId="5B7DCFAE" w:rsidR="00935741" w:rsidRPr="00550E1F" w:rsidRDefault="00935741" w:rsidP="009B6FAD">
            <w:pPr>
              <w:pStyle w:val="TableHeaderRow"/>
              <w:rPr>
                <w:rFonts w:ascii="Aptos" w:hAnsi="Aptos"/>
              </w:rPr>
            </w:pPr>
            <w:r w:rsidRPr="00550E1F">
              <w:rPr>
                <w:rFonts w:ascii="Aptos" w:hAnsi="Aptos"/>
              </w:rPr>
              <w:t>Practice</w:t>
            </w:r>
          </w:p>
        </w:tc>
        <w:tc>
          <w:tcPr>
            <w:tcW w:w="2500"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shd w:val="clear" w:color="auto" w:fill="1F3864" w:themeFill="accent1" w:themeFillShade="80"/>
          </w:tcPr>
          <w:p w14:paraId="3B0190EC" w14:textId="3F8F0F6D" w:rsidR="00935741" w:rsidRPr="00550E1F" w:rsidRDefault="00935741" w:rsidP="009B6FAD">
            <w:pPr>
              <w:pStyle w:val="TableHeaderRow"/>
              <w:rPr>
                <w:rFonts w:ascii="Aptos" w:hAnsi="Aptos"/>
              </w:rPr>
            </w:pPr>
            <w:r w:rsidRPr="00550E1F">
              <w:rPr>
                <w:rFonts w:ascii="Aptos" w:hAnsi="Aptos"/>
              </w:rPr>
              <w:t>Example</w:t>
            </w:r>
          </w:p>
        </w:tc>
      </w:tr>
      <w:tr w:rsidR="6049E9AC" w:rsidRPr="00AC2C89" w14:paraId="0B1261BA" w14:textId="77777777" w:rsidTr="00AB54A3">
        <w:trPr>
          <w:trHeight w:val="300"/>
        </w:trPr>
        <w:tc>
          <w:tcPr>
            <w:tcW w:w="2496" w:type="pct"/>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43AD1E19" w14:textId="597EF367" w:rsidR="6049E9AC" w:rsidRPr="00550E1F" w:rsidRDefault="6049E9AC" w:rsidP="007C3D1C">
            <w:pPr>
              <w:pStyle w:val="BodyText2"/>
              <w:rPr>
                <w:rFonts w:ascii="Aptos" w:hAnsi="Aptos"/>
              </w:rPr>
            </w:pPr>
            <w:r w:rsidRPr="00550E1F">
              <w:rPr>
                <w:rFonts w:ascii="Aptos" w:hAnsi="Aptos"/>
              </w:rPr>
              <w:t>Solicit frequent and actionable input from a variety of stakeholders at partner schools/districts to inform improvements or revisions to preparation programs’ curricula, processes, or supports.</w:t>
            </w:r>
          </w:p>
        </w:tc>
        <w:tc>
          <w:tcPr>
            <w:tcW w:w="2504" w:type="pct"/>
            <w:gridSpan w:val="2"/>
            <w:tc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tcBorders>
            <w:tcMar>
              <w:top w:w="180" w:type="dxa"/>
              <w:left w:w="180" w:type="dxa"/>
              <w:bottom w:w="180" w:type="dxa"/>
              <w:right w:w="180" w:type="dxa"/>
            </w:tcMar>
          </w:tcPr>
          <w:p w14:paraId="6FC94D73" w14:textId="19F6149C" w:rsidR="6049E9AC" w:rsidRPr="00550E1F" w:rsidRDefault="6049E9AC" w:rsidP="007C3D1C">
            <w:pPr>
              <w:pStyle w:val="BodyText3"/>
              <w:rPr>
                <w:rFonts w:ascii="Aptos" w:hAnsi="Aptos"/>
              </w:rPr>
            </w:pPr>
            <w:r w:rsidRPr="00550E1F">
              <w:rPr>
                <w:rFonts w:ascii="Aptos" w:hAnsi="Aptos"/>
              </w:rPr>
              <w:t>Stonehill College asks school principals, program supervisors, supervising practitioners, and educator candidates to complete a survey on their experiences to determine how well the partnership and field-based experiences align with the SO programmatic outcomes and mission.</w:t>
            </w:r>
          </w:p>
        </w:tc>
      </w:tr>
    </w:tbl>
    <w:p w14:paraId="14568B7D" w14:textId="4193D6F4" w:rsidR="6049E9AC" w:rsidRPr="00550E1F" w:rsidRDefault="6049E9AC" w:rsidP="0017754F">
      <w:pPr>
        <w:pStyle w:val="Heading3"/>
        <w:rPr>
          <w:rFonts w:ascii="Aptos" w:hAnsi="Aptos"/>
        </w:rPr>
      </w:pPr>
      <w:r w:rsidRPr="00550E1F">
        <w:rPr>
          <w:rFonts w:ascii="Aptos" w:hAnsi="Aptos"/>
        </w:rPr>
        <w:t>Tools and Resources</w:t>
      </w:r>
    </w:p>
    <w:p w14:paraId="77BC7E77" w14:textId="2C61001B" w:rsidR="6049E9AC" w:rsidRPr="00550E1F" w:rsidRDefault="6049E9AC" w:rsidP="00935741">
      <w:pPr>
        <w:pStyle w:val="ListBullet"/>
        <w:spacing w:after="0"/>
        <w:rPr>
          <w:rFonts w:ascii="Aptos" w:hAnsi="Aptos"/>
        </w:rPr>
      </w:pPr>
      <w:hyperlink w:anchor="_Stonehill_College’s_Example" w:history="1">
        <w:r w:rsidRPr="00550E1F">
          <w:rPr>
            <w:rStyle w:val="Hyperlink"/>
            <w:rFonts w:ascii="Aptos" w:hAnsi="Aptos"/>
          </w:rPr>
          <w:t>Example of Matrix of Learning in Practicum</w:t>
        </w:r>
      </w:hyperlink>
      <w:r w:rsidRPr="00550E1F">
        <w:rPr>
          <w:rFonts w:ascii="Aptos" w:hAnsi="Aptos"/>
        </w:rPr>
        <w:t xml:space="preserve"> (Stonehill College)</w:t>
      </w:r>
    </w:p>
    <w:p w14:paraId="01164AFB" w14:textId="770AAA95" w:rsidR="00CC3011" w:rsidRPr="00CC3011" w:rsidRDefault="6049E9AC" w:rsidP="00550E1F">
      <w:pPr>
        <w:pStyle w:val="ListBullet"/>
        <w:tabs>
          <w:tab w:val="left" w:pos="2079"/>
        </w:tabs>
        <w:spacing w:after="240"/>
        <w:rPr>
          <w:bCs w:val="0"/>
        </w:rPr>
        <w:sectPr w:rsidR="00CC3011" w:rsidRPr="00CC3011" w:rsidSect="006F6154">
          <w:headerReference w:type="default" r:id="rId47"/>
          <w:pgSz w:w="12240" w:h="15840"/>
          <w:pgMar w:top="720" w:right="1008" w:bottom="806" w:left="1008" w:header="432" w:footer="432" w:gutter="0"/>
          <w:cols w:space="720"/>
          <w:docGrid w:linePitch="360"/>
        </w:sectPr>
      </w:pPr>
      <w:hyperlink w:anchor="Eval" w:history="1">
        <w:r w:rsidRPr="00550E1F">
          <w:rPr>
            <w:rStyle w:val="Hyperlink"/>
            <w:rFonts w:ascii="Aptos" w:hAnsi="Aptos"/>
            <w:bCs w:val="0"/>
          </w:rPr>
          <w:t>360° Clinical Evaluation Tool Categories</w:t>
        </w:r>
      </w:hyperlink>
      <w:r w:rsidRPr="00550E1F">
        <w:rPr>
          <w:rFonts w:ascii="Aptos" w:hAnsi="Aptos"/>
          <w:bCs w:val="0"/>
        </w:rPr>
        <w:t xml:space="preserve"> (Stonehill Colleg</w:t>
      </w:r>
      <w:r w:rsidR="00327F49" w:rsidRPr="00550E1F">
        <w:rPr>
          <w:rFonts w:ascii="Aptos" w:hAnsi="Aptos"/>
          <w:bCs w:val="0"/>
        </w:rPr>
        <w:t>e)</w:t>
      </w:r>
    </w:p>
    <w:p w14:paraId="0B797E60" w14:textId="397EB5F1" w:rsidR="006F6154" w:rsidRPr="00C106E3" w:rsidRDefault="006F6154" w:rsidP="006F6154">
      <w:pPr>
        <w:pStyle w:val="Heading2"/>
        <w:rPr>
          <w:color w:val="1F3864" w:themeColor="accent1" w:themeShade="80"/>
        </w:rPr>
      </w:pPr>
      <w:bookmarkStart w:id="34" w:name="CaseStudies"/>
      <w:bookmarkStart w:id="35" w:name="_Toc170897339"/>
      <w:bookmarkEnd w:id="34"/>
      <w:r w:rsidRPr="00C106E3">
        <w:rPr>
          <w:color w:val="1F3864" w:themeColor="accent1" w:themeShade="80"/>
        </w:rPr>
        <w:t>Case Studies of Promising Practices</w:t>
      </w:r>
      <w:bookmarkEnd w:id="35"/>
    </w:p>
    <w:p w14:paraId="004CC31B" w14:textId="4D16AECC" w:rsidR="006F6154" w:rsidRDefault="003C26D5" w:rsidP="006F6154">
      <w:r>
        <w:rPr>
          <w:noProof/>
          <w:color w:val="163A42"/>
        </w:rPr>
        <mc:AlternateContent>
          <mc:Choice Requires="wps">
            <w:drawing>
              <wp:anchor distT="0" distB="0" distL="114300" distR="114300" simplePos="0" relativeHeight="251658248" behindDoc="0" locked="0" layoutInCell="1" allowOverlap="1" wp14:anchorId="2D85B28D" wp14:editId="70FFEC6E">
                <wp:simplePos x="0" y="0"/>
                <wp:positionH relativeFrom="column">
                  <wp:posOffset>-2540</wp:posOffset>
                </wp:positionH>
                <wp:positionV relativeFrom="paragraph">
                  <wp:posOffset>79375</wp:posOffset>
                </wp:positionV>
                <wp:extent cx="6400800" cy="365760"/>
                <wp:effectExtent l="0" t="0" r="12700" b="15240"/>
                <wp:wrapNone/>
                <wp:docPr id="1341938524" name="Text Box 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solidFill>
                            <a:prstClr val="black"/>
                          </a:solidFill>
                        </a:ln>
                      </wps:spPr>
                      <wps:txbx>
                        <w:txbxContent>
                          <w:p w14:paraId="1D0B8A40" w14:textId="5065AD3E" w:rsidR="006F6154" w:rsidRPr="00550E1F" w:rsidRDefault="006F6154" w:rsidP="003C26D5">
                            <w:pPr>
                              <w:pStyle w:val="Heading2a"/>
                              <w:rPr>
                                <w:sz w:val="36"/>
                                <w:szCs w:val="56"/>
                              </w:rPr>
                            </w:pPr>
                            <w:bookmarkStart w:id="36" w:name="_Toc170897340"/>
                            <w:r w:rsidRPr="00550E1F">
                              <w:rPr>
                                <w:sz w:val="36"/>
                                <w:szCs w:val="56"/>
                              </w:rPr>
                              <w:t>Stonehill College</w:t>
                            </w:r>
                            <w:r w:rsidR="001A2ABE" w:rsidRPr="00550E1F">
                              <w:rPr>
                                <w:sz w:val="36"/>
                                <w:szCs w:val="56"/>
                              </w:rPr>
                              <w:t>:</w:t>
                            </w:r>
                            <w:r w:rsidRPr="00550E1F">
                              <w:rPr>
                                <w:sz w:val="36"/>
                                <w:szCs w:val="56"/>
                              </w:rPr>
                              <w:t xml:space="preserve"> </w:t>
                            </w:r>
                            <w:r w:rsidR="008E60DF" w:rsidRPr="00550E1F">
                              <w:rPr>
                                <w:sz w:val="36"/>
                                <w:szCs w:val="56"/>
                              </w:rPr>
                              <w:t>Continuous Improvement</w:t>
                            </w:r>
                            <w:bookmarkEnd w:id="3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B28D" id="_x0000_s1030" type="#_x0000_t202" style="position:absolute;margin-left:-.2pt;margin-top:6.25pt;width:7in;height:28.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" fillcolor="#1f3763 [1604]" strokeweight=".5pt">
                <v:textbox>
                  <w:txbxContent>
                    <w:p w14:paraId="1D0B8A40" w14:textId="5065AD3E" w:rsidR="006F6154" w:rsidRPr="00550E1F" w:rsidRDefault="006F6154" w:rsidP="003C26D5">
                      <w:pPr>
                        <w:pStyle w:val="Heading2a"/>
                        <w:rPr>
                          <w:sz w:val="36"/>
                          <w:szCs w:val="56"/>
                        </w:rPr>
                      </w:pPr>
                      <w:bookmarkStart w:id="42" w:name="_Toc170897340"/>
                      <w:r w:rsidRPr="00550E1F">
                        <w:rPr>
                          <w:sz w:val="36"/>
                          <w:szCs w:val="56"/>
                        </w:rPr>
                        <w:t>Stonehill College</w:t>
                      </w:r>
                      <w:r w:rsidR="001A2ABE" w:rsidRPr="00550E1F">
                        <w:rPr>
                          <w:sz w:val="36"/>
                          <w:szCs w:val="56"/>
                        </w:rPr>
                        <w:t>:</w:t>
                      </w:r>
                      <w:r w:rsidRPr="00550E1F">
                        <w:rPr>
                          <w:sz w:val="36"/>
                          <w:szCs w:val="56"/>
                        </w:rPr>
                        <w:t xml:space="preserve"> </w:t>
                      </w:r>
                      <w:r w:rsidR="008E60DF" w:rsidRPr="00550E1F">
                        <w:rPr>
                          <w:sz w:val="36"/>
                          <w:szCs w:val="56"/>
                        </w:rPr>
                        <w:t>Continuous Improvement</w:t>
                      </w:r>
                      <w:bookmarkEnd w:id="42"/>
                    </w:p>
                  </w:txbxContent>
                </v:textbox>
              </v:shape>
            </w:pict>
          </mc:Fallback>
        </mc:AlternateContent>
      </w:r>
    </w:p>
    <w:p w14:paraId="785BAE54" w14:textId="1CDDF7CA" w:rsidR="008E2A84" w:rsidRDefault="008E2A84" w:rsidP="008E2A84">
      <w:pPr>
        <w:pStyle w:val="BodyText"/>
        <w:spacing w:after="0" w:line="240" w:lineRule="auto"/>
      </w:pPr>
      <w:r w:rsidRPr="008E2A84">
        <w:rPr>
          <w:noProof/>
        </w:rPr>
        <mc:AlternateContent>
          <mc:Choice Requires="wps">
            <w:drawing>
              <wp:anchor distT="0" distB="0" distL="114300" distR="114300" simplePos="0" relativeHeight="251658255" behindDoc="0" locked="0" layoutInCell="1" allowOverlap="1" wp14:anchorId="76593F09" wp14:editId="0971604D">
                <wp:simplePos x="0" y="0"/>
                <wp:positionH relativeFrom="column">
                  <wp:posOffset>4899</wp:posOffset>
                </wp:positionH>
                <wp:positionV relativeFrom="paragraph">
                  <wp:posOffset>103505</wp:posOffset>
                </wp:positionV>
                <wp:extent cx="6400800" cy="0"/>
                <wp:effectExtent l="0" t="12700" r="25400" b="25400"/>
                <wp:wrapNone/>
                <wp:docPr id="175874384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623348" id="Straight Connector 1" o:spid="_x0000_s1026" alt="&quot;&quot;" style="position:absolute;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8.15pt" to="504.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" strokecolor="#8c1176" strokeweight="3pt">
                <v:stroke joinstyle="miter"/>
              </v:line>
            </w:pict>
          </mc:Fallback>
        </mc:AlternateContent>
      </w:r>
    </w:p>
    <w:p w14:paraId="319C4F9B" w14:textId="772CDA93" w:rsidR="009B6FAD" w:rsidRPr="00550E1F" w:rsidRDefault="0013055D" w:rsidP="0013055D">
      <w:pPr>
        <w:pStyle w:val="BodyText"/>
        <w:rPr>
          <w:rFonts w:ascii="Aptos" w:hAnsi="Aptos" w:cs="Times New Roman"/>
        </w:rPr>
      </w:pPr>
      <w:r w:rsidRPr="00550E1F">
        <w:rPr>
          <w:rFonts w:ascii="Aptos" w:hAnsi="Aptos"/>
        </w:rPr>
        <w:t>This case study spotlights Stonehill College</w:t>
      </w:r>
      <w:r w:rsidR="004E6394" w:rsidRPr="00550E1F">
        <w:rPr>
          <w:rFonts w:ascii="Aptos" w:hAnsi="Aptos"/>
        </w:rPr>
        <w:t>’s</w:t>
      </w:r>
      <w:r w:rsidRPr="00550E1F">
        <w:rPr>
          <w:rFonts w:ascii="Aptos" w:hAnsi="Aptos"/>
        </w:rPr>
        <w:t xml:space="preserve"> Graduate Teacher Education </w:t>
      </w:r>
      <w:r w:rsidR="007B4B9A" w:rsidRPr="00550E1F">
        <w:rPr>
          <w:rFonts w:ascii="Aptos" w:hAnsi="Aptos"/>
        </w:rPr>
        <w:t xml:space="preserve">programs </w:t>
      </w:r>
      <w:r w:rsidRPr="00550E1F">
        <w:rPr>
          <w:rFonts w:ascii="Aptos" w:hAnsi="Aptos"/>
        </w:rPr>
        <w:t>and the ways faculty center equity in their continuous improvement process, engage with diverse data sources, and make programmatic shifts based on data. Explore tools and consider how their best practices can be adapted to your own context.</w:t>
      </w:r>
    </w:p>
    <w:p w14:paraId="46225FDF" w14:textId="07152931" w:rsidR="00C73618" w:rsidRPr="00550E1F" w:rsidRDefault="009B6FAD" w:rsidP="0098143B">
      <w:pPr>
        <w:pStyle w:val="Paragraph-AfterList"/>
        <w:snapToGrid w:val="0"/>
        <w:spacing w:before="120" w:after="120"/>
        <w:rPr>
          <w:rFonts w:ascii="Aptos" w:hAnsi="Aptos" w:cs="Times New Roman"/>
        </w:rPr>
      </w:pPr>
      <w:r w:rsidRPr="00550E1F">
        <w:rPr>
          <w:rFonts w:ascii="Aptos" w:hAnsi="Aptos" w:cs="Times New Roman"/>
          <w:noProof/>
          <w:bdr w:val="none" w:sz="0" w:space="0" w:color="auto" w:frame="1"/>
        </w:rPr>
        <w:drawing>
          <wp:anchor distT="0" distB="0" distL="114300" distR="114300" simplePos="0" relativeHeight="251658240" behindDoc="0" locked="0" layoutInCell="1" allowOverlap="1" wp14:anchorId="125F24D7" wp14:editId="50001ED5">
            <wp:simplePos x="0" y="0"/>
            <wp:positionH relativeFrom="column">
              <wp:posOffset>-4445</wp:posOffset>
            </wp:positionH>
            <wp:positionV relativeFrom="paragraph">
              <wp:posOffset>43014</wp:posOffset>
            </wp:positionV>
            <wp:extent cx="3474720" cy="2907665"/>
            <wp:effectExtent l="0" t="0" r="5080" b="635"/>
            <wp:wrapThrough wrapText="bothSides">
              <wp:wrapPolygon edited="0">
                <wp:start x="0" y="0"/>
                <wp:lineTo x="0" y="21510"/>
                <wp:lineTo x="21553" y="21510"/>
                <wp:lineTo x="21553" y="0"/>
                <wp:lineTo x="0" y="0"/>
              </wp:wrapPolygon>
            </wp:wrapThrough>
            <wp:docPr id="2935385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3858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r="6760"/>
                    <a:stretch/>
                  </pic:blipFill>
                  <pic:spPr bwMode="auto">
                    <a:xfrm>
                      <a:off x="0" y="0"/>
                      <a:ext cx="3474720" cy="290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618" w:rsidRPr="00550E1F">
        <w:rPr>
          <w:rFonts w:ascii="Aptos" w:hAnsi="Aptos"/>
          <w:b/>
          <w:bCs/>
        </w:rPr>
        <w:t>Context:</w:t>
      </w:r>
      <w:r w:rsidR="00C73618" w:rsidRPr="00550E1F">
        <w:rPr>
          <w:rFonts w:ascii="Aptos" w:hAnsi="Aptos"/>
        </w:rPr>
        <w:t xml:space="preserve"> Stonehill College is a private Catholic college located in Easton, Massachusetts. As a part of their graduate educator programs, Stonehill offers an accelerated, eleven-month graduate pathway for teacher preparation. This pathway began in January 2020 on the premise of inclusive education and currently serves a high percentage of teacher candidates of </w:t>
      </w:r>
      <w:r w:rsidR="001132C2" w:rsidRPr="00550E1F">
        <w:rPr>
          <w:rFonts w:ascii="Aptos" w:hAnsi="Aptos"/>
        </w:rPr>
        <w:t>c</w:t>
      </w:r>
      <w:r w:rsidR="00C73618" w:rsidRPr="00550E1F">
        <w:rPr>
          <w:rFonts w:ascii="Aptos" w:hAnsi="Aptos"/>
        </w:rPr>
        <w:t>olor. Candidates either join the program directly after attaining their undergraduate degree, deciding upon a career change, or after hearing about the program from district partners. The graduate teacher education faculty and administration of Stonehill focus on recruiting diverse teacher candidates and have created a scholarship for candidates who work in urban settings through donated funding.</w:t>
      </w:r>
      <w:r w:rsidR="000C220A" w:rsidRPr="00550E1F">
        <w:rPr>
          <w:rFonts w:ascii="Aptos" w:hAnsi="Aptos" w:cs="Times New Roman"/>
        </w:rPr>
        <w:t xml:space="preserve"> </w:t>
      </w:r>
    </w:p>
    <w:p w14:paraId="29034116" w14:textId="2E881D9E" w:rsidR="00C73618" w:rsidRPr="00550E1F" w:rsidRDefault="00C73618" w:rsidP="0098143B">
      <w:pPr>
        <w:pStyle w:val="BodyText"/>
        <w:rPr>
          <w:rFonts w:ascii="Aptos" w:hAnsi="Aptos" w:cs="Times New Roman"/>
        </w:rPr>
      </w:pPr>
      <w:r w:rsidRPr="00550E1F">
        <w:rPr>
          <w:rFonts w:ascii="Aptos" w:hAnsi="Aptos"/>
          <w:b/>
          <w:bCs/>
        </w:rPr>
        <w:t xml:space="preserve">Promising practice #1: Establishing an </w:t>
      </w:r>
      <w:r w:rsidR="00F42AFA" w:rsidRPr="00550E1F">
        <w:rPr>
          <w:rFonts w:ascii="Aptos" w:hAnsi="Aptos"/>
          <w:b/>
          <w:bCs/>
        </w:rPr>
        <w:t>e</w:t>
      </w:r>
      <w:r w:rsidRPr="00550E1F">
        <w:rPr>
          <w:rFonts w:ascii="Aptos" w:hAnsi="Aptos"/>
          <w:b/>
          <w:bCs/>
        </w:rPr>
        <w:t xml:space="preserve">quity-oriented </w:t>
      </w:r>
      <w:r w:rsidR="00F42AFA" w:rsidRPr="00550E1F">
        <w:rPr>
          <w:rFonts w:ascii="Aptos" w:hAnsi="Aptos"/>
          <w:b/>
          <w:bCs/>
        </w:rPr>
        <w:t>f</w:t>
      </w:r>
      <w:r w:rsidRPr="00550E1F">
        <w:rPr>
          <w:rFonts w:ascii="Aptos" w:hAnsi="Aptos"/>
          <w:b/>
          <w:bCs/>
        </w:rPr>
        <w:t xml:space="preserve">ramework for </w:t>
      </w:r>
      <w:r w:rsidR="00F42AFA" w:rsidRPr="00550E1F">
        <w:rPr>
          <w:rFonts w:ascii="Aptos" w:hAnsi="Aptos"/>
          <w:b/>
          <w:bCs/>
        </w:rPr>
        <w:t>c</w:t>
      </w:r>
      <w:r w:rsidRPr="00550E1F">
        <w:rPr>
          <w:rFonts w:ascii="Aptos" w:hAnsi="Aptos"/>
          <w:b/>
          <w:bCs/>
        </w:rPr>
        <w:t xml:space="preserve">ontinuous </w:t>
      </w:r>
      <w:r w:rsidR="00F42AFA" w:rsidRPr="00550E1F">
        <w:rPr>
          <w:rFonts w:ascii="Aptos" w:hAnsi="Aptos"/>
          <w:b/>
          <w:bCs/>
        </w:rPr>
        <w:t>i</w:t>
      </w:r>
      <w:r w:rsidRPr="00550E1F">
        <w:rPr>
          <w:rFonts w:ascii="Aptos" w:hAnsi="Aptos"/>
          <w:b/>
          <w:bCs/>
        </w:rPr>
        <w:t xml:space="preserve">mprovement. </w:t>
      </w:r>
      <w:r w:rsidRPr="00550E1F">
        <w:rPr>
          <w:rFonts w:ascii="Aptos" w:hAnsi="Aptos"/>
        </w:rPr>
        <w:t xml:space="preserve">Key leaders of the graduate program, Drs. Elizabeth Stringer Keefe and Rebekah Louis, utilize the Cochran Smith &amp; Keefe’s (2022) </w:t>
      </w:r>
      <w:hyperlink w:anchor="_Equity_in_Teacher" w:history="1">
        <w:r w:rsidRPr="00550E1F">
          <w:rPr>
            <w:rStyle w:val="Hyperlink"/>
            <w:rFonts w:ascii="Aptos" w:hAnsi="Aptos"/>
          </w:rPr>
          <w:t>Equity in Teacher Education Framework</w:t>
        </w:r>
      </w:hyperlink>
      <w:r w:rsidRPr="00550E1F">
        <w:rPr>
          <w:rFonts w:ascii="Aptos" w:hAnsi="Aptos"/>
        </w:rPr>
        <w:t xml:space="preserve"> to focus their program and continuous improvement efforts on anti-racist, anti-oppressive, social justice, and democratic guiding principles. The framework concentrates the sponsoring organization’s continuous improvement efforts on four dimensions of strong equity in teacher preparation: the economic dimension, the cultural dimension, the political dimension, and the discursive dimension. Use of this framework supported the graduate faculty and administrators of the teacher education program to focus on internal accountability for ensuring equity rather than relying on external factors or supports.</w:t>
      </w:r>
    </w:p>
    <w:p w14:paraId="7CE4C05B" w14:textId="1FB4FE95" w:rsidR="00C73618" w:rsidRPr="00550E1F" w:rsidRDefault="00C73618" w:rsidP="007C3D1C">
      <w:pPr>
        <w:pStyle w:val="BodyText"/>
        <w:rPr>
          <w:rFonts w:ascii="Aptos" w:hAnsi="Aptos" w:cs="Times New Roman"/>
        </w:rPr>
      </w:pPr>
      <w:r w:rsidRPr="00550E1F">
        <w:rPr>
          <w:rFonts w:ascii="Aptos" w:hAnsi="Aptos"/>
          <w:b/>
          <w:bCs/>
        </w:rPr>
        <w:t>Promising Practice #2: Using</w:t>
      </w:r>
      <w:r w:rsidRPr="00550E1F">
        <w:rPr>
          <w:rFonts w:ascii="Aptos" w:hAnsi="Aptos"/>
        </w:rPr>
        <w:t xml:space="preserve"> </w:t>
      </w:r>
      <w:r w:rsidR="00F42AFA" w:rsidRPr="00550E1F">
        <w:rPr>
          <w:rFonts w:ascii="Aptos" w:hAnsi="Aptos"/>
          <w:b/>
          <w:bCs/>
        </w:rPr>
        <w:t>m</w:t>
      </w:r>
      <w:r w:rsidRPr="00550E1F">
        <w:rPr>
          <w:rFonts w:ascii="Aptos" w:hAnsi="Aptos"/>
          <w:b/>
          <w:bCs/>
        </w:rPr>
        <w:t xml:space="preserve">ultiple </w:t>
      </w:r>
      <w:r w:rsidR="00F42AFA" w:rsidRPr="00550E1F">
        <w:rPr>
          <w:rFonts w:ascii="Aptos" w:hAnsi="Aptos"/>
          <w:b/>
          <w:bCs/>
        </w:rPr>
        <w:t>s</w:t>
      </w:r>
      <w:r w:rsidRPr="00550E1F">
        <w:rPr>
          <w:rFonts w:ascii="Aptos" w:hAnsi="Aptos"/>
          <w:b/>
          <w:bCs/>
        </w:rPr>
        <w:t xml:space="preserve">ources of </w:t>
      </w:r>
      <w:r w:rsidR="00F42AFA" w:rsidRPr="00550E1F">
        <w:rPr>
          <w:rFonts w:ascii="Aptos" w:hAnsi="Aptos"/>
          <w:b/>
          <w:bCs/>
        </w:rPr>
        <w:t>d</w:t>
      </w:r>
      <w:r w:rsidRPr="00550E1F">
        <w:rPr>
          <w:rFonts w:ascii="Aptos" w:hAnsi="Aptos"/>
          <w:b/>
          <w:bCs/>
        </w:rPr>
        <w:t>ata</w:t>
      </w:r>
      <w:r w:rsidR="000E377D" w:rsidRPr="00550E1F">
        <w:rPr>
          <w:rFonts w:ascii="Aptos" w:hAnsi="Aptos"/>
          <w:b/>
          <w:bCs/>
        </w:rPr>
        <w:t>.</w:t>
      </w:r>
      <w:r w:rsidRPr="00550E1F">
        <w:rPr>
          <w:rFonts w:ascii="Aptos" w:hAnsi="Aptos"/>
          <w:b/>
          <w:bCs/>
        </w:rPr>
        <w:t xml:space="preserve"> </w:t>
      </w:r>
      <w:r w:rsidRPr="00550E1F">
        <w:rPr>
          <w:rFonts w:ascii="Aptos" w:hAnsi="Aptos"/>
        </w:rPr>
        <w:t xml:space="preserve">Stonehill uses multiple data sources to gauge the degree to which their programs, its processes, and its partnerships are meeting the four dimensions of their teacher equity framework and advancing equitable student outcomes. The team has also developed tools based on the framework itself to ensure that the dimensions are reflected in the planning and measurement process. One of these tools is the </w:t>
      </w:r>
      <w:hyperlink w:anchor="Eval" w:history="1">
        <w:r w:rsidRPr="00550E1F">
          <w:rPr>
            <w:rStyle w:val="Hyperlink"/>
            <w:rFonts w:ascii="Aptos" w:eastAsia="Times New Roman" w:hAnsi="Aptos" w:cs="Calibri"/>
            <w:kern w:val="0"/>
            <w14:ligatures w14:val="none"/>
          </w:rPr>
          <w:t>360</w:t>
        </w:r>
        <w:r w:rsidR="001D459F" w:rsidRPr="00550E1F">
          <w:rPr>
            <w:rStyle w:val="Hyperlink"/>
            <w:rFonts w:ascii="Aptos" w:eastAsia="Symbol" w:hAnsi="Aptos" w:cs="Symbol"/>
            <w:kern w:val="0"/>
            <w14:ligatures w14:val="none"/>
          </w:rPr>
          <w:t>°</w:t>
        </w:r>
        <w:r w:rsidRPr="00550E1F">
          <w:rPr>
            <w:rStyle w:val="Hyperlink"/>
            <w:rFonts w:ascii="Aptos" w:eastAsia="Times New Roman" w:hAnsi="Aptos" w:cs="Calibri"/>
            <w:kern w:val="0"/>
            <w14:ligatures w14:val="none"/>
          </w:rPr>
          <w:t xml:space="preserve"> evaluation</w:t>
        </w:r>
      </w:hyperlink>
      <w:r w:rsidRPr="00550E1F">
        <w:rPr>
          <w:rFonts w:ascii="Aptos" w:hAnsi="Aptos"/>
        </w:rPr>
        <w:t xml:space="preserve"> which gathers feedback from teacher candidates, supervising practitioners, program supervisors, and administrators about the practicum experience and growth towards shared outcomes. The 360</w:t>
      </w:r>
      <w:r w:rsidR="001D459F" w:rsidRPr="00550E1F">
        <w:rPr>
          <w:rFonts w:ascii="Aptos" w:eastAsia="Symbol" w:hAnsi="Aptos" w:cs="Symbol"/>
        </w:rPr>
        <w:t>°</w:t>
      </w:r>
      <w:r w:rsidRPr="00550E1F">
        <w:rPr>
          <w:rFonts w:ascii="Aptos" w:hAnsi="Aptos"/>
        </w:rPr>
        <w:t xml:space="preserve"> evaluation compliments student-centered data in which candidates collect and reflect upon evidence of their growth through the program, using tools such as the </w:t>
      </w:r>
      <w:hyperlink w:anchor="_Stonehill_College’s_Example" w:history="1">
        <w:r w:rsidRPr="00550E1F">
          <w:rPr>
            <w:rStyle w:val="Hyperlink"/>
            <w:rFonts w:ascii="Aptos" w:eastAsia="Times New Roman" w:hAnsi="Aptos" w:cs="Calibri"/>
            <w:kern w:val="0"/>
            <w14:ligatures w14:val="none"/>
          </w:rPr>
          <w:t>Matrix of Practicum Experiences (MOPEX) Matrix</w:t>
        </w:r>
      </w:hyperlink>
      <w:r w:rsidRPr="00550E1F">
        <w:rPr>
          <w:rFonts w:ascii="Aptos" w:hAnsi="Aptos"/>
        </w:rPr>
        <w:t xml:space="preserve">, Student Support Access &amp; Success Framework (SSAS) which includes a student Career and Educator Readiness (CAER) Dispositions self-assessment, and student-created </w:t>
      </w:r>
      <w:hyperlink w:anchor="MTEL" w:history="1">
        <w:r w:rsidRPr="00550E1F">
          <w:rPr>
            <w:rStyle w:val="Hyperlink"/>
            <w:rFonts w:ascii="Aptos" w:eastAsia="Times New Roman" w:hAnsi="Aptos" w:cs="Calibri"/>
            <w:kern w:val="0"/>
            <w14:ligatures w14:val="none"/>
          </w:rPr>
          <w:t>MTEL Plan of Action (MPA)</w:t>
        </w:r>
      </w:hyperlink>
      <w:r w:rsidRPr="00550E1F">
        <w:rPr>
          <w:rFonts w:ascii="Aptos" w:hAnsi="Aptos"/>
        </w:rPr>
        <w:t xml:space="preserve"> which comprehensively offer a holistic picture of if and how education candidates are meeting program outcomes (see the </w:t>
      </w:r>
      <w:r w:rsidR="0082314A" w:rsidRPr="00550E1F">
        <w:rPr>
          <w:rFonts w:ascii="Aptos" w:hAnsi="Aptos"/>
        </w:rPr>
        <w:t>P</w:t>
      </w:r>
      <w:r w:rsidRPr="00550E1F">
        <w:rPr>
          <w:rFonts w:ascii="Aptos" w:hAnsi="Aptos"/>
        </w:rPr>
        <w:t xml:space="preserve">romising </w:t>
      </w:r>
      <w:r w:rsidR="0082314A" w:rsidRPr="00550E1F">
        <w:rPr>
          <w:rFonts w:ascii="Aptos" w:hAnsi="Aptos"/>
        </w:rPr>
        <w:t>P</w:t>
      </w:r>
      <w:r w:rsidRPr="00550E1F">
        <w:rPr>
          <w:rFonts w:ascii="Aptos" w:hAnsi="Aptos"/>
        </w:rPr>
        <w:t xml:space="preserve">ractices </w:t>
      </w:r>
      <w:r w:rsidR="009E3DF0" w:rsidRPr="00550E1F">
        <w:rPr>
          <w:rFonts w:ascii="Aptos" w:hAnsi="Aptos"/>
        </w:rPr>
        <w:t>Guide</w:t>
      </w:r>
      <w:r w:rsidRPr="00550E1F">
        <w:rPr>
          <w:rFonts w:ascii="Aptos" w:hAnsi="Aptos"/>
        </w:rPr>
        <w:t xml:space="preserve"> for more information on these tools). Drs. Stringer-Keefe and Louis have also conducted a self-study, or self-initiated and focused research approach for studying professional practice settings (Kuber LaBoskey, 2004), to understand the degree to which their own practice aligns with the Equity in Teacher Education Teacher Equity Framework (</w:t>
      </w:r>
      <w:r w:rsidRPr="00550E1F">
        <w:rPr>
          <w:rFonts w:ascii="Aptos" w:hAnsi="Aptos"/>
          <w:i/>
          <w:iCs/>
        </w:rPr>
        <w:t>forthcoming</w:t>
      </w:r>
      <w:r w:rsidRPr="00550E1F">
        <w:rPr>
          <w:rFonts w:ascii="Aptos" w:hAnsi="Aptos"/>
        </w:rPr>
        <w:t>). They also utilize this data for self-reflection and as a part of the continuous improvement process.</w:t>
      </w:r>
    </w:p>
    <w:p w14:paraId="182020CC" w14:textId="24FA4E05" w:rsidR="00C73618" w:rsidRPr="00550E1F" w:rsidRDefault="00C73618" w:rsidP="007C3D1C">
      <w:pPr>
        <w:pStyle w:val="BodyText"/>
        <w:rPr>
          <w:rFonts w:ascii="Aptos" w:hAnsi="Aptos" w:cs="Times New Roman"/>
        </w:rPr>
      </w:pPr>
      <w:r w:rsidRPr="00550E1F">
        <w:rPr>
          <w:rFonts w:ascii="Aptos" w:hAnsi="Aptos"/>
          <w:b/>
          <w:bCs/>
        </w:rPr>
        <w:t xml:space="preserve">Promising Practice #3: Recurring </w:t>
      </w:r>
      <w:r w:rsidR="00F42AFA" w:rsidRPr="00550E1F">
        <w:rPr>
          <w:rFonts w:ascii="Aptos" w:hAnsi="Aptos"/>
          <w:b/>
          <w:bCs/>
        </w:rPr>
        <w:t>o</w:t>
      </w:r>
      <w:r w:rsidRPr="00550E1F">
        <w:rPr>
          <w:rFonts w:ascii="Aptos" w:hAnsi="Aptos"/>
          <w:b/>
          <w:bCs/>
        </w:rPr>
        <w:t xml:space="preserve">pportunities to </w:t>
      </w:r>
      <w:r w:rsidR="00F42AFA" w:rsidRPr="00550E1F">
        <w:rPr>
          <w:rFonts w:ascii="Aptos" w:hAnsi="Aptos"/>
          <w:b/>
          <w:bCs/>
        </w:rPr>
        <w:t>a</w:t>
      </w:r>
      <w:r w:rsidRPr="00550E1F">
        <w:rPr>
          <w:rFonts w:ascii="Aptos" w:hAnsi="Aptos"/>
          <w:b/>
          <w:bCs/>
        </w:rPr>
        <w:t xml:space="preserve">ccess, </w:t>
      </w:r>
      <w:r w:rsidR="00F42AFA" w:rsidRPr="00550E1F">
        <w:rPr>
          <w:rFonts w:ascii="Aptos" w:hAnsi="Aptos"/>
          <w:b/>
          <w:bCs/>
        </w:rPr>
        <w:t>a</w:t>
      </w:r>
      <w:r w:rsidRPr="00550E1F">
        <w:rPr>
          <w:rFonts w:ascii="Aptos" w:hAnsi="Aptos"/>
          <w:b/>
          <w:bCs/>
        </w:rPr>
        <w:t xml:space="preserve">nalyze, </w:t>
      </w:r>
      <w:r w:rsidR="00F42AFA" w:rsidRPr="00550E1F">
        <w:rPr>
          <w:rFonts w:ascii="Aptos" w:hAnsi="Aptos"/>
          <w:b/>
          <w:bCs/>
        </w:rPr>
        <w:t>d</w:t>
      </w:r>
      <w:r w:rsidRPr="00550E1F">
        <w:rPr>
          <w:rFonts w:ascii="Aptos" w:hAnsi="Aptos"/>
          <w:b/>
          <w:bCs/>
        </w:rPr>
        <w:t xml:space="preserve">iscuss, and </w:t>
      </w:r>
      <w:r w:rsidR="00F42AFA" w:rsidRPr="00550E1F">
        <w:rPr>
          <w:rFonts w:ascii="Aptos" w:hAnsi="Aptos"/>
          <w:b/>
          <w:bCs/>
        </w:rPr>
        <w:t>m</w:t>
      </w:r>
      <w:r w:rsidRPr="00550E1F">
        <w:rPr>
          <w:rFonts w:ascii="Aptos" w:hAnsi="Aptos"/>
          <w:b/>
          <w:bCs/>
        </w:rPr>
        <w:t xml:space="preserve">ake </w:t>
      </w:r>
      <w:r w:rsidR="00F42AFA" w:rsidRPr="00550E1F">
        <w:rPr>
          <w:rFonts w:ascii="Aptos" w:hAnsi="Aptos"/>
          <w:b/>
          <w:bCs/>
        </w:rPr>
        <w:t>e</w:t>
      </w:r>
      <w:r w:rsidRPr="00550E1F">
        <w:rPr>
          <w:rFonts w:ascii="Aptos" w:hAnsi="Aptos"/>
          <w:b/>
          <w:bCs/>
        </w:rPr>
        <w:t xml:space="preserve">quitable </w:t>
      </w:r>
      <w:r w:rsidR="00F42AFA" w:rsidRPr="00550E1F">
        <w:rPr>
          <w:rFonts w:ascii="Aptos" w:hAnsi="Aptos"/>
          <w:b/>
          <w:bCs/>
        </w:rPr>
        <w:t>p</w:t>
      </w:r>
      <w:r w:rsidRPr="00550E1F">
        <w:rPr>
          <w:rFonts w:ascii="Aptos" w:hAnsi="Aptos"/>
          <w:b/>
          <w:bCs/>
        </w:rPr>
        <w:t xml:space="preserve">rogrammatic </w:t>
      </w:r>
      <w:r w:rsidR="00F42AFA" w:rsidRPr="00550E1F">
        <w:rPr>
          <w:rFonts w:ascii="Aptos" w:hAnsi="Aptos"/>
          <w:b/>
          <w:bCs/>
        </w:rPr>
        <w:t>c</w:t>
      </w:r>
      <w:r w:rsidRPr="00550E1F">
        <w:rPr>
          <w:rFonts w:ascii="Aptos" w:hAnsi="Aptos"/>
          <w:b/>
          <w:bCs/>
        </w:rPr>
        <w:t xml:space="preserve">hanges </w:t>
      </w:r>
      <w:r w:rsidR="00F42AFA" w:rsidRPr="00550E1F">
        <w:rPr>
          <w:rFonts w:ascii="Aptos" w:hAnsi="Aptos"/>
          <w:b/>
          <w:bCs/>
        </w:rPr>
        <w:t>b</w:t>
      </w:r>
      <w:r w:rsidRPr="00550E1F">
        <w:rPr>
          <w:rFonts w:ascii="Aptos" w:hAnsi="Aptos"/>
          <w:b/>
          <w:bCs/>
        </w:rPr>
        <w:t xml:space="preserve">ased on </w:t>
      </w:r>
      <w:r w:rsidR="00F42AFA" w:rsidRPr="00550E1F">
        <w:rPr>
          <w:rFonts w:ascii="Aptos" w:hAnsi="Aptos"/>
          <w:b/>
          <w:bCs/>
        </w:rPr>
        <w:t>d</w:t>
      </w:r>
      <w:r w:rsidRPr="00550E1F">
        <w:rPr>
          <w:rFonts w:ascii="Aptos" w:hAnsi="Aptos"/>
          <w:b/>
          <w:bCs/>
        </w:rPr>
        <w:t>ata</w:t>
      </w:r>
      <w:r w:rsidR="000E377D" w:rsidRPr="00550E1F">
        <w:rPr>
          <w:rFonts w:ascii="Aptos" w:hAnsi="Aptos"/>
          <w:b/>
          <w:bCs/>
        </w:rPr>
        <w:t>.</w:t>
      </w:r>
      <w:r w:rsidRPr="00550E1F">
        <w:rPr>
          <w:rFonts w:ascii="Aptos" w:hAnsi="Aptos"/>
        </w:rPr>
        <w:t xml:space="preserve"> Drs. Stringer-Keefe and Louis facilitate assessment retreats for the faculty who teach and support the Stonehill graduate program. During these retreats, faculty review their program’s portfolio to highlight successes, name potential areas of need, and ensure continuity of certain efficacious program and instructional practices across all coursework that are making a positive impact based on the data. During these retreats, faculty also analyze and discuss student work, such as gateway tasks and key assignments in relation to key program outcomes.</w:t>
      </w:r>
    </w:p>
    <w:p w14:paraId="2396FB04" w14:textId="4D3BCC91" w:rsidR="00C73618" w:rsidRPr="00550E1F" w:rsidRDefault="00C73618" w:rsidP="007C3D1C">
      <w:pPr>
        <w:pStyle w:val="BodyText"/>
        <w:rPr>
          <w:rFonts w:ascii="Aptos" w:hAnsi="Aptos" w:cs="Times New Roman"/>
        </w:rPr>
      </w:pPr>
      <w:r w:rsidRPr="00550E1F">
        <w:rPr>
          <w:rFonts w:ascii="Aptos" w:hAnsi="Aptos"/>
        </w:rPr>
        <w:t>Additionally, during assessment retreats, faculty utilize a portfolio of data, including the 360 evaluation feedback, MOPEX evidence, and student data from gateway tasks to assess and make changes to the program structure and course instruction. For example, the data from the 360 evaluation supports faculty to ensure that each component of SO-district partnerships and members in these partnerships are reflecting the equitable values and outcomes based on the framework. There are multiple ways in which faculty can pivot if the data from the 360 evaluation suggests misalignment with the framework, including providing professional development for district partners or no longer continuing to partner with certain sites.</w:t>
      </w:r>
    </w:p>
    <w:p w14:paraId="7228982D" w14:textId="0980821D" w:rsidR="00C73618" w:rsidRPr="00550E1F" w:rsidRDefault="00C73618" w:rsidP="007C3D1C">
      <w:pPr>
        <w:pStyle w:val="BodyText"/>
        <w:rPr>
          <w:rFonts w:ascii="Aptos" w:hAnsi="Aptos" w:cs="Times New Roman"/>
        </w:rPr>
      </w:pPr>
      <w:r w:rsidRPr="00550E1F">
        <w:rPr>
          <w:rFonts w:ascii="Aptos" w:hAnsi="Aptos"/>
        </w:rPr>
        <w:t>School and district leaders also intermittently review the data from the MOPEX, into which candidates and supervising practitioners provide evidence for how education candidates are meeting specific required practicum experiences. All participating faculty utilize this data to discuss supports that candidates might need and ways to adjust coursework or mentorship.</w:t>
      </w:r>
    </w:p>
    <w:p w14:paraId="1A62DA61" w14:textId="4EFFC823" w:rsidR="00C73618" w:rsidRPr="00550E1F" w:rsidRDefault="00C73618" w:rsidP="007C3D1C">
      <w:pPr>
        <w:pStyle w:val="BodyText"/>
        <w:rPr>
          <w:rFonts w:ascii="Aptos" w:hAnsi="Aptos" w:cs="Times New Roman"/>
        </w:rPr>
      </w:pPr>
      <w:r w:rsidRPr="00550E1F">
        <w:rPr>
          <w:rFonts w:ascii="Aptos" w:hAnsi="Aptos"/>
          <w:b/>
          <w:bCs/>
        </w:rPr>
        <w:t>Promising Practice #4: Incorporat</w:t>
      </w:r>
      <w:r w:rsidR="00B80C71">
        <w:rPr>
          <w:rFonts w:ascii="Aptos" w:hAnsi="Aptos"/>
          <w:b/>
          <w:bCs/>
        </w:rPr>
        <w:t>ing</w:t>
      </w:r>
      <w:r w:rsidRPr="00550E1F">
        <w:rPr>
          <w:rFonts w:ascii="Aptos" w:hAnsi="Aptos"/>
          <w:b/>
          <w:bCs/>
        </w:rPr>
        <w:t xml:space="preserve"> </w:t>
      </w:r>
      <w:r w:rsidR="00F42AFA" w:rsidRPr="00550E1F">
        <w:rPr>
          <w:rFonts w:ascii="Aptos" w:hAnsi="Aptos"/>
          <w:b/>
          <w:bCs/>
        </w:rPr>
        <w:t>p</w:t>
      </w:r>
      <w:r w:rsidRPr="00550E1F">
        <w:rPr>
          <w:rFonts w:ascii="Aptos" w:hAnsi="Aptos"/>
          <w:b/>
          <w:bCs/>
        </w:rPr>
        <w:t xml:space="preserve">rogrammatic </w:t>
      </w:r>
      <w:r w:rsidR="00F42AFA" w:rsidRPr="00550E1F">
        <w:rPr>
          <w:rFonts w:ascii="Aptos" w:hAnsi="Aptos"/>
          <w:b/>
          <w:bCs/>
        </w:rPr>
        <w:t>o</w:t>
      </w:r>
      <w:r w:rsidRPr="00550E1F">
        <w:rPr>
          <w:rFonts w:ascii="Aptos" w:hAnsi="Aptos"/>
          <w:b/>
          <w:bCs/>
        </w:rPr>
        <w:t xml:space="preserve">pportunities for </w:t>
      </w:r>
      <w:r w:rsidR="00F42AFA" w:rsidRPr="00550E1F">
        <w:rPr>
          <w:rFonts w:ascii="Aptos" w:hAnsi="Aptos"/>
          <w:b/>
          <w:bCs/>
        </w:rPr>
        <w:t>e</w:t>
      </w:r>
      <w:r w:rsidRPr="00550E1F">
        <w:rPr>
          <w:rFonts w:ascii="Aptos" w:hAnsi="Aptos"/>
          <w:b/>
          <w:bCs/>
        </w:rPr>
        <w:t xml:space="preserve">ducation </w:t>
      </w:r>
      <w:r w:rsidR="00F42AFA" w:rsidRPr="00550E1F">
        <w:rPr>
          <w:rFonts w:ascii="Aptos" w:hAnsi="Aptos"/>
          <w:b/>
          <w:bCs/>
        </w:rPr>
        <w:t>c</w:t>
      </w:r>
      <w:r w:rsidRPr="00550E1F">
        <w:rPr>
          <w:rFonts w:ascii="Aptos" w:hAnsi="Aptos"/>
          <w:b/>
          <w:bCs/>
        </w:rPr>
        <w:t xml:space="preserve">andidates to </w:t>
      </w:r>
      <w:r w:rsidR="00F42AFA" w:rsidRPr="00550E1F">
        <w:rPr>
          <w:rFonts w:ascii="Aptos" w:hAnsi="Aptos"/>
          <w:b/>
          <w:bCs/>
        </w:rPr>
        <w:t>c</w:t>
      </w:r>
      <w:r w:rsidRPr="00550E1F">
        <w:rPr>
          <w:rFonts w:ascii="Aptos" w:hAnsi="Aptos"/>
          <w:b/>
          <w:bCs/>
        </w:rPr>
        <w:t xml:space="preserve">ontribute to and </w:t>
      </w:r>
      <w:r w:rsidR="00F42AFA" w:rsidRPr="00550E1F">
        <w:rPr>
          <w:rFonts w:ascii="Aptos" w:hAnsi="Aptos"/>
          <w:b/>
          <w:bCs/>
        </w:rPr>
        <w:t>m</w:t>
      </w:r>
      <w:r w:rsidRPr="00550E1F">
        <w:rPr>
          <w:rFonts w:ascii="Aptos" w:hAnsi="Aptos"/>
          <w:b/>
          <w:bCs/>
        </w:rPr>
        <w:t xml:space="preserve">irror </w:t>
      </w:r>
      <w:r w:rsidR="00F42AFA" w:rsidRPr="00550E1F">
        <w:rPr>
          <w:rFonts w:ascii="Aptos" w:hAnsi="Aptos"/>
          <w:b/>
          <w:bCs/>
        </w:rPr>
        <w:t>c</w:t>
      </w:r>
      <w:r w:rsidRPr="00550E1F">
        <w:rPr>
          <w:rFonts w:ascii="Aptos" w:hAnsi="Aptos"/>
          <w:b/>
          <w:bCs/>
        </w:rPr>
        <w:t xml:space="preserve">ontinuous </w:t>
      </w:r>
      <w:r w:rsidR="00F42AFA" w:rsidRPr="00550E1F">
        <w:rPr>
          <w:rFonts w:ascii="Aptos" w:hAnsi="Aptos"/>
          <w:b/>
          <w:bCs/>
        </w:rPr>
        <w:t>i</w:t>
      </w:r>
      <w:r w:rsidRPr="00550E1F">
        <w:rPr>
          <w:rFonts w:ascii="Aptos" w:hAnsi="Aptos"/>
          <w:b/>
          <w:bCs/>
        </w:rPr>
        <w:t xml:space="preserve">mprovement </w:t>
      </w:r>
      <w:r w:rsidR="00F42AFA" w:rsidRPr="00550E1F">
        <w:rPr>
          <w:rFonts w:ascii="Aptos" w:hAnsi="Aptos"/>
          <w:b/>
          <w:bCs/>
        </w:rPr>
        <w:t>p</w:t>
      </w:r>
      <w:r w:rsidRPr="00550E1F">
        <w:rPr>
          <w:rFonts w:ascii="Aptos" w:hAnsi="Aptos"/>
          <w:b/>
          <w:bCs/>
        </w:rPr>
        <w:t>ractices</w:t>
      </w:r>
      <w:r w:rsidR="000E377D" w:rsidRPr="00550E1F">
        <w:rPr>
          <w:rFonts w:ascii="Aptos" w:hAnsi="Aptos"/>
          <w:b/>
          <w:bCs/>
        </w:rPr>
        <w:t>.</w:t>
      </w:r>
      <w:r w:rsidRPr="00550E1F">
        <w:rPr>
          <w:rFonts w:ascii="Aptos" w:hAnsi="Aptos"/>
        </w:rPr>
        <w:t xml:space="preserve"> Stonehill College utilizes data and tools that afford education candidates the opportunity to collect evidence themselves about how they are meeting program outcomes and dispositions. This frequent engagement of education candidates with data tools, along with regular meetings with faculty and advisors to speak about their evidence towards program outcomes, is intended to foster a heightened understanding of candidates’ own goals and progress towards their goals. Education candidates utilize the MOPEX during practicum to discuss progress with faculty, program supervisors, and supervising practitioner</w:t>
      </w:r>
      <w:r w:rsidR="0027766D" w:rsidRPr="00550E1F">
        <w:rPr>
          <w:rFonts w:ascii="Aptos" w:hAnsi="Aptos"/>
        </w:rPr>
        <w:t>s</w:t>
      </w:r>
      <w:r w:rsidRPr="00550E1F">
        <w:rPr>
          <w:rFonts w:ascii="Aptos" w:hAnsi="Aptos"/>
        </w:rPr>
        <w:t>. Education candidates also collect data through reflections in strategic assessments after each class session. Faculty review candidate reflections in order to build candidate capacity toward continuous reflection.</w:t>
      </w:r>
    </w:p>
    <w:p w14:paraId="5D608198" w14:textId="08D03F83" w:rsidR="00C73618" w:rsidRPr="00550E1F" w:rsidRDefault="00C73618" w:rsidP="007C3D1C">
      <w:pPr>
        <w:pStyle w:val="BodyText"/>
        <w:rPr>
          <w:rFonts w:ascii="Aptos" w:hAnsi="Aptos" w:cs="Times New Roman"/>
        </w:rPr>
      </w:pPr>
      <w:r w:rsidRPr="00550E1F">
        <w:rPr>
          <w:rFonts w:ascii="Aptos" w:hAnsi="Aptos"/>
          <w:b/>
          <w:bCs/>
        </w:rPr>
        <w:t>Next steps and continuous growth</w:t>
      </w:r>
      <w:r w:rsidR="0027766D" w:rsidRPr="00550E1F">
        <w:rPr>
          <w:rFonts w:ascii="Aptos" w:hAnsi="Aptos"/>
          <w:b/>
          <w:bCs/>
        </w:rPr>
        <w:t>:</w:t>
      </w:r>
      <w:r w:rsidRPr="00550E1F">
        <w:rPr>
          <w:rFonts w:ascii="Aptos" w:hAnsi="Aptos"/>
          <w:b/>
          <w:bCs/>
        </w:rPr>
        <w:t xml:space="preserve"> </w:t>
      </w:r>
      <w:r w:rsidRPr="00550E1F">
        <w:rPr>
          <w:rFonts w:ascii="Aptos" w:hAnsi="Aptos"/>
        </w:rPr>
        <w:t xml:space="preserve">Stonehill College is still thinking through ways to grow their graduate program and decrease barriers to entrance and success for education candidates, particularly teacher candidates of </w:t>
      </w:r>
      <w:r w:rsidR="0027766D" w:rsidRPr="00550E1F">
        <w:rPr>
          <w:rFonts w:ascii="Aptos" w:hAnsi="Aptos"/>
        </w:rPr>
        <w:t>c</w:t>
      </w:r>
      <w:r w:rsidRPr="00550E1F">
        <w:rPr>
          <w:rFonts w:ascii="Aptos" w:hAnsi="Aptos"/>
        </w:rPr>
        <w:t>olor. Faculty and administration will continue to gather data through surveys, student-led artifacts, and self-study in their process for determining next steps and equitably improving their teacher preparation program.</w:t>
      </w:r>
    </w:p>
    <w:p w14:paraId="49879CA3" w14:textId="77777777" w:rsidR="00C73618" w:rsidRDefault="00C73618" w:rsidP="007C3D1C">
      <w:r>
        <w:br w:type="page"/>
      </w:r>
    </w:p>
    <w:p w14:paraId="2B922940" w14:textId="67B9BECB" w:rsidR="00C73618" w:rsidRDefault="003C26D5" w:rsidP="0010457E">
      <w:pPr>
        <w:pStyle w:val="NormalWeb"/>
        <w:spacing w:before="360" w:beforeAutospacing="0"/>
      </w:pPr>
      <w:r>
        <w:rPr>
          <w:noProof/>
          <w:color w:val="163A42"/>
        </w:rPr>
        <mc:AlternateContent>
          <mc:Choice Requires="wps">
            <w:drawing>
              <wp:anchor distT="0" distB="0" distL="114300" distR="114300" simplePos="0" relativeHeight="251658249" behindDoc="0" locked="0" layoutInCell="1" allowOverlap="1" wp14:anchorId="7E5DE350" wp14:editId="21E9E927">
                <wp:simplePos x="0" y="0"/>
                <wp:positionH relativeFrom="column">
                  <wp:posOffset>-34290</wp:posOffset>
                </wp:positionH>
                <wp:positionV relativeFrom="paragraph">
                  <wp:posOffset>-19050</wp:posOffset>
                </wp:positionV>
                <wp:extent cx="6400800" cy="365760"/>
                <wp:effectExtent l="0" t="0" r="12700" b="15240"/>
                <wp:wrapNone/>
                <wp:docPr id="1047641977" name="Text Box 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solidFill>
                            <a:prstClr val="black"/>
                          </a:solidFill>
                        </a:ln>
                      </wps:spPr>
                      <wps:txbx>
                        <w:txbxContent>
                          <w:p w14:paraId="647F787C" w14:textId="74F0F701" w:rsidR="006F6154" w:rsidRPr="00550E1F" w:rsidRDefault="008E60DF" w:rsidP="003C26D5">
                            <w:pPr>
                              <w:pStyle w:val="Heading2a"/>
                              <w:rPr>
                                <w:sz w:val="36"/>
                                <w:szCs w:val="56"/>
                              </w:rPr>
                            </w:pPr>
                            <w:bookmarkStart w:id="37" w:name="_Toc170897341"/>
                            <w:r w:rsidRPr="00550E1F">
                              <w:rPr>
                                <w:sz w:val="36"/>
                                <w:szCs w:val="56"/>
                              </w:rPr>
                              <w:t xml:space="preserve">Springfield </w:t>
                            </w:r>
                            <w:r w:rsidR="006F6154" w:rsidRPr="00550E1F">
                              <w:rPr>
                                <w:sz w:val="36"/>
                                <w:szCs w:val="56"/>
                              </w:rPr>
                              <w:t>College</w:t>
                            </w:r>
                            <w:r w:rsidR="00B80C71" w:rsidRPr="00550E1F">
                              <w:rPr>
                                <w:sz w:val="36"/>
                                <w:szCs w:val="56"/>
                              </w:rPr>
                              <w:t>:</w:t>
                            </w:r>
                            <w:r w:rsidR="006F6154" w:rsidRPr="00550E1F">
                              <w:rPr>
                                <w:sz w:val="36"/>
                                <w:szCs w:val="56"/>
                              </w:rPr>
                              <w:t xml:space="preserve"> </w:t>
                            </w:r>
                            <w:r w:rsidRPr="00550E1F">
                              <w:rPr>
                                <w:sz w:val="36"/>
                                <w:szCs w:val="56"/>
                              </w:rPr>
                              <w:t>Candidate Supports</w:t>
                            </w:r>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DE350" id="_x0000_s1031" type="#_x0000_t202" style="position:absolute;margin-left:-2.7pt;margin-top:-1.5pt;width:7in;height:2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" fillcolor="#1f3763 [1604]" strokeweight=".5pt">
                <v:textbox>
                  <w:txbxContent>
                    <w:p w14:paraId="647F787C" w14:textId="74F0F701" w:rsidR="006F6154" w:rsidRPr="00550E1F" w:rsidRDefault="008E60DF" w:rsidP="003C26D5">
                      <w:pPr>
                        <w:pStyle w:val="Heading2a"/>
                        <w:rPr>
                          <w:sz w:val="36"/>
                          <w:szCs w:val="56"/>
                        </w:rPr>
                      </w:pPr>
                      <w:bookmarkStart w:id="44" w:name="_Toc170897341"/>
                      <w:r w:rsidRPr="00550E1F">
                        <w:rPr>
                          <w:sz w:val="36"/>
                          <w:szCs w:val="56"/>
                        </w:rPr>
                        <w:t xml:space="preserve">Springfield </w:t>
                      </w:r>
                      <w:r w:rsidR="006F6154" w:rsidRPr="00550E1F">
                        <w:rPr>
                          <w:sz w:val="36"/>
                          <w:szCs w:val="56"/>
                        </w:rPr>
                        <w:t>College</w:t>
                      </w:r>
                      <w:r w:rsidR="00B80C71" w:rsidRPr="00550E1F">
                        <w:rPr>
                          <w:sz w:val="36"/>
                          <w:szCs w:val="56"/>
                        </w:rPr>
                        <w:t>:</w:t>
                      </w:r>
                      <w:r w:rsidR="006F6154" w:rsidRPr="00550E1F">
                        <w:rPr>
                          <w:sz w:val="36"/>
                          <w:szCs w:val="56"/>
                        </w:rPr>
                        <w:t xml:space="preserve"> </w:t>
                      </w:r>
                      <w:r w:rsidRPr="00550E1F">
                        <w:rPr>
                          <w:sz w:val="36"/>
                          <w:szCs w:val="56"/>
                        </w:rPr>
                        <w:t>Candidate Supports</w:t>
                      </w:r>
                      <w:bookmarkEnd w:id="44"/>
                    </w:p>
                  </w:txbxContent>
                </v:textbox>
              </v:shape>
            </w:pict>
          </mc:Fallback>
        </mc:AlternateContent>
      </w:r>
      <w:r w:rsidR="0017754F" w:rsidRPr="008E2A84">
        <w:rPr>
          <w:noProof/>
        </w:rPr>
        <mc:AlternateContent>
          <mc:Choice Requires="wps">
            <w:drawing>
              <wp:anchor distT="0" distB="0" distL="114300" distR="114300" simplePos="0" relativeHeight="251658256" behindDoc="0" locked="0" layoutInCell="1" allowOverlap="1" wp14:anchorId="02F8F6BE" wp14:editId="47720834">
                <wp:simplePos x="0" y="0"/>
                <wp:positionH relativeFrom="column">
                  <wp:posOffset>-34290</wp:posOffset>
                </wp:positionH>
                <wp:positionV relativeFrom="paragraph">
                  <wp:posOffset>346891</wp:posOffset>
                </wp:positionV>
                <wp:extent cx="6400800" cy="0"/>
                <wp:effectExtent l="0" t="12700" r="25400" b="25400"/>
                <wp:wrapNone/>
                <wp:docPr id="199967273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98919C" id="Straight Connector 1" o:spid="_x0000_s1026" alt="&quot;&quot;" style="position:absolute;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27.3pt" to="501.3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" strokecolor="#8c1176" strokeweight="3pt">
                <v:stroke joinstyle="miter"/>
              </v:line>
            </w:pict>
          </mc:Fallback>
        </mc:AlternateContent>
      </w:r>
    </w:p>
    <w:p w14:paraId="214539EB" w14:textId="44B683FD" w:rsidR="00C73618" w:rsidRPr="00550E1F" w:rsidRDefault="00C73618" w:rsidP="0017754F">
      <w:pPr>
        <w:pStyle w:val="BodyText"/>
        <w:spacing w:before="360" w:line="240" w:lineRule="auto"/>
        <w:rPr>
          <w:rFonts w:ascii="Aptos" w:hAnsi="Aptos"/>
        </w:rPr>
      </w:pPr>
      <w:r w:rsidRPr="00550E1F">
        <w:rPr>
          <w:rFonts w:ascii="Aptos" w:hAnsi="Aptos"/>
        </w:rPr>
        <w:t xml:space="preserve">Read about how Springfield College provides strong supports for its candidates by centering equity, engaging diverse voices </w:t>
      </w:r>
      <w:r w:rsidR="00182049" w:rsidRPr="00550E1F">
        <w:rPr>
          <w:rFonts w:ascii="Aptos" w:hAnsi="Aptos"/>
        </w:rPr>
        <w:t>in</w:t>
      </w:r>
      <w:r w:rsidRPr="00550E1F">
        <w:rPr>
          <w:rFonts w:ascii="Aptos" w:hAnsi="Aptos"/>
        </w:rPr>
        <w:t xml:space="preserve"> decision-making, and offering prolonged, targeted assistance from recruitment through to licensure, ensuring every completer is well-prepared for their professional journey. Explore tools and consider how their best practices can be adapted to your own context and program.</w:t>
      </w:r>
    </w:p>
    <w:p w14:paraId="043D7B5B" w14:textId="2F9D9BF2" w:rsidR="00864021" w:rsidRPr="00550E1F" w:rsidRDefault="008E60DF" w:rsidP="007C3D1C">
      <w:pPr>
        <w:pStyle w:val="BodyText"/>
        <w:rPr>
          <w:rFonts w:ascii="Aptos" w:hAnsi="Aptos"/>
        </w:rPr>
      </w:pPr>
      <w:r w:rsidRPr="00550E1F">
        <w:rPr>
          <w:rFonts w:ascii="Aptos" w:hAnsi="Aptos"/>
          <w:noProof/>
          <w:bdr w:val="none" w:sz="0" w:space="0" w:color="auto" w:frame="1"/>
        </w:rPr>
        <w:drawing>
          <wp:anchor distT="0" distB="0" distL="114300" distR="114300" simplePos="0" relativeHeight="251658241" behindDoc="0" locked="0" layoutInCell="1" allowOverlap="1" wp14:anchorId="7E1631E8" wp14:editId="56AA6F39">
            <wp:simplePos x="0" y="0"/>
            <wp:positionH relativeFrom="column">
              <wp:posOffset>-40005</wp:posOffset>
            </wp:positionH>
            <wp:positionV relativeFrom="paragraph">
              <wp:posOffset>53964</wp:posOffset>
            </wp:positionV>
            <wp:extent cx="3529330" cy="2390140"/>
            <wp:effectExtent l="0" t="0" r="1270" b="0"/>
            <wp:wrapThrough wrapText="bothSides">
              <wp:wrapPolygon edited="0">
                <wp:start x="0" y="0"/>
                <wp:lineTo x="0" y="21462"/>
                <wp:lineTo x="21530" y="21462"/>
                <wp:lineTo x="21530" y="0"/>
                <wp:lineTo x="0" y="0"/>
              </wp:wrapPolygon>
            </wp:wrapThrough>
            <wp:docPr id="15579711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7111" name="Picture 3">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933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618" w:rsidRPr="00550E1F">
        <w:rPr>
          <w:rFonts w:ascii="Aptos" w:hAnsi="Aptos"/>
          <w:b/>
          <w:bCs/>
        </w:rPr>
        <w:t xml:space="preserve">Context: </w:t>
      </w:r>
      <w:r w:rsidR="00C73618" w:rsidRPr="00550E1F">
        <w:rPr>
          <w:rFonts w:ascii="Aptos" w:hAnsi="Aptos"/>
        </w:rPr>
        <w:t>Springfield College is a small, private institution in the heart of Springfield, Massachusetts, home to one of the largest school districts in the state. Springfield College has a comprehensive education department that serves diverse undergraduate and graduate candidates across a variety of subject areas and student age groups.</w:t>
      </w:r>
    </w:p>
    <w:p w14:paraId="5C91990B" w14:textId="272FFD49" w:rsidR="00C73618" w:rsidRPr="00550E1F" w:rsidRDefault="00C73618" w:rsidP="007C3D1C">
      <w:pPr>
        <w:pStyle w:val="BodyText"/>
        <w:rPr>
          <w:rFonts w:ascii="Aptos" w:hAnsi="Aptos"/>
        </w:rPr>
      </w:pPr>
      <w:r w:rsidRPr="00550E1F">
        <w:rPr>
          <w:rFonts w:ascii="Aptos" w:hAnsi="Aptos"/>
          <w:b/>
          <w:bCs/>
        </w:rPr>
        <w:t xml:space="preserve">Promising Practice #1: Centering equity program-wide. </w:t>
      </w:r>
      <w:r w:rsidRPr="00550E1F">
        <w:rPr>
          <w:rFonts w:ascii="Aptos" w:hAnsi="Aptos"/>
        </w:rPr>
        <w:t>Springfield College has taken deliberate steps to weave cultural competence and responsiveness into the fabric of its program. For instance, Springfield College's faculty actively incorporate culturally responsive pedagogy (CRP) into the curriculum. Department Chair and Associate Professor, Dr. Stephanie Logan, who specializes in elementary, multicultural, and social justice education has played a key role in leading the department to thread these critical topics throughout program coursework. This integration ensures that CRP is a consistent element of the program rather than a topic isolated to a single course.</w:t>
      </w:r>
    </w:p>
    <w:p w14:paraId="58A915E2" w14:textId="00A79F8E" w:rsidR="00C73618" w:rsidRPr="00550E1F" w:rsidRDefault="00C73618" w:rsidP="007C3D1C">
      <w:pPr>
        <w:pStyle w:val="BodyText"/>
        <w:rPr>
          <w:rFonts w:ascii="Aptos" w:hAnsi="Aptos"/>
        </w:rPr>
      </w:pPr>
      <w:r w:rsidRPr="00550E1F">
        <w:rPr>
          <w:rFonts w:ascii="Aptos" w:hAnsi="Aptos"/>
        </w:rPr>
        <w:t>At Springfield, cultural responsiveness extends to all candidates, including those who are white. The college is committed to helping students confront and understand their own biases and the broader issues of structural inequality. Identity work is infused throughout the program courses</w:t>
      </w:r>
      <w:r w:rsidR="00845758" w:rsidRPr="00550E1F">
        <w:rPr>
          <w:rFonts w:ascii="Aptos" w:hAnsi="Aptos"/>
        </w:rPr>
        <w:t xml:space="preserve">. </w:t>
      </w:r>
      <w:r w:rsidR="009C15C5" w:rsidRPr="00550E1F">
        <w:rPr>
          <w:rFonts w:ascii="Aptos" w:hAnsi="Aptos"/>
        </w:rPr>
        <w:t>Extending the cultural responsiveness and anti-racist content embedded throughout the program curriculum</w:t>
      </w:r>
      <w:r w:rsidRPr="00550E1F">
        <w:rPr>
          <w:rFonts w:ascii="Aptos" w:hAnsi="Aptos"/>
        </w:rPr>
        <w:t xml:space="preserve">, Director of Educator Preparation, Valerie Annear, uses the book, </w:t>
      </w:r>
      <w:r w:rsidRPr="00550E1F">
        <w:rPr>
          <w:rFonts w:ascii="Aptos" w:hAnsi="Aptos"/>
          <w:i/>
          <w:iCs/>
        </w:rPr>
        <w:t>The Identity Conscious Educator</w:t>
      </w:r>
      <w:r w:rsidRPr="00550E1F">
        <w:rPr>
          <w:rFonts w:ascii="Aptos" w:hAnsi="Aptos"/>
        </w:rPr>
        <w:t xml:space="preserve"> by Liza A. Talusan, with practicum students to prompt discussion and reflection on how various aspects of identity influence teaching practices. By engaging with the framework presented in Talusan's book, Springfield's candidates consider the impact of race, social class, gender, sexual orientation, and disability on their professional identity and responsibilities.</w:t>
      </w:r>
    </w:p>
    <w:p w14:paraId="69B9659A" w14:textId="697642D7" w:rsidR="00C73618" w:rsidRPr="00550E1F" w:rsidRDefault="00C73618" w:rsidP="007C3D1C">
      <w:pPr>
        <w:pStyle w:val="BodyText"/>
        <w:rPr>
          <w:rFonts w:ascii="Aptos" w:hAnsi="Aptos"/>
        </w:rPr>
      </w:pPr>
      <w:r w:rsidRPr="00550E1F">
        <w:rPr>
          <w:rFonts w:ascii="Aptos" w:hAnsi="Aptos"/>
        </w:rPr>
        <w:t xml:space="preserve">Springfield College also incorporates the </w:t>
      </w:r>
      <w:hyperlink r:id="rId50" w:history="1">
        <w:r w:rsidRPr="00550E1F">
          <w:rPr>
            <w:rStyle w:val="Hyperlink"/>
            <w:rFonts w:ascii="Aptos" w:eastAsiaTheme="majorEastAsia" w:hAnsi="Aptos" w:cs="Calibri"/>
            <w:color w:val="0563C1"/>
          </w:rPr>
          <w:t>MA DESE’s culturally relevant pedagogy rubric</w:t>
        </w:r>
      </w:hyperlink>
      <w:r w:rsidRPr="00550E1F">
        <w:rPr>
          <w:rFonts w:ascii="Aptos" w:hAnsi="Aptos"/>
        </w:rPr>
        <w:t xml:space="preserve"> into their practicum expectations and explicitly engages candidates with using the rubric throughout practicum, prompting teacher candidates and program supervisors to understand the connections of CRP to the Essential Elements practicum students must </w:t>
      </w:r>
      <w:r w:rsidR="00C35A1C" w:rsidRPr="00550E1F">
        <w:rPr>
          <w:rFonts w:ascii="Aptos" w:hAnsi="Aptos"/>
        </w:rPr>
        <w:t>demonstrate</w:t>
      </w:r>
      <w:r w:rsidRPr="00550E1F">
        <w:rPr>
          <w:rFonts w:ascii="Aptos" w:hAnsi="Aptos"/>
        </w:rPr>
        <w:t xml:space="preserve"> in their teaching practice. It also supports candidates to critically examine their practices, aligning them with teacher indicators and exploring their application in the classroom. Together, providing culturally responsive instruction and support draws on research and considers candidates' identities to ensure their success in the program and for working with diverse PK-12 students in the future.</w:t>
      </w:r>
    </w:p>
    <w:p w14:paraId="087BB15F" w14:textId="4E7EA9A4" w:rsidR="00C73618" w:rsidRPr="00550E1F" w:rsidRDefault="00C73618" w:rsidP="007C3D1C">
      <w:pPr>
        <w:pStyle w:val="BodyText"/>
        <w:rPr>
          <w:rFonts w:ascii="Aptos" w:hAnsi="Aptos"/>
        </w:rPr>
      </w:pPr>
      <w:r w:rsidRPr="00550E1F">
        <w:rPr>
          <w:rFonts w:ascii="Aptos" w:hAnsi="Aptos"/>
          <w:b/>
          <w:bCs/>
        </w:rPr>
        <w:t xml:space="preserve">Promising </w:t>
      </w:r>
      <w:r w:rsidR="00F42AFA" w:rsidRPr="00550E1F">
        <w:rPr>
          <w:rFonts w:ascii="Aptos" w:hAnsi="Aptos"/>
          <w:b/>
          <w:bCs/>
        </w:rPr>
        <w:t>P</w:t>
      </w:r>
      <w:r w:rsidRPr="00550E1F">
        <w:rPr>
          <w:rFonts w:ascii="Aptos" w:hAnsi="Aptos"/>
          <w:b/>
          <w:bCs/>
        </w:rPr>
        <w:t xml:space="preserve">ractice #2: Making informed decisions using diverse voices. </w:t>
      </w:r>
      <w:r w:rsidRPr="00550E1F">
        <w:rPr>
          <w:rFonts w:ascii="Aptos" w:hAnsi="Aptos"/>
        </w:rPr>
        <w:t xml:space="preserve">Springfield College prioritizes candidate supports by ensuring that decisions are made with input from a variety of voices, reflecting a commitment to diversity and inclusivity. Springfield College actively maintains connections with alumni, who provide valuable feedback that shapes the support offered to current students in the program. Mentor teachers from partner schools provide real-time insights into the practical needs of educator candidates. In addition, strategic meetings with district leaders keep the college's curriculum and support systems aligned with the goals of local schools. To capture the full spectrum of feedback, faculty conduct surveys among students and practicum coordinators, with graduate student support to manage survey data. This information is then used to tailor support for candidates, whether their needs are academic help, test preparation, or emotional well-being. </w:t>
      </w:r>
      <w:r w:rsidR="003338FF" w:rsidRPr="00550E1F">
        <w:rPr>
          <w:rFonts w:ascii="Aptos" w:hAnsi="Aptos"/>
        </w:rPr>
        <w:t xml:space="preserve">Springfield College has also sought the perspectives of its candidates through several student advisory boards. One of the advisory boards consists of undergraduate students, graduate students, and recent program completers and is facilitated by the Director of Educator Preparation. The purpose of the advisory board is to ensure that candidate and completer voices directly influence candidate support. </w:t>
      </w:r>
    </w:p>
    <w:p w14:paraId="0C50369F" w14:textId="2E48283F" w:rsidR="00C73618" w:rsidRPr="00550E1F" w:rsidRDefault="00C73618" w:rsidP="007C3D1C">
      <w:pPr>
        <w:pStyle w:val="BodyText"/>
        <w:rPr>
          <w:rFonts w:ascii="Aptos" w:hAnsi="Aptos"/>
        </w:rPr>
      </w:pPr>
      <w:r w:rsidRPr="00550E1F">
        <w:rPr>
          <w:rFonts w:ascii="Aptos" w:hAnsi="Aptos"/>
          <w:b/>
          <w:bCs/>
        </w:rPr>
        <w:t xml:space="preserve">Promising Practice #3: Offering prolonged, targeted assistance to candidates. </w:t>
      </w:r>
      <w:r w:rsidRPr="00550E1F">
        <w:rPr>
          <w:rFonts w:ascii="Aptos" w:hAnsi="Aptos"/>
        </w:rPr>
        <w:t xml:space="preserve">Springfield offers strong candidate supports starting in candidates’ first year, throughout practicum experiences, and all the way through to graduation. Springfield College offers a robust support system throughout the four years of the program. The Educator Preparation Office at Springfield College plays a central role by providing multiple candidate supports including MTEL mentoring and study groups, financial support via MTEL vouchers for testing, and personalized one-on-one guidance from the Director of Educator Preparation. The </w:t>
      </w:r>
      <w:r w:rsidR="004B7A24" w:rsidRPr="00550E1F">
        <w:rPr>
          <w:rFonts w:ascii="Aptos" w:hAnsi="Aptos"/>
        </w:rPr>
        <w:t xml:space="preserve">Educator Preparation </w:t>
      </w:r>
      <w:r w:rsidRPr="00550E1F">
        <w:rPr>
          <w:rFonts w:ascii="Aptos" w:hAnsi="Aptos"/>
        </w:rPr>
        <w:t>Office also facilitates intensive practicum meetings, offering a forum for problem-solving and success sharing, and provides technical assistance with the Candidate Assessment of Performance (CAP). The Director of Educator Preparation meets with candidates three times</w:t>
      </w:r>
      <w:r w:rsidR="009108E2" w:rsidRPr="00550E1F">
        <w:rPr>
          <w:rFonts w:ascii="Aptos" w:hAnsi="Aptos"/>
        </w:rPr>
        <w:t xml:space="preserve"> for full days</w:t>
      </w:r>
      <w:r w:rsidRPr="00550E1F">
        <w:rPr>
          <w:rFonts w:ascii="Aptos" w:hAnsi="Aptos"/>
        </w:rPr>
        <w:t xml:space="preserve"> </w:t>
      </w:r>
      <w:r w:rsidR="009575A6" w:rsidRPr="00550E1F">
        <w:rPr>
          <w:rFonts w:ascii="Aptos" w:hAnsi="Aptos"/>
        </w:rPr>
        <w:t>during</w:t>
      </w:r>
      <w:r w:rsidRPr="00550E1F">
        <w:rPr>
          <w:rFonts w:ascii="Aptos" w:hAnsi="Aptos"/>
        </w:rPr>
        <w:t xml:space="preserve"> their practicum semester with the goals of providing additional support for candidates in areas of need and promoting self-care practices and routines around educator well-being and successful teaching practice. Topics explored during these meetings include a mini-module that introduces students to the structures of trauma-informed teaching practices and asks them to self-assess their implementation of key practices during practicum. Candidates are also provided with an introduction to the science of self-care, examples of self-care practices, and guidance to develop a self-care implementation plan. The Director of Educator Preparation provides feedback on plans and checks in with the candidates throughout their practicum.</w:t>
      </w:r>
    </w:p>
    <w:p w14:paraId="7C4C3292" w14:textId="6E904845" w:rsidR="00C73618" w:rsidRPr="00550E1F" w:rsidRDefault="00C73618" w:rsidP="007C3D1C">
      <w:pPr>
        <w:pStyle w:val="BodyText"/>
        <w:rPr>
          <w:rFonts w:ascii="Aptos" w:hAnsi="Aptos"/>
        </w:rPr>
      </w:pPr>
      <w:r w:rsidRPr="00550E1F">
        <w:rPr>
          <w:rFonts w:ascii="Aptos" w:hAnsi="Aptos"/>
        </w:rPr>
        <w:t>Complementing the individualized support, Springfield College also emphasizes the importance of community engagement and professional networking through the organization of social gatherings and clubs. These initiatives are specifically tailored to enrich the student experience for future educators, fostering a sense of community and belonging that extends beyond the classroom and into their professional lives.</w:t>
      </w:r>
    </w:p>
    <w:p w14:paraId="123D0FD1" w14:textId="682C3DFC" w:rsidR="00C73618" w:rsidRPr="00550E1F" w:rsidRDefault="00C73618" w:rsidP="007C3D1C">
      <w:pPr>
        <w:pStyle w:val="BodyText"/>
        <w:rPr>
          <w:rFonts w:ascii="Aptos" w:hAnsi="Aptos"/>
        </w:rPr>
      </w:pPr>
      <w:r w:rsidRPr="00550E1F">
        <w:rPr>
          <w:rFonts w:ascii="Aptos" w:hAnsi="Aptos"/>
          <w:b/>
          <w:bCs/>
        </w:rPr>
        <w:t xml:space="preserve">Next steps and continuous growth: </w:t>
      </w:r>
      <w:r w:rsidRPr="00550E1F">
        <w:rPr>
          <w:rFonts w:ascii="Aptos" w:hAnsi="Aptos"/>
        </w:rPr>
        <w:t>The student advisory board at Springfield College has seen significant engagement from undergraduate candidates, so faculty are now considering ways to see similar rates of participation among graduate candidates to better represent the collective voice and concerns of the entire student body. Springfield faculty and administration also acknowledge that their diverse candidates bring a wealth of knowledge and critical perspectives from their lived experiences. Thus, Springfield is imagining professional development for partnering school districts to support retention of diverse teachers that extend equitable approaches beyond the college itself.</w:t>
      </w:r>
    </w:p>
    <w:p w14:paraId="136303C3" w14:textId="754C6A55" w:rsidR="00491F25" w:rsidRPr="00491F25" w:rsidRDefault="00491F25" w:rsidP="00491F25">
      <w:pPr>
        <w:spacing w:before="0" w:after="0"/>
        <w:rPr>
          <w:rFonts w:asciiTheme="minorHAnsi" w:eastAsia="Libre Franklin" w:hAnsiTheme="minorHAnsi" w:cs="Libre Franklin"/>
          <w:color w:val="000000" w:themeColor="text1"/>
          <w:szCs w:val="21"/>
        </w:rPr>
      </w:pPr>
      <w:r>
        <w:br w:type="page"/>
      </w:r>
    </w:p>
    <w:p w14:paraId="6B321390" w14:textId="66FA0ED2" w:rsidR="00C73618" w:rsidRPr="00C73618" w:rsidRDefault="003C26D5" w:rsidP="00E1685E">
      <w:pPr>
        <w:spacing w:before="0" w:after="360"/>
        <w:rPr>
          <w:rFonts w:ascii="Times New Roman" w:hAnsi="Times New Roman" w:cs="Times New Roman"/>
        </w:rPr>
      </w:pPr>
      <w:r>
        <w:rPr>
          <w:noProof/>
          <w:color w:val="163A42"/>
        </w:rPr>
        <mc:AlternateContent>
          <mc:Choice Requires="wps">
            <w:drawing>
              <wp:anchor distT="0" distB="0" distL="114300" distR="114300" simplePos="0" relativeHeight="251658250" behindDoc="0" locked="0" layoutInCell="1" allowOverlap="1" wp14:anchorId="0CF9E9ED" wp14:editId="046E0231">
                <wp:simplePos x="0" y="0"/>
                <wp:positionH relativeFrom="column">
                  <wp:posOffset>8709</wp:posOffset>
                </wp:positionH>
                <wp:positionV relativeFrom="paragraph">
                  <wp:posOffset>-27305</wp:posOffset>
                </wp:positionV>
                <wp:extent cx="6400800" cy="365760"/>
                <wp:effectExtent l="0" t="0" r="0" b="2540"/>
                <wp:wrapNone/>
                <wp:docPr id="1791397719" name="Text Box 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501E808C" w14:textId="42D95DD8" w:rsidR="008E60DF" w:rsidRPr="00550E1F" w:rsidRDefault="008E60DF" w:rsidP="003C26D5">
                            <w:pPr>
                              <w:pStyle w:val="Heading2a"/>
                              <w:rPr>
                                <w:sz w:val="36"/>
                                <w:szCs w:val="56"/>
                              </w:rPr>
                            </w:pPr>
                            <w:bookmarkStart w:id="38" w:name="_Toc170897342"/>
                            <w:r w:rsidRPr="00550E1F">
                              <w:rPr>
                                <w:sz w:val="36"/>
                                <w:szCs w:val="56"/>
                              </w:rPr>
                              <w:t>Mount Holyoke College</w:t>
                            </w:r>
                            <w:r w:rsidR="00B80C71" w:rsidRPr="00550E1F">
                              <w:rPr>
                                <w:sz w:val="36"/>
                                <w:szCs w:val="56"/>
                              </w:rPr>
                              <w:t>: PK-12 School and District</w:t>
                            </w:r>
                            <w:r w:rsidRPr="00550E1F">
                              <w:rPr>
                                <w:sz w:val="36"/>
                                <w:szCs w:val="56"/>
                              </w:rPr>
                              <w:t xml:space="preserve"> Partnerships</w:t>
                            </w:r>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E9ED" id="_x0000_s1032" type="#_x0000_t202" style="position:absolute;margin-left:.7pt;margin-top:-2.15pt;width:7in;height:2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" fillcolor="#1f3763 [1604]" stroked="f" strokeweight=".5pt">
                <v:textbox>
                  <w:txbxContent>
                    <w:p w14:paraId="501E808C" w14:textId="42D95DD8" w:rsidR="008E60DF" w:rsidRPr="00550E1F" w:rsidRDefault="008E60DF" w:rsidP="003C26D5">
                      <w:pPr>
                        <w:pStyle w:val="Heading2a"/>
                        <w:rPr>
                          <w:sz w:val="36"/>
                          <w:szCs w:val="56"/>
                        </w:rPr>
                      </w:pPr>
                      <w:bookmarkStart w:id="46" w:name="_Toc170897342"/>
                      <w:r w:rsidRPr="00550E1F">
                        <w:rPr>
                          <w:sz w:val="36"/>
                          <w:szCs w:val="56"/>
                        </w:rPr>
                        <w:t>Mount Holyoke College</w:t>
                      </w:r>
                      <w:r w:rsidR="00B80C71" w:rsidRPr="00550E1F">
                        <w:rPr>
                          <w:sz w:val="36"/>
                          <w:szCs w:val="56"/>
                        </w:rPr>
                        <w:t>: PK-12 School and District</w:t>
                      </w:r>
                      <w:r w:rsidRPr="00550E1F">
                        <w:rPr>
                          <w:sz w:val="36"/>
                          <w:szCs w:val="56"/>
                        </w:rPr>
                        <w:t xml:space="preserve"> Partnerships</w:t>
                      </w:r>
                      <w:bookmarkEnd w:id="46"/>
                    </w:p>
                  </w:txbxContent>
                </v:textbox>
              </v:shape>
            </w:pict>
          </mc:Fallback>
        </mc:AlternateContent>
      </w:r>
      <w:r w:rsidR="0017754F" w:rsidRPr="008E2A84">
        <w:rPr>
          <w:noProof/>
        </w:rPr>
        <mc:AlternateContent>
          <mc:Choice Requires="wps">
            <w:drawing>
              <wp:anchor distT="0" distB="0" distL="114300" distR="114300" simplePos="0" relativeHeight="251658257" behindDoc="0" locked="0" layoutInCell="1" allowOverlap="1" wp14:anchorId="0EE77CAA" wp14:editId="6822C6C0">
                <wp:simplePos x="0" y="0"/>
                <wp:positionH relativeFrom="column">
                  <wp:posOffset>1905</wp:posOffset>
                </wp:positionH>
                <wp:positionV relativeFrom="paragraph">
                  <wp:posOffset>337004</wp:posOffset>
                </wp:positionV>
                <wp:extent cx="6400800" cy="0"/>
                <wp:effectExtent l="0" t="12700" r="25400" b="25400"/>
                <wp:wrapNone/>
                <wp:docPr id="688228908"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DC63DC" id="Straight Connector 1" o:spid="_x0000_s1026" alt="&quot;&quot;"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55pt" to="504.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" strokecolor="#8c1176" strokeweight="3pt">
                <v:stroke joinstyle="miter"/>
              </v:line>
            </w:pict>
          </mc:Fallback>
        </mc:AlternateContent>
      </w:r>
    </w:p>
    <w:p w14:paraId="259CAFB2" w14:textId="772C9D5E" w:rsidR="6046516F" w:rsidRPr="00550E1F" w:rsidRDefault="6046516F" w:rsidP="756D8F1B">
      <w:pPr>
        <w:spacing w:after="0"/>
        <w:rPr>
          <w:rFonts w:ascii="Aptos" w:hAnsi="Aptos"/>
        </w:rPr>
      </w:pPr>
      <w:r w:rsidRPr="00550E1F">
        <w:rPr>
          <w:rFonts w:ascii="Aptos" w:eastAsia="Calibri" w:hAnsi="Aptos" w:cs="Calibri"/>
          <w:color w:val="000000" w:themeColor="text1"/>
        </w:rPr>
        <w:t>Read about how Mount Holyoke College’s graduate teacher license programs respond to the needs of their districts to create mutually beneficial partnerships using differentiated approaches that support district interests and needs. Explore tools and consider how their best practices can be adapted to your own context or program.</w:t>
      </w:r>
    </w:p>
    <w:p w14:paraId="17AC72AA" w14:textId="77777777" w:rsidR="008E4543" w:rsidRPr="00550E1F" w:rsidRDefault="6046516F" w:rsidP="6D0676B1">
      <w:pPr>
        <w:rPr>
          <w:rFonts w:ascii="Aptos" w:eastAsia="Calibri" w:hAnsi="Aptos" w:cs="Calibri"/>
          <w:color w:val="000000" w:themeColor="text1"/>
        </w:rPr>
      </w:pPr>
      <w:r w:rsidRPr="00550E1F">
        <w:rPr>
          <w:rFonts w:ascii="Aptos" w:eastAsia="Calibri" w:hAnsi="Aptos" w:cs="Calibri"/>
          <w:b/>
          <w:bCs/>
          <w:color w:val="000000" w:themeColor="text1"/>
        </w:rPr>
        <w:t>Context:</w:t>
      </w:r>
      <w:r w:rsidRPr="00550E1F">
        <w:rPr>
          <w:rFonts w:ascii="Aptos" w:eastAsia="Calibri" w:hAnsi="Aptos" w:cs="Calibri"/>
          <w:color w:val="000000" w:themeColor="text1"/>
        </w:rPr>
        <w:t xml:space="preserve"> Mount Holyoke College, located in South Hadley, Massachusetts, is a leading gender-diverse liberal arts college for women. Their teacher education graduate programs, which were inaugurated a decade ago, are specifically tailored to meet the needs of individuals seeking to transition into the teaching profession.</w:t>
      </w:r>
      <w:r w:rsidR="4F2090C9" w:rsidRPr="00550E1F">
        <w:rPr>
          <w:rFonts w:ascii="Aptos" w:eastAsia="Calibri" w:hAnsi="Aptos" w:cs="Calibri"/>
          <w:color w:val="000000" w:themeColor="text1"/>
        </w:rPr>
        <w:t xml:space="preserve"> </w:t>
      </w:r>
    </w:p>
    <w:p w14:paraId="525FD225" w14:textId="44C36953" w:rsidR="6046516F" w:rsidRPr="00550E1F" w:rsidRDefault="6046516F" w:rsidP="6D0676B1">
      <w:pPr>
        <w:rPr>
          <w:rFonts w:ascii="Aptos" w:eastAsia="Calibri" w:hAnsi="Aptos" w:cs="Calibri"/>
          <w:color w:val="000000" w:themeColor="text1"/>
        </w:rPr>
      </w:pPr>
      <w:r w:rsidRPr="00550E1F">
        <w:rPr>
          <w:rFonts w:ascii="Aptos" w:eastAsia="Calibri" w:hAnsi="Aptos" w:cs="Calibri"/>
          <w:color w:val="000000" w:themeColor="text1"/>
        </w:rPr>
        <w:t>Students can opt to enroll in graduate programs on a full-time or part-time basis depending on their needs. Candidates of color currently make up more than 25% of their students and approximately 90% of candidates are actively working in schools.</w:t>
      </w:r>
      <w:r w:rsidR="6D0676B1" w:rsidRPr="00550E1F">
        <w:rPr>
          <w:rFonts w:ascii="Aptos" w:hAnsi="Aptos"/>
          <w:noProof/>
        </w:rPr>
        <w:drawing>
          <wp:anchor distT="0" distB="0" distL="114300" distR="114300" simplePos="0" relativeHeight="251658253" behindDoc="0" locked="0" layoutInCell="1" allowOverlap="1" wp14:anchorId="4DA5753D" wp14:editId="0ECE0E04">
            <wp:simplePos x="0" y="0"/>
            <wp:positionH relativeFrom="column">
              <wp:align>left</wp:align>
            </wp:positionH>
            <wp:positionV relativeFrom="paragraph">
              <wp:posOffset>0</wp:posOffset>
            </wp:positionV>
            <wp:extent cx="3657600" cy="2428875"/>
            <wp:effectExtent l="0" t="0" r="0" b="9525"/>
            <wp:wrapSquare wrapText="bothSides"/>
            <wp:docPr id="133844541" name="Picture 44542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4541" name="Picture 44542731">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657600" cy="2428875"/>
                    </a:xfrm>
                    <a:prstGeom prst="rect">
                      <a:avLst/>
                    </a:prstGeom>
                  </pic:spPr>
                </pic:pic>
              </a:graphicData>
            </a:graphic>
            <wp14:sizeRelH relativeFrom="page">
              <wp14:pctWidth>0</wp14:pctWidth>
            </wp14:sizeRelH>
            <wp14:sizeRelV relativeFrom="page">
              <wp14:pctHeight>0</wp14:pctHeight>
            </wp14:sizeRelV>
          </wp:anchor>
        </w:drawing>
      </w:r>
    </w:p>
    <w:p w14:paraId="773B28C2" w14:textId="071721C1" w:rsidR="6046516F" w:rsidRPr="00550E1F" w:rsidRDefault="6046516F" w:rsidP="756D8F1B">
      <w:pPr>
        <w:spacing w:before="0"/>
        <w:rPr>
          <w:rFonts w:ascii="Aptos" w:hAnsi="Aptos"/>
        </w:rPr>
      </w:pPr>
      <w:r w:rsidRPr="00550E1F">
        <w:rPr>
          <w:rFonts w:ascii="Aptos" w:eastAsia="Calibri" w:hAnsi="Aptos" w:cs="Calibri"/>
          <w:b/>
          <w:bCs/>
          <w:color w:val="000000" w:themeColor="text1"/>
        </w:rPr>
        <w:t>Promising Practice #1: Adapt</w:t>
      </w:r>
      <w:r w:rsidR="00F22012">
        <w:rPr>
          <w:rFonts w:ascii="Aptos" w:eastAsia="Calibri" w:hAnsi="Aptos" w:cs="Calibri"/>
          <w:b/>
          <w:bCs/>
          <w:color w:val="000000" w:themeColor="text1"/>
        </w:rPr>
        <w:t>ing</w:t>
      </w:r>
      <w:r w:rsidRPr="00550E1F">
        <w:rPr>
          <w:rFonts w:ascii="Aptos" w:eastAsia="Calibri" w:hAnsi="Aptos" w:cs="Calibri"/>
          <w:b/>
          <w:bCs/>
          <w:color w:val="000000" w:themeColor="text1"/>
        </w:rPr>
        <w:t xml:space="preserve"> systems and structures to attend to district needs. </w:t>
      </w:r>
      <w:r w:rsidRPr="00550E1F">
        <w:rPr>
          <w:rFonts w:ascii="Aptos" w:eastAsia="Calibri" w:hAnsi="Aptos" w:cs="Calibri"/>
          <w:color w:val="000000" w:themeColor="text1"/>
        </w:rPr>
        <w:t>The partnership between Mount Holyoke and Holyoke Public Schools initially began with informal conversations about how sponsoring organizations might better meet the needs of teachers. Mount Holyoke College’s graduate teacher license programs recognized the need to adapt their approach to better serve districts and teachers, which laid the groundwork for a collaborative partnership. The partnership was solidified in 2016 when Mount Holyoke College’s graduate teacher license programs responded to a pressing need for special education teachers within the Holyoke Public Schools. In an effort to address this need, Mount Holyoke first took steps to establish a special education licensure program. As the work progressed, it became clear to Mount Holyoke that it was necessary to modify some of their course schedules and structures to better support their new teacher candidates who were already working in schools. These changes, such as adapting the course schedules and format to candidate needs, served as a springboard for further partnerships with diverse public schools across the Commonwealth. Their responsive program continues to focus on diversifying the teacher workforce and providing educators from the community during a teacher shortage.</w:t>
      </w:r>
    </w:p>
    <w:p w14:paraId="1987AA23" w14:textId="137B8133" w:rsidR="6046516F" w:rsidRPr="00550E1F" w:rsidRDefault="6046516F" w:rsidP="756D8F1B">
      <w:pPr>
        <w:spacing w:before="0"/>
        <w:rPr>
          <w:rFonts w:ascii="Aptos" w:hAnsi="Aptos"/>
        </w:rPr>
      </w:pPr>
      <w:r w:rsidRPr="00550E1F">
        <w:rPr>
          <w:rFonts w:ascii="Aptos" w:eastAsia="Calibri" w:hAnsi="Aptos" w:cs="Calibri"/>
          <w:b/>
          <w:bCs/>
          <w:color w:val="000000" w:themeColor="text1"/>
        </w:rPr>
        <w:t>Promising Practice #2: Customiz</w:t>
      </w:r>
      <w:r w:rsidR="00F22012">
        <w:rPr>
          <w:rFonts w:ascii="Aptos" w:eastAsia="Calibri" w:hAnsi="Aptos" w:cs="Calibri"/>
          <w:b/>
          <w:bCs/>
          <w:color w:val="000000" w:themeColor="text1"/>
        </w:rPr>
        <w:t>ing</w:t>
      </w:r>
      <w:r w:rsidRPr="00550E1F">
        <w:rPr>
          <w:rFonts w:ascii="Aptos" w:eastAsia="Calibri" w:hAnsi="Aptos" w:cs="Calibri"/>
          <w:b/>
          <w:bCs/>
          <w:color w:val="000000" w:themeColor="text1"/>
        </w:rPr>
        <w:t xml:space="preserve"> collaborations to reflect the interests and strengths of district partners. </w:t>
      </w:r>
      <w:r w:rsidRPr="00550E1F">
        <w:rPr>
          <w:rFonts w:ascii="Aptos" w:eastAsia="Calibri" w:hAnsi="Aptos" w:cs="Calibri"/>
          <w:color w:val="000000" w:themeColor="text1"/>
        </w:rPr>
        <w:t>Mount Holyoke College’s graduate teacher licensure programs believe that every PK-12 partnership is unique. Each partner should be clear and specific about their needs, interests, and potential contributions to the collaboration. Some of Mount Holyoke College’s district partners oversee and support the application process for teacher candidates in their districts, while others have the capacity to provide stipends. Some administrators support the planning of, and attend, end-of-the-year celebrations. For each partnership, there is a memorandum of understanding (MOU) which lays out detailed requirements for how to ensure rigor and to collectively adhere to DESE requirements. The MOUs are customized to the partnership and focus on the unique contributions each partner brings to the collaboration.</w:t>
      </w:r>
    </w:p>
    <w:p w14:paraId="0B2BB7B9" w14:textId="041836CE" w:rsidR="6046516F" w:rsidRPr="00550E1F" w:rsidRDefault="6046516F" w:rsidP="756D8F1B">
      <w:pPr>
        <w:spacing w:before="0"/>
        <w:rPr>
          <w:rFonts w:ascii="Aptos" w:hAnsi="Aptos"/>
        </w:rPr>
      </w:pPr>
      <w:r w:rsidRPr="00550E1F">
        <w:rPr>
          <w:rFonts w:ascii="Aptos" w:eastAsia="Calibri" w:hAnsi="Aptos" w:cs="Calibri"/>
          <w:b/>
          <w:bCs/>
          <w:color w:val="000000" w:themeColor="text1"/>
        </w:rPr>
        <w:t>Promising Practice #3: Provid</w:t>
      </w:r>
      <w:r w:rsidR="00B80C71">
        <w:rPr>
          <w:rFonts w:ascii="Aptos" w:eastAsia="Calibri" w:hAnsi="Aptos" w:cs="Calibri"/>
          <w:b/>
          <w:bCs/>
          <w:color w:val="000000" w:themeColor="text1"/>
        </w:rPr>
        <w:t>ing</w:t>
      </w:r>
      <w:r w:rsidRPr="00550E1F">
        <w:rPr>
          <w:rFonts w:ascii="Aptos" w:eastAsia="Calibri" w:hAnsi="Aptos" w:cs="Calibri"/>
          <w:b/>
          <w:bCs/>
          <w:color w:val="000000" w:themeColor="text1"/>
        </w:rPr>
        <w:t xml:space="preserve"> supports and collaboration based on district needs. </w:t>
      </w:r>
      <w:r w:rsidRPr="00550E1F">
        <w:rPr>
          <w:rFonts w:ascii="Aptos" w:eastAsia="Calibri" w:hAnsi="Aptos" w:cs="Calibri"/>
          <w:color w:val="000000" w:themeColor="text1"/>
        </w:rPr>
        <w:t>In 2022 and 2023, Mount Holyoke piloted a training program to work with two school districts who employ their completers. This support was aimed at identifying gaps in new teachers’ knowledge that could be provided by joint partnership between the sponsoring organization and the school district. Mount Holyoke College’s graduate teacher licensure program surveyed new teachers to understand their needs and then worked in partnership with the districts to provide monthly professional development sessions tailored to the new teachers’ needs. The program had high engagement and was positively received by both participants and the districts during the pilot.</w:t>
      </w:r>
    </w:p>
    <w:p w14:paraId="3F6F1083" w14:textId="59BC99EB" w:rsidR="6046516F" w:rsidRPr="00550E1F" w:rsidRDefault="6046516F" w:rsidP="756D8F1B">
      <w:pPr>
        <w:spacing w:before="0"/>
        <w:rPr>
          <w:rFonts w:ascii="Aptos" w:hAnsi="Aptos"/>
        </w:rPr>
      </w:pPr>
      <w:r w:rsidRPr="00550E1F">
        <w:rPr>
          <w:rFonts w:ascii="Aptos" w:eastAsia="Calibri" w:hAnsi="Aptos" w:cs="Calibri"/>
          <w:b/>
          <w:bCs/>
          <w:color w:val="000000" w:themeColor="text1"/>
        </w:rPr>
        <w:t>Promising Practice #4</w:t>
      </w:r>
      <w:r w:rsidR="00B80C71">
        <w:rPr>
          <w:rFonts w:ascii="Aptos" w:eastAsia="Calibri" w:hAnsi="Aptos" w:cs="Calibri"/>
          <w:b/>
          <w:bCs/>
          <w:color w:val="000000" w:themeColor="text1"/>
        </w:rPr>
        <w:t>:</w:t>
      </w:r>
      <w:r w:rsidRPr="00550E1F">
        <w:rPr>
          <w:rFonts w:ascii="Aptos" w:eastAsia="Calibri" w:hAnsi="Aptos" w:cs="Calibri"/>
          <w:b/>
          <w:bCs/>
          <w:color w:val="000000" w:themeColor="text1"/>
        </w:rPr>
        <w:t xml:space="preserve"> Collect</w:t>
      </w:r>
      <w:r w:rsidR="00B80C71">
        <w:rPr>
          <w:rFonts w:ascii="Aptos" w:eastAsia="Calibri" w:hAnsi="Aptos" w:cs="Calibri"/>
          <w:b/>
          <w:bCs/>
          <w:color w:val="000000" w:themeColor="text1"/>
        </w:rPr>
        <w:t>ing</w:t>
      </w:r>
      <w:r w:rsidRPr="00550E1F">
        <w:rPr>
          <w:rFonts w:ascii="Aptos" w:eastAsia="Calibri" w:hAnsi="Aptos" w:cs="Calibri"/>
          <w:b/>
          <w:bCs/>
          <w:color w:val="000000" w:themeColor="text1"/>
        </w:rPr>
        <w:t xml:space="preserve"> data to understand the degree to which SO-district partnerships are successful in supporting candidate outcomes.</w:t>
      </w:r>
      <w:r w:rsidRPr="00550E1F">
        <w:rPr>
          <w:rFonts w:ascii="Aptos" w:eastAsia="Calibri" w:hAnsi="Aptos" w:cs="Calibri"/>
          <w:color w:val="000000" w:themeColor="text1"/>
        </w:rPr>
        <w:t xml:space="preserve"> Mount Holyoke College uses diverse data sources to analyze the health of SO-district partnerships, including state data compiled by DESE, exit interviews with each of the teacher candidates, and interviews with supervising practitioners. Mount Holyoke College’s graduate teacher licensure program’s faculty continually revise the survey questions based on new initiatives established by them and their partner districts. For example, a change that came from the survey included how the Candidate Assessment of Performance requirements were addressed within practicum. Formatively, the faculty also intermittently review survey data and utilize data to inform the regular check-ins with supervising practitioners and program supervisors. The data also influences the content of the formal training they provide at the beginning of practicum and the strategies they share for how to mentor and gather data when supporting teacher candidates.</w:t>
      </w:r>
    </w:p>
    <w:p w14:paraId="04CAA692" w14:textId="13F4092A" w:rsidR="6046516F" w:rsidRPr="00550E1F" w:rsidRDefault="6046516F" w:rsidP="756D8F1B">
      <w:pPr>
        <w:spacing w:before="0"/>
        <w:rPr>
          <w:rFonts w:ascii="Aptos" w:hAnsi="Aptos"/>
        </w:rPr>
      </w:pPr>
      <w:r w:rsidRPr="00550E1F">
        <w:rPr>
          <w:rFonts w:ascii="Aptos" w:eastAsia="Calibri" w:hAnsi="Aptos" w:cs="Calibri"/>
          <w:b/>
          <w:bCs/>
          <w:color w:val="000000" w:themeColor="text1"/>
        </w:rPr>
        <w:t xml:space="preserve">Next steps and continuous growth: </w:t>
      </w:r>
      <w:r w:rsidRPr="00550E1F">
        <w:rPr>
          <w:rFonts w:ascii="Aptos" w:eastAsia="Calibri" w:hAnsi="Aptos" w:cs="Calibri"/>
          <w:color w:val="000000" w:themeColor="text1"/>
        </w:rPr>
        <w:t xml:space="preserve">Mount Holyoke College’s graduate teacher license program is continuing to consider the ways they can support diverse in-service teacher candidates to successfully complete and excel in their program. For example, the program continues to offer MTEL preparation courses to its partner districts and current students. The program continues to evaluate candidates' needs around MTEL support and design programming accordingly. </w:t>
      </w:r>
    </w:p>
    <w:p w14:paraId="2504F9EC" w14:textId="77777777" w:rsidR="00F87EE3" w:rsidRDefault="00F87EE3">
      <w:pPr>
        <w:sectPr w:rsidR="00F87EE3" w:rsidSect="0010457E">
          <w:headerReference w:type="default" r:id="rId52"/>
          <w:pgSz w:w="12240" w:h="15840"/>
          <w:pgMar w:top="720" w:right="1008" w:bottom="0" w:left="1008" w:header="360" w:footer="432" w:gutter="0"/>
          <w:cols w:space="720"/>
          <w:docGrid w:linePitch="360"/>
        </w:sectPr>
      </w:pPr>
    </w:p>
    <w:p w14:paraId="156F0439" w14:textId="0575B895" w:rsidR="00C106E3" w:rsidRDefault="0010457E" w:rsidP="007C7B48">
      <w:pPr>
        <w:pStyle w:val="BodyText"/>
      </w:pPr>
      <w:r>
        <w:rPr>
          <w:noProof/>
        </w:rPr>
        <mc:AlternateContent>
          <mc:Choice Requires="wps">
            <w:drawing>
              <wp:anchor distT="0" distB="0" distL="114300" distR="114300" simplePos="0" relativeHeight="251658260" behindDoc="0" locked="0" layoutInCell="1" allowOverlap="1" wp14:anchorId="25265BDB" wp14:editId="57C2E561">
                <wp:simplePos x="0" y="0"/>
                <wp:positionH relativeFrom="page">
                  <wp:posOffset>442223</wp:posOffset>
                </wp:positionH>
                <wp:positionV relativeFrom="paragraph">
                  <wp:posOffset>935</wp:posOffset>
                </wp:positionV>
                <wp:extent cx="9080500" cy="548640"/>
                <wp:effectExtent l="0" t="0" r="6350" b="3810"/>
                <wp:wrapNone/>
                <wp:docPr id="1356565246" name="Text Box 4">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080500" cy="548640"/>
                        </a:xfrm>
                        <a:prstGeom prst="rect">
                          <a:avLst/>
                        </a:prstGeom>
                        <a:solidFill>
                          <a:srgbClr val="8C1176"/>
                        </a:solidFill>
                        <a:ln w="6350">
                          <a:noFill/>
                        </a:ln>
                      </wps:spPr>
                      <wps:txbx>
                        <w:txbxContent>
                          <w:p w14:paraId="21F1BD48" w14:textId="6E2A92EA" w:rsidR="00AD537A" w:rsidRPr="00F72DE4" w:rsidRDefault="00AD537A" w:rsidP="00F72DE4">
                            <w:pPr>
                              <w:pStyle w:val="Heading2"/>
                              <w:rPr>
                                <w:sz w:val="56"/>
                                <w:szCs w:val="56"/>
                              </w:rPr>
                            </w:pPr>
                            <w:bookmarkStart w:id="39" w:name="ActTools"/>
                            <w:bookmarkStart w:id="40" w:name="_Toc170897343"/>
                            <w:bookmarkEnd w:id="39"/>
                            <w:r w:rsidRPr="00F72DE4">
                              <w:rPr>
                                <w:sz w:val="56"/>
                                <w:szCs w:val="56"/>
                              </w:rPr>
                              <w:t xml:space="preserve">Action Planning </w:t>
                            </w:r>
                            <w:bookmarkEnd w:id="40"/>
                            <w:r w:rsidR="00C920F3" w:rsidRPr="00F72DE4">
                              <w:rPr>
                                <w:sz w:val="56"/>
                                <w:szCs w:val="56"/>
                              </w:rPr>
                              <w:t>T</w:t>
                            </w:r>
                            <w:r w:rsidR="00C920F3">
                              <w:rPr>
                                <w:sz w:val="56"/>
                                <w:szCs w:val="56"/>
                              </w:rPr>
                              <w: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5BDB" id="Text Box 4" o:spid="_x0000_s1033" type="#_x0000_t202" style="position:absolute;margin-left:34.8pt;margin-top:.05pt;width:715pt;height:43.2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" fillcolor="#8c1176" stroked="f" strokeweight=".5pt">
                <v:textbox>
                  <w:txbxContent>
                    <w:p w14:paraId="21F1BD48" w14:textId="6E2A92EA" w:rsidR="00AD537A" w:rsidRPr="00F72DE4" w:rsidRDefault="00AD537A" w:rsidP="00F72DE4">
                      <w:pPr>
                        <w:pStyle w:val="Heading2"/>
                        <w:rPr>
                          <w:sz w:val="56"/>
                          <w:szCs w:val="56"/>
                        </w:rPr>
                      </w:pPr>
                      <w:bookmarkStart w:id="49" w:name="ActTools"/>
                      <w:bookmarkStart w:id="50" w:name="_Toc170897343"/>
                      <w:bookmarkEnd w:id="49"/>
                      <w:r w:rsidRPr="00F72DE4">
                        <w:rPr>
                          <w:sz w:val="56"/>
                          <w:szCs w:val="56"/>
                        </w:rPr>
                        <w:t xml:space="preserve">Action Planning </w:t>
                      </w:r>
                      <w:bookmarkEnd w:id="50"/>
                      <w:r w:rsidR="00C920F3" w:rsidRPr="00F72DE4">
                        <w:rPr>
                          <w:sz w:val="56"/>
                          <w:szCs w:val="56"/>
                        </w:rPr>
                        <w:t>T</w:t>
                      </w:r>
                      <w:r w:rsidR="00C920F3">
                        <w:rPr>
                          <w:sz w:val="56"/>
                          <w:szCs w:val="56"/>
                        </w:rPr>
                        <w:t>ools</w:t>
                      </w:r>
                    </w:p>
                  </w:txbxContent>
                </v:textbox>
                <w10:wrap anchorx="page"/>
              </v:shape>
            </w:pict>
          </mc:Fallback>
        </mc:AlternateContent>
      </w:r>
    </w:p>
    <w:p w14:paraId="623F5081" w14:textId="7409D270" w:rsidR="0097244F" w:rsidRDefault="0097244F" w:rsidP="00705DBE">
      <w:pPr>
        <w:pStyle w:val="Paragraph-AfterList"/>
        <w:rPr>
          <w:rFonts w:cstheme="minorHAnsi"/>
          <w:szCs w:val="24"/>
        </w:rPr>
      </w:pPr>
    </w:p>
    <w:p w14:paraId="4336AD84" w14:textId="5549949D" w:rsidR="00C73618" w:rsidRPr="00550E1F" w:rsidRDefault="00315060" w:rsidP="00705DBE">
      <w:pPr>
        <w:pStyle w:val="Paragraph-AfterList"/>
        <w:rPr>
          <w:rFonts w:ascii="Aptos" w:hAnsi="Aptos" w:cstheme="minorHAnsi"/>
          <w:szCs w:val="24"/>
        </w:rPr>
      </w:pPr>
      <w:r w:rsidRPr="00550E1F">
        <w:rPr>
          <w:rFonts w:ascii="Aptos" w:hAnsi="Aptos" w:cstheme="minorHAnsi"/>
          <w:szCs w:val="24"/>
        </w:rPr>
        <w:t>These tools are</w:t>
      </w:r>
      <w:r w:rsidR="00C73618" w:rsidRPr="00550E1F">
        <w:rPr>
          <w:rFonts w:ascii="Aptos" w:hAnsi="Aptos" w:cstheme="minorHAnsi"/>
          <w:szCs w:val="24"/>
        </w:rPr>
        <w:t xml:space="preserve"> designed to help you reflect on your current practices and identify areas for growth towards the expectations in three domains of the </w:t>
      </w:r>
      <w:r w:rsidR="00E70E93" w:rsidRPr="00550E1F">
        <w:rPr>
          <w:rFonts w:ascii="Aptos" w:hAnsi="Aptos" w:cstheme="minorHAnsi"/>
          <w:szCs w:val="24"/>
        </w:rPr>
        <w:t xml:space="preserve">2023 </w:t>
      </w:r>
      <w:r w:rsidR="00F22012" w:rsidRPr="00550E1F">
        <w:rPr>
          <w:rFonts w:ascii="Aptos" w:hAnsi="Aptos" w:cstheme="minorHAnsi"/>
          <w:szCs w:val="24"/>
        </w:rPr>
        <w:t xml:space="preserve">Guidelines for Educator Preparation </w:t>
      </w:r>
      <w:r w:rsidR="00E70E93" w:rsidRPr="00550E1F">
        <w:rPr>
          <w:rFonts w:ascii="Aptos" w:hAnsi="Aptos" w:cstheme="minorHAnsi"/>
          <w:szCs w:val="24"/>
        </w:rPr>
        <w:t>Program Approval</w:t>
      </w:r>
      <w:r w:rsidR="00C73618" w:rsidRPr="00550E1F">
        <w:rPr>
          <w:rFonts w:ascii="Aptos" w:hAnsi="Aptos" w:cstheme="minorHAnsi"/>
          <w:szCs w:val="24"/>
        </w:rPr>
        <w:t xml:space="preserve">: Continuous Improvement, The Candidate, and Partnerships. </w:t>
      </w:r>
    </w:p>
    <w:p w14:paraId="23AB751A" w14:textId="1CD1D1F1" w:rsidR="00C73618" w:rsidRPr="00550E1F" w:rsidRDefault="00C73618" w:rsidP="00250E7A">
      <w:pPr>
        <w:pStyle w:val="BodyText"/>
        <w:rPr>
          <w:rFonts w:ascii="Aptos" w:hAnsi="Aptos" w:cstheme="minorHAnsi"/>
          <w:szCs w:val="24"/>
        </w:rPr>
      </w:pPr>
      <w:r w:rsidRPr="00550E1F">
        <w:rPr>
          <w:rFonts w:ascii="Aptos" w:hAnsi="Aptos" w:cstheme="minorHAnsi"/>
          <w:szCs w:val="24"/>
        </w:rPr>
        <w:t xml:space="preserve">Suggested </w:t>
      </w:r>
      <w:r w:rsidR="00C920F3" w:rsidRPr="00550E1F">
        <w:rPr>
          <w:rFonts w:ascii="Aptos" w:hAnsi="Aptos" w:cstheme="minorHAnsi"/>
          <w:szCs w:val="24"/>
        </w:rPr>
        <w:t>process for using these Action Planning Tools</w:t>
      </w:r>
      <w:r w:rsidRPr="00550E1F">
        <w:rPr>
          <w:rFonts w:ascii="Aptos" w:hAnsi="Aptos" w:cstheme="minorHAnsi"/>
          <w:szCs w:val="24"/>
        </w:rPr>
        <w:t>:</w:t>
      </w:r>
    </w:p>
    <w:p w14:paraId="03B81940" w14:textId="2DE74C73" w:rsidR="00C73618" w:rsidRPr="00550E1F" w:rsidRDefault="00C73618" w:rsidP="30265F3F">
      <w:pPr>
        <w:pStyle w:val="ListBullet"/>
        <w:rPr>
          <w:rFonts w:ascii="Aptos" w:hAnsi="Aptos" w:cstheme="minorBidi"/>
          <w:sz w:val="24"/>
          <w:szCs w:val="24"/>
        </w:rPr>
      </w:pPr>
      <w:r w:rsidRPr="30265F3F">
        <w:rPr>
          <w:rFonts w:ascii="Aptos" w:hAnsi="Aptos" w:cstheme="minorBidi"/>
          <w:sz w:val="24"/>
          <w:szCs w:val="24"/>
        </w:rPr>
        <w:t xml:space="preserve">Select the </w:t>
      </w:r>
      <w:r w:rsidR="00F70C76" w:rsidRPr="30265F3F">
        <w:rPr>
          <w:rFonts w:ascii="Aptos" w:hAnsi="Aptos" w:cstheme="minorBidi"/>
          <w:sz w:val="24"/>
          <w:szCs w:val="24"/>
        </w:rPr>
        <w:t xml:space="preserve">domain and criteria </w:t>
      </w:r>
      <w:r w:rsidRPr="30265F3F">
        <w:rPr>
          <w:rFonts w:ascii="Aptos" w:hAnsi="Aptos" w:cstheme="minorBidi"/>
          <w:sz w:val="24"/>
          <w:szCs w:val="24"/>
        </w:rPr>
        <w:t xml:space="preserve">that best align with your sponsoring organization’s goals and initiatives. </w:t>
      </w:r>
      <w:r w:rsidR="00F70C76" w:rsidRPr="30265F3F">
        <w:rPr>
          <w:rFonts w:ascii="Aptos" w:hAnsi="Aptos" w:cstheme="minorBidi"/>
          <w:sz w:val="24"/>
          <w:szCs w:val="24"/>
        </w:rPr>
        <w:t>The language of each criterion</w:t>
      </w:r>
      <w:r w:rsidRPr="30265F3F">
        <w:rPr>
          <w:rFonts w:ascii="Aptos" w:hAnsi="Aptos" w:cstheme="minorBidi"/>
          <w:sz w:val="24"/>
          <w:szCs w:val="24"/>
        </w:rPr>
        <w:t xml:space="preserve"> describes DESE’s expectation for your organization. Use the reflective prompts to evaluate how your current practices align with the expectation. </w:t>
      </w:r>
    </w:p>
    <w:p w14:paraId="47D6FD9C" w14:textId="4F484200" w:rsidR="00C73618" w:rsidRPr="00550E1F" w:rsidRDefault="00CA1129" w:rsidP="00594D32">
      <w:pPr>
        <w:pStyle w:val="ListBullet"/>
        <w:numPr>
          <w:ilvl w:val="0"/>
          <w:numId w:val="12"/>
        </w:numPr>
        <w:rPr>
          <w:rFonts w:ascii="Aptos" w:hAnsi="Aptos" w:cstheme="minorHAnsi"/>
          <w:sz w:val="24"/>
          <w:szCs w:val="24"/>
        </w:rPr>
      </w:pPr>
      <w:r>
        <w:rPr>
          <w:rFonts w:ascii="Aptos" w:hAnsi="Aptos" w:cstheme="minorHAnsi"/>
          <w:sz w:val="24"/>
          <w:szCs w:val="24"/>
        </w:rPr>
        <w:t>F</w:t>
      </w:r>
      <w:r w:rsidR="00733AFA">
        <w:rPr>
          <w:rFonts w:ascii="Aptos" w:hAnsi="Aptos" w:cstheme="minorHAnsi"/>
          <w:sz w:val="24"/>
          <w:szCs w:val="24"/>
        </w:rPr>
        <w:t>irst, d</w:t>
      </w:r>
      <w:r w:rsidR="00C73618" w:rsidRPr="00550E1F">
        <w:rPr>
          <w:rFonts w:ascii="Aptos" w:hAnsi="Aptos" w:cstheme="minorHAnsi"/>
          <w:bCs w:val="0"/>
        </w:rPr>
        <w:t>escribe your current systems, structures, and practices. Include how you know whether and for whom these are working well. Celebrate areas of strength, where the work is aligned with your sponsoring organization’</w:t>
      </w:r>
      <w:r w:rsidR="00594D32">
        <w:rPr>
          <w:rFonts w:ascii="Aptos" w:hAnsi="Aptos" w:cstheme="minorHAnsi"/>
          <w:sz w:val="24"/>
          <w:szCs w:val="24"/>
        </w:rPr>
        <w:t>s</w:t>
      </w:r>
      <w:r w:rsidR="00C73618" w:rsidRPr="00550E1F">
        <w:rPr>
          <w:rFonts w:ascii="Aptos" w:hAnsi="Aptos" w:cstheme="minorHAnsi"/>
          <w:sz w:val="24"/>
          <w:szCs w:val="24"/>
        </w:rPr>
        <w:t xml:space="preserve"> vision and DESE’s </w:t>
      </w:r>
      <w:r w:rsidR="00594D32">
        <w:rPr>
          <w:rFonts w:ascii="Aptos" w:hAnsi="Aptos" w:cstheme="minorHAnsi"/>
          <w:sz w:val="24"/>
          <w:szCs w:val="24"/>
        </w:rPr>
        <w:t>expectatio</w:t>
      </w:r>
      <w:r w:rsidR="00C73618" w:rsidRPr="00550E1F">
        <w:rPr>
          <w:rFonts w:ascii="Aptos" w:hAnsi="Aptos" w:cstheme="minorHAnsi"/>
          <w:sz w:val="24"/>
          <w:szCs w:val="24"/>
        </w:rPr>
        <w:t>ns.</w:t>
      </w:r>
    </w:p>
    <w:p w14:paraId="3F1E6A28" w14:textId="2C923BA4" w:rsidR="00C73618" w:rsidRPr="00550E1F" w:rsidRDefault="00C73618" w:rsidP="004D336E">
      <w:pPr>
        <w:pStyle w:val="ListBullet"/>
        <w:numPr>
          <w:ilvl w:val="0"/>
          <w:numId w:val="12"/>
        </w:numPr>
        <w:rPr>
          <w:rFonts w:ascii="Aptos" w:hAnsi="Aptos" w:cstheme="minorHAnsi"/>
          <w:sz w:val="24"/>
          <w:szCs w:val="24"/>
        </w:rPr>
      </w:pPr>
      <w:r w:rsidRPr="00550E1F">
        <w:rPr>
          <w:rFonts w:ascii="Aptos" w:hAnsi="Aptos" w:cstheme="minorHAnsi"/>
          <w:sz w:val="24"/>
          <w:szCs w:val="24"/>
        </w:rPr>
        <w:t xml:space="preserve">Then consider areas for growth </w:t>
      </w:r>
      <w:r w:rsidR="00A8745F">
        <w:rPr>
          <w:rFonts w:ascii="Aptos" w:hAnsi="Aptos" w:cstheme="minorHAnsi"/>
          <w:sz w:val="24"/>
          <w:szCs w:val="24"/>
        </w:rPr>
        <w:t xml:space="preserve">that </w:t>
      </w:r>
      <w:r w:rsidR="00E84C44">
        <w:rPr>
          <w:rFonts w:ascii="Aptos" w:hAnsi="Aptos" w:cstheme="minorHAnsi"/>
          <w:sz w:val="24"/>
          <w:szCs w:val="24"/>
        </w:rPr>
        <w:t>could</w:t>
      </w:r>
      <w:r w:rsidRPr="00550E1F">
        <w:rPr>
          <w:rFonts w:ascii="Aptos" w:hAnsi="Aptos" w:cstheme="minorHAnsi"/>
          <w:sz w:val="24"/>
          <w:szCs w:val="24"/>
        </w:rPr>
        <w:t xml:space="preserve"> support your sponsoring organization to meet the stated criterion, the promising practices, and your vision for your program.</w:t>
      </w:r>
    </w:p>
    <w:p w14:paraId="0CDB4B63" w14:textId="0106DCDF" w:rsidR="00C73618" w:rsidRPr="00550E1F" w:rsidRDefault="00C73618" w:rsidP="004D336E">
      <w:pPr>
        <w:pStyle w:val="ListBullet"/>
        <w:numPr>
          <w:ilvl w:val="0"/>
          <w:numId w:val="12"/>
        </w:numPr>
        <w:spacing w:before="120" w:after="120"/>
        <w:contextualSpacing/>
        <w:rPr>
          <w:rFonts w:ascii="Aptos" w:hAnsi="Aptos" w:cstheme="minorHAnsi"/>
          <w:sz w:val="24"/>
          <w:szCs w:val="24"/>
        </w:rPr>
      </w:pPr>
      <w:r w:rsidRPr="00550E1F">
        <w:rPr>
          <w:rFonts w:ascii="Aptos" w:hAnsi="Aptos" w:cstheme="minorHAnsi"/>
          <w:sz w:val="24"/>
          <w:szCs w:val="24"/>
        </w:rPr>
        <w:t xml:space="preserve">After completing </w:t>
      </w:r>
      <w:r w:rsidR="00E84C44">
        <w:rPr>
          <w:rFonts w:ascii="Aptos" w:hAnsi="Aptos" w:cstheme="minorHAnsi"/>
          <w:sz w:val="24"/>
          <w:szCs w:val="24"/>
        </w:rPr>
        <w:t>all reflective prompts</w:t>
      </w:r>
      <w:r w:rsidRPr="00550E1F">
        <w:rPr>
          <w:rFonts w:ascii="Aptos" w:hAnsi="Aptos" w:cstheme="minorHAnsi"/>
          <w:sz w:val="24"/>
          <w:szCs w:val="24"/>
        </w:rPr>
        <w:t>, describe specific actions steps you will take to address your areas for growth:</w:t>
      </w:r>
    </w:p>
    <w:p w14:paraId="53E7DA0C" w14:textId="77777777" w:rsidR="00C73618" w:rsidRPr="00550E1F" w:rsidRDefault="00C73618" w:rsidP="004D336E">
      <w:pPr>
        <w:pStyle w:val="ListBullet2"/>
        <w:numPr>
          <w:ilvl w:val="1"/>
          <w:numId w:val="11"/>
        </w:numPr>
        <w:rPr>
          <w:rFonts w:ascii="Aptos" w:hAnsi="Aptos" w:cstheme="minorHAnsi"/>
          <w:sz w:val="24"/>
          <w:szCs w:val="24"/>
        </w:rPr>
      </w:pPr>
      <w:r w:rsidRPr="00550E1F">
        <w:rPr>
          <w:rFonts w:ascii="Aptos" w:hAnsi="Aptos" w:cstheme="minorHAnsi"/>
          <w:sz w:val="24"/>
          <w:szCs w:val="24"/>
        </w:rPr>
        <w:t>Identify key personnel responsible for each step</w:t>
      </w:r>
    </w:p>
    <w:p w14:paraId="00A4EA56" w14:textId="77777777" w:rsidR="00C73618" w:rsidRPr="00550E1F" w:rsidRDefault="00C73618" w:rsidP="004D336E">
      <w:pPr>
        <w:pStyle w:val="ListBullet2"/>
        <w:numPr>
          <w:ilvl w:val="1"/>
          <w:numId w:val="11"/>
        </w:numPr>
        <w:rPr>
          <w:rFonts w:ascii="Aptos" w:hAnsi="Aptos" w:cstheme="minorHAnsi"/>
          <w:sz w:val="24"/>
          <w:szCs w:val="24"/>
        </w:rPr>
      </w:pPr>
      <w:r w:rsidRPr="00550E1F">
        <w:rPr>
          <w:rFonts w:ascii="Aptos" w:hAnsi="Aptos" w:cstheme="minorHAnsi"/>
          <w:sz w:val="24"/>
          <w:szCs w:val="24"/>
        </w:rPr>
        <w:t>Set a realistic timeline</w:t>
      </w:r>
    </w:p>
    <w:p w14:paraId="3DD0262F" w14:textId="01DD8F0E" w:rsidR="006942E1" w:rsidRDefault="00E67A69" w:rsidP="00550E1F">
      <w:pPr>
        <w:pStyle w:val="ListBullet2"/>
        <w:numPr>
          <w:ilvl w:val="1"/>
          <w:numId w:val="11"/>
        </w:numPr>
        <w:rPr>
          <w:rFonts w:cstheme="minorHAnsi"/>
          <w:sz w:val="24"/>
          <w:szCs w:val="24"/>
        </w:rPr>
      </w:pPr>
      <w:r w:rsidRPr="00550E1F">
        <w:rPr>
          <w:rFonts w:ascii="Aptos" w:hAnsi="Aptos" w:cstheme="minorHAnsi"/>
        </w:rPr>
        <w:t>Define your intended short- and long-term outcomes from this action, including how they will be measured. These should align with the expectations described in the criteria.</w:t>
      </w:r>
    </w:p>
    <w:p w14:paraId="5796F8A6" w14:textId="342B8518" w:rsidR="006942E1" w:rsidRDefault="00B36992" w:rsidP="006065E8">
      <w:pPr>
        <w:pStyle w:val="ListBullet2"/>
        <w:numPr>
          <w:ilvl w:val="0"/>
          <w:numId w:val="0"/>
        </w:numPr>
        <w:ind w:left="1440"/>
        <w:rPr>
          <w:rFonts w:cstheme="minorHAnsi"/>
          <w:sz w:val="24"/>
          <w:szCs w:val="24"/>
        </w:rPr>
      </w:pPr>
      <w:r w:rsidRPr="006942E1">
        <w:rPr>
          <w:rFonts w:cstheme="minorHAnsi"/>
          <w:noProof/>
          <w:sz w:val="24"/>
          <w:szCs w:val="24"/>
        </w:rPr>
        <mc:AlternateContent>
          <mc:Choice Requires="wps">
            <w:drawing>
              <wp:anchor distT="45720" distB="45720" distL="114300" distR="114300" simplePos="0" relativeHeight="251658266" behindDoc="0" locked="0" layoutInCell="1" allowOverlap="1" wp14:anchorId="4952AAC9" wp14:editId="44402628">
                <wp:simplePos x="0" y="0"/>
                <wp:positionH relativeFrom="column">
                  <wp:posOffset>285115</wp:posOffset>
                </wp:positionH>
                <wp:positionV relativeFrom="paragraph">
                  <wp:posOffset>455295</wp:posOffset>
                </wp:positionV>
                <wp:extent cx="8443595" cy="1691640"/>
                <wp:effectExtent l="0" t="0" r="1460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3595" cy="1691640"/>
                        </a:xfrm>
                        <a:prstGeom prst="rect">
                          <a:avLst/>
                        </a:prstGeom>
                        <a:solidFill>
                          <a:srgbClr val="FFFFFF"/>
                        </a:solidFill>
                        <a:ln w="25400">
                          <a:solidFill>
                            <a:schemeClr val="accent1">
                              <a:lumMod val="50000"/>
                            </a:schemeClr>
                          </a:solidFill>
                          <a:miter lim="800000"/>
                          <a:headEnd/>
                          <a:tailEnd/>
                        </a:ln>
                      </wps:spPr>
                      <wps:txbx>
                        <w:txbxContent>
                          <w:p w14:paraId="2995A727" w14:textId="33F4E181" w:rsidR="006942E1" w:rsidRPr="00550E1F" w:rsidRDefault="006942E1" w:rsidP="004D336E">
                            <w:pPr>
                              <w:jc w:val="center"/>
                              <w:rPr>
                                <w:rFonts w:ascii="Aptos" w:hAnsi="Aptos" w:cstheme="minorHAnsi"/>
                                <w:b/>
                                <w:bCs/>
                                <w:color w:val="auto"/>
                                <w:sz w:val="22"/>
                                <w:szCs w:val="22"/>
                              </w:rPr>
                            </w:pPr>
                            <w:r w:rsidRPr="00550E1F">
                              <w:rPr>
                                <w:rFonts w:ascii="Aptos" w:hAnsi="Aptos" w:cstheme="minorHAnsi"/>
                                <w:b/>
                                <w:bCs/>
                                <w:color w:val="auto"/>
                                <w:sz w:val="22"/>
                                <w:szCs w:val="22"/>
                              </w:rPr>
                              <w:t>Tips for Defining and Measuring Outcomes</w:t>
                            </w:r>
                          </w:p>
                          <w:p w14:paraId="6D3A40D5" w14:textId="77777777"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Consider a variety of ways to determine outcomes: documentation and records, feedback and testimonials, assessment/evaluation data or outcomes, program initiatives and events, and practices and processes that advance student outcomes</w:t>
                            </w:r>
                          </w:p>
                          <w:p w14:paraId="6ED61806" w14:textId="77777777"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Consider how your outcomes will support increasingly effective and equitable experiences and outcomes for candidates, PK-12 students, or other impacted stakeholders.</w:t>
                            </w:r>
                          </w:p>
                          <w:p w14:paraId="11D563E6" w14:textId="53F4D634"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 xml:space="preserve">For more information about DESE’s definition of high-quality evidence of impact, which may help you measure your progress, please see the </w:t>
                            </w:r>
                            <w:hyperlink r:id="rId53" w:history="1">
                              <w:r w:rsidRPr="00550E1F">
                                <w:rPr>
                                  <w:rStyle w:val="Hyperlink"/>
                                  <w:rFonts w:ascii="Aptos" w:hAnsi="Aptos" w:cstheme="minorHAnsi"/>
                                  <w:color w:val="0000CC"/>
                                  <w:sz w:val="22"/>
                                  <w:szCs w:val="22"/>
                                </w:rPr>
                                <w:t>High-Quality Evidence of Impact Advisory</w:t>
                              </w:r>
                            </w:hyperlink>
                            <w:r w:rsidRPr="00550E1F">
                              <w:rPr>
                                <w:rFonts w:ascii="Aptos" w:hAnsi="Aptos" w:cstheme="minorHAnsi"/>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2AAC9" id="_x0000_s1034" type="#_x0000_t202" style="position:absolute;left:0;text-align:left;margin-left:22.45pt;margin-top:35.85pt;width:664.85pt;height:133.2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" strokecolor="#1f3763 [1604]" strokeweight="2pt">
                <v:textbox>
                  <w:txbxContent>
                    <w:p w14:paraId="2995A727" w14:textId="33F4E181" w:rsidR="006942E1" w:rsidRPr="00550E1F" w:rsidRDefault="006942E1" w:rsidP="004D336E">
                      <w:pPr>
                        <w:jc w:val="center"/>
                        <w:rPr>
                          <w:rFonts w:ascii="Aptos" w:hAnsi="Aptos" w:cstheme="minorHAnsi"/>
                          <w:b/>
                          <w:bCs/>
                          <w:color w:val="auto"/>
                          <w:sz w:val="22"/>
                          <w:szCs w:val="22"/>
                        </w:rPr>
                      </w:pPr>
                      <w:r w:rsidRPr="00550E1F">
                        <w:rPr>
                          <w:rFonts w:ascii="Aptos" w:hAnsi="Aptos" w:cstheme="minorHAnsi"/>
                          <w:b/>
                          <w:bCs/>
                          <w:color w:val="auto"/>
                          <w:sz w:val="22"/>
                          <w:szCs w:val="22"/>
                        </w:rPr>
                        <w:t>Tips for Defining and Measuring Outcomes</w:t>
                      </w:r>
                    </w:p>
                    <w:p w14:paraId="6D3A40D5" w14:textId="77777777"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Consider a variety of ways to determine outcomes: documentation and records, feedback and testimonials, assessment/evaluation data or outcomes, program initiatives and events, and practices and processes that advance student outcomes</w:t>
                      </w:r>
                    </w:p>
                    <w:p w14:paraId="6ED61806" w14:textId="77777777"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Consider how your outcomes will support increasingly effective and equitable experiences and outcomes for candidates, PK-12 students, or other impacted stakeholders.</w:t>
                      </w:r>
                    </w:p>
                    <w:p w14:paraId="11D563E6" w14:textId="53F4D634" w:rsidR="006942E1" w:rsidRPr="00550E1F" w:rsidRDefault="006942E1" w:rsidP="004D336E">
                      <w:pPr>
                        <w:pStyle w:val="ListParagraph"/>
                        <w:numPr>
                          <w:ilvl w:val="0"/>
                          <w:numId w:val="15"/>
                        </w:numPr>
                        <w:rPr>
                          <w:rFonts w:ascii="Aptos" w:hAnsi="Aptos" w:cstheme="minorHAnsi"/>
                          <w:color w:val="auto"/>
                          <w:sz w:val="22"/>
                          <w:szCs w:val="22"/>
                        </w:rPr>
                      </w:pPr>
                      <w:r w:rsidRPr="00550E1F">
                        <w:rPr>
                          <w:rFonts w:ascii="Aptos" w:hAnsi="Aptos" w:cstheme="minorHAnsi"/>
                          <w:color w:val="auto"/>
                          <w:sz w:val="22"/>
                          <w:szCs w:val="22"/>
                        </w:rPr>
                        <w:t xml:space="preserve">For more information about DESE’s definition of high-quality evidence of impact, which may help you measure your progress, please see the </w:t>
                      </w:r>
                      <w:hyperlink r:id="rId54" w:history="1">
                        <w:r w:rsidRPr="00550E1F">
                          <w:rPr>
                            <w:rStyle w:val="Hyperlink"/>
                            <w:rFonts w:ascii="Aptos" w:hAnsi="Aptos" w:cstheme="minorHAnsi"/>
                            <w:color w:val="0000CC"/>
                            <w:sz w:val="22"/>
                            <w:szCs w:val="22"/>
                          </w:rPr>
                          <w:t>High-Quality Evidence of Impact Advisory</w:t>
                        </w:r>
                      </w:hyperlink>
                      <w:r w:rsidRPr="00550E1F">
                        <w:rPr>
                          <w:rFonts w:ascii="Aptos" w:hAnsi="Aptos" w:cstheme="minorHAnsi"/>
                          <w:color w:val="auto"/>
                          <w:sz w:val="22"/>
                          <w:szCs w:val="22"/>
                        </w:rPr>
                        <w:t>.</w:t>
                      </w:r>
                    </w:p>
                  </w:txbxContent>
                </v:textbox>
                <w10:wrap type="square"/>
              </v:shape>
            </w:pict>
          </mc:Fallback>
        </mc:AlternateContent>
      </w:r>
    </w:p>
    <w:p w14:paraId="661400AD" w14:textId="419AFC33" w:rsidR="00F54651" w:rsidRPr="00550E1F" w:rsidRDefault="00C73618" w:rsidP="00A206B2">
      <w:pPr>
        <w:pStyle w:val="BodyText"/>
        <w:rPr>
          <w:rStyle w:val="Hyperlink"/>
          <w:rFonts w:ascii="Aptos" w:eastAsiaTheme="majorEastAsia" w:hAnsi="Aptos" w:cs="Calibri"/>
          <w:color w:val="1155CC"/>
        </w:rPr>
      </w:pPr>
      <w:r w:rsidRPr="00550E1F">
        <w:rPr>
          <w:rFonts w:ascii="Aptos" w:hAnsi="Aptos"/>
          <w:b/>
          <w:bCs/>
          <w:color w:val="323130"/>
        </w:rPr>
        <w:t xml:space="preserve">Navigate to: </w:t>
      </w:r>
      <w:hyperlink w:anchor="CI" w:history="1">
        <w:r w:rsidRPr="00550E1F">
          <w:rPr>
            <w:rStyle w:val="Hyperlink"/>
            <w:rFonts w:ascii="Aptos" w:eastAsiaTheme="majorEastAsia" w:hAnsi="Aptos" w:cs="Calibri"/>
            <w:color w:val="1155CC"/>
          </w:rPr>
          <w:t>Continuous Improvement Domain</w:t>
        </w:r>
      </w:hyperlink>
      <w:r w:rsidRPr="00550E1F">
        <w:rPr>
          <w:rFonts w:ascii="Aptos" w:hAnsi="Aptos"/>
          <w:color w:val="323130"/>
        </w:rPr>
        <w:t xml:space="preserve">, </w:t>
      </w:r>
      <w:hyperlink w:anchor="CandidateDomain" w:history="1">
        <w:r w:rsidRPr="00550E1F">
          <w:rPr>
            <w:rStyle w:val="Hyperlink"/>
            <w:rFonts w:ascii="Aptos" w:eastAsiaTheme="majorEastAsia" w:hAnsi="Aptos" w:cs="Calibri"/>
            <w:color w:val="1155CC"/>
          </w:rPr>
          <w:t>Candidate Domain</w:t>
        </w:r>
      </w:hyperlink>
      <w:r w:rsidRPr="00550E1F">
        <w:rPr>
          <w:rFonts w:ascii="Aptos" w:hAnsi="Aptos"/>
          <w:color w:val="323130"/>
        </w:rPr>
        <w:t xml:space="preserve">, </w:t>
      </w:r>
      <w:hyperlink w:anchor="PartnershipsDomain" w:history="1">
        <w:r w:rsidR="003A4AB7">
          <w:rPr>
            <w:rStyle w:val="Hyperlink"/>
            <w:rFonts w:ascii="Aptos" w:eastAsiaTheme="majorEastAsia" w:hAnsi="Aptos" w:cs="Calibri"/>
            <w:color w:val="1155CC"/>
          </w:rPr>
          <w:t>Partnerships Domain </w:t>
        </w:r>
      </w:hyperlink>
      <w:bookmarkStart w:id="41" w:name="CI"/>
    </w:p>
    <w:p w14:paraId="51D94E48" w14:textId="77777777" w:rsidR="009A5605" w:rsidRDefault="009A5605" w:rsidP="00550E1F">
      <w:pPr>
        <w:spacing w:before="0" w:after="0"/>
        <w:rPr>
          <w:rFonts w:eastAsia="Times New Roman"/>
          <w:kern w:val="36"/>
          <w14:ligatures w14:val="none"/>
        </w:rPr>
      </w:pPr>
    </w:p>
    <w:bookmarkStart w:id="42" w:name="_Toc170286773"/>
    <w:bookmarkStart w:id="43" w:name="_Toc170287939"/>
    <w:bookmarkStart w:id="44" w:name="_Toc170815054"/>
    <w:bookmarkStart w:id="45" w:name="_Toc170821861"/>
    <w:bookmarkStart w:id="46" w:name="_Toc170822516"/>
    <w:bookmarkStart w:id="47" w:name="_Toc170822910"/>
    <w:bookmarkStart w:id="48" w:name="_Toc170896956"/>
    <w:bookmarkStart w:id="49" w:name="_Toc170897344"/>
    <w:bookmarkEnd w:id="41"/>
    <w:p w14:paraId="4722E8CA" w14:textId="42EE33FA" w:rsidR="00250E7A" w:rsidRDefault="001E3D39" w:rsidP="00F72DE4">
      <w:pPr>
        <w:pStyle w:val="Heading2"/>
        <w:spacing w:after="360"/>
        <w:rPr>
          <w:sz w:val="20"/>
          <w:szCs w:val="20"/>
        </w:rPr>
      </w:pPr>
      <w:r>
        <w:rPr>
          <w:noProof/>
        </w:rPr>
        <mc:AlternateContent>
          <mc:Choice Requires="wps">
            <w:drawing>
              <wp:anchor distT="0" distB="0" distL="114300" distR="114300" simplePos="0" relativeHeight="251658244" behindDoc="0" locked="0" layoutInCell="1" allowOverlap="1" wp14:anchorId="21496055" wp14:editId="474CC54D">
                <wp:simplePos x="0" y="0"/>
                <wp:positionH relativeFrom="column">
                  <wp:posOffset>-6350</wp:posOffset>
                </wp:positionH>
                <wp:positionV relativeFrom="paragraph">
                  <wp:posOffset>-113030</wp:posOffset>
                </wp:positionV>
                <wp:extent cx="9042400" cy="411480"/>
                <wp:effectExtent l="0" t="0" r="6350" b="7620"/>
                <wp:wrapNone/>
                <wp:docPr id="605715263" name="Text Box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042400" cy="411480"/>
                        </a:xfrm>
                        <a:prstGeom prst="rect">
                          <a:avLst/>
                        </a:prstGeom>
                        <a:solidFill>
                          <a:srgbClr val="8C1176"/>
                        </a:solidFill>
                        <a:ln w="6350">
                          <a:noFill/>
                        </a:ln>
                      </wps:spPr>
                      <wps:txbx>
                        <w:txbxContent>
                          <w:p w14:paraId="0708F9B4" w14:textId="31DDCFB5" w:rsidR="00250E7A" w:rsidRPr="00AF58FC" w:rsidRDefault="00250E7A" w:rsidP="00250E7A">
                            <w:pPr>
                              <w:pStyle w:val="Heading2"/>
                            </w:pPr>
                            <w:bookmarkStart w:id="50" w:name="_Toc170897345"/>
                            <w:r>
                              <w:t xml:space="preserve">Continuous Improvement </w:t>
                            </w:r>
                            <w:r w:rsidR="00A206B2">
                              <w:t xml:space="preserve">Domain </w:t>
                            </w:r>
                            <w:r w:rsidR="009D55CD">
                              <w:t>Action Planning T</w:t>
                            </w:r>
                            <w:r w:rsidR="003E2885">
                              <w:t>ool</w:t>
                            </w:r>
                            <w:bookmarkEnd w:id="5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96055" id="_x0000_s1035" type="#_x0000_t202" style="position:absolute;margin-left:-.5pt;margin-top:-8.9pt;width:712pt;height:32.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" fillcolor="#8c1176" stroked="f" strokeweight=".5pt">
                <v:textbox>
                  <w:txbxContent>
                    <w:p w14:paraId="0708F9B4" w14:textId="31DDCFB5" w:rsidR="00250E7A" w:rsidRPr="00AF58FC" w:rsidRDefault="00250E7A" w:rsidP="00250E7A">
                      <w:pPr>
                        <w:pStyle w:val="Heading2"/>
                      </w:pPr>
                      <w:bookmarkStart w:id="61" w:name="_Toc170897345"/>
                      <w:r>
                        <w:t xml:space="preserve">Continuous Improvement </w:t>
                      </w:r>
                      <w:r w:rsidR="00A206B2">
                        <w:t xml:space="preserve">Domain </w:t>
                      </w:r>
                      <w:r w:rsidR="009D55CD">
                        <w:t>Action Planning T</w:t>
                      </w:r>
                      <w:r w:rsidR="003E2885">
                        <w:t>ool</w:t>
                      </w:r>
                      <w:bookmarkEnd w:id="61"/>
                    </w:p>
                  </w:txbxContent>
                </v:textbox>
              </v:shape>
            </w:pict>
          </mc:Fallback>
        </mc:AlternateContent>
      </w:r>
      <w:bookmarkEnd w:id="42"/>
      <w:bookmarkEnd w:id="43"/>
      <w:bookmarkEnd w:id="44"/>
      <w:bookmarkEnd w:id="45"/>
      <w:bookmarkEnd w:id="46"/>
      <w:bookmarkEnd w:id="47"/>
      <w:bookmarkEnd w:id="48"/>
      <w:bookmarkEnd w:id="49"/>
    </w:p>
    <w:p w14:paraId="759FD56F" w14:textId="4049EE99" w:rsidR="00C73618" w:rsidRPr="00550E1F" w:rsidRDefault="00C73618" w:rsidP="00327F49">
      <w:pPr>
        <w:pStyle w:val="Heading4"/>
        <w:rPr>
          <w:rFonts w:ascii="Aptos" w:hAnsi="Aptos"/>
        </w:rPr>
      </w:pPr>
      <w:r w:rsidRPr="00550E1F">
        <w:rPr>
          <w:rFonts w:ascii="Aptos" w:hAnsi="Aptos"/>
        </w:rPr>
        <w:t>CI 1: The sponsoring organization’s continuous improvement efforts are intentionally designed to involve a variety of stakeholders (including those directly impacted by programming) in decision-making to ensure equitable program experiences and improve candidate outcomes.</w:t>
      </w:r>
    </w:p>
    <w:p w14:paraId="701AFB6A" w14:textId="0B7C85F1" w:rsidR="00F4584F" w:rsidRPr="00550E1F" w:rsidRDefault="00F4584F" w:rsidP="00F4584F">
      <w:pPr>
        <w:pStyle w:val="TableTitle2"/>
        <w:rPr>
          <w:rFonts w:ascii="Aptos" w:hAnsi="Aptos"/>
        </w:rPr>
      </w:pPr>
      <w:r w:rsidRPr="00550E1F">
        <w:rPr>
          <w:rFonts w:ascii="Aptos" w:hAnsi="Aptos"/>
        </w:rPr>
        <w:t xml:space="preserve">Does your </w:t>
      </w:r>
      <w:r w:rsidR="00EA6C1C">
        <w:rPr>
          <w:rFonts w:ascii="Aptos" w:hAnsi="Aptos"/>
        </w:rPr>
        <w:t>SO</w:t>
      </w:r>
      <w:r w:rsidRPr="00550E1F">
        <w:rPr>
          <w:rFonts w:ascii="Aptos" w:hAnsi="Aptos"/>
        </w:rPr>
        <w:t xml:space="preserve"> have a leadership team in charge of collecting, analyzing, and facilitating dialogue for continuous improvement? Is the leadership team well-supported to employ equity-oriented guiding principles, framework, or outcomes throughout continuous improvement processes?</w:t>
      </w:r>
    </w:p>
    <w:tbl>
      <w:tblPr>
        <w:tblW w:w="0" w:type="auto"/>
        <w:tblCellMar>
          <w:top w:w="15" w:type="dxa"/>
          <w:left w:w="15" w:type="dxa"/>
          <w:bottom w:w="15" w:type="dxa"/>
          <w:right w:w="15" w:type="dxa"/>
        </w:tblCellMar>
        <w:tblLook w:val="04A0" w:firstRow="1" w:lastRow="0" w:firstColumn="1" w:lastColumn="0" w:noHBand="0" w:noVBand="1"/>
      </w:tblPr>
      <w:tblGrid>
        <w:gridCol w:w="5032"/>
        <w:gridCol w:w="9180"/>
      </w:tblGrid>
      <w:tr w:rsidR="00F4584F" w:rsidRPr="00A21685" w14:paraId="45F2273D" w14:textId="77777777" w:rsidTr="00327F49">
        <w:trPr>
          <w:trHeight w:hRule="exact" w:val="288"/>
        </w:trPr>
        <w:tc>
          <w:tcPr>
            <w:tcW w:w="5032"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21288A76" w14:textId="17608512" w:rsidR="00F4584F" w:rsidRPr="00550E1F" w:rsidRDefault="00F4584F" w:rsidP="00705DBE">
            <w:pPr>
              <w:pStyle w:val="TableHeaderRow2"/>
              <w:rPr>
                <w:rFonts w:ascii="Aptos" w:hAnsi="Aptos"/>
              </w:rPr>
            </w:pPr>
            <w:r w:rsidRPr="00550E1F">
              <w:rPr>
                <w:rFonts w:ascii="Aptos" w:hAnsi="Aptos"/>
              </w:rPr>
              <w:t>Question</w:t>
            </w:r>
          </w:p>
        </w:tc>
        <w:tc>
          <w:tcPr>
            <w:tcW w:w="9180" w:type="dxa"/>
            <w:tcBorders>
              <w:top w:val="single" w:sz="6" w:space="0" w:color="000000"/>
              <w:left w:val="single" w:sz="6" w:space="0" w:color="000000"/>
              <w:bottom w:val="single" w:sz="6" w:space="0" w:color="000000"/>
              <w:right w:val="single" w:sz="6" w:space="0" w:color="000000"/>
            </w:tcBorders>
            <w:shd w:val="clear" w:color="auto" w:fill="8C1176"/>
          </w:tcPr>
          <w:p w14:paraId="1F9C3035" w14:textId="4A576FB9" w:rsidR="00F4584F" w:rsidRPr="00550E1F" w:rsidRDefault="00105518" w:rsidP="00554FBA">
            <w:pPr>
              <w:pStyle w:val="TableHeaderRow2"/>
              <w:ind w:left="144" w:firstLine="14"/>
              <w:rPr>
                <w:rFonts w:ascii="Aptos" w:hAnsi="Aptos"/>
              </w:rPr>
            </w:pPr>
            <w:r w:rsidRPr="00550E1F">
              <w:rPr>
                <w:rFonts w:ascii="Aptos" w:hAnsi="Aptos"/>
              </w:rPr>
              <w:t>Response</w:t>
            </w:r>
          </w:p>
        </w:tc>
      </w:tr>
      <w:tr w:rsidR="00C73618" w:rsidRPr="00A21685" w14:paraId="035E4496" w14:textId="77777777" w:rsidTr="00327F49">
        <w:trPr>
          <w:trHeight w:hRule="exact" w:val="1008"/>
        </w:trPr>
        <w:tc>
          <w:tcPr>
            <w:tcW w:w="5032"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5D81BA9" w14:textId="1BF61D30" w:rsidR="00C73618" w:rsidRPr="00550E1F" w:rsidRDefault="00C73618" w:rsidP="0002238F">
            <w:pPr>
              <w:pStyle w:val="BodyText2"/>
              <w:rPr>
                <w:rFonts w:ascii="Aptos" w:hAnsi="Aptos"/>
                <w:b/>
                <w:bCs/>
              </w:rPr>
            </w:pPr>
            <w:r w:rsidRPr="00550E1F">
              <w:rPr>
                <w:rFonts w:ascii="Aptos" w:hAnsi="Aptos"/>
                <w:b/>
                <w:bCs/>
              </w:rPr>
              <w:t>Current Practices and Outcomes</w:t>
            </w:r>
          </w:p>
          <w:p w14:paraId="7EAA0DB0" w14:textId="77777777"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9180"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CDC1D56" w14:textId="507B0EDD" w:rsidR="00C73618" w:rsidRPr="00550E1F" w:rsidRDefault="00C73618" w:rsidP="00F4584F">
            <w:pPr>
              <w:pStyle w:val="BodyText2"/>
              <w:ind w:left="67"/>
              <w:rPr>
                <w:rFonts w:ascii="Aptos" w:hAnsi="Aptos"/>
              </w:rPr>
            </w:pPr>
          </w:p>
        </w:tc>
      </w:tr>
      <w:tr w:rsidR="00C73618" w:rsidRPr="00A21685" w14:paraId="0F0D2577" w14:textId="77777777" w:rsidTr="00327F49">
        <w:trPr>
          <w:trHeight w:hRule="exact" w:val="1296"/>
        </w:trPr>
        <w:tc>
          <w:tcPr>
            <w:tcW w:w="5032"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279E7E3"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29C1CE8D"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9180"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0B1DBDF5" w14:textId="3C02BF8B" w:rsidR="00C73618" w:rsidRPr="00550E1F" w:rsidRDefault="00C73618" w:rsidP="00F4584F">
            <w:pPr>
              <w:pStyle w:val="BodyText2"/>
              <w:ind w:left="67"/>
              <w:rPr>
                <w:rFonts w:ascii="Aptos" w:hAnsi="Aptos"/>
              </w:rPr>
            </w:pPr>
          </w:p>
        </w:tc>
      </w:tr>
    </w:tbl>
    <w:p w14:paraId="6AC23CAD" w14:textId="3231450B" w:rsidR="0002238F" w:rsidRPr="00550E1F" w:rsidRDefault="00F4584F" w:rsidP="00F4584F">
      <w:pPr>
        <w:pStyle w:val="TableTitle2"/>
        <w:rPr>
          <w:rFonts w:ascii="Aptos" w:hAnsi="Aptos"/>
        </w:rPr>
      </w:pPr>
      <w:r w:rsidRPr="00550E1F">
        <w:rPr>
          <w:rFonts w:ascii="Aptos" w:hAnsi="Aptos"/>
        </w:rPr>
        <w:t>Who are the stakeholders that your SO involves in decision-making to ensure equitable program experiences and improve candidate outcomes?</w:t>
      </w:r>
    </w:p>
    <w:tbl>
      <w:tblPr>
        <w:tblW w:w="0" w:type="auto"/>
        <w:tblCellMar>
          <w:top w:w="15" w:type="dxa"/>
          <w:left w:w="15" w:type="dxa"/>
          <w:bottom w:w="15" w:type="dxa"/>
          <w:right w:w="15" w:type="dxa"/>
        </w:tblCellMar>
        <w:tblLook w:val="04A0" w:firstRow="1" w:lastRow="0" w:firstColumn="1" w:lastColumn="0" w:noHBand="0" w:noVBand="1"/>
      </w:tblPr>
      <w:tblGrid>
        <w:gridCol w:w="5122"/>
        <w:gridCol w:w="9090"/>
      </w:tblGrid>
      <w:tr w:rsidR="00F4584F" w:rsidRPr="00A21685" w14:paraId="4292E5AB" w14:textId="77777777" w:rsidTr="00327F49">
        <w:trPr>
          <w:trHeight w:val="285"/>
        </w:trPr>
        <w:tc>
          <w:tcPr>
            <w:tcW w:w="5122"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2C0D9134" w14:textId="15AA35E3" w:rsidR="00F4584F" w:rsidRPr="00550E1F" w:rsidRDefault="00F4584F" w:rsidP="00705DBE">
            <w:pPr>
              <w:pStyle w:val="TableHeaderRow2"/>
              <w:rPr>
                <w:rFonts w:ascii="Aptos" w:hAnsi="Aptos"/>
              </w:rPr>
            </w:pPr>
            <w:r w:rsidRPr="00550E1F">
              <w:rPr>
                <w:rFonts w:ascii="Aptos" w:hAnsi="Aptos"/>
              </w:rPr>
              <w:t>Question</w:t>
            </w:r>
          </w:p>
        </w:tc>
        <w:tc>
          <w:tcPr>
            <w:tcW w:w="9090" w:type="dxa"/>
            <w:tcBorders>
              <w:top w:val="single" w:sz="4" w:space="0" w:color="000000"/>
              <w:left w:val="single" w:sz="6" w:space="0" w:color="000000"/>
              <w:bottom w:val="single" w:sz="4" w:space="0" w:color="000000"/>
              <w:right w:val="single" w:sz="6" w:space="0" w:color="000000"/>
            </w:tcBorders>
            <w:shd w:val="clear" w:color="auto" w:fill="8C1176"/>
          </w:tcPr>
          <w:p w14:paraId="2042ED36" w14:textId="3C25C14C" w:rsidR="00F4584F" w:rsidRPr="00550E1F" w:rsidRDefault="00105518" w:rsidP="00F4584F">
            <w:pPr>
              <w:pStyle w:val="TableHeaderRow2"/>
              <w:ind w:left="77"/>
              <w:rPr>
                <w:rFonts w:ascii="Aptos" w:hAnsi="Aptos"/>
              </w:rPr>
            </w:pPr>
            <w:r w:rsidRPr="00550E1F">
              <w:rPr>
                <w:rFonts w:ascii="Aptos" w:hAnsi="Aptos"/>
              </w:rPr>
              <w:t>Response</w:t>
            </w:r>
          </w:p>
        </w:tc>
      </w:tr>
      <w:tr w:rsidR="00C73618" w:rsidRPr="00A21685" w14:paraId="4A490454" w14:textId="77777777" w:rsidTr="00327F49">
        <w:trPr>
          <w:trHeight w:hRule="exact" w:val="1008"/>
        </w:trPr>
        <w:tc>
          <w:tcPr>
            <w:tcW w:w="5122"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C3C2D44" w14:textId="77777777" w:rsidR="00F4584F" w:rsidRPr="00550E1F" w:rsidRDefault="00C73618" w:rsidP="0002238F">
            <w:pPr>
              <w:pStyle w:val="BodyText2"/>
              <w:rPr>
                <w:rFonts w:ascii="Aptos" w:hAnsi="Aptos"/>
                <w:b/>
                <w:bCs/>
              </w:rPr>
            </w:pPr>
            <w:r w:rsidRPr="00550E1F">
              <w:rPr>
                <w:rFonts w:ascii="Aptos" w:hAnsi="Aptos"/>
                <w:b/>
                <w:bCs/>
              </w:rPr>
              <w:t>Current Practices and Outcomes</w:t>
            </w:r>
          </w:p>
          <w:p w14:paraId="18819BAD" w14:textId="497658DF"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9090"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3F3E0B6C" w14:textId="1108D272" w:rsidR="00105518" w:rsidRPr="00550E1F" w:rsidRDefault="00105518" w:rsidP="0002238F">
            <w:pPr>
              <w:pStyle w:val="BodyText2"/>
              <w:rPr>
                <w:rFonts w:ascii="Aptos" w:hAnsi="Aptos"/>
              </w:rPr>
            </w:pPr>
          </w:p>
        </w:tc>
      </w:tr>
      <w:tr w:rsidR="00C73618" w:rsidRPr="00A21685" w14:paraId="30AC5AB5" w14:textId="77777777" w:rsidTr="00327F49">
        <w:trPr>
          <w:trHeight w:hRule="exact" w:val="1008"/>
        </w:trPr>
        <w:tc>
          <w:tcPr>
            <w:tcW w:w="5122"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E37D90A"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F8E3C42"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9090"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3EAA91E9" w14:textId="0248C037" w:rsidR="00C73618" w:rsidRPr="00550E1F" w:rsidRDefault="00C73618" w:rsidP="0002238F">
            <w:pPr>
              <w:pStyle w:val="BodyText2"/>
              <w:rPr>
                <w:rFonts w:ascii="Aptos" w:hAnsi="Aptos"/>
              </w:rPr>
            </w:pPr>
          </w:p>
        </w:tc>
      </w:tr>
    </w:tbl>
    <w:p w14:paraId="75A9A166" w14:textId="40303EB6" w:rsidR="0002238F" w:rsidRPr="00550E1F" w:rsidRDefault="00F4584F" w:rsidP="00F4584F">
      <w:pPr>
        <w:pStyle w:val="TableTitle2"/>
        <w:rPr>
          <w:rFonts w:ascii="Aptos" w:hAnsi="Aptos"/>
        </w:rPr>
      </w:pPr>
      <w:r w:rsidRPr="00550E1F">
        <w:rPr>
          <w:rFonts w:ascii="Aptos" w:hAnsi="Aptos"/>
        </w:rPr>
        <w:t>For each of those stakeholders, how are processes designed so they are involved in making evidence-informed decisions towards increasingly equitable and effective preparation programs?</w:t>
      </w:r>
    </w:p>
    <w:tbl>
      <w:tblPr>
        <w:tblW w:w="0" w:type="auto"/>
        <w:tblCellMar>
          <w:top w:w="15" w:type="dxa"/>
          <w:left w:w="15" w:type="dxa"/>
          <w:bottom w:w="15" w:type="dxa"/>
          <w:right w:w="15" w:type="dxa"/>
        </w:tblCellMar>
        <w:tblLook w:val="04A0" w:firstRow="1" w:lastRow="0" w:firstColumn="1" w:lastColumn="0" w:noHBand="0" w:noVBand="1"/>
      </w:tblPr>
      <w:tblGrid>
        <w:gridCol w:w="5115"/>
        <w:gridCol w:w="9097"/>
      </w:tblGrid>
      <w:tr w:rsidR="00F4584F" w:rsidRPr="00A21685" w14:paraId="70C91561" w14:textId="77777777" w:rsidTr="00327F49">
        <w:trPr>
          <w:trHeight w:val="285"/>
        </w:trPr>
        <w:tc>
          <w:tcPr>
            <w:tcW w:w="0" w:type="auto"/>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45A758B3" w14:textId="41BDB678" w:rsidR="00F4584F" w:rsidRPr="00550E1F" w:rsidRDefault="00554FBA" w:rsidP="00705DBE">
            <w:pPr>
              <w:pStyle w:val="TableHeaderRow2"/>
              <w:rPr>
                <w:rFonts w:ascii="Aptos" w:hAnsi="Aptos"/>
              </w:rPr>
            </w:pPr>
            <w:r w:rsidRPr="00550E1F">
              <w:rPr>
                <w:rFonts w:ascii="Aptos" w:hAnsi="Aptos"/>
              </w:rPr>
              <w:t>Question</w:t>
            </w:r>
          </w:p>
        </w:tc>
        <w:tc>
          <w:tcPr>
            <w:tcW w:w="9097" w:type="dxa"/>
            <w:tcBorders>
              <w:top w:val="single" w:sz="4" w:space="0" w:color="000000"/>
              <w:left w:val="single" w:sz="6" w:space="0" w:color="000000"/>
              <w:bottom w:val="single" w:sz="6" w:space="0" w:color="000000"/>
              <w:right w:val="single" w:sz="6" w:space="0" w:color="000000"/>
            </w:tcBorders>
            <w:shd w:val="clear" w:color="auto" w:fill="8C1176"/>
          </w:tcPr>
          <w:p w14:paraId="00E8747A" w14:textId="24861AAB" w:rsidR="00F4584F" w:rsidRPr="00550E1F" w:rsidRDefault="00105518" w:rsidP="00554FBA">
            <w:pPr>
              <w:pStyle w:val="TableHeaderRow2"/>
              <w:ind w:left="86"/>
              <w:rPr>
                <w:rFonts w:ascii="Aptos" w:hAnsi="Aptos"/>
              </w:rPr>
            </w:pPr>
            <w:r w:rsidRPr="00550E1F">
              <w:rPr>
                <w:rFonts w:ascii="Aptos" w:hAnsi="Aptos"/>
              </w:rPr>
              <w:t>Response</w:t>
            </w:r>
          </w:p>
        </w:tc>
      </w:tr>
      <w:tr w:rsidR="00C73618" w:rsidRPr="00A21685" w14:paraId="27643A6E" w14:textId="77777777" w:rsidTr="00327F49">
        <w:trPr>
          <w:trHeight w:hRule="exact" w:val="1008"/>
        </w:trPr>
        <w:tc>
          <w:tcPr>
            <w:tcW w:w="5115"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4344509" w14:textId="77777777" w:rsidR="006E3A9D" w:rsidRPr="00550E1F" w:rsidRDefault="00C73618" w:rsidP="0002238F">
            <w:pPr>
              <w:pStyle w:val="BodyText2"/>
              <w:rPr>
                <w:rFonts w:ascii="Aptos" w:hAnsi="Aptos"/>
                <w:b/>
                <w:bCs/>
              </w:rPr>
            </w:pPr>
            <w:r w:rsidRPr="00550E1F">
              <w:rPr>
                <w:rFonts w:ascii="Aptos" w:hAnsi="Aptos"/>
                <w:b/>
                <w:bCs/>
              </w:rPr>
              <w:t>Current Practices and Outcomes</w:t>
            </w:r>
          </w:p>
          <w:p w14:paraId="6D4618C2" w14:textId="391B37B1"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9097"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530ACDC" w14:textId="2D7B11FA" w:rsidR="00C73618" w:rsidRPr="00550E1F" w:rsidRDefault="00C73618" w:rsidP="0002238F">
            <w:pPr>
              <w:pStyle w:val="BodyText2"/>
              <w:rPr>
                <w:rFonts w:ascii="Aptos" w:hAnsi="Aptos"/>
              </w:rPr>
            </w:pPr>
          </w:p>
        </w:tc>
      </w:tr>
      <w:tr w:rsidR="00C73618" w:rsidRPr="00A21685" w14:paraId="584832B2" w14:textId="77777777" w:rsidTr="00327F49">
        <w:trPr>
          <w:trHeight w:hRule="exact" w:val="1008"/>
        </w:trPr>
        <w:tc>
          <w:tcPr>
            <w:tcW w:w="511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B2264E1"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0184DA31"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9097"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0B34418" w14:textId="656D75DD" w:rsidR="00C73618" w:rsidRPr="00550E1F" w:rsidRDefault="00C73618" w:rsidP="0002238F">
            <w:pPr>
              <w:pStyle w:val="BodyText2"/>
              <w:rPr>
                <w:rFonts w:ascii="Aptos" w:hAnsi="Aptos"/>
              </w:rPr>
            </w:pPr>
          </w:p>
        </w:tc>
      </w:tr>
    </w:tbl>
    <w:p w14:paraId="64CDC422" w14:textId="432B37E8" w:rsidR="00C73618" w:rsidRPr="00550E1F" w:rsidRDefault="00C73618" w:rsidP="006F6F3C">
      <w:pPr>
        <w:pStyle w:val="Heading4"/>
        <w:rPr>
          <w:rFonts w:ascii="Aptos" w:hAnsi="Aptos"/>
        </w:rPr>
      </w:pPr>
      <w:r w:rsidRPr="00550E1F">
        <w:rPr>
          <w:rFonts w:ascii="Aptos" w:hAnsi="Aptos"/>
        </w:rPr>
        <w:t>CI 2: At least annually, the sponsoring organization collects and analyzes evidence from a variety of sources (including stakeholder feedback, data collected by the organization, and, when available, state-collected data) in order to understand the experiences and outcomes of all candidates (with particular focus on those from systemically marginalized races, ethnicities, identity groups, and backgrounds) and identify program strengths and areas for improvement.</w:t>
      </w:r>
    </w:p>
    <w:p w14:paraId="6BA863BE" w14:textId="20414D73" w:rsidR="006E3A9D" w:rsidRPr="00550E1F" w:rsidRDefault="00554FBA" w:rsidP="00554FBA">
      <w:pPr>
        <w:pStyle w:val="TableTitle2"/>
        <w:rPr>
          <w:rFonts w:ascii="Aptos" w:hAnsi="Aptos"/>
        </w:rPr>
      </w:pPr>
      <w:r w:rsidRPr="00550E1F">
        <w:rPr>
          <w:rFonts w:ascii="Aptos" w:hAnsi="Aptos"/>
        </w:rPr>
        <w:t>What data sources does your SO consider to understand the experiences and outcomes of all candidates, with particular focus on those from systemically marginalized groups and communities? Do these data sources provide multiple sources of qualitative and quantitative information?</w:t>
      </w:r>
    </w:p>
    <w:tbl>
      <w:tblPr>
        <w:tblW w:w="14122" w:type="dxa"/>
        <w:tblCellMar>
          <w:top w:w="15" w:type="dxa"/>
          <w:left w:w="15" w:type="dxa"/>
          <w:bottom w:w="15" w:type="dxa"/>
          <w:right w:w="15" w:type="dxa"/>
        </w:tblCellMar>
        <w:tblLook w:val="04A0" w:firstRow="1" w:lastRow="0" w:firstColumn="1" w:lastColumn="0" w:noHBand="0" w:noVBand="1"/>
      </w:tblPr>
      <w:tblGrid>
        <w:gridCol w:w="5212"/>
        <w:gridCol w:w="8910"/>
      </w:tblGrid>
      <w:tr w:rsidR="00554FBA" w:rsidRPr="00A21685" w14:paraId="66838B3E" w14:textId="77777777" w:rsidTr="00327F49">
        <w:trPr>
          <w:trHeight w:val="285"/>
        </w:trPr>
        <w:tc>
          <w:tcPr>
            <w:tcW w:w="5212"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8E2040A" w14:textId="21293466" w:rsidR="00554FBA" w:rsidRPr="00550E1F" w:rsidRDefault="00554FBA" w:rsidP="00705DBE">
            <w:pPr>
              <w:pStyle w:val="TableHeaderRow2"/>
              <w:rPr>
                <w:rFonts w:ascii="Aptos" w:hAnsi="Aptos"/>
              </w:rPr>
            </w:pPr>
            <w:r w:rsidRPr="00550E1F">
              <w:rPr>
                <w:rFonts w:ascii="Aptos" w:hAnsi="Aptos"/>
              </w:rPr>
              <w:t>Question</w:t>
            </w:r>
          </w:p>
        </w:tc>
        <w:tc>
          <w:tcPr>
            <w:tcW w:w="8910" w:type="dxa"/>
            <w:tcBorders>
              <w:top w:val="single" w:sz="6" w:space="0" w:color="000000"/>
              <w:left w:val="single" w:sz="6" w:space="0" w:color="000000"/>
              <w:bottom w:val="single" w:sz="6" w:space="0" w:color="000000"/>
              <w:right w:val="single" w:sz="6" w:space="0" w:color="000000"/>
            </w:tcBorders>
            <w:shd w:val="clear" w:color="auto" w:fill="8C1176"/>
          </w:tcPr>
          <w:p w14:paraId="67F2BE83" w14:textId="3CF26F59" w:rsidR="00554FBA" w:rsidRPr="00550E1F" w:rsidRDefault="00105518" w:rsidP="00554FBA">
            <w:pPr>
              <w:pStyle w:val="TableHeaderRow2"/>
              <w:ind w:left="76"/>
              <w:rPr>
                <w:rFonts w:ascii="Aptos" w:hAnsi="Aptos"/>
              </w:rPr>
            </w:pPr>
            <w:r w:rsidRPr="00550E1F">
              <w:rPr>
                <w:rFonts w:ascii="Aptos" w:hAnsi="Aptos"/>
              </w:rPr>
              <w:t>Response</w:t>
            </w:r>
          </w:p>
        </w:tc>
      </w:tr>
      <w:tr w:rsidR="00C73618" w:rsidRPr="00A21685" w14:paraId="53D270D7" w14:textId="77777777" w:rsidTr="00327F49">
        <w:trPr>
          <w:trHeight w:hRule="exact" w:val="1008"/>
        </w:trPr>
        <w:tc>
          <w:tcPr>
            <w:tcW w:w="5212"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F81B9B1" w14:textId="791E049E" w:rsidR="00C73618" w:rsidRPr="00550E1F" w:rsidRDefault="00C73618" w:rsidP="0002238F">
            <w:pPr>
              <w:pStyle w:val="BodyText2"/>
              <w:rPr>
                <w:rFonts w:ascii="Aptos" w:hAnsi="Aptos"/>
                <w:b/>
                <w:bCs/>
              </w:rPr>
            </w:pPr>
            <w:r w:rsidRPr="00550E1F">
              <w:rPr>
                <w:rFonts w:ascii="Aptos" w:hAnsi="Aptos"/>
                <w:b/>
                <w:bCs/>
              </w:rPr>
              <w:t>Current Practices and Outcomes</w:t>
            </w:r>
          </w:p>
          <w:p w14:paraId="0EBD91EC" w14:textId="77777777"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10"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993BD50" w14:textId="334F9B84" w:rsidR="00C73618" w:rsidRPr="00550E1F" w:rsidRDefault="00C73618" w:rsidP="0002238F">
            <w:pPr>
              <w:pStyle w:val="BodyText2"/>
              <w:rPr>
                <w:rFonts w:ascii="Aptos" w:hAnsi="Aptos"/>
              </w:rPr>
            </w:pPr>
          </w:p>
        </w:tc>
      </w:tr>
      <w:tr w:rsidR="00C73618" w:rsidRPr="00A21685" w14:paraId="24BB921F" w14:textId="77777777" w:rsidTr="00327F49">
        <w:trPr>
          <w:trHeight w:hRule="exact" w:val="1008"/>
        </w:trPr>
        <w:tc>
          <w:tcPr>
            <w:tcW w:w="5212"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4B3FCC95"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9986038"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10"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15B03A5C" w14:textId="100DF6F1" w:rsidR="00C73618" w:rsidRPr="00550E1F" w:rsidRDefault="00C73618" w:rsidP="0002238F">
            <w:pPr>
              <w:pStyle w:val="BodyText2"/>
              <w:rPr>
                <w:rFonts w:ascii="Aptos" w:hAnsi="Aptos"/>
              </w:rPr>
            </w:pPr>
          </w:p>
        </w:tc>
      </w:tr>
    </w:tbl>
    <w:p w14:paraId="584728A2" w14:textId="5CF9A426" w:rsidR="0002238F" w:rsidRPr="00550E1F" w:rsidRDefault="00554FBA" w:rsidP="00554FBA">
      <w:pPr>
        <w:pStyle w:val="TableTitle2"/>
        <w:rPr>
          <w:rFonts w:ascii="Aptos" w:hAnsi="Aptos"/>
        </w:rPr>
      </w:pPr>
      <w:r w:rsidRPr="00550E1F">
        <w:rPr>
          <w:rFonts w:ascii="Aptos" w:hAnsi="Aptos"/>
        </w:rPr>
        <w:t>What processes are in place to collect that data?</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80310E" w:rsidRPr="00A21685" w14:paraId="32DE2ED0" w14:textId="77777777" w:rsidTr="00327F49">
        <w:trPr>
          <w:trHeight w:hRule="exact" w:val="288"/>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09D5EEFF" w14:textId="13B3E8BA" w:rsidR="0080310E" w:rsidRPr="00550E1F" w:rsidRDefault="00554FBA"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4" w:space="0" w:color="000000"/>
              <w:right w:val="single" w:sz="6" w:space="0" w:color="000000"/>
            </w:tcBorders>
            <w:shd w:val="clear" w:color="auto" w:fill="8C1176"/>
          </w:tcPr>
          <w:p w14:paraId="470556C2" w14:textId="7F5ED101" w:rsidR="0080310E" w:rsidRPr="00550E1F" w:rsidRDefault="00105518" w:rsidP="00554FBA">
            <w:pPr>
              <w:pStyle w:val="TableHeaderRow2"/>
              <w:ind w:left="126"/>
              <w:rPr>
                <w:rFonts w:ascii="Aptos" w:hAnsi="Aptos"/>
              </w:rPr>
            </w:pPr>
            <w:r w:rsidRPr="00550E1F">
              <w:rPr>
                <w:rFonts w:ascii="Aptos" w:hAnsi="Aptos"/>
              </w:rPr>
              <w:t>Response</w:t>
            </w:r>
          </w:p>
        </w:tc>
      </w:tr>
      <w:tr w:rsidR="00C73618" w:rsidRPr="00A21685" w14:paraId="58392359"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CF260EC"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10B6AF57" w14:textId="0386297D"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B7164E9" w14:textId="02C722D1" w:rsidR="00C73618" w:rsidRPr="00550E1F" w:rsidRDefault="00C73618" w:rsidP="0002238F">
            <w:pPr>
              <w:pStyle w:val="BodyText2"/>
              <w:rPr>
                <w:rFonts w:ascii="Aptos" w:hAnsi="Aptos"/>
              </w:rPr>
            </w:pPr>
          </w:p>
        </w:tc>
      </w:tr>
      <w:tr w:rsidR="00C73618" w:rsidRPr="00A21685" w14:paraId="4E652C70"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30DEBF8"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8224C61"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06D9036D" w14:textId="2C8F664C" w:rsidR="00C73618" w:rsidRPr="00550E1F" w:rsidRDefault="00C73618" w:rsidP="0002238F">
            <w:pPr>
              <w:pStyle w:val="BodyText2"/>
              <w:rPr>
                <w:rFonts w:ascii="Aptos" w:hAnsi="Aptos"/>
              </w:rPr>
            </w:pPr>
          </w:p>
        </w:tc>
      </w:tr>
    </w:tbl>
    <w:p w14:paraId="3CEEA28C" w14:textId="2A132357" w:rsidR="0002238F" w:rsidRPr="00550E1F" w:rsidRDefault="00105518" w:rsidP="00105518">
      <w:pPr>
        <w:pStyle w:val="TableTitle2"/>
        <w:rPr>
          <w:rFonts w:ascii="Aptos" w:hAnsi="Aptos"/>
        </w:rPr>
      </w:pPr>
      <w:r w:rsidRPr="00550E1F">
        <w:rPr>
          <w:rFonts w:ascii="Aptos" w:hAnsi="Aptos"/>
        </w:rPr>
        <w:t>How is that data organized to be accessible to those involved in decision-making processes? How does the organization of the data promote your understanding of equitable experiences across candidates, with particular focus on those from systemically marginalized groups and communities?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105518" w:rsidRPr="00A21685" w14:paraId="530E656D" w14:textId="77777777" w:rsidTr="00327F49">
        <w:trPr>
          <w:trHeight w:val="285"/>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48E82720" w14:textId="4B3D26D2" w:rsidR="00105518" w:rsidRPr="00550E1F" w:rsidRDefault="00105518"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6" w:space="0" w:color="000000"/>
              <w:right w:val="single" w:sz="6" w:space="0" w:color="000000"/>
            </w:tcBorders>
            <w:shd w:val="clear" w:color="auto" w:fill="8C1176"/>
          </w:tcPr>
          <w:p w14:paraId="6C7802C0" w14:textId="7487E44E" w:rsidR="00105518" w:rsidRPr="00550E1F" w:rsidRDefault="00105518" w:rsidP="00105518">
            <w:pPr>
              <w:pStyle w:val="TableHeaderRow2"/>
              <w:ind w:firstLine="90"/>
              <w:rPr>
                <w:rFonts w:ascii="Aptos" w:hAnsi="Aptos"/>
              </w:rPr>
            </w:pPr>
            <w:r w:rsidRPr="00550E1F">
              <w:rPr>
                <w:rFonts w:ascii="Aptos" w:hAnsi="Aptos"/>
              </w:rPr>
              <w:t>Response</w:t>
            </w:r>
          </w:p>
        </w:tc>
      </w:tr>
      <w:tr w:rsidR="00C73618" w:rsidRPr="00A21685" w14:paraId="0E47DD7B" w14:textId="77777777" w:rsidTr="00327F49">
        <w:trPr>
          <w:trHeight w:val="876"/>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1BA2AF"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6A55F32B" w14:textId="1774061F"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E5E9A06" w14:textId="14543832" w:rsidR="00C73618" w:rsidRPr="00550E1F" w:rsidRDefault="00C73618" w:rsidP="0002238F">
            <w:pPr>
              <w:pStyle w:val="BodyText2"/>
              <w:rPr>
                <w:rFonts w:ascii="Aptos" w:hAnsi="Aptos"/>
              </w:rPr>
            </w:pPr>
          </w:p>
        </w:tc>
      </w:tr>
      <w:tr w:rsidR="00C73618" w:rsidRPr="00A21685" w14:paraId="6456A9BD"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608708D"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3CD2CC41"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DF2BD57" w14:textId="7DFCA4AF" w:rsidR="00C73618" w:rsidRPr="00550E1F" w:rsidRDefault="00C73618" w:rsidP="0002238F">
            <w:pPr>
              <w:pStyle w:val="BodyText2"/>
              <w:rPr>
                <w:rFonts w:ascii="Aptos" w:hAnsi="Aptos"/>
              </w:rPr>
            </w:pPr>
          </w:p>
        </w:tc>
      </w:tr>
    </w:tbl>
    <w:p w14:paraId="29DEAA94" w14:textId="7E7997D5" w:rsidR="0002238F" w:rsidRPr="00550E1F" w:rsidRDefault="00105518" w:rsidP="009B4A75">
      <w:pPr>
        <w:pStyle w:val="TableTitle2"/>
        <w:rPr>
          <w:rFonts w:ascii="Aptos" w:hAnsi="Aptos"/>
        </w:rPr>
      </w:pPr>
      <w:r w:rsidRPr="00550E1F">
        <w:rPr>
          <w:rFonts w:ascii="Aptos" w:hAnsi="Aptos"/>
        </w:rPr>
        <w:t>What processes does your SO use for analyzing and disaggregating data sources to ensure equitable systems and candidate outcomes, particularly for candidates whose identities have been systemically marginalized? Who is included in those processes?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105518" w:rsidRPr="00A21685" w14:paraId="69A85D0A" w14:textId="77777777" w:rsidTr="00327F49">
        <w:trPr>
          <w:trHeight w:val="300"/>
          <w:tblHeader/>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1C82B124" w14:textId="193C266A" w:rsidR="00105518" w:rsidRPr="00550E1F" w:rsidRDefault="00105518" w:rsidP="009B4A75">
            <w:pPr>
              <w:pStyle w:val="TableHeaderRow2"/>
              <w:keepNext/>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7418775F" w14:textId="2A947EED" w:rsidR="00105518" w:rsidRPr="00550E1F" w:rsidRDefault="00105518" w:rsidP="009B4A75">
            <w:pPr>
              <w:pStyle w:val="TableHeaderRow2"/>
              <w:keepNext/>
              <w:ind w:left="144" w:hanging="72"/>
              <w:rPr>
                <w:rFonts w:ascii="Aptos" w:hAnsi="Aptos"/>
              </w:rPr>
            </w:pPr>
            <w:r w:rsidRPr="00550E1F">
              <w:rPr>
                <w:rFonts w:ascii="Aptos" w:hAnsi="Aptos"/>
              </w:rPr>
              <w:t>Response</w:t>
            </w:r>
          </w:p>
        </w:tc>
      </w:tr>
      <w:tr w:rsidR="00C73618" w:rsidRPr="00A21685" w14:paraId="1BFA6C08"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7C53A2A" w14:textId="77777777" w:rsidR="00DE329D" w:rsidRPr="00550E1F" w:rsidRDefault="00C73618" w:rsidP="009B4A75">
            <w:pPr>
              <w:pStyle w:val="BodyText2"/>
              <w:keepNext/>
              <w:spacing w:line="240" w:lineRule="auto"/>
              <w:rPr>
                <w:rFonts w:ascii="Aptos" w:hAnsi="Aptos"/>
                <w:b/>
                <w:bCs/>
              </w:rPr>
            </w:pPr>
            <w:r w:rsidRPr="00550E1F">
              <w:rPr>
                <w:rFonts w:ascii="Aptos" w:hAnsi="Aptos"/>
                <w:b/>
                <w:bCs/>
              </w:rPr>
              <w:t>Current Practices and Outcomes</w:t>
            </w:r>
          </w:p>
          <w:p w14:paraId="7B062744" w14:textId="4B174BD6" w:rsidR="00C73618" w:rsidRPr="00550E1F" w:rsidRDefault="00C73618" w:rsidP="009B4A75">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61D455A" w14:textId="6046DB90" w:rsidR="00C73618" w:rsidRPr="00550E1F" w:rsidRDefault="00C73618" w:rsidP="009B4A75">
            <w:pPr>
              <w:pStyle w:val="BodyText2"/>
              <w:keepNext/>
              <w:spacing w:line="240" w:lineRule="auto"/>
              <w:rPr>
                <w:rFonts w:ascii="Aptos" w:hAnsi="Aptos"/>
              </w:rPr>
            </w:pPr>
          </w:p>
        </w:tc>
      </w:tr>
      <w:tr w:rsidR="00C73618" w:rsidRPr="00A21685" w14:paraId="52C04EA1" w14:textId="77777777" w:rsidTr="00327F49">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10F3CAE"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7097CDE1"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AC21585" w14:textId="77777777" w:rsidR="00C73618" w:rsidRPr="00550E1F" w:rsidRDefault="00C73618" w:rsidP="0002238F">
            <w:pPr>
              <w:pStyle w:val="BodyText2"/>
              <w:rPr>
                <w:rFonts w:ascii="Aptos" w:hAnsi="Aptos"/>
              </w:rPr>
            </w:pPr>
          </w:p>
        </w:tc>
      </w:tr>
    </w:tbl>
    <w:p w14:paraId="0134EAA7" w14:textId="3C3EC8C3" w:rsidR="0002238F" w:rsidRPr="00550E1F" w:rsidRDefault="009B4A75" w:rsidP="009B4A75">
      <w:pPr>
        <w:pStyle w:val="TableTitle2"/>
        <w:rPr>
          <w:rFonts w:ascii="Aptos" w:hAnsi="Aptos"/>
        </w:rPr>
      </w:pPr>
      <w:r w:rsidRPr="00550E1F">
        <w:rPr>
          <w:rFonts w:ascii="Aptos" w:hAnsi="Aptos"/>
        </w:rPr>
        <w:t>How is data shared with stakeholder groups who are not directly involved in but impacted by the continuous improvement processes?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9B4A75" w:rsidRPr="00A21685" w14:paraId="1C0337FD"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3B98D442" w14:textId="19071B73" w:rsidR="009B4A75" w:rsidRPr="00550E1F" w:rsidRDefault="009B4A75"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369562FC" w14:textId="23EE5A30" w:rsidR="009B4A75" w:rsidRPr="00550E1F" w:rsidRDefault="009B4A75" w:rsidP="009B4A75">
            <w:pPr>
              <w:pStyle w:val="TableHeaderRow2"/>
              <w:ind w:left="72"/>
              <w:rPr>
                <w:rFonts w:ascii="Aptos" w:hAnsi="Aptos"/>
              </w:rPr>
            </w:pPr>
            <w:r w:rsidRPr="00550E1F">
              <w:rPr>
                <w:rFonts w:ascii="Aptos" w:hAnsi="Aptos"/>
              </w:rPr>
              <w:t>Response</w:t>
            </w:r>
          </w:p>
        </w:tc>
      </w:tr>
      <w:tr w:rsidR="00C73618" w:rsidRPr="00A21685" w14:paraId="4A7E2A28"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28BCA0EE"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4287A19A" w14:textId="4F73CE42"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84F6FBA" w14:textId="607004DF" w:rsidR="00C73618" w:rsidRPr="00550E1F" w:rsidRDefault="00C73618" w:rsidP="0002238F">
            <w:pPr>
              <w:pStyle w:val="BodyText2"/>
              <w:rPr>
                <w:rFonts w:ascii="Aptos" w:hAnsi="Aptos"/>
              </w:rPr>
            </w:pPr>
          </w:p>
        </w:tc>
      </w:tr>
      <w:tr w:rsidR="00C73618" w:rsidRPr="00A21685" w14:paraId="0948ACEA"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65241679"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347F06E9"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0838E227" w14:textId="77777777" w:rsidR="00C73618" w:rsidRPr="00550E1F" w:rsidRDefault="00C73618" w:rsidP="0002238F">
            <w:pPr>
              <w:pStyle w:val="BodyText2"/>
              <w:rPr>
                <w:rFonts w:ascii="Aptos" w:hAnsi="Aptos"/>
              </w:rPr>
            </w:pPr>
          </w:p>
        </w:tc>
      </w:tr>
    </w:tbl>
    <w:p w14:paraId="4303E37C" w14:textId="79F7F386" w:rsidR="0002238F" w:rsidRPr="00550E1F" w:rsidRDefault="009B4A75" w:rsidP="009B4A75">
      <w:pPr>
        <w:pStyle w:val="TableTitle2"/>
        <w:rPr>
          <w:rFonts w:ascii="Aptos" w:hAnsi="Aptos"/>
        </w:rPr>
      </w:pPr>
      <w:r w:rsidRPr="00550E1F">
        <w:rPr>
          <w:rFonts w:ascii="Aptos" w:hAnsi="Aptos"/>
        </w:rPr>
        <w:t>How does your SO integrate evidence and research about educator mindsets and skills that positively impact PK-12 students into coursework, assessments, and candidate outcomes?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9B4A75" w:rsidRPr="00A21685" w14:paraId="48EAC37E"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19470517" w14:textId="77777777" w:rsidR="009B4A75" w:rsidRPr="00550E1F" w:rsidRDefault="009B4A75" w:rsidP="00705DBE">
            <w:pPr>
              <w:pStyle w:val="TableHeaderRow2"/>
              <w:rPr>
                <w:rFonts w:ascii="Aptos" w:hAnsi="Aptos"/>
              </w:rPr>
            </w:pP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59F28BD1" w14:textId="7F37C329" w:rsidR="009B4A75" w:rsidRPr="00550E1F" w:rsidRDefault="009B4A75" w:rsidP="009B4A75">
            <w:pPr>
              <w:pStyle w:val="TableHeaderRow2"/>
              <w:ind w:left="72"/>
              <w:rPr>
                <w:rFonts w:ascii="Aptos" w:hAnsi="Aptos"/>
              </w:rPr>
            </w:pPr>
          </w:p>
        </w:tc>
      </w:tr>
      <w:tr w:rsidR="00C73618" w:rsidRPr="00A21685" w14:paraId="4817146A"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ED499BD"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715A8832" w14:textId="531CB18F" w:rsidR="00C73618" w:rsidRPr="00550E1F" w:rsidRDefault="00C73618" w:rsidP="0002238F">
            <w:pPr>
              <w:pStyle w:val="BodyText2"/>
              <w:rPr>
                <w:rFonts w:ascii="Aptos" w:hAnsi="Aptos"/>
              </w:rPr>
            </w:pPr>
            <w:r w:rsidRPr="00550E1F">
              <w:rPr>
                <w:rFonts w:ascii="Aptos" w:hAnsi="Aptos"/>
                <w:b/>
                <w:bCs/>
              </w:rPr>
              <w:t>(</w:t>
            </w: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927D4AF" w14:textId="4477C7B0" w:rsidR="00C73618" w:rsidRPr="00550E1F" w:rsidRDefault="00C73618" w:rsidP="0002238F">
            <w:pPr>
              <w:pStyle w:val="BodyText2"/>
              <w:rPr>
                <w:rFonts w:ascii="Aptos" w:hAnsi="Aptos"/>
              </w:rPr>
            </w:pPr>
          </w:p>
        </w:tc>
      </w:tr>
      <w:tr w:rsidR="00C73618" w:rsidRPr="00A21685" w14:paraId="4EB86B7A"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877145A"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4B54A579"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95CF890" w14:textId="77777777" w:rsidR="00C73618" w:rsidRPr="00550E1F" w:rsidRDefault="00C73618" w:rsidP="0002238F">
            <w:pPr>
              <w:pStyle w:val="BodyText2"/>
              <w:rPr>
                <w:rFonts w:ascii="Aptos" w:hAnsi="Aptos"/>
              </w:rPr>
            </w:pPr>
          </w:p>
        </w:tc>
      </w:tr>
    </w:tbl>
    <w:p w14:paraId="5FEE6B6B" w14:textId="6C0C9273" w:rsidR="00C73618" w:rsidRPr="00550E1F" w:rsidRDefault="00C73618" w:rsidP="006F6F3C">
      <w:pPr>
        <w:pStyle w:val="Heading4"/>
        <w:rPr>
          <w:rFonts w:ascii="Aptos" w:hAnsi="Aptos"/>
        </w:rPr>
      </w:pPr>
      <w:r w:rsidRPr="00550E1F">
        <w:rPr>
          <w:rFonts w:ascii="Aptos" w:hAnsi="Aptos"/>
        </w:rPr>
        <w:t>CI 3: The sponsoring organization regularly analyzes available local and state PK-12 student outcomes data related to completers’ effectiveness and PK-12 school/district partnerships’ impacts and uses the data to inform aligned actions.</w:t>
      </w:r>
    </w:p>
    <w:p w14:paraId="2F40B388" w14:textId="4017861F" w:rsidR="009B4A75" w:rsidRPr="00550E1F" w:rsidRDefault="009B4A75" w:rsidP="009B4A75">
      <w:pPr>
        <w:pStyle w:val="TableTitle2"/>
        <w:rPr>
          <w:rFonts w:ascii="Aptos" w:hAnsi="Aptos"/>
        </w:rPr>
      </w:pPr>
      <w:r w:rsidRPr="00550E1F">
        <w:rPr>
          <w:rFonts w:ascii="Aptos" w:hAnsi="Aptos"/>
        </w:rPr>
        <w:t>What data sources does your SO regularly analyze to understand completers’ effectiveness in their licensure role?</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9B4A75" w:rsidRPr="00A21685" w14:paraId="2801C06B" w14:textId="77777777" w:rsidTr="00F54651">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3081B0C4" w14:textId="33A05189" w:rsidR="009B4A75" w:rsidRPr="00550E1F" w:rsidRDefault="009B4A75" w:rsidP="009B4A75">
            <w:pPr>
              <w:pStyle w:val="TableHeaderRow2"/>
              <w:keepNext/>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6BA8062C" w14:textId="215A82FA" w:rsidR="009B4A75" w:rsidRPr="00550E1F" w:rsidRDefault="009B4A75" w:rsidP="009B4A75">
            <w:pPr>
              <w:pStyle w:val="TableHeaderRow2"/>
              <w:keepNext/>
              <w:ind w:left="72"/>
              <w:rPr>
                <w:rFonts w:ascii="Aptos" w:hAnsi="Aptos"/>
              </w:rPr>
            </w:pPr>
            <w:r w:rsidRPr="00550E1F">
              <w:rPr>
                <w:rFonts w:ascii="Aptos" w:hAnsi="Aptos"/>
              </w:rPr>
              <w:t>Response</w:t>
            </w:r>
          </w:p>
        </w:tc>
      </w:tr>
      <w:tr w:rsidR="007C1704" w:rsidRPr="00A21685" w14:paraId="66BC44E0" w14:textId="77777777" w:rsidTr="00F27C0F">
        <w:trPr>
          <w:cantSplit/>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63F9B37" w14:textId="097D26A3" w:rsidR="00C73618" w:rsidRPr="00550E1F" w:rsidRDefault="00C73618" w:rsidP="0002238F">
            <w:pPr>
              <w:pStyle w:val="BodyText2"/>
              <w:rPr>
                <w:rFonts w:ascii="Aptos" w:hAnsi="Aptos"/>
                <w:b/>
                <w:bCs/>
              </w:rPr>
            </w:pPr>
            <w:r w:rsidRPr="00550E1F">
              <w:rPr>
                <w:rFonts w:ascii="Aptos" w:hAnsi="Aptos"/>
                <w:b/>
                <w:bCs/>
              </w:rPr>
              <w:t>Current Practices and Outcomes</w:t>
            </w:r>
          </w:p>
          <w:p w14:paraId="31327EB9" w14:textId="77777777"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9344EB4" w14:textId="72698863" w:rsidR="00C73618" w:rsidRPr="00550E1F" w:rsidRDefault="00C73618" w:rsidP="0002238F">
            <w:pPr>
              <w:pStyle w:val="BodyText2"/>
              <w:rPr>
                <w:rFonts w:ascii="Aptos" w:hAnsi="Aptos"/>
              </w:rPr>
            </w:pPr>
          </w:p>
        </w:tc>
      </w:tr>
      <w:tr w:rsidR="00C73618" w:rsidRPr="00A21685" w14:paraId="0F3F2407" w14:textId="77777777" w:rsidTr="00F54651">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FAB3E62"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47851CDA"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8B0BC92" w14:textId="42347B43" w:rsidR="00C73618" w:rsidRPr="00550E1F" w:rsidRDefault="00C73618" w:rsidP="0002238F">
            <w:pPr>
              <w:pStyle w:val="BodyText2"/>
              <w:rPr>
                <w:rFonts w:ascii="Aptos" w:hAnsi="Aptos"/>
              </w:rPr>
            </w:pPr>
          </w:p>
        </w:tc>
      </w:tr>
    </w:tbl>
    <w:p w14:paraId="6419EEA5" w14:textId="3BE087C9" w:rsidR="0002238F" w:rsidRPr="00550E1F" w:rsidRDefault="009B4A75" w:rsidP="009B4A75">
      <w:pPr>
        <w:pStyle w:val="TableTitle2"/>
        <w:rPr>
          <w:rFonts w:ascii="Aptos" w:hAnsi="Aptos"/>
        </w:rPr>
      </w:pPr>
      <w:r w:rsidRPr="00550E1F">
        <w:rPr>
          <w:rFonts w:ascii="Aptos" w:hAnsi="Aptos"/>
        </w:rPr>
        <w:t>What data sources does your SO regularly analyze to understand the impact of its PK-12 school/district partnerships?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9B4A75" w:rsidRPr="00A21685" w14:paraId="1A3104E0" w14:textId="77777777" w:rsidTr="00F54651">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44EA97BF" w14:textId="4F47802E" w:rsidR="009B4A75" w:rsidRPr="00550E1F" w:rsidRDefault="009B4A75" w:rsidP="00705DB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4" w:space="0" w:color="000000"/>
              <w:right w:val="single" w:sz="6" w:space="0" w:color="000000"/>
            </w:tcBorders>
            <w:shd w:val="clear" w:color="auto" w:fill="8C1176"/>
          </w:tcPr>
          <w:p w14:paraId="6E42F800" w14:textId="75CC68B0" w:rsidR="009B4A75" w:rsidRPr="00550E1F" w:rsidRDefault="009B4A75" w:rsidP="009B4A75">
            <w:pPr>
              <w:pStyle w:val="TableHeaderRow2"/>
              <w:ind w:left="72"/>
              <w:rPr>
                <w:rFonts w:ascii="Aptos" w:hAnsi="Aptos"/>
              </w:rPr>
            </w:pPr>
            <w:r w:rsidRPr="00550E1F">
              <w:rPr>
                <w:rFonts w:ascii="Aptos" w:hAnsi="Aptos"/>
              </w:rPr>
              <w:t>Response</w:t>
            </w:r>
          </w:p>
        </w:tc>
      </w:tr>
      <w:tr w:rsidR="00C73618" w:rsidRPr="00A21685" w14:paraId="3244EA32" w14:textId="77777777" w:rsidTr="00F54651">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91D823B"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6594B600" w14:textId="2E69BA51"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51719C9" w14:textId="55A23001" w:rsidR="00C73618" w:rsidRPr="00550E1F" w:rsidRDefault="00C73618" w:rsidP="0002238F">
            <w:pPr>
              <w:pStyle w:val="BodyText2"/>
              <w:rPr>
                <w:rFonts w:ascii="Aptos" w:hAnsi="Aptos"/>
              </w:rPr>
            </w:pPr>
          </w:p>
        </w:tc>
      </w:tr>
      <w:tr w:rsidR="00C73618" w:rsidRPr="00A21685" w14:paraId="69B7AFAA" w14:textId="77777777" w:rsidTr="00F54651">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8D94028"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17EF6A7"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EC94061" w14:textId="4A1881BC" w:rsidR="00C73618" w:rsidRPr="00550E1F" w:rsidRDefault="00C73618" w:rsidP="0002238F">
            <w:pPr>
              <w:pStyle w:val="BodyText2"/>
              <w:rPr>
                <w:rFonts w:ascii="Aptos" w:hAnsi="Aptos"/>
              </w:rPr>
            </w:pPr>
          </w:p>
        </w:tc>
      </w:tr>
    </w:tbl>
    <w:p w14:paraId="3DD9127C" w14:textId="0C597519" w:rsidR="009B4A75" w:rsidRPr="00550E1F" w:rsidRDefault="009B4A75" w:rsidP="009B4A75">
      <w:pPr>
        <w:pStyle w:val="TableTitle2"/>
        <w:rPr>
          <w:rFonts w:ascii="Aptos" w:hAnsi="Aptos"/>
        </w:rPr>
      </w:pPr>
      <w:r w:rsidRPr="00550E1F">
        <w:rPr>
          <w:rFonts w:ascii="Aptos" w:hAnsi="Aptos"/>
        </w:rPr>
        <w:t>What processes does your SO use for analyzing these data sources to inform actions that improve outcomes? Who is included in those processes?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9B4A75" w:rsidRPr="00A21685" w14:paraId="61BBAD0E" w14:textId="6A5747A3" w:rsidTr="00F54651">
        <w:trPr>
          <w:trHeight w:val="300"/>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tcPr>
          <w:p w14:paraId="588AD935" w14:textId="2912BE4F" w:rsidR="009B4A75" w:rsidRPr="00550E1F" w:rsidRDefault="009B4A75" w:rsidP="00705DB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6" w:space="0" w:color="000000"/>
              <w:right w:val="single" w:sz="6" w:space="0" w:color="000000"/>
            </w:tcBorders>
            <w:shd w:val="clear" w:color="auto" w:fill="8C1176"/>
          </w:tcPr>
          <w:p w14:paraId="31642D41" w14:textId="7E7E7550" w:rsidR="009B4A75" w:rsidRPr="00550E1F" w:rsidRDefault="009B4A75" w:rsidP="009B4A75">
            <w:pPr>
              <w:pStyle w:val="TableHeaderRow2"/>
              <w:ind w:left="72"/>
              <w:rPr>
                <w:rFonts w:ascii="Aptos" w:hAnsi="Aptos"/>
              </w:rPr>
            </w:pPr>
            <w:r w:rsidRPr="00550E1F">
              <w:rPr>
                <w:rFonts w:ascii="Aptos" w:hAnsi="Aptos"/>
              </w:rPr>
              <w:t>Response</w:t>
            </w:r>
          </w:p>
        </w:tc>
      </w:tr>
      <w:tr w:rsidR="009B4A75" w:rsidRPr="00A21685" w14:paraId="22444F4D"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7EAD404" w14:textId="77777777" w:rsidR="009B4A75" w:rsidRPr="00550E1F" w:rsidRDefault="009B4A75" w:rsidP="0002238F">
            <w:pPr>
              <w:pStyle w:val="BodyText2"/>
              <w:rPr>
                <w:rFonts w:ascii="Aptos" w:hAnsi="Aptos"/>
              </w:rPr>
            </w:pPr>
            <w:r w:rsidRPr="00550E1F">
              <w:rPr>
                <w:rFonts w:ascii="Aptos" w:hAnsi="Aptos"/>
                <w:b/>
                <w:bCs/>
              </w:rPr>
              <w:t xml:space="preserve">Current Practices and Outcomes </w:t>
            </w: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Pr>
          <w:p w14:paraId="1B05362E" w14:textId="77777777" w:rsidR="009B4A75" w:rsidRPr="00550E1F" w:rsidRDefault="009B4A75" w:rsidP="0002238F">
            <w:pPr>
              <w:pStyle w:val="BodyText2"/>
              <w:rPr>
                <w:rFonts w:ascii="Aptos" w:hAnsi="Aptos"/>
              </w:rPr>
            </w:pPr>
          </w:p>
        </w:tc>
      </w:tr>
      <w:tr w:rsidR="009B4A75" w:rsidRPr="00A21685" w14:paraId="6F9541CF" w14:textId="77777777" w:rsidTr="00F54651">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1A2F4DF" w14:textId="77777777" w:rsidR="009B4A75" w:rsidRPr="00550E1F" w:rsidRDefault="009B4A75" w:rsidP="0002238F">
            <w:pPr>
              <w:pStyle w:val="BodyText2"/>
              <w:rPr>
                <w:rFonts w:ascii="Aptos" w:hAnsi="Aptos"/>
                <w:b/>
                <w:bCs/>
              </w:rPr>
            </w:pPr>
            <w:r w:rsidRPr="00550E1F">
              <w:rPr>
                <w:rFonts w:ascii="Aptos" w:hAnsi="Aptos"/>
                <w:b/>
                <w:bCs/>
              </w:rPr>
              <w:t>Areas for Growth and Future Outcomes</w:t>
            </w:r>
          </w:p>
          <w:p w14:paraId="5398D5D1" w14:textId="77777777" w:rsidR="009B4A75" w:rsidRPr="00550E1F" w:rsidRDefault="009B4A75"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Pr>
          <w:p w14:paraId="351C1113" w14:textId="77777777" w:rsidR="009B4A75" w:rsidRPr="00550E1F" w:rsidRDefault="009B4A75" w:rsidP="0002238F">
            <w:pPr>
              <w:pStyle w:val="BodyText2"/>
              <w:rPr>
                <w:rFonts w:ascii="Aptos" w:hAnsi="Aptos"/>
              </w:rPr>
            </w:pPr>
          </w:p>
        </w:tc>
      </w:tr>
    </w:tbl>
    <w:p w14:paraId="4A846F19" w14:textId="1787FED6" w:rsidR="00C73618" w:rsidRPr="00550E1F" w:rsidRDefault="00C73618" w:rsidP="00327F49">
      <w:pPr>
        <w:pStyle w:val="Heading4"/>
        <w:rPr>
          <w:rFonts w:ascii="Aptos" w:hAnsi="Aptos"/>
        </w:rPr>
      </w:pPr>
      <w:r w:rsidRPr="00550E1F">
        <w:rPr>
          <w:rFonts w:ascii="Aptos" w:hAnsi="Aptos"/>
        </w:rPr>
        <w:t>CI 4: The sponsoring organization makes evidence-informed, equity-centered decisions that lead to improved experiences and outcomes for all candidates.</w:t>
      </w:r>
    </w:p>
    <w:p w14:paraId="1F0EBB96" w14:textId="3641FFDC" w:rsidR="009B4A75" w:rsidRPr="00550E1F" w:rsidRDefault="009B4A75" w:rsidP="009B4A75">
      <w:pPr>
        <w:pStyle w:val="TableTitle2"/>
        <w:rPr>
          <w:rFonts w:ascii="Aptos" w:hAnsi="Aptos"/>
        </w:rPr>
      </w:pPr>
      <w:r w:rsidRPr="00550E1F">
        <w:rPr>
          <w:rFonts w:ascii="Aptos" w:hAnsi="Aptos"/>
        </w:rPr>
        <w:t>How does your SO develop critical consciousness and anti-racist approaches to analyzing data amongst its faculty, partners, and candidates?</w:t>
      </w:r>
    </w:p>
    <w:tbl>
      <w:tblPr>
        <w:tblW w:w="5000" w:type="pct"/>
        <w:tblCellMar>
          <w:top w:w="15" w:type="dxa"/>
          <w:left w:w="15" w:type="dxa"/>
          <w:bottom w:w="15" w:type="dxa"/>
          <w:right w:w="15" w:type="dxa"/>
        </w:tblCellMar>
        <w:tblLook w:val="04A0" w:firstRow="1" w:lastRow="0" w:firstColumn="1" w:lastColumn="0" w:noHBand="0" w:noVBand="1"/>
      </w:tblPr>
      <w:tblGrid>
        <w:gridCol w:w="5313"/>
        <w:gridCol w:w="8985"/>
      </w:tblGrid>
      <w:tr w:rsidR="009B4A75" w:rsidRPr="00A21685" w14:paraId="49619B3A" w14:textId="77777777" w:rsidTr="001B1F09">
        <w:trPr>
          <w:trHeight w:val="285"/>
        </w:trPr>
        <w:tc>
          <w:tcPr>
            <w:tcW w:w="1858" w:type="pct"/>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3B803BF9" w14:textId="6E984F6E" w:rsidR="009B4A75" w:rsidRPr="00550E1F" w:rsidRDefault="009B4A75" w:rsidP="009B4A75">
            <w:pPr>
              <w:pStyle w:val="TableHeaderRow2"/>
              <w:keepNext/>
              <w:ind w:left="72"/>
              <w:rPr>
                <w:rFonts w:ascii="Aptos" w:hAnsi="Aptos"/>
              </w:rPr>
            </w:pPr>
            <w:r w:rsidRPr="00550E1F">
              <w:rPr>
                <w:rFonts w:ascii="Aptos" w:hAnsi="Aptos"/>
              </w:rPr>
              <w:t>Question</w:t>
            </w:r>
          </w:p>
        </w:tc>
        <w:tc>
          <w:tcPr>
            <w:tcW w:w="3142" w:type="pct"/>
            <w:tcBorders>
              <w:top w:val="single" w:sz="6" w:space="0" w:color="000000"/>
              <w:left w:val="single" w:sz="6" w:space="0" w:color="000000"/>
              <w:bottom w:val="single" w:sz="6" w:space="0" w:color="000000"/>
              <w:right w:val="single" w:sz="6" w:space="0" w:color="000000"/>
            </w:tcBorders>
            <w:shd w:val="clear" w:color="auto" w:fill="8C1176"/>
          </w:tcPr>
          <w:p w14:paraId="022B1217" w14:textId="5E2FC4C9" w:rsidR="009B4A75" w:rsidRPr="00550E1F" w:rsidRDefault="009B4A75" w:rsidP="009B4A75">
            <w:pPr>
              <w:pStyle w:val="TableHeaderRow2"/>
              <w:keepNext/>
              <w:ind w:left="72"/>
              <w:rPr>
                <w:rFonts w:ascii="Aptos" w:hAnsi="Aptos"/>
              </w:rPr>
            </w:pPr>
            <w:r w:rsidRPr="00550E1F">
              <w:rPr>
                <w:rFonts w:ascii="Aptos" w:hAnsi="Aptos"/>
              </w:rPr>
              <w:t>Response</w:t>
            </w:r>
          </w:p>
        </w:tc>
      </w:tr>
      <w:tr w:rsidR="00C73618" w:rsidRPr="00A21685" w14:paraId="539D308D" w14:textId="77777777" w:rsidTr="001B1F09">
        <w:trPr>
          <w:trHeight w:val="360"/>
        </w:trPr>
        <w:tc>
          <w:tcPr>
            <w:tcW w:w="1858" w:type="pct"/>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08CD39E" w14:textId="6C19CBE0" w:rsidR="00C73618" w:rsidRPr="00550E1F" w:rsidRDefault="00C73618" w:rsidP="009B4A75">
            <w:pPr>
              <w:pStyle w:val="BodyText2"/>
              <w:keepNext/>
              <w:spacing w:line="240" w:lineRule="auto"/>
              <w:rPr>
                <w:rFonts w:ascii="Aptos" w:hAnsi="Aptos"/>
                <w:b/>
                <w:bCs/>
              </w:rPr>
            </w:pPr>
            <w:r w:rsidRPr="00550E1F">
              <w:rPr>
                <w:rFonts w:ascii="Aptos" w:hAnsi="Aptos"/>
                <w:b/>
                <w:bCs/>
              </w:rPr>
              <w:t>Current Practices and Outcomes</w:t>
            </w:r>
          </w:p>
          <w:p w14:paraId="759F332E" w14:textId="77777777" w:rsidR="00C73618" w:rsidRPr="00550E1F" w:rsidRDefault="00C73618" w:rsidP="009B4A75">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3142" w:type="pct"/>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77B634B" w14:textId="1503D41F" w:rsidR="00C73618" w:rsidRPr="00550E1F" w:rsidRDefault="00C73618" w:rsidP="009B4A75">
            <w:pPr>
              <w:pStyle w:val="BodyText2"/>
              <w:keepNext/>
              <w:spacing w:line="240" w:lineRule="auto"/>
              <w:rPr>
                <w:rFonts w:ascii="Aptos" w:hAnsi="Aptos"/>
              </w:rPr>
            </w:pPr>
          </w:p>
        </w:tc>
      </w:tr>
      <w:tr w:rsidR="00C73618" w:rsidRPr="00A21685" w14:paraId="5E46F699" w14:textId="77777777" w:rsidTr="001B1F09">
        <w:trPr>
          <w:trHeight w:val="285"/>
        </w:trPr>
        <w:tc>
          <w:tcPr>
            <w:tcW w:w="1858" w:type="pct"/>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05C7840"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067DFFBA"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3142" w:type="pct"/>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AC83932" w14:textId="4EED5C10" w:rsidR="00C73618" w:rsidRPr="00550E1F" w:rsidRDefault="00C73618" w:rsidP="0002238F">
            <w:pPr>
              <w:pStyle w:val="BodyText2"/>
              <w:rPr>
                <w:rFonts w:ascii="Aptos" w:hAnsi="Aptos"/>
              </w:rPr>
            </w:pPr>
          </w:p>
        </w:tc>
      </w:tr>
    </w:tbl>
    <w:p w14:paraId="3BC9FAEF" w14:textId="5012D4FE" w:rsidR="0002238F" w:rsidRPr="00550E1F" w:rsidRDefault="009B4A75" w:rsidP="009B4A75">
      <w:pPr>
        <w:pStyle w:val="TableTitle2"/>
        <w:rPr>
          <w:rFonts w:ascii="Aptos" w:hAnsi="Aptos"/>
        </w:rPr>
      </w:pPr>
      <w:r w:rsidRPr="00550E1F">
        <w:rPr>
          <w:rFonts w:ascii="Aptos" w:hAnsi="Aptos"/>
        </w:rPr>
        <w:t>How does your SO determine how it will measure the impact of decisions made in the process of continuous improvement? How is equity centered in that monitoring?</w:t>
      </w:r>
    </w:p>
    <w:tbl>
      <w:tblPr>
        <w:tblW w:w="5000" w:type="pct"/>
        <w:tblCellMar>
          <w:top w:w="15" w:type="dxa"/>
          <w:left w:w="15" w:type="dxa"/>
          <w:bottom w:w="15" w:type="dxa"/>
          <w:right w:w="15" w:type="dxa"/>
        </w:tblCellMar>
        <w:tblLook w:val="04A0" w:firstRow="1" w:lastRow="0" w:firstColumn="1" w:lastColumn="0" w:noHBand="0" w:noVBand="1"/>
      </w:tblPr>
      <w:tblGrid>
        <w:gridCol w:w="5313"/>
        <w:gridCol w:w="8985"/>
      </w:tblGrid>
      <w:tr w:rsidR="006C1845" w:rsidRPr="00A21685" w14:paraId="196A97FF" w14:textId="77777777" w:rsidTr="001B1F09">
        <w:trPr>
          <w:trHeight w:val="288"/>
        </w:trPr>
        <w:tc>
          <w:tcPr>
            <w:tcW w:w="1858" w:type="pct"/>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D2B83D0" w14:textId="59C0B80B" w:rsidR="006C1845" w:rsidRPr="00550E1F" w:rsidRDefault="006C1845" w:rsidP="00705DBE">
            <w:pPr>
              <w:pStyle w:val="TableHeaderRow2"/>
              <w:rPr>
                <w:rFonts w:ascii="Aptos" w:hAnsi="Aptos"/>
              </w:rPr>
            </w:pPr>
            <w:r w:rsidRPr="00550E1F">
              <w:rPr>
                <w:rFonts w:ascii="Aptos" w:hAnsi="Aptos"/>
              </w:rPr>
              <w:t>Question</w:t>
            </w:r>
          </w:p>
        </w:tc>
        <w:tc>
          <w:tcPr>
            <w:tcW w:w="3142" w:type="pct"/>
            <w:tcBorders>
              <w:top w:val="single" w:sz="4" w:space="0" w:color="000000"/>
              <w:left w:val="single" w:sz="6" w:space="0" w:color="000000"/>
              <w:bottom w:val="single" w:sz="6" w:space="0" w:color="000000"/>
              <w:right w:val="single" w:sz="6" w:space="0" w:color="000000"/>
            </w:tcBorders>
            <w:shd w:val="clear" w:color="auto" w:fill="8C1176"/>
          </w:tcPr>
          <w:p w14:paraId="3CB8D25A" w14:textId="0873ED42" w:rsidR="006C1845" w:rsidRPr="00550E1F" w:rsidRDefault="006C1845" w:rsidP="006C1845">
            <w:pPr>
              <w:pStyle w:val="TableHeaderRow2"/>
              <w:ind w:left="72"/>
              <w:rPr>
                <w:rFonts w:ascii="Aptos" w:hAnsi="Aptos"/>
              </w:rPr>
            </w:pPr>
            <w:r w:rsidRPr="00550E1F">
              <w:rPr>
                <w:rFonts w:ascii="Aptos" w:hAnsi="Aptos"/>
              </w:rPr>
              <w:t>Response</w:t>
            </w:r>
          </w:p>
        </w:tc>
      </w:tr>
      <w:tr w:rsidR="00C73618" w:rsidRPr="00A21685" w14:paraId="679CAF29" w14:textId="77777777" w:rsidTr="001B1F09">
        <w:trPr>
          <w:trHeight w:val="285"/>
        </w:trPr>
        <w:tc>
          <w:tcPr>
            <w:tcW w:w="1858"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F4B1EE0"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2955C830" w14:textId="42DBA4B9"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314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AED95E7" w14:textId="02F1B180" w:rsidR="00C73618" w:rsidRPr="00550E1F" w:rsidRDefault="00C73618" w:rsidP="0002238F">
            <w:pPr>
              <w:pStyle w:val="BodyText2"/>
              <w:rPr>
                <w:rFonts w:ascii="Aptos" w:hAnsi="Aptos"/>
              </w:rPr>
            </w:pPr>
          </w:p>
        </w:tc>
      </w:tr>
      <w:tr w:rsidR="00C73618" w:rsidRPr="00A21685" w14:paraId="1FBEA9E0" w14:textId="77777777" w:rsidTr="001B1F09">
        <w:trPr>
          <w:trHeight w:val="300"/>
        </w:trPr>
        <w:tc>
          <w:tcPr>
            <w:tcW w:w="1858"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0F8957C"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5B8B6480"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3142"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D9B7405" w14:textId="0D332D41" w:rsidR="00C73618" w:rsidRPr="00550E1F" w:rsidRDefault="00C73618" w:rsidP="0002238F">
            <w:pPr>
              <w:pStyle w:val="BodyText2"/>
              <w:rPr>
                <w:rFonts w:ascii="Aptos" w:hAnsi="Aptos"/>
              </w:rPr>
            </w:pPr>
          </w:p>
        </w:tc>
      </w:tr>
    </w:tbl>
    <w:p w14:paraId="762353EF" w14:textId="38FDF8FD" w:rsidR="0002238F" w:rsidRPr="00550E1F" w:rsidRDefault="006C1845" w:rsidP="006C1845">
      <w:pPr>
        <w:pStyle w:val="TableTitle2"/>
        <w:rPr>
          <w:rFonts w:ascii="Aptos" w:hAnsi="Aptos"/>
        </w:rPr>
      </w:pPr>
      <w:r w:rsidRPr="00550E1F">
        <w:rPr>
          <w:rFonts w:ascii="Aptos" w:hAnsi="Aptos"/>
        </w:rPr>
        <w:t>How does your SO communicate about the decisions made as a result of the continuous improvement process? Do these processes communicate the goal of increasingly effective and equitable experiences and outcomes?</w:t>
      </w:r>
    </w:p>
    <w:tbl>
      <w:tblPr>
        <w:tblW w:w="5000" w:type="pct"/>
        <w:tblCellMar>
          <w:top w:w="15" w:type="dxa"/>
          <w:left w:w="15" w:type="dxa"/>
          <w:bottom w:w="15" w:type="dxa"/>
          <w:right w:w="15" w:type="dxa"/>
        </w:tblCellMar>
        <w:tblLook w:val="04A0" w:firstRow="1" w:lastRow="0" w:firstColumn="1" w:lastColumn="0" w:noHBand="0" w:noVBand="1"/>
      </w:tblPr>
      <w:tblGrid>
        <w:gridCol w:w="5347"/>
        <w:gridCol w:w="8951"/>
      </w:tblGrid>
      <w:tr w:rsidR="006C1845" w:rsidRPr="00A21685" w14:paraId="43D77A6D" w14:textId="77777777" w:rsidTr="001B1F09">
        <w:trPr>
          <w:trHeight w:val="300"/>
        </w:trPr>
        <w:tc>
          <w:tcPr>
            <w:tcW w:w="1870" w:type="pct"/>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41F221E0" w14:textId="519FC62F" w:rsidR="006C1845" w:rsidRPr="00550E1F" w:rsidRDefault="006C1845" w:rsidP="00705DBE">
            <w:pPr>
              <w:pStyle w:val="TableHeaderRow2"/>
              <w:rPr>
                <w:rFonts w:ascii="Aptos" w:hAnsi="Aptos"/>
              </w:rPr>
            </w:pPr>
            <w:r w:rsidRPr="00550E1F">
              <w:rPr>
                <w:rFonts w:ascii="Aptos" w:hAnsi="Aptos"/>
              </w:rPr>
              <w:t>Question</w:t>
            </w:r>
          </w:p>
        </w:tc>
        <w:tc>
          <w:tcPr>
            <w:tcW w:w="3130" w:type="pct"/>
            <w:tcBorders>
              <w:top w:val="single" w:sz="6" w:space="0" w:color="000000"/>
              <w:left w:val="single" w:sz="6" w:space="0" w:color="000000"/>
              <w:bottom w:val="single" w:sz="6" w:space="0" w:color="000000"/>
              <w:right w:val="single" w:sz="6" w:space="0" w:color="000000"/>
            </w:tcBorders>
            <w:shd w:val="clear" w:color="auto" w:fill="8C1176"/>
          </w:tcPr>
          <w:p w14:paraId="24574AA6" w14:textId="16BA8284" w:rsidR="006C1845" w:rsidRPr="00550E1F" w:rsidRDefault="006C1845" w:rsidP="006C1845">
            <w:pPr>
              <w:pStyle w:val="TableHeaderRow2"/>
              <w:ind w:left="72"/>
              <w:rPr>
                <w:rFonts w:ascii="Aptos" w:hAnsi="Aptos"/>
              </w:rPr>
            </w:pPr>
            <w:r w:rsidRPr="00550E1F">
              <w:rPr>
                <w:rFonts w:ascii="Aptos" w:hAnsi="Aptos"/>
              </w:rPr>
              <w:t>Response</w:t>
            </w:r>
          </w:p>
        </w:tc>
      </w:tr>
      <w:tr w:rsidR="00C73618" w:rsidRPr="00A21685" w14:paraId="3DBA3514" w14:textId="77777777" w:rsidTr="001B1F09">
        <w:trPr>
          <w:trHeight w:val="300"/>
        </w:trPr>
        <w:tc>
          <w:tcPr>
            <w:tcW w:w="18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08F18AD"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3C80834F" w14:textId="2DA2FB4A"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313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93A5421" w14:textId="7F5BE177" w:rsidR="00C73618" w:rsidRPr="00550E1F" w:rsidRDefault="00C73618" w:rsidP="0002238F">
            <w:pPr>
              <w:pStyle w:val="BodyText2"/>
              <w:rPr>
                <w:rFonts w:ascii="Aptos" w:hAnsi="Aptos"/>
              </w:rPr>
            </w:pPr>
          </w:p>
        </w:tc>
      </w:tr>
      <w:tr w:rsidR="00C73618" w:rsidRPr="00A21685" w14:paraId="01C1700C" w14:textId="77777777" w:rsidTr="001B1F09">
        <w:trPr>
          <w:trHeight w:val="300"/>
        </w:trPr>
        <w:tc>
          <w:tcPr>
            <w:tcW w:w="1870" w:type="pc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B9317DC"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4507135C"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3130" w:type="pct"/>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B7E925B" w14:textId="77777777" w:rsidR="00C73618" w:rsidRPr="00550E1F" w:rsidRDefault="00C73618" w:rsidP="0002238F">
            <w:pPr>
              <w:pStyle w:val="BodyText2"/>
              <w:rPr>
                <w:rFonts w:ascii="Aptos" w:hAnsi="Aptos"/>
              </w:rPr>
            </w:pPr>
          </w:p>
        </w:tc>
      </w:tr>
    </w:tbl>
    <w:p w14:paraId="59151CCF" w14:textId="395B3772" w:rsidR="00C73618" w:rsidRPr="00550E1F" w:rsidRDefault="00C73618" w:rsidP="00327F49">
      <w:pPr>
        <w:pStyle w:val="Heading4"/>
        <w:rPr>
          <w:rFonts w:ascii="Aptos" w:hAnsi="Aptos"/>
        </w:rPr>
      </w:pPr>
      <w:r w:rsidRPr="00550E1F">
        <w:rPr>
          <w:rFonts w:ascii="Aptos" w:hAnsi="Aptos"/>
        </w:rPr>
        <w:t xml:space="preserve">Continuous Improvement </w:t>
      </w:r>
      <w:r w:rsidR="00521F7D" w:rsidRPr="00550E1F">
        <w:rPr>
          <w:rFonts w:ascii="Aptos" w:hAnsi="Aptos"/>
        </w:rPr>
        <w:t xml:space="preserve">Domain </w:t>
      </w:r>
      <w:r w:rsidRPr="00550E1F">
        <w:rPr>
          <w:rFonts w:ascii="Aptos" w:hAnsi="Aptos"/>
        </w:rPr>
        <w:t>Action Plan</w:t>
      </w:r>
    </w:p>
    <w:tbl>
      <w:tblPr>
        <w:tblW w:w="5000" w:type="pct"/>
        <w:tblCellMar>
          <w:top w:w="15" w:type="dxa"/>
          <w:left w:w="15" w:type="dxa"/>
          <w:bottom w:w="15" w:type="dxa"/>
          <w:right w:w="15" w:type="dxa"/>
        </w:tblCellMar>
        <w:tblLook w:val="04A0" w:firstRow="1" w:lastRow="0" w:firstColumn="1" w:lastColumn="0" w:noHBand="0" w:noVBand="1"/>
      </w:tblPr>
      <w:tblGrid>
        <w:gridCol w:w="832"/>
        <w:gridCol w:w="2578"/>
        <w:gridCol w:w="2054"/>
        <w:gridCol w:w="2063"/>
        <w:gridCol w:w="6777"/>
      </w:tblGrid>
      <w:tr w:rsidR="006F6F3C" w:rsidRPr="00A21685" w14:paraId="26E361EC"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19FF1754" w14:textId="77777777" w:rsidR="00C73618" w:rsidRPr="00F14E1D" w:rsidRDefault="00C73618" w:rsidP="00705DBE">
            <w:pPr>
              <w:pStyle w:val="TableHeaderRow2"/>
              <w:rPr>
                <w:rFonts w:ascii="Aptos" w:hAnsi="Aptos"/>
              </w:rPr>
            </w:pPr>
            <w:r w:rsidRPr="00F14E1D">
              <w:rPr>
                <w:rFonts w:ascii="Aptos" w:hAnsi="Aptos"/>
              </w:rPr>
              <w:t>Focus</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6A2EBB18" w14:textId="77777777" w:rsidR="00C73618" w:rsidRPr="00550E1F" w:rsidRDefault="00C73618" w:rsidP="00705DBE">
            <w:pPr>
              <w:pStyle w:val="TableHeaderRow2"/>
              <w:rPr>
                <w:rFonts w:ascii="Aptos" w:hAnsi="Aptos"/>
              </w:rPr>
            </w:pPr>
            <w:r w:rsidRPr="00550E1F">
              <w:rPr>
                <w:rFonts w:ascii="Aptos" w:hAnsi="Aptos"/>
              </w:rPr>
              <w:t>Action Steps</w:t>
            </w: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1DCC6FCC" w14:textId="77777777" w:rsidR="00C73618" w:rsidRPr="00550E1F" w:rsidRDefault="00C73618" w:rsidP="00705DBE">
            <w:pPr>
              <w:pStyle w:val="TableHeaderRow2"/>
              <w:rPr>
                <w:rFonts w:ascii="Aptos" w:hAnsi="Aptos"/>
              </w:rPr>
            </w:pPr>
            <w:r w:rsidRPr="00550E1F">
              <w:rPr>
                <w:rFonts w:ascii="Aptos" w:hAnsi="Aptos"/>
              </w:rPr>
              <w:t>Key Personnel </w:t>
            </w: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46E9A40D" w14:textId="77777777" w:rsidR="00C73618" w:rsidRPr="00550E1F" w:rsidRDefault="00C73618" w:rsidP="00705DBE">
            <w:pPr>
              <w:pStyle w:val="TableHeaderRow2"/>
              <w:rPr>
                <w:rFonts w:ascii="Aptos" w:hAnsi="Aptos"/>
              </w:rPr>
            </w:pPr>
            <w:r w:rsidRPr="00550E1F">
              <w:rPr>
                <w:rFonts w:ascii="Aptos" w:hAnsi="Aptos"/>
              </w:rPr>
              <w:t>Timeline</w:t>
            </w: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15" w:type="dxa"/>
              <w:bottom w:w="0" w:type="dxa"/>
              <w:right w:w="115" w:type="dxa"/>
            </w:tcMar>
            <w:vAlign w:val="center"/>
            <w:hideMark/>
          </w:tcPr>
          <w:p w14:paraId="0C475061" w14:textId="77777777" w:rsidR="00C73618" w:rsidRPr="00550E1F" w:rsidRDefault="00C73618" w:rsidP="00705DBE">
            <w:pPr>
              <w:pStyle w:val="TableHeaderRow2"/>
              <w:rPr>
                <w:rFonts w:ascii="Aptos" w:hAnsi="Aptos"/>
              </w:rPr>
            </w:pPr>
            <w:r w:rsidRPr="00550E1F">
              <w:rPr>
                <w:rFonts w:ascii="Aptos" w:hAnsi="Aptos"/>
              </w:rPr>
              <w:t>Intended Outcomes (Short and Long Term) </w:t>
            </w:r>
          </w:p>
        </w:tc>
      </w:tr>
      <w:tr w:rsidR="00C73618" w:rsidRPr="00A21685" w14:paraId="655DA1D3"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C30558D" w14:textId="77777777" w:rsidR="00C73618" w:rsidRPr="00F14E1D" w:rsidRDefault="00C73618" w:rsidP="0002238F">
            <w:pPr>
              <w:pStyle w:val="BodyText2"/>
              <w:rPr>
                <w:rFonts w:ascii="Aptos" w:hAnsi="Aptos"/>
                <w:b/>
                <w:bCs/>
              </w:rPr>
            </w:pPr>
            <w:r w:rsidRPr="00F14E1D">
              <w:rPr>
                <w:rFonts w:ascii="Aptos" w:hAnsi="Aptos"/>
                <w:b/>
                <w:bCs/>
              </w:rPr>
              <w:t>CI 1</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54EF29D" w14:textId="77777777" w:rsidR="00C73618" w:rsidRPr="00550E1F" w:rsidRDefault="00C73618" w:rsidP="0002238F">
            <w:pPr>
              <w:pStyle w:val="BodyText2"/>
              <w:rPr>
                <w:rFonts w:ascii="Aptos" w:hAnsi="Aptos"/>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0BE5C8F" w14:textId="77777777" w:rsidR="00C73618" w:rsidRPr="00550E1F" w:rsidRDefault="00C73618" w:rsidP="0002238F">
            <w:pPr>
              <w:pStyle w:val="BodyText2"/>
              <w:rPr>
                <w:rFonts w:ascii="Aptos" w:hAnsi="Aptos"/>
              </w:rPr>
            </w:pP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1F1A687" w14:textId="77777777" w:rsidR="00C73618" w:rsidRPr="00550E1F" w:rsidRDefault="00C73618" w:rsidP="0002238F">
            <w:pPr>
              <w:pStyle w:val="BodyText2"/>
              <w:rPr>
                <w:rFonts w:ascii="Aptos" w:hAnsi="Aptos"/>
              </w:rPr>
            </w:pP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E8E54F1" w14:textId="77777777" w:rsidR="00C73618" w:rsidRPr="00550E1F" w:rsidRDefault="00C73618" w:rsidP="0002238F">
            <w:pPr>
              <w:pStyle w:val="BodyText2"/>
              <w:rPr>
                <w:rFonts w:ascii="Aptos" w:hAnsi="Aptos"/>
              </w:rPr>
            </w:pPr>
          </w:p>
        </w:tc>
      </w:tr>
      <w:tr w:rsidR="00C73618" w:rsidRPr="00A21685" w14:paraId="6404CE23"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4161AA8" w14:textId="77777777" w:rsidR="00C73618" w:rsidRPr="00F14E1D" w:rsidRDefault="00C73618" w:rsidP="0002238F">
            <w:pPr>
              <w:pStyle w:val="BodyText2"/>
              <w:rPr>
                <w:rFonts w:ascii="Aptos" w:hAnsi="Aptos"/>
                <w:b/>
                <w:bCs/>
              </w:rPr>
            </w:pPr>
            <w:r w:rsidRPr="00F14E1D">
              <w:rPr>
                <w:rFonts w:ascii="Aptos" w:hAnsi="Aptos"/>
                <w:b/>
                <w:bCs/>
              </w:rPr>
              <w:t>CI 2</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F09744C" w14:textId="77777777" w:rsidR="00C73618" w:rsidRPr="00550E1F" w:rsidRDefault="00C73618" w:rsidP="0002238F">
            <w:pPr>
              <w:pStyle w:val="BodyText2"/>
              <w:rPr>
                <w:rFonts w:ascii="Aptos" w:hAnsi="Aptos"/>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58BF7C92" w14:textId="77777777" w:rsidR="00C73618" w:rsidRPr="00550E1F" w:rsidRDefault="00C73618" w:rsidP="0002238F">
            <w:pPr>
              <w:pStyle w:val="BodyText2"/>
              <w:rPr>
                <w:rFonts w:ascii="Aptos" w:hAnsi="Aptos"/>
              </w:rPr>
            </w:pP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1ADBB5" w14:textId="77777777" w:rsidR="00C73618" w:rsidRPr="00550E1F" w:rsidRDefault="00C73618" w:rsidP="0002238F">
            <w:pPr>
              <w:pStyle w:val="BodyText2"/>
              <w:rPr>
                <w:rFonts w:ascii="Aptos" w:hAnsi="Aptos"/>
              </w:rPr>
            </w:pP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326B9375" w14:textId="77777777" w:rsidR="00C73618" w:rsidRPr="00550E1F" w:rsidRDefault="00C73618" w:rsidP="0002238F">
            <w:pPr>
              <w:pStyle w:val="BodyText2"/>
              <w:rPr>
                <w:rFonts w:ascii="Aptos" w:hAnsi="Aptos"/>
              </w:rPr>
            </w:pPr>
          </w:p>
        </w:tc>
      </w:tr>
      <w:tr w:rsidR="00C73618" w:rsidRPr="00A21685" w14:paraId="53CD1BAB"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764FE5E" w14:textId="77777777" w:rsidR="00C73618" w:rsidRPr="00F14E1D" w:rsidRDefault="00C73618" w:rsidP="0002238F">
            <w:pPr>
              <w:pStyle w:val="BodyText2"/>
              <w:rPr>
                <w:rFonts w:ascii="Aptos" w:hAnsi="Aptos"/>
                <w:b/>
                <w:bCs/>
              </w:rPr>
            </w:pPr>
            <w:r w:rsidRPr="00F14E1D">
              <w:rPr>
                <w:rFonts w:ascii="Aptos" w:hAnsi="Aptos"/>
                <w:b/>
                <w:bCs/>
              </w:rPr>
              <w:t>CI 3</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87F13F8" w14:textId="77777777" w:rsidR="00C73618" w:rsidRPr="00550E1F" w:rsidRDefault="00C73618" w:rsidP="0002238F">
            <w:pPr>
              <w:pStyle w:val="BodyText2"/>
              <w:rPr>
                <w:rFonts w:ascii="Aptos" w:hAnsi="Aptos"/>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6E2DF74B" w14:textId="77777777" w:rsidR="00C73618" w:rsidRPr="00550E1F" w:rsidRDefault="00C73618" w:rsidP="0002238F">
            <w:pPr>
              <w:pStyle w:val="BodyText2"/>
              <w:rPr>
                <w:rFonts w:ascii="Aptos" w:hAnsi="Aptos"/>
              </w:rPr>
            </w:pP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474EF28" w14:textId="77777777" w:rsidR="00C73618" w:rsidRPr="00550E1F" w:rsidRDefault="00C73618" w:rsidP="0002238F">
            <w:pPr>
              <w:pStyle w:val="BodyText2"/>
              <w:rPr>
                <w:rFonts w:ascii="Aptos" w:hAnsi="Aptos"/>
              </w:rPr>
            </w:pP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4507B58F" w14:textId="77777777" w:rsidR="00C73618" w:rsidRPr="00550E1F" w:rsidRDefault="00C73618" w:rsidP="0002238F">
            <w:pPr>
              <w:pStyle w:val="BodyText2"/>
              <w:rPr>
                <w:rFonts w:ascii="Aptos" w:hAnsi="Aptos"/>
              </w:rPr>
            </w:pPr>
          </w:p>
        </w:tc>
      </w:tr>
      <w:tr w:rsidR="00C73618" w:rsidRPr="00A21685" w14:paraId="288A2BEA" w14:textId="77777777" w:rsidTr="001B1F09">
        <w:trPr>
          <w:trHeight w:val="852"/>
        </w:trPr>
        <w:tc>
          <w:tcPr>
            <w:tcW w:w="29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0F53D1ED" w14:textId="02E594AD" w:rsidR="00C73618" w:rsidRPr="00F14E1D" w:rsidRDefault="00C73618" w:rsidP="0002238F">
            <w:pPr>
              <w:pStyle w:val="BodyText2"/>
              <w:rPr>
                <w:rFonts w:ascii="Aptos" w:hAnsi="Aptos"/>
                <w:b/>
                <w:bCs/>
              </w:rPr>
            </w:pPr>
            <w:r w:rsidRPr="00F14E1D">
              <w:rPr>
                <w:rFonts w:ascii="Aptos" w:hAnsi="Aptos"/>
                <w:b/>
                <w:bCs/>
              </w:rPr>
              <w:t>CI 4</w:t>
            </w: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1DA92AB8" w14:textId="77777777" w:rsidR="00C73618" w:rsidRPr="00550E1F" w:rsidRDefault="00C73618" w:rsidP="0002238F">
            <w:pPr>
              <w:pStyle w:val="BodyText2"/>
              <w:rPr>
                <w:rFonts w:ascii="Aptos" w:hAnsi="Aptos"/>
              </w:rPr>
            </w:pPr>
          </w:p>
        </w:tc>
        <w:tc>
          <w:tcPr>
            <w:tcW w:w="718"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DD8A277" w14:textId="77777777" w:rsidR="00C73618" w:rsidRPr="00550E1F" w:rsidRDefault="00C73618" w:rsidP="0002238F">
            <w:pPr>
              <w:pStyle w:val="BodyText2"/>
              <w:rPr>
                <w:rFonts w:ascii="Aptos" w:hAnsi="Aptos"/>
              </w:rPr>
            </w:pPr>
          </w:p>
        </w:tc>
        <w:tc>
          <w:tcPr>
            <w:tcW w:w="721"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7ADDB653" w14:textId="77777777" w:rsidR="00C73618" w:rsidRPr="00550E1F" w:rsidRDefault="00C73618" w:rsidP="0002238F">
            <w:pPr>
              <w:pStyle w:val="BodyText2"/>
              <w:rPr>
                <w:rFonts w:ascii="Aptos" w:hAnsi="Aptos"/>
              </w:rPr>
            </w:pPr>
          </w:p>
        </w:tc>
        <w:tc>
          <w:tcPr>
            <w:tcW w:w="2370"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15" w:type="dxa"/>
              <w:bottom w:w="0" w:type="dxa"/>
              <w:right w:w="115" w:type="dxa"/>
            </w:tcMar>
            <w:vAlign w:val="center"/>
            <w:hideMark/>
          </w:tcPr>
          <w:p w14:paraId="26A87B2D" w14:textId="77777777" w:rsidR="00C73618" w:rsidRPr="00550E1F" w:rsidRDefault="00C73618" w:rsidP="0002238F">
            <w:pPr>
              <w:pStyle w:val="BodyText2"/>
              <w:rPr>
                <w:rFonts w:ascii="Aptos" w:hAnsi="Aptos"/>
              </w:rPr>
            </w:pPr>
          </w:p>
        </w:tc>
      </w:tr>
    </w:tbl>
    <w:p w14:paraId="4326B0AE" w14:textId="77777777" w:rsidR="00644F7F" w:rsidRPr="00550E1F" w:rsidRDefault="00644F7F" w:rsidP="0002238F">
      <w:pPr>
        <w:pStyle w:val="Heading3"/>
        <w:rPr>
          <w:rFonts w:ascii="Aptos" w:hAnsi="Aptos"/>
        </w:rPr>
      </w:pPr>
      <w:bookmarkStart w:id="51" w:name="_Toc170815056"/>
      <w:bookmarkStart w:id="52" w:name="_Toc170821863"/>
      <w:bookmarkStart w:id="53" w:name="_Toc170822518"/>
      <w:bookmarkStart w:id="54" w:name="_Toc170822912"/>
      <w:bookmarkStart w:id="55" w:name="CAN"/>
    </w:p>
    <w:p w14:paraId="566987A6" w14:textId="77777777" w:rsidR="00644F7F" w:rsidRPr="00550E1F" w:rsidRDefault="00644F7F">
      <w:pPr>
        <w:spacing w:before="0" w:after="0"/>
        <w:rPr>
          <w:rFonts w:ascii="Aptos" w:eastAsia="Libre Franklin" w:hAnsi="Aptos" w:cs="Libre Franklin"/>
          <w:b/>
          <w:bCs/>
          <w:sz w:val="28"/>
          <w:szCs w:val="32"/>
        </w:rPr>
      </w:pPr>
      <w:r w:rsidRPr="00550E1F">
        <w:rPr>
          <w:rFonts w:ascii="Aptos" w:hAnsi="Aptos"/>
        </w:rPr>
        <w:br w:type="page"/>
      </w:r>
    </w:p>
    <w:p w14:paraId="2B5D1514" w14:textId="28C65F09" w:rsidR="009D55CD" w:rsidRPr="00550E1F" w:rsidRDefault="009D55CD" w:rsidP="0002238F">
      <w:pPr>
        <w:pStyle w:val="Heading3"/>
        <w:rPr>
          <w:rFonts w:ascii="Aptos" w:hAnsi="Aptos"/>
        </w:rPr>
      </w:pPr>
      <w:r w:rsidRPr="00550E1F">
        <w:rPr>
          <w:rFonts w:ascii="Aptos" w:hAnsi="Aptos"/>
          <w:noProof/>
        </w:rPr>
        <mc:AlternateContent>
          <mc:Choice Requires="wps">
            <w:drawing>
              <wp:anchor distT="0" distB="0" distL="114300" distR="114300" simplePos="0" relativeHeight="251658261" behindDoc="0" locked="0" layoutInCell="1" allowOverlap="1" wp14:anchorId="20C58B91" wp14:editId="68F6CFCF">
                <wp:simplePos x="0" y="0"/>
                <wp:positionH relativeFrom="column">
                  <wp:posOffset>-53163</wp:posOffset>
                </wp:positionH>
                <wp:positionV relativeFrom="paragraph">
                  <wp:posOffset>51036</wp:posOffset>
                </wp:positionV>
                <wp:extent cx="8984512" cy="350875"/>
                <wp:effectExtent l="0" t="0" r="7620" b="0"/>
                <wp:wrapNone/>
                <wp:docPr id="1428516342" name="Text Box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8984512" cy="350875"/>
                        </a:xfrm>
                        <a:prstGeom prst="rect">
                          <a:avLst/>
                        </a:prstGeom>
                        <a:solidFill>
                          <a:srgbClr val="8C1176"/>
                        </a:solidFill>
                        <a:ln w="6350">
                          <a:noFill/>
                        </a:ln>
                      </wps:spPr>
                      <wps:txbx>
                        <w:txbxContent>
                          <w:p w14:paraId="036FC7AB" w14:textId="446EFA21" w:rsidR="009D55CD" w:rsidRPr="00AF58FC" w:rsidRDefault="009D55CD" w:rsidP="009D55CD">
                            <w:pPr>
                              <w:pStyle w:val="Heading2"/>
                            </w:pPr>
                            <w:bookmarkStart w:id="56" w:name="CandidateDomain"/>
                            <w:bookmarkStart w:id="57" w:name="_Toc170897346"/>
                            <w:bookmarkEnd w:id="56"/>
                            <w:r>
                              <w:t xml:space="preserve">The Candidate </w:t>
                            </w:r>
                            <w:r w:rsidR="00AE7083">
                              <w:t xml:space="preserve">Domain </w:t>
                            </w:r>
                            <w:r>
                              <w:t xml:space="preserve">Action Planning </w:t>
                            </w:r>
                            <w:bookmarkEnd w:id="57"/>
                            <w:r>
                              <w:t>T</w:t>
                            </w:r>
                            <w:r w:rsidR="004D2BB6">
                              <w: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58B91" id="_x0000_s1036" type="#_x0000_t202" style="position:absolute;margin-left:-4.2pt;margin-top:4pt;width:707.45pt;height:27.6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" fillcolor="#8c1176" stroked="f" strokeweight=".5pt">
                <v:textbox>
                  <w:txbxContent>
                    <w:p w14:paraId="036FC7AB" w14:textId="446EFA21" w:rsidR="009D55CD" w:rsidRPr="00AF58FC" w:rsidRDefault="009D55CD" w:rsidP="009D55CD">
                      <w:pPr>
                        <w:pStyle w:val="Heading2"/>
                      </w:pPr>
                      <w:bookmarkStart w:id="69" w:name="CandidateDomain"/>
                      <w:bookmarkStart w:id="70" w:name="_Toc170897346"/>
                      <w:bookmarkEnd w:id="69"/>
                      <w:r>
                        <w:t xml:space="preserve">The Candidate </w:t>
                      </w:r>
                      <w:r w:rsidR="00AE7083">
                        <w:t xml:space="preserve">Domain </w:t>
                      </w:r>
                      <w:r>
                        <w:t xml:space="preserve">Action Planning </w:t>
                      </w:r>
                      <w:bookmarkEnd w:id="70"/>
                      <w:r>
                        <w:t>T</w:t>
                      </w:r>
                      <w:r w:rsidR="004D2BB6">
                        <w:t>ool</w:t>
                      </w:r>
                    </w:p>
                  </w:txbxContent>
                </v:textbox>
              </v:shape>
            </w:pict>
          </mc:Fallback>
        </mc:AlternateContent>
      </w:r>
      <w:bookmarkEnd w:id="51"/>
      <w:bookmarkEnd w:id="52"/>
      <w:bookmarkEnd w:id="53"/>
      <w:bookmarkEnd w:id="54"/>
    </w:p>
    <w:bookmarkEnd w:id="55"/>
    <w:p w14:paraId="01A6515D" w14:textId="61AA2498" w:rsidR="00C73618" w:rsidRPr="00550E1F" w:rsidRDefault="00DB3302" w:rsidP="00327F49">
      <w:pPr>
        <w:pStyle w:val="Heading3"/>
        <w:spacing w:after="120"/>
        <w:rPr>
          <w:rFonts w:ascii="Aptos" w:hAnsi="Aptos"/>
        </w:rPr>
      </w:pPr>
      <w:r w:rsidRPr="00550E1F">
        <w:rPr>
          <w:rFonts w:ascii="Aptos" w:hAnsi="Aptos"/>
        </w:rPr>
        <w:br/>
      </w:r>
      <w:r w:rsidR="00C73618" w:rsidRPr="00550E1F">
        <w:rPr>
          <w:rFonts w:ascii="Aptos" w:hAnsi="Aptos"/>
        </w:rPr>
        <w:t>CAN 1: The Sponsoring Organization regularly examines recruitment, admissions, and retention data and revises policies and practices to address systemically inequitable barriers to entry and completion.</w:t>
      </w:r>
    </w:p>
    <w:p w14:paraId="5E91A26B" w14:textId="1A6125F4" w:rsidR="006C1845" w:rsidRPr="00550E1F" w:rsidRDefault="006C1845" w:rsidP="006C1845">
      <w:pPr>
        <w:pStyle w:val="TableTitle2"/>
        <w:rPr>
          <w:rFonts w:ascii="Aptos" w:hAnsi="Aptos"/>
        </w:rPr>
      </w:pPr>
      <w:r w:rsidRPr="00550E1F">
        <w:rPr>
          <w:rFonts w:ascii="Aptos" w:hAnsi="Aptos"/>
        </w:rPr>
        <w:t>How does your SO learn about candidates as racially, culturally, linguistically, and experientially diverse individuals?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C1845" w:rsidRPr="00A21685" w14:paraId="6D2A8292"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tcPr>
          <w:p w14:paraId="1CD913D0" w14:textId="5FEABE39" w:rsidR="006C1845" w:rsidRPr="00550E1F" w:rsidRDefault="006C1845"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648C15BB" w14:textId="181EDB14" w:rsidR="006C1845" w:rsidRPr="00550E1F" w:rsidRDefault="006B1632" w:rsidP="006C1845">
            <w:pPr>
              <w:pStyle w:val="TableHeaderRow2"/>
              <w:ind w:left="72"/>
              <w:rPr>
                <w:rFonts w:ascii="Aptos" w:hAnsi="Aptos"/>
              </w:rPr>
            </w:pPr>
            <w:r w:rsidRPr="00550E1F">
              <w:rPr>
                <w:rFonts w:ascii="Aptos" w:hAnsi="Aptos"/>
              </w:rPr>
              <w:t>Response</w:t>
            </w:r>
          </w:p>
        </w:tc>
      </w:tr>
      <w:tr w:rsidR="00C73618" w:rsidRPr="00A21685" w14:paraId="6B8DA41D" w14:textId="77777777" w:rsidTr="00327F4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2E005F7" w14:textId="6CB29A08" w:rsidR="00C73618" w:rsidRPr="00550E1F" w:rsidRDefault="00C73618" w:rsidP="0002238F">
            <w:pPr>
              <w:pStyle w:val="BodyText2"/>
              <w:rPr>
                <w:rFonts w:ascii="Aptos" w:hAnsi="Aptos"/>
                <w:b/>
                <w:bCs/>
              </w:rPr>
            </w:pPr>
            <w:r w:rsidRPr="00550E1F">
              <w:rPr>
                <w:rFonts w:ascii="Aptos" w:hAnsi="Aptos"/>
                <w:b/>
                <w:bCs/>
              </w:rPr>
              <w:t>Current Practices and Outcomes</w:t>
            </w:r>
          </w:p>
          <w:p w14:paraId="37519000" w14:textId="77777777"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F0E1D7A" w14:textId="3C855E2E" w:rsidR="00C73618" w:rsidRPr="00550E1F" w:rsidRDefault="00C73618" w:rsidP="0002238F">
            <w:pPr>
              <w:pStyle w:val="BodyText2"/>
              <w:rPr>
                <w:rFonts w:ascii="Aptos" w:hAnsi="Aptos"/>
              </w:rPr>
            </w:pPr>
          </w:p>
        </w:tc>
      </w:tr>
      <w:tr w:rsidR="00C73618" w:rsidRPr="00A21685" w14:paraId="516B757C"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33DDE1B9"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62295357"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666F2857" w14:textId="637AE06E" w:rsidR="00C73618" w:rsidRPr="00550E1F" w:rsidRDefault="00C73618" w:rsidP="0002238F">
            <w:pPr>
              <w:pStyle w:val="BodyText2"/>
              <w:rPr>
                <w:rFonts w:ascii="Aptos" w:hAnsi="Aptos"/>
              </w:rPr>
            </w:pPr>
          </w:p>
        </w:tc>
      </w:tr>
    </w:tbl>
    <w:p w14:paraId="158B0E05" w14:textId="1AE62437" w:rsidR="0002238F" w:rsidRPr="00550E1F" w:rsidRDefault="006B1632" w:rsidP="006C1845">
      <w:pPr>
        <w:pStyle w:val="TableTitle2"/>
        <w:rPr>
          <w:rFonts w:ascii="Aptos" w:hAnsi="Aptos"/>
        </w:rPr>
      </w:pPr>
      <w:r w:rsidRPr="00550E1F">
        <w:rPr>
          <w:rFonts w:ascii="Aptos" w:hAnsi="Aptos"/>
        </w:rPr>
        <w:t>How does your SO identify program policies or practices (such as advising practices or course grading policies) that may present barriers to program completion for candidates, particularly those with identities from systemically marginalized communities? How are revisions made to address these program policies or practices? Who is involved?</w:t>
      </w:r>
    </w:p>
    <w:tbl>
      <w:tblPr>
        <w:tblW w:w="0" w:type="auto"/>
        <w:tblCellMar>
          <w:top w:w="15" w:type="dxa"/>
          <w:left w:w="15" w:type="dxa"/>
          <w:bottom w:w="15" w:type="dxa"/>
          <w:right w:w="15" w:type="dxa"/>
        </w:tblCellMar>
        <w:tblLook w:val="04A0" w:firstRow="1" w:lastRow="0" w:firstColumn="1" w:lastColumn="0" w:noHBand="0" w:noVBand="1"/>
      </w:tblPr>
      <w:tblGrid>
        <w:gridCol w:w="5147"/>
        <w:gridCol w:w="8975"/>
      </w:tblGrid>
      <w:tr w:rsidR="006B1632" w:rsidRPr="00A21685" w14:paraId="7A1F5FFF" w14:textId="77777777" w:rsidTr="00327F49">
        <w:trPr>
          <w:trHeight w:val="285"/>
        </w:trPr>
        <w:tc>
          <w:tcPr>
            <w:tcW w:w="0" w:type="auto"/>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03F76307" w14:textId="623DE55D" w:rsidR="006B1632" w:rsidRPr="00550E1F" w:rsidRDefault="006B1632" w:rsidP="00705DBE">
            <w:pPr>
              <w:pStyle w:val="TableHeaderRow2"/>
              <w:rPr>
                <w:rFonts w:ascii="Aptos" w:hAnsi="Aptos"/>
              </w:rPr>
            </w:pPr>
            <w:r w:rsidRPr="00550E1F">
              <w:rPr>
                <w:rFonts w:ascii="Aptos" w:hAnsi="Aptos"/>
              </w:rPr>
              <w:t>Question</w:t>
            </w:r>
          </w:p>
        </w:tc>
        <w:tc>
          <w:tcPr>
            <w:tcW w:w="8975" w:type="dxa"/>
            <w:tcBorders>
              <w:top w:val="single" w:sz="4" w:space="0" w:color="000000"/>
              <w:left w:val="single" w:sz="6" w:space="0" w:color="000000"/>
              <w:bottom w:val="single" w:sz="4" w:space="0" w:color="000000"/>
              <w:right w:val="single" w:sz="6" w:space="0" w:color="000000"/>
            </w:tcBorders>
            <w:shd w:val="clear" w:color="auto" w:fill="8C1176"/>
          </w:tcPr>
          <w:p w14:paraId="2E6880BB" w14:textId="37127B4D" w:rsidR="006B1632" w:rsidRPr="00550E1F" w:rsidRDefault="006B1632" w:rsidP="006B1632">
            <w:pPr>
              <w:pStyle w:val="TableHeaderRow2"/>
              <w:ind w:left="72"/>
              <w:rPr>
                <w:rFonts w:ascii="Aptos" w:hAnsi="Aptos"/>
              </w:rPr>
            </w:pPr>
            <w:r w:rsidRPr="00550E1F">
              <w:rPr>
                <w:rFonts w:ascii="Aptos" w:hAnsi="Aptos"/>
              </w:rPr>
              <w:t>Response</w:t>
            </w:r>
          </w:p>
        </w:tc>
      </w:tr>
      <w:tr w:rsidR="00C73618" w:rsidRPr="00A21685" w14:paraId="7DB69AF1" w14:textId="77777777" w:rsidTr="00327F49">
        <w:trPr>
          <w:trHeight w:val="285"/>
        </w:trPr>
        <w:tc>
          <w:tcPr>
            <w:tcW w:w="5147"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7846EEB" w14:textId="77777777" w:rsidR="00DE329D" w:rsidRPr="00550E1F" w:rsidRDefault="00C73618" w:rsidP="0002238F">
            <w:pPr>
              <w:pStyle w:val="BodyText2"/>
              <w:rPr>
                <w:rFonts w:ascii="Aptos" w:hAnsi="Aptos"/>
                <w:b/>
                <w:bCs/>
              </w:rPr>
            </w:pPr>
            <w:r w:rsidRPr="00550E1F">
              <w:rPr>
                <w:rFonts w:ascii="Aptos" w:hAnsi="Aptos"/>
                <w:b/>
                <w:bCs/>
              </w:rPr>
              <w:t>Current Practices and Outcomes</w:t>
            </w:r>
          </w:p>
          <w:p w14:paraId="20B2A037" w14:textId="2536EF3B" w:rsidR="00C73618" w:rsidRPr="00550E1F" w:rsidRDefault="00C73618" w:rsidP="0002238F">
            <w:pPr>
              <w:pStyle w:val="BodyText2"/>
              <w:rPr>
                <w:rFonts w:ascii="Aptos" w:hAnsi="Aptos"/>
              </w:rPr>
            </w:pPr>
            <w:r w:rsidRPr="00550E1F">
              <w:rPr>
                <w:rFonts w:ascii="Aptos" w:hAnsi="Aptos"/>
              </w:rPr>
              <w:t>(What are you doing now? How do you know whether and for whom it is working?)</w:t>
            </w:r>
          </w:p>
        </w:tc>
        <w:tc>
          <w:tcPr>
            <w:tcW w:w="8975"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FB92B14" w14:textId="7C00C502" w:rsidR="00C73618" w:rsidRPr="00550E1F" w:rsidRDefault="00C73618" w:rsidP="0002238F">
            <w:pPr>
              <w:pStyle w:val="BodyText2"/>
              <w:rPr>
                <w:rFonts w:ascii="Aptos" w:hAnsi="Aptos"/>
              </w:rPr>
            </w:pPr>
          </w:p>
        </w:tc>
      </w:tr>
      <w:tr w:rsidR="00C73618" w:rsidRPr="00A21685" w14:paraId="3DECD637" w14:textId="77777777" w:rsidTr="00327F49">
        <w:trPr>
          <w:trHeight w:val="285"/>
        </w:trPr>
        <w:tc>
          <w:tcPr>
            <w:tcW w:w="5147"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1631958" w14:textId="77777777" w:rsidR="00C73618" w:rsidRPr="00550E1F" w:rsidRDefault="00C73618" w:rsidP="0002238F">
            <w:pPr>
              <w:pStyle w:val="BodyText2"/>
              <w:rPr>
                <w:rFonts w:ascii="Aptos" w:hAnsi="Aptos"/>
                <w:b/>
                <w:bCs/>
              </w:rPr>
            </w:pPr>
            <w:r w:rsidRPr="00550E1F">
              <w:rPr>
                <w:rFonts w:ascii="Aptos" w:hAnsi="Aptos"/>
                <w:b/>
                <w:bCs/>
              </w:rPr>
              <w:t>Areas for Growth and Future Outcomes</w:t>
            </w:r>
          </w:p>
          <w:p w14:paraId="31D0204F" w14:textId="77777777" w:rsidR="00C73618" w:rsidRPr="00550E1F" w:rsidRDefault="00C73618" w:rsidP="0002238F">
            <w:pPr>
              <w:pStyle w:val="BodyText2"/>
              <w:rPr>
                <w:rFonts w:ascii="Aptos" w:hAnsi="Aptos"/>
              </w:rPr>
            </w:pPr>
            <w:r w:rsidRPr="00550E1F">
              <w:rPr>
                <w:rFonts w:ascii="Aptos" w:hAnsi="Aptos"/>
              </w:rPr>
              <w:t>(Where do you hope to grow? How will your next steps impact your programmatic and candidate outcomes?)</w:t>
            </w:r>
          </w:p>
        </w:tc>
        <w:tc>
          <w:tcPr>
            <w:tcW w:w="8975"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18743A4A" w14:textId="4492D0E4" w:rsidR="00C73618" w:rsidRPr="00550E1F" w:rsidRDefault="00C73618" w:rsidP="0002238F">
            <w:pPr>
              <w:pStyle w:val="BodyText2"/>
              <w:rPr>
                <w:rFonts w:ascii="Aptos" w:hAnsi="Aptos"/>
              </w:rPr>
            </w:pPr>
          </w:p>
        </w:tc>
      </w:tr>
    </w:tbl>
    <w:p w14:paraId="5DF91934" w14:textId="5EFB7CC7" w:rsidR="0045359F" w:rsidRPr="00550E1F" w:rsidRDefault="006B1632" w:rsidP="006B1632">
      <w:pPr>
        <w:pStyle w:val="TableTitle2"/>
        <w:rPr>
          <w:rFonts w:ascii="Aptos" w:hAnsi="Aptos"/>
        </w:rPr>
      </w:pPr>
      <w:r w:rsidRPr="00550E1F">
        <w:rPr>
          <w:rFonts w:ascii="Aptos" w:hAnsi="Aptos"/>
        </w:rPr>
        <w:t>How does your SO adjust their instruction, curriculum, and instructional policies to ensure the equitable success of candidates, particularly candidates with identities from systemically marginalized communities?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B1632" w:rsidRPr="00A21685" w14:paraId="35939213" w14:textId="77777777" w:rsidTr="00327F49">
        <w:trPr>
          <w:trHeight w:val="285"/>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32C172E6" w14:textId="7B72C353" w:rsidR="006B1632" w:rsidRPr="00550E1F" w:rsidRDefault="006B1632" w:rsidP="006B1632">
            <w:pPr>
              <w:pStyle w:val="TableHeaderRow2"/>
              <w:ind w:left="7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6" w:space="0" w:color="000000"/>
              <w:right w:val="single" w:sz="6" w:space="0" w:color="000000"/>
            </w:tcBorders>
            <w:shd w:val="clear" w:color="auto" w:fill="8C1176"/>
          </w:tcPr>
          <w:p w14:paraId="41E2D1B3" w14:textId="45503071" w:rsidR="006B1632" w:rsidRPr="00550E1F" w:rsidRDefault="006B1632" w:rsidP="006B1632">
            <w:pPr>
              <w:pStyle w:val="TableHeaderRow2"/>
              <w:ind w:left="72"/>
              <w:rPr>
                <w:rFonts w:ascii="Aptos" w:hAnsi="Aptos"/>
              </w:rPr>
            </w:pPr>
            <w:r w:rsidRPr="00550E1F">
              <w:rPr>
                <w:rFonts w:ascii="Aptos" w:hAnsi="Aptos"/>
              </w:rPr>
              <w:t>Response</w:t>
            </w:r>
          </w:p>
        </w:tc>
      </w:tr>
      <w:tr w:rsidR="00C73618" w:rsidRPr="00A21685" w14:paraId="153E17ED"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957B8C4" w14:textId="77777777" w:rsidR="00C73618" w:rsidRPr="00550E1F" w:rsidRDefault="00C73618" w:rsidP="0045359F">
            <w:pPr>
              <w:pStyle w:val="BodyText2"/>
              <w:rPr>
                <w:rFonts w:ascii="Aptos" w:hAnsi="Aptos"/>
              </w:rPr>
            </w:pPr>
            <w:r w:rsidRPr="00550E1F">
              <w:rPr>
                <w:rFonts w:ascii="Aptos" w:hAnsi="Aptos"/>
                <w:b/>
                <w:bCs/>
              </w:rPr>
              <w:t xml:space="preserve">Current Practices and Outcomes </w:t>
            </w: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5583D8D" w14:textId="4F649BB6" w:rsidR="00C73618" w:rsidRPr="00550E1F" w:rsidRDefault="00C73618" w:rsidP="0045359F">
            <w:pPr>
              <w:pStyle w:val="BodyText2"/>
              <w:rPr>
                <w:rFonts w:ascii="Aptos" w:hAnsi="Aptos"/>
              </w:rPr>
            </w:pPr>
          </w:p>
        </w:tc>
      </w:tr>
      <w:tr w:rsidR="00C73618" w:rsidRPr="00A21685" w14:paraId="50C9E5FB"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A28A070"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539FAB26"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F75AF11" w14:textId="61B669A2" w:rsidR="00C73618" w:rsidRPr="00550E1F" w:rsidRDefault="00C73618" w:rsidP="0045359F">
            <w:pPr>
              <w:pStyle w:val="BodyText2"/>
              <w:rPr>
                <w:rFonts w:ascii="Aptos" w:hAnsi="Aptos"/>
              </w:rPr>
            </w:pPr>
          </w:p>
        </w:tc>
      </w:tr>
    </w:tbl>
    <w:p w14:paraId="70B1CA79" w14:textId="45EE9B65" w:rsidR="00C30039" w:rsidRPr="00550E1F" w:rsidRDefault="00C30039" w:rsidP="009B6352">
      <w:pPr>
        <w:spacing w:before="0" w:after="0"/>
        <w:rPr>
          <w:rFonts w:ascii="Aptos" w:hAnsi="Aptos" w:cstheme="minorHAnsi"/>
          <w:color w:val="auto"/>
        </w:rPr>
      </w:pPr>
    </w:p>
    <w:p w14:paraId="6C88C0F9" w14:textId="2916F495" w:rsidR="00C73618" w:rsidRPr="00550E1F" w:rsidRDefault="00C73618" w:rsidP="00327F49">
      <w:pPr>
        <w:pStyle w:val="Heading4"/>
        <w:rPr>
          <w:rFonts w:ascii="Aptos" w:hAnsi="Aptos" w:cstheme="minorHAnsi"/>
          <w:color w:val="auto"/>
          <w:szCs w:val="21"/>
        </w:rPr>
      </w:pPr>
      <w:r w:rsidRPr="00550E1F">
        <w:rPr>
          <w:rFonts w:ascii="Aptos" w:hAnsi="Aptos"/>
        </w:rPr>
        <w:t>CAN 2: The sponsoring organization positions all candidates to be successful in their program, licensure, and career through equitable, effective, and comprehensive guidance and support systems</w:t>
      </w:r>
      <w:r w:rsidR="0045359F" w:rsidRPr="00550E1F">
        <w:rPr>
          <w:rFonts w:ascii="Aptos" w:hAnsi="Aptos" w:cstheme="minorHAnsi"/>
          <w:color w:val="auto"/>
        </w:rPr>
        <w:t>.</w:t>
      </w:r>
    </w:p>
    <w:p w14:paraId="4FC8B7FE" w14:textId="6FAD43ED" w:rsidR="006B1632" w:rsidRPr="00550E1F" w:rsidRDefault="006B1632" w:rsidP="006B1632">
      <w:pPr>
        <w:pStyle w:val="TableTitle2"/>
        <w:rPr>
          <w:rFonts w:ascii="Aptos" w:hAnsi="Aptos"/>
        </w:rPr>
      </w:pPr>
      <w:r w:rsidRPr="00550E1F">
        <w:rPr>
          <w:rFonts w:ascii="Aptos" w:hAnsi="Aptos"/>
        </w:rPr>
        <w:t>How does your SO define common, equity-oriented benchmarks or outcomes candidates need to meet to progress through the program? How are these benchmarks/outcomes communicated to candidates?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B1632" w:rsidRPr="00A21685" w14:paraId="4756671C"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tcPr>
          <w:p w14:paraId="36DC4DF1" w14:textId="7C1CE20E" w:rsidR="006B1632" w:rsidRPr="00550E1F" w:rsidRDefault="006B1632" w:rsidP="006B1632">
            <w:pPr>
              <w:pStyle w:val="TableHeaderRow2"/>
              <w:ind w:left="7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5D3EA540" w14:textId="390464A8" w:rsidR="006B1632" w:rsidRPr="00550E1F" w:rsidRDefault="006B1632" w:rsidP="006B1632">
            <w:pPr>
              <w:pStyle w:val="TableHeaderRow2"/>
              <w:ind w:left="72"/>
              <w:rPr>
                <w:rFonts w:ascii="Aptos" w:hAnsi="Aptos"/>
              </w:rPr>
            </w:pPr>
            <w:r w:rsidRPr="00550E1F">
              <w:rPr>
                <w:rFonts w:ascii="Aptos" w:hAnsi="Aptos"/>
              </w:rPr>
              <w:t>Response</w:t>
            </w:r>
          </w:p>
        </w:tc>
      </w:tr>
      <w:tr w:rsidR="00C73618" w:rsidRPr="00A21685" w14:paraId="51CA0232" w14:textId="77777777" w:rsidTr="00327F4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8BE755C" w14:textId="476DBC85" w:rsidR="00C73618" w:rsidRPr="00550E1F" w:rsidRDefault="00C73618" w:rsidP="0045359F">
            <w:pPr>
              <w:pStyle w:val="BodyText2"/>
              <w:rPr>
                <w:rFonts w:ascii="Aptos" w:hAnsi="Aptos"/>
                <w:b/>
                <w:bCs/>
              </w:rPr>
            </w:pPr>
            <w:r w:rsidRPr="00550E1F">
              <w:rPr>
                <w:rFonts w:ascii="Aptos" w:hAnsi="Aptos"/>
                <w:b/>
                <w:bCs/>
              </w:rPr>
              <w:t>Current Practices and Outcomes</w:t>
            </w:r>
          </w:p>
          <w:p w14:paraId="1DA9429C" w14:textId="77777777"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016D1BA4" w14:textId="5921D97B" w:rsidR="00C73618" w:rsidRPr="00550E1F" w:rsidRDefault="00C73618" w:rsidP="0045359F">
            <w:pPr>
              <w:pStyle w:val="BodyText2"/>
              <w:rPr>
                <w:rFonts w:ascii="Aptos" w:hAnsi="Aptos"/>
              </w:rPr>
            </w:pPr>
          </w:p>
        </w:tc>
      </w:tr>
      <w:tr w:rsidR="00C73618" w:rsidRPr="00A21685" w14:paraId="59864A9D"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4DC32B08"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5356A24E"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3D9D605B" w14:textId="02A12C5D" w:rsidR="00C73618" w:rsidRPr="00550E1F" w:rsidRDefault="00C73618" w:rsidP="0045359F">
            <w:pPr>
              <w:pStyle w:val="BodyText2"/>
              <w:rPr>
                <w:rFonts w:ascii="Aptos" w:hAnsi="Aptos"/>
              </w:rPr>
            </w:pPr>
          </w:p>
        </w:tc>
      </w:tr>
    </w:tbl>
    <w:p w14:paraId="7FBC3D08" w14:textId="2C924DE0" w:rsidR="0045359F" w:rsidRPr="00550E1F" w:rsidRDefault="006B1632" w:rsidP="006B1632">
      <w:pPr>
        <w:pStyle w:val="TableTitle2"/>
        <w:rPr>
          <w:rFonts w:ascii="Aptos" w:hAnsi="Aptos"/>
        </w:rPr>
      </w:pPr>
      <w:r w:rsidRPr="00550E1F">
        <w:rPr>
          <w:rFonts w:ascii="Aptos" w:hAnsi="Aptos"/>
        </w:rPr>
        <w:t>How does your SO integrate a foundation of anti-racist and culturally and linguistically sustaining practices that well-support all candidates throughout the program(s) of study?</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B1632" w:rsidRPr="00A21685" w14:paraId="43364A9E"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32711965" w14:textId="2303F0A2" w:rsidR="006B1632" w:rsidRPr="00550E1F" w:rsidRDefault="006B1632"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4" w:space="0" w:color="000000"/>
              <w:right w:val="single" w:sz="6" w:space="0" w:color="000000"/>
            </w:tcBorders>
            <w:shd w:val="clear" w:color="auto" w:fill="8C1176"/>
          </w:tcPr>
          <w:p w14:paraId="05665E24" w14:textId="66F0166A" w:rsidR="006B1632" w:rsidRPr="00550E1F" w:rsidRDefault="006B1632" w:rsidP="006B1632">
            <w:pPr>
              <w:pStyle w:val="TableHeaderRow2"/>
              <w:ind w:left="72"/>
              <w:rPr>
                <w:rFonts w:ascii="Aptos" w:hAnsi="Aptos"/>
              </w:rPr>
            </w:pPr>
            <w:r w:rsidRPr="00550E1F">
              <w:rPr>
                <w:rFonts w:ascii="Aptos" w:hAnsi="Aptos"/>
              </w:rPr>
              <w:t>Response</w:t>
            </w:r>
          </w:p>
        </w:tc>
      </w:tr>
      <w:tr w:rsidR="00C73618" w:rsidRPr="00A21685" w14:paraId="5123D505"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4D7372D"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14D96A70" w14:textId="1C5E3300"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3D518C3" w14:textId="104BECF7" w:rsidR="00C73618" w:rsidRPr="00550E1F" w:rsidRDefault="00C73618" w:rsidP="0045359F">
            <w:pPr>
              <w:pStyle w:val="BodyText2"/>
              <w:rPr>
                <w:rFonts w:ascii="Aptos" w:hAnsi="Aptos"/>
              </w:rPr>
            </w:pPr>
          </w:p>
        </w:tc>
      </w:tr>
      <w:tr w:rsidR="00C73618" w:rsidRPr="00A21685" w14:paraId="57D931E0"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6AFF51C"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075B1A47"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4D0BC6DF" w14:textId="4BCE88DC" w:rsidR="00C73618" w:rsidRPr="00550E1F" w:rsidRDefault="00C73618" w:rsidP="0045359F">
            <w:pPr>
              <w:pStyle w:val="BodyText2"/>
              <w:rPr>
                <w:rFonts w:ascii="Aptos" w:hAnsi="Aptos"/>
              </w:rPr>
            </w:pPr>
          </w:p>
        </w:tc>
      </w:tr>
    </w:tbl>
    <w:p w14:paraId="50ECAEF7" w14:textId="39397B15" w:rsidR="0045359F" w:rsidRPr="00550E1F" w:rsidRDefault="006B1632" w:rsidP="006B1632">
      <w:pPr>
        <w:pStyle w:val="TableTitle2"/>
        <w:rPr>
          <w:rFonts w:ascii="Aptos" w:hAnsi="Aptos"/>
        </w:rPr>
      </w:pPr>
      <w:r w:rsidRPr="00550E1F">
        <w:rPr>
          <w:rFonts w:ascii="Aptos" w:hAnsi="Aptos"/>
        </w:rPr>
        <w:t>How does your SO provide comprehensive guidance and support to all candidates throughout their experience? How do you determine whether this is equitable and effective for all candidates, particularly those from systemically marginalized communities?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6B1632" w:rsidRPr="00A21685" w14:paraId="42FB0B76" w14:textId="77777777" w:rsidTr="00327F49">
        <w:trPr>
          <w:trHeight w:hRule="exact" w:val="288"/>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177BCB6C" w14:textId="6E7E7185" w:rsidR="006B1632" w:rsidRPr="00550E1F" w:rsidRDefault="006B1632"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6" w:space="0" w:color="000000"/>
              <w:right w:val="single" w:sz="6" w:space="0" w:color="000000"/>
            </w:tcBorders>
            <w:shd w:val="clear" w:color="auto" w:fill="8C1176"/>
          </w:tcPr>
          <w:p w14:paraId="405212DA" w14:textId="77777777" w:rsidR="006B1632" w:rsidRPr="00550E1F" w:rsidRDefault="006B1632" w:rsidP="006B1632">
            <w:pPr>
              <w:pStyle w:val="TableHeaderRow2"/>
              <w:ind w:left="72"/>
              <w:rPr>
                <w:rFonts w:ascii="Aptos" w:hAnsi="Aptos"/>
              </w:rPr>
            </w:pPr>
            <w:r w:rsidRPr="00550E1F">
              <w:rPr>
                <w:rFonts w:ascii="Aptos" w:hAnsi="Aptos"/>
              </w:rPr>
              <w:t>Response</w:t>
            </w:r>
          </w:p>
          <w:p w14:paraId="425B488C" w14:textId="486513BE" w:rsidR="006B1632" w:rsidRPr="00550E1F" w:rsidRDefault="006B1632" w:rsidP="006B1632">
            <w:pPr>
              <w:pStyle w:val="TableHeaderRow2"/>
              <w:ind w:left="72"/>
              <w:rPr>
                <w:rFonts w:ascii="Aptos" w:hAnsi="Aptos"/>
              </w:rPr>
            </w:pPr>
          </w:p>
        </w:tc>
      </w:tr>
      <w:tr w:rsidR="00C73618" w:rsidRPr="00A21685" w14:paraId="6FC2BB0A"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80E710"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33F37739" w14:textId="77E95578"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E3198E1" w14:textId="4D65448D" w:rsidR="00C73618" w:rsidRPr="00550E1F" w:rsidRDefault="00C73618" w:rsidP="0045359F">
            <w:pPr>
              <w:pStyle w:val="BodyText2"/>
              <w:rPr>
                <w:rFonts w:ascii="Aptos" w:hAnsi="Aptos"/>
              </w:rPr>
            </w:pPr>
          </w:p>
        </w:tc>
      </w:tr>
      <w:tr w:rsidR="00C73618" w:rsidRPr="00A21685" w14:paraId="141236F2"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1C8E5D87"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CA6D74A"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79E0427" w14:textId="4103ACE4" w:rsidR="00C73618" w:rsidRPr="00550E1F" w:rsidRDefault="00C73618" w:rsidP="0045359F">
            <w:pPr>
              <w:pStyle w:val="BodyText2"/>
              <w:rPr>
                <w:rFonts w:ascii="Aptos" w:hAnsi="Aptos"/>
              </w:rPr>
            </w:pPr>
          </w:p>
        </w:tc>
      </w:tr>
    </w:tbl>
    <w:p w14:paraId="05FD3064" w14:textId="6141BBC5" w:rsidR="0045359F" w:rsidRPr="00550E1F" w:rsidRDefault="00997E57" w:rsidP="009D55CD">
      <w:pPr>
        <w:pStyle w:val="TableTitle2"/>
        <w:rPr>
          <w:rFonts w:ascii="Aptos" w:hAnsi="Aptos"/>
        </w:rPr>
      </w:pPr>
      <w:r w:rsidRPr="00550E1F">
        <w:rPr>
          <w:rFonts w:ascii="Aptos" w:hAnsi="Aptos"/>
        </w:rPr>
        <w:t>How does your SO provide candidates with support to honor and value their identities and enact culturally and linguistically sustaining practices within various district and school settings?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997E57" w:rsidRPr="00A21685" w14:paraId="3D3E5777" w14:textId="77777777" w:rsidTr="00327F49">
        <w:trPr>
          <w:trHeight w:val="300"/>
          <w:tblHeader/>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794846F5" w14:textId="25FF1DD1" w:rsidR="00997E57" w:rsidRPr="00550E1F" w:rsidRDefault="00997E57" w:rsidP="009D55CD">
            <w:pPr>
              <w:pStyle w:val="TableHeaderRow2"/>
              <w:keepNext/>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3DCB59BC" w14:textId="07B6012C" w:rsidR="00997E57" w:rsidRPr="00550E1F" w:rsidRDefault="00997E57" w:rsidP="009D55CD">
            <w:pPr>
              <w:pStyle w:val="TableHeaderRow2"/>
              <w:keepNext/>
              <w:ind w:left="72"/>
              <w:rPr>
                <w:rFonts w:ascii="Aptos" w:hAnsi="Aptos"/>
              </w:rPr>
            </w:pPr>
            <w:r w:rsidRPr="00550E1F">
              <w:rPr>
                <w:rFonts w:ascii="Aptos" w:hAnsi="Aptos"/>
              </w:rPr>
              <w:t>Response</w:t>
            </w:r>
          </w:p>
        </w:tc>
      </w:tr>
      <w:tr w:rsidR="00C73618" w:rsidRPr="00A21685" w14:paraId="5FD60159"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62BD75D" w14:textId="77777777" w:rsidR="00DE329D" w:rsidRPr="00550E1F" w:rsidRDefault="00C73618" w:rsidP="009D55CD">
            <w:pPr>
              <w:pStyle w:val="BodyText2"/>
              <w:keepNext/>
              <w:spacing w:line="240" w:lineRule="auto"/>
              <w:rPr>
                <w:rFonts w:ascii="Aptos" w:hAnsi="Aptos"/>
                <w:b/>
                <w:bCs/>
              </w:rPr>
            </w:pPr>
            <w:r w:rsidRPr="00550E1F">
              <w:rPr>
                <w:rFonts w:ascii="Aptos" w:hAnsi="Aptos"/>
                <w:b/>
                <w:bCs/>
              </w:rPr>
              <w:t>Current Practices and Outcomes</w:t>
            </w:r>
          </w:p>
          <w:p w14:paraId="1BAE45BA" w14:textId="0EE73012" w:rsidR="00C73618" w:rsidRPr="00550E1F" w:rsidRDefault="00C73618" w:rsidP="009D55CD">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7B5ADB7" w14:textId="450C6E3C" w:rsidR="00C73618" w:rsidRPr="00550E1F" w:rsidRDefault="00C73618" w:rsidP="009D55CD">
            <w:pPr>
              <w:pStyle w:val="BodyText2"/>
              <w:keepNext/>
              <w:spacing w:line="240" w:lineRule="auto"/>
              <w:rPr>
                <w:rFonts w:ascii="Aptos" w:hAnsi="Aptos"/>
              </w:rPr>
            </w:pPr>
          </w:p>
        </w:tc>
      </w:tr>
      <w:tr w:rsidR="00C73618" w:rsidRPr="00A21685" w14:paraId="6CAD5B0B" w14:textId="77777777" w:rsidTr="00327F49">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FFE9231"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543B39FE"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F2C9717" w14:textId="77777777" w:rsidR="00C73618" w:rsidRPr="00550E1F" w:rsidRDefault="00C73618" w:rsidP="0045359F">
            <w:pPr>
              <w:pStyle w:val="BodyText2"/>
              <w:rPr>
                <w:rFonts w:ascii="Aptos" w:hAnsi="Aptos"/>
              </w:rPr>
            </w:pPr>
          </w:p>
        </w:tc>
      </w:tr>
    </w:tbl>
    <w:p w14:paraId="4F5B8149" w14:textId="7FB3612F" w:rsidR="005C6F0F" w:rsidRPr="00550E1F" w:rsidRDefault="005C6F0F">
      <w:pPr>
        <w:spacing w:before="0" w:after="0"/>
        <w:rPr>
          <w:rFonts w:ascii="Aptos" w:eastAsia="Libre Franklin" w:hAnsi="Aptos" w:cs="Libre Franklin"/>
          <w:color w:val="000000" w:themeColor="text1"/>
          <w:szCs w:val="21"/>
        </w:rPr>
      </w:pPr>
    </w:p>
    <w:p w14:paraId="518AA16B" w14:textId="57BED76E" w:rsidR="00C73618" w:rsidRPr="00550E1F" w:rsidRDefault="00C73618" w:rsidP="00327F49">
      <w:pPr>
        <w:pStyle w:val="Heading4"/>
        <w:rPr>
          <w:rFonts w:ascii="Aptos" w:hAnsi="Aptos"/>
        </w:rPr>
      </w:pPr>
      <w:r w:rsidRPr="00550E1F">
        <w:rPr>
          <w:rFonts w:ascii="Aptos" w:hAnsi="Aptos"/>
        </w:rPr>
        <w:t>CAN 3: The sponsoring organization identifies and provides differentiated interventions for candidates who need additional support in coursework, fieldwork, or for their social and emotional well-being, and ensures that only candidates who are prepared to be effective educators are endorsed for the licensure role.</w:t>
      </w:r>
    </w:p>
    <w:p w14:paraId="576240EF" w14:textId="58775DA3" w:rsidR="006B1632" w:rsidRPr="00550E1F" w:rsidRDefault="00997E57" w:rsidP="006B1632">
      <w:pPr>
        <w:pStyle w:val="TableTitle2"/>
        <w:rPr>
          <w:rFonts w:ascii="Aptos" w:hAnsi="Aptos"/>
        </w:rPr>
      </w:pPr>
      <w:r w:rsidRPr="00550E1F">
        <w:rPr>
          <w:rFonts w:ascii="Aptos" w:hAnsi="Aptos"/>
        </w:rPr>
        <w:t>How does your SO create systems of communication and data sharing to identify candidates that may need additional support in coursework, fieldwork, or for their social and emotional well-being</w:t>
      </w:r>
      <w:r w:rsidR="00845758" w:rsidRPr="00550E1F">
        <w:rPr>
          <w:rFonts w:ascii="Aptos" w:hAnsi="Aptos"/>
        </w:rPr>
        <w:t xml:space="preserve">? </w:t>
      </w:r>
      <w:r w:rsidRPr="00550E1F">
        <w:rPr>
          <w:rFonts w:ascii="Aptos" w:hAnsi="Aptos"/>
        </w:rPr>
        <w:t>How do you design these systems to identify and reduce bias that may contribute to inequitable identification of candidates?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997E57" w:rsidRPr="00A21685" w14:paraId="100F51F6"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32BC3272" w14:textId="76DE72AE" w:rsidR="00997E57" w:rsidRPr="00550E1F" w:rsidRDefault="00997E57"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3AF625A7" w14:textId="36CD5C3A" w:rsidR="00997E57" w:rsidRPr="00550E1F" w:rsidRDefault="00997E57" w:rsidP="00997E57">
            <w:pPr>
              <w:pStyle w:val="TableHeaderRow2"/>
              <w:ind w:left="72"/>
              <w:rPr>
                <w:rFonts w:ascii="Aptos" w:hAnsi="Aptos"/>
              </w:rPr>
            </w:pPr>
            <w:r w:rsidRPr="00550E1F">
              <w:rPr>
                <w:rFonts w:ascii="Aptos" w:hAnsi="Aptos"/>
              </w:rPr>
              <w:t>Response</w:t>
            </w:r>
          </w:p>
        </w:tc>
      </w:tr>
      <w:tr w:rsidR="00C73618" w:rsidRPr="00A21685" w14:paraId="2FA6340C" w14:textId="77777777" w:rsidTr="00327F4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36C7F920" w14:textId="6AF1E6CB" w:rsidR="00C73618" w:rsidRPr="00550E1F" w:rsidRDefault="00C73618" w:rsidP="0045359F">
            <w:pPr>
              <w:pStyle w:val="BodyText2"/>
              <w:rPr>
                <w:rFonts w:ascii="Aptos" w:hAnsi="Aptos"/>
                <w:b/>
                <w:bCs/>
              </w:rPr>
            </w:pPr>
            <w:r w:rsidRPr="00550E1F">
              <w:rPr>
                <w:rFonts w:ascii="Aptos" w:hAnsi="Aptos"/>
                <w:b/>
                <w:bCs/>
              </w:rPr>
              <w:t>Current Practices and Outcomes</w:t>
            </w:r>
          </w:p>
          <w:p w14:paraId="30AD014A" w14:textId="77777777"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817445A" w14:textId="08EDD19C" w:rsidR="00C73618" w:rsidRPr="00550E1F" w:rsidRDefault="00C73618" w:rsidP="0045359F">
            <w:pPr>
              <w:pStyle w:val="BodyText2"/>
              <w:rPr>
                <w:rFonts w:ascii="Aptos" w:hAnsi="Aptos"/>
              </w:rPr>
            </w:pPr>
          </w:p>
        </w:tc>
      </w:tr>
      <w:tr w:rsidR="00C73618" w:rsidRPr="00A21685" w14:paraId="1E1E6A2D"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162773DF"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0294FEBE"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8FD7280" w14:textId="268F1109" w:rsidR="00C73618" w:rsidRPr="00550E1F" w:rsidRDefault="00C73618" w:rsidP="0045359F">
            <w:pPr>
              <w:pStyle w:val="BodyText2"/>
              <w:rPr>
                <w:rFonts w:ascii="Aptos" w:hAnsi="Aptos"/>
              </w:rPr>
            </w:pPr>
          </w:p>
        </w:tc>
      </w:tr>
    </w:tbl>
    <w:p w14:paraId="2C26C5B1" w14:textId="11A638FF" w:rsidR="0045359F" w:rsidRPr="00550E1F" w:rsidRDefault="001862D6" w:rsidP="006B1632">
      <w:pPr>
        <w:pStyle w:val="TableTitle2"/>
        <w:rPr>
          <w:rFonts w:ascii="Aptos" w:hAnsi="Aptos"/>
        </w:rPr>
      </w:pPr>
      <w:r w:rsidRPr="00550E1F">
        <w:rPr>
          <w:rFonts w:ascii="Aptos" w:hAnsi="Aptos"/>
        </w:rPr>
        <w:t>How does your SO model and provide opportunities for reflection, self-advocacy, and goal-setting for candidates that need additional supports, particularly candidates from systemically marginalized communities?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1862D6" w:rsidRPr="00A21685" w14:paraId="5EC145A1"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61350AB4" w14:textId="0546DBF3" w:rsidR="001862D6" w:rsidRPr="00550E1F" w:rsidRDefault="001862D6"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4" w:space="0" w:color="000000"/>
              <w:right w:val="single" w:sz="6" w:space="0" w:color="000000"/>
            </w:tcBorders>
            <w:shd w:val="clear" w:color="auto" w:fill="8C1176"/>
          </w:tcPr>
          <w:p w14:paraId="0786F067" w14:textId="338C7EA7" w:rsidR="001862D6" w:rsidRPr="00550E1F" w:rsidRDefault="001862D6" w:rsidP="001862D6">
            <w:pPr>
              <w:pStyle w:val="TableHeaderRow2"/>
              <w:ind w:left="72"/>
              <w:rPr>
                <w:rFonts w:ascii="Aptos" w:hAnsi="Aptos"/>
              </w:rPr>
            </w:pPr>
            <w:r w:rsidRPr="00550E1F">
              <w:rPr>
                <w:rFonts w:ascii="Aptos" w:hAnsi="Aptos"/>
              </w:rPr>
              <w:t>Response</w:t>
            </w:r>
          </w:p>
        </w:tc>
      </w:tr>
      <w:tr w:rsidR="00C73618" w:rsidRPr="00A21685" w14:paraId="7FB24E2E"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370BA87A"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379923C1" w14:textId="14E52D68"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08FD7D08" w14:textId="598D450F" w:rsidR="00C73618" w:rsidRPr="00550E1F" w:rsidRDefault="00C73618" w:rsidP="0045359F">
            <w:pPr>
              <w:pStyle w:val="BodyText2"/>
              <w:rPr>
                <w:rFonts w:ascii="Aptos" w:hAnsi="Aptos"/>
              </w:rPr>
            </w:pPr>
          </w:p>
        </w:tc>
      </w:tr>
      <w:tr w:rsidR="00C73618" w:rsidRPr="00A21685" w14:paraId="5E99C987" w14:textId="77777777" w:rsidTr="00327F4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766E3657"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7D279CB7"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73B41515" w14:textId="1B9F3288" w:rsidR="00C73618" w:rsidRPr="00550E1F" w:rsidRDefault="00C73618" w:rsidP="0045359F">
            <w:pPr>
              <w:pStyle w:val="BodyText2"/>
              <w:rPr>
                <w:rFonts w:ascii="Aptos" w:hAnsi="Aptos"/>
              </w:rPr>
            </w:pPr>
          </w:p>
        </w:tc>
      </w:tr>
    </w:tbl>
    <w:p w14:paraId="221B3952" w14:textId="57EA3966" w:rsidR="0045359F" w:rsidRPr="00550E1F" w:rsidRDefault="001862D6" w:rsidP="006B1632">
      <w:pPr>
        <w:pStyle w:val="TableTitle2"/>
        <w:rPr>
          <w:rFonts w:ascii="Aptos" w:hAnsi="Aptos"/>
        </w:rPr>
      </w:pPr>
      <w:r w:rsidRPr="00550E1F">
        <w:rPr>
          <w:rFonts w:ascii="Aptos" w:hAnsi="Aptos"/>
        </w:rPr>
        <w:t>How does your SO provide a multi-tiered system of supports for candidates in coursework?</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1862D6" w:rsidRPr="00A21685" w14:paraId="151536F4" w14:textId="77777777" w:rsidTr="00327F49">
        <w:trPr>
          <w:trHeight w:val="285"/>
          <w:tblHeader/>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25B191CF" w14:textId="37C9B211" w:rsidR="001862D6" w:rsidRPr="00550E1F" w:rsidRDefault="001862D6" w:rsidP="00705DBE">
            <w:pPr>
              <w:pStyle w:val="TableHeaderRow2"/>
              <w:rPr>
                <w:rFonts w:ascii="Aptos" w:hAnsi="Aptos"/>
              </w:rPr>
            </w:pPr>
            <w:r w:rsidRPr="00550E1F">
              <w:rPr>
                <w:rFonts w:ascii="Aptos" w:hAnsi="Aptos"/>
              </w:rPr>
              <w:t>Question</w:t>
            </w:r>
          </w:p>
        </w:tc>
        <w:tc>
          <w:tcPr>
            <w:tcW w:w="8909" w:type="dxa"/>
            <w:tcBorders>
              <w:top w:val="single" w:sz="4" w:space="0" w:color="000000"/>
              <w:left w:val="single" w:sz="6" w:space="0" w:color="000000"/>
              <w:bottom w:val="single" w:sz="6" w:space="0" w:color="000000"/>
              <w:right w:val="single" w:sz="6" w:space="0" w:color="000000"/>
            </w:tcBorders>
            <w:shd w:val="clear" w:color="auto" w:fill="8C1176"/>
          </w:tcPr>
          <w:p w14:paraId="2831AF0C" w14:textId="2780CB73" w:rsidR="001862D6" w:rsidRPr="00550E1F" w:rsidRDefault="001862D6" w:rsidP="001862D6">
            <w:pPr>
              <w:pStyle w:val="TableHeaderRow2"/>
              <w:ind w:left="72"/>
              <w:rPr>
                <w:rFonts w:ascii="Aptos" w:hAnsi="Aptos"/>
              </w:rPr>
            </w:pPr>
            <w:r w:rsidRPr="00550E1F">
              <w:rPr>
                <w:rFonts w:ascii="Aptos" w:hAnsi="Aptos"/>
              </w:rPr>
              <w:t>Response</w:t>
            </w:r>
          </w:p>
        </w:tc>
      </w:tr>
      <w:tr w:rsidR="00C73618" w:rsidRPr="00A21685" w14:paraId="7A5ECB83" w14:textId="77777777" w:rsidTr="00327F49">
        <w:trPr>
          <w:trHeight w:val="285"/>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8D7EDCC"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69E9EF14" w14:textId="46DA8973"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E85B432" w14:textId="45625C54" w:rsidR="00C73618" w:rsidRPr="00550E1F" w:rsidRDefault="00C73618" w:rsidP="0045359F">
            <w:pPr>
              <w:pStyle w:val="BodyText2"/>
              <w:rPr>
                <w:rFonts w:ascii="Aptos" w:hAnsi="Aptos"/>
              </w:rPr>
            </w:pPr>
          </w:p>
        </w:tc>
      </w:tr>
      <w:tr w:rsidR="00C73618" w:rsidRPr="00A21685" w14:paraId="0844C1CA" w14:textId="77777777" w:rsidTr="00327F49">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1B24944"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FB1861A"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8726976" w14:textId="697CE2F2" w:rsidR="00C73618" w:rsidRPr="00550E1F" w:rsidRDefault="00C73618" w:rsidP="0045359F">
            <w:pPr>
              <w:pStyle w:val="BodyText2"/>
              <w:rPr>
                <w:rFonts w:ascii="Aptos" w:hAnsi="Aptos"/>
              </w:rPr>
            </w:pPr>
          </w:p>
        </w:tc>
      </w:tr>
    </w:tbl>
    <w:p w14:paraId="47317B77" w14:textId="4C4DB601" w:rsidR="0045359F" w:rsidRPr="00550E1F" w:rsidRDefault="005762F2" w:rsidP="006B1632">
      <w:pPr>
        <w:pStyle w:val="TableTitle2"/>
        <w:rPr>
          <w:rFonts w:ascii="Aptos" w:hAnsi="Aptos"/>
        </w:rPr>
      </w:pPr>
      <w:r w:rsidRPr="00550E1F">
        <w:rPr>
          <w:rFonts w:ascii="Aptos" w:hAnsi="Aptos"/>
        </w:rPr>
        <w:t>How does your SO provide a multi-tiered system of supports for candidates in pre-practicum and practicum?</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5762F2" w:rsidRPr="00A21685" w14:paraId="434CFE7A"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3C873DA8" w14:textId="49A38805" w:rsidR="005762F2" w:rsidRPr="00550E1F" w:rsidRDefault="005762F2"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1CC16BB0" w14:textId="2E442BDD" w:rsidR="005762F2" w:rsidRPr="00550E1F" w:rsidRDefault="005762F2" w:rsidP="005762F2">
            <w:pPr>
              <w:pStyle w:val="TableHeaderRow2"/>
              <w:ind w:left="72"/>
              <w:rPr>
                <w:rFonts w:ascii="Aptos" w:hAnsi="Aptos"/>
              </w:rPr>
            </w:pPr>
            <w:r w:rsidRPr="00550E1F">
              <w:rPr>
                <w:rFonts w:ascii="Aptos" w:hAnsi="Aptos"/>
              </w:rPr>
              <w:t>Response</w:t>
            </w:r>
          </w:p>
        </w:tc>
      </w:tr>
      <w:tr w:rsidR="00C73618" w:rsidRPr="00A21685" w14:paraId="1C6D3878"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9BA2498"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7BCB695B" w14:textId="5C01BCF0"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595BC7F" w14:textId="771B5559" w:rsidR="00C73618" w:rsidRPr="00550E1F" w:rsidRDefault="00C73618" w:rsidP="0045359F">
            <w:pPr>
              <w:pStyle w:val="BodyText2"/>
              <w:rPr>
                <w:rFonts w:ascii="Aptos" w:hAnsi="Aptos"/>
              </w:rPr>
            </w:pPr>
          </w:p>
        </w:tc>
      </w:tr>
      <w:tr w:rsidR="00C73618" w:rsidRPr="00A21685" w14:paraId="0F2C3576"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51C0F63"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08720DB"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B044DDF" w14:textId="77777777" w:rsidR="00C73618" w:rsidRPr="00550E1F" w:rsidRDefault="00C73618" w:rsidP="0045359F">
            <w:pPr>
              <w:pStyle w:val="BodyText2"/>
              <w:rPr>
                <w:rFonts w:ascii="Aptos" w:hAnsi="Aptos"/>
              </w:rPr>
            </w:pPr>
          </w:p>
        </w:tc>
      </w:tr>
    </w:tbl>
    <w:p w14:paraId="7E1C40FF" w14:textId="5D7FA042" w:rsidR="0045359F" w:rsidRPr="00550E1F" w:rsidRDefault="005762F2" w:rsidP="006B1632">
      <w:pPr>
        <w:pStyle w:val="TableTitle2"/>
        <w:rPr>
          <w:rFonts w:ascii="Aptos" w:hAnsi="Aptos"/>
        </w:rPr>
      </w:pPr>
      <w:r w:rsidRPr="00550E1F">
        <w:rPr>
          <w:rFonts w:ascii="Aptos" w:hAnsi="Aptos"/>
        </w:rPr>
        <w:t>How does your SO measure improvement for candidates receiving differentiated supports? What culturally responsive and anti-racist structures and systems are used if, despite receiving differentiated supports, a candidate does not make the necessary improvements?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5762F2" w:rsidRPr="00A21685" w14:paraId="73A7AA25"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tcPr>
          <w:p w14:paraId="1E3B03F8" w14:textId="42E3B6D3" w:rsidR="005762F2" w:rsidRPr="00550E1F" w:rsidRDefault="005762F2" w:rsidP="00705DBE">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1212BB49" w14:textId="003BEBA9" w:rsidR="005762F2" w:rsidRPr="00550E1F" w:rsidRDefault="005762F2" w:rsidP="005762F2">
            <w:pPr>
              <w:pStyle w:val="TableHeaderRow2"/>
              <w:ind w:left="72"/>
              <w:rPr>
                <w:rFonts w:ascii="Aptos" w:hAnsi="Aptos"/>
              </w:rPr>
            </w:pPr>
            <w:r w:rsidRPr="00550E1F">
              <w:rPr>
                <w:rFonts w:ascii="Aptos" w:hAnsi="Aptos"/>
              </w:rPr>
              <w:t>Response</w:t>
            </w:r>
          </w:p>
        </w:tc>
      </w:tr>
      <w:tr w:rsidR="00C73618" w:rsidRPr="00A21685" w14:paraId="1A97011C"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B5DE938" w14:textId="77777777" w:rsidR="00DE329D" w:rsidRPr="00550E1F" w:rsidRDefault="00C73618" w:rsidP="0045359F">
            <w:pPr>
              <w:pStyle w:val="BodyText2"/>
              <w:rPr>
                <w:rFonts w:ascii="Aptos" w:hAnsi="Aptos"/>
                <w:b/>
                <w:bCs/>
              </w:rPr>
            </w:pPr>
            <w:r w:rsidRPr="00550E1F">
              <w:rPr>
                <w:rFonts w:ascii="Aptos" w:hAnsi="Aptos"/>
                <w:b/>
                <w:bCs/>
              </w:rPr>
              <w:t>Current Practices and Outcomes</w:t>
            </w:r>
          </w:p>
          <w:p w14:paraId="02374A5A" w14:textId="6D644953"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E2C0A62" w14:textId="6EA625B3" w:rsidR="00C73618" w:rsidRPr="00550E1F" w:rsidRDefault="00C73618" w:rsidP="0045359F">
            <w:pPr>
              <w:pStyle w:val="BodyText2"/>
              <w:rPr>
                <w:rFonts w:ascii="Aptos" w:hAnsi="Aptos"/>
              </w:rPr>
            </w:pPr>
          </w:p>
        </w:tc>
      </w:tr>
      <w:tr w:rsidR="00C73618" w:rsidRPr="00A21685" w14:paraId="3A6217B8"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E125FCC"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1F1D9AC"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63856AE" w14:textId="77777777" w:rsidR="00C73618" w:rsidRPr="00550E1F" w:rsidRDefault="00C73618" w:rsidP="0045359F">
            <w:pPr>
              <w:pStyle w:val="BodyText2"/>
              <w:rPr>
                <w:rFonts w:ascii="Aptos" w:hAnsi="Aptos"/>
              </w:rPr>
            </w:pPr>
          </w:p>
        </w:tc>
      </w:tr>
    </w:tbl>
    <w:p w14:paraId="72A700D6" w14:textId="38B191C1" w:rsidR="0045359F" w:rsidRPr="00550E1F" w:rsidRDefault="005762F2" w:rsidP="009D55CD">
      <w:pPr>
        <w:pStyle w:val="TableTitle2"/>
        <w:rPr>
          <w:rFonts w:ascii="Aptos" w:hAnsi="Aptos"/>
        </w:rPr>
      </w:pPr>
      <w:r w:rsidRPr="00550E1F">
        <w:rPr>
          <w:rFonts w:ascii="Aptos" w:hAnsi="Aptos"/>
        </w:rPr>
        <w:t>What biases contribute to inequitable experiences or outcomes for candidates? How do you design structures to support and monitor candidates that reduce these biases?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5762F2" w:rsidRPr="00A21685" w14:paraId="7088668A" w14:textId="77777777" w:rsidTr="00327F4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05412875" w14:textId="43CB2B86" w:rsidR="005762F2" w:rsidRPr="00550E1F" w:rsidRDefault="005762F2" w:rsidP="009D55CD">
            <w:pPr>
              <w:pStyle w:val="TableHeaderRow2"/>
              <w:keepNext/>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636D3B4A" w14:textId="06EC14EF" w:rsidR="005762F2" w:rsidRPr="00550E1F" w:rsidRDefault="005762F2" w:rsidP="009D55CD">
            <w:pPr>
              <w:pStyle w:val="TableHeaderRow2"/>
              <w:keepNext/>
              <w:ind w:left="72"/>
              <w:rPr>
                <w:rFonts w:ascii="Aptos" w:hAnsi="Aptos"/>
              </w:rPr>
            </w:pPr>
            <w:r w:rsidRPr="00550E1F">
              <w:rPr>
                <w:rFonts w:ascii="Aptos" w:hAnsi="Aptos"/>
              </w:rPr>
              <w:t>Response</w:t>
            </w:r>
          </w:p>
        </w:tc>
      </w:tr>
      <w:tr w:rsidR="00C73618" w:rsidRPr="00A21685" w14:paraId="513E0489" w14:textId="77777777" w:rsidTr="00327F49">
        <w:trPr>
          <w:trHeight w:val="864"/>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CAEC76C" w14:textId="77777777" w:rsidR="00DE329D" w:rsidRPr="00550E1F" w:rsidRDefault="00C73618" w:rsidP="009D55CD">
            <w:pPr>
              <w:pStyle w:val="BodyText2"/>
              <w:keepNext/>
              <w:spacing w:line="240" w:lineRule="auto"/>
              <w:rPr>
                <w:rFonts w:ascii="Aptos" w:hAnsi="Aptos"/>
                <w:b/>
                <w:bCs/>
              </w:rPr>
            </w:pPr>
            <w:r w:rsidRPr="00550E1F">
              <w:rPr>
                <w:rFonts w:ascii="Aptos" w:hAnsi="Aptos"/>
                <w:b/>
                <w:bCs/>
              </w:rPr>
              <w:t>Current Practices and Outcomes</w:t>
            </w:r>
          </w:p>
          <w:p w14:paraId="3BD2A21C" w14:textId="5E173DE8" w:rsidR="00C73618" w:rsidRPr="00550E1F" w:rsidRDefault="00C73618" w:rsidP="009D55CD">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AA1EE41" w14:textId="77777777" w:rsidR="00C73618" w:rsidRPr="00550E1F" w:rsidRDefault="00C73618" w:rsidP="009D55CD">
            <w:pPr>
              <w:pStyle w:val="BodyText2"/>
              <w:keepNext/>
              <w:spacing w:line="240" w:lineRule="auto"/>
              <w:rPr>
                <w:rFonts w:ascii="Aptos" w:hAnsi="Aptos"/>
              </w:rPr>
            </w:pPr>
          </w:p>
        </w:tc>
      </w:tr>
      <w:tr w:rsidR="00C73618" w:rsidRPr="00A21685" w14:paraId="1F22D991" w14:textId="77777777" w:rsidTr="00327F49">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340DC34"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7A4C87F6"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508D6BC" w14:textId="77777777" w:rsidR="00C73618" w:rsidRPr="00550E1F" w:rsidRDefault="00C73618" w:rsidP="0045359F">
            <w:pPr>
              <w:pStyle w:val="BodyText2"/>
              <w:rPr>
                <w:rFonts w:ascii="Aptos" w:hAnsi="Aptos"/>
              </w:rPr>
            </w:pPr>
          </w:p>
        </w:tc>
      </w:tr>
    </w:tbl>
    <w:p w14:paraId="1231014F" w14:textId="4918F81F" w:rsidR="00C30039" w:rsidRPr="00550E1F" w:rsidRDefault="00C30039" w:rsidP="00C30039">
      <w:pPr>
        <w:pStyle w:val="Heading4"/>
        <w:rPr>
          <w:rFonts w:ascii="Aptos" w:hAnsi="Aptos"/>
        </w:rPr>
      </w:pPr>
      <w:r w:rsidRPr="00550E1F">
        <w:rPr>
          <w:rFonts w:ascii="Aptos" w:hAnsi="Aptos"/>
        </w:rPr>
        <w:t xml:space="preserve">CAN 4: </w:t>
      </w:r>
      <w:r w:rsidR="00416312" w:rsidRPr="00550E1F">
        <w:rPr>
          <w:rFonts w:ascii="Aptos" w:hAnsi="Aptos"/>
        </w:rPr>
        <w:t>The sponsoring organization’s waiver policy is applied equitably across programs and candidates and ensures that academic and professional standards of the licensure role are met.</w:t>
      </w:r>
    </w:p>
    <w:p w14:paraId="798B1DA8" w14:textId="4B7A780A" w:rsidR="00416312" w:rsidRPr="00550E1F" w:rsidRDefault="00416312" w:rsidP="00416312">
      <w:pPr>
        <w:pStyle w:val="TableTitle2"/>
        <w:rPr>
          <w:rFonts w:ascii="Aptos" w:hAnsi="Aptos"/>
        </w:rPr>
      </w:pPr>
      <w:r w:rsidRPr="00550E1F">
        <w:rPr>
          <w:rFonts w:ascii="Aptos" w:hAnsi="Aptos"/>
        </w:rPr>
        <w:t>How does your SO communicate its waiver policy to current or prospective candidates?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416312" w:rsidRPr="00A21685" w14:paraId="2048E2E0" w14:textId="77777777">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68FD9F9A" w14:textId="77777777" w:rsidR="00416312" w:rsidRPr="00550E1F" w:rsidRDefault="00416312">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64E0D499" w14:textId="77777777" w:rsidR="00416312" w:rsidRPr="00550E1F" w:rsidRDefault="00416312">
            <w:pPr>
              <w:pStyle w:val="TableHeaderRow2"/>
              <w:ind w:left="72"/>
              <w:rPr>
                <w:rFonts w:ascii="Aptos" w:hAnsi="Aptos"/>
              </w:rPr>
            </w:pPr>
            <w:r w:rsidRPr="00550E1F">
              <w:rPr>
                <w:rFonts w:ascii="Aptos" w:hAnsi="Aptos"/>
              </w:rPr>
              <w:t>Response</w:t>
            </w:r>
          </w:p>
        </w:tc>
      </w:tr>
      <w:tr w:rsidR="00416312" w:rsidRPr="00A21685" w14:paraId="23C2285E" w14:textId="77777777">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734776E" w14:textId="77777777" w:rsidR="00416312" w:rsidRPr="00550E1F" w:rsidRDefault="00416312">
            <w:pPr>
              <w:pStyle w:val="BodyText2"/>
              <w:rPr>
                <w:rFonts w:ascii="Aptos" w:hAnsi="Aptos"/>
                <w:b/>
                <w:bCs/>
              </w:rPr>
            </w:pPr>
            <w:r w:rsidRPr="00550E1F">
              <w:rPr>
                <w:rFonts w:ascii="Aptos" w:hAnsi="Aptos"/>
                <w:b/>
                <w:bCs/>
              </w:rPr>
              <w:t>Current Practices and Outcomes</w:t>
            </w:r>
          </w:p>
          <w:p w14:paraId="22D67873" w14:textId="77777777" w:rsidR="00416312" w:rsidRPr="00550E1F" w:rsidRDefault="00416312">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8D7A42E" w14:textId="77777777" w:rsidR="00416312" w:rsidRPr="00550E1F" w:rsidRDefault="00416312">
            <w:pPr>
              <w:pStyle w:val="BodyText2"/>
              <w:rPr>
                <w:rFonts w:ascii="Aptos" w:hAnsi="Aptos"/>
              </w:rPr>
            </w:pPr>
          </w:p>
        </w:tc>
      </w:tr>
      <w:tr w:rsidR="00416312" w:rsidRPr="00A21685" w14:paraId="3D96CA11" w14:textId="77777777">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A9365B4" w14:textId="77777777" w:rsidR="00416312" w:rsidRPr="00550E1F" w:rsidRDefault="00416312">
            <w:pPr>
              <w:pStyle w:val="BodyText2"/>
              <w:rPr>
                <w:rFonts w:ascii="Aptos" w:hAnsi="Aptos"/>
                <w:b/>
                <w:bCs/>
              </w:rPr>
            </w:pPr>
            <w:r w:rsidRPr="00550E1F">
              <w:rPr>
                <w:rFonts w:ascii="Aptos" w:hAnsi="Aptos"/>
                <w:b/>
                <w:bCs/>
              </w:rPr>
              <w:t>Areas for Growth and Future Outcomes</w:t>
            </w:r>
          </w:p>
          <w:p w14:paraId="33B19623" w14:textId="77777777" w:rsidR="00416312" w:rsidRPr="00550E1F" w:rsidRDefault="00416312">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ED99E32" w14:textId="77777777" w:rsidR="00416312" w:rsidRPr="00550E1F" w:rsidRDefault="00416312">
            <w:pPr>
              <w:pStyle w:val="BodyText2"/>
              <w:rPr>
                <w:rFonts w:ascii="Aptos" w:hAnsi="Aptos"/>
              </w:rPr>
            </w:pPr>
          </w:p>
        </w:tc>
      </w:tr>
    </w:tbl>
    <w:p w14:paraId="5CD2C936" w14:textId="2DBACBF8" w:rsidR="00416312" w:rsidRPr="00550E1F" w:rsidRDefault="00416312" w:rsidP="00416312">
      <w:pPr>
        <w:pStyle w:val="TableTitle2"/>
        <w:rPr>
          <w:rFonts w:ascii="Aptos" w:hAnsi="Aptos"/>
        </w:rPr>
      </w:pPr>
      <w:r w:rsidRPr="00550E1F">
        <w:rPr>
          <w:rFonts w:ascii="Aptos" w:hAnsi="Aptos"/>
        </w:rPr>
        <w:t xml:space="preserve">Who participates in </w:t>
      </w:r>
      <w:r w:rsidR="006F6E2D" w:rsidRPr="00550E1F">
        <w:rPr>
          <w:rFonts w:ascii="Aptos" w:hAnsi="Aptos"/>
        </w:rPr>
        <w:t>de</w:t>
      </w:r>
      <w:r w:rsidR="00EC49AD" w:rsidRPr="00550E1F">
        <w:rPr>
          <w:rFonts w:ascii="Aptos" w:hAnsi="Aptos"/>
        </w:rPr>
        <w:t xml:space="preserve">termining whether a waiver </w:t>
      </w:r>
      <w:r w:rsidR="005817E8" w:rsidRPr="00550E1F">
        <w:rPr>
          <w:rFonts w:ascii="Aptos" w:hAnsi="Aptos"/>
        </w:rPr>
        <w:t>will be granted?</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416312" w:rsidRPr="00A21685" w14:paraId="129F46ED" w14:textId="77777777">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tcPr>
          <w:p w14:paraId="1D7E110F" w14:textId="77777777" w:rsidR="00416312" w:rsidRPr="00550E1F" w:rsidRDefault="00416312">
            <w:pPr>
              <w:pStyle w:val="TableHeaderRow2"/>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08612A45" w14:textId="77777777" w:rsidR="00416312" w:rsidRPr="00550E1F" w:rsidRDefault="00416312">
            <w:pPr>
              <w:pStyle w:val="TableHeaderRow2"/>
              <w:ind w:left="72"/>
              <w:rPr>
                <w:rFonts w:ascii="Aptos" w:hAnsi="Aptos"/>
              </w:rPr>
            </w:pPr>
            <w:r w:rsidRPr="00550E1F">
              <w:rPr>
                <w:rFonts w:ascii="Aptos" w:hAnsi="Aptos"/>
              </w:rPr>
              <w:t>Response</w:t>
            </w:r>
          </w:p>
        </w:tc>
      </w:tr>
      <w:tr w:rsidR="00416312" w:rsidRPr="00A21685" w14:paraId="59EEA081" w14:textId="77777777">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370ABDF" w14:textId="77777777" w:rsidR="00416312" w:rsidRPr="00550E1F" w:rsidRDefault="00416312">
            <w:pPr>
              <w:pStyle w:val="BodyText2"/>
              <w:rPr>
                <w:rFonts w:ascii="Aptos" w:hAnsi="Aptos"/>
                <w:b/>
                <w:bCs/>
              </w:rPr>
            </w:pPr>
            <w:r w:rsidRPr="00550E1F">
              <w:rPr>
                <w:rFonts w:ascii="Aptos" w:hAnsi="Aptos"/>
                <w:b/>
                <w:bCs/>
              </w:rPr>
              <w:t>Current Practices and Outcomes</w:t>
            </w:r>
          </w:p>
          <w:p w14:paraId="147E3F37" w14:textId="77777777" w:rsidR="00416312" w:rsidRPr="00550E1F" w:rsidRDefault="00416312">
            <w:pPr>
              <w:pStyle w:val="BodyText2"/>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A4BD31B" w14:textId="77777777" w:rsidR="00416312" w:rsidRPr="00550E1F" w:rsidRDefault="00416312">
            <w:pPr>
              <w:pStyle w:val="BodyText2"/>
              <w:rPr>
                <w:rFonts w:ascii="Aptos" w:hAnsi="Aptos"/>
              </w:rPr>
            </w:pPr>
          </w:p>
        </w:tc>
      </w:tr>
      <w:tr w:rsidR="00416312" w:rsidRPr="00A21685" w14:paraId="5AEADD01" w14:textId="77777777">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2904BB5" w14:textId="77777777" w:rsidR="00416312" w:rsidRPr="00550E1F" w:rsidRDefault="00416312">
            <w:pPr>
              <w:pStyle w:val="BodyText2"/>
              <w:rPr>
                <w:rFonts w:ascii="Aptos" w:hAnsi="Aptos"/>
                <w:b/>
                <w:bCs/>
              </w:rPr>
            </w:pPr>
            <w:r w:rsidRPr="00550E1F">
              <w:rPr>
                <w:rFonts w:ascii="Aptos" w:hAnsi="Aptos"/>
                <w:b/>
                <w:bCs/>
              </w:rPr>
              <w:t>Areas for Growth and Future Outcomes</w:t>
            </w:r>
          </w:p>
          <w:p w14:paraId="64B5263C" w14:textId="77777777" w:rsidR="00416312" w:rsidRPr="00550E1F" w:rsidRDefault="00416312">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488B094" w14:textId="77777777" w:rsidR="00416312" w:rsidRPr="00550E1F" w:rsidRDefault="00416312">
            <w:pPr>
              <w:pStyle w:val="BodyText2"/>
              <w:rPr>
                <w:rFonts w:ascii="Aptos" w:hAnsi="Aptos"/>
              </w:rPr>
            </w:pPr>
          </w:p>
        </w:tc>
      </w:tr>
    </w:tbl>
    <w:p w14:paraId="7F2D54E3" w14:textId="6538437C" w:rsidR="00416312" w:rsidRPr="00550E1F" w:rsidRDefault="00416312" w:rsidP="00416312">
      <w:pPr>
        <w:pStyle w:val="TableTitle2"/>
        <w:rPr>
          <w:rFonts w:ascii="Aptos" w:hAnsi="Aptos"/>
        </w:rPr>
      </w:pPr>
      <w:r w:rsidRPr="00550E1F">
        <w:rPr>
          <w:rFonts w:ascii="Aptos" w:hAnsi="Aptos"/>
        </w:rPr>
        <w:t xml:space="preserve">What biases contribute to inequitable </w:t>
      </w:r>
      <w:r w:rsidR="00307D6A" w:rsidRPr="00550E1F">
        <w:rPr>
          <w:rFonts w:ascii="Aptos" w:hAnsi="Aptos"/>
        </w:rPr>
        <w:t xml:space="preserve">access, </w:t>
      </w:r>
      <w:r w:rsidRPr="00550E1F">
        <w:rPr>
          <w:rFonts w:ascii="Aptos" w:hAnsi="Aptos"/>
        </w:rPr>
        <w:t>experiences</w:t>
      </w:r>
      <w:r w:rsidR="00307D6A" w:rsidRPr="00550E1F">
        <w:rPr>
          <w:rFonts w:ascii="Aptos" w:hAnsi="Aptos"/>
        </w:rPr>
        <w:t>,</w:t>
      </w:r>
      <w:r w:rsidRPr="00550E1F">
        <w:rPr>
          <w:rFonts w:ascii="Aptos" w:hAnsi="Aptos"/>
        </w:rPr>
        <w:t xml:space="preserve"> or outcomes for candidates</w:t>
      </w:r>
      <w:r w:rsidR="00307D6A" w:rsidRPr="00550E1F">
        <w:rPr>
          <w:rFonts w:ascii="Aptos" w:hAnsi="Aptos"/>
        </w:rPr>
        <w:t xml:space="preserve"> who may be eligible for a waiver</w:t>
      </w:r>
      <w:r w:rsidRPr="00550E1F">
        <w:rPr>
          <w:rFonts w:ascii="Aptos" w:hAnsi="Aptos"/>
        </w:rPr>
        <w:t xml:space="preserve">? How do you design </w:t>
      </w:r>
      <w:r w:rsidR="00307D6A" w:rsidRPr="00550E1F">
        <w:rPr>
          <w:rFonts w:ascii="Aptos" w:hAnsi="Aptos"/>
        </w:rPr>
        <w:t xml:space="preserve">waiver policies, systems, and </w:t>
      </w:r>
      <w:r w:rsidRPr="00550E1F">
        <w:rPr>
          <w:rFonts w:ascii="Aptos" w:hAnsi="Aptos"/>
        </w:rPr>
        <w:t>structures that reduce these biases?</w:t>
      </w:r>
    </w:p>
    <w:tbl>
      <w:tblPr>
        <w:tblW w:w="14122" w:type="dxa"/>
        <w:tblCellMar>
          <w:top w:w="15" w:type="dxa"/>
          <w:left w:w="15" w:type="dxa"/>
          <w:bottom w:w="15" w:type="dxa"/>
          <w:right w:w="15" w:type="dxa"/>
        </w:tblCellMar>
        <w:tblLook w:val="04A0" w:firstRow="1" w:lastRow="0" w:firstColumn="1" w:lastColumn="0" w:noHBand="0" w:noVBand="1"/>
      </w:tblPr>
      <w:tblGrid>
        <w:gridCol w:w="5213"/>
        <w:gridCol w:w="8909"/>
      </w:tblGrid>
      <w:tr w:rsidR="00416312" w:rsidRPr="00A21685" w14:paraId="7BA2E8FC" w14:textId="77777777">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091E8D64" w14:textId="77777777" w:rsidR="00416312" w:rsidRPr="00550E1F" w:rsidRDefault="00416312">
            <w:pPr>
              <w:pStyle w:val="TableHeaderRow2"/>
              <w:keepNext/>
              <w:rPr>
                <w:rFonts w:ascii="Aptos" w:hAnsi="Aptos"/>
              </w:rPr>
            </w:pPr>
            <w:r w:rsidRPr="00550E1F">
              <w:rPr>
                <w:rFonts w:ascii="Aptos" w:hAnsi="Aptos"/>
              </w:rPr>
              <w:t>Question</w:t>
            </w:r>
          </w:p>
        </w:tc>
        <w:tc>
          <w:tcPr>
            <w:tcW w:w="8909" w:type="dxa"/>
            <w:tcBorders>
              <w:top w:val="single" w:sz="6" w:space="0" w:color="000000"/>
              <w:left w:val="single" w:sz="6" w:space="0" w:color="000000"/>
              <w:bottom w:val="single" w:sz="6" w:space="0" w:color="000000"/>
              <w:right w:val="single" w:sz="6" w:space="0" w:color="000000"/>
            </w:tcBorders>
            <w:shd w:val="clear" w:color="auto" w:fill="8C1176"/>
          </w:tcPr>
          <w:p w14:paraId="7422F1CB" w14:textId="77777777" w:rsidR="00416312" w:rsidRPr="00550E1F" w:rsidRDefault="00416312">
            <w:pPr>
              <w:pStyle w:val="TableHeaderRow2"/>
              <w:keepNext/>
              <w:ind w:left="72"/>
              <w:rPr>
                <w:rFonts w:ascii="Aptos" w:hAnsi="Aptos"/>
              </w:rPr>
            </w:pPr>
            <w:r w:rsidRPr="00550E1F">
              <w:rPr>
                <w:rFonts w:ascii="Aptos" w:hAnsi="Aptos"/>
              </w:rPr>
              <w:t>Response</w:t>
            </w:r>
          </w:p>
        </w:tc>
      </w:tr>
      <w:tr w:rsidR="00416312" w:rsidRPr="00A21685" w14:paraId="73772AEF" w14:textId="77777777">
        <w:trPr>
          <w:trHeight w:val="864"/>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3D10FA6" w14:textId="77777777" w:rsidR="00416312" w:rsidRPr="00550E1F" w:rsidRDefault="00416312">
            <w:pPr>
              <w:pStyle w:val="BodyText2"/>
              <w:keepNext/>
              <w:spacing w:line="240" w:lineRule="auto"/>
              <w:rPr>
                <w:rFonts w:ascii="Aptos" w:hAnsi="Aptos"/>
                <w:b/>
                <w:bCs/>
              </w:rPr>
            </w:pPr>
            <w:r w:rsidRPr="00550E1F">
              <w:rPr>
                <w:rFonts w:ascii="Aptos" w:hAnsi="Aptos"/>
                <w:b/>
                <w:bCs/>
              </w:rPr>
              <w:t>Current Practices and Outcomes</w:t>
            </w:r>
          </w:p>
          <w:p w14:paraId="76520FC5" w14:textId="77777777" w:rsidR="00416312" w:rsidRPr="00550E1F" w:rsidRDefault="00416312">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533E8CF" w14:textId="77777777" w:rsidR="00416312" w:rsidRPr="00550E1F" w:rsidRDefault="00416312">
            <w:pPr>
              <w:pStyle w:val="BodyText2"/>
              <w:keepNext/>
              <w:spacing w:line="240" w:lineRule="auto"/>
              <w:rPr>
                <w:rFonts w:ascii="Aptos" w:hAnsi="Aptos"/>
              </w:rPr>
            </w:pPr>
          </w:p>
        </w:tc>
      </w:tr>
      <w:tr w:rsidR="00416312" w:rsidRPr="00A21685" w14:paraId="60C8C6D4" w14:textId="77777777">
        <w:trPr>
          <w:cantSplit/>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DB6F595" w14:textId="77777777" w:rsidR="00416312" w:rsidRPr="00550E1F" w:rsidRDefault="00416312">
            <w:pPr>
              <w:pStyle w:val="BodyText2"/>
              <w:rPr>
                <w:rFonts w:ascii="Aptos" w:hAnsi="Aptos"/>
                <w:b/>
                <w:bCs/>
              </w:rPr>
            </w:pPr>
            <w:r w:rsidRPr="00550E1F">
              <w:rPr>
                <w:rFonts w:ascii="Aptos" w:hAnsi="Aptos"/>
                <w:b/>
                <w:bCs/>
              </w:rPr>
              <w:t>Areas for Growth and Future Outcomes</w:t>
            </w:r>
          </w:p>
          <w:p w14:paraId="2EF81831" w14:textId="77777777" w:rsidR="00416312" w:rsidRPr="00550E1F" w:rsidRDefault="00416312">
            <w:pPr>
              <w:pStyle w:val="BodyText2"/>
              <w:rPr>
                <w:rFonts w:ascii="Aptos" w:hAnsi="Aptos"/>
              </w:rPr>
            </w:pPr>
            <w:r w:rsidRPr="00550E1F">
              <w:rPr>
                <w:rFonts w:ascii="Aptos" w:hAnsi="Aptos"/>
              </w:rPr>
              <w:t>(Where do you hope to grow? How will your next steps impact your programmatic and candidate outcomes?)</w:t>
            </w:r>
          </w:p>
        </w:tc>
        <w:tc>
          <w:tcPr>
            <w:tcW w:w="89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EC4D914" w14:textId="77777777" w:rsidR="00416312" w:rsidRPr="00550E1F" w:rsidRDefault="00416312">
            <w:pPr>
              <w:pStyle w:val="BodyText2"/>
              <w:rPr>
                <w:rFonts w:ascii="Aptos" w:hAnsi="Aptos"/>
              </w:rPr>
            </w:pPr>
          </w:p>
        </w:tc>
      </w:tr>
    </w:tbl>
    <w:p w14:paraId="27E0F942" w14:textId="77777777" w:rsidR="00416312" w:rsidRPr="00550E1F" w:rsidRDefault="00416312" w:rsidP="00327F49">
      <w:pPr>
        <w:rPr>
          <w:rFonts w:ascii="Aptos" w:hAnsi="Aptos"/>
        </w:rPr>
      </w:pPr>
    </w:p>
    <w:p w14:paraId="2AB5B016" w14:textId="7749C5F5" w:rsidR="00C73618" w:rsidRPr="00550E1F" w:rsidRDefault="00C73618" w:rsidP="00327F49">
      <w:pPr>
        <w:pStyle w:val="Heading4"/>
        <w:rPr>
          <w:rFonts w:ascii="Aptos" w:hAnsi="Aptos"/>
        </w:rPr>
      </w:pPr>
      <w:r w:rsidRPr="00550E1F">
        <w:rPr>
          <w:rFonts w:ascii="Aptos" w:hAnsi="Aptos"/>
        </w:rPr>
        <w:t xml:space="preserve">Candidate </w:t>
      </w:r>
      <w:r w:rsidR="00521F7D" w:rsidRPr="00550E1F">
        <w:rPr>
          <w:rFonts w:ascii="Aptos" w:hAnsi="Aptos"/>
        </w:rPr>
        <w:t xml:space="preserve">Domain </w:t>
      </w:r>
      <w:r w:rsidRPr="00550E1F">
        <w:rPr>
          <w:rFonts w:ascii="Aptos" w:hAnsi="Aptos"/>
        </w:rPr>
        <w:t>Action Plan</w:t>
      </w:r>
    </w:p>
    <w:tbl>
      <w:tblPr>
        <w:tblW w:w="14035" w:type="dxa"/>
        <w:tblCellMar>
          <w:top w:w="15" w:type="dxa"/>
          <w:left w:w="15" w:type="dxa"/>
          <w:bottom w:w="15" w:type="dxa"/>
          <w:right w:w="15" w:type="dxa"/>
        </w:tblCellMar>
        <w:tblLook w:val="04A0" w:firstRow="1" w:lastRow="0" w:firstColumn="1" w:lastColumn="0" w:noHBand="0" w:noVBand="1"/>
      </w:tblPr>
      <w:tblGrid>
        <w:gridCol w:w="900"/>
        <w:gridCol w:w="1190"/>
        <w:gridCol w:w="1531"/>
        <w:gridCol w:w="1076"/>
        <w:gridCol w:w="9338"/>
      </w:tblGrid>
      <w:tr w:rsidR="00C73618" w:rsidRPr="00A21685" w14:paraId="7D59609D"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17310247" w14:textId="77777777" w:rsidR="00C73618" w:rsidRPr="00550E1F" w:rsidRDefault="00C73618" w:rsidP="006B1632">
            <w:pPr>
              <w:pStyle w:val="TableHeaderRow2"/>
              <w:rPr>
                <w:rFonts w:ascii="Aptos" w:hAnsi="Aptos"/>
              </w:rPr>
            </w:pPr>
            <w:r w:rsidRPr="00550E1F">
              <w:rPr>
                <w:rFonts w:ascii="Aptos" w:hAnsi="Aptos"/>
              </w:rPr>
              <w:t>Focus</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4E311FCE" w14:textId="77777777" w:rsidR="00C73618" w:rsidRPr="00550E1F" w:rsidRDefault="00C73618" w:rsidP="006B1632">
            <w:pPr>
              <w:pStyle w:val="TableHeaderRow2"/>
              <w:rPr>
                <w:rFonts w:ascii="Aptos" w:hAnsi="Aptos"/>
              </w:rPr>
            </w:pPr>
            <w:r w:rsidRPr="00550E1F">
              <w:rPr>
                <w:rFonts w:ascii="Aptos" w:hAnsi="Aptos"/>
              </w:rPr>
              <w:t>Action Steps</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4D9DFCA6" w14:textId="77777777" w:rsidR="00C73618" w:rsidRPr="00550E1F" w:rsidRDefault="00C73618" w:rsidP="006B1632">
            <w:pPr>
              <w:pStyle w:val="TableHeaderRow2"/>
              <w:rPr>
                <w:rFonts w:ascii="Aptos" w:hAnsi="Aptos"/>
              </w:rPr>
            </w:pPr>
            <w:r w:rsidRPr="00550E1F">
              <w:rPr>
                <w:rFonts w:ascii="Aptos" w:hAnsi="Aptos"/>
              </w:rPr>
              <w:t>Key Personnel </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40F24BD7" w14:textId="77777777" w:rsidR="00C73618" w:rsidRPr="00550E1F" w:rsidRDefault="00C73618" w:rsidP="006B1632">
            <w:pPr>
              <w:pStyle w:val="TableHeaderRow2"/>
              <w:rPr>
                <w:rFonts w:ascii="Aptos" w:hAnsi="Aptos"/>
              </w:rPr>
            </w:pPr>
            <w:r w:rsidRPr="00550E1F">
              <w:rPr>
                <w:rFonts w:ascii="Aptos" w:hAnsi="Aptos"/>
              </w:rPr>
              <w:t>Timeline</w:t>
            </w: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top w:w="0" w:type="dxa"/>
              <w:left w:w="108" w:type="dxa"/>
              <w:bottom w:w="0" w:type="dxa"/>
              <w:right w:w="108" w:type="dxa"/>
            </w:tcMar>
            <w:hideMark/>
          </w:tcPr>
          <w:p w14:paraId="2A544149" w14:textId="77777777" w:rsidR="00C73618" w:rsidRPr="00550E1F" w:rsidRDefault="00C73618" w:rsidP="006B1632">
            <w:pPr>
              <w:pStyle w:val="TableHeaderRow2"/>
              <w:rPr>
                <w:rFonts w:ascii="Aptos" w:hAnsi="Aptos"/>
              </w:rPr>
            </w:pPr>
            <w:r w:rsidRPr="00550E1F">
              <w:rPr>
                <w:rFonts w:ascii="Aptos" w:hAnsi="Aptos"/>
              </w:rPr>
              <w:t>Intended Outcomes and Measures</w:t>
            </w:r>
            <w:r w:rsidRPr="00550E1F">
              <w:rPr>
                <w:rFonts w:ascii="Aptos" w:hAnsi="Aptos"/>
              </w:rPr>
              <w:br/>
              <w:t>(Short- and Long-Term) </w:t>
            </w:r>
          </w:p>
        </w:tc>
      </w:tr>
      <w:tr w:rsidR="00C73618" w:rsidRPr="00A21685" w14:paraId="4B0C3233"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DC51BB" w14:textId="77777777" w:rsidR="00C73618" w:rsidRPr="00F14E1D" w:rsidRDefault="00C73618" w:rsidP="0045359F">
            <w:pPr>
              <w:pStyle w:val="BodyText2"/>
              <w:rPr>
                <w:rFonts w:ascii="Aptos" w:hAnsi="Aptos"/>
                <w:b/>
                <w:bCs/>
              </w:rPr>
            </w:pPr>
            <w:r w:rsidRPr="00F14E1D">
              <w:rPr>
                <w:rFonts w:ascii="Aptos" w:hAnsi="Aptos"/>
                <w:b/>
                <w:bCs/>
              </w:rPr>
              <w:t>CAN 1</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BA5305" w14:textId="77777777" w:rsidR="00C73618" w:rsidRPr="00550E1F" w:rsidRDefault="00C73618" w:rsidP="0045359F">
            <w:pPr>
              <w:pStyle w:val="BodyText2"/>
              <w:rPr>
                <w:rFonts w:ascii="Aptos" w:hAnsi="Aptos"/>
              </w:rPr>
            </w:pPr>
          </w:p>
          <w:p w14:paraId="673865F2" w14:textId="77777777" w:rsidR="00C73618" w:rsidRPr="00550E1F" w:rsidRDefault="00C73618" w:rsidP="0045359F">
            <w:pPr>
              <w:pStyle w:val="BodyText2"/>
              <w:rPr>
                <w:rFonts w:ascii="Aptos" w:hAnsi="Aptos"/>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9ABEE25" w14:textId="77777777" w:rsidR="00C73618" w:rsidRPr="00550E1F" w:rsidRDefault="00C73618" w:rsidP="0045359F">
            <w:pPr>
              <w:pStyle w:val="BodyText2"/>
              <w:rPr>
                <w:rFonts w:ascii="Aptos" w:hAnsi="Aptos"/>
              </w:rPr>
            </w:pP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DBFD99" w14:textId="77777777" w:rsidR="00C73618" w:rsidRPr="00550E1F" w:rsidRDefault="00C73618" w:rsidP="0045359F">
            <w:pPr>
              <w:pStyle w:val="BodyText2"/>
              <w:rPr>
                <w:rFonts w:ascii="Aptos" w:hAnsi="Aptos"/>
              </w:rPr>
            </w:pP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9CAFAC" w14:textId="77777777" w:rsidR="00C73618" w:rsidRPr="00550E1F" w:rsidRDefault="00C73618" w:rsidP="0045359F">
            <w:pPr>
              <w:pStyle w:val="BodyText2"/>
              <w:rPr>
                <w:rFonts w:ascii="Aptos" w:hAnsi="Aptos"/>
              </w:rPr>
            </w:pPr>
          </w:p>
        </w:tc>
      </w:tr>
      <w:tr w:rsidR="00C73618" w:rsidRPr="00A21685" w14:paraId="019F390A"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DEEAAC4" w14:textId="77777777" w:rsidR="00C73618" w:rsidRPr="00F14E1D" w:rsidRDefault="00C73618" w:rsidP="0045359F">
            <w:pPr>
              <w:pStyle w:val="BodyText2"/>
              <w:rPr>
                <w:rFonts w:ascii="Aptos" w:hAnsi="Aptos"/>
                <w:b/>
                <w:bCs/>
              </w:rPr>
            </w:pPr>
            <w:r w:rsidRPr="00F14E1D">
              <w:rPr>
                <w:rFonts w:ascii="Aptos" w:hAnsi="Aptos"/>
                <w:b/>
                <w:bCs/>
              </w:rPr>
              <w:t>CAN 2</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067C43" w14:textId="77777777" w:rsidR="00C73618" w:rsidRPr="00550E1F" w:rsidRDefault="00C73618" w:rsidP="0045359F">
            <w:pPr>
              <w:pStyle w:val="BodyText2"/>
              <w:rPr>
                <w:rFonts w:ascii="Aptos" w:hAnsi="Aptos"/>
              </w:rPr>
            </w:pPr>
          </w:p>
          <w:p w14:paraId="3819EBAF" w14:textId="77777777" w:rsidR="00C73618" w:rsidRPr="00550E1F" w:rsidRDefault="00C73618" w:rsidP="0045359F">
            <w:pPr>
              <w:pStyle w:val="BodyText2"/>
              <w:rPr>
                <w:rFonts w:ascii="Aptos" w:hAnsi="Aptos"/>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73612E" w14:textId="77777777" w:rsidR="00C73618" w:rsidRPr="00550E1F" w:rsidRDefault="00C73618" w:rsidP="0045359F">
            <w:pPr>
              <w:pStyle w:val="BodyText2"/>
              <w:rPr>
                <w:rFonts w:ascii="Aptos" w:hAnsi="Aptos"/>
              </w:rPr>
            </w:pP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63FBED" w14:textId="77777777" w:rsidR="00C73618" w:rsidRPr="00550E1F" w:rsidRDefault="00C73618" w:rsidP="0045359F">
            <w:pPr>
              <w:pStyle w:val="BodyText2"/>
              <w:rPr>
                <w:rFonts w:ascii="Aptos" w:hAnsi="Aptos"/>
              </w:rPr>
            </w:pP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4C48140" w14:textId="77777777" w:rsidR="00C73618" w:rsidRPr="00550E1F" w:rsidRDefault="00C73618" w:rsidP="0045359F">
            <w:pPr>
              <w:pStyle w:val="BodyText2"/>
              <w:rPr>
                <w:rFonts w:ascii="Aptos" w:hAnsi="Aptos"/>
              </w:rPr>
            </w:pPr>
          </w:p>
        </w:tc>
      </w:tr>
      <w:tr w:rsidR="00C73618" w:rsidRPr="00A21685" w14:paraId="089C5C1E"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45BDE5E" w14:textId="77777777" w:rsidR="00C73618" w:rsidRPr="00F14E1D" w:rsidRDefault="00C73618" w:rsidP="0045359F">
            <w:pPr>
              <w:pStyle w:val="BodyText2"/>
              <w:rPr>
                <w:rFonts w:ascii="Aptos" w:hAnsi="Aptos"/>
                <w:b/>
                <w:bCs/>
              </w:rPr>
            </w:pPr>
            <w:r w:rsidRPr="00F14E1D">
              <w:rPr>
                <w:rFonts w:ascii="Aptos" w:hAnsi="Aptos"/>
                <w:b/>
                <w:bCs/>
              </w:rPr>
              <w:t>CAN 3</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97DE1B" w14:textId="77777777" w:rsidR="00C73618" w:rsidRPr="00550E1F" w:rsidRDefault="00C73618" w:rsidP="0045359F">
            <w:pPr>
              <w:pStyle w:val="BodyText2"/>
              <w:rPr>
                <w:rFonts w:ascii="Aptos" w:hAnsi="Aptos"/>
              </w:rPr>
            </w:pPr>
          </w:p>
          <w:p w14:paraId="636E9CA8" w14:textId="77777777" w:rsidR="00C73618" w:rsidRPr="00550E1F" w:rsidRDefault="00C73618" w:rsidP="0045359F">
            <w:pPr>
              <w:pStyle w:val="BodyText2"/>
              <w:rPr>
                <w:rFonts w:ascii="Aptos" w:hAnsi="Aptos"/>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7CBC8A" w14:textId="77777777" w:rsidR="00C73618" w:rsidRPr="00550E1F" w:rsidRDefault="00C73618" w:rsidP="0045359F">
            <w:pPr>
              <w:pStyle w:val="BodyText2"/>
              <w:rPr>
                <w:rFonts w:ascii="Aptos" w:hAnsi="Aptos"/>
              </w:rPr>
            </w:pP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59B600" w14:textId="77777777" w:rsidR="00C73618" w:rsidRPr="00550E1F" w:rsidRDefault="00C73618" w:rsidP="0045359F">
            <w:pPr>
              <w:pStyle w:val="BodyText2"/>
              <w:rPr>
                <w:rFonts w:ascii="Aptos" w:hAnsi="Aptos"/>
              </w:rPr>
            </w:pP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5A7FCDC" w14:textId="77777777" w:rsidR="00C73618" w:rsidRPr="00550E1F" w:rsidRDefault="00C73618" w:rsidP="0045359F">
            <w:pPr>
              <w:pStyle w:val="BodyText2"/>
              <w:rPr>
                <w:rFonts w:ascii="Aptos" w:hAnsi="Aptos"/>
              </w:rPr>
            </w:pPr>
          </w:p>
        </w:tc>
      </w:tr>
      <w:tr w:rsidR="00307D6A" w:rsidRPr="00A21685" w14:paraId="073F1B16" w14:textId="77777777" w:rsidTr="19A14AB0">
        <w:trPr>
          <w:trHeight w:val="720"/>
        </w:trPr>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E06277" w14:textId="7FACD2C6" w:rsidR="00307D6A" w:rsidRPr="00F14E1D" w:rsidRDefault="00307D6A" w:rsidP="0045359F">
            <w:pPr>
              <w:pStyle w:val="BodyText2"/>
              <w:rPr>
                <w:rFonts w:ascii="Aptos" w:hAnsi="Aptos"/>
                <w:b/>
                <w:bCs/>
              </w:rPr>
            </w:pPr>
            <w:r w:rsidRPr="00F14E1D">
              <w:rPr>
                <w:rFonts w:ascii="Aptos" w:hAnsi="Aptos"/>
                <w:b/>
                <w:bCs/>
              </w:rPr>
              <w:t>CAN 4</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D2E6013" w14:textId="77777777" w:rsidR="00307D6A" w:rsidRPr="00550E1F" w:rsidRDefault="00307D6A" w:rsidP="0045359F">
            <w:pPr>
              <w:pStyle w:val="BodyText2"/>
              <w:rPr>
                <w:rFonts w:ascii="Aptos" w:hAnsi="Aptos"/>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2881A9" w14:textId="77777777" w:rsidR="00307D6A" w:rsidRPr="00550E1F" w:rsidRDefault="00307D6A" w:rsidP="0045359F">
            <w:pPr>
              <w:pStyle w:val="BodyText2"/>
              <w:rPr>
                <w:rFonts w:ascii="Aptos" w:hAnsi="Aptos"/>
              </w:rPr>
            </w:pP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02F22F" w14:textId="77777777" w:rsidR="00307D6A" w:rsidRPr="00550E1F" w:rsidRDefault="00307D6A" w:rsidP="0045359F">
            <w:pPr>
              <w:pStyle w:val="BodyText2"/>
              <w:rPr>
                <w:rFonts w:ascii="Aptos" w:hAnsi="Aptos"/>
              </w:rPr>
            </w:pPr>
          </w:p>
        </w:tc>
        <w:tc>
          <w:tcPr>
            <w:tcW w:w="9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411BAFC" w14:textId="77777777" w:rsidR="00307D6A" w:rsidRPr="00550E1F" w:rsidRDefault="00307D6A" w:rsidP="0045359F">
            <w:pPr>
              <w:pStyle w:val="BodyText2"/>
              <w:rPr>
                <w:rFonts w:ascii="Aptos" w:hAnsi="Aptos"/>
              </w:rPr>
            </w:pPr>
          </w:p>
        </w:tc>
      </w:tr>
    </w:tbl>
    <w:p w14:paraId="7955D199" w14:textId="5032B680" w:rsidR="00C73618" w:rsidRPr="00550E1F" w:rsidRDefault="00C73618" w:rsidP="007C3D1C">
      <w:pPr>
        <w:rPr>
          <w:rFonts w:ascii="Aptos" w:eastAsia="Times New Roman" w:hAnsi="Aptos" w:cstheme="minorHAnsi"/>
          <w:kern w:val="36"/>
          <w14:ligatures w14:val="none"/>
        </w:rPr>
      </w:pPr>
      <w:r w:rsidRPr="00550E1F">
        <w:rPr>
          <w:rFonts w:ascii="Aptos" w:hAnsi="Aptos" w:cstheme="minorHAnsi"/>
        </w:rPr>
        <w:br w:type="page"/>
      </w:r>
    </w:p>
    <w:p w14:paraId="6B10426E" w14:textId="4AE509B9" w:rsidR="00E65273" w:rsidRPr="00550E1F" w:rsidRDefault="00E65273" w:rsidP="0045359F">
      <w:pPr>
        <w:pStyle w:val="BodyText"/>
        <w:spacing w:after="240"/>
        <w:rPr>
          <w:rFonts w:ascii="Aptos" w:hAnsi="Aptos"/>
        </w:rPr>
      </w:pPr>
      <w:r w:rsidRPr="00550E1F">
        <w:rPr>
          <w:rFonts w:ascii="Aptos" w:hAnsi="Aptos"/>
          <w:noProof/>
        </w:rPr>
        <mc:AlternateContent>
          <mc:Choice Requires="wps">
            <w:drawing>
              <wp:anchor distT="0" distB="0" distL="114300" distR="114300" simplePos="0" relativeHeight="251658262" behindDoc="0" locked="0" layoutInCell="1" allowOverlap="1" wp14:anchorId="4FB2D832" wp14:editId="7A2D7F37">
                <wp:simplePos x="0" y="0"/>
                <wp:positionH relativeFrom="column">
                  <wp:posOffset>-60386</wp:posOffset>
                </wp:positionH>
                <wp:positionV relativeFrom="paragraph">
                  <wp:posOffset>50033</wp:posOffset>
                </wp:positionV>
                <wp:extent cx="8997351" cy="411480"/>
                <wp:effectExtent l="0" t="0" r="0" b="7620"/>
                <wp:wrapNone/>
                <wp:docPr id="106061682" name="Text Box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8997351" cy="411480"/>
                        </a:xfrm>
                        <a:prstGeom prst="rect">
                          <a:avLst/>
                        </a:prstGeom>
                        <a:solidFill>
                          <a:srgbClr val="8C1176"/>
                        </a:solidFill>
                        <a:ln w="6350">
                          <a:noFill/>
                        </a:ln>
                      </wps:spPr>
                      <wps:txbx>
                        <w:txbxContent>
                          <w:p w14:paraId="59FAD014" w14:textId="7F578C3D" w:rsidR="00E65273" w:rsidRPr="00AF58FC" w:rsidRDefault="002A439D" w:rsidP="00E65273">
                            <w:pPr>
                              <w:pStyle w:val="Heading2"/>
                            </w:pPr>
                            <w:bookmarkStart w:id="58" w:name="PartnershipsDomain"/>
                            <w:bookmarkStart w:id="59" w:name="_Toc170897347"/>
                            <w:bookmarkEnd w:id="58"/>
                            <w:r>
                              <w:t>Partnerships</w:t>
                            </w:r>
                            <w:r w:rsidR="00E65273">
                              <w:t xml:space="preserve"> </w:t>
                            </w:r>
                            <w:r w:rsidR="00AE7083">
                              <w:t xml:space="preserve">Domain </w:t>
                            </w:r>
                            <w:r w:rsidR="00E65273">
                              <w:t xml:space="preserve">Action Planning </w:t>
                            </w:r>
                            <w:bookmarkEnd w:id="59"/>
                            <w:r w:rsidR="00E65273">
                              <w:t>T</w:t>
                            </w:r>
                            <w:r w:rsidR="00DB3302">
                              <w: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2D832" id="_x0000_s1037" type="#_x0000_t202" style="position:absolute;margin-left:-4.75pt;margin-top:3.95pt;width:708.45pt;height:32.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" fillcolor="#8c1176" stroked="f" strokeweight=".5pt">
                <v:textbox>
                  <w:txbxContent>
                    <w:p w14:paraId="59FAD014" w14:textId="7F578C3D" w:rsidR="00E65273" w:rsidRPr="00AF58FC" w:rsidRDefault="002A439D" w:rsidP="00E65273">
                      <w:pPr>
                        <w:pStyle w:val="Heading2"/>
                      </w:pPr>
                      <w:bookmarkStart w:id="73" w:name="PartnershipsDomain"/>
                      <w:bookmarkStart w:id="74" w:name="_Toc170897347"/>
                      <w:bookmarkEnd w:id="73"/>
                      <w:r>
                        <w:t>Partnerships</w:t>
                      </w:r>
                      <w:r w:rsidR="00E65273">
                        <w:t xml:space="preserve"> </w:t>
                      </w:r>
                      <w:r w:rsidR="00AE7083">
                        <w:t xml:space="preserve">Domain </w:t>
                      </w:r>
                      <w:r w:rsidR="00E65273">
                        <w:t xml:space="preserve">Action Planning </w:t>
                      </w:r>
                      <w:bookmarkEnd w:id="74"/>
                      <w:r w:rsidR="00E65273">
                        <w:t>T</w:t>
                      </w:r>
                      <w:r w:rsidR="00DB3302">
                        <w:t>ool</w:t>
                      </w:r>
                    </w:p>
                  </w:txbxContent>
                </v:textbox>
              </v:shape>
            </w:pict>
          </mc:Fallback>
        </mc:AlternateContent>
      </w:r>
    </w:p>
    <w:p w14:paraId="219B32DB" w14:textId="603EB1E4" w:rsidR="00E65273" w:rsidRPr="00550E1F" w:rsidRDefault="00E65273" w:rsidP="00F72DE4">
      <w:pPr>
        <w:pStyle w:val="BodyText"/>
        <w:spacing w:after="0"/>
        <w:rPr>
          <w:rFonts w:ascii="Aptos" w:hAnsi="Aptos"/>
        </w:rPr>
      </w:pPr>
    </w:p>
    <w:p w14:paraId="50C08F7D" w14:textId="1CC8BF34" w:rsidR="0045359F" w:rsidRPr="00550E1F" w:rsidRDefault="00C73618" w:rsidP="19A14AB0">
      <w:pPr>
        <w:pStyle w:val="Heading4"/>
        <w:rPr>
          <w:rFonts w:ascii="Aptos" w:hAnsi="Aptos"/>
        </w:rPr>
      </w:pPr>
      <w:r w:rsidRPr="00550E1F">
        <w:rPr>
          <w:rFonts w:ascii="Aptos" w:hAnsi="Aptos"/>
        </w:rPr>
        <w:t>PAR 1: The sponsoring organization establishes, evaluates, and sustains partnerships with PK-12 schools/districts to ensure partnerships meet the needs of all candidates (with particular focus on those from systemically marginalized races, ethnicities, identity groups, and backgrounds) and improves or discontinues those that do not meet candidates’ needs.</w:t>
      </w:r>
    </w:p>
    <w:p w14:paraId="103A4578" w14:textId="79FD3AC6" w:rsidR="5D16DC54" w:rsidRPr="00550E1F" w:rsidRDefault="5D16DC54" w:rsidP="19A14AB0">
      <w:pPr>
        <w:pStyle w:val="TableTitle2"/>
        <w:rPr>
          <w:rFonts w:ascii="Aptos" w:hAnsi="Aptos"/>
          <w:b w:val="0"/>
          <w:bCs w:val="0"/>
        </w:rPr>
      </w:pPr>
      <w:r w:rsidRPr="00550E1F">
        <w:rPr>
          <w:rFonts w:ascii="Aptos" w:hAnsi="Aptos"/>
          <w:b w:val="0"/>
          <w:bCs w:val="0"/>
        </w:rPr>
        <w:t>Please note, some of the prompts below intersect with criteria in the Field-Based Experiences Domain. Depending on the scope and structure of your partnerships, these prompts may or may not apply to your specific circumstance.</w:t>
      </w:r>
    </w:p>
    <w:p w14:paraId="65787057" w14:textId="739BC4EC" w:rsidR="00546DAF" w:rsidRPr="00550E1F" w:rsidRDefault="00546DAF" w:rsidP="00546DAF">
      <w:pPr>
        <w:pStyle w:val="TableTitle2"/>
        <w:rPr>
          <w:rFonts w:ascii="Aptos" w:hAnsi="Aptos"/>
        </w:rPr>
      </w:pPr>
      <w:r w:rsidRPr="00550E1F">
        <w:rPr>
          <w:rFonts w:ascii="Aptos" w:hAnsi="Aptos"/>
        </w:rPr>
        <w:t>How does your SO identify the qualities or offerings of a PK-12 partner that will meet the needs of all candidates, particularly those from systemically marginalized identities? Who participates in that decision-making?</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546DAF" w:rsidRPr="00A21685" w14:paraId="1E00A07C" w14:textId="77777777" w:rsidTr="005A703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8234EAF" w14:textId="54DD2D4E" w:rsidR="00546DAF" w:rsidRPr="00550E1F" w:rsidRDefault="00546DAF" w:rsidP="00546DAF">
            <w:pPr>
              <w:pStyle w:val="TableHeaderRow2"/>
              <w:ind w:left="7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61C6ADA6" w14:textId="6ADF83B6" w:rsidR="00546DAF" w:rsidRPr="00550E1F" w:rsidRDefault="00546DAF" w:rsidP="00546DAF">
            <w:pPr>
              <w:pStyle w:val="TableHeaderRow2"/>
              <w:ind w:left="72"/>
              <w:rPr>
                <w:rFonts w:ascii="Aptos" w:hAnsi="Aptos"/>
              </w:rPr>
            </w:pPr>
            <w:r w:rsidRPr="00550E1F">
              <w:rPr>
                <w:rFonts w:ascii="Aptos" w:hAnsi="Aptos"/>
              </w:rPr>
              <w:t>Response</w:t>
            </w:r>
          </w:p>
        </w:tc>
      </w:tr>
      <w:tr w:rsidR="00C73618" w:rsidRPr="00A21685" w14:paraId="64F612BC" w14:textId="77777777" w:rsidTr="005A703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9196D19" w14:textId="1BCCC1F9" w:rsidR="00C73618" w:rsidRPr="00550E1F" w:rsidRDefault="00C73618" w:rsidP="0045359F">
            <w:pPr>
              <w:pStyle w:val="BodyText2"/>
              <w:rPr>
                <w:rFonts w:ascii="Aptos" w:hAnsi="Aptos"/>
                <w:b/>
                <w:bCs/>
              </w:rPr>
            </w:pPr>
            <w:r w:rsidRPr="00550E1F">
              <w:rPr>
                <w:rFonts w:ascii="Aptos" w:hAnsi="Aptos"/>
                <w:b/>
                <w:bCs/>
              </w:rPr>
              <w:t>Current Practices and Outcomes</w:t>
            </w:r>
          </w:p>
          <w:p w14:paraId="7F7B0676" w14:textId="77777777"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DB3C76B" w14:textId="26607C2B" w:rsidR="00C73618" w:rsidRPr="00550E1F" w:rsidRDefault="00C73618" w:rsidP="0045359F">
            <w:pPr>
              <w:pStyle w:val="BodyText2"/>
              <w:rPr>
                <w:rFonts w:ascii="Aptos" w:hAnsi="Aptos"/>
              </w:rPr>
            </w:pPr>
          </w:p>
        </w:tc>
      </w:tr>
      <w:tr w:rsidR="00C73618" w:rsidRPr="00A21685" w14:paraId="6944FD71"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4F399F59"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70A2E622"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34638729" w14:textId="193A33AB" w:rsidR="00C73618" w:rsidRPr="00550E1F" w:rsidRDefault="00C73618" w:rsidP="0045359F">
            <w:pPr>
              <w:pStyle w:val="BodyText2"/>
              <w:rPr>
                <w:rFonts w:ascii="Aptos" w:hAnsi="Aptos"/>
              </w:rPr>
            </w:pPr>
          </w:p>
        </w:tc>
      </w:tr>
    </w:tbl>
    <w:p w14:paraId="39E1DFA4" w14:textId="3FC31ED2" w:rsidR="0045359F" w:rsidRPr="00550E1F" w:rsidRDefault="00B03415" w:rsidP="00546DAF">
      <w:pPr>
        <w:pStyle w:val="TableTitle2"/>
        <w:rPr>
          <w:rFonts w:ascii="Aptos" w:hAnsi="Aptos"/>
        </w:rPr>
      </w:pPr>
      <w:r w:rsidRPr="00550E1F">
        <w:rPr>
          <w:rFonts w:ascii="Aptos" w:hAnsi="Aptos"/>
        </w:rPr>
        <w:t>How does your SO establish partnerships and communicate partnership expectations to meet the needs of all candidates, particularly candidates with identities from systemically marginalized communities?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0D31EB06" w14:textId="77777777" w:rsidTr="005A7039">
        <w:trPr>
          <w:trHeight w:val="285"/>
        </w:trPr>
        <w:tc>
          <w:tcPr>
            <w:tcW w:w="0" w:type="auto"/>
            <w:tcBorders>
              <w:top w:val="single" w:sz="4"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646B439" w14:textId="7DB98A82"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6" w:space="0" w:color="000000"/>
              <w:right w:val="single" w:sz="6" w:space="0" w:color="000000"/>
            </w:tcBorders>
            <w:shd w:val="clear" w:color="auto" w:fill="8C1176"/>
          </w:tcPr>
          <w:p w14:paraId="3F61276A" w14:textId="5DAF812B"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10DAA247" w14:textId="77777777" w:rsidTr="005A7039">
        <w:trPr>
          <w:trHeight w:val="285"/>
        </w:trPr>
        <w:tc>
          <w:tcPr>
            <w:tcW w:w="521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6404D8E9"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4F11ECAB" w14:textId="2C1CB2D1"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DB12B64" w14:textId="30FB4948" w:rsidR="00C73618" w:rsidRPr="00550E1F" w:rsidRDefault="00C73618" w:rsidP="0045359F">
            <w:pPr>
              <w:pStyle w:val="BodyText2"/>
              <w:rPr>
                <w:rFonts w:ascii="Aptos" w:hAnsi="Aptos"/>
              </w:rPr>
            </w:pPr>
          </w:p>
        </w:tc>
      </w:tr>
      <w:tr w:rsidR="00C73618" w:rsidRPr="00A21685" w14:paraId="24390838"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2E903684"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6D882CAF"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C272166" w14:textId="33370FE5" w:rsidR="00C73618" w:rsidRPr="00550E1F" w:rsidRDefault="00C73618" w:rsidP="0045359F">
            <w:pPr>
              <w:pStyle w:val="BodyText2"/>
              <w:rPr>
                <w:rFonts w:ascii="Aptos" w:hAnsi="Aptos"/>
              </w:rPr>
            </w:pPr>
          </w:p>
        </w:tc>
      </w:tr>
    </w:tbl>
    <w:p w14:paraId="7DF0D769" w14:textId="7E3C7F48" w:rsidR="0045359F" w:rsidRPr="00550E1F" w:rsidRDefault="00B03415" w:rsidP="00546DAF">
      <w:pPr>
        <w:pStyle w:val="TableTitle2"/>
        <w:rPr>
          <w:rFonts w:ascii="Aptos" w:hAnsi="Aptos"/>
        </w:rPr>
      </w:pPr>
      <w:r w:rsidRPr="00550E1F">
        <w:rPr>
          <w:rFonts w:ascii="Aptos" w:hAnsi="Aptos"/>
        </w:rPr>
        <w:t>How does your SO evaluate partnerships to determine whether they continue to meet the needs of all candidates? What steps does your SO take to sustain partnerships that do meet the needs of all candidates?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1FC1C300"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668B5882" w14:textId="6DBC3DD0"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192AF33A" w14:textId="189CD7F1"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3FAD04CD"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C57B0F1"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6762A30D" w14:textId="583B772C"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E161193" w14:textId="77F5D00B" w:rsidR="00C73618" w:rsidRPr="00550E1F" w:rsidRDefault="00C73618" w:rsidP="0045359F">
            <w:pPr>
              <w:pStyle w:val="BodyText2"/>
              <w:rPr>
                <w:rFonts w:ascii="Aptos" w:hAnsi="Aptos"/>
              </w:rPr>
            </w:pPr>
          </w:p>
        </w:tc>
      </w:tr>
      <w:tr w:rsidR="00C73618" w:rsidRPr="00A21685" w14:paraId="30F0C0B2"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B9E027D"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27D26355"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D397956" w14:textId="77777777" w:rsidR="00C73618" w:rsidRPr="00550E1F" w:rsidRDefault="00C73618" w:rsidP="0045359F">
            <w:pPr>
              <w:pStyle w:val="BodyText2"/>
              <w:rPr>
                <w:rFonts w:ascii="Aptos" w:hAnsi="Aptos"/>
              </w:rPr>
            </w:pPr>
          </w:p>
        </w:tc>
      </w:tr>
    </w:tbl>
    <w:p w14:paraId="6177BCF1" w14:textId="322CC382" w:rsidR="0045359F" w:rsidRPr="00550E1F" w:rsidRDefault="00B03415" w:rsidP="00546DAF">
      <w:pPr>
        <w:pStyle w:val="TableTitle2"/>
        <w:rPr>
          <w:rFonts w:ascii="Aptos" w:hAnsi="Aptos"/>
        </w:rPr>
      </w:pPr>
      <w:r w:rsidRPr="00550E1F">
        <w:rPr>
          <w:rFonts w:ascii="Aptos" w:hAnsi="Aptos"/>
        </w:rPr>
        <w:t>How does your SO define a high-quality placement site to align with your guiding principles for equity, and identify placement sites that meet those expectations?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1C71358D"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537409E3" w14:textId="1931062B"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3C97890B" w14:textId="5584605A"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05BCDA6B"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E398EBE"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3E2031CC" w14:textId="72D0C59A"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4233533" w14:textId="52714A3D" w:rsidR="00C73618" w:rsidRPr="00550E1F" w:rsidRDefault="00C73618" w:rsidP="0045359F">
            <w:pPr>
              <w:pStyle w:val="BodyText2"/>
              <w:rPr>
                <w:rFonts w:ascii="Aptos" w:hAnsi="Aptos"/>
              </w:rPr>
            </w:pPr>
          </w:p>
        </w:tc>
      </w:tr>
      <w:tr w:rsidR="00C73618" w:rsidRPr="00A21685" w14:paraId="03FB10A7"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913FC22"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EBC8635"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17581A3" w14:textId="77777777" w:rsidR="00C73618" w:rsidRPr="00550E1F" w:rsidRDefault="00C73618" w:rsidP="0045359F">
            <w:pPr>
              <w:pStyle w:val="BodyText2"/>
              <w:rPr>
                <w:rFonts w:ascii="Aptos" w:hAnsi="Aptos"/>
              </w:rPr>
            </w:pPr>
          </w:p>
        </w:tc>
      </w:tr>
    </w:tbl>
    <w:p w14:paraId="5BDBA0B7" w14:textId="4B20A2DC" w:rsidR="0045359F" w:rsidRPr="00550E1F" w:rsidRDefault="00B03415" w:rsidP="00546DAF">
      <w:pPr>
        <w:pStyle w:val="TableTitle2"/>
        <w:rPr>
          <w:rFonts w:ascii="Aptos" w:hAnsi="Aptos"/>
        </w:rPr>
      </w:pPr>
      <w:r w:rsidRPr="00550E1F">
        <w:rPr>
          <w:rFonts w:ascii="Aptos" w:hAnsi="Aptos"/>
        </w:rPr>
        <w:t>How does your SO define an effective supervising practitioner and identify supervising practitioners that meet those expectations?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7AD7102E" w14:textId="77777777" w:rsidTr="005A7039">
        <w:trPr>
          <w:trHeight w:val="339"/>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733B1FCB" w14:textId="0EF23863"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51BA8041" w14:textId="5525E4BB"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4B67CD11"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28378B6"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2794BB5C" w14:textId="79209866"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FE47BA3" w14:textId="7AEDE21D" w:rsidR="00C73618" w:rsidRPr="00550E1F" w:rsidRDefault="00C73618" w:rsidP="0045359F">
            <w:pPr>
              <w:pStyle w:val="BodyText2"/>
              <w:rPr>
                <w:rFonts w:ascii="Aptos" w:hAnsi="Aptos"/>
              </w:rPr>
            </w:pPr>
          </w:p>
        </w:tc>
      </w:tr>
      <w:tr w:rsidR="00C73618" w:rsidRPr="00A21685" w14:paraId="7347A349"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832EF7F"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051AD1AD"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0EA9AF5" w14:textId="77777777" w:rsidR="00C73618" w:rsidRPr="00550E1F" w:rsidRDefault="00C73618" w:rsidP="0045359F">
            <w:pPr>
              <w:pStyle w:val="BodyText2"/>
              <w:rPr>
                <w:rFonts w:ascii="Aptos" w:hAnsi="Aptos"/>
              </w:rPr>
            </w:pPr>
          </w:p>
        </w:tc>
      </w:tr>
    </w:tbl>
    <w:p w14:paraId="30611618" w14:textId="2F42114D" w:rsidR="0045359F" w:rsidRPr="00550E1F" w:rsidRDefault="00B03415" w:rsidP="00546DAF">
      <w:pPr>
        <w:pStyle w:val="TableTitle2"/>
        <w:rPr>
          <w:rFonts w:ascii="Aptos" w:hAnsi="Aptos"/>
        </w:rPr>
      </w:pPr>
      <w:r w:rsidRPr="00550E1F">
        <w:rPr>
          <w:rFonts w:ascii="Aptos" w:hAnsi="Aptos"/>
        </w:rPr>
        <w:t>How does your SO match candidates with their field-based experience placement sites and supervising practitioners? How does this process ensure that all candidates, particularly those from systemically marginalized groups and communities, have high-quality experiences that honor and value their identities?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00EA117E"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33D610AC" w14:textId="702D1777" w:rsidR="00B03415" w:rsidRPr="00550E1F" w:rsidRDefault="00B03415"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00D4DB34" w14:textId="1A83246F"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58C94EBC"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676DE488"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2EADB9B6" w14:textId="74687C1A"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BA3D2A" w14:textId="77777777" w:rsidR="00C73618" w:rsidRPr="00550E1F" w:rsidRDefault="00C73618" w:rsidP="0045359F">
            <w:pPr>
              <w:pStyle w:val="BodyText2"/>
              <w:rPr>
                <w:rFonts w:ascii="Aptos" w:hAnsi="Aptos"/>
              </w:rPr>
            </w:pPr>
          </w:p>
        </w:tc>
      </w:tr>
      <w:tr w:rsidR="00C73618" w:rsidRPr="00A21685" w14:paraId="396A1EA5"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DDE559E"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58767A4"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69FBEDF" w14:textId="77777777" w:rsidR="00C73618" w:rsidRPr="00550E1F" w:rsidRDefault="00C73618" w:rsidP="0045359F">
            <w:pPr>
              <w:pStyle w:val="BodyText2"/>
              <w:rPr>
                <w:rFonts w:ascii="Aptos" w:hAnsi="Aptos"/>
              </w:rPr>
            </w:pPr>
          </w:p>
        </w:tc>
      </w:tr>
    </w:tbl>
    <w:p w14:paraId="65591F36" w14:textId="506A3814" w:rsidR="0045359F" w:rsidRPr="00550E1F" w:rsidRDefault="00B03415" w:rsidP="002A439D">
      <w:pPr>
        <w:pStyle w:val="TableTitle2"/>
        <w:keepLines/>
        <w:rPr>
          <w:rFonts w:ascii="Aptos" w:hAnsi="Aptos"/>
        </w:rPr>
      </w:pPr>
      <w:r w:rsidRPr="00550E1F">
        <w:rPr>
          <w:rFonts w:ascii="Aptos" w:hAnsi="Aptos"/>
        </w:rPr>
        <w:t>In what ways does your SO provide opportunities for candidates to exercise agency over their own growth and experience by reflecting on how your PK-12 partnerships have impacted their strengths, required supports, and progress toward expected outcomes? In what ways does your SO use candidate feedback and reflections to better understand their experiences in partner schools/districts?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4F882A3A"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61BFB31D" w14:textId="7C82B0C1" w:rsidR="00B03415" w:rsidRPr="00550E1F" w:rsidRDefault="00B03415" w:rsidP="002A439D">
            <w:pPr>
              <w:pStyle w:val="TableHeaderRow2"/>
              <w:keepNext/>
              <w:keepLines/>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57EA388C" w14:textId="117372E6" w:rsidR="00B03415" w:rsidRPr="00550E1F" w:rsidRDefault="00B03415" w:rsidP="002A439D">
            <w:pPr>
              <w:pStyle w:val="TableHeaderRow2"/>
              <w:keepNext/>
              <w:keepLines/>
              <w:ind w:left="72"/>
              <w:rPr>
                <w:rFonts w:ascii="Aptos" w:hAnsi="Aptos"/>
              </w:rPr>
            </w:pPr>
            <w:r w:rsidRPr="00550E1F">
              <w:rPr>
                <w:rFonts w:ascii="Aptos" w:hAnsi="Aptos"/>
              </w:rPr>
              <w:t>Response</w:t>
            </w:r>
          </w:p>
        </w:tc>
      </w:tr>
      <w:tr w:rsidR="00C73618" w:rsidRPr="00A21685" w14:paraId="15749C68"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19B3CB4" w14:textId="77777777" w:rsidR="005F01C7" w:rsidRPr="00550E1F" w:rsidRDefault="00C73618" w:rsidP="002A439D">
            <w:pPr>
              <w:pStyle w:val="BodyText2"/>
              <w:keepNext/>
              <w:keepLines/>
              <w:spacing w:line="240" w:lineRule="auto"/>
              <w:rPr>
                <w:rFonts w:ascii="Aptos" w:hAnsi="Aptos"/>
                <w:b/>
                <w:bCs/>
              </w:rPr>
            </w:pPr>
            <w:r w:rsidRPr="00550E1F">
              <w:rPr>
                <w:rFonts w:ascii="Aptos" w:hAnsi="Aptos"/>
                <w:b/>
                <w:bCs/>
              </w:rPr>
              <w:t>Current Practices and Outcomes</w:t>
            </w:r>
          </w:p>
          <w:p w14:paraId="35C8C4F8" w14:textId="2C9595A9" w:rsidR="00C73618" w:rsidRPr="00550E1F" w:rsidRDefault="00C73618" w:rsidP="002A439D">
            <w:pPr>
              <w:pStyle w:val="BodyText2"/>
              <w:keepNext/>
              <w:keepLines/>
              <w:spacing w:line="240" w:lineRule="auto"/>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72392606" w14:textId="17DBF177" w:rsidR="00C73618" w:rsidRPr="00550E1F" w:rsidRDefault="00C73618" w:rsidP="002A439D">
            <w:pPr>
              <w:pStyle w:val="BodyText2"/>
              <w:keepNext/>
              <w:keepLines/>
              <w:spacing w:line="240" w:lineRule="auto"/>
              <w:rPr>
                <w:rFonts w:ascii="Aptos" w:hAnsi="Aptos"/>
              </w:rPr>
            </w:pPr>
          </w:p>
        </w:tc>
      </w:tr>
      <w:tr w:rsidR="00C73618" w:rsidRPr="00A21685" w14:paraId="40AE1AE8"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5A10EBC" w14:textId="77777777" w:rsidR="00C73618" w:rsidRPr="00550E1F" w:rsidRDefault="00C73618" w:rsidP="00B03415">
            <w:pPr>
              <w:pStyle w:val="BodyText2"/>
              <w:keepNext/>
              <w:spacing w:line="240" w:lineRule="auto"/>
              <w:rPr>
                <w:rFonts w:ascii="Aptos" w:hAnsi="Aptos"/>
                <w:b/>
                <w:bCs/>
              </w:rPr>
            </w:pPr>
            <w:r w:rsidRPr="00550E1F">
              <w:rPr>
                <w:rFonts w:ascii="Aptos" w:hAnsi="Aptos"/>
                <w:b/>
                <w:bCs/>
              </w:rPr>
              <w:t>Areas for Growth and Future Outcomes</w:t>
            </w:r>
          </w:p>
          <w:p w14:paraId="7EBF0AAD" w14:textId="77777777" w:rsidR="00C73618" w:rsidRPr="00550E1F" w:rsidRDefault="00C73618" w:rsidP="00B03415">
            <w:pPr>
              <w:pStyle w:val="BodyText2"/>
              <w:keepNext/>
              <w:spacing w:line="240" w:lineRule="auto"/>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02097A86" w14:textId="77777777" w:rsidR="00C73618" w:rsidRPr="00550E1F" w:rsidRDefault="00C73618" w:rsidP="00B03415">
            <w:pPr>
              <w:pStyle w:val="BodyText2"/>
              <w:keepNext/>
              <w:spacing w:line="240" w:lineRule="auto"/>
              <w:rPr>
                <w:rFonts w:ascii="Aptos" w:hAnsi="Aptos"/>
              </w:rPr>
            </w:pPr>
          </w:p>
        </w:tc>
      </w:tr>
    </w:tbl>
    <w:p w14:paraId="5DA7B69C" w14:textId="5CFF8C7E" w:rsidR="00966189" w:rsidRPr="00550E1F" w:rsidRDefault="00966189">
      <w:pPr>
        <w:spacing w:before="0" w:after="0"/>
        <w:rPr>
          <w:rFonts w:ascii="Aptos" w:eastAsia="Libre Franklin" w:hAnsi="Aptos" w:cs="Libre Franklin"/>
          <w:color w:val="000000" w:themeColor="text1"/>
          <w:szCs w:val="21"/>
        </w:rPr>
      </w:pPr>
    </w:p>
    <w:p w14:paraId="7EE14BE7" w14:textId="4E70EFAE" w:rsidR="0045359F" w:rsidRPr="00550E1F" w:rsidRDefault="00C73618" w:rsidP="005A7039">
      <w:pPr>
        <w:pStyle w:val="Heading4"/>
        <w:rPr>
          <w:rFonts w:ascii="Aptos" w:hAnsi="Aptos"/>
        </w:rPr>
      </w:pPr>
      <w:r w:rsidRPr="00550E1F">
        <w:rPr>
          <w:rFonts w:ascii="Aptos" w:hAnsi="Aptos"/>
        </w:rPr>
        <w:t>PAR 2: The sponsoring organization collaborates with PK-12 partners in order to respond to school/district needs (e.g., increasing the diversity of educators; supporting the use of evidence-based practices, including anti-racist and culturally and linguistically sustaining practices; developing new programs for high-needs subject areas; offering professional development; or providing services for students).</w:t>
      </w:r>
    </w:p>
    <w:p w14:paraId="67F9F765" w14:textId="27E3540A" w:rsidR="00546DAF" w:rsidRPr="00550E1F" w:rsidRDefault="00B03415" w:rsidP="00546DAF">
      <w:pPr>
        <w:pStyle w:val="TableTitle2"/>
        <w:rPr>
          <w:rFonts w:ascii="Aptos" w:hAnsi="Aptos"/>
        </w:rPr>
      </w:pPr>
      <w:r w:rsidRPr="00550E1F">
        <w:rPr>
          <w:rFonts w:ascii="Aptos" w:hAnsi="Aptos"/>
        </w:rPr>
        <w:t>How does your SO build trust, establish responsive relationships, and maintain clear communication with PK-12 school/district partners?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03415" w:rsidRPr="00A21685" w14:paraId="14BCE739" w14:textId="77777777" w:rsidTr="005A703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53D7E8EE" w14:textId="1FC2509F" w:rsidR="00B03415" w:rsidRPr="00550E1F" w:rsidRDefault="00B03415" w:rsidP="00B03415">
            <w:pPr>
              <w:pStyle w:val="TableHeaderRow2"/>
              <w:ind w:left="7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316898DB" w14:textId="5276A72C" w:rsidR="00B03415" w:rsidRPr="00550E1F" w:rsidRDefault="00B03415" w:rsidP="00B03415">
            <w:pPr>
              <w:pStyle w:val="TableHeaderRow2"/>
              <w:ind w:left="72"/>
              <w:rPr>
                <w:rFonts w:ascii="Aptos" w:hAnsi="Aptos"/>
              </w:rPr>
            </w:pPr>
            <w:r w:rsidRPr="00550E1F">
              <w:rPr>
                <w:rFonts w:ascii="Aptos" w:hAnsi="Aptos"/>
              </w:rPr>
              <w:t>Response</w:t>
            </w:r>
          </w:p>
        </w:tc>
      </w:tr>
      <w:tr w:rsidR="00C73618" w:rsidRPr="00A21685" w14:paraId="0FD2E6CB" w14:textId="77777777" w:rsidTr="005A703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DFF2B22" w14:textId="3B7483BB" w:rsidR="00C73618" w:rsidRPr="00550E1F" w:rsidRDefault="00C73618" w:rsidP="0045359F">
            <w:pPr>
              <w:pStyle w:val="BodyText2"/>
              <w:rPr>
                <w:rFonts w:ascii="Aptos" w:hAnsi="Aptos"/>
                <w:b/>
                <w:bCs/>
              </w:rPr>
            </w:pPr>
            <w:r w:rsidRPr="00550E1F">
              <w:rPr>
                <w:rFonts w:ascii="Aptos" w:hAnsi="Aptos"/>
                <w:b/>
                <w:bCs/>
              </w:rPr>
              <w:t>Current Practices and Outcomes</w:t>
            </w:r>
          </w:p>
          <w:p w14:paraId="31267E63" w14:textId="77777777"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2CCB56EF" w14:textId="7BB6AFB8" w:rsidR="00C73618" w:rsidRPr="00550E1F" w:rsidRDefault="00C73618" w:rsidP="0045359F">
            <w:pPr>
              <w:pStyle w:val="BodyText2"/>
              <w:rPr>
                <w:rFonts w:ascii="Aptos" w:hAnsi="Aptos"/>
              </w:rPr>
            </w:pPr>
          </w:p>
        </w:tc>
      </w:tr>
      <w:tr w:rsidR="00C73618" w:rsidRPr="00A21685" w14:paraId="1BAB9F44"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8ECB6AA"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C286516"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4BAC1DA" w14:textId="0AFE73AA" w:rsidR="00C73618" w:rsidRPr="00550E1F" w:rsidRDefault="00C73618" w:rsidP="0045359F">
            <w:pPr>
              <w:pStyle w:val="BodyText2"/>
              <w:rPr>
                <w:rFonts w:ascii="Aptos" w:hAnsi="Aptos"/>
              </w:rPr>
            </w:pPr>
          </w:p>
        </w:tc>
      </w:tr>
    </w:tbl>
    <w:p w14:paraId="6482140E" w14:textId="62A336C6" w:rsidR="0045359F" w:rsidRPr="00550E1F" w:rsidRDefault="00A96EC9" w:rsidP="00546DAF">
      <w:pPr>
        <w:pStyle w:val="TableTitle2"/>
        <w:rPr>
          <w:rFonts w:ascii="Aptos" w:hAnsi="Aptos"/>
        </w:rPr>
      </w:pPr>
      <w:r w:rsidRPr="00550E1F">
        <w:rPr>
          <w:rFonts w:ascii="Aptos" w:hAnsi="Aptos"/>
        </w:rPr>
        <w:t>How does your SO seek to understand and responsively attend to PK-12 partner school/district needs? Whose voices are included in that process?</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B32997" w:rsidRPr="00A21685" w14:paraId="70B28C92"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230D8DF0" w14:textId="77777777" w:rsidR="00B32997" w:rsidRPr="00550E1F" w:rsidRDefault="00B32997" w:rsidP="007F632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4" w:space="0" w:color="000000"/>
              <w:right w:val="single" w:sz="6" w:space="0" w:color="000000"/>
            </w:tcBorders>
            <w:shd w:val="clear" w:color="auto" w:fill="8C1176"/>
          </w:tcPr>
          <w:p w14:paraId="5A0AF053" w14:textId="77777777" w:rsidR="00B32997" w:rsidRPr="00550E1F" w:rsidRDefault="00B32997" w:rsidP="007F632E">
            <w:pPr>
              <w:pStyle w:val="TableHeaderRow2"/>
              <w:ind w:left="72"/>
              <w:rPr>
                <w:rFonts w:ascii="Aptos" w:hAnsi="Aptos"/>
              </w:rPr>
            </w:pPr>
            <w:r w:rsidRPr="00550E1F">
              <w:rPr>
                <w:rFonts w:ascii="Aptos" w:hAnsi="Aptos"/>
              </w:rPr>
              <w:t>Response</w:t>
            </w:r>
          </w:p>
        </w:tc>
      </w:tr>
      <w:tr w:rsidR="00B32997" w:rsidRPr="00A21685" w14:paraId="483C905B"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0CC7B6E0" w14:textId="77777777" w:rsidR="00B32997" w:rsidRPr="00550E1F" w:rsidRDefault="00B32997" w:rsidP="007F632E">
            <w:pPr>
              <w:pStyle w:val="BodyText2"/>
              <w:rPr>
                <w:rFonts w:ascii="Aptos" w:hAnsi="Aptos"/>
                <w:b/>
                <w:bCs/>
              </w:rPr>
            </w:pPr>
            <w:r w:rsidRPr="00550E1F">
              <w:rPr>
                <w:rFonts w:ascii="Aptos" w:hAnsi="Aptos"/>
                <w:b/>
                <w:bCs/>
              </w:rPr>
              <w:t>Current Practices and Outcomes</w:t>
            </w:r>
          </w:p>
          <w:p w14:paraId="64BF7056" w14:textId="77777777" w:rsidR="00B32997" w:rsidRPr="00550E1F" w:rsidRDefault="00B32997" w:rsidP="007F632E">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F457F97" w14:textId="77777777" w:rsidR="00B32997" w:rsidRPr="00550E1F" w:rsidRDefault="00B32997" w:rsidP="007F632E">
            <w:pPr>
              <w:pStyle w:val="BodyText2"/>
              <w:rPr>
                <w:rFonts w:ascii="Aptos" w:hAnsi="Aptos"/>
              </w:rPr>
            </w:pPr>
          </w:p>
        </w:tc>
      </w:tr>
      <w:tr w:rsidR="00B32997" w:rsidRPr="00A21685" w14:paraId="20ADEB57"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567ADE5B" w14:textId="77777777" w:rsidR="00B32997" w:rsidRPr="00550E1F" w:rsidRDefault="00B32997" w:rsidP="007F632E">
            <w:pPr>
              <w:pStyle w:val="BodyText2"/>
              <w:rPr>
                <w:rFonts w:ascii="Aptos" w:hAnsi="Aptos"/>
                <w:b/>
                <w:bCs/>
              </w:rPr>
            </w:pPr>
            <w:r w:rsidRPr="00550E1F">
              <w:rPr>
                <w:rFonts w:ascii="Aptos" w:hAnsi="Aptos"/>
                <w:b/>
                <w:bCs/>
              </w:rPr>
              <w:t>Areas for Growth and Future Outcomes</w:t>
            </w:r>
          </w:p>
          <w:p w14:paraId="42B12718" w14:textId="77777777" w:rsidR="00B32997" w:rsidRPr="00550E1F" w:rsidRDefault="00B32997" w:rsidP="007F632E">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1359BFD" w14:textId="77777777" w:rsidR="00B32997" w:rsidRPr="00550E1F" w:rsidRDefault="00B32997" w:rsidP="007F632E">
            <w:pPr>
              <w:pStyle w:val="BodyText2"/>
              <w:rPr>
                <w:rFonts w:ascii="Aptos" w:hAnsi="Aptos"/>
              </w:rPr>
            </w:pPr>
          </w:p>
        </w:tc>
      </w:tr>
    </w:tbl>
    <w:p w14:paraId="005CF6DE" w14:textId="798621C3" w:rsidR="0045359F" w:rsidRPr="00550E1F" w:rsidRDefault="00A96EC9" w:rsidP="00A96EC9">
      <w:pPr>
        <w:pStyle w:val="TableTitle2"/>
        <w:rPr>
          <w:rFonts w:ascii="Aptos" w:hAnsi="Aptos"/>
        </w:rPr>
      </w:pPr>
      <w:r w:rsidRPr="00550E1F">
        <w:rPr>
          <w:rFonts w:ascii="Aptos" w:hAnsi="Aptos"/>
        </w:rPr>
        <w:t>How do the SO and PK-12 partners develop and implement opportunities for two-way feedback and to learn from one another?</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A96EC9" w:rsidRPr="00A21685" w14:paraId="37432C72" w14:textId="77777777" w:rsidTr="005A7039">
        <w:trPr>
          <w:trHeight w:val="300"/>
        </w:trPr>
        <w:tc>
          <w:tcPr>
            <w:tcW w:w="5213" w:type="dxa"/>
            <w:tcBorders>
              <w:top w:val="single" w:sz="4"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1848C436" w14:textId="01D64821" w:rsidR="00A96EC9" w:rsidRPr="00550E1F" w:rsidRDefault="00A96EC9" w:rsidP="00A96EC9">
            <w:pPr>
              <w:pStyle w:val="TableHeaderRow2"/>
              <w:keepNext/>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6" w:space="0" w:color="000000"/>
              <w:right w:val="single" w:sz="6" w:space="0" w:color="000000"/>
            </w:tcBorders>
            <w:shd w:val="clear" w:color="auto" w:fill="8C1176"/>
          </w:tcPr>
          <w:p w14:paraId="4A90FCE8" w14:textId="47202743" w:rsidR="00A96EC9" w:rsidRPr="00550E1F" w:rsidRDefault="00A96EC9" w:rsidP="00A96EC9">
            <w:pPr>
              <w:pStyle w:val="TableHeaderRow2"/>
              <w:keepNext/>
              <w:ind w:left="72"/>
              <w:rPr>
                <w:rFonts w:ascii="Aptos" w:hAnsi="Aptos"/>
              </w:rPr>
            </w:pPr>
            <w:r w:rsidRPr="00550E1F">
              <w:rPr>
                <w:rFonts w:ascii="Aptos" w:hAnsi="Aptos"/>
              </w:rPr>
              <w:t>Response</w:t>
            </w:r>
          </w:p>
        </w:tc>
      </w:tr>
      <w:tr w:rsidR="00C73618" w:rsidRPr="00A21685" w14:paraId="752FFC7D"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CA665CA" w14:textId="77777777" w:rsidR="005F01C7" w:rsidRPr="00550E1F" w:rsidRDefault="00C73618" w:rsidP="00A96EC9">
            <w:pPr>
              <w:pStyle w:val="BodyText2"/>
              <w:keepNext/>
              <w:spacing w:line="240" w:lineRule="auto"/>
              <w:rPr>
                <w:rFonts w:ascii="Aptos" w:hAnsi="Aptos"/>
                <w:b/>
                <w:bCs/>
              </w:rPr>
            </w:pPr>
            <w:r w:rsidRPr="00550E1F">
              <w:rPr>
                <w:rFonts w:ascii="Aptos" w:hAnsi="Aptos"/>
                <w:b/>
                <w:bCs/>
              </w:rPr>
              <w:t>Current Practices and Outcomes</w:t>
            </w:r>
          </w:p>
          <w:p w14:paraId="270CD4ED" w14:textId="4DB5A5CC" w:rsidR="00C73618" w:rsidRPr="00550E1F" w:rsidRDefault="00C73618" w:rsidP="00A96EC9">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25154D3" w14:textId="2A8032A3" w:rsidR="00C73618" w:rsidRPr="00550E1F" w:rsidRDefault="00C73618" w:rsidP="00A96EC9">
            <w:pPr>
              <w:pStyle w:val="BodyText2"/>
              <w:keepNext/>
              <w:spacing w:line="240" w:lineRule="auto"/>
              <w:rPr>
                <w:rFonts w:ascii="Aptos" w:hAnsi="Aptos"/>
              </w:rPr>
            </w:pPr>
          </w:p>
        </w:tc>
      </w:tr>
      <w:tr w:rsidR="00C73618" w:rsidRPr="00A21685" w14:paraId="1664F759"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4CF63F72"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DECD1F5"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13F59CE" w14:textId="77777777" w:rsidR="00C73618" w:rsidRPr="00550E1F" w:rsidRDefault="00C73618" w:rsidP="0045359F">
            <w:pPr>
              <w:pStyle w:val="BodyText2"/>
              <w:rPr>
                <w:rFonts w:ascii="Aptos" w:hAnsi="Aptos"/>
              </w:rPr>
            </w:pPr>
          </w:p>
        </w:tc>
      </w:tr>
    </w:tbl>
    <w:p w14:paraId="4AAD7E06" w14:textId="5937ACC0" w:rsidR="0045359F" w:rsidRPr="00550E1F" w:rsidRDefault="00C5311C" w:rsidP="00546DAF">
      <w:pPr>
        <w:pStyle w:val="TableTitle2"/>
        <w:rPr>
          <w:rFonts w:ascii="Aptos" w:hAnsi="Aptos"/>
        </w:rPr>
      </w:pPr>
      <w:r w:rsidRPr="00550E1F">
        <w:rPr>
          <w:rFonts w:ascii="Aptos" w:hAnsi="Aptos"/>
        </w:rPr>
        <w:t>What processes are in place to solicit input from PK-12 partners on the strengths and areas for growth in the partnership? Whose voices are represented in that input?</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C5311C" w:rsidRPr="00A21685" w14:paraId="43974B8E"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2B6B564F" w14:textId="69ECB2E3" w:rsidR="00C5311C" w:rsidRPr="00550E1F" w:rsidRDefault="00C5311C"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3D60BF4A" w14:textId="3ED742BB" w:rsidR="00C5311C" w:rsidRPr="00550E1F" w:rsidRDefault="00C5311C" w:rsidP="00C5311C">
            <w:pPr>
              <w:pStyle w:val="TableHeaderRow2"/>
              <w:ind w:left="72"/>
              <w:rPr>
                <w:rFonts w:ascii="Aptos" w:hAnsi="Aptos"/>
              </w:rPr>
            </w:pPr>
            <w:r w:rsidRPr="00550E1F">
              <w:rPr>
                <w:rFonts w:ascii="Aptos" w:hAnsi="Aptos"/>
              </w:rPr>
              <w:t>Response</w:t>
            </w:r>
          </w:p>
        </w:tc>
      </w:tr>
      <w:tr w:rsidR="00C73618" w:rsidRPr="00A21685" w14:paraId="2787401D"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5380DC46"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1E3A5FFA" w14:textId="43D4BDC4"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4080C80C" w14:textId="407DA57F" w:rsidR="00C73618" w:rsidRPr="00550E1F" w:rsidRDefault="00C73618" w:rsidP="0045359F">
            <w:pPr>
              <w:pStyle w:val="BodyText2"/>
              <w:rPr>
                <w:rFonts w:ascii="Aptos" w:hAnsi="Aptos"/>
              </w:rPr>
            </w:pPr>
          </w:p>
        </w:tc>
      </w:tr>
      <w:tr w:rsidR="00C73618" w:rsidRPr="00A21685" w14:paraId="200381F7"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AB36484"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1F23D679"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3CE7B47A" w14:textId="77777777" w:rsidR="00C73618" w:rsidRPr="00550E1F" w:rsidRDefault="00C73618" w:rsidP="0045359F">
            <w:pPr>
              <w:pStyle w:val="BodyText2"/>
              <w:rPr>
                <w:rFonts w:ascii="Aptos" w:hAnsi="Aptos"/>
              </w:rPr>
            </w:pPr>
          </w:p>
        </w:tc>
      </w:tr>
    </w:tbl>
    <w:p w14:paraId="08A945A9" w14:textId="3722E099" w:rsidR="0045359F" w:rsidRPr="00550E1F" w:rsidRDefault="00C5311C" w:rsidP="00546DAF">
      <w:pPr>
        <w:pStyle w:val="TableTitle2"/>
        <w:rPr>
          <w:rFonts w:ascii="Aptos" w:hAnsi="Aptos"/>
        </w:rPr>
      </w:pPr>
      <w:r w:rsidRPr="00550E1F">
        <w:rPr>
          <w:rFonts w:ascii="Aptos" w:hAnsi="Aptos"/>
        </w:rPr>
        <w:t>How does your SO analyze the input to decide what actions to take to build upon what is working well in its partnerships? To address areas for growth in its partnerships? Whose voices are represented in this decision-making?</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C5311C" w:rsidRPr="00A21685" w14:paraId="7E28570B"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105" w:type="dxa"/>
              <w:bottom w:w="0" w:type="dxa"/>
              <w:right w:w="105" w:type="dxa"/>
            </w:tcMar>
            <w:hideMark/>
          </w:tcPr>
          <w:p w14:paraId="0C1A5E26" w14:textId="0095CADB" w:rsidR="00C5311C" w:rsidRPr="00550E1F" w:rsidRDefault="00C5311C" w:rsidP="00705DBE">
            <w:pPr>
              <w:pStyle w:val="TableHeaderRow2"/>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58D4FE30" w14:textId="6E8489F7" w:rsidR="00C5311C" w:rsidRPr="00550E1F" w:rsidRDefault="00C5311C" w:rsidP="00C5311C">
            <w:pPr>
              <w:pStyle w:val="TableHeaderRow2"/>
              <w:ind w:left="72"/>
              <w:rPr>
                <w:rFonts w:ascii="Aptos" w:hAnsi="Aptos"/>
              </w:rPr>
            </w:pPr>
            <w:r w:rsidRPr="00550E1F">
              <w:rPr>
                <w:rFonts w:ascii="Aptos" w:hAnsi="Aptos"/>
              </w:rPr>
              <w:t>Response</w:t>
            </w:r>
          </w:p>
        </w:tc>
      </w:tr>
      <w:tr w:rsidR="00C73618" w:rsidRPr="00A21685" w14:paraId="1BF2498C"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7B4472A3"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6CA03881" w14:textId="0B2DE8B1"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59A4A246" w14:textId="77777777" w:rsidR="00C73618" w:rsidRPr="00550E1F" w:rsidRDefault="00C73618" w:rsidP="0045359F">
            <w:pPr>
              <w:pStyle w:val="BodyText2"/>
              <w:rPr>
                <w:rFonts w:ascii="Aptos" w:hAnsi="Aptos"/>
              </w:rPr>
            </w:pPr>
          </w:p>
        </w:tc>
      </w:tr>
      <w:tr w:rsidR="00C73618" w:rsidRPr="00A21685" w14:paraId="0991DE97" w14:textId="77777777" w:rsidTr="005A7039">
        <w:trPr>
          <w:trHeight w:val="300"/>
        </w:trPr>
        <w:tc>
          <w:tcPr>
            <w:tcW w:w="521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8FC4BD6"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1F631A0"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1CDA9BA6" w14:textId="77777777" w:rsidR="00C73618" w:rsidRPr="00550E1F" w:rsidRDefault="00C73618" w:rsidP="0045359F">
            <w:pPr>
              <w:pStyle w:val="BodyText2"/>
              <w:rPr>
                <w:rFonts w:ascii="Aptos" w:hAnsi="Aptos"/>
              </w:rPr>
            </w:pPr>
          </w:p>
        </w:tc>
      </w:tr>
    </w:tbl>
    <w:p w14:paraId="099E1A08" w14:textId="6B531694" w:rsidR="00C73618" w:rsidRPr="00550E1F" w:rsidRDefault="00C73618" w:rsidP="005A7039">
      <w:pPr>
        <w:pStyle w:val="Heading4"/>
        <w:rPr>
          <w:rFonts w:ascii="Aptos" w:hAnsi="Aptos"/>
        </w:rPr>
      </w:pPr>
      <w:r w:rsidRPr="00550E1F">
        <w:rPr>
          <w:rFonts w:ascii="Aptos" w:hAnsi="Aptos"/>
        </w:rPr>
        <w:t>PAR 3: The sponsoring organization solicits input from PK-12 partners to identify its strengths and areas for growth and takes aligned actions (e.g., improving preparation curriculum, strengthening field-based experiences).</w:t>
      </w:r>
    </w:p>
    <w:p w14:paraId="26CCD362" w14:textId="059BAD35" w:rsidR="00546DAF" w:rsidRPr="00550E1F" w:rsidRDefault="00C5311C" w:rsidP="00C5311C">
      <w:pPr>
        <w:pStyle w:val="TableTitle2"/>
        <w:rPr>
          <w:rFonts w:ascii="Aptos" w:hAnsi="Aptos"/>
        </w:rPr>
      </w:pPr>
      <w:r w:rsidRPr="00550E1F">
        <w:rPr>
          <w:rFonts w:ascii="Aptos" w:hAnsi="Aptos"/>
        </w:rPr>
        <w:t>What processes are in place to solicit input from PK-12 partners on the strengths and areas for growth in preparation programs? Whose voices are represented in that input?</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C5311C" w:rsidRPr="00A21685" w14:paraId="71872566" w14:textId="77777777" w:rsidTr="005A7039">
        <w:trPr>
          <w:trHeight w:val="285"/>
        </w:trPr>
        <w:tc>
          <w:tcPr>
            <w:tcW w:w="5213" w:type="dxa"/>
            <w:tcBorders>
              <w:top w:val="single" w:sz="6" w:space="0" w:color="000000"/>
              <w:left w:val="single" w:sz="6" w:space="0" w:color="000000"/>
              <w:bottom w:val="single" w:sz="6" w:space="0" w:color="000000"/>
              <w:right w:val="single" w:sz="6" w:space="0" w:color="000000"/>
            </w:tcBorders>
            <w:shd w:val="clear" w:color="auto" w:fill="8C1176"/>
            <w:tcMar>
              <w:top w:w="0" w:type="dxa"/>
              <w:left w:w="90" w:type="dxa"/>
              <w:bottom w:w="0" w:type="dxa"/>
              <w:right w:w="90" w:type="dxa"/>
            </w:tcMar>
            <w:hideMark/>
          </w:tcPr>
          <w:p w14:paraId="62E44B5A" w14:textId="4EAA3ADD" w:rsidR="00C5311C" w:rsidRPr="00550E1F" w:rsidRDefault="00C5311C" w:rsidP="00C5311C">
            <w:pPr>
              <w:pStyle w:val="TableHeaderRow2"/>
              <w:keepNext/>
              <w:rPr>
                <w:rFonts w:ascii="Aptos" w:hAnsi="Aptos"/>
              </w:rPr>
            </w:pPr>
            <w:r w:rsidRPr="00550E1F">
              <w:rPr>
                <w:rFonts w:ascii="Aptos" w:hAnsi="Aptos"/>
              </w:rPr>
              <w:t>Question</w:t>
            </w:r>
          </w:p>
        </w:tc>
        <w:tc>
          <w:tcPr>
            <w:tcW w:w="8819" w:type="dxa"/>
            <w:tcBorders>
              <w:top w:val="single" w:sz="6" w:space="0" w:color="000000"/>
              <w:left w:val="single" w:sz="6" w:space="0" w:color="000000"/>
              <w:bottom w:val="single" w:sz="6" w:space="0" w:color="000000"/>
              <w:right w:val="single" w:sz="6" w:space="0" w:color="000000"/>
            </w:tcBorders>
            <w:shd w:val="clear" w:color="auto" w:fill="8C1176"/>
          </w:tcPr>
          <w:p w14:paraId="2C7DCF51" w14:textId="4277FCCE" w:rsidR="00C5311C" w:rsidRPr="00550E1F" w:rsidRDefault="00C5311C" w:rsidP="00C5311C">
            <w:pPr>
              <w:pStyle w:val="TableHeaderRow2"/>
              <w:keepNext/>
              <w:ind w:left="72"/>
              <w:rPr>
                <w:rFonts w:ascii="Aptos" w:hAnsi="Aptos"/>
              </w:rPr>
            </w:pPr>
            <w:r w:rsidRPr="00550E1F">
              <w:rPr>
                <w:rFonts w:ascii="Aptos" w:hAnsi="Aptos"/>
              </w:rPr>
              <w:t>Response</w:t>
            </w:r>
          </w:p>
        </w:tc>
      </w:tr>
      <w:tr w:rsidR="00C73618" w:rsidRPr="00A21685" w14:paraId="6BCA7F99" w14:textId="77777777" w:rsidTr="005A7039">
        <w:trPr>
          <w:trHeight w:val="360"/>
        </w:trPr>
        <w:tc>
          <w:tcPr>
            <w:tcW w:w="5213"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68B2A520" w14:textId="5CEF62A0" w:rsidR="00C73618" w:rsidRPr="00550E1F" w:rsidRDefault="00C73618" w:rsidP="00C5311C">
            <w:pPr>
              <w:pStyle w:val="BodyText2"/>
              <w:keepNext/>
              <w:spacing w:line="240" w:lineRule="auto"/>
              <w:rPr>
                <w:rFonts w:ascii="Aptos" w:hAnsi="Aptos"/>
                <w:b/>
                <w:bCs/>
              </w:rPr>
            </w:pPr>
            <w:r w:rsidRPr="00550E1F">
              <w:rPr>
                <w:rFonts w:ascii="Aptos" w:hAnsi="Aptos"/>
                <w:b/>
                <w:bCs/>
              </w:rPr>
              <w:t>Current Practices and Outcomes</w:t>
            </w:r>
          </w:p>
          <w:p w14:paraId="2875AC32" w14:textId="77777777" w:rsidR="00C73618" w:rsidRPr="00550E1F" w:rsidRDefault="00C73618" w:rsidP="00C5311C">
            <w:pPr>
              <w:pStyle w:val="BodyText2"/>
              <w:keepNext/>
              <w:spacing w:line="240" w:lineRule="auto"/>
              <w:rPr>
                <w:rFonts w:ascii="Aptos" w:hAnsi="Aptos"/>
              </w:rPr>
            </w:pPr>
            <w:r w:rsidRPr="00550E1F">
              <w:rPr>
                <w:rFonts w:ascii="Aptos" w:hAnsi="Aptos"/>
              </w:rPr>
              <w:t>(What are you doing now? How do you know whether and for whom it is working?)</w:t>
            </w:r>
          </w:p>
        </w:tc>
        <w:tc>
          <w:tcPr>
            <w:tcW w:w="8819" w:type="dxa"/>
            <w:tcBorders>
              <w:top w:val="single" w:sz="6"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455BBF66" w14:textId="180A4001" w:rsidR="00C73618" w:rsidRPr="00550E1F" w:rsidRDefault="00C73618" w:rsidP="00C5311C">
            <w:pPr>
              <w:pStyle w:val="BodyText2"/>
              <w:keepNext/>
              <w:spacing w:line="240" w:lineRule="auto"/>
              <w:rPr>
                <w:rFonts w:ascii="Aptos" w:hAnsi="Aptos"/>
              </w:rPr>
            </w:pPr>
          </w:p>
        </w:tc>
      </w:tr>
      <w:tr w:rsidR="00C73618" w:rsidRPr="00A21685" w14:paraId="7370EA70"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528DFEBA"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2C720003"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4" w:space="0" w:color="000000"/>
              <w:right w:val="single" w:sz="6" w:space="0" w:color="000000"/>
            </w:tcBorders>
            <w:tcMar>
              <w:top w:w="0" w:type="dxa"/>
              <w:left w:w="90" w:type="dxa"/>
              <w:bottom w:w="0" w:type="dxa"/>
              <w:right w:w="90" w:type="dxa"/>
            </w:tcMar>
            <w:hideMark/>
          </w:tcPr>
          <w:p w14:paraId="2C772FC9" w14:textId="5C4633C3" w:rsidR="00C73618" w:rsidRPr="00550E1F" w:rsidRDefault="00C73618" w:rsidP="0045359F">
            <w:pPr>
              <w:pStyle w:val="BodyText2"/>
              <w:rPr>
                <w:rFonts w:ascii="Aptos" w:hAnsi="Aptos"/>
              </w:rPr>
            </w:pPr>
          </w:p>
        </w:tc>
      </w:tr>
    </w:tbl>
    <w:p w14:paraId="71F7D992" w14:textId="51D8461E" w:rsidR="00A823A7" w:rsidRPr="00550E1F" w:rsidRDefault="00C5311C" w:rsidP="00546DAF">
      <w:pPr>
        <w:pStyle w:val="TableTitle2"/>
        <w:rPr>
          <w:rFonts w:ascii="Aptos" w:hAnsi="Aptos"/>
        </w:rPr>
      </w:pPr>
      <w:r w:rsidRPr="00550E1F">
        <w:rPr>
          <w:rFonts w:ascii="Aptos" w:hAnsi="Aptos"/>
        </w:rPr>
        <w:t>How does your SO analyze the input to decide what actions to take to build upon what is working well in preparation programs? To address areas for growth in preparation programs? Whose voices are represented in this decision-making?</w:t>
      </w:r>
    </w:p>
    <w:tbl>
      <w:tblPr>
        <w:tblW w:w="14032" w:type="dxa"/>
        <w:tblCellMar>
          <w:top w:w="15" w:type="dxa"/>
          <w:left w:w="15" w:type="dxa"/>
          <w:bottom w:w="15" w:type="dxa"/>
          <w:right w:w="15" w:type="dxa"/>
        </w:tblCellMar>
        <w:tblLook w:val="04A0" w:firstRow="1" w:lastRow="0" w:firstColumn="1" w:lastColumn="0" w:noHBand="0" w:noVBand="1"/>
      </w:tblPr>
      <w:tblGrid>
        <w:gridCol w:w="5213"/>
        <w:gridCol w:w="8819"/>
      </w:tblGrid>
      <w:tr w:rsidR="00C5311C" w:rsidRPr="00A21685" w14:paraId="40069C77"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8C1176"/>
            <w:tcMar>
              <w:top w:w="0" w:type="dxa"/>
              <w:left w:w="90" w:type="dxa"/>
              <w:bottom w:w="0" w:type="dxa"/>
              <w:right w:w="90" w:type="dxa"/>
            </w:tcMar>
            <w:hideMark/>
          </w:tcPr>
          <w:p w14:paraId="3C76617B" w14:textId="44AFAF16" w:rsidR="00C5311C" w:rsidRPr="00550E1F" w:rsidRDefault="00C5311C" w:rsidP="00705DBE">
            <w:pPr>
              <w:pStyle w:val="TableHeaderRow2"/>
              <w:rPr>
                <w:rFonts w:ascii="Aptos" w:hAnsi="Aptos"/>
              </w:rPr>
            </w:pPr>
            <w:r w:rsidRPr="00550E1F">
              <w:rPr>
                <w:rFonts w:ascii="Aptos" w:hAnsi="Aptos"/>
              </w:rPr>
              <w:t>Question</w:t>
            </w:r>
          </w:p>
        </w:tc>
        <w:tc>
          <w:tcPr>
            <w:tcW w:w="8819" w:type="dxa"/>
            <w:tcBorders>
              <w:top w:val="single" w:sz="4" w:space="0" w:color="000000"/>
              <w:left w:val="single" w:sz="6" w:space="0" w:color="000000"/>
              <w:bottom w:val="single" w:sz="4" w:space="0" w:color="000000"/>
              <w:right w:val="single" w:sz="6" w:space="0" w:color="000000"/>
            </w:tcBorders>
            <w:shd w:val="clear" w:color="auto" w:fill="8C1176"/>
          </w:tcPr>
          <w:p w14:paraId="75CFCD5F" w14:textId="267FE808" w:rsidR="00C5311C" w:rsidRPr="00550E1F" w:rsidRDefault="00C5311C" w:rsidP="00C5311C">
            <w:pPr>
              <w:pStyle w:val="TableHeaderRow2"/>
              <w:ind w:left="72"/>
              <w:rPr>
                <w:rFonts w:ascii="Aptos" w:hAnsi="Aptos"/>
              </w:rPr>
            </w:pPr>
            <w:r w:rsidRPr="00550E1F">
              <w:rPr>
                <w:rFonts w:ascii="Aptos" w:hAnsi="Aptos"/>
              </w:rPr>
              <w:t>Response</w:t>
            </w:r>
          </w:p>
        </w:tc>
      </w:tr>
      <w:tr w:rsidR="00C73618" w:rsidRPr="00A21685" w14:paraId="3331FFA0" w14:textId="77777777" w:rsidTr="005A7039">
        <w:trPr>
          <w:trHeight w:val="285"/>
        </w:trPr>
        <w:tc>
          <w:tcPr>
            <w:tcW w:w="5213"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11033328" w14:textId="77777777" w:rsidR="005F01C7" w:rsidRPr="00550E1F" w:rsidRDefault="00C73618" w:rsidP="0045359F">
            <w:pPr>
              <w:pStyle w:val="BodyText2"/>
              <w:rPr>
                <w:rFonts w:ascii="Aptos" w:hAnsi="Aptos"/>
                <w:b/>
                <w:bCs/>
              </w:rPr>
            </w:pPr>
            <w:r w:rsidRPr="00550E1F">
              <w:rPr>
                <w:rFonts w:ascii="Aptos" w:hAnsi="Aptos"/>
                <w:b/>
                <w:bCs/>
              </w:rPr>
              <w:t>Current Practices and Outcomes</w:t>
            </w:r>
          </w:p>
          <w:p w14:paraId="58AD4AE2" w14:textId="40FBA55A" w:rsidR="00C73618" w:rsidRPr="00550E1F" w:rsidRDefault="00C73618" w:rsidP="0045359F">
            <w:pPr>
              <w:pStyle w:val="BodyText2"/>
              <w:rPr>
                <w:rFonts w:ascii="Aptos" w:hAnsi="Aptos"/>
              </w:rPr>
            </w:pPr>
            <w:r w:rsidRPr="00550E1F">
              <w:rPr>
                <w:rFonts w:ascii="Aptos" w:hAnsi="Aptos"/>
              </w:rPr>
              <w:t>(What are you doing now? How do you know whether and for whom it is working?)</w:t>
            </w:r>
          </w:p>
        </w:tc>
        <w:tc>
          <w:tcPr>
            <w:tcW w:w="8819" w:type="dxa"/>
            <w:tcBorders>
              <w:top w:val="single" w:sz="4" w:space="0" w:color="000000"/>
              <w:left w:val="single" w:sz="6" w:space="0" w:color="000000"/>
              <w:bottom w:val="single" w:sz="4" w:space="0" w:color="000000"/>
              <w:right w:val="single" w:sz="6" w:space="0" w:color="000000"/>
            </w:tcBorders>
            <w:shd w:val="clear" w:color="auto" w:fill="FFFFFF"/>
            <w:tcMar>
              <w:top w:w="0" w:type="dxa"/>
              <w:left w:w="90" w:type="dxa"/>
              <w:bottom w:w="0" w:type="dxa"/>
              <w:right w:w="90" w:type="dxa"/>
            </w:tcMar>
            <w:hideMark/>
          </w:tcPr>
          <w:p w14:paraId="0B1EAF26" w14:textId="43B16D85" w:rsidR="00C73618" w:rsidRPr="00550E1F" w:rsidRDefault="00C73618" w:rsidP="0045359F">
            <w:pPr>
              <w:pStyle w:val="BodyText2"/>
              <w:rPr>
                <w:rFonts w:ascii="Aptos" w:hAnsi="Aptos"/>
              </w:rPr>
            </w:pPr>
          </w:p>
        </w:tc>
      </w:tr>
      <w:tr w:rsidR="00C73618" w:rsidRPr="00A21685" w14:paraId="7D976BA3" w14:textId="77777777" w:rsidTr="005A7039">
        <w:trPr>
          <w:trHeight w:val="285"/>
        </w:trPr>
        <w:tc>
          <w:tcPr>
            <w:tcW w:w="5213" w:type="dxa"/>
            <w:tcBorders>
              <w:top w:val="single" w:sz="4" w:space="0" w:color="000000"/>
              <w:left w:val="single" w:sz="6" w:space="0" w:color="000000"/>
              <w:bottom w:val="single" w:sz="6" w:space="0" w:color="000000"/>
              <w:right w:val="single" w:sz="6" w:space="0" w:color="000000"/>
            </w:tcBorders>
            <w:shd w:val="clear" w:color="auto" w:fill="FFFFFF"/>
            <w:tcMar>
              <w:top w:w="0" w:type="dxa"/>
              <w:left w:w="90" w:type="dxa"/>
              <w:bottom w:w="0" w:type="dxa"/>
              <w:right w:w="90" w:type="dxa"/>
            </w:tcMar>
            <w:hideMark/>
          </w:tcPr>
          <w:p w14:paraId="20286728" w14:textId="77777777" w:rsidR="00C73618" w:rsidRPr="00550E1F" w:rsidRDefault="00C73618" w:rsidP="0045359F">
            <w:pPr>
              <w:pStyle w:val="BodyText2"/>
              <w:rPr>
                <w:rFonts w:ascii="Aptos" w:hAnsi="Aptos"/>
                <w:b/>
                <w:bCs/>
              </w:rPr>
            </w:pPr>
            <w:r w:rsidRPr="00550E1F">
              <w:rPr>
                <w:rFonts w:ascii="Aptos" w:hAnsi="Aptos"/>
                <w:b/>
                <w:bCs/>
              </w:rPr>
              <w:t>Areas for Growth and Future Outcomes</w:t>
            </w:r>
          </w:p>
          <w:p w14:paraId="490A2EB1" w14:textId="77777777" w:rsidR="00C73618" w:rsidRPr="00550E1F" w:rsidRDefault="00C73618" w:rsidP="0045359F">
            <w:pPr>
              <w:pStyle w:val="BodyText2"/>
              <w:rPr>
                <w:rFonts w:ascii="Aptos" w:hAnsi="Aptos"/>
              </w:rPr>
            </w:pPr>
            <w:r w:rsidRPr="00550E1F">
              <w:rPr>
                <w:rFonts w:ascii="Aptos" w:hAnsi="Aptos"/>
              </w:rPr>
              <w:t>(Where do you hope to grow? How will your next steps impact your programmatic and candidate outcomes?)</w:t>
            </w:r>
          </w:p>
        </w:tc>
        <w:tc>
          <w:tcPr>
            <w:tcW w:w="8819" w:type="dxa"/>
            <w:tcBorders>
              <w:top w:val="single" w:sz="4" w:space="0" w:color="000000"/>
              <w:left w:val="single" w:sz="6" w:space="0" w:color="000000"/>
              <w:bottom w:val="single" w:sz="6" w:space="0" w:color="000000"/>
              <w:right w:val="single" w:sz="6" w:space="0" w:color="000000"/>
            </w:tcBorders>
            <w:tcMar>
              <w:top w:w="0" w:type="dxa"/>
              <w:left w:w="90" w:type="dxa"/>
              <w:bottom w:w="0" w:type="dxa"/>
              <w:right w:w="90" w:type="dxa"/>
            </w:tcMar>
            <w:hideMark/>
          </w:tcPr>
          <w:p w14:paraId="26AE08E1" w14:textId="08C351E0" w:rsidR="00C73618" w:rsidRPr="00550E1F" w:rsidRDefault="00C73618" w:rsidP="0045359F">
            <w:pPr>
              <w:pStyle w:val="BodyText2"/>
              <w:rPr>
                <w:rFonts w:ascii="Aptos" w:hAnsi="Aptos"/>
              </w:rPr>
            </w:pPr>
          </w:p>
        </w:tc>
      </w:tr>
    </w:tbl>
    <w:p w14:paraId="40C8566A" w14:textId="7833E860" w:rsidR="00C73618" w:rsidRPr="00550E1F" w:rsidRDefault="00C73618" w:rsidP="00A823A7">
      <w:pPr>
        <w:pStyle w:val="Heading3"/>
        <w:rPr>
          <w:rFonts w:ascii="Aptos" w:hAnsi="Aptos"/>
        </w:rPr>
      </w:pPr>
      <w:r w:rsidRPr="00550E1F">
        <w:rPr>
          <w:rFonts w:ascii="Aptos" w:hAnsi="Aptos"/>
        </w:rPr>
        <w:t xml:space="preserve">Partnership </w:t>
      </w:r>
      <w:r w:rsidR="00AE7083" w:rsidRPr="00550E1F">
        <w:rPr>
          <w:rFonts w:ascii="Aptos" w:hAnsi="Aptos"/>
        </w:rPr>
        <w:t xml:space="preserve">Domain </w:t>
      </w:r>
      <w:r w:rsidRPr="00550E1F">
        <w:rPr>
          <w:rFonts w:ascii="Aptos" w:hAnsi="Aptos"/>
        </w:rPr>
        <w:t>Action Plan</w:t>
      </w:r>
    </w:p>
    <w:tbl>
      <w:tblPr>
        <w:tblW w:w="14035" w:type="dxa"/>
        <w:tblCellMar>
          <w:top w:w="15" w:type="dxa"/>
          <w:left w:w="15" w:type="dxa"/>
          <w:bottom w:w="15" w:type="dxa"/>
          <w:right w:w="15" w:type="dxa"/>
        </w:tblCellMar>
        <w:tblLook w:val="04A0" w:firstRow="1" w:lastRow="0" w:firstColumn="1" w:lastColumn="0" w:noHBand="0" w:noVBand="1"/>
      </w:tblPr>
      <w:tblGrid>
        <w:gridCol w:w="888"/>
        <w:gridCol w:w="1365"/>
        <w:gridCol w:w="1622"/>
        <w:gridCol w:w="1147"/>
        <w:gridCol w:w="9013"/>
      </w:tblGrid>
      <w:tr w:rsidR="00C73618" w:rsidRPr="00A21685" w14:paraId="35DB03FA" w14:textId="77777777" w:rsidTr="005A7039">
        <w:trPr>
          <w:trHeight w:val="720"/>
        </w:trPr>
        <w:tc>
          <w:tcPr>
            <w:tcW w:w="0" w:type="auto"/>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60A7F5C6" w14:textId="77777777" w:rsidR="00C73618" w:rsidRPr="00550E1F" w:rsidRDefault="00C73618" w:rsidP="00705DBE">
            <w:pPr>
              <w:pStyle w:val="TableHeaderRow2"/>
              <w:rPr>
                <w:rFonts w:ascii="Aptos" w:hAnsi="Aptos"/>
              </w:rPr>
            </w:pPr>
            <w:r w:rsidRPr="00550E1F">
              <w:rPr>
                <w:rFonts w:ascii="Aptos" w:hAnsi="Aptos"/>
              </w:rPr>
              <w:t>Focus</w:t>
            </w:r>
          </w:p>
        </w:tc>
        <w:tc>
          <w:tcPr>
            <w:tcW w:w="0" w:type="auto"/>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268CA1E5" w14:textId="77777777" w:rsidR="00C73618" w:rsidRPr="00550E1F" w:rsidRDefault="00C73618" w:rsidP="00705DBE">
            <w:pPr>
              <w:pStyle w:val="TableHeaderRow2"/>
              <w:rPr>
                <w:rFonts w:ascii="Aptos" w:hAnsi="Aptos"/>
              </w:rPr>
            </w:pPr>
            <w:r w:rsidRPr="00550E1F">
              <w:rPr>
                <w:rFonts w:ascii="Aptos" w:hAnsi="Aptos"/>
              </w:rPr>
              <w:t>Action Steps</w:t>
            </w:r>
          </w:p>
        </w:tc>
        <w:tc>
          <w:tcPr>
            <w:tcW w:w="0" w:type="auto"/>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7C2B966B" w14:textId="77777777" w:rsidR="00C73618" w:rsidRPr="00550E1F" w:rsidRDefault="00C73618" w:rsidP="00705DBE">
            <w:pPr>
              <w:pStyle w:val="TableHeaderRow2"/>
              <w:rPr>
                <w:rFonts w:ascii="Aptos" w:hAnsi="Aptos"/>
              </w:rPr>
            </w:pPr>
            <w:r w:rsidRPr="00550E1F">
              <w:rPr>
                <w:rFonts w:ascii="Aptos" w:hAnsi="Aptos"/>
              </w:rPr>
              <w:t>Key Personnel </w:t>
            </w:r>
          </w:p>
        </w:tc>
        <w:tc>
          <w:tcPr>
            <w:tcW w:w="0" w:type="auto"/>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2F368AF9" w14:textId="77777777" w:rsidR="00C73618" w:rsidRPr="00550E1F" w:rsidRDefault="00C73618" w:rsidP="00705DBE">
            <w:pPr>
              <w:pStyle w:val="TableHeaderRow2"/>
              <w:rPr>
                <w:rFonts w:ascii="Aptos" w:hAnsi="Aptos"/>
              </w:rPr>
            </w:pPr>
            <w:r w:rsidRPr="00550E1F">
              <w:rPr>
                <w:rFonts w:ascii="Aptos" w:hAnsi="Aptos"/>
              </w:rPr>
              <w:t>Timeline</w:t>
            </w:r>
          </w:p>
        </w:tc>
        <w:tc>
          <w:tcPr>
            <w:tcW w:w="9013" w:type="dxa"/>
            <w:tcBorders>
              <w:top w:val="single" w:sz="4" w:space="0" w:color="000000"/>
              <w:left w:val="single" w:sz="4" w:space="0" w:color="000000"/>
              <w:bottom w:val="single" w:sz="4" w:space="0" w:color="000000"/>
              <w:right w:val="single" w:sz="4" w:space="0" w:color="000000"/>
            </w:tcBorders>
            <w:shd w:val="clear" w:color="auto" w:fill="8C1176"/>
            <w:tcMar>
              <w:top w:w="0" w:type="dxa"/>
              <w:left w:w="108" w:type="dxa"/>
              <w:bottom w:w="0" w:type="dxa"/>
              <w:right w:w="108" w:type="dxa"/>
            </w:tcMar>
            <w:hideMark/>
          </w:tcPr>
          <w:p w14:paraId="5A7E2EEC" w14:textId="77777777" w:rsidR="00C73618" w:rsidRPr="00550E1F" w:rsidRDefault="00C73618" w:rsidP="00705DBE">
            <w:pPr>
              <w:pStyle w:val="TableHeaderRow2"/>
              <w:rPr>
                <w:rFonts w:ascii="Aptos" w:hAnsi="Aptos"/>
              </w:rPr>
            </w:pPr>
            <w:r w:rsidRPr="00550E1F">
              <w:rPr>
                <w:rFonts w:ascii="Aptos" w:hAnsi="Aptos"/>
              </w:rPr>
              <w:t>Intended Outcomes (Short and Long Term) </w:t>
            </w:r>
          </w:p>
        </w:tc>
      </w:tr>
      <w:tr w:rsidR="00C73618" w:rsidRPr="00A21685" w14:paraId="21DCD987" w14:textId="77777777" w:rsidTr="005A7039">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46B68" w14:textId="77777777" w:rsidR="00C73618" w:rsidRPr="00F14E1D" w:rsidRDefault="00C73618" w:rsidP="00A823A7">
            <w:pPr>
              <w:pStyle w:val="BodyText2"/>
              <w:rPr>
                <w:rFonts w:ascii="Aptos" w:hAnsi="Aptos"/>
                <w:b/>
                <w:bCs/>
              </w:rPr>
            </w:pPr>
            <w:r w:rsidRPr="00F14E1D">
              <w:rPr>
                <w:rFonts w:ascii="Aptos" w:hAnsi="Aptos"/>
                <w:b/>
                <w:bCs/>
              </w:rPr>
              <w:t>PAR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5C577" w14:textId="77777777" w:rsidR="00C73618" w:rsidRPr="00550E1F" w:rsidRDefault="00C73618" w:rsidP="00A823A7">
            <w:pPr>
              <w:pStyle w:val="BodyText2"/>
              <w:rPr>
                <w:rFonts w:ascii="Aptos" w:hAnsi="Aptos"/>
              </w:rPr>
            </w:pPr>
          </w:p>
          <w:p w14:paraId="2C09499A"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96418"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1F40A" w14:textId="77777777" w:rsidR="00C73618" w:rsidRPr="00550E1F" w:rsidRDefault="00C73618" w:rsidP="00A823A7">
            <w:pPr>
              <w:pStyle w:val="BodyText2"/>
              <w:rPr>
                <w:rFonts w:ascii="Aptos" w:hAnsi="Aptos"/>
              </w:rPr>
            </w:pPr>
          </w:p>
        </w:tc>
        <w:tc>
          <w:tcPr>
            <w:tcW w:w="9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BFF45" w14:textId="77777777" w:rsidR="00C73618" w:rsidRPr="00550E1F" w:rsidRDefault="00C73618" w:rsidP="00A823A7">
            <w:pPr>
              <w:pStyle w:val="BodyText2"/>
              <w:rPr>
                <w:rFonts w:ascii="Aptos" w:hAnsi="Aptos"/>
              </w:rPr>
            </w:pPr>
          </w:p>
        </w:tc>
      </w:tr>
      <w:tr w:rsidR="00C73618" w:rsidRPr="00A21685" w14:paraId="6D2C857C" w14:textId="77777777" w:rsidTr="005A7039">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1D341" w14:textId="77777777" w:rsidR="00C73618" w:rsidRPr="00F14E1D" w:rsidRDefault="00C73618" w:rsidP="00A823A7">
            <w:pPr>
              <w:pStyle w:val="BodyText2"/>
              <w:rPr>
                <w:rFonts w:ascii="Aptos" w:hAnsi="Aptos"/>
                <w:b/>
                <w:bCs/>
              </w:rPr>
            </w:pPr>
            <w:r w:rsidRPr="00F14E1D">
              <w:rPr>
                <w:rFonts w:ascii="Aptos" w:hAnsi="Aptos"/>
                <w:b/>
                <w:bCs/>
              </w:rPr>
              <w:t>PAR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27671" w14:textId="77777777" w:rsidR="00C73618" w:rsidRPr="00550E1F" w:rsidRDefault="00C73618" w:rsidP="00A823A7">
            <w:pPr>
              <w:pStyle w:val="BodyText2"/>
              <w:rPr>
                <w:rFonts w:ascii="Aptos" w:hAnsi="Aptos"/>
              </w:rPr>
            </w:pPr>
          </w:p>
          <w:p w14:paraId="65623BD4"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E1E58"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FEBFC7" w14:textId="77777777" w:rsidR="00C73618" w:rsidRPr="00550E1F" w:rsidRDefault="00C73618" w:rsidP="00A823A7">
            <w:pPr>
              <w:pStyle w:val="BodyText2"/>
              <w:rPr>
                <w:rFonts w:ascii="Aptos" w:hAnsi="Aptos"/>
              </w:rPr>
            </w:pPr>
          </w:p>
        </w:tc>
        <w:tc>
          <w:tcPr>
            <w:tcW w:w="9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01CC6" w14:textId="77777777" w:rsidR="00C73618" w:rsidRPr="00550E1F" w:rsidRDefault="00C73618" w:rsidP="00A823A7">
            <w:pPr>
              <w:pStyle w:val="BodyText2"/>
              <w:rPr>
                <w:rFonts w:ascii="Aptos" w:hAnsi="Aptos"/>
              </w:rPr>
            </w:pPr>
          </w:p>
        </w:tc>
      </w:tr>
      <w:tr w:rsidR="00C73618" w:rsidRPr="00A21685" w14:paraId="3B3F8480" w14:textId="77777777" w:rsidTr="005A7039">
        <w:trPr>
          <w:trHeight w:val="7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9D0AB" w14:textId="77777777" w:rsidR="00C73618" w:rsidRPr="00F14E1D" w:rsidRDefault="00C73618" w:rsidP="00A823A7">
            <w:pPr>
              <w:pStyle w:val="BodyText2"/>
              <w:rPr>
                <w:rFonts w:ascii="Aptos" w:hAnsi="Aptos"/>
                <w:b/>
                <w:bCs/>
              </w:rPr>
            </w:pPr>
            <w:r w:rsidRPr="00F14E1D">
              <w:rPr>
                <w:rFonts w:ascii="Aptos" w:hAnsi="Aptos"/>
                <w:b/>
                <w:bCs/>
              </w:rPr>
              <w:t>PAR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35F5D" w14:textId="77777777" w:rsidR="00C73618" w:rsidRPr="00550E1F" w:rsidRDefault="00C73618" w:rsidP="00A823A7">
            <w:pPr>
              <w:pStyle w:val="BodyText2"/>
              <w:rPr>
                <w:rFonts w:ascii="Aptos" w:hAnsi="Aptos"/>
              </w:rPr>
            </w:pPr>
          </w:p>
          <w:p w14:paraId="73971C3D"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3547D" w14:textId="77777777" w:rsidR="00C73618" w:rsidRPr="00550E1F" w:rsidRDefault="00C73618" w:rsidP="00A823A7">
            <w:pPr>
              <w:pStyle w:val="BodyText2"/>
              <w:rPr>
                <w:rFonts w:ascii="Aptos" w:hAnsi="Apto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CEA7E" w14:textId="77777777" w:rsidR="00C73618" w:rsidRPr="00550E1F" w:rsidRDefault="00C73618" w:rsidP="00A823A7">
            <w:pPr>
              <w:pStyle w:val="BodyText2"/>
              <w:rPr>
                <w:rFonts w:ascii="Aptos" w:hAnsi="Aptos"/>
              </w:rPr>
            </w:pPr>
          </w:p>
        </w:tc>
        <w:tc>
          <w:tcPr>
            <w:tcW w:w="9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CCE9E" w14:textId="77777777" w:rsidR="00C73618" w:rsidRPr="00550E1F" w:rsidRDefault="00C73618" w:rsidP="00A823A7">
            <w:pPr>
              <w:pStyle w:val="BodyText2"/>
              <w:rPr>
                <w:rFonts w:ascii="Aptos" w:hAnsi="Aptos"/>
              </w:rPr>
            </w:pPr>
          </w:p>
        </w:tc>
      </w:tr>
    </w:tbl>
    <w:p w14:paraId="592CA145" w14:textId="77777777" w:rsidR="00F51597" w:rsidRPr="00550E1F" w:rsidRDefault="00F51597" w:rsidP="00F51597">
      <w:pPr>
        <w:pStyle w:val="BodyText"/>
        <w:rPr>
          <w:rStyle w:val="TitleChar"/>
          <w:rFonts w:ascii="Aptos" w:eastAsia="Libre Franklin" w:hAnsi="Aptos" w:cs="Libre Franklin"/>
          <w:b w:val="0"/>
          <w:bCs w:val="0"/>
          <w:color w:val="000000" w:themeColor="text1"/>
          <w:spacing w:val="0"/>
          <w:kern w:val="2"/>
          <w:sz w:val="24"/>
          <w:szCs w:val="21"/>
        </w:rPr>
        <w:sectPr w:rsidR="00F51597" w:rsidRPr="00550E1F" w:rsidSect="006F6F3C">
          <w:headerReference w:type="default" r:id="rId55"/>
          <w:pgSz w:w="15840" w:h="12240" w:orient="landscape"/>
          <w:pgMar w:top="1008" w:right="806" w:bottom="1008" w:left="720" w:header="360" w:footer="432" w:gutter="0"/>
          <w:cols w:space="720"/>
          <w:docGrid w:linePitch="360"/>
        </w:sectPr>
      </w:pPr>
    </w:p>
    <w:p w14:paraId="680459E1" w14:textId="534B038B" w:rsidR="00C73618" w:rsidRPr="00550E1F" w:rsidRDefault="003A4AB7" w:rsidP="006F6F3C">
      <w:pPr>
        <w:pStyle w:val="BodyText"/>
        <w:rPr>
          <w:rFonts w:ascii="Aptos" w:hAnsi="Aptos"/>
          <w:sz w:val="32"/>
          <w:szCs w:val="24"/>
        </w:rPr>
      </w:pPr>
      <w:r w:rsidRPr="00550E1F">
        <w:rPr>
          <w:rFonts w:ascii="Aptos" w:hAnsi="Aptos"/>
          <w:b/>
          <w:noProof/>
          <w:sz w:val="32"/>
          <w:szCs w:val="24"/>
        </w:rPr>
        <mc:AlternateContent>
          <mc:Choice Requires="wps">
            <w:drawing>
              <wp:anchor distT="0" distB="0" distL="114300" distR="114300" simplePos="0" relativeHeight="251658263" behindDoc="0" locked="0" layoutInCell="1" allowOverlap="1" wp14:anchorId="331D5DB0" wp14:editId="6A08123C">
                <wp:simplePos x="0" y="0"/>
                <wp:positionH relativeFrom="margin">
                  <wp:align>left</wp:align>
                </wp:positionH>
                <wp:positionV relativeFrom="paragraph">
                  <wp:posOffset>361950</wp:posOffset>
                </wp:positionV>
                <wp:extent cx="6403388" cy="15456"/>
                <wp:effectExtent l="19050" t="19050" r="35560" b="22860"/>
                <wp:wrapNone/>
                <wp:docPr id="900729267"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3388" cy="15456"/>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02213" id="Straight Connector 1" o:spid="_x0000_s1026" alt="&quot;&quot;" style="position:absolute;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504.2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" strokecolor="#8c1176" strokeweight="3pt">
                <v:stroke joinstyle="miter"/>
                <w10:wrap anchorx="margin"/>
              </v:line>
            </w:pict>
          </mc:Fallback>
        </mc:AlternateContent>
      </w:r>
      <w:r w:rsidR="00C4766D">
        <w:rPr>
          <w:rStyle w:val="TitleChar"/>
          <w:rFonts w:eastAsia="Libre Franklin" w:cs="Libre Franklin"/>
          <w:b w:val="0"/>
          <w:bCs w:val="0"/>
          <w:color w:val="000000" w:themeColor="text1"/>
          <w:spacing w:val="0"/>
          <w:kern w:val="2"/>
          <w:sz w:val="24"/>
          <w:szCs w:val="21"/>
        </w:rPr>
        <w:br/>
      </w:r>
      <w:r w:rsidR="00F51597" w:rsidRPr="00550E1F">
        <w:rPr>
          <w:rFonts w:ascii="Aptos" w:hAnsi="Aptos"/>
          <w:b/>
          <w:noProof/>
          <w:sz w:val="32"/>
          <w:szCs w:val="24"/>
        </w:rPr>
        <mc:AlternateContent>
          <mc:Choice Requires="wps">
            <w:drawing>
              <wp:anchor distT="0" distB="0" distL="114300" distR="114300" simplePos="0" relativeHeight="251658245" behindDoc="0" locked="0" layoutInCell="1" allowOverlap="1" wp14:anchorId="74504DDD" wp14:editId="16ADA645">
                <wp:simplePos x="0" y="0"/>
                <wp:positionH relativeFrom="column">
                  <wp:posOffset>6440</wp:posOffset>
                </wp:positionH>
                <wp:positionV relativeFrom="paragraph">
                  <wp:posOffset>635</wp:posOffset>
                </wp:positionV>
                <wp:extent cx="6400800" cy="365760"/>
                <wp:effectExtent l="0" t="0" r="12700" b="15240"/>
                <wp:wrapSquare wrapText="bothSides"/>
                <wp:docPr id="1497944817" name="Text Box 1"/>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solidFill>
                            <a:prstClr val="black"/>
                          </a:solidFill>
                        </a:ln>
                      </wps:spPr>
                      <wps:txbx>
                        <w:txbxContent>
                          <w:p w14:paraId="3655367B" w14:textId="77777777" w:rsidR="00AC7574" w:rsidRPr="002243C2" w:rsidRDefault="00AC7574" w:rsidP="00AC7574">
                            <w:pPr>
                              <w:pStyle w:val="Heading2"/>
                              <w:rPr>
                                <w:rFonts w:ascii="Times New Roman" w:eastAsia="Times New Roman" w:hAnsi="Times New Roman" w:cs="Times New Roman"/>
                                <w:color w:val="1F3864" w:themeColor="accent1" w:themeShade="80"/>
                                <w:kern w:val="36"/>
                                <w14:ligatures w14:val="none"/>
                              </w:rPr>
                            </w:pPr>
                            <w:bookmarkStart w:id="60" w:name="Resources"/>
                            <w:bookmarkStart w:id="61" w:name="_Toc170897348"/>
                            <w:bookmarkEnd w:id="60"/>
                            <w:r w:rsidRPr="00AC7574">
                              <w:t>Tools and Resources</w:t>
                            </w:r>
                            <w:bookmarkEnd w:id="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04DDD" id="_x0000_s1038" type="#_x0000_t202" style="position:absolute;margin-left:.5pt;margin-top:.05pt;width:7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" fillcolor="#1f3763 [1604]" strokeweight=".5pt">
                <v:textbox>
                  <w:txbxContent>
                    <w:p w14:paraId="3655367B" w14:textId="77777777" w:rsidR="00AC7574" w:rsidRPr="002243C2" w:rsidRDefault="00AC7574" w:rsidP="00AC7574">
                      <w:pPr>
                        <w:pStyle w:val="Heading2"/>
                        <w:rPr>
                          <w:rFonts w:ascii="Times New Roman" w:eastAsia="Times New Roman" w:hAnsi="Times New Roman" w:cs="Times New Roman"/>
                          <w:color w:val="1F3864" w:themeColor="accent1" w:themeShade="80"/>
                          <w:kern w:val="36"/>
                          <w14:ligatures w14:val="none"/>
                        </w:rPr>
                      </w:pPr>
                      <w:bookmarkStart w:id="77" w:name="Resources"/>
                      <w:bookmarkStart w:id="78" w:name="_Toc170897348"/>
                      <w:bookmarkEnd w:id="77"/>
                      <w:r w:rsidRPr="00AC7574">
                        <w:t>Tools and Resources</w:t>
                      </w:r>
                      <w:bookmarkEnd w:id="78"/>
                    </w:p>
                  </w:txbxContent>
                </v:textbox>
                <w10:wrap type="square"/>
              </v:shape>
            </w:pict>
          </mc:Fallback>
        </mc:AlternateContent>
      </w:r>
      <w:bookmarkStart w:id="62" w:name="StonehillEquity"/>
      <w:r w:rsidR="344B6819" w:rsidRPr="00550E1F">
        <w:rPr>
          <w:rFonts w:ascii="Aptos" w:hAnsi="Aptos"/>
          <w:b/>
          <w:sz w:val="32"/>
          <w:szCs w:val="24"/>
        </w:rPr>
        <w:t>Stonehill College</w:t>
      </w:r>
      <w:r w:rsidR="00010146">
        <w:rPr>
          <w:rFonts w:ascii="Aptos" w:hAnsi="Aptos"/>
          <w:b/>
          <w:sz w:val="32"/>
          <w:szCs w:val="24"/>
        </w:rPr>
        <w:t xml:space="preserve"> Resources</w:t>
      </w:r>
    </w:p>
    <w:p w14:paraId="011E9E90" w14:textId="70D1C7FB" w:rsidR="00C73618" w:rsidRPr="00550E1F" w:rsidRDefault="00010146" w:rsidP="00682DF0">
      <w:pPr>
        <w:pStyle w:val="Heading3"/>
        <w:rPr>
          <w:rFonts w:ascii="Aptos" w:hAnsi="Aptos"/>
        </w:rPr>
      </w:pPr>
      <w:bookmarkStart w:id="63" w:name="_Equity_in_Teacher"/>
      <w:bookmarkEnd w:id="62"/>
      <w:bookmarkEnd w:id="63"/>
      <w:r>
        <w:rPr>
          <w:rFonts w:ascii="Aptos" w:hAnsi="Aptos"/>
        </w:rPr>
        <w:t xml:space="preserve">Stonehill College’s </w:t>
      </w:r>
      <w:r w:rsidR="70EED425" w:rsidRPr="00550E1F">
        <w:rPr>
          <w:rFonts w:ascii="Aptos" w:hAnsi="Aptos"/>
        </w:rPr>
        <w:t>Equity in Teacher Education Framework</w:t>
      </w:r>
    </w:p>
    <w:p w14:paraId="1D55CFD1" w14:textId="5DA2B294" w:rsidR="00C73618" w:rsidRDefault="00C73618" w:rsidP="00714FF3">
      <w:pPr>
        <w:pStyle w:val="BodyText"/>
      </w:pPr>
      <w:r>
        <w:rPr>
          <w:noProof/>
        </w:rPr>
        <w:drawing>
          <wp:inline distT="0" distB="0" distL="0" distR="0" wp14:anchorId="79F127D7" wp14:editId="1788C48C">
            <wp:extent cx="5906489" cy="2726497"/>
            <wp:effectExtent l="0" t="0" r="0" b="4445"/>
            <wp:docPr id="312945558" name="Picture 312945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45558" name="Picture 312945558">
                      <a:extLst>
                        <a:ext uri="{C183D7F6-B498-43B3-948B-1728B52AA6E4}">
                          <adec:decorative xmlns:adec="http://schemas.microsoft.com/office/drawing/2017/decorative" val="1"/>
                        </a:ext>
                      </a:extLst>
                    </pic:cNvPr>
                    <pic:cNvPicPr/>
                  </pic:nvPicPr>
                  <pic:blipFill rotWithShape="1">
                    <a:blip r:embed="rId56" cstate="print">
                      <a:extLst>
                        <a:ext uri="{28A0092B-C50C-407E-A947-70E740481C1C}">
                          <a14:useLocalDpi xmlns:a14="http://schemas.microsoft.com/office/drawing/2010/main" val="0"/>
                        </a:ext>
                      </a:extLst>
                    </a:blip>
                    <a:srcRect l="2150" t="15937" r="3861" b="2483"/>
                    <a:stretch/>
                  </pic:blipFill>
                  <pic:spPr bwMode="auto">
                    <a:xfrm>
                      <a:off x="0" y="0"/>
                      <a:ext cx="5908602" cy="2727472"/>
                    </a:xfrm>
                    <a:prstGeom prst="rect">
                      <a:avLst/>
                    </a:prstGeom>
                    <a:ln>
                      <a:noFill/>
                    </a:ln>
                    <a:extLst>
                      <a:ext uri="{53640926-AAD7-44D8-BBD7-CCE9431645EC}">
                        <a14:shadowObscured xmlns:a14="http://schemas.microsoft.com/office/drawing/2010/main"/>
                      </a:ext>
                    </a:extLst>
                  </pic:spPr>
                </pic:pic>
              </a:graphicData>
            </a:graphic>
          </wp:inline>
        </w:drawing>
      </w:r>
    </w:p>
    <w:p w14:paraId="109A7AFE" w14:textId="1204D936" w:rsidR="00982D0C" w:rsidRPr="00550E1F" w:rsidRDefault="00714FF3" w:rsidP="00714FF3">
      <w:pPr>
        <w:pStyle w:val="BodyText"/>
        <w:rPr>
          <w:rFonts w:ascii="Aptos" w:hAnsi="Aptos"/>
        </w:rPr>
      </w:pPr>
      <w:r w:rsidRPr="00550E1F">
        <w:rPr>
          <w:rFonts w:ascii="Aptos" w:hAnsi="Aptos"/>
        </w:rPr>
        <w:t>Equity in Teacher Education demonstrates the difference in attendance to thin equity vs. strong equity which is attributed to Cochran-Smith and Keefe (2022). Thin equity is depicted as operating in</w:t>
      </w:r>
      <w:r w:rsidR="0CEBC856" w:rsidRPr="00550E1F">
        <w:rPr>
          <w:rFonts w:ascii="Aptos" w:hAnsi="Aptos"/>
        </w:rPr>
        <w:t xml:space="preserve"> only</w:t>
      </w:r>
      <w:r w:rsidRPr="00550E1F">
        <w:rPr>
          <w:rFonts w:ascii="Aptos" w:hAnsi="Aptos"/>
        </w:rPr>
        <w:t xml:space="preserve"> the economic dimension and involves providing equal access to effective teachers and education resources. </w:t>
      </w:r>
      <w:r w:rsidR="00AC7574" w:rsidRPr="00550E1F">
        <w:rPr>
          <w:rFonts w:ascii="Aptos" w:hAnsi="Aptos"/>
        </w:rPr>
        <w:t>T</w:t>
      </w:r>
      <w:r w:rsidRPr="00550E1F">
        <w:rPr>
          <w:rFonts w:ascii="Aptos" w:hAnsi="Aptos"/>
        </w:rPr>
        <w:t>he interrelated dimensions of strong equity includ</w:t>
      </w:r>
      <w:r w:rsidR="00AC7574" w:rsidRPr="00550E1F">
        <w:rPr>
          <w:rFonts w:ascii="Aptos" w:hAnsi="Aptos"/>
        </w:rPr>
        <w:t>e</w:t>
      </w:r>
      <w:r w:rsidRPr="00550E1F">
        <w:rPr>
          <w:rFonts w:ascii="Aptos" w:hAnsi="Aptos"/>
        </w:rPr>
        <w:t xml:space="preserve"> economic, cultural, political, and discursive dimensions. In strong equity, the economic dimension, as in thin equity, involves redistribution by providing equitable access to effective teachers, education, and resources but also includes redistribution of resources beyond education. The cultural dimension engages in recognition by drawing on the knowledge, cultural, linguistic, and experiential assets of historically marginalized communities. The political dimension includes representation by including voices of students, parents, schools, community members, and stakeholders in determining common goals and values. Finally</w:t>
      </w:r>
      <w:r w:rsidR="00AB5791" w:rsidRPr="00550E1F">
        <w:rPr>
          <w:rFonts w:ascii="Aptos" w:hAnsi="Aptos"/>
        </w:rPr>
        <w:t>,</w:t>
      </w:r>
      <w:r w:rsidRPr="00550E1F">
        <w:rPr>
          <w:rFonts w:ascii="Aptos" w:hAnsi="Aptos"/>
        </w:rPr>
        <w:t xml:space="preserve"> the discursive dimension </w:t>
      </w:r>
      <w:r w:rsidR="000212F8" w:rsidRPr="00550E1F">
        <w:rPr>
          <w:rFonts w:ascii="Aptos" w:hAnsi="Aptos"/>
        </w:rPr>
        <w:t>interrogates</w:t>
      </w:r>
      <w:r w:rsidRPr="00550E1F">
        <w:rPr>
          <w:rFonts w:ascii="Aptos" w:hAnsi="Aptos"/>
        </w:rPr>
        <w:t xml:space="preserve"> powerful frames and assumptions that position minoritized students in relation to dominant ideologies. </w:t>
      </w:r>
    </w:p>
    <w:p w14:paraId="1B357454" w14:textId="446DC8B2" w:rsidR="00714FF3" w:rsidRDefault="00714FF3">
      <w:pPr>
        <w:spacing w:before="0" w:after="0"/>
        <w:rPr>
          <w:rFonts w:asciiTheme="minorHAnsi" w:eastAsia="Libre Franklin" w:hAnsiTheme="minorHAnsi" w:cs="Libre Franklin"/>
          <w:b/>
          <w:bCs/>
          <w:color w:val="163A42"/>
          <w:sz w:val="28"/>
        </w:rPr>
      </w:pPr>
    </w:p>
    <w:p w14:paraId="2588ADAF" w14:textId="77777777" w:rsidR="00F34FC3" w:rsidRDefault="00F34FC3">
      <w:pPr>
        <w:spacing w:before="0" w:after="0"/>
        <w:rPr>
          <w:rFonts w:ascii="Aptos" w:eastAsia="Libre Franklin" w:hAnsi="Aptos" w:cs="Libre Franklin"/>
          <w:b/>
          <w:bCs/>
          <w:sz w:val="28"/>
        </w:rPr>
      </w:pPr>
      <w:r>
        <w:rPr>
          <w:rFonts w:ascii="Aptos" w:hAnsi="Aptos"/>
        </w:rPr>
        <w:br w:type="page"/>
      </w:r>
    </w:p>
    <w:p w14:paraId="38AA6C90" w14:textId="3B1EBEC0" w:rsidR="00714FF3" w:rsidRPr="00550E1F" w:rsidRDefault="70EED425" w:rsidP="00A823A7">
      <w:pPr>
        <w:pStyle w:val="Heading4"/>
        <w:rPr>
          <w:rFonts w:ascii="Aptos" w:hAnsi="Aptos"/>
        </w:rPr>
      </w:pPr>
      <w:r w:rsidRPr="00550E1F">
        <w:rPr>
          <w:rFonts w:ascii="Aptos" w:hAnsi="Aptos"/>
        </w:rPr>
        <w:t>Stonehill College’s Teacher Education Graduate Program Outcomes</w:t>
      </w:r>
    </w:p>
    <w:p w14:paraId="493EEF91" w14:textId="6CBC6C91" w:rsidR="00714FF3" w:rsidRDefault="00714FF3">
      <w:pPr>
        <w:spacing w:before="0" w:after="0"/>
        <w:rPr>
          <w:rStyle w:val="BodyTextChar"/>
        </w:rPr>
      </w:pPr>
      <w:bookmarkStart w:id="64" w:name="MTSS"/>
      <w:r>
        <w:rPr>
          <w:noProof/>
        </w:rPr>
        <w:drawing>
          <wp:inline distT="0" distB="0" distL="0" distR="0" wp14:anchorId="6864E4AF" wp14:editId="099F3DFC">
            <wp:extent cx="5486400" cy="2901460"/>
            <wp:effectExtent l="0" t="0" r="0" b="0"/>
            <wp:docPr id="437951871" name="Picture 437951871" descr="Screenshot of Stonehill's Progra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51871" name="Picture 437951871" descr="Screenshot of Stonehill's Program Outcom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86400" cy="2901460"/>
                    </a:xfrm>
                    <a:prstGeom prst="rect">
                      <a:avLst/>
                    </a:prstGeom>
                  </pic:spPr>
                </pic:pic>
              </a:graphicData>
            </a:graphic>
          </wp:inline>
        </w:drawing>
      </w:r>
    </w:p>
    <w:p w14:paraId="1DC3CB71" w14:textId="69C4AF61" w:rsidR="00714FF3" w:rsidRPr="00550E1F" w:rsidRDefault="2884D359" w:rsidP="00714FF3">
      <w:pPr>
        <w:pStyle w:val="Paragraph-AfterList"/>
        <w:rPr>
          <w:rStyle w:val="BodyTextChar"/>
          <w:rFonts w:ascii="Aptos" w:hAnsi="Aptos"/>
        </w:rPr>
      </w:pPr>
      <w:r w:rsidRPr="00550E1F">
        <w:rPr>
          <w:rStyle w:val="BodyTextChar"/>
          <w:rFonts w:ascii="Aptos" w:hAnsi="Aptos"/>
        </w:rPr>
        <w:t xml:space="preserve">Stonehill College aims to create the above outcomes through its use of the Equity in Teacher Education Framework. </w:t>
      </w:r>
    </w:p>
    <w:p w14:paraId="37FDEC25" w14:textId="77777777" w:rsidR="006E3D3C" w:rsidRPr="00550E1F" w:rsidRDefault="006E3D3C" w:rsidP="006E3D3C">
      <w:pPr>
        <w:pStyle w:val="Heading4"/>
        <w:spacing w:before="360"/>
        <w:rPr>
          <w:rFonts w:ascii="Aptos" w:hAnsi="Aptos"/>
        </w:rPr>
      </w:pPr>
      <w:bookmarkStart w:id="65" w:name="_Stonehill_College’s_Example"/>
      <w:bookmarkEnd w:id="64"/>
      <w:bookmarkEnd w:id="65"/>
      <w:r w:rsidRPr="00550E1F">
        <w:rPr>
          <w:rFonts w:ascii="Aptos" w:hAnsi="Aptos"/>
        </w:rPr>
        <w:t>Stonehill College’s Example of Matrix of Learning in Practicum</w:t>
      </w:r>
    </w:p>
    <w:p w14:paraId="23590DA7" w14:textId="77777777" w:rsidR="006E3D3C" w:rsidRDefault="006E3D3C" w:rsidP="006E3D3C">
      <w:r>
        <w:rPr>
          <w:noProof/>
        </w:rPr>
        <w:drawing>
          <wp:inline distT="0" distB="0" distL="0" distR="0" wp14:anchorId="4509770D" wp14:editId="17290CE2">
            <wp:extent cx="5943600" cy="3143250"/>
            <wp:effectExtent l="0" t="0" r="0" b="0"/>
            <wp:docPr id="1234660418" name="Picture 1234660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96656" name="Picture 1310796656">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205E8709" w14:textId="77777777" w:rsidR="00742254" w:rsidRDefault="006E3D3C" w:rsidP="00EA3FBA">
      <w:pPr>
        <w:spacing w:before="0" w:after="0"/>
        <w:rPr>
          <w:rFonts w:ascii="Aptos" w:hAnsi="Aptos"/>
          <w:color w:val="0D0D0D" w:themeColor="text1" w:themeTint="F2"/>
        </w:rPr>
      </w:pPr>
      <w:r w:rsidRPr="00550E1F">
        <w:rPr>
          <w:rFonts w:ascii="Aptos" w:hAnsi="Aptos"/>
          <w:color w:val="0D0D0D" w:themeColor="text1" w:themeTint="F2"/>
        </w:rPr>
        <w:t xml:space="preserve">Stonehill College’s Matrix of Learning in Practicum aligns DESE Professional Standards, Candidate Assessment of Performance (CAP) Essential Elements, coursework, program expectations, experiences in addition to CAP, and practicum requirements. </w:t>
      </w:r>
    </w:p>
    <w:p w14:paraId="2F38ECFE" w14:textId="77777777" w:rsidR="00742254" w:rsidRDefault="00742254" w:rsidP="00EA3FBA">
      <w:pPr>
        <w:spacing w:before="0" w:after="0"/>
        <w:rPr>
          <w:rFonts w:ascii="Aptos" w:hAnsi="Aptos"/>
          <w:color w:val="0D0D0D" w:themeColor="text1" w:themeTint="F2"/>
        </w:rPr>
      </w:pPr>
    </w:p>
    <w:p w14:paraId="03CDC47D" w14:textId="18C335E9" w:rsidR="002D285F" w:rsidRDefault="00F34FC3" w:rsidP="00550E1F">
      <w:pPr>
        <w:spacing w:before="0" w:after="0"/>
        <w:rPr>
          <w:rFonts w:ascii="Aptos" w:hAnsi="Aptos"/>
          <w:b/>
          <w:bCs/>
          <w:sz w:val="28"/>
          <w:szCs w:val="32"/>
        </w:rPr>
        <w:sectPr w:rsidR="002D285F" w:rsidSect="005A7039">
          <w:headerReference w:type="default" r:id="rId59"/>
          <w:pgSz w:w="12240" w:h="15840"/>
          <w:pgMar w:top="720" w:right="1008" w:bottom="806" w:left="1008" w:header="360" w:footer="432" w:gutter="0"/>
          <w:cols w:space="720"/>
          <w:docGrid w:linePitch="360"/>
        </w:sectPr>
      </w:pPr>
      <w:r>
        <w:rPr>
          <w:rFonts w:ascii="Aptos" w:hAnsi="Aptos"/>
          <w:b/>
          <w:bCs/>
          <w:sz w:val="28"/>
          <w:szCs w:val="32"/>
        </w:rPr>
        <w:br w:type="page"/>
      </w:r>
    </w:p>
    <w:p w14:paraId="1B2EF10E" w14:textId="77777777" w:rsidR="00CE4184" w:rsidRDefault="00CE4184" w:rsidP="00550E1F">
      <w:pPr>
        <w:spacing w:before="0" w:after="0"/>
        <w:rPr>
          <w:rFonts w:ascii="Aptos" w:hAnsi="Aptos"/>
          <w:b/>
          <w:bCs/>
          <w:sz w:val="28"/>
          <w:szCs w:val="32"/>
        </w:rPr>
        <w:sectPr w:rsidR="00CE4184" w:rsidSect="002D285F">
          <w:type w:val="continuous"/>
          <w:pgSz w:w="12240" w:h="15840"/>
          <w:pgMar w:top="720" w:right="1008" w:bottom="806" w:left="1008" w:header="360" w:footer="432" w:gutter="0"/>
          <w:cols w:space="720"/>
          <w:docGrid w:linePitch="360"/>
        </w:sectPr>
      </w:pPr>
    </w:p>
    <w:p w14:paraId="2D8E36A9" w14:textId="527077B7" w:rsidR="00797A4D" w:rsidRPr="00550E1F" w:rsidRDefault="00797A4D" w:rsidP="00550E1F">
      <w:pPr>
        <w:spacing w:before="0" w:after="0"/>
        <w:rPr>
          <w:rFonts w:ascii="Aptos" w:hAnsi="Aptos"/>
          <w:sz w:val="28"/>
          <w:szCs w:val="32"/>
        </w:rPr>
      </w:pPr>
      <w:bookmarkStart w:id="66" w:name="SEL"/>
      <w:bookmarkStart w:id="67" w:name="Eval"/>
      <w:bookmarkEnd w:id="66"/>
      <w:bookmarkEnd w:id="67"/>
      <w:r w:rsidRPr="00550E1F">
        <w:rPr>
          <w:rFonts w:ascii="Aptos" w:hAnsi="Aptos"/>
          <w:b/>
          <w:bCs/>
          <w:sz w:val="28"/>
          <w:szCs w:val="32"/>
        </w:rPr>
        <w:t>Stonehill College’s 360° Clinical Evaluation Tool Categories</w:t>
      </w:r>
      <w:r w:rsidR="00F34FC3">
        <w:rPr>
          <w:rFonts w:ascii="Aptos" w:hAnsi="Aptos"/>
          <w:b/>
          <w:bCs/>
          <w:sz w:val="28"/>
          <w:szCs w:val="32"/>
        </w:rPr>
        <w:br/>
      </w:r>
    </w:p>
    <w:tbl>
      <w:tblPr>
        <w:tblW w:w="5000" w:type="pct"/>
        <w:tblLook w:val="06A0" w:firstRow="1" w:lastRow="0" w:firstColumn="1" w:lastColumn="0" w:noHBand="1" w:noVBand="1"/>
      </w:tblPr>
      <w:tblGrid>
        <w:gridCol w:w="2629"/>
        <w:gridCol w:w="7585"/>
      </w:tblGrid>
      <w:tr w:rsidR="00797A4D" w:rsidRPr="00F34FC3" w14:paraId="26934373" w14:textId="77777777" w:rsidTr="001B1F09">
        <w:trPr>
          <w:trHeight w:val="300"/>
          <w:tblHeader/>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left w:w="108" w:type="dxa"/>
              <w:right w:w="108" w:type="dxa"/>
            </w:tcMar>
          </w:tcPr>
          <w:p w14:paraId="43D3C2B1" w14:textId="77777777" w:rsidR="00797A4D" w:rsidRPr="00550E1F" w:rsidRDefault="00797A4D">
            <w:pPr>
              <w:pStyle w:val="TableHeaderRow2"/>
              <w:keepNext/>
              <w:rPr>
                <w:rFonts w:ascii="Aptos" w:hAnsi="Aptos"/>
                <w:sz w:val="24"/>
                <w:szCs w:val="28"/>
              </w:rPr>
            </w:pPr>
            <w:r w:rsidRPr="00550E1F">
              <w:rPr>
                <w:rFonts w:ascii="Aptos" w:hAnsi="Aptos"/>
                <w:sz w:val="24"/>
                <w:szCs w:val="28"/>
              </w:rPr>
              <w:t>Stonehill College’s</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C1176"/>
            <w:tcMar>
              <w:left w:w="108" w:type="dxa"/>
              <w:right w:w="108" w:type="dxa"/>
            </w:tcMar>
          </w:tcPr>
          <w:p w14:paraId="2DE0DD37" w14:textId="77777777" w:rsidR="00797A4D" w:rsidRPr="00550E1F" w:rsidRDefault="00797A4D">
            <w:pPr>
              <w:pStyle w:val="TableHeaderRow2"/>
              <w:keepNext/>
              <w:rPr>
                <w:rFonts w:ascii="Aptos" w:hAnsi="Aptos"/>
                <w:sz w:val="24"/>
                <w:szCs w:val="28"/>
              </w:rPr>
            </w:pPr>
            <w:r w:rsidRPr="00550E1F">
              <w:rPr>
                <w:rFonts w:ascii="Aptos" w:hAnsi="Aptos"/>
                <w:sz w:val="24"/>
                <w:szCs w:val="28"/>
              </w:rPr>
              <w:t>360° Clinical Evaluation Tool Categories</w:t>
            </w:r>
          </w:p>
        </w:tc>
      </w:tr>
      <w:tr w:rsidR="00797A4D" w:rsidRPr="00F34FC3" w14:paraId="5F82307B" w14:textId="77777777" w:rsidTr="001B1F09">
        <w:trPr>
          <w:trHeight w:val="300"/>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A8F5CA7" w14:textId="77777777" w:rsidR="00797A4D" w:rsidRPr="00550E1F" w:rsidRDefault="00797A4D">
            <w:pPr>
              <w:pStyle w:val="BodyText2"/>
              <w:keepNext/>
              <w:spacing w:line="240" w:lineRule="auto"/>
              <w:rPr>
                <w:rFonts w:ascii="Aptos" w:hAnsi="Aptos"/>
                <w:sz w:val="24"/>
                <w:szCs w:val="28"/>
              </w:rPr>
            </w:pPr>
            <w:r w:rsidRPr="00550E1F">
              <w:rPr>
                <w:rFonts w:ascii="Aptos" w:hAnsi="Aptos"/>
                <w:sz w:val="24"/>
                <w:szCs w:val="28"/>
              </w:rPr>
              <w:t>School Culture</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8E2769D" w14:textId="77777777" w:rsidR="00797A4D" w:rsidRPr="00550E1F" w:rsidRDefault="00797A4D">
            <w:pPr>
              <w:pStyle w:val="BodyText2"/>
              <w:keepNext/>
              <w:spacing w:line="240" w:lineRule="auto"/>
              <w:rPr>
                <w:rFonts w:ascii="Aptos" w:hAnsi="Aptos"/>
                <w:sz w:val="24"/>
                <w:szCs w:val="28"/>
              </w:rPr>
            </w:pPr>
            <w:r w:rsidRPr="00550E1F">
              <w:rPr>
                <w:rFonts w:ascii="Aptos" w:hAnsi="Aptos"/>
                <w:sz w:val="24"/>
                <w:szCs w:val="28"/>
              </w:rPr>
              <w:t xml:space="preserve">The school culture: </w:t>
            </w:r>
          </w:p>
          <w:p w14:paraId="52ED604B" w14:textId="77777777" w:rsidR="00797A4D" w:rsidRPr="00550E1F" w:rsidRDefault="00797A4D">
            <w:pPr>
              <w:pStyle w:val="ListBullet"/>
              <w:keepNext/>
              <w:rPr>
                <w:rFonts w:ascii="Aptos" w:hAnsi="Aptos"/>
                <w:sz w:val="24"/>
                <w:szCs w:val="28"/>
              </w:rPr>
            </w:pPr>
            <w:r w:rsidRPr="00550E1F">
              <w:rPr>
                <w:rFonts w:ascii="Aptos" w:hAnsi="Aptos"/>
                <w:sz w:val="24"/>
                <w:szCs w:val="28"/>
              </w:rPr>
              <w:t xml:space="preserve">values family and community. </w:t>
            </w:r>
          </w:p>
          <w:p w14:paraId="7793EF5D" w14:textId="77777777" w:rsidR="00797A4D" w:rsidRPr="00550E1F" w:rsidRDefault="00797A4D">
            <w:pPr>
              <w:pStyle w:val="ListBullet"/>
              <w:keepNext/>
              <w:rPr>
                <w:rFonts w:ascii="Aptos" w:hAnsi="Aptos"/>
                <w:sz w:val="24"/>
                <w:szCs w:val="28"/>
              </w:rPr>
            </w:pPr>
            <w:r w:rsidRPr="00550E1F">
              <w:rPr>
                <w:rFonts w:ascii="Aptos" w:hAnsi="Aptos"/>
                <w:sz w:val="24"/>
                <w:szCs w:val="28"/>
              </w:rPr>
              <w:t xml:space="preserve">is a cohesive community and collegial environment. </w:t>
            </w:r>
          </w:p>
          <w:p w14:paraId="0152C5FD" w14:textId="77777777" w:rsidR="00797A4D" w:rsidRPr="00550E1F" w:rsidRDefault="00797A4D">
            <w:pPr>
              <w:pStyle w:val="ListBullet"/>
              <w:keepNext/>
              <w:rPr>
                <w:rFonts w:ascii="Aptos" w:hAnsi="Aptos"/>
                <w:sz w:val="24"/>
                <w:szCs w:val="28"/>
              </w:rPr>
            </w:pPr>
            <w:r w:rsidRPr="00550E1F">
              <w:rPr>
                <w:rFonts w:ascii="Aptos" w:hAnsi="Aptos"/>
                <w:sz w:val="24"/>
                <w:szCs w:val="28"/>
              </w:rPr>
              <w:t xml:space="preserve">promotes diversity through representation of historically marginalized/minoritized groups. </w:t>
            </w:r>
          </w:p>
        </w:tc>
      </w:tr>
      <w:tr w:rsidR="00797A4D" w:rsidRPr="00F34FC3" w14:paraId="2F0EBBB2" w14:textId="77777777" w:rsidTr="001B1F09">
        <w:trPr>
          <w:trHeight w:val="300"/>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08ADA05" w14:textId="77777777" w:rsidR="00797A4D" w:rsidRPr="00550E1F" w:rsidRDefault="00797A4D">
            <w:pPr>
              <w:pStyle w:val="BodyText2"/>
              <w:rPr>
                <w:rFonts w:ascii="Aptos" w:hAnsi="Aptos"/>
                <w:sz w:val="24"/>
                <w:szCs w:val="28"/>
              </w:rPr>
            </w:pPr>
            <w:r w:rsidRPr="00550E1F">
              <w:rPr>
                <w:rFonts w:ascii="Aptos" w:hAnsi="Aptos"/>
                <w:sz w:val="24"/>
                <w:szCs w:val="28"/>
              </w:rPr>
              <w:t>Supervising Practitioner</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9DAB003" w14:textId="77777777" w:rsidR="00797A4D" w:rsidRPr="00550E1F" w:rsidRDefault="00797A4D">
            <w:pPr>
              <w:rPr>
                <w:rFonts w:ascii="Aptos" w:hAnsi="Aptos" w:cstheme="minorHAnsi"/>
                <w:color w:val="auto"/>
                <w:szCs w:val="28"/>
              </w:rPr>
            </w:pPr>
            <w:r w:rsidRPr="00550E1F">
              <w:rPr>
                <w:rFonts w:ascii="Aptos" w:hAnsi="Aptos" w:cstheme="minorHAnsi"/>
                <w:color w:val="auto"/>
                <w:szCs w:val="28"/>
              </w:rPr>
              <w:t xml:space="preserve">The supervising practitioner: </w:t>
            </w:r>
          </w:p>
          <w:p w14:paraId="259F0D6D" w14:textId="77777777" w:rsidR="00797A4D" w:rsidRPr="00550E1F" w:rsidRDefault="00797A4D">
            <w:pPr>
              <w:pStyle w:val="ListBullet"/>
              <w:rPr>
                <w:rFonts w:ascii="Aptos" w:hAnsi="Aptos"/>
                <w:sz w:val="24"/>
                <w:szCs w:val="28"/>
              </w:rPr>
            </w:pPr>
            <w:r w:rsidRPr="00550E1F">
              <w:rPr>
                <w:rFonts w:ascii="Aptos" w:hAnsi="Aptos"/>
                <w:sz w:val="24"/>
                <w:szCs w:val="28"/>
              </w:rPr>
              <w:t xml:space="preserve">elevates student voices and perspectives in the classroom learning. </w:t>
            </w:r>
          </w:p>
          <w:p w14:paraId="61D2DA20" w14:textId="77777777" w:rsidR="00797A4D" w:rsidRPr="00550E1F" w:rsidRDefault="00797A4D">
            <w:pPr>
              <w:pStyle w:val="ListBullet"/>
              <w:rPr>
                <w:rFonts w:ascii="Aptos" w:hAnsi="Aptos"/>
                <w:sz w:val="24"/>
                <w:szCs w:val="28"/>
              </w:rPr>
            </w:pPr>
            <w:r w:rsidRPr="00550E1F">
              <w:rPr>
                <w:rFonts w:ascii="Aptos" w:hAnsi="Aptos"/>
                <w:sz w:val="24"/>
                <w:szCs w:val="28"/>
              </w:rPr>
              <w:t xml:space="preserve">engages in continuous growth and professional learning in and outside of school. </w:t>
            </w:r>
          </w:p>
          <w:p w14:paraId="7106DB0F" w14:textId="77777777" w:rsidR="00797A4D" w:rsidRPr="00550E1F" w:rsidRDefault="00797A4D">
            <w:pPr>
              <w:pStyle w:val="ListBullet"/>
              <w:rPr>
                <w:rFonts w:ascii="Aptos" w:hAnsi="Aptos"/>
                <w:sz w:val="24"/>
                <w:szCs w:val="28"/>
              </w:rPr>
            </w:pPr>
            <w:r w:rsidRPr="00550E1F">
              <w:rPr>
                <w:rFonts w:ascii="Aptos" w:hAnsi="Aptos"/>
                <w:sz w:val="24"/>
                <w:szCs w:val="28"/>
              </w:rPr>
              <w:t xml:space="preserve">supports and encourages the teacher candidate to develop skills and extend learning within the school and the field. </w:t>
            </w:r>
          </w:p>
        </w:tc>
      </w:tr>
      <w:tr w:rsidR="00797A4D" w:rsidRPr="00F34FC3" w14:paraId="2A3A854B" w14:textId="77777777" w:rsidTr="001B1F09">
        <w:trPr>
          <w:trHeight w:val="300"/>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3436F35" w14:textId="77777777" w:rsidR="00797A4D" w:rsidRPr="00550E1F" w:rsidRDefault="00797A4D">
            <w:pPr>
              <w:pStyle w:val="BodyText2"/>
              <w:rPr>
                <w:rFonts w:ascii="Aptos" w:hAnsi="Aptos"/>
                <w:sz w:val="24"/>
                <w:szCs w:val="28"/>
              </w:rPr>
            </w:pPr>
            <w:r w:rsidRPr="00550E1F">
              <w:rPr>
                <w:rFonts w:ascii="Aptos" w:hAnsi="Aptos"/>
                <w:sz w:val="24"/>
                <w:szCs w:val="28"/>
              </w:rPr>
              <w:t>Program Supervisor</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D0E3266" w14:textId="77777777" w:rsidR="00797A4D" w:rsidRPr="00550E1F" w:rsidRDefault="00797A4D">
            <w:pPr>
              <w:pStyle w:val="BodyText2"/>
              <w:rPr>
                <w:rFonts w:ascii="Aptos" w:hAnsi="Aptos"/>
                <w:sz w:val="24"/>
                <w:szCs w:val="28"/>
              </w:rPr>
            </w:pPr>
            <w:r w:rsidRPr="00550E1F">
              <w:rPr>
                <w:rFonts w:ascii="Aptos" w:hAnsi="Aptos"/>
                <w:sz w:val="24"/>
                <w:szCs w:val="28"/>
              </w:rPr>
              <w:t xml:space="preserve">The program supervisor: </w:t>
            </w:r>
          </w:p>
          <w:p w14:paraId="14B04D59" w14:textId="77777777" w:rsidR="00797A4D" w:rsidRPr="00550E1F" w:rsidRDefault="00797A4D">
            <w:pPr>
              <w:pStyle w:val="ListBullet"/>
              <w:rPr>
                <w:rFonts w:ascii="Aptos" w:hAnsi="Aptos"/>
                <w:sz w:val="24"/>
                <w:szCs w:val="28"/>
              </w:rPr>
            </w:pPr>
            <w:r w:rsidRPr="00550E1F">
              <w:rPr>
                <w:rFonts w:ascii="Aptos" w:hAnsi="Aptos"/>
                <w:sz w:val="24"/>
                <w:szCs w:val="28"/>
              </w:rPr>
              <w:t xml:space="preserve">prompts the teacher candidate to recognize and adjust existing systems that perpetuate educational oppression and inequity. </w:t>
            </w:r>
          </w:p>
          <w:p w14:paraId="4A93FE16" w14:textId="77777777" w:rsidR="00797A4D" w:rsidRPr="00550E1F" w:rsidRDefault="00797A4D">
            <w:pPr>
              <w:pStyle w:val="ListBullet"/>
              <w:rPr>
                <w:rFonts w:ascii="Aptos" w:hAnsi="Aptos"/>
                <w:sz w:val="24"/>
                <w:szCs w:val="28"/>
              </w:rPr>
            </w:pPr>
            <w:r w:rsidRPr="00550E1F">
              <w:rPr>
                <w:rFonts w:ascii="Aptos" w:hAnsi="Aptos"/>
                <w:sz w:val="24"/>
                <w:szCs w:val="28"/>
              </w:rPr>
              <w:t xml:space="preserve">helps extend the teacher candidate’s teaching practices that foster social justice and democracy through feedback and coaching. </w:t>
            </w:r>
          </w:p>
          <w:p w14:paraId="2A877905" w14:textId="77777777" w:rsidR="00797A4D" w:rsidRPr="00550E1F" w:rsidRDefault="00797A4D">
            <w:pPr>
              <w:pStyle w:val="ListBullet"/>
              <w:rPr>
                <w:rFonts w:ascii="Aptos" w:hAnsi="Aptos"/>
                <w:sz w:val="24"/>
                <w:szCs w:val="28"/>
              </w:rPr>
            </w:pPr>
            <w:r w:rsidRPr="00550E1F">
              <w:rPr>
                <w:rFonts w:ascii="Aptos" w:hAnsi="Aptos"/>
                <w:sz w:val="24"/>
                <w:szCs w:val="28"/>
              </w:rPr>
              <w:t xml:space="preserve">underscores the importance of elevating student voices and perspectives within the teacher candidate’s instruction. </w:t>
            </w:r>
          </w:p>
        </w:tc>
      </w:tr>
      <w:tr w:rsidR="00797A4D" w:rsidRPr="00F34FC3" w14:paraId="4399A358" w14:textId="77777777" w:rsidTr="001B1F09">
        <w:trPr>
          <w:trHeight w:val="300"/>
        </w:trPr>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21844DF" w14:textId="77777777" w:rsidR="00797A4D" w:rsidRPr="00550E1F" w:rsidRDefault="00797A4D">
            <w:pPr>
              <w:pStyle w:val="BodyText2"/>
              <w:rPr>
                <w:rFonts w:ascii="Aptos" w:hAnsi="Aptos"/>
                <w:sz w:val="24"/>
                <w:szCs w:val="28"/>
              </w:rPr>
            </w:pPr>
            <w:r w:rsidRPr="00550E1F">
              <w:rPr>
                <w:rFonts w:ascii="Aptos" w:hAnsi="Aptos"/>
                <w:sz w:val="24"/>
                <w:szCs w:val="28"/>
              </w:rPr>
              <w:t>Teacher Candidate</w:t>
            </w:r>
          </w:p>
        </w:tc>
        <w:tc>
          <w:tcPr>
            <w:tcW w:w="371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816E273" w14:textId="77777777" w:rsidR="00797A4D" w:rsidRPr="00550E1F" w:rsidRDefault="00797A4D">
            <w:pPr>
              <w:pStyle w:val="BodyText2"/>
              <w:rPr>
                <w:rFonts w:ascii="Aptos" w:hAnsi="Aptos"/>
                <w:sz w:val="24"/>
                <w:szCs w:val="28"/>
              </w:rPr>
            </w:pPr>
            <w:r w:rsidRPr="00550E1F">
              <w:rPr>
                <w:rFonts w:ascii="Aptos" w:hAnsi="Aptos"/>
                <w:sz w:val="24"/>
                <w:szCs w:val="28"/>
              </w:rPr>
              <w:t xml:space="preserve">The teacher candidate: </w:t>
            </w:r>
          </w:p>
          <w:p w14:paraId="40FA1B89" w14:textId="77777777" w:rsidR="00797A4D" w:rsidRPr="00550E1F" w:rsidRDefault="00797A4D">
            <w:pPr>
              <w:pStyle w:val="ListBullet"/>
              <w:rPr>
                <w:rFonts w:ascii="Aptos" w:hAnsi="Aptos"/>
                <w:sz w:val="24"/>
                <w:szCs w:val="28"/>
              </w:rPr>
            </w:pPr>
            <w:r w:rsidRPr="00550E1F">
              <w:rPr>
                <w:rFonts w:ascii="Aptos" w:hAnsi="Aptos"/>
                <w:sz w:val="24"/>
                <w:szCs w:val="28"/>
              </w:rPr>
              <w:t xml:space="preserve">learns and contributes to the profession, as evidenced by engaging in professional activities above and beyond required expectations to extend their knowledge. </w:t>
            </w:r>
          </w:p>
          <w:p w14:paraId="55FF34BB" w14:textId="77777777" w:rsidR="00797A4D" w:rsidRPr="00550E1F" w:rsidRDefault="00797A4D">
            <w:pPr>
              <w:pStyle w:val="ListBullet"/>
              <w:rPr>
                <w:rFonts w:ascii="Aptos" w:hAnsi="Aptos"/>
                <w:sz w:val="24"/>
                <w:szCs w:val="28"/>
              </w:rPr>
            </w:pPr>
            <w:r w:rsidRPr="00550E1F">
              <w:rPr>
                <w:rFonts w:ascii="Aptos" w:hAnsi="Aptos"/>
                <w:sz w:val="24"/>
                <w:szCs w:val="28"/>
              </w:rPr>
              <w:t xml:space="preserve">constructs healthy boundaries and prioritizes well-being in the classroom. </w:t>
            </w:r>
          </w:p>
          <w:p w14:paraId="3A96BB3B" w14:textId="77777777" w:rsidR="00797A4D" w:rsidRPr="00550E1F" w:rsidRDefault="00797A4D">
            <w:pPr>
              <w:pStyle w:val="ListBullet"/>
              <w:rPr>
                <w:rFonts w:ascii="Aptos" w:hAnsi="Aptos"/>
                <w:sz w:val="24"/>
                <w:szCs w:val="28"/>
              </w:rPr>
            </w:pPr>
            <w:r w:rsidRPr="00550E1F">
              <w:rPr>
                <w:rFonts w:ascii="Aptos" w:hAnsi="Aptos"/>
                <w:sz w:val="24"/>
                <w:szCs w:val="28"/>
              </w:rPr>
              <w:t>reflects the program’s mission and philosophical tenets in their teaching and in interactions with students, colleagues, and families.</w:t>
            </w:r>
          </w:p>
        </w:tc>
      </w:tr>
    </w:tbl>
    <w:p w14:paraId="781C49CC" w14:textId="39891912" w:rsidR="00797A4D" w:rsidRPr="00550E1F" w:rsidRDefault="00797A4D" w:rsidP="00797A4D">
      <w:pPr>
        <w:spacing w:before="0" w:after="0"/>
        <w:rPr>
          <w:rFonts w:ascii="Aptos" w:eastAsia="Libre Franklin" w:hAnsi="Aptos" w:cs="Libre Franklin"/>
          <w:b/>
          <w:bCs/>
          <w:color w:val="163A42"/>
          <w:sz w:val="28"/>
        </w:rPr>
      </w:pPr>
    </w:p>
    <w:p w14:paraId="2CA65BD5" w14:textId="77777777" w:rsidR="00F34FC3" w:rsidRPr="00550E1F" w:rsidRDefault="00F34FC3" w:rsidP="00F34FC3">
      <w:pPr>
        <w:pStyle w:val="Heading4"/>
        <w:keepNext/>
        <w:rPr>
          <w:rFonts w:ascii="Aptos" w:hAnsi="Aptos"/>
        </w:rPr>
      </w:pPr>
      <w:bookmarkStart w:id="68" w:name="MTEL"/>
      <w:bookmarkEnd w:id="68"/>
      <w:r w:rsidRPr="00550E1F">
        <w:rPr>
          <w:rFonts w:ascii="Aptos" w:hAnsi="Aptos"/>
        </w:rPr>
        <w:t>Stonehill College’s MTEL Plan of Action Example</w:t>
      </w:r>
    </w:p>
    <w:p w14:paraId="051DC3BD" w14:textId="77777777" w:rsidR="00F34FC3" w:rsidRDefault="00F34FC3" w:rsidP="00F34FC3">
      <w:r>
        <w:rPr>
          <w:noProof/>
        </w:rPr>
        <w:drawing>
          <wp:inline distT="0" distB="0" distL="0" distR="0" wp14:anchorId="72213415" wp14:editId="7ED8033C">
            <wp:extent cx="5676902" cy="5419726"/>
            <wp:effectExtent l="0" t="0" r="0" b="0"/>
            <wp:docPr id="1650520533" name="Picture 1650520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97985" name="Picture 1059297985">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5676902" cy="5419726"/>
                    </a:xfrm>
                    <a:prstGeom prst="rect">
                      <a:avLst/>
                    </a:prstGeom>
                  </pic:spPr>
                </pic:pic>
              </a:graphicData>
            </a:graphic>
          </wp:inline>
        </w:drawing>
      </w:r>
    </w:p>
    <w:p w14:paraId="61EAD677" w14:textId="77777777" w:rsidR="00F34FC3" w:rsidRPr="00550E1F" w:rsidRDefault="00F34FC3" w:rsidP="00F34FC3">
      <w:pPr>
        <w:pStyle w:val="Paragraph-AfterList"/>
        <w:rPr>
          <w:rFonts w:ascii="Aptos" w:hAnsi="Aptos"/>
        </w:rPr>
      </w:pPr>
      <w:r w:rsidRPr="00550E1F">
        <w:rPr>
          <w:rFonts w:ascii="Aptos" w:hAnsi="Aptos"/>
        </w:rPr>
        <w:t>Stonehill College’s MTEL Plan of Action instructs candidates to determine the tests they need to take, create draft plan of action for taking them, and write out the specific steps they will take to prepare and study. Candidates are encouraged to account for both success and failure, i.e., what their trajectory will look like if they do not pass their test. Candidates are also asked to create accountability tasks for each test, develop a timeline, and track progress on their Program Matrix spreadsheet.</w:t>
      </w:r>
    </w:p>
    <w:p w14:paraId="093284E6" w14:textId="77777777" w:rsidR="00F34FC3" w:rsidRDefault="00F34FC3" w:rsidP="00F34FC3">
      <w:pPr>
        <w:spacing w:before="0" w:after="0"/>
        <w:rPr>
          <w:rFonts w:asciiTheme="minorHAnsi" w:eastAsia="Libre Franklin" w:hAnsiTheme="minorHAnsi" w:cs="Libre Franklin"/>
          <w:color w:val="000000" w:themeColor="text1"/>
          <w:szCs w:val="21"/>
        </w:rPr>
      </w:pPr>
      <w:r>
        <w:br w:type="page"/>
      </w:r>
    </w:p>
    <w:p w14:paraId="0FAB523B" w14:textId="5B93928A" w:rsidR="00842B6A" w:rsidRPr="00550E1F" w:rsidRDefault="00842B6A" w:rsidP="006E3D3C">
      <w:pPr>
        <w:spacing w:before="0" w:after="0"/>
        <w:rPr>
          <w:rFonts w:ascii="Aptos" w:eastAsia="Libre Franklin" w:hAnsi="Aptos" w:cs="Libre Franklin"/>
          <w:b/>
          <w:bCs/>
          <w:sz w:val="28"/>
        </w:rPr>
      </w:pPr>
    </w:p>
    <w:p w14:paraId="1B0C388E" w14:textId="4769B184" w:rsidR="00F34FC3" w:rsidRPr="00550E1F" w:rsidRDefault="70EED425" w:rsidP="00A823A7">
      <w:pPr>
        <w:pStyle w:val="Heading4"/>
        <w:keepNext/>
        <w:rPr>
          <w:rFonts w:ascii="Aptos" w:hAnsi="Aptos" w:cstheme="minorHAnsi"/>
          <w:color w:val="000000" w:themeColor="text1"/>
          <w:sz w:val="32"/>
          <w:szCs w:val="32"/>
        </w:rPr>
      </w:pPr>
      <w:bookmarkStart w:id="69" w:name="_Springfield_College_Resources"/>
      <w:bookmarkEnd w:id="69"/>
      <w:r w:rsidRPr="00550E1F">
        <w:rPr>
          <w:rFonts w:ascii="Aptos" w:hAnsi="Aptos" w:cstheme="minorHAnsi"/>
          <w:color w:val="000000" w:themeColor="text1"/>
          <w:sz w:val="32"/>
          <w:szCs w:val="32"/>
        </w:rPr>
        <w:t>Springfield College</w:t>
      </w:r>
      <w:r w:rsidR="00F34FC3" w:rsidRPr="00550E1F">
        <w:rPr>
          <w:rFonts w:ascii="Aptos" w:hAnsi="Aptos" w:cstheme="minorHAnsi"/>
          <w:color w:val="000000" w:themeColor="text1"/>
          <w:sz w:val="32"/>
          <w:szCs w:val="32"/>
        </w:rPr>
        <w:t xml:space="preserve"> Resources</w:t>
      </w:r>
    </w:p>
    <w:p w14:paraId="64FA9596" w14:textId="0DB2AFBA" w:rsidR="00C73618" w:rsidRPr="00550E1F" w:rsidRDefault="70EED425" w:rsidP="00A823A7">
      <w:pPr>
        <w:pStyle w:val="Heading4"/>
        <w:keepNext/>
        <w:rPr>
          <w:rFonts w:ascii="Aptos" w:hAnsi="Aptos" w:cstheme="minorHAnsi"/>
          <w:szCs w:val="28"/>
        </w:rPr>
      </w:pPr>
      <w:r w:rsidRPr="00550E1F">
        <w:rPr>
          <w:rFonts w:ascii="Aptos" w:hAnsi="Aptos" w:cstheme="minorHAnsi"/>
          <w:szCs w:val="28"/>
        </w:rPr>
        <w:t>Social-Emotional Supports for Teacher Candidates</w:t>
      </w:r>
    </w:p>
    <w:p w14:paraId="09FB8E58" w14:textId="3B77BA21" w:rsidR="00C73618" w:rsidRDefault="00C73618" w:rsidP="007C3D1C">
      <w:r>
        <w:rPr>
          <w:noProof/>
        </w:rPr>
        <w:drawing>
          <wp:inline distT="0" distB="0" distL="0" distR="0" wp14:anchorId="07B25B93" wp14:editId="2EE4FF4D">
            <wp:extent cx="5943600" cy="3324225"/>
            <wp:effectExtent l="0" t="0" r="0" b="0"/>
            <wp:docPr id="271941794" name="Picture 2719417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41794" name="Picture 271941794">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4E28EA95" w14:textId="10C7BDBD" w:rsidR="00C73618" w:rsidRDefault="00C73618" w:rsidP="007C3D1C">
      <w:r>
        <w:rPr>
          <w:noProof/>
        </w:rPr>
        <w:drawing>
          <wp:inline distT="0" distB="0" distL="0" distR="0" wp14:anchorId="0B4D5449" wp14:editId="7A3DC615">
            <wp:extent cx="5943600" cy="3333750"/>
            <wp:effectExtent l="0" t="0" r="0" b="0"/>
            <wp:docPr id="652083098" name="Picture 652083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083098" name="Picture 652083098">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3333750"/>
                    </a:xfrm>
                    <a:prstGeom prst="rect">
                      <a:avLst/>
                    </a:prstGeom>
                  </pic:spPr>
                </pic:pic>
              </a:graphicData>
            </a:graphic>
          </wp:inline>
        </w:drawing>
      </w:r>
    </w:p>
    <w:p w14:paraId="1285CF7D" w14:textId="77777777" w:rsidR="00224D6B" w:rsidRDefault="00224D6B">
      <w:pPr>
        <w:spacing w:before="0" w:after="0"/>
        <w:rPr>
          <w:rFonts w:asciiTheme="minorHAnsi" w:eastAsia="Libre Franklin" w:hAnsiTheme="minorHAnsi" w:cs="Libre Franklin"/>
          <w:b/>
          <w:bCs/>
          <w:sz w:val="28"/>
        </w:rPr>
      </w:pPr>
      <w:bookmarkStart w:id="70" w:name="MOPEX"/>
      <w:r>
        <w:br w:type="page"/>
      </w:r>
    </w:p>
    <w:p w14:paraId="570E0DBA" w14:textId="3E01D3A9" w:rsidR="00562619" w:rsidRDefault="00562619">
      <w:pPr>
        <w:spacing w:before="0" w:after="0"/>
        <w:rPr>
          <w:rFonts w:asciiTheme="minorHAnsi" w:hAnsiTheme="minorHAnsi"/>
          <w:b/>
          <w:bCs/>
          <w:kern w:val="0"/>
          <w:sz w:val="32"/>
          <w:szCs w:val="36"/>
          <w14:ligatures w14:val="none"/>
        </w:rPr>
      </w:pPr>
      <w:bookmarkStart w:id="71" w:name="StonehillSurvey"/>
      <w:bookmarkEnd w:id="70"/>
    </w:p>
    <w:bookmarkEnd w:id="71"/>
    <w:p w14:paraId="3A6B5034" w14:textId="77777777" w:rsidR="00655E0F" w:rsidRPr="00191D22" w:rsidRDefault="00655E0F" w:rsidP="00655E0F">
      <w:pPr>
        <w:pStyle w:val="Heading2"/>
        <w:rPr>
          <w:color w:val="808080" w:themeColor="background1" w:themeShade="80"/>
        </w:rPr>
      </w:pPr>
      <w:r w:rsidRPr="008E2A84">
        <w:rPr>
          <w:noProof/>
        </w:rPr>
        <mc:AlternateContent>
          <mc:Choice Requires="wps">
            <w:drawing>
              <wp:anchor distT="0" distB="0" distL="114300" distR="114300" simplePos="0" relativeHeight="251658265" behindDoc="0" locked="0" layoutInCell="1" allowOverlap="1" wp14:anchorId="6B47BB13" wp14:editId="39E0B992">
                <wp:simplePos x="0" y="0"/>
                <wp:positionH relativeFrom="column">
                  <wp:posOffset>0</wp:posOffset>
                </wp:positionH>
                <wp:positionV relativeFrom="paragraph">
                  <wp:posOffset>282575</wp:posOffset>
                </wp:positionV>
                <wp:extent cx="6400800" cy="0"/>
                <wp:effectExtent l="0" t="12700" r="25400" b="25400"/>
                <wp:wrapNone/>
                <wp:docPr id="427407253"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rgbClr val="8C117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18B2B1" id="Straight Connector 1" o:spid="_x0000_s1026" alt="&quot;&quot;" style="position:absolute;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2.25pt" to="7in,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" strokecolor="#8c1176" strokeweight="3pt">
                <v:stroke joinstyle="miter"/>
              </v:line>
            </w:pict>
          </mc:Fallback>
        </mc:AlternateContent>
      </w:r>
      <w:r>
        <w:rPr>
          <w:noProof/>
        </w:rPr>
        <mc:AlternateContent>
          <mc:Choice Requires="wps">
            <w:drawing>
              <wp:anchor distT="0" distB="0" distL="114300" distR="114300" simplePos="0" relativeHeight="251658264" behindDoc="0" locked="0" layoutInCell="1" allowOverlap="1" wp14:anchorId="7D3BDEA4" wp14:editId="7CD93A27">
                <wp:simplePos x="0" y="0"/>
                <wp:positionH relativeFrom="column">
                  <wp:posOffset>5715</wp:posOffset>
                </wp:positionH>
                <wp:positionV relativeFrom="paragraph">
                  <wp:posOffset>-106045</wp:posOffset>
                </wp:positionV>
                <wp:extent cx="6400800" cy="365760"/>
                <wp:effectExtent l="0" t="0" r="0" b="2540"/>
                <wp:wrapNone/>
                <wp:docPr id="1777855420" name="Text Box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6400800" cy="365760"/>
                        </a:xfrm>
                        <a:prstGeom prst="rect">
                          <a:avLst/>
                        </a:prstGeom>
                        <a:solidFill>
                          <a:schemeClr val="accent1">
                            <a:lumMod val="50000"/>
                          </a:schemeClr>
                        </a:solidFill>
                        <a:ln w="6350">
                          <a:noFill/>
                        </a:ln>
                      </wps:spPr>
                      <wps:txbx>
                        <w:txbxContent>
                          <w:p w14:paraId="324FCCA9" w14:textId="77777777" w:rsidR="00655E0F" w:rsidRPr="00550E1F" w:rsidRDefault="00655E0F" w:rsidP="00655E0F">
                            <w:pPr>
                              <w:pStyle w:val="Heading2a"/>
                              <w:rPr>
                                <w:sz w:val="36"/>
                                <w:szCs w:val="56"/>
                              </w:rPr>
                            </w:pPr>
                            <w:r w:rsidRPr="00550E1F">
                              <w:rPr>
                                <w:sz w:val="36"/>
                                <w:szCs w:val="56"/>
                              </w:rPr>
                              <w:t>References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BDEA4" id="_x0000_s1039" type="#_x0000_t202" style="position:absolute;margin-left:.45pt;margin-top:-8.35pt;width:7in;height:28.8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" fillcolor="#1f3763 [1604]" stroked="f" strokeweight=".5pt">
                <v:textbox>
                  <w:txbxContent>
                    <w:p w14:paraId="324FCCA9" w14:textId="77777777" w:rsidR="00655E0F" w:rsidRPr="00550E1F" w:rsidRDefault="00655E0F" w:rsidP="00655E0F">
                      <w:pPr>
                        <w:pStyle w:val="Heading2a"/>
                        <w:rPr>
                          <w:sz w:val="36"/>
                          <w:szCs w:val="56"/>
                        </w:rPr>
                      </w:pPr>
                      <w:r w:rsidRPr="00550E1F">
                        <w:rPr>
                          <w:sz w:val="36"/>
                          <w:szCs w:val="56"/>
                        </w:rPr>
                        <w:t>References</w:t>
                      </w:r>
                    </w:p>
                  </w:txbxContent>
                </v:textbox>
              </v:shape>
            </w:pict>
          </mc:Fallback>
        </mc:AlternateContent>
      </w:r>
      <w:r w:rsidRPr="00191D22">
        <w:rPr>
          <w:color w:val="808080" w:themeColor="background1" w:themeShade="80"/>
        </w:rPr>
        <w:t>References</w:t>
      </w:r>
    </w:p>
    <w:p w14:paraId="41F0A871" w14:textId="77777777" w:rsidR="00655E0F" w:rsidRPr="00550E1F" w:rsidRDefault="00655E0F" w:rsidP="00655E0F">
      <w:pPr>
        <w:pStyle w:val="BodyTextIndent"/>
        <w:spacing w:before="360"/>
        <w:rPr>
          <w:rFonts w:ascii="Aptos" w:hAnsi="Aptos"/>
          <w:sz w:val="24"/>
          <w:szCs w:val="24"/>
        </w:rPr>
      </w:pPr>
      <w:r w:rsidRPr="00550E1F">
        <w:rPr>
          <w:rFonts w:ascii="Aptos" w:hAnsi="Aptos"/>
          <w:sz w:val="24"/>
          <w:szCs w:val="24"/>
        </w:rPr>
        <w:t xml:space="preserve">Amos, Y. T. (2010). “They don’t want to get it!” Interaction between minority and White pre-service teachers in a multicultural education class. Multicultural Education, 17(4), 31-37. </w:t>
      </w:r>
    </w:p>
    <w:p w14:paraId="487AD0D1"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Ballantyne, J., &amp; Retell, J. (2020). Teaching careers: Exploring links between well-being, burnout, self-efficacy and praxis shock. Frontiers in Psychology, 10. </w:t>
      </w:r>
      <w:hyperlink r:id="rId63">
        <w:r w:rsidRPr="00550E1F">
          <w:rPr>
            <w:rStyle w:val="Hyperlink"/>
            <w:rFonts w:ascii="Aptos" w:hAnsi="Aptos"/>
            <w:sz w:val="24"/>
            <w:szCs w:val="24"/>
          </w:rPr>
          <w:t>https://doi.org/10.3389/fpsyg.2019.02255</w:t>
        </w:r>
      </w:hyperlink>
    </w:p>
    <w:p w14:paraId="2AA9ACA2"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Cochran-Smith, M., &amp; Stringer Keefe, E. (2022). Strong equity: Repositioning teacher education for social change. Teachers College Record, 124(3), 9-41. </w:t>
      </w:r>
      <w:hyperlink r:id="rId64">
        <w:r w:rsidRPr="00550E1F">
          <w:rPr>
            <w:rStyle w:val="Hyperlink"/>
            <w:rFonts w:ascii="Aptos" w:hAnsi="Aptos"/>
            <w:color w:val="000000" w:themeColor="text1"/>
            <w:sz w:val="24"/>
            <w:szCs w:val="24"/>
            <w:u w:val="none"/>
          </w:rPr>
          <w:t>https://doi.org/10.1177/01614681221087304</w:t>
        </w:r>
      </w:hyperlink>
      <w:r w:rsidRPr="00550E1F">
        <w:rPr>
          <w:rFonts w:ascii="Aptos" w:hAnsi="Aptos"/>
          <w:sz w:val="24"/>
          <w:szCs w:val="24"/>
        </w:rPr>
        <w:t>.</w:t>
      </w:r>
    </w:p>
    <w:p w14:paraId="4A507A00" w14:textId="77777777" w:rsidR="00655E0F" w:rsidRPr="00550E1F" w:rsidRDefault="00655E0F" w:rsidP="00655E0F">
      <w:pPr>
        <w:pStyle w:val="BodyTextIndent"/>
        <w:rPr>
          <w:rFonts w:ascii="Aptos" w:hAnsi="Aptos"/>
          <w:sz w:val="24"/>
          <w:szCs w:val="24"/>
        </w:rPr>
      </w:pPr>
      <w:r w:rsidRPr="00550E1F">
        <w:rPr>
          <w:rFonts w:ascii="Aptos" w:hAnsi="Aptos"/>
          <w:sz w:val="24"/>
          <w:szCs w:val="24"/>
        </w:rPr>
        <w:t>Cochran-Smith M., Villegas A. M., Abrams L., Chavez-Moreno L., Mills T., Stern R. (2015). Critiquing teacher preparation research: An overview of the field, Part II. Journal of Teacher Education, 66(2), 109–121.</w:t>
      </w:r>
    </w:p>
    <w:p w14:paraId="0C651FDB" w14:textId="77777777" w:rsidR="00655E0F" w:rsidRPr="00550E1F" w:rsidRDefault="00655E0F" w:rsidP="00655E0F">
      <w:pPr>
        <w:pStyle w:val="BodyTextIndent"/>
        <w:rPr>
          <w:rFonts w:ascii="Aptos" w:hAnsi="Aptos"/>
          <w:sz w:val="24"/>
          <w:szCs w:val="24"/>
        </w:rPr>
      </w:pPr>
      <w:r w:rsidRPr="00550E1F">
        <w:rPr>
          <w:rFonts w:ascii="Aptos" w:hAnsi="Aptos"/>
          <w:sz w:val="24"/>
          <w:szCs w:val="24"/>
        </w:rPr>
        <w:t>Crenshaw, A., &amp; Yusuf, A. (2024). Do You See Me? An Examination of Black Pre-Service Teacher Experiences in a Teacher Preparation Program. Journal of Education, 00220574231190934.</w:t>
      </w:r>
    </w:p>
    <w:p w14:paraId="1E83BD79" w14:textId="77777777" w:rsidR="00655E0F" w:rsidRPr="00550E1F" w:rsidRDefault="00655E0F" w:rsidP="00655E0F">
      <w:pPr>
        <w:pStyle w:val="BodyTextIndent"/>
        <w:rPr>
          <w:rFonts w:ascii="Aptos" w:hAnsi="Aptos"/>
          <w:sz w:val="24"/>
          <w:szCs w:val="24"/>
        </w:rPr>
      </w:pPr>
      <w:r w:rsidRPr="00550E1F">
        <w:rPr>
          <w:rFonts w:ascii="Aptos" w:hAnsi="Aptos"/>
          <w:sz w:val="24"/>
          <w:szCs w:val="24"/>
        </w:rPr>
        <w:t>Farley, A. N., Clayton, G., &amp; Kaka, S. J. (2018). Linking teacher education to redesigned systems of accountability: A call for multiple measures in pre-service teacher effectiveness. Education policy analysis archives, 26(12).</w:t>
      </w:r>
    </w:p>
    <w:p w14:paraId="3F08852D" w14:textId="77777777" w:rsidR="00655E0F" w:rsidRPr="00550E1F" w:rsidRDefault="00655E0F" w:rsidP="00655E0F">
      <w:pPr>
        <w:pStyle w:val="BodyTextIndent"/>
        <w:rPr>
          <w:rFonts w:ascii="Aptos" w:hAnsi="Aptos"/>
          <w:sz w:val="24"/>
          <w:szCs w:val="24"/>
        </w:rPr>
      </w:pPr>
      <w:r w:rsidRPr="00550E1F">
        <w:rPr>
          <w:rFonts w:ascii="Aptos" w:hAnsi="Aptos"/>
          <w:sz w:val="24"/>
          <w:szCs w:val="24"/>
        </w:rPr>
        <w:t>Foran, J., &amp; Mee, M. (2019). Improving Teacher Candidate Readiness through Enhanced Articulation and Targeted Assistance. School-University Partnerships, 12(2), 42-49.</w:t>
      </w:r>
    </w:p>
    <w:p w14:paraId="44E9EE5B" w14:textId="77777777" w:rsidR="00655E0F" w:rsidRPr="00550E1F" w:rsidRDefault="00655E0F" w:rsidP="00655E0F">
      <w:pPr>
        <w:pStyle w:val="BodyTextIndent"/>
        <w:rPr>
          <w:rFonts w:ascii="Aptos" w:hAnsi="Aptos"/>
          <w:sz w:val="24"/>
          <w:szCs w:val="24"/>
        </w:rPr>
      </w:pPr>
      <w:r w:rsidRPr="00550E1F">
        <w:rPr>
          <w:rFonts w:ascii="Aptos" w:hAnsi="Aptos"/>
          <w:sz w:val="24"/>
          <w:szCs w:val="24"/>
        </w:rPr>
        <w:t>Gist, C. D. (2017). Voices of aspiring teachers of color: Unraveling the double bind in teacher education. Urban Education, 52, 927-956.</w:t>
      </w:r>
    </w:p>
    <w:p w14:paraId="5D69FF2F" w14:textId="77777777" w:rsidR="00655E0F" w:rsidRPr="00550E1F" w:rsidRDefault="00655E0F" w:rsidP="00655E0F">
      <w:pPr>
        <w:pStyle w:val="BodyTextIndent"/>
        <w:rPr>
          <w:rFonts w:ascii="Aptos" w:hAnsi="Aptos"/>
          <w:sz w:val="24"/>
          <w:szCs w:val="24"/>
        </w:rPr>
      </w:pPr>
      <w:proofErr w:type="spellStart"/>
      <w:r w:rsidRPr="00550E1F">
        <w:rPr>
          <w:rFonts w:ascii="Aptos" w:hAnsi="Aptos"/>
          <w:sz w:val="24"/>
          <w:szCs w:val="24"/>
        </w:rPr>
        <w:t>Goe</w:t>
      </w:r>
      <w:proofErr w:type="spellEnd"/>
      <w:r w:rsidRPr="00550E1F">
        <w:rPr>
          <w:rFonts w:ascii="Aptos" w:hAnsi="Aptos"/>
          <w:sz w:val="24"/>
          <w:szCs w:val="24"/>
        </w:rPr>
        <w:t>, L., &amp; Roth, A. (2019). Strategies for supporting educator preparation programs’ efforts to attract, admit, support, and graduate teacher candidates from underrepresented groups. Research Memorandum No. RM-19-03). Princeton, NJ: Educational Testing Service.</w:t>
      </w:r>
    </w:p>
    <w:p w14:paraId="466F9E04"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Hill-Jackson, V. (2023). Three approaches to school-university partnerships among teacher residencies: can HBCUs lead the way to an equity-centric model?. School-University Partnerships (ahead-of-print). </w:t>
      </w:r>
      <w:hyperlink r:id="rId65">
        <w:r w:rsidRPr="00550E1F">
          <w:rPr>
            <w:rStyle w:val="Hyperlink"/>
            <w:rFonts w:ascii="Aptos" w:hAnsi="Aptos"/>
            <w:color w:val="000000" w:themeColor="text1"/>
            <w:sz w:val="24"/>
            <w:szCs w:val="24"/>
            <w:u w:val="none"/>
          </w:rPr>
          <w:t>https://doi.org/10.1108/SUP-08-2023-0030</w:t>
        </w:r>
      </w:hyperlink>
    </w:p>
    <w:p w14:paraId="430DE787" w14:textId="77777777" w:rsidR="00655E0F" w:rsidRPr="00550E1F" w:rsidRDefault="00655E0F" w:rsidP="00655E0F">
      <w:pPr>
        <w:pStyle w:val="BodyTextIndent"/>
        <w:rPr>
          <w:rFonts w:ascii="Aptos" w:hAnsi="Aptos"/>
          <w:sz w:val="24"/>
          <w:szCs w:val="24"/>
        </w:rPr>
      </w:pPr>
      <w:r w:rsidRPr="00550E1F">
        <w:rPr>
          <w:rFonts w:ascii="Aptos" w:hAnsi="Aptos"/>
          <w:sz w:val="24"/>
          <w:szCs w:val="24"/>
        </w:rPr>
        <w:t>Holyoke, E., Wetzel, M. M., Dunham, H., Alexander, K., Collins, C., &amp; Hills, L. E. (2023). Creating Equity-Focused Networks of Support for Teacher Candidates through Coaching: A Design-Development Study. Educational Research and Development Journal, 26(2), 41-61.</w:t>
      </w:r>
    </w:p>
    <w:p w14:paraId="07780B5A" w14:textId="77777777" w:rsidR="00655E0F" w:rsidRPr="00550E1F" w:rsidRDefault="00655E0F" w:rsidP="00655E0F">
      <w:pPr>
        <w:pStyle w:val="BodyTextIndent"/>
        <w:rPr>
          <w:rFonts w:ascii="Aptos" w:hAnsi="Aptos"/>
          <w:sz w:val="24"/>
          <w:szCs w:val="24"/>
        </w:rPr>
      </w:pPr>
      <w:r w:rsidRPr="00550E1F">
        <w:rPr>
          <w:rFonts w:ascii="Aptos" w:hAnsi="Aptos"/>
          <w:sz w:val="24"/>
          <w:szCs w:val="24"/>
        </w:rPr>
        <w:t>Kohli, R., Dover, A.G., Jayakumar, U.M., Lee, D., Henning, N., Comeaux, E., Nevárez, A., Hipolito, E., Carreno Cortez, A. &amp; Vizcarra, M., (2022). Toward a healthy racial climate: Systemically centering the well-being of teacher candidates of color. Journal of Teacher Education, 73(1), 52-65.</w:t>
      </w:r>
    </w:p>
    <w:p w14:paraId="23581EFD" w14:textId="77777777" w:rsidR="00655E0F" w:rsidRPr="00550E1F" w:rsidRDefault="00655E0F" w:rsidP="00655E0F">
      <w:pPr>
        <w:pStyle w:val="BodyTextIndent"/>
        <w:rPr>
          <w:rFonts w:ascii="Aptos" w:hAnsi="Aptos"/>
          <w:sz w:val="24"/>
          <w:szCs w:val="24"/>
        </w:rPr>
      </w:pPr>
      <w:proofErr w:type="spellStart"/>
      <w:r w:rsidRPr="00550E1F">
        <w:rPr>
          <w:rFonts w:ascii="Aptos" w:hAnsi="Aptos"/>
          <w:sz w:val="24"/>
          <w:szCs w:val="24"/>
        </w:rPr>
        <w:t>Kumashiro</w:t>
      </w:r>
      <w:proofErr w:type="spellEnd"/>
      <w:r w:rsidRPr="00550E1F">
        <w:rPr>
          <w:rFonts w:ascii="Aptos" w:hAnsi="Aptos"/>
          <w:sz w:val="24"/>
          <w:szCs w:val="24"/>
        </w:rPr>
        <w:t xml:space="preserve">, K. K. (2013). Against common sense: Teaching and learning toward social justice. Routledge. </w:t>
      </w:r>
    </w:p>
    <w:p w14:paraId="06A99898" w14:textId="77777777" w:rsidR="00655E0F" w:rsidRPr="00550E1F" w:rsidRDefault="00655E0F" w:rsidP="00655E0F">
      <w:pPr>
        <w:pStyle w:val="BodyTextIndent"/>
        <w:rPr>
          <w:rFonts w:ascii="Aptos" w:hAnsi="Aptos"/>
          <w:sz w:val="24"/>
          <w:szCs w:val="24"/>
        </w:rPr>
      </w:pPr>
      <w:r w:rsidRPr="00550E1F">
        <w:rPr>
          <w:rFonts w:ascii="Aptos" w:hAnsi="Aptos"/>
          <w:sz w:val="24"/>
          <w:szCs w:val="24"/>
        </w:rPr>
        <w:t>Madonna, J (2024). Preparing Teachers for Praxis Shock Through Pre-Service Teacher Preparation Programs (Publication No. 31140346) [Doctoral dissertation, Northeastern University]. ProQuest LLC.</w:t>
      </w:r>
    </w:p>
    <w:p w14:paraId="334FBA0A" w14:textId="77777777" w:rsidR="00655E0F" w:rsidRPr="00550E1F" w:rsidRDefault="00655E0F" w:rsidP="00655E0F">
      <w:pPr>
        <w:pStyle w:val="BodyTextIndent"/>
        <w:rPr>
          <w:rFonts w:ascii="Aptos" w:hAnsi="Aptos"/>
          <w:sz w:val="24"/>
          <w:szCs w:val="24"/>
        </w:rPr>
      </w:pPr>
      <w:r w:rsidRPr="00550E1F">
        <w:rPr>
          <w:rFonts w:ascii="Aptos" w:hAnsi="Aptos"/>
          <w:sz w:val="24"/>
          <w:szCs w:val="24"/>
        </w:rPr>
        <w:t>Marchitello, M., &amp; Trinidad, J. (2019). Preparing teachers for diverse schools: Lessons from minority serving institutions. Bellwether Education Partners. Pizarro, M., &amp; Kohli, R. (2020). “I stopped sleeping”: Teachers of color and the impact of racial battle fatigue. Urban Education, 55(7), 967-991.</w:t>
      </w:r>
    </w:p>
    <w:p w14:paraId="14A0DBAA" w14:textId="77777777" w:rsidR="00655E0F" w:rsidRPr="00550E1F" w:rsidRDefault="00655E0F" w:rsidP="00655E0F">
      <w:pPr>
        <w:pStyle w:val="BodyTextIndent"/>
        <w:rPr>
          <w:rFonts w:ascii="Aptos" w:hAnsi="Aptos"/>
          <w:sz w:val="24"/>
          <w:szCs w:val="24"/>
        </w:rPr>
      </w:pPr>
      <w:r w:rsidRPr="00550E1F">
        <w:rPr>
          <w:rFonts w:ascii="Aptos" w:hAnsi="Aptos"/>
          <w:sz w:val="24"/>
          <w:szCs w:val="24"/>
        </w:rPr>
        <w:t>Quay, S., &amp; Lockwood, M. (2019). Sustaining a continuous improvement culture in educator preparation: A higher education network based on data wise. Journal of Practitioner Research, 4(1), 3.</w:t>
      </w:r>
    </w:p>
    <w:p w14:paraId="7A17CDEA" w14:textId="77777777" w:rsidR="00655E0F" w:rsidRPr="00550E1F" w:rsidRDefault="00655E0F" w:rsidP="00655E0F">
      <w:pPr>
        <w:pStyle w:val="BodyTextIndent"/>
        <w:rPr>
          <w:rFonts w:ascii="Aptos" w:hAnsi="Aptos"/>
          <w:sz w:val="24"/>
          <w:szCs w:val="24"/>
        </w:rPr>
      </w:pPr>
      <w:r w:rsidRPr="00550E1F">
        <w:rPr>
          <w:rFonts w:ascii="Aptos" w:hAnsi="Aptos"/>
          <w:sz w:val="24"/>
          <w:szCs w:val="24"/>
        </w:rPr>
        <w:t>Reusser, J., Butler, L., Symonds, M., Vetter, R., &amp; Wall, T. J. (2007). An assessment system for teacher education program quality improvement. International Journal of Educational Management, 21(2), 105-113.</w:t>
      </w:r>
    </w:p>
    <w:p w14:paraId="7E437CF2"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Rodriguez-Mojica, C., Rodela, K. C., &amp; Ott, C. (2020). “I didn’t </w:t>
      </w:r>
      <w:proofErr w:type="spellStart"/>
      <w:r w:rsidRPr="00550E1F">
        <w:rPr>
          <w:rFonts w:ascii="Aptos" w:hAnsi="Aptos"/>
          <w:sz w:val="24"/>
          <w:szCs w:val="24"/>
        </w:rPr>
        <w:t>wanna</w:t>
      </w:r>
      <w:proofErr w:type="spellEnd"/>
      <w:r w:rsidRPr="00550E1F">
        <w:rPr>
          <w:rFonts w:ascii="Aptos" w:hAnsi="Aptos"/>
          <w:sz w:val="24"/>
          <w:szCs w:val="24"/>
        </w:rPr>
        <w:t xml:space="preserve"> believe it was a race issue”: Student teaching experiences of preservice teachers of color. The Urban Review, 52(3), 435-457.</w:t>
      </w:r>
    </w:p>
    <w:p w14:paraId="7E1D4253" w14:textId="77777777" w:rsidR="00655E0F" w:rsidRPr="00550E1F" w:rsidRDefault="00655E0F" w:rsidP="00655E0F">
      <w:pPr>
        <w:pStyle w:val="BodyTextIndent"/>
        <w:rPr>
          <w:rFonts w:ascii="Aptos" w:hAnsi="Aptos"/>
          <w:sz w:val="24"/>
          <w:szCs w:val="24"/>
        </w:rPr>
      </w:pPr>
      <w:r w:rsidRPr="00550E1F">
        <w:rPr>
          <w:rFonts w:ascii="Aptos" w:hAnsi="Aptos"/>
          <w:sz w:val="24"/>
          <w:szCs w:val="24"/>
        </w:rPr>
        <w:t>Sallese, M. R., Fogarty, M., Whiteside, E., &amp; Montague, M. (2023). Multi-tiered system of supports for teacher preparation: A framework to attract, retain, and prepare special educators. Journal of Special Education Preparation, 3(1), 34-45.</w:t>
      </w:r>
    </w:p>
    <w:p w14:paraId="43867871"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Sharp, W. (2015). Chapter 9: Consultation with Teachers. In Psychoanalytic Counseling: An Evidence Based </w:t>
      </w:r>
      <w:proofErr w:type="spellStart"/>
      <w:r w:rsidRPr="00550E1F">
        <w:rPr>
          <w:rFonts w:ascii="Aptos" w:hAnsi="Aptos"/>
          <w:sz w:val="24"/>
          <w:szCs w:val="24"/>
        </w:rPr>
        <w:t>Appraoch</w:t>
      </w:r>
      <w:proofErr w:type="spellEnd"/>
      <w:r w:rsidRPr="00550E1F">
        <w:rPr>
          <w:rFonts w:ascii="Aptos" w:hAnsi="Aptos"/>
          <w:sz w:val="24"/>
          <w:szCs w:val="24"/>
        </w:rPr>
        <w:t xml:space="preserve"> (pp.124-157). </w:t>
      </w:r>
      <w:proofErr w:type="spellStart"/>
      <w:r w:rsidRPr="00550E1F">
        <w:rPr>
          <w:rFonts w:ascii="Aptos" w:hAnsi="Aptos"/>
          <w:sz w:val="24"/>
          <w:szCs w:val="24"/>
        </w:rPr>
        <w:t>Cognella</w:t>
      </w:r>
      <w:proofErr w:type="spellEnd"/>
      <w:r w:rsidRPr="00550E1F">
        <w:rPr>
          <w:rFonts w:ascii="Aptos" w:hAnsi="Aptos"/>
          <w:sz w:val="24"/>
          <w:szCs w:val="24"/>
        </w:rPr>
        <w:t>.</w:t>
      </w:r>
    </w:p>
    <w:p w14:paraId="18C75E7F" w14:textId="77777777" w:rsidR="00655E0F" w:rsidRPr="00550E1F" w:rsidRDefault="00655E0F" w:rsidP="00655E0F">
      <w:pPr>
        <w:pStyle w:val="BodyTextIndent"/>
        <w:rPr>
          <w:rFonts w:ascii="Aptos" w:hAnsi="Aptos"/>
          <w:sz w:val="24"/>
          <w:szCs w:val="24"/>
        </w:rPr>
      </w:pPr>
      <w:r w:rsidRPr="00550E1F">
        <w:rPr>
          <w:rFonts w:ascii="Aptos" w:hAnsi="Aptos"/>
          <w:sz w:val="24"/>
          <w:szCs w:val="24"/>
        </w:rPr>
        <w:t>Strom, K., &amp; Martin, A. D. (2016). Pursuing lines of flight: Enacting equity-based preservice teacher learning in first-year teaching. Policy futures in education, 14(2), 252-273.</w:t>
      </w:r>
    </w:p>
    <w:p w14:paraId="3380E0A4" w14:textId="77777777" w:rsidR="00655E0F" w:rsidRPr="00550E1F" w:rsidRDefault="00655E0F" w:rsidP="00655E0F">
      <w:pPr>
        <w:pStyle w:val="BodyTextIndent"/>
        <w:rPr>
          <w:rFonts w:ascii="Aptos" w:hAnsi="Aptos"/>
          <w:sz w:val="24"/>
          <w:szCs w:val="24"/>
        </w:rPr>
      </w:pPr>
      <w:r w:rsidRPr="00550E1F">
        <w:rPr>
          <w:rFonts w:ascii="Aptos" w:hAnsi="Aptos"/>
          <w:sz w:val="24"/>
          <w:szCs w:val="24"/>
        </w:rPr>
        <w:t>Temponi, C. (2005). Continuous improvement framework: implications for academia. Quality assurance in education, 13(1), 17-36.</w:t>
      </w:r>
    </w:p>
    <w:p w14:paraId="7236B763" w14:textId="77777777" w:rsidR="00655E0F" w:rsidRPr="00550E1F" w:rsidRDefault="00655E0F" w:rsidP="00655E0F">
      <w:pPr>
        <w:pStyle w:val="BodyTextIndent"/>
        <w:rPr>
          <w:rFonts w:ascii="Aptos" w:hAnsi="Aptos"/>
          <w:sz w:val="24"/>
          <w:szCs w:val="24"/>
        </w:rPr>
      </w:pPr>
      <w:r w:rsidRPr="00550E1F">
        <w:rPr>
          <w:rFonts w:ascii="Aptos" w:hAnsi="Aptos"/>
          <w:sz w:val="24"/>
          <w:szCs w:val="24"/>
        </w:rPr>
        <w:t>Torre Gibney, D., Rutherford-Quach, S., Milby, A., Lam, A., &amp; White, M.E. (2020). Building strong partnerships to improve clinically oriented teacher preparation. WestEd.</w:t>
      </w:r>
    </w:p>
    <w:p w14:paraId="38263991"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Wexler, L.J. (2020). ‘I would be a completely different teacher if I had been with a different mentor’: Ways in which educative mentoring matters as novices learn to teach. Professional Development in Education, 46(2), 211-228. </w:t>
      </w:r>
      <w:hyperlink r:id="rId66">
        <w:r w:rsidRPr="00550E1F">
          <w:rPr>
            <w:rStyle w:val="Hyperlink"/>
            <w:rFonts w:ascii="Aptos" w:hAnsi="Aptos"/>
            <w:color w:val="000000" w:themeColor="text1"/>
            <w:sz w:val="24"/>
            <w:szCs w:val="24"/>
            <w:u w:val="none"/>
          </w:rPr>
          <w:t>https://doi.org/10.1080/19415257.2019.1573375</w:t>
        </w:r>
      </w:hyperlink>
    </w:p>
    <w:p w14:paraId="2D7B3908" w14:textId="77777777" w:rsidR="00655E0F" w:rsidRPr="00550E1F" w:rsidRDefault="00655E0F" w:rsidP="00655E0F">
      <w:pPr>
        <w:pStyle w:val="BodyTextIndent"/>
        <w:rPr>
          <w:rFonts w:ascii="Aptos" w:hAnsi="Aptos"/>
          <w:sz w:val="24"/>
          <w:szCs w:val="24"/>
        </w:rPr>
      </w:pPr>
      <w:r w:rsidRPr="00550E1F">
        <w:rPr>
          <w:rFonts w:ascii="Aptos" w:hAnsi="Aptos"/>
          <w:sz w:val="24"/>
          <w:szCs w:val="24"/>
        </w:rPr>
        <w:t xml:space="preserve">White, M. E., </w:t>
      </w:r>
      <w:proofErr w:type="spellStart"/>
      <w:r w:rsidRPr="00550E1F">
        <w:rPr>
          <w:rFonts w:ascii="Aptos" w:hAnsi="Aptos"/>
          <w:sz w:val="24"/>
          <w:szCs w:val="24"/>
        </w:rPr>
        <w:t>Hirschboeck</w:t>
      </w:r>
      <w:proofErr w:type="spellEnd"/>
      <w:r w:rsidRPr="00550E1F">
        <w:rPr>
          <w:rFonts w:ascii="Aptos" w:hAnsi="Aptos"/>
          <w:sz w:val="24"/>
          <w:szCs w:val="24"/>
        </w:rPr>
        <w:t>, K., Donahue, C., &amp; Torre Gibney, D. (2020). Strengthening the data use and continuous improvement capacity of teacher preparation programs. WestEd.</w:t>
      </w:r>
    </w:p>
    <w:p w14:paraId="67410697" w14:textId="77777777" w:rsidR="00AC7574" w:rsidRPr="00550E1F" w:rsidRDefault="00AC7574" w:rsidP="00AC7574">
      <w:pPr>
        <w:pStyle w:val="Paragraph-AfterList"/>
        <w:rPr>
          <w:rFonts w:ascii="Aptos" w:hAnsi="Aptos"/>
          <w:szCs w:val="24"/>
        </w:rPr>
      </w:pPr>
    </w:p>
    <w:sectPr w:rsidR="00AC7574" w:rsidRPr="00550E1F" w:rsidSect="002D285F">
      <w:type w:val="continuous"/>
      <w:pgSz w:w="12240" w:h="15840"/>
      <w:pgMar w:top="720" w:right="1008" w:bottom="806" w:left="1008" w:header="36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6C67B" w14:textId="77777777" w:rsidR="00883E96" w:rsidRDefault="00883E96" w:rsidP="007C3D1C">
      <w:r>
        <w:separator/>
      </w:r>
    </w:p>
    <w:p w14:paraId="0569224C" w14:textId="77777777" w:rsidR="00883E96" w:rsidRDefault="00883E96" w:rsidP="007C3D1C"/>
  </w:endnote>
  <w:endnote w:type="continuationSeparator" w:id="0">
    <w:p w14:paraId="40679B9B" w14:textId="77777777" w:rsidR="00883E96" w:rsidRDefault="00883E96" w:rsidP="007C3D1C">
      <w:r>
        <w:continuationSeparator/>
      </w:r>
    </w:p>
    <w:p w14:paraId="61C96578" w14:textId="77777777" w:rsidR="00883E96" w:rsidRDefault="00883E96" w:rsidP="007C3D1C"/>
  </w:endnote>
  <w:endnote w:type="continuationNotice" w:id="1">
    <w:p w14:paraId="5D074652" w14:textId="77777777" w:rsidR="00883E96" w:rsidRDefault="00883E9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font>
  <w:font w:name="DengXian Light">
    <w:altName w:val="等线 Light"/>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3270508"/>
      <w:docPartObj>
        <w:docPartGallery w:val="Page Numbers (Bottom of Page)"/>
        <w:docPartUnique/>
      </w:docPartObj>
    </w:sdtPr>
    <w:sdtContent>
      <w:p w14:paraId="657A70A6" w14:textId="38E91D6B" w:rsidR="009B6FAD" w:rsidRDefault="009B6FAD" w:rsidP="007F63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EF8295" w14:textId="77777777" w:rsidR="009B6FAD" w:rsidRDefault="009B6FAD" w:rsidP="009B6F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5"/>
      <w:gridCol w:w="3405"/>
      <w:gridCol w:w="3405"/>
    </w:tblGrid>
    <w:tr w:rsidR="7CAC50C7" w14:paraId="22688C6A" w14:textId="77777777" w:rsidTr="006F6F3C">
      <w:trPr>
        <w:trHeight w:val="300"/>
      </w:trPr>
      <w:tc>
        <w:tcPr>
          <w:tcW w:w="3405" w:type="dxa"/>
        </w:tcPr>
        <w:p w14:paraId="06E079DE" w14:textId="123A3274" w:rsidR="7CAC50C7" w:rsidRDefault="7CAC50C7" w:rsidP="00537606">
          <w:pPr>
            <w:pStyle w:val="Header"/>
            <w:ind w:left="-115"/>
          </w:pPr>
        </w:p>
      </w:tc>
      <w:tc>
        <w:tcPr>
          <w:tcW w:w="3405" w:type="dxa"/>
        </w:tcPr>
        <w:p w14:paraId="7DCBDC22" w14:textId="6F4E11D8" w:rsidR="7CAC50C7" w:rsidRDefault="7CAC50C7" w:rsidP="006F6F3C">
          <w:pPr>
            <w:pStyle w:val="Header"/>
            <w:jc w:val="center"/>
          </w:pPr>
        </w:p>
      </w:tc>
      <w:tc>
        <w:tcPr>
          <w:tcW w:w="3405" w:type="dxa"/>
        </w:tcPr>
        <w:p w14:paraId="7519C02C" w14:textId="7008B512" w:rsidR="7CAC50C7" w:rsidRDefault="7CAC50C7" w:rsidP="006F6F3C">
          <w:pPr>
            <w:pStyle w:val="Header"/>
            <w:ind w:right="-115"/>
            <w:jc w:val="right"/>
          </w:pPr>
        </w:p>
      </w:tc>
    </w:tr>
  </w:tbl>
  <w:p w14:paraId="30AB2CF2" w14:textId="5061B8B1" w:rsidR="00BF1244" w:rsidRDefault="00BF12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5"/>
      <w:gridCol w:w="3405"/>
      <w:gridCol w:w="3405"/>
    </w:tblGrid>
    <w:tr w:rsidR="7CAC50C7" w14:paraId="68138E01" w14:textId="77777777" w:rsidTr="006F6F3C">
      <w:trPr>
        <w:trHeight w:val="300"/>
      </w:trPr>
      <w:tc>
        <w:tcPr>
          <w:tcW w:w="3405" w:type="dxa"/>
        </w:tcPr>
        <w:p w14:paraId="77EEEA4F" w14:textId="0ECA1323" w:rsidR="7CAC50C7" w:rsidRDefault="7CAC50C7" w:rsidP="006F6F3C">
          <w:pPr>
            <w:pStyle w:val="Header"/>
            <w:ind w:left="-115"/>
          </w:pPr>
        </w:p>
      </w:tc>
      <w:tc>
        <w:tcPr>
          <w:tcW w:w="3405" w:type="dxa"/>
        </w:tcPr>
        <w:p w14:paraId="07C52D0B" w14:textId="505DCBB7" w:rsidR="7CAC50C7" w:rsidRDefault="7CAC50C7" w:rsidP="006F6F3C">
          <w:pPr>
            <w:pStyle w:val="Header"/>
            <w:jc w:val="center"/>
          </w:pPr>
        </w:p>
      </w:tc>
      <w:tc>
        <w:tcPr>
          <w:tcW w:w="3405" w:type="dxa"/>
        </w:tcPr>
        <w:p w14:paraId="31ADCF39" w14:textId="53C9C340" w:rsidR="7CAC50C7" w:rsidRDefault="7CAC50C7" w:rsidP="006F6F3C">
          <w:pPr>
            <w:pStyle w:val="Header"/>
            <w:ind w:right="-115"/>
            <w:jc w:val="right"/>
          </w:pPr>
        </w:p>
      </w:tc>
    </w:tr>
  </w:tbl>
  <w:p w14:paraId="4DF6B0AC" w14:textId="5827F7BC" w:rsidR="00BF1244" w:rsidRDefault="00BF12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9298210"/>
      <w:docPartObj>
        <w:docPartGallery w:val="Page Numbers (Bottom of Page)"/>
        <w:docPartUnique/>
      </w:docPartObj>
    </w:sdtPr>
    <w:sdtContent>
      <w:p w14:paraId="6AEB395A" w14:textId="0BAC9223" w:rsidR="009B6FAD" w:rsidRDefault="009B6FAD" w:rsidP="007F632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54F348" w14:textId="77777777" w:rsidR="009B6FAD" w:rsidRPr="009B6FAD" w:rsidRDefault="009B6FAD" w:rsidP="009B6FAD">
    <w:pPr>
      <w:pStyle w:val="Footer"/>
      <w:spacing w:before="0" w:after="0"/>
      <w:ind w:right="360"/>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D94AE" w14:textId="77777777" w:rsidR="00883E96" w:rsidRDefault="00883E96" w:rsidP="007C3D1C">
      <w:r>
        <w:separator/>
      </w:r>
    </w:p>
    <w:p w14:paraId="65FDC295" w14:textId="77777777" w:rsidR="00883E96" w:rsidRDefault="00883E96" w:rsidP="007C3D1C"/>
  </w:footnote>
  <w:footnote w:type="continuationSeparator" w:id="0">
    <w:p w14:paraId="5BCAF37F" w14:textId="77777777" w:rsidR="00883E96" w:rsidRDefault="00883E96" w:rsidP="007C3D1C">
      <w:r>
        <w:continuationSeparator/>
      </w:r>
    </w:p>
    <w:p w14:paraId="13EC284E" w14:textId="77777777" w:rsidR="00883E96" w:rsidRDefault="00883E96" w:rsidP="007C3D1C"/>
  </w:footnote>
  <w:footnote w:type="continuationNotice" w:id="1">
    <w:p w14:paraId="688D9225" w14:textId="77777777" w:rsidR="00883E96" w:rsidRDefault="00883E9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CBBE" w14:textId="77777777" w:rsidR="00F52B36" w:rsidRDefault="00F52B36" w:rsidP="007C3D1C">
    <w:pPr>
      <w:pStyle w:val="Header"/>
    </w:pPr>
    <w:r>
      <w:rPr>
        <w:noProof/>
      </w:rPr>
      <w:drawing>
        <wp:inline distT="0" distB="0" distL="0" distR="0" wp14:anchorId="38999E06" wp14:editId="7850166E">
          <wp:extent cx="1796716" cy="493216"/>
          <wp:effectExtent l="0" t="0" r="0" b="2540"/>
          <wp:docPr id="1740301813" name="Picture 1740301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3D97C" w14:textId="77777777" w:rsidR="00F52B36" w:rsidRPr="003329A6" w:rsidRDefault="00F52B36" w:rsidP="007C3D1C">
    <w:pPr>
      <w:pStyle w:val="Header"/>
    </w:pPr>
    <w:r>
      <w:rPr>
        <w:noProof/>
      </w:rPr>
      <w:drawing>
        <wp:inline distT="0" distB="0" distL="0" distR="0" wp14:anchorId="33797A64" wp14:editId="6D0EACE8">
          <wp:extent cx="2243581" cy="640080"/>
          <wp:effectExtent l="0" t="0" r="4445" b="0"/>
          <wp:docPr id="14844509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772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43581" cy="6400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B75B" w14:textId="77777777" w:rsidR="00F52B36" w:rsidRPr="003329A6" w:rsidRDefault="00F52B36" w:rsidP="007C3D1C">
    <w:pPr>
      <w:pStyle w:val="Header"/>
    </w:pPr>
    <w:r>
      <w:rPr>
        <w:noProof/>
      </w:rPr>
      <w:drawing>
        <wp:inline distT="0" distB="0" distL="0" distR="0" wp14:anchorId="0B07EC96" wp14:editId="717FEF78">
          <wp:extent cx="2243581" cy="640080"/>
          <wp:effectExtent l="0" t="0" r="0" b="0"/>
          <wp:docPr id="1001637887" name="Picture 1" descr="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7887" name="Picture 1" descr="DESE's logo"/>
                  <pic:cNvPicPr/>
                </pic:nvPicPr>
                <pic:blipFill>
                  <a:blip r:embed="rId1">
                    <a:extLst>
                      <a:ext uri="{28A0092B-C50C-407E-A947-70E740481C1C}">
                        <a14:useLocalDpi xmlns:a14="http://schemas.microsoft.com/office/drawing/2010/main" val="0"/>
                      </a:ext>
                    </a:extLst>
                  </a:blip>
                  <a:stretch>
                    <a:fillRect/>
                  </a:stretch>
                </pic:blipFill>
                <pic:spPr>
                  <a:xfrm>
                    <a:off x="0" y="0"/>
                    <a:ext cx="2243581" cy="64008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D964" w14:textId="05C2AE2A" w:rsidR="007631A7" w:rsidRPr="007631A7" w:rsidRDefault="007631A7" w:rsidP="007631A7">
    <w:pPr>
      <w:pStyle w:val="Header"/>
    </w:pPr>
    <w:r>
      <w:rPr>
        <w:noProof/>
      </w:rPr>
      <w:drawing>
        <wp:anchor distT="0" distB="0" distL="114300" distR="114300" simplePos="0" relativeHeight="251658240" behindDoc="0" locked="0" layoutInCell="1" allowOverlap="1" wp14:anchorId="579DF017" wp14:editId="5EAED297">
          <wp:simplePos x="0" y="0"/>
          <wp:positionH relativeFrom="page">
            <wp:posOffset>6085840</wp:posOffset>
          </wp:positionH>
          <wp:positionV relativeFrom="page">
            <wp:posOffset>231848</wp:posOffset>
          </wp:positionV>
          <wp:extent cx="960120" cy="273958"/>
          <wp:effectExtent l="0" t="0" r="5080" b="0"/>
          <wp:wrapNone/>
          <wp:docPr id="1654604822" name="Picture 1" descr="A blue and yellow logo with a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04822" name="Picture 1" descr="A blue and yellow logo with a light bulb"/>
                  <pic:cNvPicPr/>
                </pic:nvPicPr>
                <pic:blipFill>
                  <a:blip r:embed="rId1">
                    <a:extLst>
                      <a:ext uri="{28A0092B-C50C-407E-A947-70E740481C1C}">
                        <a14:useLocalDpi xmlns:a14="http://schemas.microsoft.com/office/drawing/2010/main" val="0"/>
                      </a:ext>
                    </a:extLst>
                  </a:blip>
                  <a:stretch>
                    <a:fillRect/>
                  </a:stretch>
                </pic:blipFill>
                <pic:spPr>
                  <a:xfrm>
                    <a:off x="0" y="0"/>
                    <a:ext cx="960120" cy="273958"/>
                  </a:xfrm>
                  <a:prstGeom prst="rect">
                    <a:avLst/>
                  </a:prstGeom>
                </pic:spPr>
              </pic:pic>
            </a:graphicData>
          </a:graphic>
          <wp14:sizeRelH relativeFrom="page">
            <wp14:pctWidth>0</wp14:pctWidth>
          </wp14:sizeRelH>
          <wp14:sizeRelV relativeFrom="page">
            <wp14:pctHeight>0</wp14:pctHeight>
          </wp14:sizeRelV>
        </wp:anchor>
      </w:drawing>
    </w:r>
    <w:r>
      <w:t>Promising Practice</w:t>
    </w:r>
    <w:r w:rsidR="00CD07DF">
      <w:t xml:space="preserve"> </w:t>
    </w:r>
    <w:r>
      <w:t>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0B328" w14:textId="5DF7A08B" w:rsidR="00F51597" w:rsidRPr="007631A7" w:rsidRDefault="00F51597" w:rsidP="007631A7">
    <w:pPr>
      <w:pStyle w:val="Header"/>
    </w:pPr>
    <w:r>
      <w:rPr>
        <w:noProof/>
      </w:rPr>
      <w:drawing>
        <wp:anchor distT="0" distB="0" distL="114300" distR="114300" simplePos="0" relativeHeight="251658241" behindDoc="0" locked="0" layoutInCell="1" allowOverlap="1" wp14:anchorId="52D5E8CF" wp14:editId="11A6DFFE">
          <wp:simplePos x="0" y="0"/>
          <wp:positionH relativeFrom="page">
            <wp:posOffset>6085840</wp:posOffset>
          </wp:positionH>
          <wp:positionV relativeFrom="page">
            <wp:posOffset>231848</wp:posOffset>
          </wp:positionV>
          <wp:extent cx="960120" cy="273958"/>
          <wp:effectExtent l="0" t="0" r="5080" b="0"/>
          <wp:wrapNone/>
          <wp:docPr id="95752328" name="Picture 1" descr="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2328" name="Picture 1" descr="DESE's logo"/>
                  <pic:cNvPicPr/>
                </pic:nvPicPr>
                <pic:blipFill>
                  <a:blip r:embed="rId1">
                    <a:extLst>
                      <a:ext uri="{28A0092B-C50C-407E-A947-70E740481C1C}">
                        <a14:useLocalDpi xmlns:a14="http://schemas.microsoft.com/office/drawing/2010/main" val="0"/>
                      </a:ext>
                    </a:extLst>
                  </a:blip>
                  <a:stretch>
                    <a:fillRect/>
                  </a:stretch>
                </pic:blipFill>
                <pic:spPr>
                  <a:xfrm>
                    <a:off x="0" y="0"/>
                    <a:ext cx="960120" cy="273958"/>
                  </a:xfrm>
                  <a:prstGeom prst="rect">
                    <a:avLst/>
                  </a:prstGeom>
                </pic:spPr>
              </pic:pic>
            </a:graphicData>
          </a:graphic>
          <wp14:sizeRelH relativeFrom="page">
            <wp14:pctWidth>0</wp14:pctWidth>
          </wp14:sizeRelH>
          <wp14:sizeRelV relativeFrom="page">
            <wp14:pctHeight>0</wp14:pctHeight>
          </wp14:sizeRelV>
        </wp:anchor>
      </w:drawing>
    </w:r>
    <w:r w:rsidR="005B7BD9">
      <w:t>Case Studies of Promising Practices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D8DB" w14:textId="2598BC61" w:rsidR="00EB5983" w:rsidRDefault="00A206B2">
    <w:pPr>
      <w:pStyle w:val="Header"/>
    </w:pPr>
    <w:r>
      <w:rPr>
        <w:noProof/>
      </w:rPr>
      <w:drawing>
        <wp:anchor distT="0" distB="0" distL="114300" distR="114300" simplePos="0" relativeHeight="251658243" behindDoc="0" locked="0" layoutInCell="1" allowOverlap="1" wp14:anchorId="4A3C3FB8" wp14:editId="7F0D3E32">
          <wp:simplePos x="0" y="0"/>
          <wp:positionH relativeFrom="page">
            <wp:posOffset>6085840</wp:posOffset>
          </wp:positionH>
          <wp:positionV relativeFrom="page">
            <wp:posOffset>231848</wp:posOffset>
          </wp:positionV>
          <wp:extent cx="960120" cy="273958"/>
          <wp:effectExtent l="0" t="0" r="5080" b="0"/>
          <wp:wrapNone/>
          <wp:docPr id="447164975" name="Picture 1" descr="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64975" name="Picture 1" descr="DESE's logo"/>
                  <pic:cNvPicPr/>
                </pic:nvPicPr>
                <pic:blipFill>
                  <a:blip r:embed="rId1">
                    <a:extLst>
                      <a:ext uri="{28A0092B-C50C-407E-A947-70E740481C1C}">
                        <a14:useLocalDpi xmlns:a14="http://schemas.microsoft.com/office/drawing/2010/main" val="0"/>
                      </a:ext>
                    </a:extLst>
                  </a:blip>
                  <a:stretch>
                    <a:fillRect/>
                  </a:stretch>
                </pic:blipFill>
                <pic:spPr>
                  <a:xfrm>
                    <a:off x="0" y="0"/>
                    <a:ext cx="960120" cy="273958"/>
                  </a:xfrm>
                  <a:prstGeom prst="rect">
                    <a:avLst/>
                  </a:prstGeom>
                </pic:spPr>
              </pic:pic>
            </a:graphicData>
          </a:graphic>
          <wp14:sizeRelH relativeFrom="page">
            <wp14:pctWidth>0</wp14:pctWidth>
          </wp14:sizeRelH>
          <wp14:sizeRelV relativeFrom="page">
            <wp14:pctHeight>0</wp14:pctHeight>
          </wp14:sizeRelV>
        </wp:anchor>
      </w:drawing>
    </w:r>
    <w:r>
      <w:t>Action Planning Tools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93F9" w14:textId="1F3B3BDE" w:rsidR="00F51597" w:rsidRPr="007631A7" w:rsidRDefault="00F51597" w:rsidP="007631A7">
    <w:pPr>
      <w:pStyle w:val="Header"/>
    </w:pPr>
    <w:r>
      <w:rPr>
        <w:noProof/>
      </w:rPr>
      <w:drawing>
        <wp:anchor distT="0" distB="0" distL="114300" distR="114300" simplePos="0" relativeHeight="251658242" behindDoc="0" locked="0" layoutInCell="1" allowOverlap="1" wp14:anchorId="5B99B722" wp14:editId="08D1EC26">
          <wp:simplePos x="0" y="0"/>
          <wp:positionH relativeFrom="page">
            <wp:posOffset>6085840</wp:posOffset>
          </wp:positionH>
          <wp:positionV relativeFrom="page">
            <wp:posOffset>231848</wp:posOffset>
          </wp:positionV>
          <wp:extent cx="960120" cy="273958"/>
          <wp:effectExtent l="0" t="0" r="5080" b="0"/>
          <wp:wrapNone/>
          <wp:docPr id="224737775" name="Picture 1" descr="DE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37775" name="Picture 1" descr="DESE's logo"/>
                  <pic:cNvPicPr/>
                </pic:nvPicPr>
                <pic:blipFill>
                  <a:blip r:embed="rId1">
                    <a:extLst>
                      <a:ext uri="{28A0092B-C50C-407E-A947-70E740481C1C}">
                        <a14:useLocalDpi xmlns:a14="http://schemas.microsoft.com/office/drawing/2010/main" val="0"/>
                      </a:ext>
                    </a:extLst>
                  </a:blip>
                  <a:stretch>
                    <a:fillRect/>
                  </a:stretch>
                </pic:blipFill>
                <pic:spPr>
                  <a:xfrm>
                    <a:off x="0" y="0"/>
                    <a:ext cx="960120" cy="273958"/>
                  </a:xfrm>
                  <a:prstGeom prst="rect">
                    <a:avLst/>
                  </a:prstGeom>
                </pic:spPr>
              </pic:pic>
            </a:graphicData>
          </a:graphic>
          <wp14:sizeRelH relativeFrom="page">
            <wp14:pctWidth>0</wp14:pctWidth>
          </wp14:sizeRelH>
          <wp14:sizeRelV relativeFrom="page">
            <wp14:pctHeight>0</wp14:pctHeight>
          </wp14:sizeRelV>
        </wp:anchor>
      </w:drawing>
    </w:r>
    <w:r>
      <w:t>Tools and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4272"/>
    <w:multiLevelType w:val="hybridMultilevel"/>
    <w:tmpl w:val="C576BC86"/>
    <w:lvl w:ilvl="0" w:tplc="A6268D02">
      <w:start w:val="1"/>
      <w:numFmt w:val="decimal"/>
      <w:lvlText w:val="%1."/>
      <w:lvlJc w:val="left"/>
      <w:pPr>
        <w:ind w:left="720" w:hanging="360"/>
      </w:pPr>
      <w:rPr>
        <w:rFonts w:asciiTheme="minorHAnsi" w:hAnsiTheme="minorHAnsi" w:hint="default"/>
        <w:b/>
        <w:i w:val="0"/>
        <w:color w:val="3E535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E441BC"/>
    <w:multiLevelType w:val="multilevel"/>
    <w:tmpl w:val="C4383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ListBullet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0C68B7"/>
    <w:multiLevelType w:val="hybridMultilevel"/>
    <w:tmpl w:val="3CBA1BA6"/>
    <w:lvl w:ilvl="0" w:tplc="A75848A8">
      <w:start w:val="1"/>
      <w:numFmt w:val="bullet"/>
      <w:pStyle w:val="ListBullet"/>
      <w:lvlText w:val=""/>
      <w:lvlJc w:val="left"/>
      <w:pPr>
        <w:ind w:left="360" w:hanging="360"/>
      </w:pPr>
      <w:rPr>
        <w:rFonts w:ascii="Symbol" w:hAnsi="Symbol" w:hint="default"/>
        <w:color w:val="1F3864" w:themeColor="accent1" w:themeShade="80"/>
      </w:rPr>
    </w:lvl>
    <w:lvl w:ilvl="1" w:tplc="74184A10">
      <w:start w:val="1"/>
      <w:numFmt w:val="bullet"/>
      <w:lvlText w:val="o"/>
      <w:lvlJc w:val="left"/>
      <w:pPr>
        <w:ind w:left="1440" w:hanging="360"/>
      </w:pPr>
      <w:rPr>
        <w:rFonts w:ascii="Courier New" w:hAnsi="Courier New" w:hint="default"/>
      </w:rPr>
    </w:lvl>
    <w:lvl w:ilvl="2" w:tplc="CF7C3E72">
      <w:start w:val="1"/>
      <w:numFmt w:val="bullet"/>
      <w:lvlText w:val=""/>
      <w:lvlJc w:val="left"/>
      <w:pPr>
        <w:ind w:left="2160" w:hanging="360"/>
      </w:pPr>
      <w:rPr>
        <w:rFonts w:ascii="Wingdings" w:hAnsi="Wingdings" w:hint="default"/>
      </w:rPr>
    </w:lvl>
    <w:lvl w:ilvl="3" w:tplc="186C6FE6">
      <w:start w:val="1"/>
      <w:numFmt w:val="bullet"/>
      <w:lvlText w:val=""/>
      <w:lvlJc w:val="left"/>
      <w:pPr>
        <w:ind w:left="2880" w:hanging="360"/>
      </w:pPr>
      <w:rPr>
        <w:rFonts w:ascii="Symbol" w:hAnsi="Symbol" w:hint="default"/>
      </w:rPr>
    </w:lvl>
    <w:lvl w:ilvl="4" w:tplc="6052A456">
      <w:start w:val="1"/>
      <w:numFmt w:val="bullet"/>
      <w:lvlText w:val="o"/>
      <w:lvlJc w:val="left"/>
      <w:pPr>
        <w:ind w:left="3600" w:hanging="360"/>
      </w:pPr>
      <w:rPr>
        <w:rFonts w:ascii="Courier New" w:hAnsi="Courier New" w:hint="default"/>
      </w:rPr>
    </w:lvl>
    <w:lvl w:ilvl="5" w:tplc="2ACE97CC">
      <w:start w:val="1"/>
      <w:numFmt w:val="bullet"/>
      <w:lvlText w:val=""/>
      <w:lvlJc w:val="left"/>
      <w:pPr>
        <w:ind w:left="4320" w:hanging="360"/>
      </w:pPr>
      <w:rPr>
        <w:rFonts w:ascii="Wingdings" w:hAnsi="Wingdings" w:hint="default"/>
      </w:rPr>
    </w:lvl>
    <w:lvl w:ilvl="6" w:tplc="17D00B6E">
      <w:start w:val="1"/>
      <w:numFmt w:val="bullet"/>
      <w:lvlText w:val=""/>
      <w:lvlJc w:val="left"/>
      <w:pPr>
        <w:ind w:left="5040" w:hanging="360"/>
      </w:pPr>
      <w:rPr>
        <w:rFonts w:ascii="Symbol" w:hAnsi="Symbol" w:hint="default"/>
      </w:rPr>
    </w:lvl>
    <w:lvl w:ilvl="7" w:tplc="C32642F2">
      <w:start w:val="1"/>
      <w:numFmt w:val="bullet"/>
      <w:lvlText w:val="o"/>
      <w:lvlJc w:val="left"/>
      <w:pPr>
        <w:ind w:left="5760" w:hanging="360"/>
      </w:pPr>
      <w:rPr>
        <w:rFonts w:ascii="Courier New" w:hAnsi="Courier New" w:hint="default"/>
      </w:rPr>
    </w:lvl>
    <w:lvl w:ilvl="8" w:tplc="A126C8AE">
      <w:start w:val="1"/>
      <w:numFmt w:val="bullet"/>
      <w:lvlText w:val=""/>
      <w:lvlJc w:val="left"/>
      <w:pPr>
        <w:ind w:left="6480" w:hanging="360"/>
      </w:pPr>
      <w:rPr>
        <w:rFonts w:ascii="Wingdings" w:hAnsi="Wingdings" w:hint="default"/>
      </w:rPr>
    </w:lvl>
  </w:abstractNum>
  <w:abstractNum w:abstractNumId="3" w15:restartNumberingAfterBreak="0">
    <w:nsid w:val="254F0787"/>
    <w:multiLevelType w:val="multilevel"/>
    <w:tmpl w:val="4B3480D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151F1D"/>
    <w:multiLevelType w:val="hybridMultilevel"/>
    <w:tmpl w:val="B664D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9A429D0"/>
    <w:multiLevelType w:val="hybridMultilevel"/>
    <w:tmpl w:val="225EDC66"/>
    <w:lvl w:ilvl="0" w:tplc="B97EA16A">
      <w:start w:val="1"/>
      <w:numFmt w:val="bullet"/>
      <w:pStyle w:val="List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E6F11"/>
    <w:multiLevelType w:val="hybridMultilevel"/>
    <w:tmpl w:val="B826359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91D5095"/>
    <w:multiLevelType w:val="hybridMultilevel"/>
    <w:tmpl w:val="7708D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F60DB4"/>
    <w:multiLevelType w:val="hybridMultilevel"/>
    <w:tmpl w:val="BE1498A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9" w15:restartNumberingAfterBreak="0">
    <w:nsid w:val="49B73636"/>
    <w:multiLevelType w:val="hybridMultilevel"/>
    <w:tmpl w:val="D898C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9777A77"/>
    <w:multiLevelType w:val="hybridMultilevel"/>
    <w:tmpl w:val="89A05910"/>
    <w:lvl w:ilvl="0" w:tplc="B340286E">
      <w:start w:val="1"/>
      <w:numFmt w:val="decimal"/>
      <w:pStyle w:val="ListNumber"/>
      <w:lvlText w:val="%1."/>
      <w:lvlJc w:val="left"/>
      <w:pPr>
        <w:ind w:left="720" w:hanging="360"/>
      </w:pPr>
      <w:rPr>
        <w:rFonts w:asciiTheme="minorHAnsi" w:hAnsiTheme="minorHAnsi" w:hint="default"/>
        <w:b/>
        <w:i w:val="0"/>
        <w:color w:val="3E535F"/>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70E371C8"/>
    <w:multiLevelType w:val="hybridMultilevel"/>
    <w:tmpl w:val="C54E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B85A6D"/>
    <w:multiLevelType w:val="multilevel"/>
    <w:tmpl w:val="4B3480DE"/>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875310163">
    <w:abstractNumId w:val="2"/>
  </w:num>
  <w:num w:numId="2" w16cid:durableId="470901506">
    <w:abstractNumId w:val="1"/>
  </w:num>
  <w:num w:numId="3" w16cid:durableId="1517117423">
    <w:abstractNumId w:val="5"/>
  </w:num>
  <w:num w:numId="4" w16cid:durableId="70155332">
    <w:abstractNumId w:val="10"/>
  </w:num>
  <w:num w:numId="5" w16cid:durableId="380246439">
    <w:abstractNumId w:val="10"/>
    <w:lvlOverride w:ilvl="0">
      <w:startOverride w:val="1"/>
    </w:lvlOverride>
  </w:num>
  <w:num w:numId="6" w16cid:durableId="195393808">
    <w:abstractNumId w:val="10"/>
    <w:lvlOverride w:ilvl="0">
      <w:startOverride w:val="1"/>
    </w:lvlOverride>
  </w:num>
  <w:num w:numId="7" w16cid:durableId="449476423">
    <w:abstractNumId w:val="10"/>
    <w:lvlOverride w:ilvl="0">
      <w:startOverride w:val="1"/>
    </w:lvlOverride>
  </w:num>
  <w:num w:numId="8" w16cid:durableId="2144157153">
    <w:abstractNumId w:val="3"/>
  </w:num>
  <w:num w:numId="9" w16cid:durableId="1312952263">
    <w:abstractNumId w:val="0"/>
  </w:num>
  <w:num w:numId="10" w16cid:durableId="1277709595">
    <w:abstractNumId w:val="12"/>
  </w:num>
  <w:num w:numId="11" w16cid:durableId="1676955597">
    <w:abstractNumId w:val="7"/>
  </w:num>
  <w:num w:numId="12" w16cid:durableId="664087830">
    <w:abstractNumId w:val="6"/>
  </w:num>
  <w:num w:numId="13" w16cid:durableId="455297654">
    <w:abstractNumId w:val="9"/>
  </w:num>
  <w:num w:numId="14" w16cid:durableId="898057681">
    <w:abstractNumId w:val="4"/>
  </w:num>
  <w:num w:numId="15" w16cid:durableId="1518690082">
    <w:abstractNumId w:val="11"/>
  </w:num>
  <w:num w:numId="16" w16cid:durableId="135680747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618"/>
    <w:rsid w:val="00004A0C"/>
    <w:rsid w:val="00005189"/>
    <w:rsid w:val="00010146"/>
    <w:rsid w:val="00012F6B"/>
    <w:rsid w:val="00016B47"/>
    <w:rsid w:val="000212F8"/>
    <w:rsid w:val="0002238F"/>
    <w:rsid w:val="00040776"/>
    <w:rsid w:val="000411B6"/>
    <w:rsid w:val="0004299F"/>
    <w:rsid w:val="00045E37"/>
    <w:rsid w:val="00050FA5"/>
    <w:rsid w:val="000518BD"/>
    <w:rsid w:val="000561D4"/>
    <w:rsid w:val="00057AB6"/>
    <w:rsid w:val="00063833"/>
    <w:rsid w:val="000701B8"/>
    <w:rsid w:val="000733A2"/>
    <w:rsid w:val="00080EFF"/>
    <w:rsid w:val="000870D4"/>
    <w:rsid w:val="00087C01"/>
    <w:rsid w:val="00090CF7"/>
    <w:rsid w:val="00091AF0"/>
    <w:rsid w:val="000924A8"/>
    <w:rsid w:val="000928AB"/>
    <w:rsid w:val="000A139C"/>
    <w:rsid w:val="000A59D8"/>
    <w:rsid w:val="000A63EB"/>
    <w:rsid w:val="000A7A2F"/>
    <w:rsid w:val="000B1338"/>
    <w:rsid w:val="000B2AE9"/>
    <w:rsid w:val="000B3518"/>
    <w:rsid w:val="000B5BBD"/>
    <w:rsid w:val="000C004B"/>
    <w:rsid w:val="000C220A"/>
    <w:rsid w:val="000C355B"/>
    <w:rsid w:val="000C403E"/>
    <w:rsid w:val="000C6D23"/>
    <w:rsid w:val="000D359F"/>
    <w:rsid w:val="000D3C01"/>
    <w:rsid w:val="000D3E91"/>
    <w:rsid w:val="000E377D"/>
    <w:rsid w:val="000F1774"/>
    <w:rsid w:val="00100C45"/>
    <w:rsid w:val="0010457E"/>
    <w:rsid w:val="00105518"/>
    <w:rsid w:val="001055DB"/>
    <w:rsid w:val="00110038"/>
    <w:rsid w:val="001132C2"/>
    <w:rsid w:val="0011346A"/>
    <w:rsid w:val="00114037"/>
    <w:rsid w:val="00121CDF"/>
    <w:rsid w:val="001267D1"/>
    <w:rsid w:val="0012769E"/>
    <w:rsid w:val="00130147"/>
    <w:rsid w:val="0013055D"/>
    <w:rsid w:val="00131CD7"/>
    <w:rsid w:val="00137664"/>
    <w:rsid w:val="001428B6"/>
    <w:rsid w:val="00143A8D"/>
    <w:rsid w:val="00143F36"/>
    <w:rsid w:val="00146001"/>
    <w:rsid w:val="0014678D"/>
    <w:rsid w:val="00146C9E"/>
    <w:rsid w:val="0015195E"/>
    <w:rsid w:val="00157563"/>
    <w:rsid w:val="00157BDC"/>
    <w:rsid w:val="00160A50"/>
    <w:rsid w:val="00160DEB"/>
    <w:rsid w:val="00170A4A"/>
    <w:rsid w:val="00171FEE"/>
    <w:rsid w:val="0017385B"/>
    <w:rsid w:val="0017754F"/>
    <w:rsid w:val="001811E3"/>
    <w:rsid w:val="001813D4"/>
    <w:rsid w:val="00181C62"/>
    <w:rsid w:val="00182049"/>
    <w:rsid w:val="00182E3E"/>
    <w:rsid w:val="00183F63"/>
    <w:rsid w:val="001850A9"/>
    <w:rsid w:val="0018581B"/>
    <w:rsid w:val="001862D6"/>
    <w:rsid w:val="001919C3"/>
    <w:rsid w:val="00191D22"/>
    <w:rsid w:val="00192F4D"/>
    <w:rsid w:val="001A2ABE"/>
    <w:rsid w:val="001A2C32"/>
    <w:rsid w:val="001A3503"/>
    <w:rsid w:val="001A4341"/>
    <w:rsid w:val="001A5B1E"/>
    <w:rsid w:val="001A5EA5"/>
    <w:rsid w:val="001A5EA7"/>
    <w:rsid w:val="001A643D"/>
    <w:rsid w:val="001A7929"/>
    <w:rsid w:val="001B1F09"/>
    <w:rsid w:val="001B2B01"/>
    <w:rsid w:val="001B62B3"/>
    <w:rsid w:val="001C47B7"/>
    <w:rsid w:val="001D1304"/>
    <w:rsid w:val="001D459F"/>
    <w:rsid w:val="001D54E7"/>
    <w:rsid w:val="001D6244"/>
    <w:rsid w:val="001D75B7"/>
    <w:rsid w:val="001D76DA"/>
    <w:rsid w:val="001E3D39"/>
    <w:rsid w:val="001E7FD4"/>
    <w:rsid w:val="001F308A"/>
    <w:rsid w:val="001F467A"/>
    <w:rsid w:val="001F5403"/>
    <w:rsid w:val="001F6156"/>
    <w:rsid w:val="002014D4"/>
    <w:rsid w:val="00202877"/>
    <w:rsid w:val="00205844"/>
    <w:rsid w:val="002063CB"/>
    <w:rsid w:val="00214F85"/>
    <w:rsid w:val="00222CE0"/>
    <w:rsid w:val="00223E60"/>
    <w:rsid w:val="00224D6B"/>
    <w:rsid w:val="00226141"/>
    <w:rsid w:val="00230D0E"/>
    <w:rsid w:val="002319B0"/>
    <w:rsid w:val="002358F9"/>
    <w:rsid w:val="00237650"/>
    <w:rsid w:val="00237EDE"/>
    <w:rsid w:val="002428A8"/>
    <w:rsid w:val="002471A7"/>
    <w:rsid w:val="00250E7A"/>
    <w:rsid w:val="0025503F"/>
    <w:rsid w:val="0026072B"/>
    <w:rsid w:val="00262E11"/>
    <w:rsid w:val="00272D4F"/>
    <w:rsid w:val="0027591A"/>
    <w:rsid w:val="00275C37"/>
    <w:rsid w:val="0027766D"/>
    <w:rsid w:val="002825EF"/>
    <w:rsid w:val="00283288"/>
    <w:rsid w:val="002837A7"/>
    <w:rsid w:val="002847F8"/>
    <w:rsid w:val="00286D94"/>
    <w:rsid w:val="002874FF"/>
    <w:rsid w:val="00290178"/>
    <w:rsid w:val="00290C0B"/>
    <w:rsid w:val="00297D0E"/>
    <w:rsid w:val="002A03AB"/>
    <w:rsid w:val="002A439D"/>
    <w:rsid w:val="002A58C3"/>
    <w:rsid w:val="002B0CA6"/>
    <w:rsid w:val="002B400B"/>
    <w:rsid w:val="002C4FB1"/>
    <w:rsid w:val="002D000D"/>
    <w:rsid w:val="002D285F"/>
    <w:rsid w:val="002D65B9"/>
    <w:rsid w:val="002D6E3C"/>
    <w:rsid w:val="002E1FC7"/>
    <w:rsid w:val="002E250B"/>
    <w:rsid w:val="002E3B17"/>
    <w:rsid w:val="002E40F9"/>
    <w:rsid w:val="002E7870"/>
    <w:rsid w:val="002F0792"/>
    <w:rsid w:val="002F1652"/>
    <w:rsid w:val="00302D26"/>
    <w:rsid w:val="00304371"/>
    <w:rsid w:val="00307D6A"/>
    <w:rsid w:val="0031111A"/>
    <w:rsid w:val="00312A97"/>
    <w:rsid w:val="00315060"/>
    <w:rsid w:val="00315AC8"/>
    <w:rsid w:val="00316488"/>
    <w:rsid w:val="00320AE7"/>
    <w:rsid w:val="00324D57"/>
    <w:rsid w:val="00327E47"/>
    <w:rsid w:val="00327F49"/>
    <w:rsid w:val="003338FF"/>
    <w:rsid w:val="00346250"/>
    <w:rsid w:val="0034711A"/>
    <w:rsid w:val="00352115"/>
    <w:rsid w:val="0036006E"/>
    <w:rsid w:val="0036021C"/>
    <w:rsid w:val="00361D0D"/>
    <w:rsid w:val="0036281B"/>
    <w:rsid w:val="00366962"/>
    <w:rsid w:val="00367BE6"/>
    <w:rsid w:val="00367C8D"/>
    <w:rsid w:val="003717EC"/>
    <w:rsid w:val="0037283F"/>
    <w:rsid w:val="00372A8C"/>
    <w:rsid w:val="0037BB19"/>
    <w:rsid w:val="003838C4"/>
    <w:rsid w:val="00385C0C"/>
    <w:rsid w:val="003879AF"/>
    <w:rsid w:val="00392DF9"/>
    <w:rsid w:val="0039756B"/>
    <w:rsid w:val="003A0619"/>
    <w:rsid w:val="003A18B6"/>
    <w:rsid w:val="003A2592"/>
    <w:rsid w:val="003A3288"/>
    <w:rsid w:val="003A4AB7"/>
    <w:rsid w:val="003A5908"/>
    <w:rsid w:val="003A77BB"/>
    <w:rsid w:val="003B4EBC"/>
    <w:rsid w:val="003C0162"/>
    <w:rsid w:val="003C26D5"/>
    <w:rsid w:val="003D329C"/>
    <w:rsid w:val="003E2885"/>
    <w:rsid w:val="003E2F49"/>
    <w:rsid w:val="003E471B"/>
    <w:rsid w:val="003E66E5"/>
    <w:rsid w:val="003F5704"/>
    <w:rsid w:val="003F58CF"/>
    <w:rsid w:val="003F62DF"/>
    <w:rsid w:val="003F7B1F"/>
    <w:rsid w:val="0040197D"/>
    <w:rsid w:val="004024BC"/>
    <w:rsid w:val="004045E4"/>
    <w:rsid w:val="004119E8"/>
    <w:rsid w:val="00412720"/>
    <w:rsid w:val="00416312"/>
    <w:rsid w:val="0041649E"/>
    <w:rsid w:val="0042017D"/>
    <w:rsid w:val="00420961"/>
    <w:rsid w:val="00422259"/>
    <w:rsid w:val="00422293"/>
    <w:rsid w:val="00422869"/>
    <w:rsid w:val="00425170"/>
    <w:rsid w:val="004255D9"/>
    <w:rsid w:val="0043062D"/>
    <w:rsid w:val="004317E7"/>
    <w:rsid w:val="004333B6"/>
    <w:rsid w:val="004413F0"/>
    <w:rsid w:val="00451B45"/>
    <w:rsid w:val="0045359F"/>
    <w:rsid w:val="00453C5C"/>
    <w:rsid w:val="004563EE"/>
    <w:rsid w:val="004704F8"/>
    <w:rsid w:val="0047325B"/>
    <w:rsid w:val="0047405B"/>
    <w:rsid w:val="00474D1A"/>
    <w:rsid w:val="00474E5D"/>
    <w:rsid w:val="00475660"/>
    <w:rsid w:val="00486638"/>
    <w:rsid w:val="00490BB3"/>
    <w:rsid w:val="00491B08"/>
    <w:rsid w:val="00491F25"/>
    <w:rsid w:val="004A1E4E"/>
    <w:rsid w:val="004A35AF"/>
    <w:rsid w:val="004A47D0"/>
    <w:rsid w:val="004A4EA1"/>
    <w:rsid w:val="004A5768"/>
    <w:rsid w:val="004A717F"/>
    <w:rsid w:val="004B164C"/>
    <w:rsid w:val="004B309E"/>
    <w:rsid w:val="004B71C7"/>
    <w:rsid w:val="004B754B"/>
    <w:rsid w:val="004B7A24"/>
    <w:rsid w:val="004C0777"/>
    <w:rsid w:val="004C1F36"/>
    <w:rsid w:val="004D1827"/>
    <w:rsid w:val="004D1A0A"/>
    <w:rsid w:val="004D2BB6"/>
    <w:rsid w:val="004D336E"/>
    <w:rsid w:val="004D6FD9"/>
    <w:rsid w:val="004E02EB"/>
    <w:rsid w:val="004E379C"/>
    <w:rsid w:val="004E4CAF"/>
    <w:rsid w:val="004E6394"/>
    <w:rsid w:val="004F383D"/>
    <w:rsid w:val="004F3E34"/>
    <w:rsid w:val="004F6C96"/>
    <w:rsid w:val="00503F83"/>
    <w:rsid w:val="00514921"/>
    <w:rsid w:val="00516E06"/>
    <w:rsid w:val="00520C1F"/>
    <w:rsid w:val="00521F7D"/>
    <w:rsid w:val="00522C08"/>
    <w:rsid w:val="00524D1B"/>
    <w:rsid w:val="00525650"/>
    <w:rsid w:val="00526DD5"/>
    <w:rsid w:val="00531A99"/>
    <w:rsid w:val="00537606"/>
    <w:rsid w:val="00537EF7"/>
    <w:rsid w:val="00543484"/>
    <w:rsid w:val="00543786"/>
    <w:rsid w:val="00545ABA"/>
    <w:rsid w:val="00546C95"/>
    <w:rsid w:val="00546DAF"/>
    <w:rsid w:val="00550E1F"/>
    <w:rsid w:val="00554FBA"/>
    <w:rsid w:val="00562619"/>
    <w:rsid w:val="00563B02"/>
    <w:rsid w:val="0057262E"/>
    <w:rsid w:val="005738AB"/>
    <w:rsid w:val="00575AC2"/>
    <w:rsid w:val="005762F2"/>
    <w:rsid w:val="005817E8"/>
    <w:rsid w:val="005869BF"/>
    <w:rsid w:val="00587460"/>
    <w:rsid w:val="00591FF2"/>
    <w:rsid w:val="005939BE"/>
    <w:rsid w:val="00594D32"/>
    <w:rsid w:val="00594FB3"/>
    <w:rsid w:val="005A29D9"/>
    <w:rsid w:val="005A3CE1"/>
    <w:rsid w:val="005A7039"/>
    <w:rsid w:val="005B30FF"/>
    <w:rsid w:val="005B3313"/>
    <w:rsid w:val="005B4F00"/>
    <w:rsid w:val="005B69D5"/>
    <w:rsid w:val="005B7BD9"/>
    <w:rsid w:val="005C0144"/>
    <w:rsid w:val="005C2F02"/>
    <w:rsid w:val="005C6F0F"/>
    <w:rsid w:val="005C7CFC"/>
    <w:rsid w:val="005D0D95"/>
    <w:rsid w:val="005D5B24"/>
    <w:rsid w:val="005E5FDC"/>
    <w:rsid w:val="005F01C7"/>
    <w:rsid w:val="005F2E4A"/>
    <w:rsid w:val="005F79BE"/>
    <w:rsid w:val="00600550"/>
    <w:rsid w:val="00602D61"/>
    <w:rsid w:val="00602FF3"/>
    <w:rsid w:val="006065E8"/>
    <w:rsid w:val="00607983"/>
    <w:rsid w:val="00607EB0"/>
    <w:rsid w:val="0061091C"/>
    <w:rsid w:val="00610FA7"/>
    <w:rsid w:val="00611D7C"/>
    <w:rsid w:val="00614CCE"/>
    <w:rsid w:val="0061620A"/>
    <w:rsid w:val="0061623D"/>
    <w:rsid w:val="00617EC2"/>
    <w:rsid w:val="006205CB"/>
    <w:rsid w:val="0062526B"/>
    <w:rsid w:val="00625ECB"/>
    <w:rsid w:val="00626A43"/>
    <w:rsid w:val="006318A3"/>
    <w:rsid w:val="00634CD2"/>
    <w:rsid w:val="006424A6"/>
    <w:rsid w:val="00644F7F"/>
    <w:rsid w:val="00646022"/>
    <w:rsid w:val="00646E9B"/>
    <w:rsid w:val="006543B4"/>
    <w:rsid w:val="00655789"/>
    <w:rsid w:val="00655E0F"/>
    <w:rsid w:val="0065626D"/>
    <w:rsid w:val="00656F19"/>
    <w:rsid w:val="0066052D"/>
    <w:rsid w:val="006726BA"/>
    <w:rsid w:val="00672A3C"/>
    <w:rsid w:val="00680AA2"/>
    <w:rsid w:val="00682588"/>
    <w:rsid w:val="00682DF0"/>
    <w:rsid w:val="00687AC0"/>
    <w:rsid w:val="00693BB7"/>
    <w:rsid w:val="006942E1"/>
    <w:rsid w:val="006A04CD"/>
    <w:rsid w:val="006B0316"/>
    <w:rsid w:val="006B0E22"/>
    <w:rsid w:val="006B1632"/>
    <w:rsid w:val="006B4CB4"/>
    <w:rsid w:val="006C1845"/>
    <w:rsid w:val="006C7430"/>
    <w:rsid w:val="006D0280"/>
    <w:rsid w:val="006D2823"/>
    <w:rsid w:val="006D3DDD"/>
    <w:rsid w:val="006E123F"/>
    <w:rsid w:val="006E3A9D"/>
    <w:rsid w:val="006E3D3C"/>
    <w:rsid w:val="006E42AD"/>
    <w:rsid w:val="006E6924"/>
    <w:rsid w:val="006F10BA"/>
    <w:rsid w:val="006F4F63"/>
    <w:rsid w:val="006F6154"/>
    <w:rsid w:val="006F6E2D"/>
    <w:rsid w:val="006F6F3C"/>
    <w:rsid w:val="00701C63"/>
    <w:rsid w:val="00701F2C"/>
    <w:rsid w:val="007032BD"/>
    <w:rsid w:val="00705593"/>
    <w:rsid w:val="00705DBE"/>
    <w:rsid w:val="00714FF3"/>
    <w:rsid w:val="00721620"/>
    <w:rsid w:val="00727D95"/>
    <w:rsid w:val="00730BA2"/>
    <w:rsid w:val="0073317C"/>
    <w:rsid w:val="00733AFA"/>
    <w:rsid w:val="00742254"/>
    <w:rsid w:val="00744458"/>
    <w:rsid w:val="00754228"/>
    <w:rsid w:val="00756889"/>
    <w:rsid w:val="00760979"/>
    <w:rsid w:val="00762478"/>
    <w:rsid w:val="007631A7"/>
    <w:rsid w:val="00780795"/>
    <w:rsid w:val="00784D99"/>
    <w:rsid w:val="00787CFA"/>
    <w:rsid w:val="007939E2"/>
    <w:rsid w:val="00795A11"/>
    <w:rsid w:val="00797A4D"/>
    <w:rsid w:val="007A2839"/>
    <w:rsid w:val="007B2CC2"/>
    <w:rsid w:val="007B4B9A"/>
    <w:rsid w:val="007B5C99"/>
    <w:rsid w:val="007C1704"/>
    <w:rsid w:val="007C3D1C"/>
    <w:rsid w:val="007C7B48"/>
    <w:rsid w:val="007D3B74"/>
    <w:rsid w:val="007E0E7C"/>
    <w:rsid w:val="007F0202"/>
    <w:rsid w:val="007F0D57"/>
    <w:rsid w:val="007F1674"/>
    <w:rsid w:val="007F1A40"/>
    <w:rsid w:val="007F632E"/>
    <w:rsid w:val="007F7587"/>
    <w:rsid w:val="008019B4"/>
    <w:rsid w:val="0080310E"/>
    <w:rsid w:val="008046CA"/>
    <w:rsid w:val="00804EA0"/>
    <w:rsid w:val="00804EC5"/>
    <w:rsid w:val="008062BE"/>
    <w:rsid w:val="00815EBD"/>
    <w:rsid w:val="008163B6"/>
    <w:rsid w:val="00817786"/>
    <w:rsid w:val="0082314A"/>
    <w:rsid w:val="00823303"/>
    <w:rsid w:val="00823AAF"/>
    <w:rsid w:val="00824297"/>
    <w:rsid w:val="008246DD"/>
    <w:rsid w:val="008260A8"/>
    <w:rsid w:val="008260F5"/>
    <w:rsid w:val="008273FE"/>
    <w:rsid w:val="0084008C"/>
    <w:rsid w:val="008417E6"/>
    <w:rsid w:val="00842B6A"/>
    <w:rsid w:val="00845758"/>
    <w:rsid w:val="00850216"/>
    <w:rsid w:val="00850273"/>
    <w:rsid w:val="00851161"/>
    <w:rsid w:val="00853A2E"/>
    <w:rsid w:val="00855B72"/>
    <w:rsid w:val="00864021"/>
    <w:rsid w:val="008643D5"/>
    <w:rsid w:val="00864B73"/>
    <w:rsid w:val="00866057"/>
    <w:rsid w:val="00866922"/>
    <w:rsid w:val="0087210D"/>
    <w:rsid w:val="00872322"/>
    <w:rsid w:val="008768EB"/>
    <w:rsid w:val="00881742"/>
    <w:rsid w:val="00881C81"/>
    <w:rsid w:val="00883E96"/>
    <w:rsid w:val="008856B6"/>
    <w:rsid w:val="00886276"/>
    <w:rsid w:val="008863F5"/>
    <w:rsid w:val="008872D3"/>
    <w:rsid w:val="00887B67"/>
    <w:rsid w:val="008A1FB4"/>
    <w:rsid w:val="008A5EAA"/>
    <w:rsid w:val="008B38C0"/>
    <w:rsid w:val="008B7217"/>
    <w:rsid w:val="008C447C"/>
    <w:rsid w:val="008C5CB7"/>
    <w:rsid w:val="008D0D3B"/>
    <w:rsid w:val="008D3528"/>
    <w:rsid w:val="008D5E6E"/>
    <w:rsid w:val="008D6919"/>
    <w:rsid w:val="008D74D7"/>
    <w:rsid w:val="008D7F28"/>
    <w:rsid w:val="008E10CB"/>
    <w:rsid w:val="008E2A84"/>
    <w:rsid w:val="008E4543"/>
    <w:rsid w:val="008E5097"/>
    <w:rsid w:val="008E54B5"/>
    <w:rsid w:val="008E60DF"/>
    <w:rsid w:val="008E6CD8"/>
    <w:rsid w:val="008F246E"/>
    <w:rsid w:val="008F34EC"/>
    <w:rsid w:val="008F388A"/>
    <w:rsid w:val="008F3B30"/>
    <w:rsid w:val="008F7893"/>
    <w:rsid w:val="009006AA"/>
    <w:rsid w:val="00902279"/>
    <w:rsid w:val="00907492"/>
    <w:rsid w:val="009108E2"/>
    <w:rsid w:val="00911158"/>
    <w:rsid w:val="009120CC"/>
    <w:rsid w:val="00914AEF"/>
    <w:rsid w:val="00917E7A"/>
    <w:rsid w:val="009244A3"/>
    <w:rsid w:val="00930000"/>
    <w:rsid w:val="009343C1"/>
    <w:rsid w:val="00934EEE"/>
    <w:rsid w:val="00935741"/>
    <w:rsid w:val="009427F2"/>
    <w:rsid w:val="00947FE0"/>
    <w:rsid w:val="00950485"/>
    <w:rsid w:val="009512EB"/>
    <w:rsid w:val="00952C4B"/>
    <w:rsid w:val="009557E1"/>
    <w:rsid w:val="009575A6"/>
    <w:rsid w:val="00963C2D"/>
    <w:rsid w:val="00965758"/>
    <w:rsid w:val="00965DD7"/>
    <w:rsid w:val="00966189"/>
    <w:rsid w:val="0097244F"/>
    <w:rsid w:val="009755F6"/>
    <w:rsid w:val="00977684"/>
    <w:rsid w:val="0098143B"/>
    <w:rsid w:val="00982D0C"/>
    <w:rsid w:val="00985574"/>
    <w:rsid w:val="00993EFF"/>
    <w:rsid w:val="0099415F"/>
    <w:rsid w:val="00997A82"/>
    <w:rsid w:val="00997E57"/>
    <w:rsid w:val="009A09A6"/>
    <w:rsid w:val="009A1A50"/>
    <w:rsid w:val="009A2F23"/>
    <w:rsid w:val="009A4A2A"/>
    <w:rsid w:val="009A5605"/>
    <w:rsid w:val="009A6F67"/>
    <w:rsid w:val="009B1A8C"/>
    <w:rsid w:val="009B4A75"/>
    <w:rsid w:val="009B4C15"/>
    <w:rsid w:val="009B6352"/>
    <w:rsid w:val="009B6D38"/>
    <w:rsid w:val="009B6FAD"/>
    <w:rsid w:val="009B7E50"/>
    <w:rsid w:val="009C0069"/>
    <w:rsid w:val="009C15C5"/>
    <w:rsid w:val="009C2F43"/>
    <w:rsid w:val="009C3B78"/>
    <w:rsid w:val="009C61F3"/>
    <w:rsid w:val="009C74E2"/>
    <w:rsid w:val="009C7DEB"/>
    <w:rsid w:val="009D1666"/>
    <w:rsid w:val="009D4B95"/>
    <w:rsid w:val="009D55CD"/>
    <w:rsid w:val="009E3DF0"/>
    <w:rsid w:val="009E4C51"/>
    <w:rsid w:val="009E78ED"/>
    <w:rsid w:val="009F4488"/>
    <w:rsid w:val="00A012CF"/>
    <w:rsid w:val="00A018B6"/>
    <w:rsid w:val="00A01D51"/>
    <w:rsid w:val="00A06E76"/>
    <w:rsid w:val="00A114A1"/>
    <w:rsid w:val="00A13EB5"/>
    <w:rsid w:val="00A15D65"/>
    <w:rsid w:val="00A206B2"/>
    <w:rsid w:val="00A20AD2"/>
    <w:rsid w:val="00A21624"/>
    <w:rsid w:val="00A21685"/>
    <w:rsid w:val="00A21882"/>
    <w:rsid w:val="00A22F0E"/>
    <w:rsid w:val="00A25733"/>
    <w:rsid w:val="00A30825"/>
    <w:rsid w:val="00A36AF7"/>
    <w:rsid w:val="00A37AD5"/>
    <w:rsid w:val="00A469D5"/>
    <w:rsid w:val="00A5238B"/>
    <w:rsid w:val="00A541CF"/>
    <w:rsid w:val="00A604D2"/>
    <w:rsid w:val="00A6143F"/>
    <w:rsid w:val="00A726DB"/>
    <w:rsid w:val="00A7298C"/>
    <w:rsid w:val="00A7346D"/>
    <w:rsid w:val="00A77BF9"/>
    <w:rsid w:val="00A80193"/>
    <w:rsid w:val="00A80D02"/>
    <w:rsid w:val="00A815E7"/>
    <w:rsid w:val="00A823A7"/>
    <w:rsid w:val="00A8268D"/>
    <w:rsid w:val="00A8745F"/>
    <w:rsid w:val="00A875C8"/>
    <w:rsid w:val="00A87BE8"/>
    <w:rsid w:val="00A91BA4"/>
    <w:rsid w:val="00A9379E"/>
    <w:rsid w:val="00A963F1"/>
    <w:rsid w:val="00A96EC9"/>
    <w:rsid w:val="00A97A68"/>
    <w:rsid w:val="00AA14A7"/>
    <w:rsid w:val="00AA2B66"/>
    <w:rsid w:val="00AB1D2A"/>
    <w:rsid w:val="00AB54A3"/>
    <w:rsid w:val="00AB5791"/>
    <w:rsid w:val="00AC2498"/>
    <w:rsid w:val="00AC2C89"/>
    <w:rsid w:val="00AC30CE"/>
    <w:rsid w:val="00AC38BE"/>
    <w:rsid w:val="00AC57F5"/>
    <w:rsid w:val="00AC7574"/>
    <w:rsid w:val="00AD2797"/>
    <w:rsid w:val="00AD2EA0"/>
    <w:rsid w:val="00AD537A"/>
    <w:rsid w:val="00AD5BD7"/>
    <w:rsid w:val="00AE7083"/>
    <w:rsid w:val="00AF2C58"/>
    <w:rsid w:val="00AF2F39"/>
    <w:rsid w:val="00AF58FC"/>
    <w:rsid w:val="00B02527"/>
    <w:rsid w:val="00B03415"/>
    <w:rsid w:val="00B0733B"/>
    <w:rsid w:val="00B0737E"/>
    <w:rsid w:val="00B07CF6"/>
    <w:rsid w:val="00B102B1"/>
    <w:rsid w:val="00B136B7"/>
    <w:rsid w:val="00B16F61"/>
    <w:rsid w:val="00B26441"/>
    <w:rsid w:val="00B3083B"/>
    <w:rsid w:val="00B32997"/>
    <w:rsid w:val="00B36992"/>
    <w:rsid w:val="00B40EC0"/>
    <w:rsid w:val="00B427D2"/>
    <w:rsid w:val="00B42BE2"/>
    <w:rsid w:val="00B43D5E"/>
    <w:rsid w:val="00B44BDE"/>
    <w:rsid w:val="00B510B7"/>
    <w:rsid w:val="00B519EC"/>
    <w:rsid w:val="00B559CB"/>
    <w:rsid w:val="00B5776B"/>
    <w:rsid w:val="00B61BF4"/>
    <w:rsid w:val="00B661B0"/>
    <w:rsid w:val="00B80C71"/>
    <w:rsid w:val="00B81970"/>
    <w:rsid w:val="00B82889"/>
    <w:rsid w:val="00B85A31"/>
    <w:rsid w:val="00B92F09"/>
    <w:rsid w:val="00B93D41"/>
    <w:rsid w:val="00BA6E1B"/>
    <w:rsid w:val="00BB0CD9"/>
    <w:rsid w:val="00BB5DBA"/>
    <w:rsid w:val="00BB791D"/>
    <w:rsid w:val="00BB7DD1"/>
    <w:rsid w:val="00BC7CAA"/>
    <w:rsid w:val="00BD0C74"/>
    <w:rsid w:val="00BD1CCC"/>
    <w:rsid w:val="00BD2B1A"/>
    <w:rsid w:val="00BD4125"/>
    <w:rsid w:val="00BD5094"/>
    <w:rsid w:val="00BE2E20"/>
    <w:rsid w:val="00BE3E93"/>
    <w:rsid w:val="00BE57A6"/>
    <w:rsid w:val="00BE7445"/>
    <w:rsid w:val="00BF1244"/>
    <w:rsid w:val="00BF22B8"/>
    <w:rsid w:val="00BF247B"/>
    <w:rsid w:val="00BF5895"/>
    <w:rsid w:val="00C01BB6"/>
    <w:rsid w:val="00C02112"/>
    <w:rsid w:val="00C03E9C"/>
    <w:rsid w:val="00C04275"/>
    <w:rsid w:val="00C07907"/>
    <w:rsid w:val="00C106E3"/>
    <w:rsid w:val="00C224BD"/>
    <w:rsid w:val="00C26B31"/>
    <w:rsid w:val="00C27F85"/>
    <w:rsid w:val="00C30039"/>
    <w:rsid w:val="00C35A1C"/>
    <w:rsid w:val="00C37DAC"/>
    <w:rsid w:val="00C37F12"/>
    <w:rsid w:val="00C4100E"/>
    <w:rsid w:val="00C41FF3"/>
    <w:rsid w:val="00C42A8F"/>
    <w:rsid w:val="00C43040"/>
    <w:rsid w:val="00C43CA8"/>
    <w:rsid w:val="00C44189"/>
    <w:rsid w:val="00C44ECC"/>
    <w:rsid w:val="00C4766D"/>
    <w:rsid w:val="00C5311C"/>
    <w:rsid w:val="00C54B9C"/>
    <w:rsid w:val="00C624D4"/>
    <w:rsid w:val="00C63B93"/>
    <w:rsid w:val="00C654DA"/>
    <w:rsid w:val="00C65ABB"/>
    <w:rsid w:val="00C66160"/>
    <w:rsid w:val="00C6632F"/>
    <w:rsid w:val="00C73618"/>
    <w:rsid w:val="00C74547"/>
    <w:rsid w:val="00C74EC9"/>
    <w:rsid w:val="00C8293D"/>
    <w:rsid w:val="00C858D3"/>
    <w:rsid w:val="00C920F3"/>
    <w:rsid w:val="00C93463"/>
    <w:rsid w:val="00C9354B"/>
    <w:rsid w:val="00C96D51"/>
    <w:rsid w:val="00CA0D04"/>
    <w:rsid w:val="00CA1129"/>
    <w:rsid w:val="00CA4009"/>
    <w:rsid w:val="00CA612D"/>
    <w:rsid w:val="00CB6DC4"/>
    <w:rsid w:val="00CC0965"/>
    <w:rsid w:val="00CC3011"/>
    <w:rsid w:val="00CD07DF"/>
    <w:rsid w:val="00CD08A5"/>
    <w:rsid w:val="00CD30A3"/>
    <w:rsid w:val="00CD6A64"/>
    <w:rsid w:val="00CE4184"/>
    <w:rsid w:val="00CF4D0B"/>
    <w:rsid w:val="00CF648D"/>
    <w:rsid w:val="00CF757E"/>
    <w:rsid w:val="00D0193B"/>
    <w:rsid w:val="00D029FD"/>
    <w:rsid w:val="00D02CD8"/>
    <w:rsid w:val="00D04FA2"/>
    <w:rsid w:val="00D1308F"/>
    <w:rsid w:val="00D13B7B"/>
    <w:rsid w:val="00D141DD"/>
    <w:rsid w:val="00D15D57"/>
    <w:rsid w:val="00D2191D"/>
    <w:rsid w:val="00D21B17"/>
    <w:rsid w:val="00D277A0"/>
    <w:rsid w:val="00D3013E"/>
    <w:rsid w:val="00D33915"/>
    <w:rsid w:val="00D352C5"/>
    <w:rsid w:val="00D36B47"/>
    <w:rsid w:val="00D42635"/>
    <w:rsid w:val="00D4373D"/>
    <w:rsid w:val="00D47AC8"/>
    <w:rsid w:val="00D50402"/>
    <w:rsid w:val="00D5143A"/>
    <w:rsid w:val="00D51E38"/>
    <w:rsid w:val="00D57B8B"/>
    <w:rsid w:val="00D64D8E"/>
    <w:rsid w:val="00D64F32"/>
    <w:rsid w:val="00D650CB"/>
    <w:rsid w:val="00D65BE7"/>
    <w:rsid w:val="00D7313E"/>
    <w:rsid w:val="00D73E90"/>
    <w:rsid w:val="00D81071"/>
    <w:rsid w:val="00D851B5"/>
    <w:rsid w:val="00D87994"/>
    <w:rsid w:val="00DA5B85"/>
    <w:rsid w:val="00DB08C1"/>
    <w:rsid w:val="00DB3302"/>
    <w:rsid w:val="00DB44E6"/>
    <w:rsid w:val="00DB6B39"/>
    <w:rsid w:val="00DB7C96"/>
    <w:rsid w:val="00DC2D4E"/>
    <w:rsid w:val="00DD34DD"/>
    <w:rsid w:val="00DD7732"/>
    <w:rsid w:val="00DE1AAD"/>
    <w:rsid w:val="00DE329D"/>
    <w:rsid w:val="00DE3BCB"/>
    <w:rsid w:val="00DF45FA"/>
    <w:rsid w:val="00DF6758"/>
    <w:rsid w:val="00E002AE"/>
    <w:rsid w:val="00E00957"/>
    <w:rsid w:val="00E039CF"/>
    <w:rsid w:val="00E046B7"/>
    <w:rsid w:val="00E0573E"/>
    <w:rsid w:val="00E15165"/>
    <w:rsid w:val="00E1685E"/>
    <w:rsid w:val="00E277A1"/>
    <w:rsid w:val="00E30BE7"/>
    <w:rsid w:val="00E31122"/>
    <w:rsid w:val="00E4000E"/>
    <w:rsid w:val="00E423E5"/>
    <w:rsid w:val="00E54FCE"/>
    <w:rsid w:val="00E558CB"/>
    <w:rsid w:val="00E617E0"/>
    <w:rsid w:val="00E62711"/>
    <w:rsid w:val="00E65273"/>
    <w:rsid w:val="00E67A69"/>
    <w:rsid w:val="00E70E93"/>
    <w:rsid w:val="00E749F2"/>
    <w:rsid w:val="00E75A74"/>
    <w:rsid w:val="00E77517"/>
    <w:rsid w:val="00E80316"/>
    <w:rsid w:val="00E84C44"/>
    <w:rsid w:val="00E92C2C"/>
    <w:rsid w:val="00E959E9"/>
    <w:rsid w:val="00E95C2E"/>
    <w:rsid w:val="00EA0562"/>
    <w:rsid w:val="00EA0FE2"/>
    <w:rsid w:val="00EA3288"/>
    <w:rsid w:val="00EA3FBA"/>
    <w:rsid w:val="00EA493E"/>
    <w:rsid w:val="00EA6C1C"/>
    <w:rsid w:val="00EB0069"/>
    <w:rsid w:val="00EB18E3"/>
    <w:rsid w:val="00EB20B6"/>
    <w:rsid w:val="00EB5983"/>
    <w:rsid w:val="00EC023F"/>
    <w:rsid w:val="00EC3C20"/>
    <w:rsid w:val="00EC49AD"/>
    <w:rsid w:val="00ED7FD1"/>
    <w:rsid w:val="00EE0256"/>
    <w:rsid w:val="00EE6048"/>
    <w:rsid w:val="00EE6819"/>
    <w:rsid w:val="00EF22FC"/>
    <w:rsid w:val="00EF5ABA"/>
    <w:rsid w:val="00F01667"/>
    <w:rsid w:val="00F037AD"/>
    <w:rsid w:val="00F050A2"/>
    <w:rsid w:val="00F07F5C"/>
    <w:rsid w:val="00F108FD"/>
    <w:rsid w:val="00F10B22"/>
    <w:rsid w:val="00F14E1D"/>
    <w:rsid w:val="00F168FB"/>
    <w:rsid w:val="00F22012"/>
    <w:rsid w:val="00F22300"/>
    <w:rsid w:val="00F2313A"/>
    <w:rsid w:val="00F27C0F"/>
    <w:rsid w:val="00F30D55"/>
    <w:rsid w:val="00F31B89"/>
    <w:rsid w:val="00F34FC3"/>
    <w:rsid w:val="00F35D5A"/>
    <w:rsid w:val="00F42AFA"/>
    <w:rsid w:val="00F439EA"/>
    <w:rsid w:val="00F4584F"/>
    <w:rsid w:val="00F513E1"/>
    <w:rsid w:val="00F51597"/>
    <w:rsid w:val="00F525C2"/>
    <w:rsid w:val="00F52B36"/>
    <w:rsid w:val="00F54651"/>
    <w:rsid w:val="00F55556"/>
    <w:rsid w:val="00F57F7F"/>
    <w:rsid w:val="00F62957"/>
    <w:rsid w:val="00F63AA0"/>
    <w:rsid w:val="00F64E60"/>
    <w:rsid w:val="00F64F25"/>
    <w:rsid w:val="00F65834"/>
    <w:rsid w:val="00F70C76"/>
    <w:rsid w:val="00F715FC"/>
    <w:rsid w:val="00F72DE4"/>
    <w:rsid w:val="00F7566E"/>
    <w:rsid w:val="00F7712C"/>
    <w:rsid w:val="00F84C81"/>
    <w:rsid w:val="00F8584C"/>
    <w:rsid w:val="00F878C6"/>
    <w:rsid w:val="00F87EE3"/>
    <w:rsid w:val="00F9048D"/>
    <w:rsid w:val="00F924B8"/>
    <w:rsid w:val="00F9455D"/>
    <w:rsid w:val="00F948E5"/>
    <w:rsid w:val="00FA170F"/>
    <w:rsid w:val="00FB00AE"/>
    <w:rsid w:val="00FB3073"/>
    <w:rsid w:val="00FB3628"/>
    <w:rsid w:val="00FB6630"/>
    <w:rsid w:val="00FC011D"/>
    <w:rsid w:val="00FC0F4D"/>
    <w:rsid w:val="00FC3749"/>
    <w:rsid w:val="00FC7601"/>
    <w:rsid w:val="00FD1E9F"/>
    <w:rsid w:val="00FD53A3"/>
    <w:rsid w:val="00FE19DE"/>
    <w:rsid w:val="00FE2C9B"/>
    <w:rsid w:val="00FE3029"/>
    <w:rsid w:val="00FE6169"/>
    <w:rsid w:val="00FE6A32"/>
    <w:rsid w:val="00FF08BB"/>
    <w:rsid w:val="00FF437A"/>
    <w:rsid w:val="00FF4643"/>
    <w:rsid w:val="00FF7872"/>
    <w:rsid w:val="011219B2"/>
    <w:rsid w:val="056AACA5"/>
    <w:rsid w:val="062D7820"/>
    <w:rsid w:val="06AB852F"/>
    <w:rsid w:val="0830E16C"/>
    <w:rsid w:val="088DB773"/>
    <w:rsid w:val="09B55658"/>
    <w:rsid w:val="0A84A291"/>
    <w:rsid w:val="0AB42982"/>
    <w:rsid w:val="0C0C1C7A"/>
    <w:rsid w:val="0CEBC856"/>
    <w:rsid w:val="0EDF16F9"/>
    <w:rsid w:val="109880A7"/>
    <w:rsid w:val="12A9FEE9"/>
    <w:rsid w:val="12D89F15"/>
    <w:rsid w:val="14A51A1A"/>
    <w:rsid w:val="19A14AB0"/>
    <w:rsid w:val="1A14B639"/>
    <w:rsid w:val="1A406CC9"/>
    <w:rsid w:val="1E313588"/>
    <w:rsid w:val="1F3940EA"/>
    <w:rsid w:val="2844F8E5"/>
    <w:rsid w:val="2884D359"/>
    <w:rsid w:val="2A7B9614"/>
    <w:rsid w:val="2DDCF10B"/>
    <w:rsid w:val="2F389745"/>
    <w:rsid w:val="2FC4D497"/>
    <w:rsid w:val="30265F3F"/>
    <w:rsid w:val="3133A9C1"/>
    <w:rsid w:val="32F51744"/>
    <w:rsid w:val="339B4E5E"/>
    <w:rsid w:val="344B6819"/>
    <w:rsid w:val="3509B061"/>
    <w:rsid w:val="36D11D18"/>
    <w:rsid w:val="3780333A"/>
    <w:rsid w:val="3879F4FC"/>
    <w:rsid w:val="3A828C6D"/>
    <w:rsid w:val="3AE4C26E"/>
    <w:rsid w:val="3C1600E0"/>
    <w:rsid w:val="3C41C352"/>
    <w:rsid w:val="3FC58109"/>
    <w:rsid w:val="40988CBA"/>
    <w:rsid w:val="416CB48A"/>
    <w:rsid w:val="4386221E"/>
    <w:rsid w:val="47171B51"/>
    <w:rsid w:val="481E7C81"/>
    <w:rsid w:val="48259A42"/>
    <w:rsid w:val="48985775"/>
    <w:rsid w:val="48F39DE6"/>
    <w:rsid w:val="4A65F379"/>
    <w:rsid w:val="4B36D7DB"/>
    <w:rsid w:val="4B6C440D"/>
    <w:rsid w:val="4CE1B56F"/>
    <w:rsid w:val="4F2090C9"/>
    <w:rsid w:val="507C002D"/>
    <w:rsid w:val="50B86297"/>
    <w:rsid w:val="53893A50"/>
    <w:rsid w:val="5625895A"/>
    <w:rsid w:val="56B844D8"/>
    <w:rsid w:val="572A378A"/>
    <w:rsid w:val="576C7526"/>
    <w:rsid w:val="577E2DFD"/>
    <w:rsid w:val="58CD5160"/>
    <w:rsid w:val="5A287288"/>
    <w:rsid w:val="5B877DFA"/>
    <w:rsid w:val="5D16DC54"/>
    <w:rsid w:val="5D642471"/>
    <w:rsid w:val="5D9B9F03"/>
    <w:rsid w:val="6013E2D0"/>
    <w:rsid w:val="6046516F"/>
    <w:rsid w:val="6049E9AC"/>
    <w:rsid w:val="60D82E64"/>
    <w:rsid w:val="614A637C"/>
    <w:rsid w:val="64DA38AA"/>
    <w:rsid w:val="66344EF9"/>
    <w:rsid w:val="6A038863"/>
    <w:rsid w:val="6B927273"/>
    <w:rsid w:val="6BB2CD85"/>
    <w:rsid w:val="6C7CE692"/>
    <w:rsid w:val="6D0676B1"/>
    <w:rsid w:val="6E652C85"/>
    <w:rsid w:val="6F4A5B12"/>
    <w:rsid w:val="70EED425"/>
    <w:rsid w:val="72804986"/>
    <w:rsid w:val="735BC642"/>
    <w:rsid w:val="73E2BFF1"/>
    <w:rsid w:val="753D68A7"/>
    <w:rsid w:val="756D8F1B"/>
    <w:rsid w:val="759589C9"/>
    <w:rsid w:val="76FF5024"/>
    <w:rsid w:val="786328B2"/>
    <w:rsid w:val="7A11F13A"/>
    <w:rsid w:val="7CAC50C7"/>
    <w:rsid w:val="7CB13C51"/>
    <w:rsid w:val="7F3EC7FC"/>
    <w:rsid w:val="7FD37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2D915"/>
  <w15:chartTrackingRefBased/>
  <w15:docId w15:val="{679B5444-B331-4EA7-9FC5-AEA81E37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D1C"/>
    <w:pPr>
      <w:spacing w:before="120" w:after="120"/>
    </w:pPr>
    <w:rPr>
      <w:rFonts w:ascii="Libre Franklin" w:hAnsi="Libre Franklin"/>
      <w:color w:val="1F3864" w:themeColor="accent1" w:themeShade="80"/>
    </w:rPr>
  </w:style>
  <w:style w:type="paragraph" w:styleId="Heading1">
    <w:name w:val="heading 1"/>
    <w:basedOn w:val="Normal"/>
    <w:link w:val="Heading1Char"/>
    <w:uiPriority w:val="9"/>
    <w:qFormat/>
    <w:rsid w:val="00C73618"/>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7631A7"/>
    <w:pPr>
      <w:spacing w:before="0" w:after="0"/>
      <w:outlineLvl w:val="1"/>
    </w:pPr>
    <w:rPr>
      <w:rFonts w:asciiTheme="minorHAnsi" w:hAnsiTheme="minorHAnsi"/>
      <w:b/>
      <w:bCs/>
      <w:color w:val="FFFFFF" w:themeColor="background1"/>
      <w:sz w:val="36"/>
      <w:szCs w:val="48"/>
    </w:rPr>
  </w:style>
  <w:style w:type="paragraph" w:styleId="Heading3">
    <w:name w:val="heading 3"/>
    <w:basedOn w:val="Normal"/>
    <w:next w:val="Normal"/>
    <w:link w:val="Heading3Char"/>
    <w:uiPriority w:val="9"/>
    <w:unhideWhenUsed/>
    <w:qFormat/>
    <w:rsid w:val="008E60DF"/>
    <w:pPr>
      <w:keepNext/>
      <w:spacing w:before="240" w:after="240"/>
      <w:outlineLvl w:val="2"/>
    </w:pPr>
    <w:rPr>
      <w:rFonts w:asciiTheme="minorHAnsi" w:eastAsia="Libre Franklin" w:hAnsiTheme="minorHAnsi" w:cs="Libre Franklin"/>
      <w:b/>
      <w:bCs/>
      <w:sz w:val="28"/>
      <w:szCs w:val="32"/>
    </w:rPr>
  </w:style>
  <w:style w:type="paragraph" w:styleId="Heading4">
    <w:name w:val="heading 4"/>
    <w:basedOn w:val="Normal"/>
    <w:next w:val="Normal"/>
    <w:link w:val="Heading4Char"/>
    <w:uiPriority w:val="9"/>
    <w:unhideWhenUsed/>
    <w:qFormat/>
    <w:rsid w:val="00C106E3"/>
    <w:pPr>
      <w:spacing w:before="240"/>
      <w:outlineLvl w:val="3"/>
    </w:pPr>
    <w:rPr>
      <w:rFonts w:asciiTheme="minorHAnsi" w:eastAsia="Libre Franklin" w:hAnsiTheme="minorHAnsi" w:cs="Libre Franklin"/>
      <w:b/>
      <w:bCs/>
      <w:sz w:val="28"/>
    </w:rPr>
  </w:style>
  <w:style w:type="paragraph" w:styleId="Heading5">
    <w:name w:val="heading 5"/>
    <w:basedOn w:val="Heading4"/>
    <w:next w:val="Normal"/>
    <w:link w:val="Heading5Char"/>
    <w:uiPriority w:val="9"/>
    <w:unhideWhenUsed/>
    <w:qFormat/>
    <w:rsid w:val="00157BDC"/>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3618"/>
    <w:pPr>
      <w:spacing w:before="100" w:beforeAutospacing="1" w:after="100" w:afterAutospacing="1"/>
    </w:pPr>
    <w:rPr>
      <w:rFonts w:ascii="Times New Roman" w:eastAsia="Times New Roman" w:hAnsi="Times New Roman" w:cs="Times New Roman"/>
      <w:kern w:val="0"/>
      <w14:ligatures w14:val="none"/>
    </w:rPr>
  </w:style>
  <w:style w:type="paragraph" w:styleId="Title">
    <w:name w:val="Title"/>
    <w:basedOn w:val="Normal"/>
    <w:next w:val="Normal"/>
    <w:link w:val="TitleChar"/>
    <w:uiPriority w:val="10"/>
    <w:qFormat/>
    <w:rsid w:val="00C96D51"/>
    <w:pPr>
      <w:spacing w:after="240"/>
    </w:pPr>
    <w:rPr>
      <w:rFonts w:eastAsiaTheme="majorEastAsia" w:cstheme="minorHAnsi"/>
      <w:b/>
      <w:bCs/>
      <w:spacing w:val="-10"/>
      <w:kern w:val="28"/>
      <w:sz w:val="56"/>
      <w:szCs w:val="56"/>
    </w:rPr>
  </w:style>
  <w:style w:type="character" w:customStyle="1" w:styleId="TitleChar">
    <w:name w:val="Title Char"/>
    <w:basedOn w:val="DefaultParagraphFont"/>
    <w:link w:val="Title"/>
    <w:uiPriority w:val="10"/>
    <w:rsid w:val="00C96D51"/>
    <w:rPr>
      <w:rFonts w:eastAsiaTheme="majorEastAsia" w:cstheme="minorHAnsi"/>
      <w:b/>
      <w:bCs/>
      <w:color w:val="1F3864" w:themeColor="accent1" w:themeShade="80"/>
      <w:spacing w:val="-10"/>
      <w:kern w:val="28"/>
      <w:sz w:val="56"/>
      <w:szCs w:val="56"/>
    </w:rPr>
  </w:style>
  <w:style w:type="character" w:styleId="Hyperlink">
    <w:name w:val="Hyperlink"/>
    <w:basedOn w:val="DefaultParagraphFont"/>
    <w:uiPriority w:val="99"/>
    <w:unhideWhenUsed/>
    <w:rsid w:val="00C73618"/>
    <w:rPr>
      <w:color w:val="0563C1" w:themeColor="hyperlink"/>
      <w:u w:val="single"/>
    </w:rPr>
  </w:style>
  <w:style w:type="character" w:styleId="UnresolvedMention">
    <w:name w:val="Unresolved Mention"/>
    <w:basedOn w:val="DefaultParagraphFont"/>
    <w:uiPriority w:val="99"/>
    <w:semiHidden/>
    <w:unhideWhenUsed/>
    <w:rsid w:val="00C73618"/>
    <w:rPr>
      <w:color w:val="605E5C"/>
      <w:shd w:val="clear" w:color="auto" w:fill="E1DFDD"/>
    </w:rPr>
  </w:style>
  <w:style w:type="character" w:customStyle="1" w:styleId="Heading1Char">
    <w:name w:val="Heading 1 Char"/>
    <w:basedOn w:val="DefaultParagraphFont"/>
    <w:link w:val="Heading1"/>
    <w:uiPriority w:val="9"/>
    <w:rsid w:val="00C73618"/>
    <w:rPr>
      <w:rFonts w:ascii="Times New Roman" w:eastAsia="Times New Roman" w:hAnsi="Times New Roman" w:cs="Times New Roman"/>
      <w:b/>
      <w:bCs/>
      <w:kern w:val="36"/>
      <w:sz w:val="48"/>
      <w:szCs w:val="48"/>
      <w14:ligatures w14:val="none"/>
    </w:rPr>
  </w:style>
  <w:style w:type="character" w:styleId="FollowedHyperlink">
    <w:name w:val="FollowedHyperlink"/>
    <w:basedOn w:val="DefaultParagraphFont"/>
    <w:uiPriority w:val="99"/>
    <w:semiHidden/>
    <w:unhideWhenUsed/>
    <w:rsid w:val="009A5605"/>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sid w:val="007631A7"/>
    <w:rPr>
      <w:b/>
      <w:bCs/>
      <w:color w:val="FFFFFF" w:themeColor="background1"/>
      <w:sz w:val="36"/>
      <w:szCs w:val="48"/>
    </w:rPr>
  </w:style>
  <w:style w:type="paragraph" w:styleId="BodyText">
    <w:name w:val="Body Text"/>
    <w:basedOn w:val="Normal"/>
    <w:link w:val="BodyTextChar"/>
    <w:uiPriority w:val="99"/>
    <w:unhideWhenUsed/>
    <w:rsid w:val="005C7CFC"/>
    <w:pPr>
      <w:spacing w:before="0" w:line="264" w:lineRule="auto"/>
    </w:pPr>
    <w:rPr>
      <w:rFonts w:asciiTheme="minorHAnsi" w:eastAsia="Libre Franklin" w:hAnsiTheme="minorHAnsi" w:cs="Libre Franklin"/>
      <w:color w:val="000000" w:themeColor="text1"/>
      <w:szCs w:val="21"/>
    </w:rPr>
  </w:style>
  <w:style w:type="character" w:customStyle="1" w:styleId="BodyTextChar">
    <w:name w:val="Body Text Char"/>
    <w:basedOn w:val="DefaultParagraphFont"/>
    <w:link w:val="BodyText"/>
    <w:uiPriority w:val="99"/>
    <w:rsid w:val="005C7CFC"/>
    <w:rPr>
      <w:rFonts w:eastAsia="Libre Franklin" w:cs="Libre Franklin"/>
      <w:color w:val="000000" w:themeColor="text1"/>
      <w:szCs w:val="21"/>
    </w:rPr>
  </w:style>
  <w:style w:type="paragraph" w:styleId="BodyText2">
    <w:name w:val="Body Text 2"/>
    <w:basedOn w:val="BodyText"/>
    <w:link w:val="BodyText2Char"/>
    <w:uiPriority w:val="99"/>
    <w:unhideWhenUsed/>
    <w:rsid w:val="0098143B"/>
    <w:rPr>
      <w:sz w:val="22"/>
      <w:szCs w:val="20"/>
    </w:rPr>
  </w:style>
  <w:style w:type="character" w:customStyle="1" w:styleId="BodyText2Char">
    <w:name w:val="Body Text 2 Char"/>
    <w:basedOn w:val="DefaultParagraphFont"/>
    <w:link w:val="BodyText2"/>
    <w:uiPriority w:val="99"/>
    <w:rsid w:val="0098143B"/>
    <w:rPr>
      <w:rFonts w:eastAsia="Libre Franklin" w:cs="Libre Franklin"/>
      <w:color w:val="000000" w:themeColor="text1"/>
      <w:sz w:val="22"/>
      <w:szCs w:val="20"/>
    </w:rPr>
  </w:style>
  <w:style w:type="paragraph" w:styleId="BodyText3">
    <w:name w:val="Body Text 3"/>
    <w:basedOn w:val="BodyText"/>
    <w:link w:val="BodyText3Char"/>
    <w:uiPriority w:val="99"/>
    <w:unhideWhenUsed/>
    <w:rsid w:val="00BA6E1B"/>
    <w:rPr>
      <w:i/>
      <w:iCs/>
      <w:sz w:val="22"/>
      <w:szCs w:val="20"/>
    </w:rPr>
  </w:style>
  <w:style w:type="character" w:customStyle="1" w:styleId="BodyText3Char">
    <w:name w:val="Body Text 3 Char"/>
    <w:basedOn w:val="DefaultParagraphFont"/>
    <w:link w:val="BodyText3"/>
    <w:uiPriority w:val="99"/>
    <w:rsid w:val="00BA6E1B"/>
    <w:rPr>
      <w:rFonts w:eastAsia="Libre Franklin" w:cs="Libre Franklin"/>
      <w:i/>
      <w:iCs/>
      <w:color w:val="000000" w:themeColor="text1"/>
      <w:sz w:val="22"/>
      <w:szCs w:val="20"/>
    </w:rPr>
  </w:style>
  <w:style w:type="paragraph" w:styleId="ListBullet">
    <w:name w:val="List Bullet"/>
    <w:basedOn w:val="ListParagraph"/>
    <w:uiPriority w:val="99"/>
    <w:unhideWhenUsed/>
    <w:rsid w:val="008E60DF"/>
    <w:pPr>
      <w:numPr>
        <w:numId w:val="1"/>
      </w:numPr>
      <w:snapToGrid w:val="0"/>
      <w:spacing w:before="0" w:after="60"/>
      <w:contextualSpacing w:val="0"/>
    </w:pPr>
    <w:rPr>
      <w:rFonts w:asciiTheme="minorHAnsi" w:eastAsia="Libre Franklin" w:hAnsiTheme="minorHAnsi" w:cs="Libre Franklin"/>
      <w:bCs/>
      <w:color w:val="000000" w:themeColor="text1"/>
      <w:sz w:val="22"/>
      <w:szCs w:val="20"/>
    </w:rPr>
  </w:style>
  <w:style w:type="paragraph" w:styleId="Footer">
    <w:name w:val="footer"/>
    <w:basedOn w:val="Normal"/>
    <w:link w:val="FooterChar"/>
    <w:uiPriority w:val="99"/>
    <w:unhideWhenUsed/>
    <w:rsid w:val="003A77BB"/>
    <w:pPr>
      <w:tabs>
        <w:tab w:val="center" w:pos="4680"/>
        <w:tab w:val="right" w:pos="9360"/>
      </w:tabs>
    </w:pPr>
  </w:style>
  <w:style w:type="character" w:customStyle="1" w:styleId="FooterChar">
    <w:name w:val="Footer Char"/>
    <w:basedOn w:val="DefaultParagraphFont"/>
    <w:link w:val="Footer"/>
    <w:uiPriority w:val="99"/>
    <w:rsid w:val="003A77BB"/>
  </w:style>
  <w:style w:type="character" w:styleId="PageNumber">
    <w:name w:val="page number"/>
    <w:basedOn w:val="DefaultParagraphFont"/>
    <w:uiPriority w:val="99"/>
    <w:semiHidden/>
    <w:unhideWhenUsed/>
    <w:rsid w:val="00F2313A"/>
    <w:rPr>
      <w:rFonts w:ascii="Libre Franklin" w:hAnsi="Libre Franklin"/>
      <w:sz w:val="18"/>
    </w:rPr>
  </w:style>
  <w:style w:type="paragraph" w:styleId="Header">
    <w:name w:val="header"/>
    <w:basedOn w:val="Normal"/>
    <w:link w:val="HeaderChar"/>
    <w:uiPriority w:val="99"/>
    <w:unhideWhenUsed/>
    <w:rsid w:val="006F6154"/>
    <w:pPr>
      <w:tabs>
        <w:tab w:val="center" w:pos="4680"/>
        <w:tab w:val="right" w:pos="9360"/>
      </w:tabs>
      <w:spacing w:after="240"/>
    </w:pPr>
    <w:rPr>
      <w:rFonts w:asciiTheme="minorHAnsi" w:hAnsiTheme="minorHAnsi"/>
      <w:b/>
      <w:i/>
      <w:sz w:val="18"/>
    </w:rPr>
  </w:style>
  <w:style w:type="character" w:customStyle="1" w:styleId="HeaderChar">
    <w:name w:val="Header Char"/>
    <w:basedOn w:val="DefaultParagraphFont"/>
    <w:link w:val="Header"/>
    <w:uiPriority w:val="99"/>
    <w:rsid w:val="006F6154"/>
    <w:rPr>
      <w:b/>
      <w:i/>
      <w:color w:val="1F3864" w:themeColor="accent1" w:themeShade="80"/>
      <w:sz w:val="18"/>
    </w:rPr>
  </w:style>
  <w:style w:type="paragraph" w:styleId="BodyTextIndent">
    <w:name w:val="Body Text Indent"/>
    <w:basedOn w:val="Normal"/>
    <w:link w:val="BodyTextIndentChar"/>
    <w:uiPriority w:val="99"/>
    <w:unhideWhenUsed/>
    <w:rsid w:val="009B6FAD"/>
    <w:pPr>
      <w:spacing w:before="0"/>
      <w:ind w:left="720" w:hanging="720"/>
    </w:pPr>
    <w:rPr>
      <w:rFonts w:eastAsia="Calibri" w:cs="Calibri"/>
      <w:color w:val="000000" w:themeColor="text1"/>
      <w:sz w:val="20"/>
      <w:szCs w:val="20"/>
    </w:rPr>
  </w:style>
  <w:style w:type="character" w:customStyle="1" w:styleId="BodyTextIndentChar">
    <w:name w:val="Body Text Indent Char"/>
    <w:basedOn w:val="DefaultParagraphFont"/>
    <w:link w:val="BodyTextIndent"/>
    <w:uiPriority w:val="99"/>
    <w:rsid w:val="009B6FAD"/>
    <w:rPr>
      <w:rFonts w:ascii="Libre Franklin" w:eastAsia="Calibri" w:hAnsi="Libre Franklin" w:cs="Calibri"/>
      <w:color w:val="000000" w:themeColor="text1"/>
      <w:sz w:val="20"/>
      <w:szCs w:val="20"/>
    </w:rPr>
  </w:style>
  <w:style w:type="paragraph" w:customStyle="1" w:styleId="Heading1-CoverTitle">
    <w:name w:val="Heading 1 - Cover Title"/>
    <w:basedOn w:val="Normal"/>
    <w:qFormat/>
    <w:rsid w:val="00AD5BD7"/>
    <w:pPr>
      <w:spacing w:before="2000" w:after="2000" w:line="960" w:lineRule="exact"/>
      <w:outlineLvl w:val="0"/>
    </w:pPr>
    <w:rPr>
      <w:rFonts w:asciiTheme="minorHAnsi" w:hAnsiTheme="minorHAnsi" w:cstheme="minorHAnsi"/>
      <w:color w:val="FFFFFF"/>
      <w:kern w:val="0"/>
      <w:sz w:val="96"/>
      <w:szCs w:val="88"/>
      <w14:ligatures w14:val="none"/>
    </w:rPr>
  </w:style>
  <w:style w:type="paragraph" w:customStyle="1" w:styleId="Cover-Authors">
    <w:name w:val="Cover- Authors"/>
    <w:basedOn w:val="Normal"/>
    <w:qFormat/>
    <w:rsid w:val="00934EEE"/>
    <w:pPr>
      <w:pBdr>
        <w:top w:val="single" w:sz="48" w:space="12" w:color="93D18C"/>
      </w:pBdr>
      <w:spacing w:after="60" w:line="380" w:lineRule="exact"/>
      <w:ind w:left="4320"/>
    </w:pPr>
    <w:rPr>
      <w:rFonts w:asciiTheme="minorHAnsi" w:hAnsiTheme="minorHAnsi" w:cstheme="minorHAnsi"/>
      <w:b/>
      <w:bCs/>
      <w:color w:val="93D18C"/>
      <w:kern w:val="0"/>
      <w:sz w:val="36"/>
      <w:szCs w:val="32"/>
      <w14:ligatures w14:val="none"/>
    </w:rPr>
  </w:style>
  <w:style w:type="paragraph" w:customStyle="1" w:styleId="Heading2A-TOC">
    <w:name w:val="Heading 2A - TOC"/>
    <w:basedOn w:val="Heading2B-Startofnewpage"/>
    <w:rsid w:val="009B6FAD"/>
  </w:style>
  <w:style w:type="paragraph" w:styleId="TOC1">
    <w:name w:val="toc 1"/>
    <w:basedOn w:val="Normal"/>
    <w:next w:val="Normal"/>
    <w:autoRedefine/>
    <w:uiPriority w:val="39"/>
    <w:unhideWhenUsed/>
    <w:rsid w:val="00F52B36"/>
    <w:pPr>
      <w:keepNext/>
      <w:tabs>
        <w:tab w:val="right" w:pos="9350"/>
      </w:tabs>
      <w:spacing w:before="380" w:after="200" w:line="320" w:lineRule="exact"/>
      <w:ind w:left="720"/>
    </w:pPr>
    <w:rPr>
      <w:b/>
      <w:color w:val="3C8235"/>
      <w:kern w:val="0"/>
      <w:sz w:val="26"/>
      <w:szCs w:val="22"/>
      <w14:ligatures w14:val="none"/>
    </w:rPr>
  </w:style>
  <w:style w:type="paragraph" w:styleId="TOC2">
    <w:name w:val="toc 2"/>
    <w:basedOn w:val="Normal"/>
    <w:next w:val="Normal"/>
    <w:autoRedefine/>
    <w:uiPriority w:val="39"/>
    <w:unhideWhenUsed/>
    <w:rsid w:val="00C106E3"/>
    <w:pPr>
      <w:tabs>
        <w:tab w:val="right" w:pos="9350"/>
      </w:tabs>
      <w:spacing w:before="20" w:after="140"/>
      <w:ind w:left="1083" w:right="1440"/>
    </w:pPr>
    <w:rPr>
      <w:rFonts w:asciiTheme="minorHAnsi" w:hAnsiTheme="minorHAnsi"/>
      <w:b/>
      <w:kern w:val="0"/>
      <w:szCs w:val="22"/>
      <w14:ligatures w14:val="none"/>
    </w:rPr>
  </w:style>
  <w:style w:type="paragraph" w:styleId="TOC3">
    <w:name w:val="toc 3"/>
    <w:basedOn w:val="Normal"/>
    <w:next w:val="Normal"/>
    <w:autoRedefine/>
    <w:uiPriority w:val="39"/>
    <w:unhideWhenUsed/>
    <w:rsid w:val="00F35D5A"/>
    <w:pPr>
      <w:keepNext/>
      <w:tabs>
        <w:tab w:val="right" w:pos="9350"/>
      </w:tabs>
      <w:spacing w:before="20" w:after="140" w:line="260" w:lineRule="exact"/>
      <w:ind w:left="1440" w:right="1440"/>
    </w:pPr>
    <w:rPr>
      <w:color w:val="538135" w:themeColor="accent6" w:themeShade="BF"/>
      <w:kern w:val="0"/>
      <w:sz w:val="21"/>
      <w:szCs w:val="22"/>
      <w14:ligatures w14:val="none"/>
    </w:rPr>
  </w:style>
  <w:style w:type="paragraph" w:styleId="TOC4">
    <w:name w:val="toc 4"/>
    <w:basedOn w:val="Normal"/>
    <w:next w:val="Normal"/>
    <w:autoRedefine/>
    <w:uiPriority w:val="39"/>
    <w:unhideWhenUsed/>
    <w:rsid w:val="00F52B36"/>
    <w:pPr>
      <w:keepNext/>
      <w:tabs>
        <w:tab w:val="right" w:pos="9350"/>
      </w:tabs>
      <w:spacing w:before="20" w:after="160" w:line="260" w:lineRule="exact"/>
      <w:ind w:left="1800" w:right="1440"/>
    </w:pPr>
    <w:rPr>
      <w:i/>
      <w:color w:val="4472C4" w:themeColor="accent1"/>
      <w:kern w:val="0"/>
      <w:sz w:val="21"/>
      <w:szCs w:val="22"/>
      <w14:ligatures w14:val="none"/>
    </w:rPr>
  </w:style>
  <w:style w:type="paragraph" w:customStyle="1" w:styleId="Heading2B-Startofnewpage">
    <w:name w:val="Heading 2B - Start of new page"/>
    <w:basedOn w:val="Title"/>
    <w:link w:val="Heading2B-StartofnewpageChar"/>
    <w:rsid w:val="00F52B36"/>
    <w:pPr>
      <w:snapToGrid w:val="0"/>
      <w:spacing w:before="720" w:after="360"/>
    </w:pPr>
  </w:style>
  <w:style w:type="character" w:customStyle="1" w:styleId="Heading2B-StartofnewpageChar">
    <w:name w:val="Heading 2B - Start of new page Char"/>
    <w:basedOn w:val="DefaultParagraphFont"/>
    <w:link w:val="Heading2B-Startofnewpage"/>
    <w:rsid w:val="00F52B36"/>
    <w:rPr>
      <w:rFonts w:eastAsiaTheme="majorEastAsia" w:cstheme="minorHAnsi"/>
      <w:b/>
      <w:bCs/>
      <w:color w:val="1F3864" w:themeColor="accent1" w:themeShade="80"/>
      <w:spacing w:val="-10"/>
      <w:kern w:val="28"/>
      <w:sz w:val="56"/>
      <w:szCs w:val="56"/>
    </w:rPr>
  </w:style>
  <w:style w:type="character" w:customStyle="1" w:styleId="Heading3Char">
    <w:name w:val="Heading 3 Char"/>
    <w:basedOn w:val="DefaultParagraphFont"/>
    <w:link w:val="Heading3"/>
    <w:uiPriority w:val="9"/>
    <w:rsid w:val="008E60DF"/>
    <w:rPr>
      <w:rFonts w:eastAsia="Libre Franklin" w:cs="Libre Franklin"/>
      <w:b/>
      <w:bCs/>
      <w:color w:val="1F3864" w:themeColor="accent1" w:themeShade="80"/>
      <w:sz w:val="28"/>
      <w:szCs w:val="32"/>
    </w:rPr>
  </w:style>
  <w:style w:type="table" w:styleId="GridTable4">
    <w:name w:val="Grid Table 4"/>
    <w:basedOn w:val="TableNormal"/>
    <w:uiPriority w:val="49"/>
    <w:rsid w:val="00F52B3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erRow">
    <w:name w:val="Table Header Row"/>
    <w:basedOn w:val="Normal"/>
    <w:qFormat/>
    <w:rsid w:val="00935741"/>
    <w:pPr>
      <w:spacing w:before="0" w:after="0"/>
      <w:ind w:left="-14"/>
    </w:pPr>
    <w:rPr>
      <w:rFonts w:asciiTheme="minorHAnsi" w:eastAsia="Libre Franklin" w:hAnsiTheme="minorHAnsi" w:cs="Libre Franklin"/>
      <w:b/>
      <w:bCs/>
      <w:color w:val="FFFFFF" w:themeColor="background1"/>
      <w:sz w:val="28"/>
    </w:rPr>
  </w:style>
  <w:style w:type="table" w:styleId="GridTable4-Accent3">
    <w:name w:val="Grid Table 4 Accent 3"/>
    <w:basedOn w:val="TableNormal"/>
    <w:uiPriority w:val="49"/>
    <w:rsid w:val="00AF58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ragraph-AfterList">
    <w:name w:val="Paragraph - After List"/>
    <w:basedOn w:val="BodyText"/>
    <w:qFormat/>
    <w:rsid w:val="006E3A9D"/>
    <w:pPr>
      <w:adjustRightInd w:val="0"/>
      <w:spacing w:before="240" w:after="240"/>
    </w:pPr>
  </w:style>
  <w:style w:type="character" w:customStyle="1" w:styleId="Heading4Char">
    <w:name w:val="Heading 4 Char"/>
    <w:basedOn w:val="DefaultParagraphFont"/>
    <w:link w:val="Heading4"/>
    <w:uiPriority w:val="9"/>
    <w:rsid w:val="00C106E3"/>
    <w:rPr>
      <w:rFonts w:eastAsia="Libre Franklin" w:cs="Libre Franklin"/>
      <w:b/>
      <w:bCs/>
      <w:color w:val="1F3864" w:themeColor="accent1" w:themeShade="80"/>
      <w:sz w:val="28"/>
    </w:rPr>
  </w:style>
  <w:style w:type="paragraph" w:styleId="ListBullet2">
    <w:name w:val="List Bullet 2"/>
    <w:basedOn w:val="Normal"/>
    <w:uiPriority w:val="99"/>
    <w:unhideWhenUsed/>
    <w:rsid w:val="006E3A9D"/>
    <w:pPr>
      <w:numPr>
        <w:numId w:val="3"/>
      </w:numPr>
      <w:contextualSpacing/>
    </w:pPr>
    <w:rPr>
      <w:rFonts w:asciiTheme="minorHAnsi" w:hAnsiTheme="minorHAnsi"/>
      <w:color w:val="000000" w:themeColor="text1"/>
      <w:sz w:val="22"/>
      <w:szCs w:val="20"/>
    </w:rPr>
  </w:style>
  <w:style w:type="paragraph" w:styleId="ListBullet3">
    <w:name w:val="List Bullet 3"/>
    <w:basedOn w:val="NormalWeb"/>
    <w:uiPriority w:val="99"/>
    <w:unhideWhenUsed/>
    <w:rsid w:val="006E3A9D"/>
    <w:pPr>
      <w:numPr>
        <w:ilvl w:val="2"/>
        <w:numId w:val="2"/>
      </w:numPr>
      <w:ind w:left="1080"/>
    </w:pPr>
    <w:rPr>
      <w:rFonts w:asciiTheme="minorHAnsi" w:hAnsiTheme="minorHAnsi"/>
      <w:color w:val="000000" w:themeColor="text1"/>
      <w:sz w:val="22"/>
      <w:szCs w:val="20"/>
    </w:rPr>
  </w:style>
  <w:style w:type="paragraph" w:styleId="ListNumber">
    <w:name w:val="List Number"/>
    <w:basedOn w:val="ListParagraph"/>
    <w:uiPriority w:val="99"/>
    <w:unhideWhenUsed/>
    <w:rsid w:val="00982D0C"/>
    <w:pPr>
      <w:numPr>
        <w:numId w:val="4"/>
      </w:numPr>
      <w:snapToGrid w:val="0"/>
      <w:spacing w:before="0"/>
      <w:contextualSpacing w:val="0"/>
    </w:pPr>
    <w:rPr>
      <w:rFonts w:asciiTheme="minorHAnsi" w:hAnsiTheme="minorHAnsi"/>
      <w:color w:val="000000" w:themeColor="text1"/>
      <w:sz w:val="22"/>
      <w:szCs w:val="21"/>
    </w:rPr>
  </w:style>
  <w:style w:type="paragraph" w:customStyle="1" w:styleId="TableHeaderRow2">
    <w:name w:val="Table Header Row 2"/>
    <w:basedOn w:val="TableHeaderRow"/>
    <w:qFormat/>
    <w:rsid w:val="006E3A9D"/>
    <w:rPr>
      <w:sz w:val="22"/>
    </w:rPr>
  </w:style>
  <w:style w:type="paragraph" w:customStyle="1" w:styleId="TableTitle">
    <w:name w:val="Table Title"/>
    <w:basedOn w:val="Normal"/>
    <w:uiPriority w:val="1"/>
    <w:qFormat/>
    <w:rsid w:val="00C106E3"/>
    <w:pPr>
      <w:keepNext/>
      <w:pBdr>
        <w:top w:val="single" w:sz="12" w:space="8" w:color="CAE0F9"/>
      </w:pBdr>
    </w:pPr>
    <w:rPr>
      <w:rFonts w:asciiTheme="minorHAnsi" w:hAnsiTheme="minorHAnsi"/>
      <w:b/>
      <w:bCs/>
      <w:kern w:val="0"/>
      <w:sz w:val="26"/>
      <w:szCs w:val="26"/>
      <w14:ligatures w14:val="none"/>
    </w:rPr>
  </w:style>
  <w:style w:type="character" w:styleId="CommentReference">
    <w:name w:val="annotation reference"/>
    <w:basedOn w:val="DefaultParagraphFont"/>
    <w:uiPriority w:val="99"/>
    <w:semiHidden/>
    <w:unhideWhenUsed/>
    <w:rsid w:val="00935741"/>
    <w:rPr>
      <w:sz w:val="16"/>
      <w:szCs w:val="16"/>
    </w:rPr>
  </w:style>
  <w:style w:type="paragraph" w:styleId="CommentText">
    <w:name w:val="annotation text"/>
    <w:basedOn w:val="Normal"/>
    <w:link w:val="CommentTextChar"/>
    <w:uiPriority w:val="99"/>
    <w:unhideWhenUsed/>
    <w:rsid w:val="00935741"/>
    <w:rPr>
      <w:sz w:val="20"/>
      <w:szCs w:val="20"/>
    </w:rPr>
  </w:style>
  <w:style w:type="character" w:customStyle="1" w:styleId="CommentTextChar">
    <w:name w:val="Comment Text Char"/>
    <w:basedOn w:val="DefaultParagraphFont"/>
    <w:link w:val="CommentText"/>
    <w:uiPriority w:val="99"/>
    <w:rsid w:val="00935741"/>
    <w:rPr>
      <w:rFonts w:ascii="Libre Franklin" w:hAnsi="Libre Franklin"/>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35741"/>
    <w:rPr>
      <w:b/>
      <w:bCs/>
    </w:rPr>
  </w:style>
  <w:style w:type="character" w:customStyle="1" w:styleId="CommentSubjectChar">
    <w:name w:val="Comment Subject Char"/>
    <w:basedOn w:val="CommentTextChar"/>
    <w:link w:val="CommentSubject"/>
    <w:uiPriority w:val="99"/>
    <w:semiHidden/>
    <w:rsid w:val="00935741"/>
    <w:rPr>
      <w:rFonts w:ascii="Libre Franklin" w:hAnsi="Libre Franklin"/>
      <w:b/>
      <w:bCs/>
      <w:color w:val="1F3864" w:themeColor="accent1" w:themeShade="80"/>
      <w:sz w:val="20"/>
      <w:szCs w:val="20"/>
    </w:rPr>
  </w:style>
  <w:style w:type="paragraph" w:customStyle="1" w:styleId="TableTitle2">
    <w:name w:val="Table Title 2"/>
    <w:basedOn w:val="TableTitle"/>
    <w:qFormat/>
    <w:rsid w:val="00F4584F"/>
    <w:rPr>
      <w:sz w:val="22"/>
    </w:rPr>
  </w:style>
  <w:style w:type="paragraph" w:customStyle="1" w:styleId="CalloutBox-Title">
    <w:name w:val="Callout Box - Title"/>
    <w:basedOn w:val="Paragraph-AfterList"/>
    <w:qFormat/>
    <w:rsid w:val="00965758"/>
    <w:pPr>
      <w:keepNext/>
      <w:pBdr>
        <w:top w:val="single" w:sz="48" w:space="10" w:color="1F3864" w:themeColor="accent1" w:themeShade="80"/>
      </w:pBdr>
      <w:adjustRightInd/>
      <w:spacing w:after="0" w:line="310" w:lineRule="exact"/>
    </w:pPr>
    <w:rPr>
      <w:rFonts w:eastAsiaTheme="minorEastAsia" w:cstheme="minorBidi"/>
      <w:b/>
      <w:color w:val="1F3864" w:themeColor="accent1" w:themeShade="80"/>
      <w:kern w:val="0"/>
      <w:szCs w:val="36"/>
      <w14:ligatures w14:val="none"/>
    </w:rPr>
  </w:style>
  <w:style w:type="paragraph" w:customStyle="1" w:styleId="CalloutBox-Subtitle">
    <w:name w:val="Callout Box - Subtitle"/>
    <w:basedOn w:val="Paragraph-AfterList"/>
    <w:qFormat/>
    <w:rsid w:val="00965758"/>
    <w:pPr>
      <w:keepNext/>
      <w:pBdr>
        <w:bottom w:val="single" w:sz="12" w:space="7" w:color="DAEFD8"/>
      </w:pBdr>
      <w:adjustRightInd/>
      <w:spacing w:before="40" w:after="216" w:line="310" w:lineRule="exact"/>
    </w:pPr>
    <w:rPr>
      <w:rFonts w:eastAsiaTheme="minorEastAsia" w:cstheme="minorBidi"/>
      <w:b/>
      <w:bCs/>
      <w:i/>
      <w:iCs/>
      <w:color w:val="3C8235"/>
      <w:kern w:val="0"/>
      <w:szCs w:val="24"/>
      <w14:ligatures w14:val="none"/>
    </w:rPr>
  </w:style>
  <w:style w:type="paragraph" w:customStyle="1" w:styleId="HighlightText">
    <w:name w:val="Highlight Text"/>
    <w:basedOn w:val="Normal"/>
    <w:qFormat/>
    <w:rsid w:val="008E60DF"/>
    <w:pPr>
      <w:keepNext/>
      <w:pBdr>
        <w:top w:val="single" w:sz="48" w:space="10" w:color="1F3864" w:themeColor="accent1" w:themeShade="80"/>
        <w:bottom w:val="single" w:sz="48" w:space="13" w:color="1F3864" w:themeColor="accent1" w:themeShade="80"/>
      </w:pBdr>
      <w:spacing w:before="240" w:after="240" w:line="264" w:lineRule="auto"/>
      <w:ind w:left="720" w:right="720"/>
    </w:pPr>
    <w:rPr>
      <w:rFonts w:asciiTheme="minorHAnsi" w:hAnsiTheme="minorHAnsi"/>
      <w:iCs/>
      <w:color w:val="000000" w:themeColor="text1"/>
      <w:kern w:val="0"/>
      <w:sz w:val="22"/>
      <w:szCs w:val="30"/>
      <w14:ligatures w14:val="none"/>
    </w:rPr>
  </w:style>
  <w:style w:type="paragraph" w:customStyle="1" w:styleId="CalloutBoxLastParagraph">
    <w:name w:val="Callout Box – Last Paragraph"/>
    <w:basedOn w:val="Normal"/>
    <w:qFormat/>
    <w:rsid w:val="00965758"/>
    <w:pPr>
      <w:keepNext/>
      <w:pBdr>
        <w:bottom w:val="single" w:sz="48" w:space="18" w:color="1F3864" w:themeColor="accent1" w:themeShade="80"/>
      </w:pBdr>
      <w:spacing w:before="72" w:after="240" w:line="310" w:lineRule="exact"/>
    </w:pPr>
    <w:rPr>
      <w:rFonts w:asciiTheme="minorHAnsi" w:hAnsiTheme="minorHAnsi"/>
      <w:kern w:val="0"/>
      <w14:ligatures w14:val="none"/>
    </w:rPr>
  </w:style>
  <w:style w:type="numbering" w:customStyle="1" w:styleId="CurrentList1">
    <w:name w:val="Current List1"/>
    <w:uiPriority w:val="99"/>
    <w:rsid w:val="00614CCE"/>
    <w:pPr>
      <w:numPr>
        <w:numId w:val="8"/>
      </w:numPr>
    </w:pPr>
  </w:style>
  <w:style w:type="paragraph" w:customStyle="1" w:styleId="TOCTitle">
    <w:name w:val="TOC Title"/>
    <w:basedOn w:val="Heading2"/>
    <w:qFormat/>
    <w:rsid w:val="00D029FD"/>
    <w:rPr>
      <w:color w:val="1F3864" w:themeColor="accent1" w:themeShade="80"/>
      <w:sz w:val="72"/>
    </w:rPr>
  </w:style>
  <w:style w:type="character" w:styleId="PlaceholderText">
    <w:name w:val="Placeholder Text"/>
    <w:basedOn w:val="DefaultParagraphFont"/>
    <w:uiPriority w:val="99"/>
    <w:semiHidden/>
    <w:rsid w:val="00587460"/>
    <w:rPr>
      <w:color w:val="666666"/>
    </w:rPr>
  </w:style>
  <w:style w:type="table" w:styleId="TableGridLight">
    <w:name w:val="Grid Table Light"/>
    <w:basedOn w:val="TableNormal"/>
    <w:uiPriority w:val="40"/>
    <w:rsid w:val="003F570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btitle1">
    <w:name w:val="Subtitle 1"/>
    <w:basedOn w:val="Heading3"/>
    <w:qFormat/>
    <w:rsid w:val="003F5704"/>
    <w:pPr>
      <w:spacing w:before="0" w:after="0"/>
    </w:pPr>
    <w:rPr>
      <w:color w:val="FFFFFF" w:themeColor="background1"/>
      <w:sz w:val="24"/>
    </w:rPr>
  </w:style>
  <w:style w:type="numbering" w:customStyle="1" w:styleId="CurrentList2">
    <w:name w:val="Current List2"/>
    <w:uiPriority w:val="99"/>
    <w:rsid w:val="008E60DF"/>
    <w:pPr>
      <w:numPr>
        <w:numId w:val="10"/>
      </w:numPr>
    </w:pPr>
  </w:style>
  <w:style w:type="character" w:customStyle="1" w:styleId="Heading5Char">
    <w:name w:val="Heading 5 Char"/>
    <w:basedOn w:val="DefaultParagraphFont"/>
    <w:link w:val="Heading5"/>
    <w:uiPriority w:val="9"/>
    <w:rsid w:val="00157BDC"/>
    <w:rPr>
      <w:rFonts w:eastAsia="Libre Franklin" w:cs="Libre Franklin"/>
      <w:b/>
      <w:bCs/>
      <w:color w:val="1F3864" w:themeColor="accent1" w:themeShade="80"/>
      <w:sz w:val="28"/>
    </w:rPr>
  </w:style>
  <w:style w:type="paragraph" w:customStyle="1" w:styleId="Heading2a">
    <w:name w:val="Heading 2a"/>
    <w:basedOn w:val="Heading2"/>
    <w:qFormat/>
    <w:rsid w:val="00087C01"/>
    <w:rPr>
      <w:sz w:val="28"/>
    </w:rPr>
  </w:style>
  <w:style w:type="paragraph" w:styleId="Revision">
    <w:name w:val="Revision"/>
    <w:hidden/>
    <w:uiPriority w:val="99"/>
    <w:semiHidden/>
    <w:rsid w:val="00744458"/>
    <w:rPr>
      <w:rFonts w:ascii="Libre Franklin" w:hAnsi="Libre Franklin"/>
      <w:color w:val="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511366">
      <w:bodyDiv w:val="1"/>
      <w:marLeft w:val="0"/>
      <w:marRight w:val="0"/>
      <w:marTop w:val="0"/>
      <w:marBottom w:val="0"/>
      <w:divBdr>
        <w:top w:val="none" w:sz="0" w:space="0" w:color="auto"/>
        <w:left w:val="none" w:sz="0" w:space="0" w:color="auto"/>
        <w:bottom w:val="none" w:sz="0" w:space="0" w:color="auto"/>
        <w:right w:val="none" w:sz="0" w:space="0" w:color="auto"/>
      </w:divBdr>
    </w:div>
    <w:div w:id="158886004">
      <w:bodyDiv w:val="1"/>
      <w:marLeft w:val="0"/>
      <w:marRight w:val="0"/>
      <w:marTop w:val="0"/>
      <w:marBottom w:val="0"/>
      <w:divBdr>
        <w:top w:val="none" w:sz="0" w:space="0" w:color="auto"/>
        <w:left w:val="none" w:sz="0" w:space="0" w:color="auto"/>
        <w:bottom w:val="none" w:sz="0" w:space="0" w:color="auto"/>
        <w:right w:val="none" w:sz="0" w:space="0" w:color="auto"/>
      </w:divBdr>
    </w:div>
    <w:div w:id="432358448">
      <w:bodyDiv w:val="1"/>
      <w:marLeft w:val="0"/>
      <w:marRight w:val="0"/>
      <w:marTop w:val="0"/>
      <w:marBottom w:val="0"/>
      <w:divBdr>
        <w:top w:val="none" w:sz="0" w:space="0" w:color="auto"/>
        <w:left w:val="none" w:sz="0" w:space="0" w:color="auto"/>
        <w:bottom w:val="none" w:sz="0" w:space="0" w:color="auto"/>
        <w:right w:val="none" w:sz="0" w:space="0" w:color="auto"/>
      </w:divBdr>
    </w:div>
    <w:div w:id="702946059">
      <w:bodyDiv w:val="1"/>
      <w:marLeft w:val="0"/>
      <w:marRight w:val="0"/>
      <w:marTop w:val="0"/>
      <w:marBottom w:val="0"/>
      <w:divBdr>
        <w:top w:val="none" w:sz="0" w:space="0" w:color="auto"/>
        <w:left w:val="none" w:sz="0" w:space="0" w:color="auto"/>
        <w:bottom w:val="none" w:sz="0" w:space="0" w:color="auto"/>
        <w:right w:val="none" w:sz="0" w:space="0" w:color="auto"/>
      </w:divBdr>
    </w:div>
    <w:div w:id="817841165">
      <w:bodyDiv w:val="1"/>
      <w:marLeft w:val="0"/>
      <w:marRight w:val="0"/>
      <w:marTop w:val="0"/>
      <w:marBottom w:val="0"/>
      <w:divBdr>
        <w:top w:val="none" w:sz="0" w:space="0" w:color="auto"/>
        <w:left w:val="none" w:sz="0" w:space="0" w:color="auto"/>
        <w:bottom w:val="none" w:sz="0" w:space="0" w:color="auto"/>
        <w:right w:val="none" w:sz="0" w:space="0" w:color="auto"/>
      </w:divBdr>
    </w:div>
    <w:div w:id="840240776">
      <w:bodyDiv w:val="1"/>
      <w:marLeft w:val="0"/>
      <w:marRight w:val="0"/>
      <w:marTop w:val="0"/>
      <w:marBottom w:val="0"/>
      <w:divBdr>
        <w:top w:val="none" w:sz="0" w:space="0" w:color="auto"/>
        <w:left w:val="none" w:sz="0" w:space="0" w:color="auto"/>
        <w:bottom w:val="none" w:sz="0" w:space="0" w:color="auto"/>
        <w:right w:val="none" w:sz="0" w:space="0" w:color="auto"/>
      </w:divBdr>
    </w:div>
    <w:div w:id="958874829">
      <w:bodyDiv w:val="1"/>
      <w:marLeft w:val="0"/>
      <w:marRight w:val="0"/>
      <w:marTop w:val="0"/>
      <w:marBottom w:val="0"/>
      <w:divBdr>
        <w:top w:val="none" w:sz="0" w:space="0" w:color="auto"/>
        <w:left w:val="none" w:sz="0" w:space="0" w:color="auto"/>
        <w:bottom w:val="none" w:sz="0" w:space="0" w:color="auto"/>
        <w:right w:val="none" w:sz="0" w:space="0" w:color="auto"/>
      </w:divBdr>
    </w:div>
    <w:div w:id="1025667134">
      <w:bodyDiv w:val="1"/>
      <w:marLeft w:val="0"/>
      <w:marRight w:val="0"/>
      <w:marTop w:val="0"/>
      <w:marBottom w:val="0"/>
      <w:divBdr>
        <w:top w:val="none" w:sz="0" w:space="0" w:color="auto"/>
        <w:left w:val="none" w:sz="0" w:space="0" w:color="auto"/>
        <w:bottom w:val="none" w:sz="0" w:space="0" w:color="auto"/>
        <w:right w:val="none" w:sz="0" w:space="0" w:color="auto"/>
      </w:divBdr>
    </w:div>
    <w:div w:id="1149712565">
      <w:bodyDiv w:val="1"/>
      <w:marLeft w:val="0"/>
      <w:marRight w:val="0"/>
      <w:marTop w:val="0"/>
      <w:marBottom w:val="0"/>
      <w:divBdr>
        <w:top w:val="none" w:sz="0" w:space="0" w:color="auto"/>
        <w:left w:val="none" w:sz="0" w:space="0" w:color="auto"/>
        <w:bottom w:val="none" w:sz="0" w:space="0" w:color="auto"/>
        <w:right w:val="none" w:sz="0" w:space="0" w:color="auto"/>
      </w:divBdr>
    </w:div>
    <w:div w:id="1503668223">
      <w:bodyDiv w:val="1"/>
      <w:marLeft w:val="0"/>
      <w:marRight w:val="0"/>
      <w:marTop w:val="0"/>
      <w:marBottom w:val="0"/>
      <w:divBdr>
        <w:top w:val="none" w:sz="0" w:space="0" w:color="auto"/>
        <w:left w:val="none" w:sz="0" w:space="0" w:color="auto"/>
        <w:bottom w:val="none" w:sz="0" w:space="0" w:color="auto"/>
        <w:right w:val="none" w:sz="0" w:space="0" w:color="auto"/>
      </w:divBdr>
    </w:div>
    <w:div w:id="1505392043">
      <w:bodyDiv w:val="1"/>
      <w:marLeft w:val="0"/>
      <w:marRight w:val="0"/>
      <w:marTop w:val="0"/>
      <w:marBottom w:val="0"/>
      <w:divBdr>
        <w:top w:val="none" w:sz="0" w:space="0" w:color="auto"/>
        <w:left w:val="none" w:sz="0" w:space="0" w:color="auto"/>
        <w:bottom w:val="none" w:sz="0" w:space="0" w:color="auto"/>
        <w:right w:val="none" w:sz="0" w:space="0" w:color="auto"/>
      </w:divBdr>
    </w:div>
    <w:div w:id="2021351651">
      <w:bodyDiv w:val="1"/>
      <w:marLeft w:val="0"/>
      <w:marRight w:val="0"/>
      <w:marTop w:val="0"/>
      <w:marBottom w:val="0"/>
      <w:divBdr>
        <w:top w:val="none" w:sz="0" w:space="0" w:color="auto"/>
        <w:left w:val="none" w:sz="0" w:space="0" w:color="auto"/>
        <w:bottom w:val="none" w:sz="0" w:space="0" w:color="auto"/>
        <w:right w:val="none" w:sz="0" w:space="0" w:color="auto"/>
      </w:divBdr>
    </w:div>
    <w:div w:id="2092044498">
      <w:bodyDiv w:val="1"/>
      <w:marLeft w:val="0"/>
      <w:marRight w:val="0"/>
      <w:marTop w:val="0"/>
      <w:marBottom w:val="0"/>
      <w:divBdr>
        <w:top w:val="none" w:sz="0" w:space="0" w:color="auto"/>
        <w:left w:val="none" w:sz="0" w:space="0" w:color="auto"/>
        <w:bottom w:val="none" w:sz="0" w:space="0" w:color="auto"/>
        <w:right w:val="none" w:sz="0" w:space="0" w:color="auto"/>
      </w:divBdr>
      <w:divsChild>
        <w:div w:id="2898855">
          <w:marLeft w:val="180"/>
          <w:marRight w:val="0"/>
          <w:marTop w:val="0"/>
          <w:marBottom w:val="0"/>
          <w:divBdr>
            <w:top w:val="none" w:sz="0" w:space="0" w:color="auto"/>
            <w:left w:val="none" w:sz="0" w:space="0" w:color="auto"/>
            <w:bottom w:val="none" w:sz="0" w:space="0" w:color="auto"/>
            <w:right w:val="none" w:sz="0" w:space="0" w:color="auto"/>
          </w:divBdr>
        </w:div>
      </w:divsChild>
    </w:div>
    <w:div w:id="2107454138">
      <w:bodyDiv w:val="1"/>
      <w:marLeft w:val="0"/>
      <w:marRight w:val="0"/>
      <w:marTop w:val="0"/>
      <w:marBottom w:val="0"/>
      <w:divBdr>
        <w:top w:val="none" w:sz="0" w:space="0" w:color="auto"/>
        <w:left w:val="none" w:sz="0" w:space="0" w:color="auto"/>
        <w:bottom w:val="none" w:sz="0" w:space="0" w:color="auto"/>
        <w:right w:val="none" w:sz="0" w:space="0" w:color="auto"/>
      </w:divBdr>
      <w:divsChild>
        <w:div w:id="589658254">
          <w:marLeft w:val="3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Users/khuntzi/Documents/2024%20MA%20DESE%20Toolkit/Final%20Documents/Final%20Documents%20v2/Final%20Educator%20Preparation%20Guidelines%20Resource%20Kit_v2.docx" TargetMode="External"/><Relationship Id="rId21" Type="http://schemas.openxmlformats.org/officeDocument/2006/relationships/hyperlink" Target="file://Users/khuntzi/Documents/2024%20MA%20DESE%20Toolkit/Final%20Documents/Final%20Documents%20v2/Final%20Educator%20Preparation%20Guidelines%20Resource%20Kit_v2.docx" TargetMode="External"/><Relationship Id="rId34" Type="http://schemas.openxmlformats.org/officeDocument/2006/relationships/hyperlink" Target="#_How_does_a"/><Relationship Id="rId42" Type="http://schemas.openxmlformats.org/officeDocument/2006/relationships/hyperlink" Target="https://digitalcommons.usf.edu/cgi/viewcontent.cgi?article=1092&amp;context=jpr" TargetMode="External"/><Relationship Id="rId47" Type="http://schemas.openxmlformats.org/officeDocument/2006/relationships/header" Target="header4.xml"/><Relationship Id="rId50" Type="http://schemas.openxmlformats.org/officeDocument/2006/relationships/hyperlink" Target="https://www.doe.mass.edu/edeval/resources/calibration/crt-rubric.docx" TargetMode="External"/><Relationship Id="rId55" Type="http://schemas.openxmlformats.org/officeDocument/2006/relationships/header" Target="header6.xml"/><Relationship Id="rId63" Type="http://schemas.openxmlformats.org/officeDocument/2006/relationships/hyperlink" Target="https://doi.org/10.3389/fpsyg.2019.02255"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file://Users/khuntzi/Documents/2024%20MA%20DESE%20Toolkit/Final%20Documents/Final%20Documents%20v2/Final%20Educator%20Preparation%20Guidelines%20Resource%20Kit_v2.docx" TargetMode="External"/><Relationship Id="rId32" Type="http://schemas.openxmlformats.org/officeDocument/2006/relationships/footer" Target="footer4.xml"/><Relationship Id="rId37" Type="http://schemas.openxmlformats.org/officeDocument/2006/relationships/image" Target="media/image5.jpg"/><Relationship Id="rId40" Type="http://schemas.openxmlformats.org/officeDocument/2006/relationships/image" Target="media/image7.png"/><Relationship Id="rId45" Type="http://schemas.openxmlformats.org/officeDocument/2006/relationships/hyperlink" Target="https://www.doe.mass.edu/sfss/mtss/" TargetMode="External"/><Relationship Id="rId53" Type="http://schemas.openxmlformats.org/officeDocument/2006/relationships/hyperlink" Target="https://www.doe.mass.edu/edprep/review/toolkit/impact-advisory-evidence.docx" TargetMode="External"/><Relationship Id="rId58" Type="http://schemas.openxmlformats.org/officeDocument/2006/relationships/image" Target="media/image15.png"/><Relationship Id="rId66" Type="http://schemas.openxmlformats.org/officeDocument/2006/relationships/hyperlink" Target="https://doi.org/10.1080/19415257.2019.1573375" TargetMode="External"/><Relationship Id="rId5" Type="http://schemas.openxmlformats.org/officeDocument/2006/relationships/customXml" Target="../customXml/item5.xml"/><Relationship Id="rId61" Type="http://schemas.openxmlformats.org/officeDocument/2006/relationships/image" Target="media/image17.png"/><Relationship Id="rId19" Type="http://schemas.openxmlformats.org/officeDocument/2006/relationships/hyperlink" Target="file://Users/khuntzi/Documents/2024%20MA%20DESE%20Toolkit/Final%20Documents/Final%20Documents%20v2/Final%20Educator%20Preparation%20Guidelines%20Resource%20Kit_v2.docx" TargetMode="External"/><Relationship Id="rId14" Type="http://schemas.openxmlformats.org/officeDocument/2006/relationships/header" Target="header2.xml"/><Relationship Id="rId22" Type="http://schemas.openxmlformats.org/officeDocument/2006/relationships/hyperlink" Target="file://Users/khuntzi/Documents/2024%20MA%20DESE%20Toolkit/Final%20Documents/Final%20Documents%20v2/Final%20Educator%20Preparation%20Guidelines%20Resource%20Kit_v2.docx" TargetMode="External"/><Relationship Id="rId27" Type="http://schemas.openxmlformats.org/officeDocument/2006/relationships/hyperlink" Target="file://Users/khuntzi/Documents/2024%20MA%20DESE%20Toolkit/Final%20Documents/Final%20Documents%20v2/Final%20Educator%20Preparation%20Guidelines%20Resource%20Kit_v2.docx" TargetMode="External"/><Relationship Id="rId30" Type="http://schemas.openxmlformats.org/officeDocument/2006/relationships/hyperlink" Target="https://www.doe.mass.edu/edprep/resources/guidelines-advisories/program-approval/" TargetMode="External"/><Relationship Id="rId35" Type="http://schemas.openxmlformats.org/officeDocument/2006/relationships/image" Target="media/image4.jpeg"/><Relationship Id="rId43" Type="http://schemas.openxmlformats.org/officeDocument/2006/relationships/hyperlink" Target="https://journals.sagepub.com/doi/pdf/10.1177/00224871211051980" TargetMode="External"/><Relationship Id="rId48" Type="http://schemas.openxmlformats.org/officeDocument/2006/relationships/image" Target="media/image10.jpeg"/><Relationship Id="rId56" Type="http://schemas.openxmlformats.org/officeDocument/2006/relationships/image" Target="media/image13.jpg"/><Relationship Id="rId64" Type="http://schemas.openxmlformats.org/officeDocument/2006/relationships/hyperlink" Target="https://doi.org/10.1177/01614681221087304" TargetMode="External"/><Relationship Id="rId8" Type="http://schemas.openxmlformats.org/officeDocument/2006/relationships/settings" Target="settings.xml"/><Relationship Id="rId51" Type="http://schemas.openxmlformats.org/officeDocument/2006/relationships/image" Target="media/image12.jp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file://Users/khuntzi/Documents/2024%20MA%20DESE%20Toolkit/Final%20Documents/Final%20Documents%20v2/Final%20Educator%20Preparation%20Guidelines%20Resource%20Kit_v2.docx" TargetMode="External"/><Relationship Id="rId25" Type="http://schemas.openxmlformats.org/officeDocument/2006/relationships/hyperlink" Target="file://Users/khuntzi/Documents/2024%20MA%20DESE%20Toolkit/Final%20Documents/Final%20Documents%20v2/Final%20Educator%20Preparation%20Guidelines%20Resource%20Kit_v2.docx" TargetMode="External"/><Relationship Id="rId33" Type="http://schemas.openxmlformats.org/officeDocument/2006/relationships/hyperlink" Target="https://massgov.sharepoint.com/sites/doe-educator-effectiveness/Educator%20Effectiveness%20Documents/Educator_Prep/Program%20Approval/Program%20Approval%20Cluster%20Running%20Agenda.docx?web=1" TargetMode="External"/><Relationship Id="rId38" Type="http://schemas.openxmlformats.org/officeDocument/2006/relationships/hyperlink" Target="#_How_can_strong_1"/><Relationship Id="rId46" Type="http://schemas.openxmlformats.org/officeDocument/2006/relationships/image" Target="media/image9.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file://Users/khuntzi/Documents/2024%20MA%20DESE%20Toolkit/Final%20Documents/Final%20Documents%20v2/Final%20Educator%20Preparation%20Guidelines%20Resource%20Kit_v2.docx" TargetMode="External"/><Relationship Id="rId41" Type="http://schemas.openxmlformats.org/officeDocument/2006/relationships/hyperlink" Target="https://search.issuelab.org/resources/37749/37749.pdf" TargetMode="External"/><Relationship Id="rId54" Type="http://schemas.openxmlformats.org/officeDocument/2006/relationships/hyperlink" Target="https://www.doe.mass.edu/edprep/review/toolkit/impact-advisory-evidence.docx" TargetMode="External"/><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file://Users/khuntzi/Documents/2024%20MA%20DESE%20Toolkit/Final%20Documents/Final%20Documents%20v2/Final%20Educator%20Preparation%20Guidelines%20Resource%20Kit_v2.docx" TargetMode="External"/><Relationship Id="rId28" Type="http://schemas.openxmlformats.org/officeDocument/2006/relationships/hyperlink" Target="file://Users/khuntzi/Documents/2024%20MA%20DESE%20Toolkit/Final%20Documents/Final%20Documents%20v2/Final%20Educator%20Preparation%20Guidelines%20Resource%20Kit_v2.docx" TargetMode="External"/><Relationship Id="rId36" Type="http://schemas.openxmlformats.org/officeDocument/2006/relationships/hyperlink" Target="#_How_can_strong"/><Relationship Id="rId49" Type="http://schemas.openxmlformats.org/officeDocument/2006/relationships/image" Target="media/image11.jpeg"/><Relationship Id="rId57" Type="http://schemas.openxmlformats.org/officeDocument/2006/relationships/image" Target="media/image14.png"/><Relationship Id="rId10" Type="http://schemas.openxmlformats.org/officeDocument/2006/relationships/footnotes" Target="footnotes.xml"/><Relationship Id="rId31" Type="http://schemas.openxmlformats.org/officeDocument/2006/relationships/header" Target="header3.xml"/><Relationship Id="rId44" Type="http://schemas.openxmlformats.org/officeDocument/2006/relationships/image" Target="media/image8.jpg"/><Relationship Id="rId52" Type="http://schemas.openxmlformats.org/officeDocument/2006/relationships/header" Target="header5.xml"/><Relationship Id="rId60" Type="http://schemas.openxmlformats.org/officeDocument/2006/relationships/image" Target="media/image16.png"/><Relationship Id="rId65" Type="http://schemas.openxmlformats.org/officeDocument/2006/relationships/hyperlink" Target="https://doi.org/10.1108/SUP-08-2023-0030"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file://Users/khuntzi/Documents/2024%20MA%20DESE%20Toolkit/Final%20Documents/Final%20Documents%20v2/Final%20Educator%20Preparation%20Guidelines%20Resource%20Kit_v2.docx" TargetMode="External"/><Relationship Id="rId3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onfiguration xmlns:c="http://ns.axespdf.com/word/configuration">
  <c:group id="Styles"/>
  <c:group id="Content"/>
</c:configuration>
</file>

<file path=customXml/item2.xml><?xml version="1.0" encoding="utf-8"?>
<p:properties xmlns:p="http://schemas.microsoft.com/office/2006/metadata/properties" xmlns:xsi="http://www.w3.org/2001/XMLSchema-instance" xmlns:pc="http://schemas.microsoft.com/office/infopath/2007/PartnerControls">
  <documentManagement>
    <TaxCatchAll xmlns="09bc02a0-1bd8-43ac-9b2b-ec81f331de42" xsi:nil="true"/>
    <lcf76f155ced4ddcb4097134ff3c332f xmlns="3beec907-3983-4d0d-9c11-a26ecbded5c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AC9A441823FF46A5944143566D3EE1" ma:contentTypeVersion="16" ma:contentTypeDescription="Create a new document." ma:contentTypeScope="" ma:versionID="b3c0162c699992a2f80a9e3faf4d5ed5">
  <xsd:schema xmlns:xsd="http://www.w3.org/2001/XMLSchema" xmlns:xs="http://www.w3.org/2001/XMLSchema" xmlns:p="http://schemas.microsoft.com/office/2006/metadata/properties" xmlns:ns2="3beec907-3983-4d0d-9c11-a26ecbded5c3" xmlns:ns3="09bc02a0-1bd8-43ac-9b2b-ec81f331de42" targetNamespace="http://schemas.microsoft.com/office/2006/metadata/properties" ma:root="true" ma:fieldsID="efa1445ab4cc303f9eb89c602e67ecd1" ns2:_="" ns3:_="">
    <xsd:import namespace="3beec907-3983-4d0d-9c11-a26ecbded5c3"/>
    <xsd:import namespace="09bc02a0-1bd8-43ac-9b2b-ec81f331de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ec907-3983-4d0d-9c11-a26ecbded5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bc02a0-1bd8-43ac-9b2b-ec81f331de4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814ff74-9b60-407f-9a54-265f8b440b79}" ma:internalName="TaxCatchAll" ma:showField="CatchAllData" ma:web="09bc02a0-1bd8-43ac-9b2b-ec81f331de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7DF7CB-3715-455F-B03F-639AB0B6344F}">
  <ds:schemaRefs>
    <ds:schemaRef ds:uri="http://ns.axespdf.com/word/configuration"/>
  </ds:schemaRefs>
</ds:datastoreItem>
</file>

<file path=customXml/itemProps2.xml><?xml version="1.0" encoding="utf-8"?>
<ds:datastoreItem xmlns:ds="http://schemas.openxmlformats.org/officeDocument/2006/customXml" ds:itemID="{B51688ED-6064-4893-9E41-6043793F5EC2}">
  <ds:schemaRefs>
    <ds:schemaRef ds:uri="http://schemas.microsoft.com/office/2006/metadata/properties"/>
    <ds:schemaRef ds:uri="http://schemas.microsoft.com/office/infopath/2007/PartnerControls"/>
    <ds:schemaRef ds:uri="09bc02a0-1bd8-43ac-9b2b-ec81f331de42"/>
    <ds:schemaRef ds:uri="3beec907-3983-4d0d-9c11-a26ecbded5c3"/>
  </ds:schemaRefs>
</ds:datastoreItem>
</file>

<file path=customXml/itemProps3.xml><?xml version="1.0" encoding="utf-8"?>
<ds:datastoreItem xmlns:ds="http://schemas.openxmlformats.org/officeDocument/2006/customXml" ds:itemID="{29590EF9-C11A-40AD-AA68-A23B1658E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ec907-3983-4d0d-9c11-a26ecbded5c3"/>
    <ds:schemaRef ds:uri="09bc02a0-1bd8-43ac-9b2b-ec81f331de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60A2B-161E-7A40-BF89-95E7B2AEB0D4}">
  <ds:schemaRefs>
    <ds:schemaRef ds:uri="http://schemas.openxmlformats.org/officeDocument/2006/bibliography"/>
  </ds:schemaRefs>
</ds:datastoreItem>
</file>

<file path=customXml/itemProps5.xml><?xml version="1.0" encoding="utf-8"?>
<ds:datastoreItem xmlns:ds="http://schemas.openxmlformats.org/officeDocument/2006/customXml" ds:itemID="{48BA75B8-A4C3-47BA-9F3D-FBE603B06C9A}">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11967</Words>
  <Characters>72526</Characters>
  <Application>Microsoft Office Word</Application>
  <DocSecurity>0</DocSecurity>
  <Lines>1721</Lines>
  <Paragraphs>597</Paragraphs>
  <ScaleCrop>false</ScaleCrop>
  <HeadingPairs>
    <vt:vector size="2" baseType="variant">
      <vt:variant>
        <vt:lpstr>Title</vt:lpstr>
      </vt:variant>
      <vt:variant>
        <vt:i4>1</vt:i4>
      </vt:variant>
    </vt:vector>
  </HeadingPairs>
  <TitlesOfParts>
    <vt:vector size="1" baseType="lpstr">
      <vt:lpstr>Educator Preparation Guidelines Resource Kit</vt:lpstr>
    </vt:vector>
  </TitlesOfParts>
  <Company/>
  <LinksUpToDate>false</LinksUpToDate>
  <CharactersWithSpaces>83962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Educator Preparation Guidelines Resource Kit</dc:title>
  <dc:subject/>
  <dc:creator>DESE</dc:creator>
  <cp:keywords>Teacher prep, social-emotional, guidlines</cp:keywords>
  <dc:description/>
  <cp:lastModifiedBy>Zou, Dong (EOE)</cp:lastModifiedBy>
  <cp:revision>3</cp:revision>
  <cp:lastPrinted>2024-07-03T02:33:00Z</cp:lastPrinted>
  <dcterms:created xsi:type="dcterms:W3CDTF">2025-05-01T20:11:00Z</dcterms:created>
  <dcterms:modified xsi:type="dcterms:W3CDTF">2025-05-01T21:02:00Z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 2025 12:00AM</vt:lpwstr>
  </property>
</Properties>
</file>