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8EA5E" w14:textId="363419B1" w:rsidR="00706368" w:rsidRDefault="00706368" w:rsidP="00070026">
      <w:pPr>
        <w:spacing w:after="120"/>
        <w:rPr>
          <w:rFonts w:ascii="Merriweather" w:hAnsi="Merriweather"/>
          <w:sz w:val="26"/>
          <w:szCs w:val="26"/>
        </w:rPr>
      </w:pPr>
      <w:r>
        <w:rPr>
          <w:bdr w:val="none" w:sz="0" w:space="0" w:color="auto" w:frame="1"/>
        </w:rPr>
        <w:t xml:space="preserve">Program approval is the process through which a program or sponsoring organization may receive state approval. All Massachusetts educator preparation program providers are required to meet the same rigorous expectations articulated in the </w:t>
      </w:r>
      <w:hyperlink r:id="rId11" w:history="1">
        <w:r w:rsidRPr="00706368">
          <w:rPr>
            <w:rStyle w:val="Hyperlink"/>
            <w:bdr w:val="none" w:sz="0" w:space="0" w:color="auto" w:frame="1"/>
          </w:rPr>
          <w:t>2023 Guidelines for Educator Preparation Program Approval</w:t>
        </w:r>
      </w:hyperlink>
      <w:r>
        <w:rPr>
          <w:bdr w:val="none" w:sz="0" w:space="0" w:color="auto" w:frame="1"/>
        </w:rPr>
        <w:t>.</w:t>
      </w:r>
    </w:p>
    <w:p w14:paraId="6873D36A" w14:textId="77777777" w:rsidR="00706368" w:rsidRPr="00706368" w:rsidRDefault="00706368" w:rsidP="00070026">
      <w:pPr>
        <w:spacing w:after="120"/>
        <w:rPr>
          <w:rFonts w:cstheme="minorHAnsi"/>
          <w:b/>
          <w:bCs/>
        </w:rPr>
      </w:pPr>
      <w:r w:rsidRPr="00706368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</w:rPr>
        <w:t>A periodic formal review ensures educator preparation programs' continued growth and effectiveness beyond their initial approval.</w:t>
      </w:r>
    </w:p>
    <w:p w14:paraId="7361BC7A" w14:textId="370D01A1" w:rsidR="00504F07" w:rsidRDefault="00E03C98" w:rsidP="00070026">
      <w:pPr>
        <w:spacing w:after="120"/>
      </w:pPr>
      <w:r>
        <w:t>The</w:t>
      </w:r>
      <w:r w:rsidR="0021261B">
        <w:t xml:space="preserve"> </w:t>
      </w:r>
      <w:hyperlink r:id="rId12">
        <w:r w:rsidR="0021261B" w:rsidRPr="6CD5A961">
          <w:rPr>
            <w:rStyle w:val="Hyperlink"/>
          </w:rPr>
          <w:t>formal</w:t>
        </w:r>
        <w:r w:rsidRPr="6CD5A961">
          <w:rPr>
            <w:rStyle w:val="Hyperlink"/>
          </w:rPr>
          <w:t xml:space="preserve"> review process</w:t>
        </w:r>
      </w:hyperlink>
      <w:r>
        <w:t xml:space="preserve"> relies</w:t>
      </w:r>
      <w:r w:rsidR="00EA3504">
        <w:t xml:space="preserve"> on an evidence</w:t>
      </w:r>
      <w:r w:rsidR="0021261B">
        <w:t xml:space="preserve"> </w:t>
      </w:r>
      <w:r>
        <w:t>base</w:t>
      </w:r>
      <w:r w:rsidR="00504F07">
        <w:t xml:space="preserve"> constructed by:</w:t>
      </w:r>
    </w:p>
    <w:p w14:paraId="06CA6375" w14:textId="39E53EE1" w:rsidR="00504F07" w:rsidRDefault="00070026" w:rsidP="00070026">
      <w:pPr>
        <w:pStyle w:val="ListParagraph"/>
        <w:numPr>
          <w:ilvl w:val="0"/>
          <w:numId w:val="20"/>
        </w:numPr>
        <w:spacing w:after="120"/>
      </w:pPr>
      <w:r>
        <w:t>T</w:t>
      </w:r>
      <w:r w:rsidR="00504F07">
        <w:t xml:space="preserve">he </w:t>
      </w:r>
      <w:r w:rsidR="00706368">
        <w:t>s</w:t>
      </w:r>
      <w:r w:rsidR="00887D68">
        <w:t xml:space="preserve">ponsoring </w:t>
      </w:r>
      <w:r w:rsidR="00706368">
        <w:t>o</w:t>
      </w:r>
      <w:r w:rsidR="00887D68">
        <w:t>rganization (SO) under review</w:t>
      </w:r>
      <w:r w:rsidR="00706368">
        <w:t xml:space="preserve"> through the Program Overview and Follow-Up </w:t>
      </w:r>
      <w:proofErr w:type="gramStart"/>
      <w:r w:rsidR="00706368">
        <w:t>Inquiry;</w:t>
      </w:r>
      <w:proofErr w:type="gramEnd"/>
    </w:p>
    <w:p w14:paraId="548794F4" w14:textId="1D000403" w:rsidR="00A84D9A" w:rsidRDefault="00A84D9A" w:rsidP="00070026">
      <w:pPr>
        <w:pStyle w:val="ListParagraph"/>
        <w:numPr>
          <w:ilvl w:val="0"/>
          <w:numId w:val="20"/>
        </w:numPr>
        <w:spacing w:after="120"/>
      </w:pPr>
      <w:r>
        <w:t>Evidence collected during the Initial Inquiry, including surveys, focus groups, and interviews with internal and external stakeholders; and</w:t>
      </w:r>
    </w:p>
    <w:p w14:paraId="46BBE3C6" w14:textId="55DE61AD" w:rsidR="00504F07" w:rsidRDefault="00070026" w:rsidP="00070026">
      <w:pPr>
        <w:pStyle w:val="ListParagraph"/>
        <w:numPr>
          <w:ilvl w:val="0"/>
          <w:numId w:val="20"/>
        </w:numPr>
        <w:spacing w:after="120"/>
      </w:pPr>
      <w:r>
        <w:t>S</w:t>
      </w:r>
      <w:r w:rsidR="00706368">
        <w:t xml:space="preserve">tate-collected </w:t>
      </w:r>
      <w:r w:rsidR="00887D68">
        <w:t>data</w:t>
      </w:r>
      <w:r w:rsidR="00D3332E">
        <w:t xml:space="preserve"> (see </w:t>
      </w:r>
      <w:hyperlink r:id="rId13" w:history="1">
        <w:r w:rsidR="00D3332E" w:rsidRPr="00D3332E">
          <w:rPr>
            <w:rStyle w:val="Hyperlink"/>
          </w:rPr>
          <w:t>Edwin for Ed Prep Overview</w:t>
        </w:r>
      </w:hyperlink>
      <w:r w:rsidR="00D3332E">
        <w:t>)</w:t>
      </w:r>
      <w:r w:rsidR="00A84D9A">
        <w:t>.</w:t>
      </w:r>
    </w:p>
    <w:p w14:paraId="76EF77A7" w14:textId="0F101B68" w:rsidR="00504F07" w:rsidRDefault="00504F07" w:rsidP="00070026">
      <w:pPr>
        <w:pStyle w:val="ListParagraph"/>
        <w:spacing w:after="120"/>
      </w:pPr>
    </w:p>
    <w:p w14:paraId="3B4BD8C0" w14:textId="195E2902" w:rsidR="00504F07" w:rsidRDefault="00070026" w:rsidP="00070026">
      <w:pPr>
        <w:pStyle w:val="ListParagraph"/>
        <w:spacing w:after="120"/>
        <w:ind w:left="0"/>
      </w:pPr>
      <w:r w:rsidRPr="009275E7">
        <w:rPr>
          <w:noProof/>
          <w:lang w:eastAsia="zh-CN"/>
        </w:rPr>
        <w:drawing>
          <wp:anchor distT="0" distB="0" distL="114300" distR="114300" simplePos="0" relativeHeight="251652608" behindDoc="0" locked="0" layoutInCell="1" allowOverlap="1" wp14:anchorId="408F231F" wp14:editId="0A7ED049">
            <wp:simplePos x="0" y="0"/>
            <wp:positionH relativeFrom="column">
              <wp:posOffset>3184525</wp:posOffset>
            </wp:positionH>
            <wp:positionV relativeFrom="paragraph">
              <wp:posOffset>1047750</wp:posOffset>
            </wp:positionV>
            <wp:extent cx="2988945" cy="1928495"/>
            <wp:effectExtent l="133350" t="114300" r="135255" b="167005"/>
            <wp:wrapSquare wrapText="bothSides"/>
            <wp:docPr id="1027" name="Picture 3" descr="Picture of differendt sizes anvils illustrating the weight of each tier int he hierarchy of evidence:&#10;Plans = Light;&#10;Inputs = Medium; &#10;Impact = Heavy" title="Hierarchy of Ev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928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8F1F08" wp14:editId="483BEB29">
                <wp:simplePos x="0" y="0"/>
                <wp:positionH relativeFrom="column">
                  <wp:posOffset>3184525</wp:posOffset>
                </wp:positionH>
                <wp:positionV relativeFrom="paragraph">
                  <wp:posOffset>3033395</wp:posOffset>
                </wp:positionV>
                <wp:extent cx="2988945" cy="635"/>
                <wp:effectExtent l="0" t="0" r="1905" b="0"/>
                <wp:wrapSquare wrapText="bothSides"/>
                <wp:docPr id="4705450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9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604FAA" w14:textId="41668C49" w:rsidR="00E91263" w:rsidRPr="00FA4319" w:rsidRDefault="00E91263" w:rsidP="00E91263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6B2181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. Hierarchy of Evidence in the Formal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F1F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75pt;margin-top:238.85pt;width:235.35pt;height: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" stroked="f">
                <v:textbox style="mso-fit-shape-to-text:t" inset="0,0,0,0">
                  <w:txbxContent>
                    <w:p w14:paraId="68604FAA" w14:textId="41668C49" w:rsidR="00E91263" w:rsidRPr="00FA4319" w:rsidRDefault="00E91263" w:rsidP="00E91263">
                      <w:pPr>
                        <w:pStyle w:val="Caption"/>
                        <w:rPr>
                          <w:noProof/>
                          <w:sz w:val="22"/>
                          <w:szCs w:val="22"/>
                          <w:lang w:eastAsia="zh-CN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6B2181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. Hierarchy of Evidence in the Formal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74D">
        <w:t xml:space="preserve">Taken together, this </w:t>
      </w:r>
      <w:r w:rsidR="00E03C98">
        <w:t xml:space="preserve">collection of evidence helps the review team determine </w:t>
      </w:r>
      <w:r w:rsidR="004A4162">
        <w:t xml:space="preserve">whether </w:t>
      </w:r>
      <w:r w:rsidR="0021261B">
        <w:t xml:space="preserve">each </w:t>
      </w:r>
      <w:r w:rsidR="0021261B" w:rsidRPr="00706368">
        <w:t>program approval</w:t>
      </w:r>
      <w:r w:rsidR="004A4162" w:rsidRPr="00706368">
        <w:t xml:space="preserve"> </w:t>
      </w:r>
      <w:r w:rsidR="002F55AE" w:rsidRPr="00706368">
        <w:t>criterion</w:t>
      </w:r>
      <w:r w:rsidR="002F55AE">
        <w:t xml:space="preserve"> is rated</w:t>
      </w:r>
      <w:r w:rsidR="15B0D8E5">
        <w:t xml:space="preserve"> as</w:t>
      </w:r>
      <w:r w:rsidR="00575480">
        <w:t xml:space="preserve"> a commendation, met, or finding</w:t>
      </w:r>
      <w:r w:rsidR="00E03C98">
        <w:t xml:space="preserve"> in the final report. </w:t>
      </w:r>
      <w:r w:rsidR="00E91263">
        <w:t xml:space="preserve">In the Follow-Up Inquiry, an SO organizes and submits evidence by responding to prompts in targeted submission worksheets tailored based on their Initial Inquiry evidence. </w:t>
      </w:r>
      <w:r w:rsidR="00E03C98">
        <w:t xml:space="preserve">During the </w:t>
      </w:r>
      <w:r w:rsidR="00E91263">
        <w:t xml:space="preserve">Follow-Up Inquiry portion of the review, the SO is responsible for providing high-quality evidence to address gaps, inconsistencies, or promising practices identified through the Initial Inquiry. </w:t>
      </w:r>
      <w:r>
        <w:t xml:space="preserve">SOs </w:t>
      </w:r>
      <w:r w:rsidR="00BB0348">
        <w:t>may</w:t>
      </w:r>
      <w:r w:rsidRPr="0026310F">
        <w:t xml:space="preserve"> share state-collected or SO-collected data along with additional context, analysis, and </w:t>
      </w:r>
      <w:r>
        <w:t>decisions informed by the data</w:t>
      </w:r>
      <w:r w:rsidRPr="0026310F">
        <w:t xml:space="preserve"> </w:t>
      </w:r>
      <w:r>
        <w:t>to</w:t>
      </w:r>
      <w:r w:rsidRPr="0026310F">
        <w:t xml:space="preserve"> demonstrate the extent to which they are meeting </w:t>
      </w:r>
      <w:r>
        <w:t>D</w:t>
      </w:r>
      <w:r w:rsidRPr="0026310F">
        <w:t>ESE expectations</w:t>
      </w:r>
      <w:r>
        <w:t xml:space="preserve">. </w:t>
      </w:r>
      <w:r w:rsidR="00E03C98">
        <w:t>In all cases,</w:t>
      </w:r>
      <w:r w:rsidR="00C1360F">
        <w:t xml:space="preserve"> </w:t>
      </w:r>
      <w:r w:rsidR="00504F07">
        <w:t>evidence of impact is valued more highly than evidence that describes inputs or plans (see Hierarchy of Evidence graphic).</w:t>
      </w:r>
      <w:r w:rsidR="00262F8C">
        <w:t xml:space="preserve"> </w:t>
      </w:r>
      <w:r w:rsidR="00D3332E">
        <w:t>As evidence of impact is weighed most heavily in the formal review process, it is the focus of this advisory.</w:t>
      </w:r>
    </w:p>
    <w:p w14:paraId="4D7F3901" w14:textId="6D87D5C6" w:rsidR="00EA0B7C" w:rsidRDefault="00EA3504" w:rsidP="00070026">
      <w:pPr>
        <w:spacing w:after="120"/>
        <w:rPr>
          <w:rStyle w:val="s1"/>
          <w:rFonts w:asciiTheme="minorHAnsi" w:hAnsiTheme="minorHAnsi"/>
          <w:sz w:val="22"/>
          <w:szCs w:val="22"/>
        </w:rPr>
      </w:pPr>
      <w:r w:rsidRPr="00070026">
        <w:rPr>
          <w:bCs/>
        </w:rPr>
        <w:t xml:space="preserve">The goal of this </w:t>
      </w:r>
      <w:r w:rsidR="00993387" w:rsidRPr="00070026">
        <w:rPr>
          <w:bCs/>
        </w:rPr>
        <w:t>advisory</w:t>
      </w:r>
      <w:r w:rsidRPr="00070026">
        <w:rPr>
          <w:bCs/>
        </w:rPr>
        <w:t xml:space="preserve"> is to support </w:t>
      </w:r>
      <w:r w:rsidR="00887D68" w:rsidRPr="00070026">
        <w:rPr>
          <w:bCs/>
        </w:rPr>
        <w:t>SOs’</w:t>
      </w:r>
      <w:r w:rsidRPr="00070026">
        <w:rPr>
          <w:bCs/>
        </w:rPr>
        <w:t xml:space="preserve"> understanding </w:t>
      </w:r>
      <w:r w:rsidR="00327B53" w:rsidRPr="00070026">
        <w:rPr>
          <w:bCs/>
        </w:rPr>
        <w:t>of the characteristics of</w:t>
      </w:r>
      <w:r w:rsidRPr="00070026">
        <w:rPr>
          <w:bCs/>
        </w:rPr>
        <w:t xml:space="preserve"> high-quality evidence</w:t>
      </w:r>
      <w:r w:rsidR="00C1360F" w:rsidRPr="00070026">
        <w:rPr>
          <w:bCs/>
        </w:rPr>
        <w:t xml:space="preserve"> of impact </w:t>
      </w:r>
      <w:r w:rsidR="00327B53" w:rsidRPr="00070026">
        <w:rPr>
          <w:bCs/>
        </w:rPr>
        <w:t>and enable SOs to evaluate the quality of evidence they are providing in the formal review</w:t>
      </w:r>
      <w:r w:rsidRPr="00070026">
        <w:rPr>
          <w:bCs/>
        </w:rPr>
        <w:t>.</w:t>
      </w:r>
      <w:r>
        <w:t xml:space="preserve"> </w:t>
      </w:r>
      <w:r w:rsidR="0026310F" w:rsidRPr="0026310F">
        <w:rPr>
          <w:rStyle w:val="s1"/>
          <w:rFonts w:asciiTheme="minorHAnsi" w:hAnsiTheme="minorHAnsi"/>
          <w:sz w:val="22"/>
          <w:szCs w:val="22"/>
        </w:rPr>
        <w:t xml:space="preserve">More specifically, this advisory will provide general guidance on </w:t>
      </w:r>
      <w:r w:rsidR="00327B53">
        <w:rPr>
          <w:rStyle w:val="s1"/>
          <w:rFonts w:asciiTheme="minorHAnsi" w:hAnsiTheme="minorHAnsi"/>
          <w:sz w:val="22"/>
          <w:szCs w:val="22"/>
        </w:rPr>
        <w:t xml:space="preserve">incorporating data from a variety of sources into their formal review, including quantitative and qualitative data collected to inform the SO’s continuous improvement processes. </w:t>
      </w:r>
    </w:p>
    <w:p w14:paraId="357A41D5" w14:textId="5F0148DB" w:rsidR="00D3332E" w:rsidRPr="00D3332E" w:rsidRDefault="00D3332E" w:rsidP="00070026">
      <w:pPr>
        <w:pStyle w:val="Heading2"/>
        <w:rPr>
          <w:rStyle w:val="s1"/>
          <w:rFonts w:asciiTheme="minorHAnsi" w:hAnsiTheme="minorHAnsi"/>
          <w:b/>
          <w:bCs/>
          <w:sz w:val="22"/>
          <w:szCs w:val="22"/>
        </w:rPr>
      </w:pPr>
      <w:r w:rsidRPr="00D3332E">
        <w:rPr>
          <w:rStyle w:val="s1"/>
          <w:rFonts w:asciiTheme="minorHAnsi" w:hAnsiTheme="minorHAnsi"/>
          <w:b/>
          <w:bCs/>
          <w:sz w:val="22"/>
          <w:szCs w:val="22"/>
        </w:rPr>
        <w:t>What is High-Quality Evidence of Impact?</w:t>
      </w:r>
    </w:p>
    <w:p w14:paraId="21130F40" w14:textId="220BEB45" w:rsidR="00D3332E" w:rsidRDefault="00EA3504" w:rsidP="00070026">
      <w:pPr>
        <w:spacing w:before="120" w:after="120"/>
      </w:pPr>
      <w:r>
        <w:t>T</w:t>
      </w:r>
      <w:r w:rsidR="00A40300">
        <w:t xml:space="preserve">he </w:t>
      </w:r>
      <w:r w:rsidR="00E60BDA">
        <w:t>table</w:t>
      </w:r>
      <w:r w:rsidR="00A40300">
        <w:t xml:space="preserve"> below </w:t>
      </w:r>
      <w:r w:rsidR="00D3332E">
        <w:t xml:space="preserve">describes the characteristics of high-quality evidence of impact. The “Questions to Consider” </w:t>
      </w:r>
      <w:r w:rsidR="00327B53">
        <w:t>guide</w:t>
      </w:r>
      <w:r w:rsidR="00A40300">
        <w:t xml:space="preserve"> </w:t>
      </w:r>
      <w:r w:rsidR="00504F07">
        <w:t>SOs</w:t>
      </w:r>
      <w:r w:rsidR="00A40300">
        <w:t xml:space="preserve"> </w:t>
      </w:r>
      <w:r w:rsidR="004A4162">
        <w:t xml:space="preserve">to </w:t>
      </w:r>
      <w:r w:rsidR="00327B53">
        <w:t xml:space="preserve">evaluate the quality of evidence they are collecting and sharing through the </w:t>
      </w:r>
      <w:r w:rsidR="5E8DD5BA">
        <w:t>F</w:t>
      </w:r>
      <w:r w:rsidR="00327B53">
        <w:t xml:space="preserve">ormal </w:t>
      </w:r>
      <w:r w:rsidR="78F704F4">
        <w:t>R</w:t>
      </w:r>
      <w:r w:rsidR="00327B53">
        <w:t xml:space="preserve">eview process. </w:t>
      </w:r>
      <w:r w:rsidR="00D3332E" w:rsidRPr="6CD5A961">
        <w:rPr>
          <w:b/>
          <w:bCs/>
        </w:rPr>
        <w:t xml:space="preserve">In preparation for their </w:t>
      </w:r>
      <w:r w:rsidR="510C88E9" w:rsidRPr="6CD5A961">
        <w:rPr>
          <w:b/>
          <w:bCs/>
        </w:rPr>
        <w:t>F</w:t>
      </w:r>
      <w:r w:rsidR="00D3332E" w:rsidRPr="6CD5A961">
        <w:rPr>
          <w:b/>
          <w:bCs/>
        </w:rPr>
        <w:t xml:space="preserve">ormal </w:t>
      </w:r>
      <w:r w:rsidR="010145D6" w:rsidRPr="6CD5A961">
        <w:rPr>
          <w:b/>
          <w:bCs/>
        </w:rPr>
        <w:t>R</w:t>
      </w:r>
      <w:r w:rsidR="00D3332E" w:rsidRPr="6CD5A961">
        <w:rPr>
          <w:b/>
          <w:bCs/>
        </w:rPr>
        <w:t xml:space="preserve">eview and to inform their continuous improvement efforts, SOs should consider what evidence they are already collecting or could begin </w:t>
      </w:r>
      <w:r w:rsidR="00D3332E" w:rsidRPr="6CD5A961">
        <w:rPr>
          <w:b/>
          <w:bCs/>
        </w:rPr>
        <w:lastRenderedPageBreak/>
        <w:t>collecting that meets these characteristics</w:t>
      </w:r>
      <w:r w:rsidR="00D3332E">
        <w:t>. SOs may wish to consider this table alongside the 2023 Program Approval Criteria list to determine whether they are collecting high-quality evidence of impact aligned with each criterion.</w:t>
      </w:r>
      <w:r w:rsidR="00327B53">
        <w:t xml:space="preserve"> </w:t>
      </w:r>
    </w:p>
    <w:p w14:paraId="17B7A80C" w14:textId="7C2AF9C6" w:rsidR="009D4347" w:rsidRDefault="00070026" w:rsidP="00070026">
      <w:pPr>
        <w:pStyle w:val="Heading4"/>
        <w:rPr>
          <w:noProof/>
        </w:rPr>
      </w:pPr>
      <w:r>
        <w:rPr>
          <w:noProof/>
        </w:rPr>
        <w:t>Characteristics of High-Quality Evidence of Impact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955"/>
        <w:gridCol w:w="5490"/>
      </w:tblGrid>
      <w:tr w:rsidR="00E27DBD" w14:paraId="14F28ADA" w14:textId="77777777" w:rsidTr="6CD5A961">
        <w:tc>
          <w:tcPr>
            <w:tcW w:w="3955" w:type="dxa"/>
            <w:shd w:val="clear" w:color="auto" w:fill="D9E2F3" w:themeFill="accent5" w:themeFillTint="33"/>
          </w:tcPr>
          <w:p w14:paraId="5C60AF0D" w14:textId="55F7CD58" w:rsidR="00E27DBD" w:rsidRPr="00E60BDA" w:rsidRDefault="00E27DBD" w:rsidP="00070026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E60BDA">
              <w:rPr>
                <w:b/>
                <w:bCs/>
              </w:rPr>
              <w:t>High-quality evidence of impact submitted through the formal review should be:</w:t>
            </w:r>
          </w:p>
        </w:tc>
        <w:tc>
          <w:tcPr>
            <w:tcW w:w="5490" w:type="dxa"/>
            <w:shd w:val="clear" w:color="auto" w:fill="D9E2F3" w:themeFill="accent5" w:themeFillTint="33"/>
          </w:tcPr>
          <w:p w14:paraId="04286602" w14:textId="00A39E82" w:rsidR="00E27DBD" w:rsidRPr="00E60BDA" w:rsidRDefault="00E27DBD" w:rsidP="00070026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E60BDA">
              <w:rPr>
                <w:b/>
                <w:bCs/>
              </w:rPr>
              <w:t>Questions to Consider</w:t>
            </w:r>
          </w:p>
        </w:tc>
      </w:tr>
      <w:tr w:rsidR="00E27DBD" w14:paraId="123AB8C0" w14:textId="77777777" w:rsidTr="6CD5A961">
        <w:tc>
          <w:tcPr>
            <w:tcW w:w="3955" w:type="dxa"/>
          </w:tcPr>
          <w:p w14:paraId="053FFBCA" w14:textId="6AA1BD91" w:rsidR="00E27DBD" w:rsidRDefault="00E27DBD" w:rsidP="00070026">
            <w:pPr>
              <w:spacing w:before="120" w:after="120" w:line="276" w:lineRule="auto"/>
            </w:pPr>
            <w:r w:rsidRPr="00653056">
              <w:rPr>
                <w:b/>
              </w:rPr>
              <w:t xml:space="preserve">Connected with plans and inputs: </w:t>
            </w:r>
            <w:r w:rsidRPr="00653056">
              <w:t xml:space="preserve">All evidence shared should </w:t>
            </w:r>
            <w:r>
              <w:t xml:space="preserve">describe the impact of your SO’s inputs and/or </w:t>
            </w:r>
            <w:r w:rsidR="0001467F">
              <w:t xml:space="preserve">how the evidence is informing </w:t>
            </w:r>
            <w:proofErr w:type="gramStart"/>
            <w:r>
              <w:t>plans</w:t>
            </w:r>
            <w:r w:rsidR="0001467F">
              <w:t xml:space="preserve"> for the future</w:t>
            </w:r>
            <w:proofErr w:type="gramEnd"/>
            <w:r>
              <w:t xml:space="preserve">. </w:t>
            </w:r>
          </w:p>
        </w:tc>
        <w:tc>
          <w:tcPr>
            <w:tcW w:w="5490" w:type="dxa"/>
          </w:tcPr>
          <w:p w14:paraId="27138D50" w14:textId="3118DBA1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Does this evidence help illustrate how your SO is making data-informed decisions?</w:t>
            </w:r>
          </w:p>
          <w:p w14:paraId="44ECD446" w14:textId="78210D99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How does this evidence connect with structures or systems that support the expectation described in the criterion?</w:t>
            </w:r>
          </w:p>
          <w:p w14:paraId="75F5CEAF" w14:textId="637C11AE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Based on this evidence, what plans does your SO have to maintain or modify those systems and structures?</w:t>
            </w:r>
          </w:p>
        </w:tc>
      </w:tr>
      <w:tr w:rsidR="00E27DBD" w14:paraId="257FD8CB" w14:textId="77777777" w:rsidTr="6CD5A961">
        <w:tc>
          <w:tcPr>
            <w:tcW w:w="3955" w:type="dxa"/>
          </w:tcPr>
          <w:p w14:paraId="7B24F497" w14:textId="35DFEA23" w:rsidR="00E27DBD" w:rsidRDefault="00E27DBD" w:rsidP="00070026">
            <w:pPr>
              <w:spacing w:before="120" w:after="120" w:line="276" w:lineRule="auto"/>
            </w:pPr>
            <w:r w:rsidRPr="00E60BDA">
              <w:rPr>
                <w:b/>
                <w:bCs/>
              </w:rPr>
              <w:t>Outcomes-based:</w:t>
            </w:r>
            <w:r w:rsidRPr="00653056">
              <w:t xml:space="preserve"> Evidence focuses on the </w:t>
            </w:r>
            <w:r w:rsidRPr="00653056">
              <w:rPr>
                <w:i/>
              </w:rPr>
              <w:t>results</w:t>
            </w:r>
            <w:r w:rsidRPr="00653056">
              <w:t xml:space="preserve"> </w:t>
            </w:r>
            <w:r w:rsidRPr="00653056">
              <w:rPr>
                <w:i/>
                <w:iCs/>
              </w:rPr>
              <w:t>or impact</w:t>
            </w:r>
            <w:r w:rsidRPr="00653056">
              <w:t xml:space="preserve"> of the aspect of the program it is measuring. </w:t>
            </w:r>
          </w:p>
        </w:tc>
        <w:tc>
          <w:tcPr>
            <w:tcW w:w="5490" w:type="dxa"/>
          </w:tcPr>
          <w:p w14:paraId="2539C7CD" w14:textId="77777777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Can this evidence be used to better understand whether the system/structure/ decision/policy is working to improve quality and equity in programs?</w:t>
            </w:r>
          </w:p>
          <w:p w14:paraId="3CD30A37" w14:textId="75432028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 xml:space="preserve">What results does this evidence show? </w:t>
            </w:r>
          </w:p>
          <w:p w14:paraId="71CE4B87" w14:textId="7F287A7A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What impact on internal or external stakeholders does this evidence demonstrate?</w:t>
            </w:r>
          </w:p>
        </w:tc>
      </w:tr>
      <w:tr w:rsidR="00E27DBD" w14:paraId="76D559FD" w14:textId="77777777" w:rsidTr="6CD5A961">
        <w:tc>
          <w:tcPr>
            <w:tcW w:w="3955" w:type="dxa"/>
          </w:tcPr>
          <w:p w14:paraId="44FCF9E6" w14:textId="6ED2C9A7" w:rsidR="00E27DBD" w:rsidRDefault="092B0BBB" w:rsidP="00070026">
            <w:pPr>
              <w:spacing w:before="120" w:after="120" w:line="276" w:lineRule="auto"/>
            </w:pPr>
            <w:r w:rsidRPr="6CD5A961">
              <w:rPr>
                <w:b/>
                <w:bCs/>
              </w:rPr>
              <w:t>Aligned with criterion:</w:t>
            </w:r>
            <w:r>
              <w:t xml:space="preserve"> Evidence of impact and the programmatic aspects </w:t>
            </w:r>
            <w:r w:rsidR="568EAEA0">
              <w:t xml:space="preserve">it is </w:t>
            </w:r>
            <w:r>
              <w:t xml:space="preserve">measuring should be directly linked to the expectation described in the criterion being evaluated. Some criteria have multiple components; multiple sources of evidence may be needed to address all components of the criterion. </w:t>
            </w:r>
          </w:p>
        </w:tc>
        <w:tc>
          <w:tcPr>
            <w:tcW w:w="5490" w:type="dxa"/>
          </w:tcPr>
          <w:p w14:paraId="45535698" w14:textId="77777777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Does this evidence directly align with the expectation in the criterion?</w:t>
            </w:r>
          </w:p>
          <w:p w14:paraId="2E9EC0C4" w14:textId="35D434B1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Will it help demonstrate whether and how we are meeting that expectation?</w:t>
            </w:r>
          </w:p>
          <w:p w14:paraId="34AC9A38" w14:textId="77BE3989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 xml:space="preserve">Which component(s) of the criterion does this address? What additional evidence do we need to address all aspects of the criterion? </w:t>
            </w:r>
          </w:p>
        </w:tc>
      </w:tr>
      <w:tr w:rsidR="00E27DBD" w14:paraId="0A9800D3" w14:textId="77777777" w:rsidTr="6CD5A961">
        <w:tc>
          <w:tcPr>
            <w:tcW w:w="3955" w:type="dxa"/>
          </w:tcPr>
          <w:p w14:paraId="390E681C" w14:textId="60E4AEB3" w:rsidR="00E27DBD" w:rsidRDefault="00E27DBD" w:rsidP="00070026">
            <w:pPr>
              <w:spacing w:before="120" w:after="120" w:line="276" w:lineRule="auto"/>
            </w:pPr>
            <w:r w:rsidRPr="00E60BDA">
              <w:rPr>
                <w:b/>
                <w:bCs/>
              </w:rPr>
              <w:t xml:space="preserve">Specific and, if possible, </w:t>
            </w:r>
            <w:r>
              <w:rPr>
                <w:b/>
                <w:bCs/>
              </w:rPr>
              <w:t>inclusive of quantitative and qualitative information</w:t>
            </w:r>
            <w:r w:rsidRPr="00E60BDA">
              <w:rPr>
                <w:b/>
                <w:bCs/>
              </w:rPr>
              <w:t>:</w:t>
            </w:r>
            <w:r w:rsidRPr="00653056">
              <w:t xml:space="preserve"> Evidence of impact should be specific </w:t>
            </w:r>
            <w:r>
              <w:t>to the result of the connected</w:t>
            </w:r>
            <w:r w:rsidRPr="00653056">
              <w:t xml:space="preserve"> programmatic feature. It should be </w:t>
            </w:r>
            <w:r>
              <w:t>aligned to the intended</w:t>
            </w:r>
            <w:r w:rsidRPr="00653056">
              <w:t xml:space="preserve"> outcome</w:t>
            </w:r>
            <w:r>
              <w:t xml:space="preserve"> of the </w:t>
            </w:r>
            <w:r>
              <w:lastRenderedPageBreak/>
              <w:t xml:space="preserve">feature. When possible, share both quantitative and qualitative evidence. </w:t>
            </w:r>
            <w:r w:rsidRPr="00653056">
              <w:t xml:space="preserve"> </w:t>
            </w:r>
          </w:p>
        </w:tc>
        <w:tc>
          <w:tcPr>
            <w:tcW w:w="5490" w:type="dxa"/>
          </w:tcPr>
          <w:p w14:paraId="5904F8A1" w14:textId="77777777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lastRenderedPageBreak/>
              <w:t>Is this evidence directly aligned to or a clear measure of the intended outcome?</w:t>
            </w:r>
          </w:p>
          <w:p w14:paraId="71EA4507" w14:textId="018F78FC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Does this evidence avoid making broad statements or generalizations that are not explicitly grounded in the data?</w:t>
            </w:r>
          </w:p>
        </w:tc>
      </w:tr>
      <w:tr w:rsidR="00E27DBD" w14:paraId="7094EFE9" w14:textId="77777777" w:rsidTr="6CD5A961">
        <w:tc>
          <w:tcPr>
            <w:tcW w:w="3955" w:type="dxa"/>
          </w:tcPr>
          <w:p w14:paraId="00299CBD" w14:textId="51CC7897" w:rsidR="00E27DBD" w:rsidRDefault="00E27DBD" w:rsidP="00070026">
            <w:pPr>
              <w:spacing w:before="120" w:after="120" w:line="276" w:lineRule="auto"/>
            </w:pPr>
            <w:r w:rsidRPr="00E60BDA">
              <w:rPr>
                <w:b/>
                <w:bCs/>
              </w:rPr>
              <w:t>Measured by multiple sources:</w:t>
            </w:r>
            <w:r w:rsidRPr="00653056">
              <w:t xml:space="preserve"> </w:t>
            </w:r>
            <w:r>
              <w:t xml:space="preserve">Whenever possible, it is helpful to triangulate evidence from multiple sources. </w:t>
            </w:r>
          </w:p>
        </w:tc>
        <w:tc>
          <w:tcPr>
            <w:tcW w:w="5490" w:type="dxa"/>
          </w:tcPr>
          <w:p w14:paraId="4A933041" w14:textId="77777777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 xml:space="preserve">Does your SO have multiple sources of evidence that can be used to </w:t>
            </w:r>
            <w:proofErr w:type="gramStart"/>
            <w:r>
              <w:t>more clearly understand the impact</w:t>
            </w:r>
            <w:proofErr w:type="gramEnd"/>
            <w:r>
              <w:t>?</w:t>
            </w:r>
          </w:p>
          <w:p w14:paraId="3F7291B7" w14:textId="76B2E859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 xml:space="preserve">Does the evidence reflect multiple perspectives on the impact? </w:t>
            </w:r>
          </w:p>
          <w:p w14:paraId="04645368" w14:textId="5D544A69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Do multiple sources of evidence support a similar conclusion or are they contradictory? If contradictory, what additional measure(s) will your SO use to better understand the impact?</w:t>
            </w:r>
          </w:p>
        </w:tc>
      </w:tr>
      <w:tr w:rsidR="00E27DBD" w14:paraId="41EDEB13" w14:textId="77777777" w:rsidTr="6CD5A961">
        <w:tc>
          <w:tcPr>
            <w:tcW w:w="3955" w:type="dxa"/>
          </w:tcPr>
          <w:p w14:paraId="4CB4BA63" w14:textId="4C6783D2" w:rsidR="00E27DBD" w:rsidRDefault="00E27DBD" w:rsidP="00070026">
            <w:pPr>
              <w:spacing w:before="120" w:after="120" w:line="276" w:lineRule="auto"/>
            </w:pPr>
            <w:r w:rsidRPr="00E60BDA">
              <w:rPr>
                <w:b/>
                <w:bCs/>
              </w:rPr>
              <w:t>Interpreted:</w:t>
            </w:r>
            <w:r w:rsidRPr="00653056">
              <w:t xml:space="preserve"> All evidence shared should </w:t>
            </w:r>
            <w:r>
              <w:t xml:space="preserve">include a clear description of your SO’s </w:t>
            </w:r>
            <w:r w:rsidRPr="00653056">
              <w:t>key takeaway(s).</w:t>
            </w:r>
          </w:p>
        </w:tc>
        <w:tc>
          <w:tcPr>
            <w:tcW w:w="5490" w:type="dxa"/>
          </w:tcPr>
          <w:p w14:paraId="164871FB" w14:textId="77777777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What did your SO learn from this evidence?</w:t>
            </w:r>
          </w:p>
          <w:p w14:paraId="1CC4AAF8" w14:textId="35676842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What are the takeaways your team identified?</w:t>
            </w:r>
          </w:p>
        </w:tc>
      </w:tr>
      <w:tr w:rsidR="00E27DBD" w14:paraId="2FBC0C74" w14:textId="77777777" w:rsidTr="6CD5A961">
        <w:tc>
          <w:tcPr>
            <w:tcW w:w="3955" w:type="dxa"/>
          </w:tcPr>
          <w:p w14:paraId="7F82F573" w14:textId="5C97E251" w:rsidR="00E27DBD" w:rsidRDefault="00E27DBD" w:rsidP="00070026">
            <w:pPr>
              <w:spacing w:before="120" w:after="120" w:line="276" w:lineRule="auto"/>
            </w:pPr>
            <w:r w:rsidRPr="00E60BDA">
              <w:rPr>
                <w:b/>
                <w:bCs/>
              </w:rPr>
              <w:t>Capture multiple points in time, whenever possible:</w:t>
            </w:r>
            <w:r w:rsidRPr="00653056">
              <w:t xml:space="preserve"> This could include pre- and post-</w:t>
            </w:r>
            <w:r>
              <w:t>implementation</w:t>
            </w:r>
            <w:r w:rsidRPr="00653056">
              <w:t xml:space="preserve"> data; formative and summative data; and/or longitudinal data from multiple points throughout a year or over multiple years.</w:t>
            </w:r>
          </w:p>
        </w:tc>
        <w:tc>
          <w:tcPr>
            <w:tcW w:w="5490" w:type="dxa"/>
          </w:tcPr>
          <w:p w14:paraId="5F601962" w14:textId="219D8DD0" w:rsidR="00E27DBD" w:rsidRDefault="00E27DBD" w:rsidP="0007002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</w:pPr>
            <w:r>
              <w:t>Can the data be used to show trends in impact over time?</w:t>
            </w:r>
          </w:p>
        </w:tc>
      </w:tr>
    </w:tbl>
    <w:p w14:paraId="17EB483E" w14:textId="77777777" w:rsidR="00D3332E" w:rsidRDefault="00D3332E" w:rsidP="00070026">
      <w:pPr>
        <w:pStyle w:val="CommentText"/>
        <w:spacing w:before="120" w:after="120" w:line="276" w:lineRule="auto"/>
        <w:rPr>
          <w:rStyle w:val="s1"/>
          <w:rFonts w:asciiTheme="minorHAnsi" w:hAnsiTheme="minorHAnsi"/>
          <w:sz w:val="22"/>
          <w:szCs w:val="22"/>
        </w:rPr>
      </w:pPr>
    </w:p>
    <w:p w14:paraId="6BCF4695" w14:textId="11208270" w:rsidR="00D3332E" w:rsidRPr="00D3332E" w:rsidRDefault="00D3332E" w:rsidP="00070026">
      <w:pPr>
        <w:pStyle w:val="Heading2"/>
        <w:spacing w:before="120" w:after="120"/>
        <w:rPr>
          <w:rStyle w:val="s1"/>
          <w:rFonts w:asciiTheme="minorHAnsi" w:hAnsiTheme="minorHAnsi"/>
          <w:b/>
          <w:bCs/>
          <w:sz w:val="22"/>
          <w:szCs w:val="22"/>
        </w:rPr>
      </w:pPr>
      <w:r w:rsidRPr="00D3332E">
        <w:rPr>
          <w:rStyle w:val="s1"/>
          <w:rFonts w:asciiTheme="minorHAnsi" w:hAnsiTheme="minorHAnsi"/>
          <w:b/>
          <w:bCs/>
          <w:sz w:val="22"/>
          <w:szCs w:val="22"/>
        </w:rPr>
        <w:t>Additional Considerations for Quantitative Evidence</w:t>
      </w:r>
    </w:p>
    <w:p w14:paraId="2038DAA1" w14:textId="67E6FCD6" w:rsidR="00D3332E" w:rsidRPr="0026310F" w:rsidRDefault="00D3332E" w:rsidP="00070026">
      <w:pPr>
        <w:spacing w:before="120" w:after="120"/>
      </w:pPr>
      <w:r w:rsidRPr="0026310F">
        <w:t xml:space="preserve">Below are general guidelines to consider while incorporating quantitative data into the </w:t>
      </w:r>
      <w:r>
        <w:t xml:space="preserve">targeted submission worksheets during </w:t>
      </w:r>
      <w:r w:rsidRPr="0026310F">
        <w:t>the formal review</w:t>
      </w:r>
      <w:r>
        <w:t xml:space="preserve">. </w:t>
      </w:r>
      <w:r w:rsidR="00D43859">
        <w:t xml:space="preserve">When surveying stakeholders, SOs may wish to reference the </w:t>
      </w:r>
      <w:hyperlink r:id="rId15" w:history="1">
        <w:r w:rsidR="00D43859" w:rsidRPr="00C322A5">
          <w:rPr>
            <w:rStyle w:val="Hyperlink"/>
          </w:rPr>
          <w:t>DESE Stakeholder Surveys</w:t>
        </w:r>
      </w:hyperlink>
      <w:r w:rsidR="00D43859">
        <w:t xml:space="preserve"> </w:t>
      </w:r>
      <w:r w:rsidR="007E3A90">
        <w:t xml:space="preserve">as a resource for crafting items aligned to the 2023 Program Approval Criteria. </w:t>
      </w:r>
      <w:r>
        <w:t>These recommendations are meant to ensure data provides the review team with the information they need to contextualize it in their decision-making process</w:t>
      </w:r>
      <w:r w:rsidRPr="0026310F">
        <w:t>: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  <w:tblCaption w:val="Appendix C: Sharing Quantative Data in the Formal Review"/>
      </w:tblPr>
      <w:tblGrid>
        <w:gridCol w:w="4495"/>
        <w:gridCol w:w="4950"/>
      </w:tblGrid>
      <w:tr w:rsidR="00D3332E" w:rsidRPr="00531BC4" w14:paraId="48E508D7" w14:textId="77777777" w:rsidTr="7A354D48">
        <w:trPr>
          <w:tblHeader/>
        </w:trPr>
        <w:tc>
          <w:tcPr>
            <w:tcW w:w="4495" w:type="dxa"/>
            <w:shd w:val="clear" w:color="auto" w:fill="D9E2F3" w:themeFill="accent5" w:themeFillTint="33"/>
          </w:tcPr>
          <w:p w14:paraId="40280750" w14:textId="77777777" w:rsidR="00D3332E" w:rsidRPr="00070026" w:rsidRDefault="00D3332E" w:rsidP="00070026">
            <w:pPr>
              <w:spacing w:before="120" w:after="120" w:line="276" w:lineRule="auto"/>
              <w:rPr>
                <w:rStyle w:val="s1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070026">
              <w:rPr>
                <w:rStyle w:val="s1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Recommendation </w:t>
            </w:r>
          </w:p>
        </w:tc>
        <w:tc>
          <w:tcPr>
            <w:tcW w:w="4950" w:type="dxa"/>
            <w:shd w:val="clear" w:color="auto" w:fill="D9E2F3" w:themeFill="accent5" w:themeFillTint="33"/>
          </w:tcPr>
          <w:p w14:paraId="5AAD6413" w14:textId="77777777" w:rsidR="00D3332E" w:rsidRPr="00070026" w:rsidRDefault="00D3332E" w:rsidP="00070026">
            <w:pPr>
              <w:spacing w:before="120" w:after="120" w:line="276" w:lineRule="auto"/>
              <w:rPr>
                <w:rStyle w:val="s1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070026">
              <w:rPr>
                <w:rStyle w:val="s1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Rationale</w:t>
            </w:r>
          </w:p>
        </w:tc>
      </w:tr>
      <w:tr w:rsidR="00D3332E" w14:paraId="02DD92FE" w14:textId="77777777" w:rsidTr="7A354D48">
        <w:tc>
          <w:tcPr>
            <w:tcW w:w="4495" w:type="dxa"/>
          </w:tcPr>
          <w:p w14:paraId="57CECF27" w14:textId="77777777" w:rsidR="00070026" w:rsidRDefault="00D3332E" w:rsidP="00070026">
            <w:pPr>
              <w:spacing w:before="120" w:after="120" w:line="276" w:lineRule="auto"/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</w:pPr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 xml:space="preserve">Share data from the </w:t>
            </w:r>
            <w:r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 xml:space="preserve">three </w:t>
            </w:r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 xml:space="preserve">most recent </w:t>
            </w:r>
            <w:proofErr w:type="gramStart"/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>years</w:t>
            </w:r>
            <w:proofErr w:type="gramEnd"/>
          </w:p>
          <w:p w14:paraId="1590F514" w14:textId="752A4DB4" w:rsidR="00D3332E" w:rsidRPr="0026310F" w:rsidRDefault="00D3332E" w:rsidP="6CD5A961">
            <w:pPr>
              <w:spacing w:before="120" w:after="120" w:line="276" w:lineRule="auto"/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</w:pPr>
            <w:r w:rsidRPr="6CD5A961">
              <w:rPr>
                <w:rStyle w:val="s1"/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“</w:t>
            </w:r>
            <w:r w:rsidR="0015410A">
              <w:rPr>
                <w:rStyle w:val="s1"/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X percent of 2022 completers (n=a), Y percent of 2023 completers (n=b), and Z percent of 2024 completers (n=</w:t>
            </w:r>
            <w:proofErr w:type="gramStart"/>
            <w:r w:rsidR="0015410A">
              <w:rPr>
                <w:rStyle w:val="s1"/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c)…</w:t>
            </w:r>
            <w:proofErr w:type="gramEnd"/>
            <w:r w:rsidR="0015410A">
              <w:rPr>
                <w:rStyle w:val="s1"/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” </w:t>
            </w:r>
          </w:p>
        </w:tc>
        <w:tc>
          <w:tcPr>
            <w:tcW w:w="4950" w:type="dxa"/>
          </w:tcPr>
          <w:p w14:paraId="7516B2FD" w14:textId="77777777" w:rsidR="00D3332E" w:rsidRPr="0026310F" w:rsidRDefault="00D3332E" w:rsidP="00070026">
            <w:pPr>
              <w:spacing w:before="120" w:after="120" w:line="276" w:lineRule="auto"/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</w:pPr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 xml:space="preserve">Although SOs may choose to include data from any year, by </w:t>
            </w:r>
            <w:r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>focusing primarily on the most recent three years</w:t>
            </w:r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 xml:space="preserve"> reviewers get an indication of </w:t>
            </w:r>
            <w:r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>recent impacts and experiences in the program that are more reflective of any recent changes</w:t>
            </w:r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D3332E" w14:paraId="38A28F81" w14:textId="77777777" w:rsidTr="7A354D48">
        <w:tc>
          <w:tcPr>
            <w:tcW w:w="4495" w:type="dxa"/>
          </w:tcPr>
          <w:p w14:paraId="48AA0C49" w14:textId="2AF748EE" w:rsidR="00D3332E" w:rsidRDefault="00D3332E" w:rsidP="00070026">
            <w:pPr>
              <w:spacing w:before="120" w:after="120" w:line="276" w:lineRule="auto"/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</w:pPr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lastRenderedPageBreak/>
              <w:t>Include the n-</w:t>
            </w:r>
            <w:proofErr w:type="gramStart"/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>size</w:t>
            </w:r>
            <w:proofErr w:type="gramEnd"/>
          </w:p>
          <w:p w14:paraId="3EA62C1E" w14:textId="47EDEDE7" w:rsidR="00D3332E" w:rsidRPr="005B652D" w:rsidRDefault="00D3332E" w:rsidP="6CD5A961">
            <w:pPr>
              <w:spacing w:before="120" w:after="120" w:line="276" w:lineRule="auto"/>
              <w:rPr>
                <w:rStyle w:val="s1"/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6CD5A961">
              <w:rPr>
                <w:rStyle w:val="s1"/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“In 2024, we </w:t>
            </w:r>
            <w:r w:rsidR="00306B7C">
              <w:rPr>
                <w:rStyle w:val="s1"/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received survey responses from </w:t>
            </w:r>
            <w:r w:rsidRPr="6CD5A961">
              <w:rPr>
                <w:rStyle w:val="s1"/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58 completers and found that…”</w:t>
            </w:r>
          </w:p>
        </w:tc>
        <w:tc>
          <w:tcPr>
            <w:tcW w:w="4950" w:type="dxa"/>
          </w:tcPr>
          <w:p w14:paraId="07F76321" w14:textId="77777777" w:rsidR="00D3332E" w:rsidRPr="0026310F" w:rsidRDefault="00D3332E" w:rsidP="00070026">
            <w:pPr>
              <w:spacing w:before="120" w:after="120" w:line="276" w:lineRule="auto"/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</w:pPr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>This will help reviewers understand how representative this data is of the population of stakeholders.</w:t>
            </w:r>
          </w:p>
        </w:tc>
      </w:tr>
      <w:tr w:rsidR="00D3332E" w14:paraId="5994FC5B" w14:textId="77777777" w:rsidTr="7A354D48">
        <w:tc>
          <w:tcPr>
            <w:tcW w:w="4495" w:type="dxa"/>
          </w:tcPr>
          <w:p w14:paraId="6538B239" w14:textId="7239B590" w:rsidR="00D3332E" w:rsidRDefault="00D3332E" w:rsidP="00070026">
            <w:pPr>
              <w:spacing w:before="120" w:after="120" w:line="276" w:lineRule="auto"/>
            </w:pPr>
            <w:r>
              <w:t>If sharing survey data, include the entire survey scale for the item in the prompt response.</w:t>
            </w:r>
          </w:p>
          <w:p w14:paraId="4B1A0ED8" w14:textId="77777777" w:rsidR="00D3332E" w:rsidRPr="005B652D" w:rsidRDefault="00D3332E" w:rsidP="00070026">
            <w:pPr>
              <w:spacing w:before="120" w:after="120" w:line="276" w:lineRule="auto"/>
              <w:rPr>
                <w:i/>
                <w:iCs/>
                <w:color w:val="000000"/>
              </w:rPr>
            </w:pPr>
            <w:r w:rsidRPr="005B652D">
              <w:rPr>
                <w:i/>
                <w:iCs/>
              </w:rPr>
              <w:t xml:space="preserve">“When asked whether, overall, their advising was effective, </w:t>
            </w:r>
            <w:r w:rsidRPr="005B652D">
              <w:rPr>
                <w:b/>
                <w:i/>
                <w:iCs/>
              </w:rPr>
              <w:t xml:space="preserve">80 percent of candidates (n=60) agreed, 10 percent somewhat agreed, and 10 percent somewhat disagreed.” </w:t>
            </w:r>
          </w:p>
        </w:tc>
        <w:tc>
          <w:tcPr>
            <w:tcW w:w="4950" w:type="dxa"/>
          </w:tcPr>
          <w:p w14:paraId="41B86204" w14:textId="77777777" w:rsidR="00D3332E" w:rsidRPr="0026310F" w:rsidRDefault="00D3332E" w:rsidP="00070026">
            <w:pPr>
              <w:spacing w:before="120" w:after="120" w:line="276" w:lineRule="auto"/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>Reviewers need to understand</w:t>
            </w:r>
            <w:r w:rsidRPr="0026310F"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 xml:space="preserve"> the full range of responses in SO-collected data</w:t>
            </w:r>
            <w:r>
              <w:rPr>
                <w:rStyle w:val="s1"/>
                <w:rFonts w:asciiTheme="minorHAnsi" w:hAnsiTheme="minorHAnsi"/>
                <w:color w:val="000000"/>
                <w:sz w:val="22"/>
                <w:szCs w:val="22"/>
              </w:rPr>
              <w:t xml:space="preserve"> to better interpret the evidence.</w:t>
            </w:r>
          </w:p>
        </w:tc>
      </w:tr>
    </w:tbl>
    <w:p w14:paraId="21AA3B2F" w14:textId="77777777" w:rsidR="009370C1" w:rsidRDefault="009370C1" w:rsidP="009370C1">
      <w:pPr>
        <w:rPr>
          <w:b/>
          <w:color w:val="E36C0A" w:themeColor="accent2"/>
          <w:sz w:val="28"/>
          <w:szCs w:val="28"/>
        </w:rPr>
      </w:pPr>
      <w:bookmarkStart w:id="0" w:name="_Appendix_B:_Data"/>
      <w:bookmarkEnd w:id="0"/>
    </w:p>
    <w:p w14:paraId="0093ED94" w14:textId="237C34B9" w:rsidR="009370C1" w:rsidRDefault="009370C1" w:rsidP="009370C1">
      <w:pPr>
        <w:tabs>
          <w:tab w:val="left" w:pos="2610"/>
        </w:tabs>
        <w:rPr>
          <w:b/>
          <w:color w:val="E36C0A" w:themeColor="accent2"/>
          <w:sz w:val="28"/>
          <w:szCs w:val="28"/>
        </w:rPr>
      </w:pPr>
      <w:r>
        <w:rPr>
          <w:b/>
          <w:color w:val="E36C0A" w:themeColor="accent2"/>
          <w:sz w:val="28"/>
          <w:szCs w:val="28"/>
        </w:rPr>
        <w:tab/>
      </w:r>
    </w:p>
    <w:p w14:paraId="46FF37FB" w14:textId="77777777" w:rsidR="00350D7F" w:rsidRPr="00035537" w:rsidRDefault="00350D7F" w:rsidP="009F5FDF">
      <w:pPr>
        <w:rPr>
          <w:rFonts w:ascii=".SFUIText" w:hAnsi=".SFUIText"/>
          <w:color w:val="000000"/>
          <w:sz w:val="24"/>
          <w:szCs w:val="24"/>
        </w:rPr>
      </w:pPr>
      <w:bookmarkStart w:id="1" w:name="_Appendix_C:_Sharing"/>
      <w:bookmarkStart w:id="2" w:name="_Appendix_D:_High-Quality"/>
      <w:bookmarkEnd w:id="1"/>
      <w:bookmarkEnd w:id="2"/>
    </w:p>
    <w:sectPr w:rsidR="00350D7F" w:rsidRPr="00035537" w:rsidSect="00DF789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967D" w14:textId="77777777" w:rsidR="00DF789C" w:rsidRDefault="00DF789C" w:rsidP="00FB4CF0">
      <w:pPr>
        <w:spacing w:after="0" w:line="240" w:lineRule="auto"/>
      </w:pPr>
      <w:r>
        <w:separator/>
      </w:r>
    </w:p>
  </w:endnote>
  <w:endnote w:type="continuationSeparator" w:id="0">
    <w:p w14:paraId="647C3F41" w14:textId="77777777" w:rsidR="00DF789C" w:rsidRDefault="00DF789C" w:rsidP="00FB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58D9" w14:textId="0E3294BA" w:rsidR="00133CAA" w:rsidRPr="00C33DFB" w:rsidRDefault="00133CAA" w:rsidP="00382275">
    <w:pPr>
      <w:pStyle w:val="Footer"/>
      <w:ind w:firstLine="2880"/>
      <w:jc w:val="center"/>
    </w:pPr>
    <w:r>
      <w:tab/>
    </w:r>
  </w:p>
  <w:p w14:paraId="4B3C782A" w14:textId="77777777" w:rsidR="00133CAA" w:rsidRDefault="00133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FB76" w14:textId="77777777" w:rsidR="00DF789C" w:rsidRDefault="00DF789C" w:rsidP="00FB4CF0">
      <w:pPr>
        <w:spacing w:after="0" w:line="240" w:lineRule="auto"/>
      </w:pPr>
      <w:r>
        <w:separator/>
      </w:r>
    </w:p>
  </w:footnote>
  <w:footnote w:type="continuationSeparator" w:id="0">
    <w:p w14:paraId="1598AEC2" w14:textId="77777777" w:rsidR="00DF789C" w:rsidRDefault="00DF789C" w:rsidP="00FB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9CBC" w14:textId="183B7F35" w:rsidR="00133CAA" w:rsidRPr="00706368" w:rsidRDefault="00070026">
    <w:pPr>
      <w:pStyle w:val="Header"/>
      <w:rPr>
        <w:b/>
        <w:color w:val="0E4588" w:themeColor="accent1"/>
        <w:sz w:val="32"/>
        <w:szCs w:val="32"/>
      </w:rPr>
    </w:pPr>
    <w:r w:rsidRPr="00D81E64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5E337F3" wp14:editId="2686D783">
          <wp:simplePos x="0" y="0"/>
          <wp:positionH relativeFrom="column">
            <wp:posOffset>3952875</wp:posOffset>
          </wp:positionH>
          <wp:positionV relativeFrom="paragraph">
            <wp:posOffset>-247650</wp:posOffset>
          </wp:positionV>
          <wp:extent cx="2063750" cy="589328"/>
          <wp:effectExtent l="0" t="0" r="0" b="0"/>
          <wp:wrapNone/>
          <wp:docPr id="438087550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8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368" w:rsidRPr="00706368">
      <w:rPr>
        <w:b/>
        <w:color w:val="0E4588" w:themeColor="accent1"/>
        <w:sz w:val="32"/>
        <w:szCs w:val="32"/>
      </w:rPr>
      <w:t>High-Quality Evidence of Impact Advisory</w:t>
    </w:r>
  </w:p>
  <w:p w14:paraId="3ED31C7B" w14:textId="6332CB3C" w:rsidR="00706368" w:rsidRPr="00706368" w:rsidRDefault="00706368">
    <w:pPr>
      <w:pStyle w:val="Header"/>
      <w:rPr>
        <w:bCs/>
        <w:i/>
        <w:iCs/>
        <w:color w:val="E36C0A" w:themeColor="accent2"/>
      </w:rPr>
    </w:pPr>
    <w:r w:rsidRPr="00706368">
      <w:rPr>
        <w:bCs/>
        <w:i/>
        <w:iCs/>
        <w:color w:val="0E4588" w:themeColor="accent1"/>
        <w:sz w:val="24"/>
        <w:szCs w:val="24"/>
      </w:rPr>
      <w:t>Updated Spring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265C"/>
    <w:multiLevelType w:val="hybridMultilevel"/>
    <w:tmpl w:val="A5F08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E12"/>
    <w:multiLevelType w:val="hybridMultilevel"/>
    <w:tmpl w:val="66D0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3186"/>
    <w:multiLevelType w:val="hybridMultilevel"/>
    <w:tmpl w:val="5A98F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A8B"/>
    <w:multiLevelType w:val="hybridMultilevel"/>
    <w:tmpl w:val="7D58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A3D99"/>
    <w:multiLevelType w:val="hybridMultilevel"/>
    <w:tmpl w:val="94AE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27D5E"/>
    <w:multiLevelType w:val="hybridMultilevel"/>
    <w:tmpl w:val="A274C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918AD"/>
    <w:multiLevelType w:val="hybridMultilevel"/>
    <w:tmpl w:val="9F6ECD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7132"/>
    <w:multiLevelType w:val="hybridMultilevel"/>
    <w:tmpl w:val="93604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4A22"/>
    <w:multiLevelType w:val="hybridMultilevel"/>
    <w:tmpl w:val="64DCC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6F01"/>
    <w:multiLevelType w:val="hybridMultilevel"/>
    <w:tmpl w:val="9552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3E61"/>
    <w:multiLevelType w:val="hybridMultilevel"/>
    <w:tmpl w:val="BA1A1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077CE"/>
    <w:multiLevelType w:val="hybridMultilevel"/>
    <w:tmpl w:val="FB8E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D72CD"/>
    <w:multiLevelType w:val="hybridMultilevel"/>
    <w:tmpl w:val="FAC2B07C"/>
    <w:lvl w:ilvl="0" w:tplc="6080A2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4C13"/>
    <w:multiLevelType w:val="hybridMultilevel"/>
    <w:tmpl w:val="63FC3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F0E43"/>
    <w:multiLevelType w:val="hybridMultilevel"/>
    <w:tmpl w:val="E16A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B2EAA"/>
    <w:multiLevelType w:val="hybridMultilevel"/>
    <w:tmpl w:val="EB0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E768A"/>
    <w:multiLevelType w:val="hybridMultilevel"/>
    <w:tmpl w:val="B8E48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4EAE"/>
    <w:multiLevelType w:val="hybridMultilevel"/>
    <w:tmpl w:val="C3E6D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43C37"/>
    <w:multiLevelType w:val="hybridMultilevel"/>
    <w:tmpl w:val="A646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35353"/>
    <w:multiLevelType w:val="hybridMultilevel"/>
    <w:tmpl w:val="BC9E8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F2BBD"/>
    <w:multiLevelType w:val="hybridMultilevel"/>
    <w:tmpl w:val="4720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67E4"/>
    <w:multiLevelType w:val="hybridMultilevel"/>
    <w:tmpl w:val="DFEC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A2E2E"/>
    <w:multiLevelType w:val="hybridMultilevel"/>
    <w:tmpl w:val="D22A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36449"/>
    <w:multiLevelType w:val="hybridMultilevel"/>
    <w:tmpl w:val="2E38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313AB"/>
    <w:multiLevelType w:val="hybridMultilevel"/>
    <w:tmpl w:val="8E329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643195">
    <w:abstractNumId w:val="9"/>
  </w:num>
  <w:num w:numId="2" w16cid:durableId="727649790">
    <w:abstractNumId w:val="11"/>
  </w:num>
  <w:num w:numId="3" w16cid:durableId="58793628">
    <w:abstractNumId w:val="4"/>
  </w:num>
  <w:num w:numId="4" w16cid:durableId="798036202">
    <w:abstractNumId w:val="20"/>
  </w:num>
  <w:num w:numId="5" w16cid:durableId="729111073">
    <w:abstractNumId w:val="23"/>
  </w:num>
  <w:num w:numId="6" w16cid:durableId="161312945">
    <w:abstractNumId w:val="12"/>
  </w:num>
  <w:num w:numId="7" w16cid:durableId="1409421412">
    <w:abstractNumId w:val="0"/>
  </w:num>
  <w:num w:numId="8" w16cid:durableId="486557583">
    <w:abstractNumId w:val="7"/>
  </w:num>
  <w:num w:numId="9" w16cid:durableId="625166055">
    <w:abstractNumId w:val="10"/>
  </w:num>
  <w:num w:numId="10" w16cid:durableId="1901820053">
    <w:abstractNumId w:val="17"/>
  </w:num>
  <w:num w:numId="11" w16cid:durableId="1469929627">
    <w:abstractNumId w:val="13"/>
  </w:num>
  <w:num w:numId="12" w16cid:durableId="315229821">
    <w:abstractNumId w:val="16"/>
  </w:num>
  <w:num w:numId="13" w16cid:durableId="1797917561">
    <w:abstractNumId w:val="24"/>
  </w:num>
  <w:num w:numId="14" w16cid:durableId="679549860">
    <w:abstractNumId w:val="5"/>
  </w:num>
  <w:num w:numId="15" w16cid:durableId="1991012792">
    <w:abstractNumId w:val="19"/>
  </w:num>
  <w:num w:numId="16" w16cid:durableId="1429306673">
    <w:abstractNumId w:val="8"/>
  </w:num>
  <w:num w:numId="17" w16cid:durableId="621300939">
    <w:abstractNumId w:val="18"/>
  </w:num>
  <w:num w:numId="18" w16cid:durableId="723984348">
    <w:abstractNumId w:val="6"/>
  </w:num>
  <w:num w:numId="19" w16cid:durableId="1919486422">
    <w:abstractNumId w:val="2"/>
  </w:num>
  <w:num w:numId="20" w16cid:durableId="87893889">
    <w:abstractNumId w:val="22"/>
  </w:num>
  <w:num w:numId="21" w16cid:durableId="1035887342">
    <w:abstractNumId w:val="1"/>
  </w:num>
  <w:num w:numId="22" w16cid:durableId="639844430">
    <w:abstractNumId w:val="3"/>
  </w:num>
  <w:num w:numId="23" w16cid:durableId="1818186776">
    <w:abstractNumId w:val="21"/>
  </w:num>
  <w:num w:numId="24" w16cid:durableId="859978551">
    <w:abstractNumId w:val="15"/>
  </w:num>
  <w:num w:numId="25" w16cid:durableId="9920980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82"/>
    <w:rsid w:val="0001467F"/>
    <w:rsid w:val="00023664"/>
    <w:rsid w:val="00035537"/>
    <w:rsid w:val="00040779"/>
    <w:rsid w:val="00041E56"/>
    <w:rsid w:val="00070026"/>
    <w:rsid w:val="000713F2"/>
    <w:rsid w:val="00072446"/>
    <w:rsid w:val="0007664D"/>
    <w:rsid w:val="000A6217"/>
    <w:rsid w:val="000C1198"/>
    <w:rsid w:val="000D08A8"/>
    <w:rsid w:val="000D20F4"/>
    <w:rsid w:val="001177BD"/>
    <w:rsid w:val="00123FD8"/>
    <w:rsid w:val="00127BBA"/>
    <w:rsid w:val="00133CAA"/>
    <w:rsid w:val="00150060"/>
    <w:rsid w:val="0015410A"/>
    <w:rsid w:val="0016217C"/>
    <w:rsid w:val="001763F1"/>
    <w:rsid w:val="001802E8"/>
    <w:rsid w:val="00183410"/>
    <w:rsid w:val="00191237"/>
    <w:rsid w:val="001A222B"/>
    <w:rsid w:val="001A5FBB"/>
    <w:rsid w:val="001B3A63"/>
    <w:rsid w:val="001B5B17"/>
    <w:rsid w:val="001E5653"/>
    <w:rsid w:val="001E6CDC"/>
    <w:rsid w:val="001F4694"/>
    <w:rsid w:val="001F6853"/>
    <w:rsid w:val="002026A3"/>
    <w:rsid w:val="00203C0D"/>
    <w:rsid w:val="0021261B"/>
    <w:rsid w:val="00221995"/>
    <w:rsid w:val="00223857"/>
    <w:rsid w:val="00226B60"/>
    <w:rsid w:val="00230E97"/>
    <w:rsid w:val="00240961"/>
    <w:rsid w:val="00261EE8"/>
    <w:rsid w:val="00262F8C"/>
    <w:rsid w:val="0026310F"/>
    <w:rsid w:val="0027120D"/>
    <w:rsid w:val="0027493E"/>
    <w:rsid w:val="00283A93"/>
    <w:rsid w:val="002B0F59"/>
    <w:rsid w:val="002B2DD0"/>
    <w:rsid w:val="002E0F34"/>
    <w:rsid w:val="002F55AE"/>
    <w:rsid w:val="002F5784"/>
    <w:rsid w:val="002F6937"/>
    <w:rsid w:val="00304E20"/>
    <w:rsid w:val="00306B7C"/>
    <w:rsid w:val="003115DF"/>
    <w:rsid w:val="00327B53"/>
    <w:rsid w:val="003361A1"/>
    <w:rsid w:val="00350D7F"/>
    <w:rsid w:val="00360EBF"/>
    <w:rsid w:val="0036257B"/>
    <w:rsid w:val="00363CDF"/>
    <w:rsid w:val="00376863"/>
    <w:rsid w:val="00382275"/>
    <w:rsid w:val="003A3023"/>
    <w:rsid w:val="003B2260"/>
    <w:rsid w:val="003B44BD"/>
    <w:rsid w:val="003B633B"/>
    <w:rsid w:val="003C02CD"/>
    <w:rsid w:val="003D3E0C"/>
    <w:rsid w:val="003F0CC4"/>
    <w:rsid w:val="00401519"/>
    <w:rsid w:val="004057EF"/>
    <w:rsid w:val="0040608D"/>
    <w:rsid w:val="00425BE4"/>
    <w:rsid w:val="00441276"/>
    <w:rsid w:val="00450CEF"/>
    <w:rsid w:val="00463F79"/>
    <w:rsid w:val="00464BD7"/>
    <w:rsid w:val="004779D3"/>
    <w:rsid w:val="00481E57"/>
    <w:rsid w:val="00493B46"/>
    <w:rsid w:val="004A4162"/>
    <w:rsid w:val="004B31CE"/>
    <w:rsid w:val="004C0AFF"/>
    <w:rsid w:val="004C3B79"/>
    <w:rsid w:val="004D4818"/>
    <w:rsid w:val="004D4A22"/>
    <w:rsid w:val="004E5713"/>
    <w:rsid w:val="00504F07"/>
    <w:rsid w:val="00511B34"/>
    <w:rsid w:val="0051264F"/>
    <w:rsid w:val="00526478"/>
    <w:rsid w:val="005508A1"/>
    <w:rsid w:val="00575480"/>
    <w:rsid w:val="00582F74"/>
    <w:rsid w:val="005B420F"/>
    <w:rsid w:val="005B4BF7"/>
    <w:rsid w:val="005B652D"/>
    <w:rsid w:val="005B761A"/>
    <w:rsid w:val="005C44CF"/>
    <w:rsid w:val="005F2DB3"/>
    <w:rsid w:val="005F3F88"/>
    <w:rsid w:val="005F487C"/>
    <w:rsid w:val="00600878"/>
    <w:rsid w:val="006060A5"/>
    <w:rsid w:val="00634DD5"/>
    <w:rsid w:val="006358F8"/>
    <w:rsid w:val="00653056"/>
    <w:rsid w:val="0065324B"/>
    <w:rsid w:val="006627E7"/>
    <w:rsid w:val="00663232"/>
    <w:rsid w:val="00670771"/>
    <w:rsid w:val="0067791F"/>
    <w:rsid w:val="00681310"/>
    <w:rsid w:val="00681A68"/>
    <w:rsid w:val="0068553D"/>
    <w:rsid w:val="006948E0"/>
    <w:rsid w:val="006A0265"/>
    <w:rsid w:val="006A4B92"/>
    <w:rsid w:val="006B2181"/>
    <w:rsid w:val="006C0986"/>
    <w:rsid w:val="006C0C12"/>
    <w:rsid w:val="006C27B7"/>
    <w:rsid w:val="006C2883"/>
    <w:rsid w:val="006C544D"/>
    <w:rsid w:val="006C6621"/>
    <w:rsid w:val="006D29D6"/>
    <w:rsid w:val="006D7792"/>
    <w:rsid w:val="006E4A04"/>
    <w:rsid w:val="006E58CE"/>
    <w:rsid w:val="006F529F"/>
    <w:rsid w:val="00704D73"/>
    <w:rsid w:val="00706368"/>
    <w:rsid w:val="0073018D"/>
    <w:rsid w:val="00735FD5"/>
    <w:rsid w:val="007367EF"/>
    <w:rsid w:val="00742B57"/>
    <w:rsid w:val="00755D5F"/>
    <w:rsid w:val="00760761"/>
    <w:rsid w:val="00770B69"/>
    <w:rsid w:val="00775EDB"/>
    <w:rsid w:val="007A06CC"/>
    <w:rsid w:val="007A0E66"/>
    <w:rsid w:val="007B2F70"/>
    <w:rsid w:val="007D2E52"/>
    <w:rsid w:val="007D63E7"/>
    <w:rsid w:val="007E3A90"/>
    <w:rsid w:val="007F444B"/>
    <w:rsid w:val="008015E1"/>
    <w:rsid w:val="00814C91"/>
    <w:rsid w:val="00841882"/>
    <w:rsid w:val="0084374D"/>
    <w:rsid w:val="00856223"/>
    <w:rsid w:val="00887D68"/>
    <w:rsid w:val="008917C6"/>
    <w:rsid w:val="0089232A"/>
    <w:rsid w:val="008A3482"/>
    <w:rsid w:val="008B1354"/>
    <w:rsid w:val="008C2420"/>
    <w:rsid w:val="008C28F3"/>
    <w:rsid w:val="008C3198"/>
    <w:rsid w:val="008C738B"/>
    <w:rsid w:val="008C7C05"/>
    <w:rsid w:val="008D572A"/>
    <w:rsid w:val="008E4A5C"/>
    <w:rsid w:val="008E4ED1"/>
    <w:rsid w:val="008F06EF"/>
    <w:rsid w:val="008F492D"/>
    <w:rsid w:val="0091692F"/>
    <w:rsid w:val="009275E7"/>
    <w:rsid w:val="009370C1"/>
    <w:rsid w:val="00941FF6"/>
    <w:rsid w:val="00955C48"/>
    <w:rsid w:val="0097650E"/>
    <w:rsid w:val="00992BE0"/>
    <w:rsid w:val="00993387"/>
    <w:rsid w:val="009A233C"/>
    <w:rsid w:val="009A29D3"/>
    <w:rsid w:val="009B5183"/>
    <w:rsid w:val="009B68A9"/>
    <w:rsid w:val="009C298D"/>
    <w:rsid w:val="009D11BC"/>
    <w:rsid w:val="009D4347"/>
    <w:rsid w:val="009D49D1"/>
    <w:rsid w:val="009D4A5B"/>
    <w:rsid w:val="009D5F73"/>
    <w:rsid w:val="009E1541"/>
    <w:rsid w:val="009E564F"/>
    <w:rsid w:val="009F5FDF"/>
    <w:rsid w:val="00A17B3E"/>
    <w:rsid w:val="00A40300"/>
    <w:rsid w:val="00A5632D"/>
    <w:rsid w:val="00A758F0"/>
    <w:rsid w:val="00A75BDA"/>
    <w:rsid w:val="00A82F12"/>
    <w:rsid w:val="00A84D9A"/>
    <w:rsid w:val="00AA5485"/>
    <w:rsid w:val="00AC5CCE"/>
    <w:rsid w:val="00AC7CBE"/>
    <w:rsid w:val="00AE20B5"/>
    <w:rsid w:val="00AE3E16"/>
    <w:rsid w:val="00AE7584"/>
    <w:rsid w:val="00AF0989"/>
    <w:rsid w:val="00AF6B61"/>
    <w:rsid w:val="00B018F9"/>
    <w:rsid w:val="00B05120"/>
    <w:rsid w:val="00B44D3E"/>
    <w:rsid w:val="00B63303"/>
    <w:rsid w:val="00B77377"/>
    <w:rsid w:val="00B818A1"/>
    <w:rsid w:val="00B81E4D"/>
    <w:rsid w:val="00B9068E"/>
    <w:rsid w:val="00B9319E"/>
    <w:rsid w:val="00BB0348"/>
    <w:rsid w:val="00BB2B97"/>
    <w:rsid w:val="00BC1D04"/>
    <w:rsid w:val="00BC6941"/>
    <w:rsid w:val="00BE1374"/>
    <w:rsid w:val="00BE3C5B"/>
    <w:rsid w:val="00BE4AC8"/>
    <w:rsid w:val="00C04A78"/>
    <w:rsid w:val="00C051AF"/>
    <w:rsid w:val="00C1360F"/>
    <w:rsid w:val="00C238A9"/>
    <w:rsid w:val="00C30404"/>
    <w:rsid w:val="00C30EC1"/>
    <w:rsid w:val="00C322A5"/>
    <w:rsid w:val="00C34DCF"/>
    <w:rsid w:val="00C50427"/>
    <w:rsid w:val="00C51A33"/>
    <w:rsid w:val="00C56A50"/>
    <w:rsid w:val="00C64D86"/>
    <w:rsid w:val="00C94A34"/>
    <w:rsid w:val="00CB3669"/>
    <w:rsid w:val="00CB51A9"/>
    <w:rsid w:val="00CC3766"/>
    <w:rsid w:val="00CD3666"/>
    <w:rsid w:val="00CE08DC"/>
    <w:rsid w:val="00CE63E2"/>
    <w:rsid w:val="00CE7D39"/>
    <w:rsid w:val="00D071DE"/>
    <w:rsid w:val="00D11E24"/>
    <w:rsid w:val="00D17A53"/>
    <w:rsid w:val="00D25570"/>
    <w:rsid w:val="00D32BC3"/>
    <w:rsid w:val="00D32FB9"/>
    <w:rsid w:val="00D3332E"/>
    <w:rsid w:val="00D36D24"/>
    <w:rsid w:val="00D43859"/>
    <w:rsid w:val="00D51DEF"/>
    <w:rsid w:val="00D54975"/>
    <w:rsid w:val="00D8757B"/>
    <w:rsid w:val="00D93C9D"/>
    <w:rsid w:val="00DB728A"/>
    <w:rsid w:val="00DB7B64"/>
    <w:rsid w:val="00DC6CAA"/>
    <w:rsid w:val="00DC773F"/>
    <w:rsid w:val="00DD5920"/>
    <w:rsid w:val="00DD63E0"/>
    <w:rsid w:val="00DE260A"/>
    <w:rsid w:val="00DF789C"/>
    <w:rsid w:val="00E01136"/>
    <w:rsid w:val="00E03C98"/>
    <w:rsid w:val="00E27CA2"/>
    <w:rsid w:val="00E27DBD"/>
    <w:rsid w:val="00E60BDA"/>
    <w:rsid w:val="00E72B3E"/>
    <w:rsid w:val="00E759E8"/>
    <w:rsid w:val="00E814F3"/>
    <w:rsid w:val="00E91263"/>
    <w:rsid w:val="00EA0B7C"/>
    <w:rsid w:val="00EA20DD"/>
    <w:rsid w:val="00EA3504"/>
    <w:rsid w:val="00EC3023"/>
    <w:rsid w:val="00EE2177"/>
    <w:rsid w:val="00EF40A8"/>
    <w:rsid w:val="00EF7BDF"/>
    <w:rsid w:val="00F1408C"/>
    <w:rsid w:val="00F421FA"/>
    <w:rsid w:val="00F42E51"/>
    <w:rsid w:val="00F452F0"/>
    <w:rsid w:val="00F46031"/>
    <w:rsid w:val="00F464D3"/>
    <w:rsid w:val="00F6329A"/>
    <w:rsid w:val="00F759EB"/>
    <w:rsid w:val="00F82330"/>
    <w:rsid w:val="00F96355"/>
    <w:rsid w:val="00FA1656"/>
    <w:rsid w:val="00FA2D99"/>
    <w:rsid w:val="00FA57FC"/>
    <w:rsid w:val="00FB4CF0"/>
    <w:rsid w:val="00FB662A"/>
    <w:rsid w:val="00FC474C"/>
    <w:rsid w:val="00FC4DD2"/>
    <w:rsid w:val="00FE4752"/>
    <w:rsid w:val="00FF260C"/>
    <w:rsid w:val="00FF371E"/>
    <w:rsid w:val="00FF399D"/>
    <w:rsid w:val="010145D6"/>
    <w:rsid w:val="092B0BBB"/>
    <w:rsid w:val="15B0D8E5"/>
    <w:rsid w:val="172EE9EB"/>
    <w:rsid w:val="1E094702"/>
    <w:rsid w:val="2A83EA3D"/>
    <w:rsid w:val="429C9AEE"/>
    <w:rsid w:val="510C88E9"/>
    <w:rsid w:val="520AB14A"/>
    <w:rsid w:val="568EAEA0"/>
    <w:rsid w:val="5E8DD5BA"/>
    <w:rsid w:val="6A128CC6"/>
    <w:rsid w:val="6CD5A961"/>
    <w:rsid w:val="78F704F4"/>
    <w:rsid w:val="7A354D48"/>
    <w:rsid w:val="7E248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3F600"/>
  <w15:docId w15:val="{90E141C0-0D32-41A9-8BE2-E55112E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B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A336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6310F"/>
    <w:pPr>
      <w:keepNext/>
      <w:spacing w:after="0" w:line="240" w:lineRule="auto"/>
      <w:outlineLvl w:val="2"/>
    </w:pPr>
    <w:rPr>
      <w:rFonts w:eastAsia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00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336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10F"/>
    <w:pPr>
      <w:keepNext/>
      <w:keepLines/>
      <w:spacing w:before="200" w:after="0" w:line="240" w:lineRule="auto"/>
      <w:outlineLvl w:val="7"/>
    </w:pPr>
    <w:rPr>
      <w:rFonts w:ascii="Calibri" w:eastAsiaTheme="majorEastAsia" w:hAnsi="Calibri" w:cstheme="majorBidi"/>
      <w:b/>
      <w:color w:val="E36C0A" w:themeColor="accent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882"/>
    <w:pPr>
      <w:ind w:left="720"/>
      <w:contextualSpacing/>
    </w:pPr>
  </w:style>
  <w:style w:type="table" w:styleId="TableGrid">
    <w:name w:val="Table Grid"/>
    <w:basedOn w:val="TableNormal"/>
    <w:uiPriority w:val="39"/>
    <w:rsid w:val="0036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F0"/>
  </w:style>
  <w:style w:type="paragraph" w:styleId="Footer">
    <w:name w:val="footer"/>
    <w:basedOn w:val="Normal"/>
    <w:link w:val="FooterChar"/>
    <w:uiPriority w:val="99"/>
    <w:unhideWhenUsed/>
    <w:rsid w:val="00FB4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F0"/>
  </w:style>
  <w:style w:type="paragraph" w:styleId="BalloonText">
    <w:name w:val="Balloon Text"/>
    <w:basedOn w:val="Normal"/>
    <w:link w:val="BalloonTextChar"/>
    <w:uiPriority w:val="99"/>
    <w:semiHidden/>
    <w:unhideWhenUsed/>
    <w:rsid w:val="008C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44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2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E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5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1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1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1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75E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26310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6310F"/>
    <w:rPr>
      <w:rFonts w:ascii="Calibri" w:eastAsiaTheme="majorEastAsia" w:hAnsi="Calibri" w:cstheme="majorBidi"/>
      <w:b/>
      <w:color w:val="E36C0A" w:themeColor="accent2"/>
      <w:sz w:val="24"/>
      <w:szCs w:val="20"/>
    </w:rPr>
  </w:style>
  <w:style w:type="character" w:customStyle="1" w:styleId="s1">
    <w:name w:val="s1"/>
    <w:basedOn w:val="DefaultParagraphFont"/>
    <w:rsid w:val="0026310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70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63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636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9126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70026"/>
    <w:rPr>
      <w:rFonts w:asciiTheme="majorHAnsi" w:eastAsiaTheme="majorEastAsia" w:hAnsiTheme="majorHAnsi" w:cstheme="majorBidi"/>
      <w:color w:val="0A336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0026"/>
    <w:rPr>
      <w:rFonts w:asciiTheme="majorHAnsi" w:eastAsiaTheme="majorEastAsia" w:hAnsiTheme="majorHAnsi" w:cstheme="majorBidi"/>
      <w:i/>
      <w:iCs/>
      <w:color w:val="0A336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dprep/domains/improvement/edwin/overview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edprep/review/toolkit/forma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edprep/resources/guidelines-advisori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edprep/domains/improvement/survey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S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4588"/>
      </a:accent1>
      <a:accent2>
        <a:srgbClr val="E36C0A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A4AA-C77A-49D0-B3EC-DE3ED19E5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AE522-825E-44FF-B483-FBB71D055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EE593-9DA0-4611-8D9C-E36AFBA7781F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4.xml><?xml version="1.0" encoding="utf-8"?>
<ds:datastoreItem xmlns:ds="http://schemas.openxmlformats.org/officeDocument/2006/customXml" ds:itemID="{B70D58D9-9A52-4576-8387-2AFB5C00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Quality Evidence Impact Tool</vt:lpstr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Quality Evidence Impact Tool</dc:title>
  <dc:creator>DESE</dc:creator>
  <cp:lastModifiedBy>Zou, Dong (EOE)</cp:lastModifiedBy>
  <cp:revision>3</cp:revision>
  <cp:lastPrinted>2024-04-02T18:12:00Z</cp:lastPrinted>
  <dcterms:created xsi:type="dcterms:W3CDTF">2024-04-02T18:12:00Z</dcterms:created>
  <dcterms:modified xsi:type="dcterms:W3CDTF">2024-04-02T20:21:00Z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 2024 12:00AM</vt:lpwstr>
  </property>
</Properties>
</file>