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1F3D" w14:textId="77777777" w:rsidR="00A92C07" w:rsidRDefault="00A92C07" w:rsidP="00A42796">
      <w:pPr>
        <w:spacing w:after="0" w:line="240" w:lineRule="auto"/>
        <w:jc w:val="center"/>
        <w:rPr>
          <w:rFonts w:ascii="Calibri" w:eastAsia="Calibri" w:hAnsi="Calibri" w:cs="Calibri"/>
          <w:b/>
          <w:bCs/>
          <w:sz w:val="28"/>
          <w:szCs w:val="28"/>
        </w:rPr>
      </w:pPr>
    </w:p>
    <w:p w14:paraId="3737D3A0" w14:textId="69B30379"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6FC0ACD4" w14:textId="7520168A" w:rsidR="2542CF37" w:rsidRPr="00644C89" w:rsidRDefault="00644C89" w:rsidP="73ACE57D">
      <w:pPr>
        <w:spacing w:after="0" w:line="240" w:lineRule="auto"/>
        <w:jc w:val="center"/>
        <w:rPr>
          <w:rFonts w:ascii="Calibri" w:eastAsia="Calibri" w:hAnsi="Calibri" w:cs="Calibri"/>
          <w:b/>
          <w:bCs/>
          <w:sz w:val="28"/>
          <w:szCs w:val="28"/>
        </w:rPr>
      </w:pPr>
      <w:r w:rsidRPr="00644C89">
        <w:rPr>
          <w:rFonts w:ascii="Calibri" w:eastAsia="Calibri" w:hAnsi="Calibri" w:cs="Calibri"/>
          <w:b/>
          <w:bCs/>
          <w:sz w:val="28"/>
          <w:szCs w:val="28"/>
        </w:rPr>
        <w:t>Teacher of the Deaf and Hard of Hearing, All</w:t>
      </w:r>
    </w:p>
    <w:p w14:paraId="7B6F2036" w14:textId="1127EB85" w:rsidR="5B2D84D2" w:rsidRDefault="5B2D84D2"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In support of this, the </w:t>
      </w:r>
      <w:hyperlink r:id="rId12" w:tgtFrame="_blank" w:history="1">
        <w:r>
          <w:rPr>
            <w:rStyle w:val="normaltextrun"/>
            <w:rFonts w:ascii="Calibri" w:hAnsi="Calibri" w:cs="Calibri"/>
            <w:color w:val="0563C1"/>
            <w:sz w:val="22"/>
            <w:szCs w:val="22"/>
            <w:u w:val="single"/>
          </w:rPr>
          <w:t>Subject Matter Knowledge Guidelines</w:t>
        </w:r>
      </w:hyperlink>
      <w:r>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lastRenderedPageBreak/>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50F39C77" w:rsidR="60B52058" w:rsidRPr="005F16E0" w:rsidRDefault="12E89CE8" w:rsidP="766C75F1">
      <w:pPr>
        <w:spacing w:after="0" w:line="240" w:lineRule="auto"/>
        <w:rPr>
          <w:rFonts w:ascii="Calibri" w:eastAsia="Calibri" w:hAnsi="Calibri" w:cs="Calibri"/>
        </w:rPr>
      </w:pPr>
      <w:r w:rsidRPr="766C75F1">
        <w:rPr>
          <w:rFonts w:ascii="Calibri" w:eastAsia="Calibri" w:hAnsi="Calibri" w:cs="Calibri"/>
        </w:rPr>
        <w:t xml:space="preserve">This worksheet should be completed for </w:t>
      </w:r>
      <w:r w:rsidR="00644C89" w:rsidRPr="00644C89">
        <w:rPr>
          <w:rFonts w:ascii="Calibri" w:eastAsia="Calibri" w:hAnsi="Calibri" w:cs="Calibri"/>
        </w:rPr>
        <w:t>Teacher of the Deaf and Hard of Hearing, All</w:t>
      </w:r>
      <w:r w:rsidR="00E16E18">
        <w:rPr>
          <w:rFonts w:ascii="Calibri" w:eastAsia="Calibri" w:hAnsi="Calibri" w:cs="Calibri"/>
        </w:rPr>
        <w:t>,</w:t>
      </w:r>
      <w:r w:rsidR="00644C89">
        <w:rPr>
          <w:rFonts w:ascii="Calibri" w:eastAsia="Calibri" w:hAnsi="Calibri" w:cs="Calibri"/>
        </w:rPr>
        <w:t xml:space="preserve"> </w:t>
      </w:r>
      <w:r w:rsidRPr="766C75F1">
        <w:rPr>
          <w:rFonts w:ascii="Calibri" w:eastAsia="Calibri" w:hAnsi="Calibri" w:cs="Calibri"/>
        </w:rPr>
        <w:t xml:space="preserve">programs, for which Subject Matter Knowledge expectations come from multiple </w:t>
      </w:r>
      <w:hyperlink r:id="rId14">
        <w:r w:rsidRPr="766C75F1">
          <w:rPr>
            <w:rStyle w:val="Hyperlink"/>
            <w:rFonts w:ascii="Calibri" w:eastAsia="Calibri" w:hAnsi="Calibri" w:cs="Calibri"/>
            <w:color w:val="0563C1"/>
          </w:rPr>
          <w:t>Curriculum Frameworks</w:t>
        </w:r>
      </w:hyperlink>
      <w:r w:rsidRPr="766C75F1">
        <w:rPr>
          <w:rFonts w:ascii="Calibri" w:eastAsia="Calibri" w:hAnsi="Calibri" w:cs="Calibri"/>
        </w:rPr>
        <w:t>. Within this document you will find sections covering the following SMK expectations:</w:t>
      </w:r>
    </w:p>
    <w:p w14:paraId="5EF6E5A8" w14:textId="209112CD" w:rsidR="60B52058" w:rsidRPr="005F16E0" w:rsidRDefault="60B52058" w:rsidP="766C75F1">
      <w:pPr>
        <w:spacing w:after="0" w:line="240" w:lineRule="auto"/>
        <w:rPr>
          <w:rFonts w:ascii="Calibri" w:eastAsia="Calibri" w:hAnsi="Calibri" w:cs="Calibri"/>
          <w:highlight w:val="yellow"/>
        </w:rPr>
      </w:pPr>
    </w:p>
    <w:p w14:paraId="4CFEB550" w14:textId="0D24BCED" w:rsidR="60B52058" w:rsidRPr="008653F7" w:rsidRDefault="00C55A58" w:rsidP="766C75F1">
      <w:pPr>
        <w:spacing w:after="0" w:line="240" w:lineRule="auto"/>
        <w:rPr>
          <w:rFonts w:ascii="Calibri" w:eastAsia="Calibri" w:hAnsi="Calibri" w:cs="Calibri"/>
        </w:rPr>
      </w:pPr>
      <w:hyperlink w:anchor="Moderate">
        <w:r w:rsidR="00E16E18" w:rsidRPr="008653F7">
          <w:rPr>
            <w:rStyle w:val="Hyperlink"/>
            <w:rFonts w:ascii="Calibri" w:eastAsia="Calibri" w:hAnsi="Calibri" w:cs="Calibri"/>
          </w:rPr>
          <w:t>Teacher of the Deaf and Hard of Hearing, All, Knowledge and Skills</w:t>
        </w:r>
      </w:hyperlink>
    </w:p>
    <w:p w14:paraId="5157C59E" w14:textId="5E800DB6" w:rsidR="766C75F1" w:rsidRPr="008653F7" w:rsidRDefault="766C75F1" w:rsidP="766C75F1">
      <w:pPr>
        <w:spacing w:after="0" w:line="240" w:lineRule="auto"/>
        <w:rPr>
          <w:rFonts w:ascii="Calibri" w:eastAsia="Calibri" w:hAnsi="Calibri" w:cs="Calibri"/>
        </w:rPr>
      </w:pPr>
    </w:p>
    <w:p w14:paraId="0B4F4453" w14:textId="5A4CD41A" w:rsidR="60B52058" w:rsidRPr="008653F7" w:rsidRDefault="00C55A58" w:rsidP="766C75F1">
      <w:pPr>
        <w:spacing w:after="0" w:line="240" w:lineRule="auto"/>
        <w:rPr>
          <w:rFonts w:ascii="Calibri" w:eastAsia="Calibri" w:hAnsi="Calibri" w:cs="Calibri"/>
        </w:rPr>
      </w:pPr>
      <w:hyperlink w:anchor="_English_Language_Arts">
        <w:r w:rsidR="60B52058" w:rsidRPr="008653F7">
          <w:rPr>
            <w:rStyle w:val="Hyperlink"/>
            <w:rFonts w:ascii="Calibri" w:eastAsia="Calibri" w:hAnsi="Calibri" w:cs="Calibri"/>
          </w:rPr>
          <w:t>English Language Arts and Literacy</w:t>
        </w:r>
      </w:hyperlink>
      <w:r w:rsidR="60B52058" w:rsidRPr="008653F7">
        <w:rPr>
          <w:rFonts w:ascii="Calibri" w:eastAsia="Calibri" w:hAnsi="Calibri" w:cs="Calibri"/>
        </w:rPr>
        <w:t xml:space="preserve"> </w:t>
      </w:r>
    </w:p>
    <w:p w14:paraId="1438D4C5" w14:textId="2F16011A" w:rsidR="005F16E0" w:rsidRPr="008653F7" w:rsidRDefault="005F16E0" w:rsidP="766C75F1">
      <w:pPr>
        <w:pStyle w:val="ListParagraph"/>
        <w:numPr>
          <w:ilvl w:val="0"/>
          <w:numId w:val="16"/>
        </w:numPr>
        <w:spacing w:after="0" w:line="240" w:lineRule="auto"/>
        <w:rPr>
          <w:rFonts w:ascii="Calibri" w:eastAsia="Calibri" w:hAnsi="Calibri" w:cs="Calibri"/>
        </w:rPr>
      </w:pPr>
      <w:r w:rsidRPr="008653F7">
        <w:rPr>
          <w:rFonts w:ascii="Calibri" w:eastAsia="Calibri" w:hAnsi="Calibri" w:cs="Calibri"/>
        </w:rPr>
        <w:t>English Language Arts and Literacy Anchor Standards</w:t>
      </w:r>
    </w:p>
    <w:p w14:paraId="1EC54894" w14:textId="37F19391" w:rsidR="005F16E0" w:rsidRPr="008653F7" w:rsidRDefault="005F16E0" w:rsidP="766C75F1">
      <w:pPr>
        <w:pStyle w:val="ListParagraph"/>
        <w:numPr>
          <w:ilvl w:val="0"/>
          <w:numId w:val="16"/>
        </w:numPr>
        <w:spacing w:after="0" w:line="240" w:lineRule="auto"/>
        <w:rPr>
          <w:rFonts w:ascii="Calibri" w:eastAsia="Calibri" w:hAnsi="Calibri" w:cs="Calibri"/>
        </w:rPr>
      </w:pPr>
      <w:r w:rsidRPr="008653F7">
        <w:rPr>
          <w:rFonts w:ascii="Calibri" w:eastAsia="Calibri" w:hAnsi="Calibri" w:cs="Calibri"/>
        </w:rPr>
        <w:t>English Language Arts and Literacy Practices</w:t>
      </w:r>
    </w:p>
    <w:p w14:paraId="3CA5D17A" w14:textId="34236057" w:rsidR="766C75F1" w:rsidRPr="008653F7" w:rsidRDefault="766C75F1" w:rsidP="766C75F1">
      <w:pPr>
        <w:spacing w:after="0" w:line="240" w:lineRule="auto"/>
        <w:rPr>
          <w:rFonts w:ascii="Calibri" w:eastAsia="Calibri" w:hAnsi="Calibri" w:cs="Calibri"/>
        </w:rPr>
      </w:pPr>
    </w:p>
    <w:p w14:paraId="4F9EF9BF" w14:textId="47E59375" w:rsidR="005F16E0" w:rsidRPr="008653F7" w:rsidRDefault="00C55A58" w:rsidP="766C75F1">
      <w:pPr>
        <w:spacing w:after="0" w:line="240" w:lineRule="auto"/>
        <w:rPr>
          <w:rFonts w:ascii="Calibri" w:eastAsia="Calibri" w:hAnsi="Calibri" w:cs="Calibri"/>
        </w:rPr>
      </w:pPr>
      <w:hyperlink w:anchor="_History_and_Social">
        <w:r w:rsidR="60B52058" w:rsidRPr="008653F7">
          <w:rPr>
            <w:rStyle w:val="Hyperlink"/>
            <w:rFonts w:ascii="Calibri" w:eastAsia="Calibri" w:hAnsi="Calibri" w:cs="Calibri"/>
          </w:rPr>
          <w:t>History and Social Science</w:t>
        </w:r>
      </w:hyperlink>
      <w:r w:rsidR="60B52058" w:rsidRPr="008653F7">
        <w:rPr>
          <w:rFonts w:ascii="Calibri" w:eastAsia="Calibri" w:hAnsi="Calibri" w:cs="Calibri"/>
        </w:rPr>
        <w:t xml:space="preserve"> </w:t>
      </w:r>
    </w:p>
    <w:p w14:paraId="4CB12AC3" w14:textId="24F5EBE6" w:rsidR="005F16E0" w:rsidRPr="008653F7" w:rsidRDefault="005F16E0" w:rsidP="766C75F1">
      <w:pPr>
        <w:pStyle w:val="ListParagraph"/>
        <w:numPr>
          <w:ilvl w:val="0"/>
          <w:numId w:val="16"/>
        </w:numPr>
        <w:spacing w:after="0" w:line="240" w:lineRule="auto"/>
        <w:rPr>
          <w:rFonts w:ascii="Calibri" w:eastAsia="Calibri" w:hAnsi="Calibri" w:cs="Calibri"/>
        </w:rPr>
      </w:pPr>
      <w:r w:rsidRPr="008653F7">
        <w:rPr>
          <w:rFonts w:ascii="Calibri" w:eastAsia="Calibri" w:hAnsi="Calibri" w:cs="Calibri"/>
        </w:rPr>
        <w:t>History and Social Science Scope, Sequence, and Content Progression</w:t>
      </w:r>
    </w:p>
    <w:p w14:paraId="7C6FF01F" w14:textId="1AF46DC2" w:rsidR="005F16E0" w:rsidRPr="008653F7" w:rsidRDefault="005F16E0" w:rsidP="766C75F1">
      <w:pPr>
        <w:pStyle w:val="ListParagraph"/>
        <w:numPr>
          <w:ilvl w:val="0"/>
          <w:numId w:val="16"/>
        </w:numPr>
        <w:spacing w:after="0" w:line="240" w:lineRule="auto"/>
        <w:rPr>
          <w:rFonts w:ascii="Calibri" w:eastAsia="Calibri" w:hAnsi="Calibri" w:cs="Calibri"/>
        </w:rPr>
      </w:pPr>
      <w:r w:rsidRPr="008653F7">
        <w:rPr>
          <w:rFonts w:ascii="Calibri" w:eastAsia="Calibri" w:hAnsi="Calibri" w:cs="Calibri"/>
        </w:rPr>
        <w:t>Standards for History and Social Science Practices</w:t>
      </w:r>
    </w:p>
    <w:p w14:paraId="36ECF058" w14:textId="538573DC" w:rsidR="766C75F1" w:rsidRPr="008653F7" w:rsidRDefault="766C75F1" w:rsidP="766C75F1">
      <w:pPr>
        <w:spacing w:after="0" w:line="240" w:lineRule="auto"/>
        <w:rPr>
          <w:rFonts w:ascii="Calibri" w:eastAsia="Calibri" w:hAnsi="Calibri" w:cs="Calibri"/>
        </w:rPr>
      </w:pPr>
    </w:p>
    <w:p w14:paraId="17CE6982" w14:textId="6DDD4EDC" w:rsidR="60B52058" w:rsidRPr="008653F7" w:rsidRDefault="00C55A58" w:rsidP="766C75F1">
      <w:pPr>
        <w:spacing w:after="0" w:line="240" w:lineRule="auto"/>
        <w:rPr>
          <w:rStyle w:val="Hyperlink"/>
          <w:rFonts w:ascii="Calibri" w:eastAsia="Calibri" w:hAnsi="Calibri" w:cs="Calibri"/>
          <w:color w:val="auto"/>
          <w:u w:val="none"/>
        </w:rPr>
      </w:pPr>
      <w:hyperlink w:anchor="_Mathematics_Content_Progression">
        <w:r w:rsidR="60B52058" w:rsidRPr="008653F7">
          <w:rPr>
            <w:rStyle w:val="Hyperlink"/>
            <w:rFonts w:ascii="Calibri" w:eastAsia="Calibri" w:hAnsi="Calibri" w:cs="Calibri"/>
          </w:rPr>
          <w:t>Mathematics</w:t>
        </w:r>
      </w:hyperlink>
    </w:p>
    <w:p w14:paraId="35AA05CB" w14:textId="05B76251" w:rsidR="005F16E0" w:rsidRPr="008653F7"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8653F7">
        <w:rPr>
          <w:rStyle w:val="Hyperlink"/>
          <w:rFonts w:ascii="Calibri" w:eastAsia="Calibri" w:hAnsi="Calibri" w:cs="Calibri"/>
          <w:color w:val="000000" w:themeColor="text1"/>
          <w:u w:val="none"/>
        </w:rPr>
        <w:t>Mathematics Content Progression</w:t>
      </w:r>
    </w:p>
    <w:p w14:paraId="2235153F" w14:textId="0D0B52BD" w:rsidR="005F16E0" w:rsidRPr="008653F7"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8653F7">
        <w:rPr>
          <w:rStyle w:val="Hyperlink"/>
          <w:rFonts w:ascii="Calibri" w:eastAsia="Calibri" w:hAnsi="Calibri" w:cs="Calibri"/>
          <w:color w:val="000000" w:themeColor="text1"/>
          <w:u w:val="none"/>
        </w:rPr>
        <w:t>Mathematical Rigor</w:t>
      </w:r>
    </w:p>
    <w:p w14:paraId="52978A4B" w14:textId="2A6B1FEB" w:rsidR="005F16E0" w:rsidRPr="008653F7" w:rsidRDefault="005F16E0" w:rsidP="766C75F1">
      <w:pPr>
        <w:pStyle w:val="ListParagraph"/>
        <w:numPr>
          <w:ilvl w:val="0"/>
          <w:numId w:val="16"/>
        </w:numPr>
        <w:spacing w:after="0" w:line="240" w:lineRule="auto"/>
        <w:rPr>
          <w:rFonts w:ascii="Calibri" w:eastAsia="Calibri" w:hAnsi="Calibri" w:cs="Calibri"/>
          <w:color w:val="000000" w:themeColor="text1"/>
        </w:rPr>
      </w:pPr>
      <w:r w:rsidRPr="008653F7">
        <w:rPr>
          <w:rStyle w:val="Hyperlink"/>
          <w:rFonts w:ascii="Calibri" w:eastAsia="Calibri" w:hAnsi="Calibri" w:cs="Calibri"/>
          <w:color w:val="000000" w:themeColor="text1"/>
          <w:u w:val="none"/>
        </w:rPr>
        <w:t>Standards for Mathematics Practices</w:t>
      </w:r>
    </w:p>
    <w:p w14:paraId="54F0DD9E" w14:textId="383AC13B" w:rsidR="766C75F1" w:rsidRPr="008653F7" w:rsidRDefault="766C75F1" w:rsidP="766C75F1">
      <w:pPr>
        <w:spacing w:after="0" w:line="240" w:lineRule="auto"/>
        <w:rPr>
          <w:rFonts w:ascii="Calibri" w:eastAsia="Calibri" w:hAnsi="Calibri" w:cs="Calibri"/>
        </w:rPr>
      </w:pPr>
    </w:p>
    <w:p w14:paraId="4DB2455C" w14:textId="00FB5F2D" w:rsidR="60B52058" w:rsidRPr="008653F7" w:rsidRDefault="00C55A58" w:rsidP="766C75F1">
      <w:pPr>
        <w:spacing w:after="0" w:line="240" w:lineRule="auto"/>
        <w:rPr>
          <w:rStyle w:val="Hyperlink"/>
          <w:rFonts w:ascii="Calibri" w:eastAsia="Calibri" w:hAnsi="Calibri" w:cs="Calibri"/>
        </w:rPr>
      </w:pPr>
      <w:hyperlink w:anchor="_Science_and_Technology/Engineering">
        <w:r w:rsidR="60B52058" w:rsidRPr="008653F7">
          <w:rPr>
            <w:rStyle w:val="Hyperlink"/>
            <w:rFonts w:ascii="Calibri" w:eastAsia="Calibri" w:hAnsi="Calibri" w:cs="Calibri"/>
          </w:rPr>
          <w:t>Science and Technology/Engineering</w:t>
        </w:r>
      </w:hyperlink>
    </w:p>
    <w:p w14:paraId="63C56E31" w14:textId="49D99AA1" w:rsidR="005F16E0" w:rsidRPr="008653F7"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8653F7">
        <w:rPr>
          <w:rStyle w:val="Hyperlink"/>
          <w:rFonts w:ascii="Calibri" w:eastAsia="Calibri" w:hAnsi="Calibri" w:cs="Calibri"/>
          <w:color w:val="000000" w:themeColor="text1"/>
          <w:u w:val="none"/>
        </w:rPr>
        <w:t>Science and Technology/Engineering Content Progression</w:t>
      </w:r>
    </w:p>
    <w:p w14:paraId="00356167" w14:textId="2321A9E7" w:rsidR="005F16E0" w:rsidRPr="008653F7"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8653F7">
        <w:rPr>
          <w:rStyle w:val="Hyperlink"/>
          <w:rFonts w:ascii="Calibri" w:eastAsia="Calibri" w:hAnsi="Calibri" w:cs="Calibri"/>
          <w:color w:val="000000" w:themeColor="text1"/>
          <w:u w:val="none"/>
        </w:rPr>
        <w:t>Science and Technology/Engineering Practices</w:t>
      </w:r>
    </w:p>
    <w:p w14:paraId="462F838C" w14:textId="77777777" w:rsidR="00022719" w:rsidRPr="008653F7" w:rsidRDefault="00022719" w:rsidP="73ACE57D">
      <w:pPr>
        <w:spacing w:after="0" w:line="240" w:lineRule="auto"/>
        <w:rPr>
          <w:rFonts w:ascii="Calibri" w:eastAsia="Calibri" w:hAnsi="Calibri" w:cs="Calibri"/>
        </w:rPr>
      </w:pP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123DF449" w14:textId="514DAB9F" w:rsidR="63EF8817" w:rsidRDefault="0053471B" w:rsidP="00AF71A8">
      <w:pPr>
        <w:pStyle w:val="Heading1"/>
        <w:rPr>
          <w:rFonts w:eastAsia="Calibri"/>
        </w:rPr>
      </w:pPr>
      <w:bookmarkStart w:id="0" w:name="Moderate"/>
      <w:bookmarkStart w:id="1" w:name="_Moderate_Disabilities,_5-12,"/>
      <w:bookmarkEnd w:id="0"/>
      <w:bookmarkEnd w:id="1"/>
      <w:r>
        <w:rPr>
          <w:rFonts w:eastAsia="Calibri"/>
        </w:rPr>
        <w:t>Teacher of the Deaf and Hard of Hearing</w:t>
      </w:r>
      <w:r w:rsidR="63EF8817" w:rsidRPr="46BBFF7D">
        <w:rPr>
          <w:rFonts w:eastAsia="Calibri"/>
        </w:rPr>
        <w:t xml:space="preserve">, </w:t>
      </w:r>
      <w:r>
        <w:rPr>
          <w:rFonts w:eastAsia="Calibri"/>
        </w:rPr>
        <w:t>All</w:t>
      </w:r>
      <w:r w:rsidR="41CACDC2" w:rsidRPr="46BBFF7D">
        <w:rPr>
          <w:rFonts w:eastAsia="Calibri"/>
        </w:rPr>
        <w:t>, Knowledge and Skills</w:t>
      </w:r>
    </w:p>
    <w:p w14:paraId="2601D4D1" w14:textId="6F74BD1A" w:rsidR="63EF8817" w:rsidRDefault="63EF8817" w:rsidP="460A1D2E">
      <w:pPr>
        <w:spacing w:after="0"/>
        <w:rPr>
          <w:rFonts w:eastAsiaTheme="minorEastAsia"/>
          <w:color w:val="000000" w:themeColor="text1"/>
        </w:rPr>
      </w:pPr>
      <w:r w:rsidRPr="460A1D2E">
        <w:rPr>
          <w:rFonts w:eastAsiaTheme="minorEastAsia"/>
          <w:color w:val="000000" w:themeColor="text1"/>
        </w:rPr>
        <w:t xml:space="preserve">In addition to the content aligned with the Massachusetts Curriculum Frameworks, Teachers of </w:t>
      </w:r>
      <w:r w:rsidR="650A2142" w:rsidRPr="460A1D2E">
        <w:rPr>
          <w:rFonts w:eastAsiaTheme="minorEastAsia"/>
          <w:color w:val="000000" w:themeColor="text1"/>
        </w:rPr>
        <w:t>the Deaf and Hard of Hearing</w:t>
      </w:r>
      <w:r w:rsidRPr="460A1D2E">
        <w:rPr>
          <w:rFonts w:eastAsiaTheme="minorEastAsia"/>
          <w:color w:val="000000" w:themeColor="text1"/>
        </w:rPr>
        <w:t xml:space="preserve"> should demonstrate the following knowledge and skills</w:t>
      </w:r>
      <w:r w:rsidR="30096B3B" w:rsidRPr="460A1D2E">
        <w:rPr>
          <w:rFonts w:eastAsiaTheme="minorEastAsia"/>
          <w:color w:val="000000" w:themeColor="text1"/>
        </w:rPr>
        <w:t>.</w:t>
      </w:r>
    </w:p>
    <w:p w14:paraId="52072A84" w14:textId="634AD33C" w:rsidR="46BBFF7D" w:rsidRDefault="46BBFF7D" w:rsidP="46BBFF7D">
      <w:pPr>
        <w:spacing w:after="0"/>
        <w:rPr>
          <w:rFonts w:eastAsiaTheme="minorEastAsia"/>
          <w:color w:val="000000" w:themeColor="text1"/>
        </w:rPr>
      </w:pPr>
    </w:p>
    <w:tbl>
      <w:tblPr>
        <w:tblStyle w:val="TableGrid"/>
        <w:tblW w:w="0" w:type="auto"/>
        <w:tblLayout w:type="fixed"/>
        <w:tblLook w:val="06A0" w:firstRow="1" w:lastRow="0" w:firstColumn="1" w:lastColumn="0" w:noHBand="1" w:noVBand="1"/>
      </w:tblPr>
      <w:tblGrid>
        <w:gridCol w:w="13680"/>
      </w:tblGrid>
      <w:tr w:rsidR="46BBFF7D" w14:paraId="6858B82B" w14:textId="77777777" w:rsidTr="46BBFF7D">
        <w:trPr>
          <w:trHeight w:val="300"/>
        </w:trPr>
        <w:tc>
          <w:tcPr>
            <w:tcW w:w="13680" w:type="dxa"/>
            <w:shd w:val="clear" w:color="auto" w:fill="E2EFD9" w:themeFill="accent6" w:themeFillTint="33"/>
          </w:tcPr>
          <w:p w14:paraId="0F8D8C13" w14:textId="6DE0AAB5" w:rsidR="4573FE2B" w:rsidRDefault="4573FE2B" w:rsidP="46BBFF7D">
            <w:pPr>
              <w:spacing w:line="259" w:lineRule="auto"/>
              <w:rPr>
                <w:rFonts w:ascii="Calibri" w:eastAsia="Calibri" w:hAnsi="Calibri" w:cs="Calibri"/>
                <w:color w:val="000000" w:themeColor="text1"/>
              </w:rPr>
            </w:pPr>
            <w:r w:rsidRPr="46BBFF7D">
              <w:rPr>
                <w:rStyle w:val="normaltextrun"/>
                <w:rFonts w:ascii="Calibri" w:hAnsi="Calibri" w:cs="Calibri"/>
                <w:b/>
                <w:bCs/>
                <w:color w:val="000000" w:themeColor="text1"/>
              </w:rPr>
              <w:t>Instructions</w:t>
            </w:r>
            <w:r w:rsidRPr="46BBFF7D">
              <w:rPr>
                <w:rStyle w:val="normaltextrun"/>
                <w:rFonts w:ascii="Calibri" w:hAnsi="Calibri" w:cs="Calibri"/>
                <w:b/>
                <w:bCs/>
                <w:i/>
                <w:iCs/>
                <w:color w:val="000000" w:themeColor="text1"/>
              </w:rPr>
              <w:t>:</w:t>
            </w:r>
            <w:r w:rsidRPr="46BBFF7D">
              <w:rPr>
                <w:rStyle w:val="normaltextrun"/>
                <w:rFonts w:ascii="Calibri" w:hAnsi="Calibri" w:cs="Calibri"/>
                <w:i/>
                <w:iCs/>
                <w:color w:val="000000" w:themeColor="text1"/>
              </w:rPr>
              <w:t xml:space="preserve"> </w:t>
            </w:r>
            <w:r w:rsidR="12A21A98" w:rsidRPr="46BBFF7D">
              <w:rPr>
                <w:rStyle w:val="normaltextrun"/>
                <w:rFonts w:ascii="Calibri" w:eastAsia="Calibri" w:hAnsi="Calibri" w:cs="Calibri"/>
                <w:color w:val="000000" w:themeColor="text1"/>
              </w:rPr>
              <w:t xml:space="preserve">The content knowledge below must either be covered directly through program coursework or screened during the admissions process. For each row, list the numbers/abbreviations/titles of the </w:t>
            </w:r>
            <w:r w:rsidR="12A21A98" w:rsidRPr="46BBFF7D">
              <w:rPr>
                <w:rStyle w:val="normaltextrun"/>
                <w:rFonts w:ascii="Calibri" w:eastAsia="Calibri" w:hAnsi="Calibri" w:cs="Calibri"/>
                <w:b/>
                <w:bCs/>
                <w:color w:val="000000" w:themeColor="text1"/>
              </w:rPr>
              <w:t>sponsoring organization’s required courses where the content is explicitly targeted and coherently addressed</w:t>
            </w:r>
            <w:r w:rsidR="12A21A98" w:rsidRPr="46BBFF7D">
              <w:rPr>
                <w:rStyle w:val="normaltextrun"/>
                <w:rFonts w:ascii="Calibri" w:eastAsia="Calibri" w:hAnsi="Calibri" w:cs="Calibri"/>
                <w:color w:val="000000" w:themeColor="text1"/>
              </w:rPr>
              <w:t xml:space="preserve">. Then, </w:t>
            </w:r>
            <w:r w:rsidR="12A21A98" w:rsidRPr="46BBFF7D">
              <w:rPr>
                <w:rStyle w:val="normaltextrun"/>
                <w:rFonts w:ascii="Calibri" w:eastAsia="Calibri" w:hAnsi="Calibri" w:cs="Calibri"/>
                <w:b/>
                <w:bCs/>
                <w:color w:val="000000" w:themeColor="text1"/>
              </w:rPr>
              <w:t>briefly describe where in the syllabus the content is covered</w:t>
            </w:r>
            <w:r w:rsidR="12A21A98" w:rsidRPr="46BBFF7D">
              <w:rPr>
                <w:rStyle w:val="normaltextrun"/>
                <w:rFonts w:ascii="Calibri" w:eastAsia="Calibri" w:hAnsi="Calibri" w:cs="Calibri"/>
                <w:color w:val="000000" w:themeColor="text1"/>
              </w:rPr>
              <w:t xml:space="preserve"> (i.e., unit name, week number, objective number). Course identifiers should match those of submitted syllabi and content knowledge for each grade level should not be spread across too many courses.  </w:t>
            </w:r>
          </w:p>
        </w:tc>
      </w:tr>
    </w:tbl>
    <w:p w14:paraId="6B0AF66E" w14:textId="3019D55A" w:rsidR="46BBFF7D" w:rsidRDefault="46BBFF7D" w:rsidP="766C75F1">
      <w:pPr>
        <w:rPr>
          <w:rStyle w:val="normaltextrun"/>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25"/>
        <w:gridCol w:w="2339"/>
      </w:tblGrid>
      <w:tr w:rsidR="46BBFF7D" w14:paraId="372118C9" w14:textId="77777777" w:rsidTr="00F94BD0">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1467436" w14:textId="2387E1A3" w:rsidR="1B33ABBB" w:rsidRDefault="1B33ABBB" w:rsidP="46BBFF7D">
            <w:pPr>
              <w:spacing w:after="0" w:line="240" w:lineRule="auto"/>
              <w:rPr>
                <w:rFonts w:ascii="Calibri" w:eastAsia="Calibri" w:hAnsi="Calibri" w:cs="Calibri"/>
                <w:b/>
                <w:bCs/>
              </w:rPr>
            </w:pPr>
            <w:r w:rsidRPr="46BBFF7D">
              <w:rPr>
                <w:rFonts w:ascii="Calibri" w:eastAsia="Calibri" w:hAnsi="Calibri" w:cs="Calibri"/>
                <w:b/>
                <w:bCs/>
              </w:rPr>
              <w:t xml:space="preserve">  </w:t>
            </w:r>
            <w:r w:rsidR="000E6648" w:rsidRPr="000E6648">
              <w:rPr>
                <w:rFonts w:ascii="Calibri" w:eastAsia="Calibri" w:hAnsi="Calibri" w:cs="Calibri"/>
                <w:b/>
                <w:bCs/>
              </w:rPr>
              <w:t>Oral/Aura</w:t>
            </w:r>
            <w:r w:rsidR="000E6648">
              <w:rPr>
                <w:rFonts w:ascii="Calibri" w:eastAsia="Calibri" w:hAnsi="Calibri" w:cs="Calibri"/>
                <w:b/>
                <w:bCs/>
              </w:rPr>
              <w:t>l</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32DED75" w14:textId="48DA7348" w:rsidR="46BBFF7D" w:rsidRDefault="46BBFF7D" w:rsidP="46BBFF7D">
            <w:pPr>
              <w:spacing w:after="0" w:line="240" w:lineRule="auto"/>
              <w:jc w:val="center"/>
              <w:rPr>
                <w:rFonts w:ascii="Calibri" w:eastAsia="Calibri" w:hAnsi="Calibri" w:cs="Calibri"/>
                <w:b/>
                <w:bCs/>
              </w:rPr>
            </w:pPr>
            <w:r w:rsidRPr="46BBFF7D">
              <w:rPr>
                <w:rFonts w:ascii="Calibri" w:eastAsia="Calibri" w:hAnsi="Calibri" w:cs="Calibri"/>
                <w:b/>
                <w:bCs/>
                <w:color w:val="000000" w:themeColor="text1"/>
              </w:rPr>
              <w:t>Course(s) or Screening</w:t>
            </w:r>
          </w:p>
        </w:tc>
      </w:tr>
      <w:tr w:rsidR="46BBFF7D" w14:paraId="097D6308" w14:textId="77777777" w:rsidTr="00F94BD0">
        <w:trPr>
          <w:trHeight w:val="24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1CE3043" w14:textId="0B8DEBB3"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Example Row</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C5FCE4D" w14:textId="535C9700" w:rsidR="46BBFF7D" w:rsidRDefault="46BBFF7D" w:rsidP="46BBFF7D">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EDU 101 – Weeks 5-7</w:t>
            </w:r>
          </w:p>
        </w:tc>
      </w:tr>
      <w:tr w:rsidR="46BBFF7D" w14:paraId="0180348D" w14:textId="77777777" w:rsidTr="00F94BD0">
        <w:trPr>
          <w:trHeight w:val="42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78AB61" w14:textId="77777777" w:rsidR="00623C1E" w:rsidRDefault="00774DFB" w:rsidP="00623C1E">
            <w:pPr>
              <w:pStyle w:val="ListParagraph"/>
              <w:numPr>
                <w:ilvl w:val="0"/>
                <w:numId w:val="31"/>
              </w:numPr>
              <w:spacing w:after="0"/>
              <w:rPr>
                <w:rFonts w:eastAsiaTheme="minorEastAsia"/>
                <w:color w:val="000000" w:themeColor="text1"/>
              </w:rPr>
            </w:pPr>
            <w:r w:rsidRPr="00623C1E">
              <w:rPr>
                <w:rFonts w:eastAsiaTheme="minorEastAsia"/>
                <w:color w:val="000000" w:themeColor="text1"/>
              </w:rPr>
              <w:t>Hearing and Hearing Technology including:</w:t>
            </w:r>
          </w:p>
          <w:p w14:paraId="511DE09C" w14:textId="77777777" w:rsidR="00623C1E" w:rsidRDefault="00774DFB" w:rsidP="00623C1E">
            <w:pPr>
              <w:pStyle w:val="ListParagraph"/>
              <w:numPr>
                <w:ilvl w:val="1"/>
                <w:numId w:val="31"/>
              </w:numPr>
              <w:spacing w:after="0"/>
              <w:rPr>
                <w:rFonts w:eastAsiaTheme="minorEastAsia"/>
                <w:color w:val="000000" w:themeColor="text1"/>
              </w:rPr>
            </w:pPr>
            <w:r w:rsidRPr="00623C1E">
              <w:rPr>
                <w:rFonts w:eastAsiaTheme="minorEastAsia"/>
                <w:color w:val="000000" w:themeColor="text1"/>
              </w:rPr>
              <w:t xml:space="preserve">The anatomy and physiology of ear and neural pathways, physics of sound and psychoacoustics including auditory perception, speech acoustics and impact of environmental acoustics on speech understanding and listening. </w:t>
            </w:r>
          </w:p>
          <w:p w14:paraId="1762B379" w14:textId="77777777" w:rsidR="00623C1E" w:rsidRDefault="00774DFB" w:rsidP="00623C1E">
            <w:pPr>
              <w:pStyle w:val="ListParagraph"/>
              <w:numPr>
                <w:ilvl w:val="1"/>
                <w:numId w:val="31"/>
              </w:numPr>
              <w:spacing w:after="0"/>
              <w:rPr>
                <w:rFonts w:eastAsiaTheme="minorEastAsia"/>
                <w:color w:val="000000" w:themeColor="text1"/>
              </w:rPr>
            </w:pPr>
            <w:r w:rsidRPr="00623C1E">
              <w:rPr>
                <w:rFonts w:eastAsiaTheme="minorEastAsia"/>
                <w:color w:val="000000" w:themeColor="text1"/>
              </w:rPr>
              <w:t>Hearing measurement and etiology (both objective and subjective screening and test methods), test interpretation, hearing levels and the impact on listening and speech perception.</w:t>
            </w:r>
          </w:p>
          <w:p w14:paraId="02195524" w14:textId="3C012528" w:rsidR="0ED58844" w:rsidRPr="00594396" w:rsidRDefault="00774DFB" w:rsidP="00594396">
            <w:pPr>
              <w:pStyle w:val="ListParagraph"/>
              <w:numPr>
                <w:ilvl w:val="1"/>
                <w:numId w:val="31"/>
              </w:numPr>
              <w:spacing w:after="0"/>
              <w:rPr>
                <w:rFonts w:eastAsiaTheme="minorEastAsia"/>
                <w:color w:val="000000" w:themeColor="text1"/>
              </w:rPr>
            </w:pPr>
            <w:r w:rsidRPr="00623C1E">
              <w:rPr>
                <w:rFonts w:eastAsiaTheme="minorEastAsia"/>
                <w:color w:val="000000" w:themeColor="text1"/>
              </w:rPr>
              <w:t>Function and uses of available sensory devices and hearing assistive technology.</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5F4AF5"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46BBFF7D" w14:paraId="4BFD8C5D" w14:textId="77777777" w:rsidTr="00F94BD0">
        <w:trPr>
          <w:trHeight w:val="354"/>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FB4D1F" w14:textId="77777777" w:rsidR="00594396" w:rsidRDefault="00594396" w:rsidP="00594396">
            <w:pPr>
              <w:pStyle w:val="ListParagraph"/>
              <w:numPr>
                <w:ilvl w:val="0"/>
                <w:numId w:val="31"/>
              </w:numPr>
              <w:spacing w:after="0"/>
              <w:rPr>
                <w:rFonts w:eastAsiaTheme="minorEastAsia"/>
                <w:color w:val="000000" w:themeColor="text1"/>
              </w:rPr>
            </w:pPr>
            <w:r w:rsidRPr="00623C1E">
              <w:rPr>
                <w:rFonts w:eastAsiaTheme="minorEastAsia"/>
                <w:color w:val="000000" w:themeColor="text1"/>
              </w:rPr>
              <w:t>Auditory Functioning including:</w:t>
            </w:r>
          </w:p>
          <w:p w14:paraId="7FD6C517" w14:textId="63508F65" w:rsidR="1DE9E158" w:rsidRPr="00594396" w:rsidRDefault="00594396" w:rsidP="00594396">
            <w:pPr>
              <w:pStyle w:val="ListParagraph"/>
              <w:numPr>
                <w:ilvl w:val="1"/>
                <w:numId w:val="31"/>
              </w:numPr>
              <w:spacing w:after="0"/>
              <w:rPr>
                <w:rFonts w:eastAsiaTheme="minorEastAsia"/>
                <w:color w:val="000000" w:themeColor="text1"/>
              </w:rPr>
            </w:pPr>
            <w:r w:rsidRPr="00623C1E">
              <w:rPr>
                <w:rFonts w:eastAsiaTheme="minorEastAsia"/>
                <w:color w:val="000000" w:themeColor="text1"/>
              </w:rPr>
              <w:t>Typical auditory development, auditory development of children with hearing loss, auditory development using hearing technology, the auditory hierarchy, acoustic phonetics (sounds of speech and transmission/reception), appropriate electroacoustic and functional assessments, and factors that impact auditory development.</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A02D32"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r w:rsidR="46BBFF7D" w14:paraId="42A3C89C" w14:textId="77777777" w:rsidTr="00F94BD0">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5B1B21" w14:textId="77777777" w:rsidR="00594396" w:rsidRDefault="00594396" w:rsidP="00594396">
            <w:pPr>
              <w:pStyle w:val="ListParagraph"/>
              <w:numPr>
                <w:ilvl w:val="0"/>
                <w:numId w:val="31"/>
              </w:numPr>
              <w:spacing w:after="0"/>
              <w:rPr>
                <w:rFonts w:eastAsiaTheme="minorEastAsia"/>
                <w:color w:val="000000" w:themeColor="text1"/>
              </w:rPr>
            </w:pPr>
            <w:r w:rsidRPr="00594396">
              <w:rPr>
                <w:rFonts w:eastAsiaTheme="minorEastAsia"/>
                <w:color w:val="000000" w:themeColor="text1"/>
              </w:rPr>
              <w:t>Spoken Language Communication including:</w:t>
            </w:r>
          </w:p>
          <w:p w14:paraId="5E38917D" w14:textId="3A38C7F0" w:rsidR="1DE9E158" w:rsidRPr="00594396" w:rsidRDefault="00594396" w:rsidP="00594396">
            <w:pPr>
              <w:pStyle w:val="ListParagraph"/>
              <w:numPr>
                <w:ilvl w:val="1"/>
                <w:numId w:val="31"/>
              </w:numPr>
              <w:spacing w:after="0"/>
              <w:rPr>
                <w:rFonts w:eastAsiaTheme="minorEastAsia"/>
                <w:color w:val="000000" w:themeColor="text1"/>
              </w:rPr>
            </w:pPr>
            <w:r w:rsidRPr="00594396">
              <w:rPr>
                <w:rFonts w:eastAsiaTheme="minorEastAsia"/>
                <w:color w:val="000000" w:themeColor="text1"/>
              </w:rPr>
              <w:t>Speech production: sequence of development (typical and atypical), anatomy and physiology of the speech/voice mechanism; and formal and informal speech production assessment measures.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8631A8" w14:textId="77777777" w:rsidR="46BBFF7D" w:rsidRDefault="46BBFF7D" w:rsidP="46BBFF7D">
            <w:pPr>
              <w:spacing w:after="0" w:line="240" w:lineRule="auto"/>
              <w:rPr>
                <w:rFonts w:ascii="Times New Roman" w:eastAsia="Times New Roman" w:hAnsi="Times New Roman" w:cs="Times New Roman"/>
                <w:color w:val="000000" w:themeColor="text1"/>
                <w:sz w:val="24"/>
                <w:szCs w:val="24"/>
              </w:rPr>
            </w:pPr>
          </w:p>
        </w:tc>
      </w:tr>
    </w:tbl>
    <w:p w14:paraId="25E718A7" w14:textId="23BD00D1" w:rsidR="0053471B" w:rsidRDefault="0053471B" w:rsidP="46BBFF7D">
      <w:pPr>
        <w:spacing w:after="0"/>
        <w:rPr>
          <w:rFonts w:eastAsiaTheme="minorEastAsia"/>
          <w:color w:val="000000" w:themeColor="text1"/>
        </w:rPr>
      </w:pPr>
    </w:p>
    <w:p w14:paraId="24D511EB" w14:textId="77777777" w:rsidR="0053471B" w:rsidRDefault="0053471B">
      <w:pPr>
        <w:rPr>
          <w:rFonts w:eastAsiaTheme="minorEastAsia"/>
          <w:color w:val="000000" w:themeColor="text1"/>
        </w:rPr>
      </w:pPr>
      <w:r>
        <w:rPr>
          <w:rFonts w:eastAsiaTheme="minorEastAsia"/>
          <w:color w:val="000000" w:themeColor="text1"/>
        </w:rPr>
        <w:br w:type="page"/>
      </w:r>
    </w:p>
    <w:p w14:paraId="474B02F3" w14:textId="77777777" w:rsidR="46BBFF7D" w:rsidRDefault="46BBFF7D" w:rsidP="46BBFF7D">
      <w:pPr>
        <w:spacing w:after="0"/>
        <w:rPr>
          <w:rFonts w:eastAsiaTheme="minorEastAsia"/>
          <w:color w:val="000000" w:themeColor="text1"/>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25"/>
        <w:gridCol w:w="2339"/>
      </w:tblGrid>
      <w:tr w:rsidR="00774DFB" w14:paraId="5C84A4DA"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CAA9A1E" w14:textId="19BA84DD" w:rsidR="00774DFB" w:rsidRPr="000E6648" w:rsidRDefault="00774DFB" w:rsidP="001301E3">
            <w:pPr>
              <w:spacing w:after="0" w:line="240" w:lineRule="auto"/>
              <w:rPr>
                <w:rFonts w:ascii="Calibri" w:eastAsia="Calibri" w:hAnsi="Calibri" w:cs="Calibri"/>
                <w:b/>
                <w:bCs/>
              </w:rPr>
            </w:pPr>
            <w:r w:rsidRPr="46BBFF7D">
              <w:rPr>
                <w:rFonts w:ascii="Calibri" w:eastAsia="Calibri" w:hAnsi="Calibri" w:cs="Calibri"/>
                <w:b/>
                <w:bCs/>
              </w:rPr>
              <w:t xml:space="preserve">  </w:t>
            </w:r>
            <w:r w:rsidR="000E6648" w:rsidRPr="000E6648">
              <w:rPr>
                <w:b/>
                <w:bCs/>
                <w:color w:val="000000"/>
              </w:rPr>
              <w:t>American Sign Language (ASL)</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7E7390E" w14:textId="77777777" w:rsidR="00774DFB" w:rsidRDefault="00774DFB" w:rsidP="001301E3">
            <w:pPr>
              <w:spacing w:after="0" w:line="240" w:lineRule="auto"/>
              <w:jc w:val="center"/>
              <w:rPr>
                <w:rFonts w:ascii="Calibri" w:eastAsia="Calibri" w:hAnsi="Calibri" w:cs="Calibri"/>
                <w:b/>
                <w:bCs/>
              </w:rPr>
            </w:pPr>
            <w:r w:rsidRPr="46BBFF7D">
              <w:rPr>
                <w:rFonts w:ascii="Calibri" w:eastAsia="Calibri" w:hAnsi="Calibri" w:cs="Calibri"/>
                <w:b/>
                <w:bCs/>
                <w:color w:val="000000" w:themeColor="text1"/>
              </w:rPr>
              <w:t>Course(s) or Screening</w:t>
            </w:r>
          </w:p>
        </w:tc>
      </w:tr>
      <w:tr w:rsidR="00774DFB" w14:paraId="4513D2EA" w14:textId="77777777" w:rsidTr="00774DFB">
        <w:trPr>
          <w:trHeight w:val="246"/>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67B52612" w14:textId="77777777" w:rsidR="00774DFB" w:rsidRDefault="00774DFB" w:rsidP="001301E3">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Example Row</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2B826971" w14:textId="77777777" w:rsidR="00774DFB" w:rsidRDefault="00774DFB" w:rsidP="001301E3">
            <w:pPr>
              <w:spacing w:after="0" w:line="240" w:lineRule="auto"/>
              <w:jc w:val="center"/>
              <w:rPr>
                <w:rFonts w:ascii="Calibri" w:eastAsia="Calibri" w:hAnsi="Calibri" w:cs="Calibri"/>
                <w:color w:val="000000" w:themeColor="text1"/>
              </w:rPr>
            </w:pPr>
            <w:r w:rsidRPr="46BBFF7D">
              <w:rPr>
                <w:rFonts w:ascii="Calibri" w:eastAsia="Calibri" w:hAnsi="Calibri" w:cs="Calibri"/>
                <w:i/>
                <w:iCs/>
                <w:color w:val="000000" w:themeColor="text1"/>
              </w:rPr>
              <w:t>EDU 101 – Weeks 5-7</w:t>
            </w:r>
          </w:p>
        </w:tc>
      </w:tr>
      <w:tr w:rsidR="00774DFB" w14:paraId="2ECE8635" w14:textId="77777777" w:rsidTr="00774DFB">
        <w:trPr>
          <w:trHeight w:val="354"/>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4D693A" w14:textId="7764D19B" w:rsidR="00774DFB" w:rsidRPr="0053471B" w:rsidRDefault="00F94BD0" w:rsidP="0053471B">
            <w:pPr>
              <w:pStyle w:val="ListParagraph"/>
              <w:numPr>
                <w:ilvl w:val="0"/>
                <w:numId w:val="32"/>
              </w:numPr>
              <w:spacing w:after="0"/>
              <w:rPr>
                <w:rFonts w:eastAsiaTheme="minorEastAsia"/>
                <w:color w:val="000000" w:themeColor="text1"/>
              </w:rPr>
            </w:pPr>
            <w:r w:rsidRPr="00F94BD0">
              <w:rPr>
                <w:rFonts w:eastAsiaTheme="minorEastAsia"/>
                <w:color w:val="000000" w:themeColor="text1"/>
              </w:rPr>
              <w:t>Knowledge of the perception, acquisition and processing of language (including both spoken and sign language).</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ECAA2A6" w14:textId="77777777" w:rsidR="00774DFB" w:rsidRDefault="00774DFB" w:rsidP="001301E3">
            <w:pPr>
              <w:spacing w:after="0" w:line="240" w:lineRule="auto"/>
              <w:rPr>
                <w:rFonts w:ascii="Times New Roman" w:eastAsia="Times New Roman" w:hAnsi="Times New Roman" w:cs="Times New Roman"/>
                <w:color w:val="000000" w:themeColor="text1"/>
                <w:sz w:val="24"/>
                <w:szCs w:val="24"/>
              </w:rPr>
            </w:pPr>
          </w:p>
        </w:tc>
      </w:tr>
      <w:tr w:rsidR="00774DFB" w14:paraId="14FFC29C" w14:textId="77777777" w:rsidTr="0053471B">
        <w:trPr>
          <w:trHeight w:val="345"/>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FF792B" w14:textId="3AECF8E1" w:rsidR="00774DFB" w:rsidRPr="0053471B" w:rsidRDefault="0053471B" w:rsidP="0053471B">
            <w:pPr>
              <w:pStyle w:val="ListParagraph"/>
              <w:numPr>
                <w:ilvl w:val="0"/>
                <w:numId w:val="32"/>
              </w:numPr>
              <w:spacing w:after="0"/>
              <w:rPr>
                <w:rFonts w:eastAsiaTheme="minorEastAsia"/>
                <w:color w:val="000000" w:themeColor="text1"/>
              </w:rPr>
            </w:pPr>
            <w:r w:rsidRPr="00F94BD0">
              <w:rPr>
                <w:rFonts w:eastAsiaTheme="minorEastAsia"/>
                <w:color w:val="000000" w:themeColor="text1"/>
              </w:rPr>
              <w:t>Knowledge of strategies for supporting language acquisition in sign language.</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D83F43" w14:textId="77777777" w:rsidR="00774DFB" w:rsidRDefault="00774DFB" w:rsidP="001301E3">
            <w:pPr>
              <w:spacing w:after="0" w:line="240" w:lineRule="auto"/>
              <w:rPr>
                <w:rFonts w:ascii="Times New Roman" w:eastAsia="Times New Roman" w:hAnsi="Times New Roman" w:cs="Times New Roman"/>
                <w:color w:val="000000" w:themeColor="text1"/>
                <w:sz w:val="24"/>
                <w:szCs w:val="24"/>
              </w:rPr>
            </w:pPr>
          </w:p>
        </w:tc>
      </w:tr>
      <w:tr w:rsidR="00774DFB" w14:paraId="1C82F322"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D9A946" w14:textId="39619578" w:rsidR="00774DFB" w:rsidRPr="0053471B" w:rsidRDefault="0053471B" w:rsidP="0053471B">
            <w:pPr>
              <w:pStyle w:val="ListParagraph"/>
              <w:numPr>
                <w:ilvl w:val="0"/>
                <w:numId w:val="32"/>
              </w:numPr>
              <w:spacing w:after="0"/>
              <w:rPr>
                <w:rFonts w:eastAsiaTheme="minorEastAsia"/>
                <w:color w:val="000000" w:themeColor="text1"/>
              </w:rPr>
            </w:pPr>
            <w:r w:rsidRPr="0053471B">
              <w:rPr>
                <w:rFonts w:eastAsiaTheme="minorEastAsia"/>
                <w:color w:val="000000" w:themeColor="text1"/>
              </w:rPr>
              <w:t>Knowledge of theories in typical and atypical child development as it relates to children who are deaf or hard of hearing, including emotional, social and intellectual development.</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3FAAA9" w14:textId="77777777" w:rsidR="00774DFB" w:rsidRDefault="00774DFB" w:rsidP="001301E3">
            <w:pPr>
              <w:spacing w:line="240" w:lineRule="auto"/>
              <w:rPr>
                <w:rFonts w:ascii="Times New Roman" w:eastAsia="Times New Roman" w:hAnsi="Times New Roman" w:cs="Times New Roman"/>
                <w:color w:val="000000" w:themeColor="text1"/>
                <w:sz w:val="24"/>
                <w:szCs w:val="24"/>
              </w:rPr>
            </w:pPr>
          </w:p>
        </w:tc>
      </w:tr>
      <w:tr w:rsidR="00774DFB" w14:paraId="59971251"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B61BBE" w14:textId="712EF22B" w:rsidR="00774DFB" w:rsidRPr="0053471B" w:rsidRDefault="0053471B" w:rsidP="0053471B">
            <w:pPr>
              <w:pStyle w:val="ListParagraph"/>
              <w:numPr>
                <w:ilvl w:val="0"/>
                <w:numId w:val="32"/>
              </w:numPr>
              <w:spacing w:after="0"/>
              <w:rPr>
                <w:rFonts w:eastAsiaTheme="minorEastAsia"/>
                <w:color w:val="000000" w:themeColor="text1"/>
              </w:rPr>
            </w:pPr>
            <w:r w:rsidRPr="00F94BD0">
              <w:rPr>
                <w:rFonts w:eastAsiaTheme="minorEastAsia"/>
                <w:color w:val="000000" w:themeColor="text1"/>
              </w:rPr>
              <w:t>Knowledge of the design and modifications of curricular and instructional materials to ensure accessibility of the curriculum for deaf or hard of hearing students with and without special needs.</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53314B" w14:textId="77777777" w:rsidR="00774DFB" w:rsidRDefault="00774DFB" w:rsidP="001301E3">
            <w:pPr>
              <w:spacing w:line="240" w:lineRule="auto"/>
              <w:rPr>
                <w:rFonts w:ascii="Times New Roman" w:eastAsia="Times New Roman" w:hAnsi="Times New Roman" w:cs="Times New Roman"/>
                <w:color w:val="000000" w:themeColor="text1"/>
                <w:sz w:val="24"/>
                <w:szCs w:val="24"/>
              </w:rPr>
            </w:pPr>
          </w:p>
        </w:tc>
      </w:tr>
      <w:tr w:rsidR="00774DFB" w14:paraId="71602D22"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A681DF" w14:textId="25B2B161" w:rsidR="00774DFB" w:rsidRPr="0053471B" w:rsidRDefault="0053471B" w:rsidP="0053471B">
            <w:pPr>
              <w:pStyle w:val="ListParagraph"/>
              <w:numPr>
                <w:ilvl w:val="0"/>
                <w:numId w:val="32"/>
              </w:numPr>
              <w:spacing w:after="0"/>
              <w:rPr>
                <w:rFonts w:eastAsiaTheme="minorEastAsia"/>
                <w:color w:val="000000" w:themeColor="text1"/>
              </w:rPr>
            </w:pPr>
            <w:r w:rsidRPr="00F94BD0">
              <w:rPr>
                <w:rFonts w:eastAsiaTheme="minorEastAsia"/>
                <w:color w:val="000000" w:themeColor="text1"/>
              </w:rPr>
              <w:t>Knowledge of strategies for promoting literacy among students who are deaf or hard of hearing.</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D116AF" w14:textId="77777777" w:rsidR="00774DFB" w:rsidRDefault="00774DFB" w:rsidP="001301E3">
            <w:pPr>
              <w:spacing w:line="240" w:lineRule="auto"/>
              <w:rPr>
                <w:rFonts w:ascii="Times New Roman" w:eastAsia="Times New Roman" w:hAnsi="Times New Roman" w:cs="Times New Roman"/>
                <w:color w:val="000000" w:themeColor="text1"/>
                <w:sz w:val="24"/>
                <w:szCs w:val="24"/>
              </w:rPr>
            </w:pPr>
          </w:p>
        </w:tc>
      </w:tr>
      <w:tr w:rsidR="0053471B" w14:paraId="42203039"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FDA6C" w14:textId="51FCB418" w:rsidR="0053471B" w:rsidRPr="0053471B" w:rsidRDefault="0053471B" w:rsidP="0053471B">
            <w:pPr>
              <w:pStyle w:val="ListParagraph"/>
              <w:numPr>
                <w:ilvl w:val="0"/>
                <w:numId w:val="32"/>
              </w:numPr>
              <w:spacing w:after="0"/>
              <w:rPr>
                <w:rFonts w:eastAsiaTheme="minorEastAsia"/>
                <w:color w:val="000000" w:themeColor="text1"/>
              </w:rPr>
            </w:pPr>
            <w:r w:rsidRPr="00F94BD0">
              <w:rPr>
                <w:rFonts w:eastAsiaTheme="minorEastAsia"/>
                <w:color w:val="000000" w:themeColor="text1"/>
              </w:rPr>
              <w:t>Knowledge of the clinical foundations of hearing.</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CB08E0" w14:textId="77777777" w:rsidR="0053471B" w:rsidRDefault="0053471B" w:rsidP="001301E3">
            <w:pPr>
              <w:spacing w:line="240" w:lineRule="auto"/>
              <w:rPr>
                <w:rFonts w:ascii="Times New Roman" w:eastAsia="Times New Roman" w:hAnsi="Times New Roman" w:cs="Times New Roman"/>
                <w:color w:val="000000" w:themeColor="text1"/>
                <w:sz w:val="24"/>
                <w:szCs w:val="24"/>
              </w:rPr>
            </w:pPr>
          </w:p>
        </w:tc>
      </w:tr>
      <w:tr w:rsidR="0053471B" w14:paraId="3ABF83DD"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62FD48" w14:textId="018E255B" w:rsidR="0053471B" w:rsidRPr="0053471B" w:rsidRDefault="0053471B" w:rsidP="0053471B">
            <w:pPr>
              <w:pStyle w:val="ListParagraph"/>
              <w:numPr>
                <w:ilvl w:val="0"/>
                <w:numId w:val="32"/>
              </w:numPr>
              <w:spacing w:after="0"/>
              <w:rPr>
                <w:rFonts w:eastAsiaTheme="minorEastAsia"/>
                <w:color w:val="000000" w:themeColor="text1"/>
              </w:rPr>
            </w:pPr>
            <w:r w:rsidRPr="00F94BD0">
              <w:rPr>
                <w:rFonts w:eastAsiaTheme="minorEastAsia"/>
                <w:color w:val="000000" w:themeColor="text1"/>
              </w:rPr>
              <w:t>Knowledge of the relationship between ASL and English and strategies for translating between ASL and English.</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9B7AB6" w14:textId="77777777" w:rsidR="0053471B" w:rsidRDefault="0053471B" w:rsidP="001301E3">
            <w:pPr>
              <w:spacing w:line="240" w:lineRule="auto"/>
              <w:rPr>
                <w:rFonts w:ascii="Times New Roman" w:eastAsia="Times New Roman" w:hAnsi="Times New Roman" w:cs="Times New Roman"/>
                <w:color w:val="000000" w:themeColor="text1"/>
                <w:sz w:val="24"/>
                <w:szCs w:val="24"/>
              </w:rPr>
            </w:pPr>
          </w:p>
        </w:tc>
      </w:tr>
      <w:tr w:rsidR="0053471B" w14:paraId="26888633" w14:textId="77777777" w:rsidTr="0053471B">
        <w:trPr>
          <w:trHeight w:val="327"/>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AC91A0" w14:textId="1DFA69A2" w:rsidR="0053471B" w:rsidRPr="0053471B" w:rsidRDefault="0053471B" w:rsidP="0053471B">
            <w:pPr>
              <w:pStyle w:val="ListParagraph"/>
              <w:numPr>
                <w:ilvl w:val="0"/>
                <w:numId w:val="32"/>
              </w:numPr>
              <w:spacing w:after="0"/>
              <w:rPr>
                <w:rFonts w:eastAsiaTheme="minorEastAsia"/>
                <w:color w:val="000000" w:themeColor="text1"/>
              </w:rPr>
            </w:pPr>
            <w:r w:rsidRPr="0053471B">
              <w:rPr>
                <w:rFonts w:eastAsiaTheme="minorEastAsia"/>
                <w:color w:val="000000" w:themeColor="text1"/>
              </w:rPr>
              <w:t>Knowledge of Deaf culture, Deaf history</w:t>
            </w:r>
            <w:r>
              <w:rPr>
                <w:rFonts w:eastAsiaTheme="minorEastAsia"/>
                <w:color w:val="000000" w:themeColor="text1"/>
              </w:rPr>
              <w:t>,</w:t>
            </w:r>
            <w:r w:rsidRPr="0053471B">
              <w:rPr>
                <w:rFonts w:eastAsiaTheme="minorEastAsia"/>
                <w:color w:val="000000" w:themeColor="text1"/>
              </w:rPr>
              <w:t xml:space="preserve"> and the Deaf community.</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5B9C51" w14:textId="77777777" w:rsidR="0053471B" w:rsidRDefault="0053471B" w:rsidP="001301E3">
            <w:pPr>
              <w:spacing w:line="240" w:lineRule="auto"/>
              <w:rPr>
                <w:rFonts w:ascii="Times New Roman" w:eastAsia="Times New Roman" w:hAnsi="Times New Roman" w:cs="Times New Roman"/>
                <w:color w:val="000000" w:themeColor="text1"/>
                <w:sz w:val="24"/>
                <w:szCs w:val="24"/>
              </w:rPr>
            </w:pPr>
          </w:p>
        </w:tc>
      </w:tr>
      <w:tr w:rsidR="0053471B" w14:paraId="5B74543D"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9F0B0A" w14:textId="511D6689" w:rsidR="0053471B" w:rsidRPr="0053471B" w:rsidRDefault="0053471B" w:rsidP="0053471B">
            <w:pPr>
              <w:pStyle w:val="ListParagraph"/>
              <w:numPr>
                <w:ilvl w:val="0"/>
                <w:numId w:val="32"/>
              </w:numPr>
              <w:spacing w:after="0"/>
              <w:rPr>
                <w:rFonts w:eastAsiaTheme="minorEastAsia"/>
                <w:color w:val="000000" w:themeColor="text1"/>
              </w:rPr>
            </w:pPr>
            <w:r w:rsidRPr="0053471B">
              <w:rPr>
                <w:rFonts w:eastAsiaTheme="minorEastAsia"/>
                <w:color w:val="000000" w:themeColor="text1"/>
              </w:rPr>
              <w:t>Knowledge of medical, social, and ethical issues related to educating students who are deaf or hard of hearing.</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772287" w14:textId="77777777" w:rsidR="0053471B" w:rsidRDefault="0053471B" w:rsidP="001301E3">
            <w:pPr>
              <w:spacing w:line="240" w:lineRule="auto"/>
              <w:rPr>
                <w:rFonts w:ascii="Times New Roman" w:eastAsia="Times New Roman" w:hAnsi="Times New Roman" w:cs="Times New Roman"/>
                <w:color w:val="000000" w:themeColor="text1"/>
                <w:sz w:val="24"/>
                <w:szCs w:val="24"/>
              </w:rPr>
            </w:pPr>
          </w:p>
        </w:tc>
      </w:tr>
      <w:tr w:rsidR="0053471B" w14:paraId="1B104688"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000D00" w14:textId="372FE242" w:rsidR="0053471B" w:rsidRPr="0053471B" w:rsidRDefault="0053471B" w:rsidP="0053471B">
            <w:pPr>
              <w:pStyle w:val="ListParagraph"/>
              <w:numPr>
                <w:ilvl w:val="0"/>
                <w:numId w:val="32"/>
              </w:numPr>
              <w:spacing w:after="0"/>
              <w:rPr>
                <w:rFonts w:eastAsiaTheme="minorEastAsia"/>
                <w:color w:val="000000" w:themeColor="text1"/>
              </w:rPr>
            </w:pPr>
            <w:r w:rsidRPr="0053471B">
              <w:rPr>
                <w:rFonts w:eastAsiaTheme="minorEastAsia"/>
                <w:color w:val="000000" w:themeColor="text1"/>
              </w:rPr>
              <w:t>Knowledge of Federal and State Special Education Laws, Individualized Education Programs (IEPs) and Section 504 of the Rehabilitation Act of 1973 (29 USC 794) plan development and implementation for students who are deaf or hard of hearing.</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FF87FA" w14:textId="77777777" w:rsidR="0053471B" w:rsidRDefault="0053471B" w:rsidP="001301E3">
            <w:pPr>
              <w:spacing w:line="240" w:lineRule="auto"/>
              <w:rPr>
                <w:rFonts w:ascii="Times New Roman" w:eastAsia="Times New Roman" w:hAnsi="Times New Roman" w:cs="Times New Roman"/>
                <w:color w:val="000000" w:themeColor="text1"/>
                <w:sz w:val="24"/>
                <w:szCs w:val="24"/>
              </w:rPr>
            </w:pPr>
          </w:p>
        </w:tc>
      </w:tr>
      <w:tr w:rsidR="0053471B" w14:paraId="640938EB" w14:textId="77777777" w:rsidTr="00774DFB">
        <w:trPr>
          <w:trHeight w:val="270"/>
        </w:trPr>
        <w:tc>
          <w:tcPr>
            <w:tcW w:w="113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55B4B8" w14:textId="2CB1856E" w:rsidR="0053471B" w:rsidRPr="00F94BD0" w:rsidRDefault="0053471B" w:rsidP="0053471B">
            <w:pPr>
              <w:pStyle w:val="ListParagraph"/>
              <w:numPr>
                <w:ilvl w:val="0"/>
                <w:numId w:val="32"/>
              </w:numPr>
              <w:spacing w:after="0"/>
              <w:rPr>
                <w:rFonts w:eastAsiaTheme="minorEastAsia"/>
                <w:color w:val="000000" w:themeColor="text1"/>
              </w:rPr>
            </w:pPr>
            <w:r w:rsidRPr="0053471B">
              <w:rPr>
                <w:rFonts w:eastAsiaTheme="minorEastAsia"/>
                <w:color w:val="000000" w:themeColor="text1"/>
              </w:rPr>
              <w:t>Critical analysis and application of research relevant to educating students who are deaf or hard of hearing.</w:t>
            </w:r>
          </w:p>
        </w:tc>
        <w:tc>
          <w:tcPr>
            <w:tcW w:w="23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02E49E" w14:textId="77777777" w:rsidR="0053471B" w:rsidRDefault="0053471B" w:rsidP="001301E3">
            <w:pPr>
              <w:spacing w:line="240" w:lineRule="auto"/>
              <w:rPr>
                <w:rFonts w:ascii="Times New Roman" w:eastAsia="Times New Roman" w:hAnsi="Times New Roman" w:cs="Times New Roman"/>
                <w:color w:val="000000" w:themeColor="text1"/>
                <w:sz w:val="24"/>
                <w:szCs w:val="24"/>
              </w:rPr>
            </w:pPr>
          </w:p>
        </w:tc>
      </w:tr>
    </w:tbl>
    <w:p w14:paraId="4007C6FC" w14:textId="4C8EC865" w:rsidR="46BBFF7D" w:rsidRDefault="46BBFF7D"/>
    <w:p w14:paraId="15BBEC62" w14:textId="77777777" w:rsidR="0053471B" w:rsidRDefault="0053471B">
      <w:pPr>
        <w:rPr>
          <w:rFonts w:eastAsia="Calibri" w:cstheme="majorBidi"/>
          <w:b/>
          <w:color w:val="1F4E79" w:themeColor="accent5" w:themeShade="80"/>
          <w:sz w:val="26"/>
          <w:szCs w:val="32"/>
        </w:rPr>
      </w:pPr>
      <w:bookmarkStart w:id="2" w:name="_English_Language_Arts"/>
      <w:bookmarkStart w:id="3" w:name="ELA"/>
      <w:bookmarkEnd w:id="2"/>
      <w:r>
        <w:rPr>
          <w:rFonts w:eastAsia="Calibri"/>
        </w:rPr>
        <w:br w:type="page"/>
      </w:r>
    </w:p>
    <w:p w14:paraId="3235E206" w14:textId="757B4967" w:rsidR="0032290C" w:rsidRPr="002612AF" w:rsidRDefault="000650D8" w:rsidP="00AF71A8">
      <w:pPr>
        <w:pStyle w:val="Heading1"/>
        <w:rPr>
          <w:rFonts w:eastAsia="Calibri"/>
        </w:rPr>
      </w:pPr>
      <w:r w:rsidRPr="0EAFCFEA">
        <w:rPr>
          <w:rFonts w:eastAsia="Calibri"/>
        </w:rPr>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bookmarkEnd w:id="3"/>
    <w:p w14:paraId="79232453"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To create a strong vertical progression of learning, educators should have the content knowledge to support PK-12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Interpret words and phrases as they are used in a text, including determining technical, connotative, and figurative meanings, and analyze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Presentation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Present information, findings, and supporting evidence such that listeners can follow the line of reasoning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4E4544BB" w14:textId="7F982839" w:rsidR="6B208EBE" w:rsidRDefault="00F2741F" w:rsidP="00C1576E">
      <w:pPr>
        <w:pStyle w:val="paragraph"/>
        <w:spacing w:before="0" w:beforeAutospacing="0" w:after="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 support of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00206011">
        <w:tc>
          <w:tcPr>
            <w:tcW w:w="13670" w:type="dxa"/>
            <w:shd w:val="clear" w:color="auto" w:fill="E2EFD9" w:themeFill="accent6" w:themeFillTint="33"/>
          </w:tcPr>
          <w:p w14:paraId="760E346B" w14:textId="4E16D110"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Th</w:t>
            </w:r>
            <w:r w:rsidR="0001760A">
              <w:rPr>
                <w:rStyle w:val="normaltextrun"/>
                <w:rFonts w:ascii="Calibri" w:hAnsi="Calibri" w:cs="Calibri"/>
                <w:color w:val="000000"/>
                <w:sz w:val="22"/>
                <w:szCs w:val="22"/>
              </w:rPr>
              <w:t>e</w:t>
            </w:r>
            <w:r>
              <w:rPr>
                <w:rStyle w:val="normaltextrun"/>
                <w:rFonts w:ascii="Calibri" w:hAnsi="Calibri" w:cs="Calibri"/>
                <w:color w:val="000000"/>
                <w:sz w:val="22"/>
                <w:szCs w:val="22"/>
              </w:rPr>
              <w:t xml:space="preserve"> content knowledge</w:t>
            </w:r>
            <w:r w:rsidR="000C6D4B">
              <w:rPr>
                <w:rStyle w:val="normaltextrun"/>
                <w:rFonts w:ascii="Calibri" w:hAnsi="Calibri" w:cs="Calibri"/>
                <w:color w:val="000000"/>
                <w:sz w:val="22"/>
                <w:szCs w:val="22"/>
              </w:rPr>
              <w:t xml:space="preserve"> below must</w:t>
            </w:r>
            <w:r>
              <w:rPr>
                <w:rStyle w:val="normaltextrun"/>
                <w:rFonts w:ascii="Calibri" w:hAnsi="Calibri" w:cs="Calibri"/>
                <w:color w:val="000000"/>
                <w:sz w:val="22"/>
                <w:szCs w:val="22"/>
              </w:rPr>
              <w:t xml:space="preserve"> either be covered directly through program coursework or screened during the admissions process. For each grade level,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4"/>
        <w:gridCol w:w="2790"/>
      </w:tblGrid>
      <w:tr w:rsidR="00DA45EC" w:rsidRPr="00DA45EC" w14:paraId="55FD4CD7" w14:textId="77777777" w:rsidTr="00543047">
        <w:trPr>
          <w:trHeight w:val="360"/>
        </w:trPr>
        <w:tc>
          <w:tcPr>
            <w:tcW w:w="10874" w:type="dxa"/>
            <w:tcBorders>
              <w:top w:val="single" w:sz="6" w:space="0" w:color="000000"/>
              <w:left w:val="single" w:sz="6" w:space="0" w:color="000000"/>
              <w:bottom w:val="single" w:sz="6" w:space="0" w:color="000000"/>
              <w:right w:val="single" w:sz="6" w:space="0" w:color="000000"/>
            </w:tcBorders>
            <w:shd w:val="clear" w:color="auto" w:fill="BDD6EE"/>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BDD6EE"/>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F2F2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2F2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31E233CE"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0A1F1CC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Pre-Kindergarten: Building a Foundation for Living, Learning, and Working Together.</w:t>
            </w:r>
            <w:r w:rsidRPr="00DA45EC">
              <w:rPr>
                <w:rFonts w:ascii="Calibri" w:eastAsia="Times New Roman" w:hAnsi="Calibri" w:cs="Calibri"/>
              </w:rP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6A0622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2F571626"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4DEA442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Kindergarten: Many Roles in Living, Learning, and Working Together.</w:t>
            </w:r>
            <w:r w:rsidRPr="00DA45EC">
              <w:rPr>
                <w:rFonts w:ascii="Calibri" w:eastAsia="Times New Roman" w:hAnsi="Calibri" w:cs="Calibri"/>
              </w:rP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F4619C3"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89A28D"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F96E2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1: Leadership, Cooperation, Unity, and Diversity.</w:t>
            </w:r>
            <w:r w:rsidRPr="00DA45EC">
              <w:rPr>
                <w:rFonts w:ascii="Calibri" w:eastAsia="Times New Roman" w:hAnsi="Calibri" w:cs="Calibri"/>
              </w:rP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E03601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6001A418"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652DD96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2: Global Geography - Places and Peoples, Cultures and Resources.</w:t>
            </w:r>
            <w:r w:rsidRPr="00DA45EC">
              <w:rPr>
                <w:rFonts w:ascii="Calibri" w:eastAsia="Times New Roman" w:hAnsi="Calibri" w:cs="Calibri"/>
              </w:rPr>
              <w:t xml:space="preserve"> Students learn about global geography, looking at reasons why people settle in particular places, why they migrate, how they bring culture with them, and how they earn a living, exchange goods and services, and save for the future.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A50F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794D1D63"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E8D926F"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DC39AF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5: United States History to the Civil War and the Modern Civil Rights Movement.</w:t>
            </w:r>
            <w:r w:rsidRPr="00DA45EC">
              <w:rPr>
                <w:rFonts w:ascii="Calibri" w:eastAsia="Times New Roman" w:hAnsi="Calibri" w:cs="Calibri"/>
              </w:rPr>
              <w:t xml:space="preserve"> Building on their knowledge of North American geography and peoples, students learn more about the history of the colonies, the American Revolution, the development of the Constitution, Bill of Rights, the early Republic, and the westward expansion of the United States. They study the sectional conflicts over slavery that led to the Civil War and the long struggle in the 19th and 20th centuries for civil rights for all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341C58F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09C1C6"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837879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Grades 6 and 7: World Geography and Ancient Civilizations I and II.</w:t>
            </w:r>
            <w:r w:rsidRPr="00DA45EC">
              <w:rPr>
                <w:rFonts w:ascii="Calibri" w:eastAsia="Times New Roman" w:hAnsi="Calibri" w:cs="Calibri"/>
              </w:rPr>
              <w:t xml:space="preserve"> Sixth grade students examine how the perspectives of political science, economics, geography, history, and archaeology apply to the study of regions and countries. They study the development of prehistoric societies and then focus on area studies of Western Asia, the Middle East, North Africa, Sub-Saharan Africa, and Central America, the Caribbean Islands, and South America. Grade 7 examines the physical and political geography and ancient societies of South and East Asia, Oceania, and Europe and concludes with a study of government in Greece and Rome, which serves as a prelude to the study of civics in grade 8.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559687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096CF91D" w14:textId="77777777" w:rsidTr="00543047">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B5B9E4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8: United States and Massachusetts Government and Civic Life</w:t>
            </w:r>
            <w:r w:rsidRPr="00DA45EC">
              <w:rPr>
                <w:rFonts w:ascii="Calibri" w:eastAsia="Times New Roman" w:hAnsi="Calibri" w:cs="Calibri"/>
              </w:rPr>
              <w:t>. 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4D3B8FF"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4B399E95" w14:textId="77777777" w:rsidR="00DA45EC" w:rsidRPr="003003FF" w:rsidRDefault="00DA45EC" w:rsidP="00A002FA">
      <w:pPr>
        <w:spacing w:after="0" w:line="240" w:lineRule="auto"/>
        <w:textAlignment w:val="baseline"/>
        <w:rPr>
          <w:rFonts w:ascii="Segoe UI" w:eastAsia="Times New Roman" w:hAnsi="Segoe UI" w:cs="Segoe UI"/>
          <w:sz w:val="18"/>
          <w:szCs w:val="18"/>
        </w:rPr>
      </w:pPr>
    </w:p>
    <w:p w14:paraId="1922D1D6"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67D8B3A4"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596CE9AA" w14:textId="77777777" w:rsidR="001A6E2A" w:rsidRDefault="001A6E2A">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7. Determine next steps and take informed action, as appropriate.</w:t>
            </w:r>
            <w:r w:rsidRPr="00654B6A">
              <w:rPr>
                <w:rFonts w:ascii="Calibri" w:eastAsia="Times New Roman" w:hAnsi="Calibri" w:cs="Calibri"/>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4A77BBDF" w14:textId="77777777" w:rsidR="0094583E" w:rsidRDefault="0094583E" w:rsidP="0094583E"/>
    <w:p w14:paraId="75256423" w14:textId="77777777" w:rsidR="008F5E51" w:rsidRDefault="008F5E51">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69F8D05" w14:textId="2CA5F143" w:rsidR="008F5E51" w:rsidRPr="008F5E51" w:rsidRDefault="008F5E51" w:rsidP="00AF71A8">
      <w:pPr>
        <w:pStyle w:val="Heading1"/>
        <w:rPr>
          <w:rFonts w:ascii="Segoe UI" w:eastAsia="Times New Roman" w:hAnsi="Segoe UI" w:cs="Segoe UI"/>
          <w:sz w:val="18"/>
          <w:szCs w:val="18"/>
        </w:rPr>
      </w:pPr>
      <w:bookmarkStart w:id="4" w:name="_Mathematics_Content_Progression"/>
      <w:bookmarkStart w:id="5" w:name="HSS"/>
      <w:bookmarkStart w:id="6" w:name="Math"/>
      <w:bookmarkEnd w:id="4"/>
      <w:r w:rsidRPr="008F5E51">
        <w:rPr>
          <w:rFonts w:eastAsia="Times New Roman"/>
        </w:rPr>
        <w:t xml:space="preserve">Mathematics </w:t>
      </w:r>
      <w:bookmarkEnd w:id="5"/>
      <w:bookmarkEnd w:id="6"/>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9"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gridCol w:w="2880"/>
      </w:tblGrid>
      <w:tr w:rsidR="000B0BDC" w:rsidRPr="000B0BDC" w14:paraId="2412C2A4" w14:textId="77777777" w:rsidTr="00543047">
        <w:trPr>
          <w:trHeight w:val="360"/>
        </w:trPr>
        <w:tc>
          <w:tcPr>
            <w:tcW w:w="10784"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B548F92"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C9A5D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Pre-kindergarten:</w:t>
            </w:r>
            <w:r w:rsidRPr="000B0BDC">
              <w:rPr>
                <w:rFonts w:ascii="Calibri" w:eastAsia="Times New Roman" w:hAnsi="Calibri" w:cs="Calibri"/>
              </w:rPr>
              <w:t xml:space="preserve"> Activity time should focus on two critical areas: (1) developing an understanding of whole numbers to 10, including concepts of one-to-one correspondence, counting, cardinality (the number of items in a set), and comparison; and (2) recognizing two-dimensional shapes, describing spatial relationships, and sorting and classifying objects by one or more attributes. Relatively more learning time should be devoted to developing children’s sense of number as quantity than to other mathematics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DEAFF6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A0FDE11"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614B1A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Kindergarten:</w:t>
            </w:r>
            <w:r w:rsidRPr="000B0BDC">
              <w:rPr>
                <w:rFonts w:ascii="Calibri" w:eastAsia="Times New Roman" w:hAnsi="Calibri" w:cs="Calibri"/>
              </w:rPr>
              <w:t xml:space="preserve"> Instructional time should focus on two critical areas: (1) representing, relating, and operating on whole numbers, initially with sets of objects; and (2) describing shapes and space. More learning time in kindergarten should be devoted to number than to other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2EF1B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05FA585"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2DC7133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1:</w:t>
            </w:r>
            <w:r w:rsidRPr="000B0BDC">
              <w:rPr>
                <w:rFonts w:ascii="Calibri" w:eastAsia="Times New Roman" w:hAnsi="Calibri" w:cs="Calibri"/>
              </w:rPr>
              <w:t xml:space="preserve"> Instructional time should focus on four critical areas: (1) developing understanding of addition, subtraction, and strategies for addition and subtraction within 20; (2) 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38BAB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0861BBA"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05DAB2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2:</w:t>
            </w:r>
            <w:r w:rsidRPr="000B0BDC">
              <w:rPr>
                <w:rFonts w:ascii="Calibri" w:eastAsia="Times New Roman" w:hAnsi="Calibri" w:cs="Calibri"/>
              </w:rPr>
              <w:t xml:space="preserve"> Instructional time should focus on four critical areas: (1) extending understanding of base-ten notation; (2) building fluency with addition and subtraction; (3) using standard units of measure; and (4) describing and analyzing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47B7D6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323B376"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750C33B4"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E664F5A"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5:</w:t>
            </w:r>
            <w:r w:rsidRPr="000B0BDC">
              <w:rPr>
                <w:rFonts w:ascii="Calibri" w:eastAsia="Times New Roman" w:hAnsi="Calibri" w:cs="Calibri"/>
              </w:rPr>
              <w:t xml:space="preserve"> Instructional time should focus on four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measurement systems and determining volumes to solve problems; and (4) solving problems using the coordinate plane.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5FF0FC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6270A40"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028835D"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6:</w:t>
            </w:r>
            <w:r w:rsidRPr="000B0BDC">
              <w:rPr>
                <w:rFonts w:ascii="Calibri" w:eastAsia="Times New Roman" w:hAnsi="Calibri" w:cs="Calibri"/>
              </w:rPr>
              <w:t xml:space="preserve"> Instructional time should focus on five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(4) developing understanding of statistical thinking; and (5) reasoning about geometric shapes and their measurements.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D44741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6AAE9D76"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2C0F5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7:</w:t>
            </w:r>
            <w:r w:rsidRPr="000B0BDC">
              <w:rPr>
                <w:rFonts w:ascii="Calibri" w:eastAsia="Times New Roman" w:hAnsi="Calibri" w:cs="Calibri"/>
              </w:rPr>
              <w:t xml:space="preserve">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FA7FD5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15DDAB1" w14:textId="77777777" w:rsidTr="00543047">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DBB42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8</w:t>
            </w:r>
            <w:r w:rsidRPr="000B0BDC">
              <w:rPr>
                <w:rFonts w:ascii="Calibri" w:eastAsia="Times New Roman" w:hAnsi="Calibri" w:cs="Calibri"/>
              </w:rPr>
              <w:t>: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and (3) analyzing two- and three-dimensional space and figures using distance, angle, similarity, and congruence, and understanding and applying the Pythagorean Theorem.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29BE2EF"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bl>
    <w:p w14:paraId="6AA8FA85" w14:textId="15A145A1" w:rsidR="008F5E51" w:rsidRPr="008F5E51" w:rsidRDefault="008F5E51" w:rsidP="00AF71A8">
      <w:pPr>
        <w:pStyle w:val="Heading1"/>
        <w:rPr>
          <w:rFonts w:ascii="Segoe UI" w:eastAsia="Times New Roman" w:hAnsi="Segoe UI" w:cs="Segoe UI"/>
          <w:sz w:val="18"/>
          <w:szCs w:val="18"/>
        </w:rPr>
      </w:pPr>
      <w:r w:rsidRPr="4553EAD8">
        <w:rPr>
          <w:rFonts w:eastAsia="Times New Roman"/>
        </w:rPr>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how course(s)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7" w:name="_Science_and_Technology/Engineering"/>
      <w:bookmarkStart w:id="8" w:name="STE"/>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00B7026A">
        <w:trPr>
          <w:trHeight w:val="88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8E7F718"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A670DE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0B622D1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1B709BDA"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06771B0"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5. </w:t>
            </w:r>
            <w:r w:rsidRPr="00B7026A">
              <w:rPr>
                <w:rFonts w:ascii="Calibri" w:eastAsia="Times New Roman" w:hAnsi="Calibri" w:cs="Calibri"/>
                <w:b/>
                <w:bCs/>
                <w:color w:val="000000"/>
                <w:shd w:val="clear" w:color="auto" w:fill="FFFFFF"/>
              </w:rPr>
              <w:t>Use appropriate tools strategically.</w:t>
            </w:r>
            <w:r w:rsidRPr="00B7026A">
              <w:rPr>
                <w:rFonts w:ascii="Calibri" w:eastAsia="Times New Roman" w:hAnsi="Calibri" w:cs="Calibri"/>
                <w:color w:val="000000"/>
                <w:shd w:val="clear" w:color="auto" w:fill="FFFFFF"/>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A290442"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A17C56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6. </w:t>
            </w:r>
            <w:r w:rsidRPr="00B7026A">
              <w:rPr>
                <w:rFonts w:ascii="Calibri" w:eastAsia="Times New Roman" w:hAnsi="Calibri" w:cs="Calibri"/>
                <w:b/>
                <w:bCs/>
                <w:color w:val="000000"/>
                <w:shd w:val="clear" w:color="auto" w:fill="FFFFFF"/>
              </w:rPr>
              <w:t>Attend to precision.</w:t>
            </w:r>
            <w:r w:rsidRPr="00B7026A">
              <w:rPr>
                <w:rFonts w:ascii="Calibri" w:eastAsia="Times New Roman"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365DC674"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structure. </w:t>
            </w:r>
            <w:r w:rsidRPr="00B7026A">
              <w:rPr>
                <w:rFonts w:ascii="Calibri" w:eastAsia="Times New Roman"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67ED82E0" w14:textId="77777777" w:rsidTr="00B702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(y – 2)∕(x – 1) = 3. Noticing the regularity in the way terms cancel when expanding (x – 1)(x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t xml:space="preserve">Science </w:t>
      </w:r>
      <w:bookmarkEnd w:id="8"/>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20"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1"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00543047">
        <w:trPr>
          <w:trHeight w:val="405"/>
        </w:trPr>
        <w:tc>
          <w:tcPr>
            <w:tcW w:w="11234" w:type="dxa"/>
            <w:tcBorders>
              <w:top w:val="single" w:sz="6" w:space="0" w:color="000000"/>
              <w:left w:val="single" w:sz="6" w:space="0" w:color="000000"/>
              <w:bottom w:val="single" w:sz="6" w:space="0" w:color="000000"/>
              <w:right w:val="single" w:sz="6" w:space="0" w:color="000000"/>
            </w:tcBorders>
            <w:shd w:val="clear" w:color="auto" w:fill="BDD6EE"/>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BDD6EE"/>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F2F2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F2F2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7CC623A5"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1E6B88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Pre-kindergarten: </w:t>
            </w:r>
            <w:r w:rsidRPr="00D53911">
              <w:rPr>
                <w:rFonts w:ascii="Calibri" w:eastAsia="Times New Roman" w:hAnsi="Calibri" w:cs="Calibri"/>
                <w:color w:val="000000"/>
                <w:shd w:val="clear" w:color="auto" w:fill="FFFFFF"/>
              </w:rPr>
              <w:t xml:space="preserve">Students focus on experiencing and making observations of the world around them. </w:t>
            </w:r>
            <w:r w:rsidRPr="00D53911">
              <w:rPr>
                <w:rFonts w:ascii="Calibri" w:eastAsia="Times New Roman" w:hAnsi="Calibri" w:cs="Calibri"/>
                <w:color w:val="000000"/>
              </w:rPr>
              <w:t>Pre-K students build awareness of the wide variety of natural phenomena and processes in the world around them. </w:t>
            </w:r>
          </w:p>
          <w:p w14:paraId="5BEA3B5F"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They are beginning to learn about their own environment as they observe plants and animals, the Moon and the Sun, and the daily weather. </w:t>
            </w:r>
            <w:r w:rsidRPr="006669FF">
              <w:rPr>
                <w:rFonts w:ascii="Calibri" w:eastAsia="Times New Roman" w:hAnsi="Calibri" w:cs="Calibri"/>
                <w:color w:val="000000"/>
              </w:rPr>
              <w:t> </w:t>
            </w:r>
          </w:p>
          <w:p w14:paraId="77DB47FC"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Life Science: </w:t>
            </w:r>
            <w:r w:rsidRPr="006669FF">
              <w:rPr>
                <w:rFonts w:ascii="Calibri" w:eastAsia="Times New Roman" w:hAnsi="Calibri" w:cs="Calibri"/>
                <w:color w:val="000000"/>
                <w:shd w:val="clear" w:color="auto" w:fill="FFFFFF"/>
              </w:rPr>
              <w:t>They experience their world through their senses and body parts and begin to recognize that animals also use their senses and body parts to meet their basic needs. </w:t>
            </w:r>
            <w:r w:rsidRPr="006669FF">
              <w:rPr>
                <w:rFonts w:ascii="Calibri" w:eastAsia="Times New Roman" w:hAnsi="Calibri" w:cs="Calibri"/>
                <w:color w:val="000000"/>
              </w:rPr>
              <w:t> </w:t>
            </w:r>
          </w:p>
          <w:p w14:paraId="6CF4F1F2" w14:textId="176AD0DC" w:rsidR="00D53911"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Physical Science: </w:t>
            </w:r>
            <w:r w:rsidRPr="006669FF">
              <w:rPr>
                <w:rFonts w:ascii="Calibri" w:eastAsia="Times New Roman" w:hAnsi="Calibri" w:cs="Calibri"/>
                <w:color w:val="000000"/>
                <w:shd w:val="clear" w:color="auto" w:fill="FFFFFF"/>
              </w:rPr>
              <w:t>They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BF2CD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42515A00"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5852729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Kindergarten: </w:t>
            </w:r>
            <w:r w:rsidRPr="00D53911">
              <w:rPr>
                <w:rFonts w:ascii="Calibri" w:eastAsia="Times New Roman" w:hAnsi="Calibri" w:cs="Calibri"/>
                <w:color w:val="000000"/>
              </w:rPr>
              <w:t>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w:t>
            </w:r>
          </w:p>
          <w:p w14:paraId="31CD5D7F" w14:textId="33465CD2"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Earth and Space Science: Students build their quantitative knowledge of temperature in relation to the weather and its effect on different kinds of materials. They observe that the amount of sunlight shining on a</w:t>
            </w:r>
            <w:r w:rsidR="006669FF">
              <w:rPr>
                <w:rFonts w:ascii="Calibri" w:eastAsia="Times New Roman" w:hAnsi="Calibri" w:cs="Calibri"/>
                <w:color w:val="000000"/>
              </w:rPr>
              <w:t xml:space="preserve"> </w:t>
            </w:r>
            <w:r w:rsidRPr="006669FF">
              <w:rPr>
                <w:rFonts w:ascii="Calibri" w:eastAsia="Times New Roman" w:hAnsi="Calibri" w:cs="Calibri"/>
                <w:color w:val="000000"/>
              </w:rPr>
              <w:t>surface causes a temperature change and they design a structure to reduce the warming effects of sunlight.  </w:t>
            </w:r>
          </w:p>
          <w:p w14:paraId="78E87E22" w14:textId="77777777"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Life Science: They learn that all animals and plants need food, water, and air to grow and thrive and that the fundamental difference between plants and animals is a plant’s ability to make its own food.   </w:t>
            </w:r>
          </w:p>
          <w:p w14:paraId="10E4211C" w14:textId="7F2CE8B6" w:rsidR="00D53911"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Physical Science: They investigate motions of objects by changing the strength and direction of pushes and pulls. They provide examples of plants and animals that can change their environment through their interactions with it. In kindergarten science, students begin to identify reasons for changes in some common phenomena.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AD6ED1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E9224B9"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5F68E0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1: </w:t>
            </w:r>
            <w:r w:rsidRPr="00D53911">
              <w:rPr>
                <w:rFonts w:ascii="Calibri" w:eastAsia="Times New Roman" w:hAnsi="Calibri" w:cs="Calibri"/>
                <w:color w:val="000000"/>
              </w:rPr>
              <w:t>students have more fluency with language, number sense, and inquiry skills. Grade 1 students begin to understand the power of patterns to predict future events in the natural and designed world. </w:t>
            </w:r>
          </w:p>
          <w:p w14:paraId="7084269C"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Earth and Space Science: students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w:t>
            </w:r>
          </w:p>
          <w:p w14:paraId="74A5F3E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Life Science: Students compare the ways different animals and plants use their body parts and senses to do the things they need to do to grow and survive, including typical ways parents keep their young safe so they will survive to adulthood. They notice that though there are differences between plants or animals of the same type, the similarities of behavior and appearance are what allow us to identify them as belonging to a group. </w:t>
            </w:r>
          </w:p>
          <w:p w14:paraId="368EE00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Physical Science: students investigate sound and light through various materials. They describe patterns in how light passes through and sounds differ from different types of materials and use this to design and build a device to send a signal.   </w:t>
            </w:r>
          </w:p>
          <w:p w14:paraId="3F785FED" w14:textId="7D1555F0" w:rsidR="00D53911"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Technology/Engineering: Students begin to think about how different solutions can be designed to solve problems. They design, and re-design, possible solutions.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0804E357"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5F374E4"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079795D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2: </w:t>
            </w:r>
            <w:r w:rsidRPr="00D53911">
              <w:rPr>
                <w:rFonts w:ascii="Calibri" w:eastAsia="Times New Roman" w:hAnsi="Calibri" w:cs="Calibri"/>
                <w:color w:val="000000"/>
                <w:shd w:val="clear" w:color="auto" w:fill="FFFFFF"/>
              </w:rPr>
              <w:t>As students grow in their ability to speak, read, write, and reason mathematically, they also grow in their ability to grapple with larger systems and the parts that make them up. </w:t>
            </w:r>
            <w:r w:rsidRPr="00D53911">
              <w:rPr>
                <w:rFonts w:ascii="Calibri" w:eastAsia="Times New Roman" w:hAnsi="Calibri" w:cs="Calibri"/>
                <w:color w:val="000000"/>
              </w:rPr>
              <w:t> </w:t>
            </w:r>
          </w:p>
          <w:p w14:paraId="0822D840"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Earth and Space Science: </w:t>
            </w:r>
            <w:r w:rsidRPr="006669FF">
              <w:rPr>
                <w:rFonts w:ascii="Calibri" w:eastAsia="Times New Roman" w:hAnsi="Calibri" w:cs="Calibri"/>
                <w:color w:val="000000"/>
              </w:rPr>
              <w:t>They learn that water is found everywhere on Earth and takes different forms and shapes. They map landforms and bodies of water and observe that flowing water and wind shapes these landforms.</w:t>
            </w:r>
            <w:r w:rsidRPr="006669FF">
              <w:rPr>
                <w:rFonts w:ascii="Calibri" w:eastAsia="Times New Roman" w:hAnsi="Calibri" w:cs="Calibri"/>
                <w:color w:val="000000"/>
                <w:shd w:val="clear" w:color="auto" w:fill="FFFFFF"/>
              </w:rPr>
              <w:t> </w:t>
            </w:r>
            <w:r w:rsidRPr="006669FF">
              <w:rPr>
                <w:rFonts w:ascii="Calibri" w:eastAsia="Times New Roman" w:hAnsi="Calibri" w:cs="Calibri"/>
                <w:color w:val="000000"/>
              </w:rPr>
              <w:t> </w:t>
            </w:r>
          </w:p>
          <w:p w14:paraId="263887CE"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start to look beyond the structures of individual plants and animals to looking at the environment in which the plants and animals live as a provider of the food, water, and shelter that the organisms need.  </w:t>
            </w:r>
            <w:r w:rsidRPr="006669FF">
              <w:rPr>
                <w:rFonts w:ascii="Calibri" w:eastAsia="Times New Roman" w:hAnsi="Calibri" w:cs="Calibri"/>
                <w:color w:val="000000"/>
              </w:rPr>
              <w:t> </w:t>
            </w:r>
          </w:p>
          <w:p w14:paraId="3117C5A7"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Physical Science: Students use their observation skills gained in earlier grades to classify materials based on similar properties and functions. They construct large objects from smaller pieces and, conversely, learn that when materials are cut into the smallest possible pieces, they still exist as the same material that has weight. These investigations of how parts relate to the whole provide a key basis for understanding systems in later grades.</w:t>
            </w:r>
            <w:r w:rsidRPr="006669FF">
              <w:rPr>
                <w:rFonts w:ascii="Calibri" w:eastAsia="Times New Roman" w:hAnsi="Calibri" w:cs="Calibri"/>
                <w:color w:val="000000"/>
              </w:rPr>
              <w:t> </w:t>
            </w:r>
          </w:p>
          <w:p w14:paraId="6A5804A0" w14:textId="4903C7E0" w:rsidR="00D53911"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Technology/Engineering: Students gain experience testing different materials, objects, and designs to collect and then analyze data for the purpose of determining which option is the best for a specific function.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4DB64EA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00971284"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use the engineering design process to identify a problem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5ADB3D23"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E39235A"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7EEB71D8" w14:textId="77777777" w:rsidR="006669FF"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5: </w:t>
            </w:r>
            <w:r w:rsidRPr="00D53911">
              <w:rPr>
                <w:rFonts w:ascii="Calibri" w:eastAsia="Times New Roman" w:hAnsi="Calibri" w:cs="Calibri"/>
                <w:color w:val="000000"/>
                <w:shd w:val="clear" w:color="auto" w:fill="FFFFFF"/>
              </w:rPr>
              <w:t xml:space="preserve">Students model, provide evidence to support arguments, and obtain and display data about relationships and interactions among observable components of different systems. By studying systems, grade 5 students learn that objects and organisms do not exist in isolation and that animals, plants and their environments are connected to, interact with, and are influenced by each other. </w:t>
            </w:r>
            <w:r w:rsidRPr="00D53911">
              <w:rPr>
                <w:rFonts w:ascii="Calibri" w:eastAsia="Times New Roman" w:hAnsi="Calibri" w:cs="Calibri"/>
                <w:color w:val="000000"/>
              </w:rPr>
              <w:t>An ability to describe, analyze, and model connections and relationships of observable components of different systems is key to understanding the natural and designed world.  </w:t>
            </w:r>
          </w:p>
          <w:p w14:paraId="1FAFC3A9"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Earth and Space Science: They study the relationships between Earth and other nearby objects in the solar system and the impact of those relationships on patterns of events as seen from Earth. They learn about the relationship among elements of Earth’s systems through the cycling of water and human practices and processes with Earth’s resources. </w:t>
            </w:r>
            <w:r w:rsidRPr="006669FF">
              <w:rPr>
                <w:rFonts w:ascii="Calibri" w:eastAsia="Times New Roman" w:hAnsi="Calibri" w:cs="Calibri"/>
                <w:color w:val="000000"/>
              </w:rPr>
              <w:t> </w:t>
            </w:r>
          </w:p>
          <w:p w14:paraId="5FB346E1" w14:textId="7BB31168"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Life Science: They also learn about the connections and relationships among plants and animals, and the ecosystems within which they live, to show how matter and energy are cycled through these (building on the theme of grade 4). </w:t>
            </w:r>
            <w:r w:rsidRPr="006669FF">
              <w:rPr>
                <w:rFonts w:ascii="Calibri" w:eastAsia="Times New Roman" w:hAnsi="Calibri" w:cs="Calibri"/>
                <w:color w:val="000000"/>
              </w:rPr>
              <w:t> </w:t>
            </w:r>
          </w:p>
          <w:p w14:paraId="690450F8"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Physical Science: Students build on Grade 2 understanding about matter to deepen their understand of properties, phase change, and the particulate nature of matter. They develop initial understandings of gravity. </w:t>
            </w:r>
          </w:p>
          <w:p w14:paraId="7F4C1BBF" w14:textId="0650E8EC" w:rsidR="00D53911"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rPr>
              <w:t>Technology/Engineering: Students consider what “technology” means, explore the history of human invention and innovation, and come to understand design solutions as complex systems.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5D16C6C"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E5BDA5"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4C18BE4F" w14:textId="77777777" w:rsidR="008C430E"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6: </w:t>
            </w:r>
            <w:r w:rsidRPr="00D53911">
              <w:rPr>
                <w:rFonts w:ascii="Calibri" w:eastAsia="Times New Roman" w:hAnsi="Calibri" w:cs="Calibri"/>
                <w:color w:val="000000"/>
              </w:rPr>
              <w:t>The integration of Earth and space, life, and physical sciences with technology/engineering gives students relevant and engaging opportunities with natural phenomena and design problems that highlight the relationship of structure and function in the world around them. Students relate structure and function through analyzing the macro- and microscopic world. Students use models and provide evidence to make claims and explanations about structure-function relationships in different STE domains</w:t>
            </w:r>
            <w:r w:rsidR="008C430E">
              <w:rPr>
                <w:rFonts w:ascii="Calibri" w:eastAsia="Times New Roman" w:hAnsi="Calibri" w:cs="Calibri"/>
                <w:color w:val="000000"/>
              </w:rPr>
              <w:t>.</w:t>
            </w:r>
          </w:p>
          <w:p w14:paraId="4C6AC4F4"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Earth and Space Science: Students explore Earth features and processes. </w:t>
            </w:r>
          </w:p>
          <w:p w14:paraId="45C2F488"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Life Science: They understand the role of cells and anatomy in supporting living organisms. </w:t>
            </w:r>
          </w:p>
          <w:p w14:paraId="773DB5F5"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Physical Science: They explore the properties of materials and waves.  </w:t>
            </w:r>
          </w:p>
          <w:p w14:paraId="79433FB1" w14:textId="6E7AC753" w:rsidR="00D53911"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008C430E">
              <w:rPr>
                <w:rFonts w:ascii="Calibri" w:eastAsia="Times New Roman" w:hAnsi="Calibri" w:cs="Calibri"/>
                <w:color w:val="000000"/>
              </w:rPr>
              <w:t>Technology/Engineering: Students begin to use criteria and constraints to inform their designs, and deepen their understanding of how specific materials and tools will best serve specific needs.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23EF71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67C05562"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0FA92C3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7: </w:t>
            </w:r>
            <w:r w:rsidRPr="00D53911">
              <w:rPr>
                <w:rFonts w:ascii="Calibri" w:eastAsia="Times New Roman" w:hAnsi="Calibri" w:cs="Calibri"/>
                <w:color w:val="000000"/>
              </w:rPr>
              <w:t>Students focus on systems and cycles using their understanding of structures and functions, connections and relationships in systems, and flow of matter and energy developed in earlier grades. A focus on systems requires students to apply concepts and skills across disciplines, since most natural and designed systems and cycles are complex and interactive. Through grade 7, students begin a process of moving from a more concrete to an abstract perspective, since many of the systems and cycles studied are not directly observable or experienced. This also creates a foundation for exploring cause and effect relationships in more depth in grade 8. </w:t>
            </w:r>
          </w:p>
          <w:p w14:paraId="1CB08B74"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Science: Students gain experience with plate tectonics and interactions of humans and Earth processes. </w:t>
            </w:r>
          </w:p>
          <w:p w14:paraId="59E44AA9"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explore organism systems to support and propagate life, and ecosystem dynamics. </w:t>
            </w:r>
          </w:p>
          <w:p w14:paraId="61E33076"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build on grade 3 and 4 understandings to develop more complex understandings of motion and energy systems. </w:t>
            </w:r>
          </w:p>
          <w:p w14:paraId="0519796F" w14:textId="1B994470" w:rsidR="00D53911"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They explore key technological systems used by society.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D5457FD"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r w:rsidR="00D53911" w:rsidRPr="00D53911" w14:paraId="334DC3C5" w14:textId="77777777" w:rsidTr="00543047">
        <w:trPr>
          <w:trHeight w:val="270"/>
        </w:trPr>
        <w:tc>
          <w:tcPr>
            <w:tcW w:w="11234" w:type="dxa"/>
            <w:tcBorders>
              <w:top w:val="single" w:sz="6" w:space="0" w:color="000000"/>
              <w:left w:val="single" w:sz="6" w:space="0" w:color="000000"/>
              <w:bottom w:val="single" w:sz="6" w:space="0" w:color="000000"/>
              <w:right w:val="single" w:sz="6" w:space="0" w:color="000000"/>
            </w:tcBorders>
            <w:shd w:val="clear" w:color="auto" w:fill="auto"/>
            <w:hideMark/>
          </w:tcPr>
          <w:p w14:paraId="58986D96"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Grade 8</w:t>
            </w:r>
            <w:r w:rsidRPr="00D53911">
              <w:rPr>
                <w:rFonts w:ascii="Calibri" w:eastAsia="Times New Roman" w:hAnsi="Calibri" w:cs="Calibri"/>
              </w:rPr>
              <w:t xml:space="preserve"> </w:t>
            </w:r>
            <w:r w:rsidRPr="00D53911">
              <w:rPr>
                <w:rFonts w:ascii="Calibri" w:eastAsia="Times New Roman" w:hAnsi="Calibri" w:cs="Calibri"/>
                <w:b/>
                <w:bCs/>
              </w:rPr>
              <w:t xml:space="preserve">– Cause and Effect: </w:t>
            </w:r>
            <w:r w:rsidRPr="00D53911">
              <w:rPr>
                <w:rFonts w:ascii="Calibri" w:eastAsia="Times New Roman" w:hAnsi="Calibri" w:cs="Calibri"/>
                <w:color w:val="000000"/>
              </w:rPr>
              <w:t>Students use more robust abstract thinking skills to explain causes of complex phenomena and systems. Many causes are not immediately or physically visible to students. An understanding of cause and effect of key natural phenomena and designed processes allows students to explain patterns and make predictions about future events. Being able to analyze phenomena for evidence of causes and processes that often cannot be seen, and being able to conceptualize and describe those, is a significant outcome for grade 8 students.  </w:t>
            </w:r>
          </w:p>
          <w:p w14:paraId="76CE35AB" w14:textId="6BDC1763"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Earth and Space: Students explore the causes of seasons and tides and causes of plate tectonics and weather or climate</w:t>
            </w:r>
            <w:r w:rsidR="008C430E">
              <w:rPr>
                <w:rFonts w:ascii="Calibri" w:eastAsia="Times New Roman" w:hAnsi="Calibri" w:cs="Calibri"/>
                <w:color w:val="000000"/>
              </w:rPr>
              <w:t>.</w:t>
            </w:r>
          </w:p>
          <w:p w14:paraId="7472F6A6" w14:textId="757A1F7B"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Life Science: They study the role of genetics in reproduction, heredity, and artificial selection</w:t>
            </w:r>
            <w:r w:rsidR="008C430E">
              <w:rPr>
                <w:rFonts w:ascii="Calibri" w:eastAsia="Times New Roman" w:hAnsi="Calibri" w:cs="Calibri"/>
                <w:color w:val="000000"/>
              </w:rPr>
              <w:t>.</w:t>
            </w:r>
            <w:r w:rsidRPr="008C430E">
              <w:rPr>
                <w:rFonts w:ascii="Calibri" w:eastAsia="Times New Roman" w:hAnsi="Calibri" w:cs="Calibri"/>
                <w:color w:val="000000"/>
              </w:rPr>
              <w:t> </w:t>
            </w:r>
          </w:p>
          <w:p w14:paraId="700B758A" w14:textId="77777777"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Physical Science: Students learn how atoms and molecules interact to explain the substances that make up the world and how materials change.  </w:t>
            </w:r>
          </w:p>
          <w:p w14:paraId="7C9A0172" w14:textId="13243B81" w:rsidR="00D53911"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008C430E">
              <w:rPr>
                <w:rFonts w:ascii="Calibri" w:eastAsia="Times New Roman" w:hAnsi="Calibri" w:cs="Calibri"/>
                <w:color w:val="000000"/>
              </w:rPr>
              <w:t>Technology/Engineering: The focus at this grade is on manufacturing processes and systems. </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3B3675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Times New Roman" w:eastAsia="Times New Roman" w:hAnsi="Times New Roman" w:cs="Times New Roman"/>
                <w:color w:val="000000"/>
                <w:sz w:val="24"/>
                <w:szCs w:val="24"/>
              </w:rPr>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t>Science and Technology/Engineering Practices </w:t>
      </w:r>
    </w:p>
    <w:p w14:paraId="74E19001" w14:textId="77777777"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The Science and Engineering Practices describe the skills that science educators at all levels should seek to develop in their PK-12 students. This represents a shift from the traditional “scientific method”.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00C965EC">
        <w:trPr>
          <w:trHeight w:val="630"/>
        </w:trPr>
        <w:tc>
          <w:tcPr>
            <w:tcW w:w="11460" w:type="dxa"/>
            <w:tcBorders>
              <w:top w:val="single" w:sz="6" w:space="0" w:color="000000"/>
              <w:left w:val="single" w:sz="6" w:space="0" w:color="000000"/>
              <w:bottom w:val="single" w:sz="6" w:space="0" w:color="000000"/>
              <w:right w:val="single" w:sz="6" w:space="0" w:color="000000"/>
            </w:tcBorders>
            <w:shd w:val="clear" w:color="auto" w:fill="BDD6EE"/>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00C965EC">
        <w:trPr>
          <w:trHeight w:val="270"/>
        </w:trPr>
        <w:tc>
          <w:tcPr>
            <w:tcW w:w="11460" w:type="dxa"/>
            <w:tcBorders>
              <w:top w:val="single" w:sz="6" w:space="0" w:color="000000"/>
              <w:left w:val="single" w:sz="6" w:space="0" w:color="000000"/>
              <w:bottom w:val="single" w:sz="6" w:space="0" w:color="000000"/>
              <w:right w:val="single" w:sz="6" w:space="0" w:color="000000"/>
            </w:tcBorders>
            <w:shd w:val="clear" w:color="auto" w:fill="F2F2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00C965EC">
        <w:trPr>
          <w:trHeight w:val="3099"/>
        </w:trPr>
        <w:tc>
          <w:tcPr>
            <w:tcW w:w="11460" w:type="dxa"/>
            <w:tcBorders>
              <w:top w:val="single" w:sz="6" w:space="0" w:color="000000"/>
              <w:left w:val="single" w:sz="6" w:space="0" w:color="000000"/>
              <w:bottom w:val="single" w:sz="6" w:space="0" w:color="000000"/>
              <w:right w:val="single" w:sz="6" w:space="0" w:color="000000"/>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It is necessary to teach all of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Practices grow in complexity and sophistication across the grades. </w:t>
            </w:r>
          </w:p>
          <w:p w14:paraId="0AE9805F" w14:textId="568EAD6A" w:rsidR="00C965EC" w:rsidRP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6-12 builds on PK-5 experiences and progresses to developing,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PK-5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PK-5 builds on prior experiences and includes use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6-12 builds on pre-K-5 experiences and includes constructing explanations and designing solutions supported by multiple sources of evidence consistent with scientific ideas, principles, and theories. It progresses to constructing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B111C56"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CF50" w14:textId="77777777" w:rsidR="004A4E51" w:rsidRDefault="004A4E51" w:rsidP="005827F9">
      <w:pPr>
        <w:spacing w:after="0" w:line="240" w:lineRule="auto"/>
      </w:pPr>
      <w:r>
        <w:separator/>
      </w:r>
    </w:p>
  </w:endnote>
  <w:endnote w:type="continuationSeparator" w:id="0">
    <w:p w14:paraId="28A7BC01" w14:textId="77777777" w:rsidR="004A4E51" w:rsidRDefault="004A4E51" w:rsidP="005827F9">
      <w:pPr>
        <w:spacing w:after="0" w:line="240" w:lineRule="auto"/>
      </w:pPr>
      <w:r>
        <w:continuationSeparator/>
      </w:r>
    </w:p>
  </w:endnote>
  <w:endnote w:type="continuationNotice" w:id="1">
    <w:p w14:paraId="5EDF8001" w14:textId="77777777" w:rsidR="004A4E51" w:rsidRDefault="004A4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A4AE" w14:textId="77777777" w:rsidR="004A4E51" w:rsidRDefault="004A4E51" w:rsidP="005827F9">
      <w:pPr>
        <w:spacing w:after="0" w:line="240" w:lineRule="auto"/>
      </w:pPr>
      <w:r>
        <w:separator/>
      </w:r>
    </w:p>
  </w:footnote>
  <w:footnote w:type="continuationSeparator" w:id="0">
    <w:p w14:paraId="210DEE04" w14:textId="77777777" w:rsidR="004A4E51" w:rsidRDefault="004A4E51" w:rsidP="005827F9">
      <w:pPr>
        <w:spacing w:after="0" w:line="240" w:lineRule="auto"/>
      </w:pPr>
      <w:r>
        <w:continuationSeparator/>
      </w:r>
    </w:p>
  </w:footnote>
  <w:footnote w:type="continuationNotice" w:id="1">
    <w:p w14:paraId="373AD2E7" w14:textId="77777777" w:rsidR="004A4E51" w:rsidRDefault="004A4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264F" w14:textId="5FB10856" w:rsidR="008A0836" w:rsidRPr="00A07346" w:rsidRDefault="00C55A58" w:rsidP="008A0836">
    <w:pPr>
      <w:pStyle w:val="Header"/>
      <w:rPr>
        <w:b/>
        <w:sz w:val="32"/>
        <w:szCs w:val="32"/>
      </w:rPr>
    </w:pPr>
    <w:sdt>
      <w:sdtPr>
        <w:rPr>
          <w:b/>
          <w:color w:val="2F5496" w:themeColor="accent1" w:themeShade="BF"/>
          <w:sz w:val="32"/>
          <w:szCs w:val="32"/>
        </w:rPr>
        <w:alias w:val="Title"/>
        <w:tag w:val=""/>
        <w:id w:val="950509252"/>
        <w:placeholder>
          <w:docPart w:val="6FD33F84CCAC43508AF6E267304BD5A9"/>
        </w:placeholder>
        <w:dataBinding w:prefixMappings="xmlns:ns0='http://purl.org/dc/elements/1.1/' xmlns:ns1='http://schemas.openxmlformats.org/package/2006/metadata/core-properties' " w:xpath="/ns1:coreProperties[1]/ns0:title[1]" w:storeItemID="{6C3C8BC8-F283-45AE-878A-BAB7291924A1}"/>
        <w:text/>
      </w:sdtPr>
      <w:sdtEndPr/>
      <w:sdtContent>
        <w:r w:rsidR="00A92C07" w:rsidRPr="00A92C07">
          <w:rPr>
            <w:b/>
            <w:color w:val="2F5496" w:themeColor="accent1" w:themeShade="BF"/>
            <w:sz w:val="32"/>
            <w:szCs w:val="32"/>
          </w:rPr>
          <w:t>SMK Matrix – Deaf and Hard of Hearing</w:t>
        </w:r>
      </w:sdtContent>
    </w:sdt>
    <w:r w:rsidR="00A07346">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8A0836" w:rsidRPr="00A07346">
      <w:rPr>
        <w:sz w:val="32"/>
        <w:szCs w:val="32"/>
      </w:rPr>
      <w:t xml:space="preserve"> </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F6423"/>
    <w:multiLevelType w:val="hybridMultilevel"/>
    <w:tmpl w:val="E0E40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A20A9B"/>
    <w:multiLevelType w:val="hybridMultilevel"/>
    <w:tmpl w:val="5EC66C6A"/>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7"/>
  </w:num>
  <w:num w:numId="2" w16cid:durableId="477871">
    <w:abstractNumId w:val="26"/>
  </w:num>
  <w:num w:numId="3" w16cid:durableId="442723933">
    <w:abstractNumId w:val="10"/>
  </w:num>
  <w:num w:numId="4" w16cid:durableId="1898660599">
    <w:abstractNumId w:val="17"/>
  </w:num>
  <w:num w:numId="5" w16cid:durableId="2016301933">
    <w:abstractNumId w:val="13"/>
  </w:num>
  <w:num w:numId="6" w16cid:durableId="1486433883">
    <w:abstractNumId w:val="7"/>
  </w:num>
  <w:num w:numId="7" w16cid:durableId="1632243077">
    <w:abstractNumId w:val="19"/>
  </w:num>
  <w:num w:numId="8" w16cid:durableId="1927767152">
    <w:abstractNumId w:val="31"/>
  </w:num>
  <w:num w:numId="9" w16cid:durableId="1961179949">
    <w:abstractNumId w:val="29"/>
  </w:num>
  <w:num w:numId="10" w16cid:durableId="99297803">
    <w:abstractNumId w:val="11"/>
  </w:num>
  <w:num w:numId="11" w16cid:durableId="1901162730">
    <w:abstractNumId w:val="0"/>
  </w:num>
  <w:num w:numId="12" w16cid:durableId="1421296611">
    <w:abstractNumId w:val="9"/>
  </w:num>
  <w:num w:numId="13" w16cid:durableId="488332819">
    <w:abstractNumId w:val="16"/>
  </w:num>
  <w:num w:numId="14" w16cid:durableId="1339499224">
    <w:abstractNumId w:val="25"/>
  </w:num>
  <w:num w:numId="15" w16cid:durableId="1876579499">
    <w:abstractNumId w:val="28"/>
  </w:num>
  <w:num w:numId="16" w16cid:durableId="658849607">
    <w:abstractNumId w:val="21"/>
  </w:num>
  <w:num w:numId="17" w16cid:durableId="7371488">
    <w:abstractNumId w:val="15"/>
  </w:num>
  <w:num w:numId="18" w16cid:durableId="1097558798">
    <w:abstractNumId w:val="18"/>
  </w:num>
  <w:num w:numId="19" w16cid:durableId="962273582">
    <w:abstractNumId w:val="30"/>
  </w:num>
  <w:num w:numId="20" w16cid:durableId="500850907">
    <w:abstractNumId w:val="1"/>
  </w:num>
  <w:num w:numId="21" w16cid:durableId="456877503">
    <w:abstractNumId w:val="5"/>
  </w:num>
  <w:num w:numId="22" w16cid:durableId="671108708">
    <w:abstractNumId w:val="2"/>
  </w:num>
  <w:num w:numId="23" w16cid:durableId="610863068">
    <w:abstractNumId w:val="8"/>
  </w:num>
  <w:num w:numId="24" w16cid:durableId="869610373">
    <w:abstractNumId w:val="14"/>
  </w:num>
  <w:num w:numId="25" w16cid:durableId="1931234052">
    <w:abstractNumId w:val="6"/>
  </w:num>
  <w:num w:numId="26" w16cid:durableId="1917787909">
    <w:abstractNumId w:val="20"/>
  </w:num>
  <w:num w:numId="27" w16cid:durableId="2041541725">
    <w:abstractNumId w:val="22"/>
  </w:num>
  <w:num w:numId="28" w16cid:durableId="1911378638">
    <w:abstractNumId w:val="24"/>
  </w:num>
  <w:num w:numId="29" w16cid:durableId="1034426865">
    <w:abstractNumId w:val="23"/>
  </w:num>
  <w:num w:numId="30" w16cid:durableId="422534751">
    <w:abstractNumId w:val="12"/>
  </w:num>
  <w:num w:numId="31" w16cid:durableId="134756983">
    <w:abstractNumId w:val="4"/>
  </w:num>
  <w:num w:numId="32" w16cid:durableId="164431157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3F33"/>
    <w:rsid w:val="000A2F38"/>
    <w:rsid w:val="000A3B7F"/>
    <w:rsid w:val="000B0BDC"/>
    <w:rsid w:val="000B250E"/>
    <w:rsid w:val="000B4D67"/>
    <w:rsid w:val="000C213A"/>
    <w:rsid w:val="000C6D4B"/>
    <w:rsid w:val="000C7626"/>
    <w:rsid w:val="000D1092"/>
    <w:rsid w:val="000D5FB5"/>
    <w:rsid w:val="000E6648"/>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A0DA8"/>
    <w:rsid w:val="001A676E"/>
    <w:rsid w:val="001A6E2A"/>
    <w:rsid w:val="001A75BE"/>
    <w:rsid w:val="001C5A8B"/>
    <w:rsid w:val="001C752D"/>
    <w:rsid w:val="001D29BA"/>
    <w:rsid w:val="001D4E90"/>
    <w:rsid w:val="001D7B47"/>
    <w:rsid w:val="001E27BC"/>
    <w:rsid w:val="001F2710"/>
    <w:rsid w:val="00206011"/>
    <w:rsid w:val="00206B95"/>
    <w:rsid w:val="00207917"/>
    <w:rsid w:val="002128CD"/>
    <w:rsid w:val="00223C7B"/>
    <w:rsid w:val="00227C67"/>
    <w:rsid w:val="00230DA6"/>
    <w:rsid w:val="00233CB1"/>
    <w:rsid w:val="00234838"/>
    <w:rsid w:val="00237623"/>
    <w:rsid w:val="00247F43"/>
    <w:rsid w:val="002601C9"/>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4E70"/>
    <w:rsid w:val="002E61D2"/>
    <w:rsid w:val="002F27C0"/>
    <w:rsid w:val="003003FF"/>
    <w:rsid w:val="00300C02"/>
    <w:rsid w:val="00307793"/>
    <w:rsid w:val="0031701C"/>
    <w:rsid w:val="00320B08"/>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A27BD"/>
    <w:rsid w:val="003A3F96"/>
    <w:rsid w:val="003B785D"/>
    <w:rsid w:val="003C2F37"/>
    <w:rsid w:val="003C405A"/>
    <w:rsid w:val="003C43E3"/>
    <w:rsid w:val="003F05FE"/>
    <w:rsid w:val="003F158C"/>
    <w:rsid w:val="003F6AB4"/>
    <w:rsid w:val="00401753"/>
    <w:rsid w:val="0043435A"/>
    <w:rsid w:val="004373E4"/>
    <w:rsid w:val="00437E6F"/>
    <w:rsid w:val="00442121"/>
    <w:rsid w:val="00444B35"/>
    <w:rsid w:val="00454093"/>
    <w:rsid w:val="00454841"/>
    <w:rsid w:val="00454EB0"/>
    <w:rsid w:val="00460F09"/>
    <w:rsid w:val="00467642"/>
    <w:rsid w:val="00480CC8"/>
    <w:rsid w:val="00484137"/>
    <w:rsid w:val="004922A2"/>
    <w:rsid w:val="00493025"/>
    <w:rsid w:val="004A4E51"/>
    <w:rsid w:val="004B325F"/>
    <w:rsid w:val="004B5B07"/>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471B"/>
    <w:rsid w:val="005363A7"/>
    <w:rsid w:val="00536EAE"/>
    <w:rsid w:val="00543047"/>
    <w:rsid w:val="00543EBC"/>
    <w:rsid w:val="00552F50"/>
    <w:rsid w:val="00557FAC"/>
    <w:rsid w:val="005619D9"/>
    <w:rsid w:val="00563358"/>
    <w:rsid w:val="0057103D"/>
    <w:rsid w:val="005827F9"/>
    <w:rsid w:val="00584069"/>
    <w:rsid w:val="00585EB2"/>
    <w:rsid w:val="00587275"/>
    <w:rsid w:val="00590EC6"/>
    <w:rsid w:val="00593D64"/>
    <w:rsid w:val="005941AC"/>
    <w:rsid w:val="00594396"/>
    <w:rsid w:val="00596418"/>
    <w:rsid w:val="005A4F90"/>
    <w:rsid w:val="005B083A"/>
    <w:rsid w:val="005B17A4"/>
    <w:rsid w:val="005B2D2F"/>
    <w:rsid w:val="005B57CE"/>
    <w:rsid w:val="005C0AEF"/>
    <w:rsid w:val="005C32BC"/>
    <w:rsid w:val="005D1CF9"/>
    <w:rsid w:val="005D4E7B"/>
    <w:rsid w:val="005E7A7C"/>
    <w:rsid w:val="005F16E0"/>
    <w:rsid w:val="005F349F"/>
    <w:rsid w:val="005F4C3B"/>
    <w:rsid w:val="005F5787"/>
    <w:rsid w:val="00604CAA"/>
    <w:rsid w:val="00610368"/>
    <w:rsid w:val="00612D11"/>
    <w:rsid w:val="006139B8"/>
    <w:rsid w:val="00623C1E"/>
    <w:rsid w:val="00644083"/>
    <w:rsid w:val="00644C89"/>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A4B"/>
    <w:rsid w:val="007116B2"/>
    <w:rsid w:val="00712B8A"/>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74DFB"/>
    <w:rsid w:val="00786CC9"/>
    <w:rsid w:val="00792D2B"/>
    <w:rsid w:val="007B493F"/>
    <w:rsid w:val="007B6CEC"/>
    <w:rsid w:val="007C496C"/>
    <w:rsid w:val="007C49A0"/>
    <w:rsid w:val="007C5947"/>
    <w:rsid w:val="007D32C2"/>
    <w:rsid w:val="007F632D"/>
    <w:rsid w:val="008011E4"/>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6E67"/>
    <w:rsid w:val="008608D9"/>
    <w:rsid w:val="008645E7"/>
    <w:rsid w:val="008651E6"/>
    <w:rsid w:val="008653F7"/>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4C24"/>
    <w:rsid w:val="00920855"/>
    <w:rsid w:val="009246B2"/>
    <w:rsid w:val="009310FA"/>
    <w:rsid w:val="00931BC6"/>
    <w:rsid w:val="009323B7"/>
    <w:rsid w:val="00940F48"/>
    <w:rsid w:val="0094583E"/>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C07"/>
    <w:rsid w:val="00A92D37"/>
    <w:rsid w:val="00AA12A0"/>
    <w:rsid w:val="00AA3316"/>
    <w:rsid w:val="00AA5307"/>
    <w:rsid w:val="00AA67D3"/>
    <w:rsid w:val="00AB77ED"/>
    <w:rsid w:val="00AC22AA"/>
    <w:rsid w:val="00AC5FF3"/>
    <w:rsid w:val="00AD4C0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307B3"/>
    <w:rsid w:val="00B33D3B"/>
    <w:rsid w:val="00B37361"/>
    <w:rsid w:val="00B40F3E"/>
    <w:rsid w:val="00B44B64"/>
    <w:rsid w:val="00B5154B"/>
    <w:rsid w:val="00B7026A"/>
    <w:rsid w:val="00B71568"/>
    <w:rsid w:val="00B727B7"/>
    <w:rsid w:val="00B817EF"/>
    <w:rsid w:val="00B87824"/>
    <w:rsid w:val="00B94912"/>
    <w:rsid w:val="00B973C7"/>
    <w:rsid w:val="00BB55F1"/>
    <w:rsid w:val="00BC1757"/>
    <w:rsid w:val="00BD4E93"/>
    <w:rsid w:val="00BE78CB"/>
    <w:rsid w:val="00BF4238"/>
    <w:rsid w:val="00C01A36"/>
    <w:rsid w:val="00C031EB"/>
    <w:rsid w:val="00C03E5D"/>
    <w:rsid w:val="00C129CB"/>
    <w:rsid w:val="00C1576E"/>
    <w:rsid w:val="00C2485B"/>
    <w:rsid w:val="00C30066"/>
    <w:rsid w:val="00C334BF"/>
    <w:rsid w:val="00C34C79"/>
    <w:rsid w:val="00C42920"/>
    <w:rsid w:val="00C55702"/>
    <w:rsid w:val="00C55A58"/>
    <w:rsid w:val="00C936BB"/>
    <w:rsid w:val="00C965EC"/>
    <w:rsid w:val="00CA1C34"/>
    <w:rsid w:val="00CA2375"/>
    <w:rsid w:val="00CA34BE"/>
    <w:rsid w:val="00CA39CF"/>
    <w:rsid w:val="00CA5805"/>
    <w:rsid w:val="00CB0340"/>
    <w:rsid w:val="00CB7C22"/>
    <w:rsid w:val="00CC2057"/>
    <w:rsid w:val="00CC2623"/>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B7F77"/>
    <w:rsid w:val="00DC48A0"/>
    <w:rsid w:val="00DC4E55"/>
    <w:rsid w:val="00DC68A4"/>
    <w:rsid w:val="00DE2A31"/>
    <w:rsid w:val="00E00B30"/>
    <w:rsid w:val="00E047D0"/>
    <w:rsid w:val="00E10EF6"/>
    <w:rsid w:val="00E13791"/>
    <w:rsid w:val="00E16E18"/>
    <w:rsid w:val="00E17EC6"/>
    <w:rsid w:val="00E2000B"/>
    <w:rsid w:val="00E21A03"/>
    <w:rsid w:val="00E24A98"/>
    <w:rsid w:val="00E319B0"/>
    <w:rsid w:val="00E374AB"/>
    <w:rsid w:val="00E4337F"/>
    <w:rsid w:val="00E616F8"/>
    <w:rsid w:val="00E71AE4"/>
    <w:rsid w:val="00E90119"/>
    <w:rsid w:val="00E9707D"/>
    <w:rsid w:val="00EA18DA"/>
    <w:rsid w:val="00EB074F"/>
    <w:rsid w:val="00EB428C"/>
    <w:rsid w:val="00EB775D"/>
    <w:rsid w:val="00EC09E4"/>
    <w:rsid w:val="00EC49B4"/>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9C0"/>
    <w:rsid w:val="00F94BD0"/>
    <w:rsid w:val="00FA5586"/>
    <w:rsid w:val="00FA583D"/>
    <w:rsid w:val="00FA69A8"/>
    <w:rsid w:val="00FB0D8E"/>
    <w:rsid w:val="00FB1084"/>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77204D0"/>
    <w:rsid w:val="07E7D4E9"/>
    <w:rsid w:val="088104A0"/>
    <w:rsid w:val="08ABA442"/>
    <w:rsid w:val="08BC9338"/>
    <w:rsid w:val="0924962E"/>
    <w:rsid w:val="0A1C6BE2"/>
    <w:rsid w:val="0A4774A3"/>
    <w:rsid w:val="0A970718"/>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A21A98"/>
    <w:rsid w:val="12A89174"/>
    <w:rsid w:val="12E89CE8"/>
    <w:rsid w:val="13110AE4"/>
    <w:rsid w:val="14114826"/>
    <w:rsid w:val="142280F4"/>
    <w:rsid w:val="145087D8"/>
    <w:rsid w:val="14CC70A9"/>
    <w:rsid w:val="14D9D304"/>
    <w:rsid w:val="170C1C8F"/>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F182FD5"/>
    <w:rsid w:val="1F192BCA"/>
    <w:rsid w:val="1F310990"/>
    <w:rsid w:val="1F5C9F80"/>
    <w:rsid w:val="1F933A7F"/>
    <w:rsid w:val="20E0D883"/>
    <w:rsid w:val="212F0AE0"/>
    <w:rsid w:val="216A87BF"/>
    <w:rsid w:val="21CE37BE"/>
    <w:rsid w:val="2209A576"/>
    <w:rsid w:val="227097D8"/>
    <w:rsid w:val="22863E61"/>
    <w:rsid w:val="233BFD02"/>
    <w:rsid w:val="2377BF90"/>
    <w:rsid w:val="23D9BDD4"/>
    <w:rsid w:val="2404E605"/>
    <w:rsid w:val="245077BC"/>
    <w:rsid w:val="24EFF65A"/>
    <w:rsid w:val="2542CF37"/>
    <w:rsid w:val="2573967B"/>
    <w:rsid w:val="273DD8C6"/>
    <w:rsid w:val="27A0622C"/>
    <w:rsid w:val="2839A748"/>
    <w:rsid w:val="28B26503"/>
    <w:rsid w:val="28D40826"/>
    <w:rsid w:val="28DFD95C"/>
    <w:rsid w:val="28E7122D"/>
    <w:rsid w:val="299A3EE7"/>
    <w:rsid w:val="2A73BC37"/>
    <w:rsid w:val="2A7827E9"/>
    <w:rsid w:val="2B71480A"/>
    <w:rsid w:val="2BB087BC"/>
    <w:rsid w:val="2C71BD87"/>
    <w:rsid w:val="2DD141D2"/>
    <w:rsid w:val="2DE37648"/>
    <w:rsid w:val="2E309B0E"/>
    <w:rsid w:val="2ED52383"/>
    <w:rsid w:val="2EDA0964"/>
    <w:rsid w:val="2F1E72F2"/>
    <w:rsid w:val="2F6D1233"/>
    <w:rsid w:val="2FE73924"/>
    <w:rsid w:val="30096B3B"/>
    <w:rsid w:val="305EAA7F"/>
    <w:rsid w:val="30681017"/>
    <w:rsid w:val="3083F8DF"/>
    <w:rsid w:val="30B5ACAF"/>
    <w:rsid w:val="30C02E62"/>
    <w:rsid w:val="325BFEC3"/>
    <w:rsid w:val="32DD9ACD"/>
    <w:rsid w:val="34F53913"/>
    <w:rsid w:val="36B2DA3B"/>
    <w:rsid w:val="377601CE"/>
    <w:rsid w:val="384280B7"/>
    <w:rsid w:val="38552889"/>
    <w:rsid w:val="3896F84A"/>
    <w:rsid w:val="3955CB0C"/>
    <w:rsid w:val="39B1113E"/>
    <w:rsid w:val="39BA6E21"/>
    <w:rsid w:val="3A9B985B"/>
    <w:rsid w:val="3B7B6AF9"/>
    <w:rsid w:val="3BCE990C"/>
    <w:rsid w:val="3BEBBB75"/>
    <w:rsid w:val="3C2D9DE8"/>
    <w:rsid w:val="3C4039BD"/>
    <w:rsid w:val="3CF7903C"/>
    <w:rsid w:val="3D627BE7"/>
    <w:rsid w:val="3D6A696D"/>
    <w:rsid w:val="3DC5D8DA"/>
    <w:rsid w:val="3DC82DAF"/>
    <w:rsid w:val="3E950E63"/>
    <w:rsid w:val="3EFE4C48"/>
    <w:rsid w:val="3FDA6FDD"/>
    <w:rsid w:val="40046DC8"/>
    <w:rsid w:val="407C24A6"/>
    <w:rsid w:val="41546CA0"/>
    <w:rsid w:val="41CACDC2"/>
    <w:rsid w:val="41D3BC1B"/>
    <w:rsid w:val="423D287E"/>
    <w:rsid w:val="427AB2E9"/>
    <w:rsid w:val="42C0215C"/>
    <w:rsid w:val="42EC116C"/>
    <w:rsid w:val="42F03D01"/>
    <w:rsid w:val="43D1BD6B"/>
    <w:rsid w:val="44254CF7"/>
    <w:rsid w:val="4438AFCD"/>
    <w:rsid w:val="44AAEE84"/>
    <w:rsid w:val="450B5CDD"/>
    <w:rsid w:val="45134A63"/>
    <w:rsid w:val="4553EAD8"/>
    <w:rsid w:val="4573FE2B"/>
    <w:rsid w:val="460A1D2E"/>
    <w:rsid w:val="4678BDDC"/>
    <w:rsid w:val="46A72D3E"/>
    <w:rsid w:val="46AF1AC4"/>
    <w:rsid w:val="46BBFF7D"/>
    <w:rsid w:val="4749925E"/>
    <w:rsid w:val="47A3BF2B"/>
    <w:rsid w:val="48C857C0"/>
    <w:rsid w:val="49B5717E"/>
    <w:rsid w:val="4A3D9AB1"/>
    <w:rsid w:val="4A49052F"/>
    <w:rsid w:val="4BE4BCD6"/>
    <w:rsid w:val="4CAACBA1"/>
    <w:rsid w:val="4CF39F69"/>
    <w:rsid w:val="4DC397F6"/>
    <w:rsid w:val="4E338727"/>
    <w:rsid w:val="4EA3B555"/>
    <w:rsid w:val="4EE191AD"/>
    <w:rsid w:val="4F2E10C5"/>
    <w:rsid w:val="4F5564B2"/>
    <w:rsid w:val="502B402B"/>
    <w:rsid w:val="5055FD0A"/>
    <w:rsid w:val="50B82DF9"/>
    <w:rsid w:val="50E696AF"/>
    <w:rsid w:val="51F1CD6B"/>
    <w:rsid w:val="523B300C"/>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646181"/>
    <w:rsid w:val="5B145C75"/>
    <w:rsid w:val="5B2D84D2"/>
    <w:rsid w:val="5B48B51E"/>
    <w:rsid w:val="5BAB5525"/>
    <w:rsid w:val="5C518C23"/>
    <w:rsid w:val="5C56D3E2"/>
    <w:rsid w:val="5CD57B36"/>
    <w:rsid w:val="5DB41DA0"/>
    <w:rsid w:val="5DE63304"/>
    <w:rsid w:val="5E8768AC"/>
    <w:rsid w:val="5ED05073"/>
    <w:rsid w:val="5F1FCD7A"/>
    <w:rsid w:val="5F797B27"/>
    <w:rsid w:val="603251EB"/>
    <w:rsid w:val="60B52058"/>
    <w:rsid w:val="60F9EF45"/>
    <w:rsid w:val="61A0FED3"/>
    <w:rsid w:val="61A8EC59"/>
    <w:rsid w:val="61E81291"/>
    <w:rsid w:val="628D1B53"/>
    <w:rsid w:val="6304D71C"/>
    <w:rsid w:val="6321E78C"/>
    <w:rsid w:val="639C4F9F"/>
    <w:rsid w:val="63A71D48"/>
    <w:rsid w:val="63B4DF89"/>
    <w:rsid w:val="63EF8817"/>
    <w:rsid w:val="643CC1A3"/>
    <w:rsid w:val="644CEC4A"/>
    <w:rsid w:val="650A2142"/>
    <w:rsid w:val="66218B92"/>
    <w:rsid w:val="687E1353"/>
    <w:rsid w:val="6886116B"/>
    <w:rsid w:val="68CF4BE2"/>
    <w:rsid w:val="6AFDBDE0"/>
    <w:rsid w:val="6B208EBE"/>
    <w:rsid w:val="6B479AF0"/>
    <w:rsid w:val="6C5AE39A"/>
    <w:rsid w:val="6C7178CD"/>
    <w:rsid w:val="6CB84B5A"/>
    <w:rsid w:val="6E710196"/>
    <w:rsid w:val="6E988C05"/>
    <w:rsid w:val="6EBC1109"/>
    <w:rsid w:val="6F8D7679"/>
    <w:rsid w:val="6FAD47DF"/>
    <w:rsid w:val="70AE7BC5"/>
    <w:rsid w:val="71344C01"/>
    <w:rsid w:val="7248B4A1"/>
    <w:rsid w:val="72DD72B8"/>
    <w:rsid w:val="72F1042B"/>
    <w:rsid w:val="730A65FB"/>
    <w:rsid w:val="7398F571"/>
    <w:rsid w:val="73A769EF"/>
    <w:rsid w:val="73ACE57D"/>
    <w:rsid w:val="73EF420B"/>
    <w:rsid w:val="74A6365C"/>
    <w:rsid w:val="74F6B0E5"/>
    <w:rsid w:val="75433A50"/>
    <w:rsid w:val="75ABFD1B"/>
    <w:rsid w:val="761F1580"/>
    <w:rsid w:val="766C75F1"/>
    <w:rsid w:val="773EF875"/>
    <w:rsid w:val="775DF585"/>
    <w:rsid w:val="779DDB31"/>
    <w:rsid w:val="77DDD71E"/>
    <w:rsid w:val="786D3605"/>
    <w:rsid w:val="78CF7941"/>
    <w:rsid w:val="78E39DDD"/>
    <w:rsid w:val="795DEF13"/>
    <w:rsid w:val="7A111BCD"/>
    <w:rsid w:val="7A42325D"/>
    <w:rsid w:val="7A706089"/>
    <w:rsid w:val="7AD6103E"/>
    <w:rsid w:val="7B4EDFD4"/>
    <w:rsid w:val="7B76463F"/>
    <w:rsid w:val="7BD819BA"/>
    <w:rsid w:val="7BFBF01F"/>
    <w:rsid w:val="7C7CC282"/>
    <w:rsid w:val="7CBF3D5E"/>
    <w:rsid w:val="7CC25047"/>
    <w:rsid w:val="7DA3A528"/>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 w:type="character" w:styleId="PlaceholderText">
    <w:name w:val="Placeholder Text"/>
    <w:basedOn w:val="DefaultParagraphFont"/>
    <w:uiPriority w:val="99"/>
    <w:semiHidden/>
    <w:rsid w:val="00A92C0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4394">
      <w:bodyDiv w:val="1"/>
      <w:marLeft w:val="0"/>
      <w:marRight w:val="0"/>
      <w:marTop w:val="0"/>
      <w:marBottom w:val="0"/>
      <w:divBdr>
        <w:top w:val="none" w:sz="0" w:space="0" w:color="auto"/>
        <w:left w:val="none" w:sz="0" w:space="0" w:color="auto"/>
        <w:bottom w:val="none" w:sz="0" w:space="0" w:color="auto"/>
        <w:right w:val="none" w:sz="0" w:space="0" w:color="auto"/>
      </w:divBdr>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59843460">
      <w:bodyDiv w:val="1"/>
      <w:marLeft w:val="0"/>
      <w:marRight w:val="0"/>
      <w:marTop w:val="0"/>
      <w:marBottom w:val="0"/>
      <w:divBdr>
        <w:top w:val="none" w:sz="0" w:space="0" w:color="auto"/>
        <w:left w:val="none" w:sz="0" w:space="0" w:color="auto"/>
        <w:bottom w:val="none" w:sz="0" w:space="0" w:color="auto"/>
        <w:right w:val="none" w:sz="0" w:space="0" w:color="auto"/>
      </w:divBdr>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oe.mass.edu/frameworks/current.html"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scitech/201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33F84CCAC43508AF6E267304BD5A9"/>
        <w:category>
          <w:name w:val="General"/>
          <w:gallery w:val="placeholder"/>
        </w:category>
        <w:types>
          <w:type w:val="bbPlcHdr"/>
        </w:types>
        <w:behaviors>
          <w:behavior w:val="content"/>
        </w:behaviors>
        <w:guid w:val="{1156B8ED-CF2C-4C9A-A1A9-74459372AEC6}"/>
      </w:docPartPr>
      <w:docPartBody>
        <w:p w:rsidR="003228AA" w:rsidRDefault="003228AA">
          <w:r w:rsidRPr="00AD21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28AA"/>
    <w:rsid w:val="003228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8A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3F624-A96A-4A08-BEBD-7E2411A55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customXml/itemProps3.xml><?xml version="1.0" encoding="utf-8"?>
<ds:datastoreItem xmlns:ds="http://schemas.openxmlformats.org/officeDocument/2006/customXml" ds:itemID="{B934DEF7-BF1C-460F-9B08-C308798EF0C6}">
  <ds:schemaRefs>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09bc02a0-1bd8-43ac-9b2b-ec81f331de42"/>
    <ds:schemaRef ds:uri="3beec907-3983-4d0d-9c11-a26ecbded5c3"/>
    <ds:schemaRef ds:uri="http://purl.org/dc/terms/"/>
  </ds:schemaRefs>
</ds:datastoreItem>
</file>

<file path=customXml/itemProps4.xml><?xml version="1.0" encoding="utf-8"?>
<ds:datastoreItem xmlns:ds="http://schemas.openxmlformats.org/officeDocument/2006/customXml" ds:itemID="{3B68FFBD-637B-4676-90D0-D822AAC3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10649</Words>
  <Characters>62297</Characters>
  <Application>Microsoft Office Word</Application>
  <DocSecurity>0</DocSecurity>
  <Lines>973</Lines>
  <Paragraphs>390</Paragraphs>
  <ScaleCrop>false</ScaleCrop>
  <Company/>
  <LinksUpToDate>false</LinksUpToDate>
  <CharactersWithSpaces>72556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Deaf and Hard of Hearing</dc:title>
  <dc:subject/>
  <dc:creator>DESE</dc:creator>
  <cp:keywords/>
  <dc:description/>
  <cp:lastModifiedBy>Zou, Dong (EOE)</cp:lastModifiedBy>
  <cp:revision>502</cp:revision>
  <dcterms:created xsi:type="dcterms:W3CDTF">2023-12-02T00:11:00Z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