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1F3D" w14:textId="77777777" w:rsidR="00A92C07" w:rsidRDefault="00A92C07" w:rsidP="00A42796">
      <w:pPr>
        <w:spacing w:after="0" w:line="240" w:lineRule="auto"/>
        <w:jc w:val="center"/>
        <w:rPr>
          <w:rFonts w:ascii="Calibri" w:eastAsia="Calibri" w:hAnsi="Calibri" w:cs="Calibri"/>
          <w:b/>
          <w:bCs/>
          <w:sz w:val="28"/>
          <w:szCs w:val="28"/>
        </w:rPr>
      </w:pPr>
    </w:p>
    <w:p w14:paraId="3737D3A0" w14:textId="69B30379"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7520168A" w:rsidR="2542CF37" w:rsidRPr="00644C89" w:rsidRDefault="00644C89" w:rsidP="73ACE57D">
      <w:pPr>
        <w:spacing w:after="0" w:line="240" w:lineRule="auto"/>
        <w:jc w:val="center"/>
        <w:rPr>
          <w:rFonts w:ascii="Calibri" w:eastAsia="Calibri" w:hAnsi="Calibri" w:cs="Calibri"/>
          <w:b/>
          <w:bCs/>
          <w:sz w:val="28"/>
          <w:szCs w:val="28"/>
        </w:rPr>
      </w:pPr>
      <w:r w:rsidRPr="00644C89">
        <w:rPr>
          <w:rFonts w:ascii="Calibri" w:eastAsia="Calibri" w:hAnsi="Calibri" w:cs="Calibri"/>
          <w:b/>
          <w:bCs/>
          <w:sz w:val="28"/>
          <w:szCs w:val="28"/>
        </w:rPr>
        <w:t>Teacher of the Deaf and Hard of Hearing, All</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lastRenderedPageBreak/>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50F39C77" w:rsidR="60B52058" w:rsidRPr="005F16E0" w:rsidRDefault="12E89CE8" w:rsidP="766C75F1">
      <w:pPr>
        <w:spacing w:after="0" w:line="240" w:lineRule="auto"/>
        <w:rPr>
          <w:rFonts w:ascii="Calibri" w:eastAsia="Calibri" w:hAnsi="Calibri" w:cs="Calibri"/>
        </w:rPr>
      </w:pPr>
      <w:r w:rsidRPr="766C75F1">
        <w:rPr>
          <w:rFonts w:ascii="Calibri" w:eastAsia="Calibri" w:hAnsi="Calibri" w:cs="Calibri"/>
        </w:rPr>
        <w:t xml:space="preserve">This worksheet should be completed for </w:t>
      </w:r>
      <w:r w:rsidR="00644C89" w:rsidRPr="00644C89">
        <w:rPr>
          <w:rFonts w:ascii="Calibri" w:eastAsia="Calibri" w:hAnsi="Calibri" w:cs="Calibri"/>
        </w:rPr>
        <w:t>Teacher of the Deaf and Hard of Hearing, All</w:t>
      </w:r>
      <w:r w:rsidR="00E16E18">
        <w:rPr>
          <w:rFonts w:ascii="Calibri" w:eastAsia="Calibri" w:hAnsi="Calibri" w:cs="Calibri"/>
        </w:rPr>
        <w:t>,</w:t>
      </w:r>
      <w:r w:rsidR="00644C89">
        <w:rPr>
          <w:rFonts w:ascii="Calibri" w:eastAsia="Calibri" w:hAnsi="Calibri" w:cs="Calibri"/>
        </w:rPr>
        <w:t xml:space="preserve"> </w:t>
      </w:r>
      <w:r w:rsidRPr="766C75F1">
        <w:rPr>
          <w:rFonts w:ascii="Calibri" w:eastAsia="Calibri" w:hAnsi="Calibri" w:cs="Calibri"/>
        </w:rPr>
        <w:t xml:space="preserve">programs, for which Subject Matter Knowledge expectations come from multiple </w:t>
      </w:r>
      <w:hyperlink r:id="rId14">
        <w:r w:rsidRPr="766C75F1">
          <w:rPr>
            <w:rStyle w:val="Hyperlink"/>
            <w:rFonts w:ascii="Calibri" w:eastAsia="Calibri" w:hAnsi="Calibri" w:cs="Calibri"/>
            <w:color w:val="0563C1"/>
          </w:rPr>
          <w:t>Curriculum Frameworks</w:t>
        </w:r>
      </w:hyperlink>
      <w:r w:rsidRPr="766C75F1">
        <w:rPr>
          <w:rFonts w:ascii="Calibri" w:eastAsia="Calibri" w:hAnsi="Calibri" w:cs="Calibri"/>
        </w:rPr>
        <w:t>. Within this document you will find sections covering the following SMK expectations:</w:t>
      </w:r>
    </w:p>
    <w:p w14:paraId="5EF6E5A8" w14:textId="209112CD" w:rsidR="60B52058" w:rsidRPr="005F16E0" w:rsidRDefault="60B52058" w:rsidP="766C75F1">
      <w:pPr>
        <w:spacing w:after="0" w:line="240" w:lineRule="auto"/>
        <w:rPr>
          <w:rFonts w:ascii="Calibri" w:eastAsia="Calibri" w:hAnsi="Calibri" w:cs="Calibri"/>
          <w:highlight w:val="yellow"/>
        </w:rPr>
      </w:pPr>
    </w:p>
    <w:p w14:paraId="4CFEB550" w14:textId="0D24BCED" w:rsidR="60B52058" w:rsidRPr="008653F7" w:rsidRDefault="00C55A58" w:rsidP="766C75F1">
      <w:pPr>
        <w:spacing w:after="0" w:line="240" w:lineRule="auto"/>
        <w:rPr>
          <w:rFonts w:ascii="Calibri" w:eastAsia="Calibri" w:hAnsi="Calibri" w:cs="Calibri"/>
        </w:rPr>
      </w:pPr>
      <w:hyperlink w:anchor="Moderate">
        <w:r w:rsidR="00E16E18" w:rsidRPr="008653F7">
          <w:rPr>
            <w:rStyle w:val="Hyperlink"/>
            <w:rFonts w:ascii="Calibri" w:eastAsia="Calibri" w:hAnsi="Calibri" w:cs="Calibri"/>
          </w:rPr>
          <w:t>Teacher of the Deaf and Hard of Hearing, All, Knowledge and Skills</w:t>
        </w:r>
      </w:hyperlink>
    </w:p>
    <w:p w14:paraId="5157C59E" w14:textId="5E800DB6" w:rsidR="766C75F1" w:rsidRPr="008653F7" w:rsidRDefault="766C75F1" w:rsidP="766C75F1">
      <w:pPr>
        <w:spacing w:after="0" w:line="240" w:lineRule="auto"/>
        <w:rPr>
          <w:rFonts w:ascii="Calibri" w:eastAsia="Calibri" w:hAnsi="Calibri" w:cs="Calibri"/>
        </w:rPr>
      </w:pPr>
    </w:p>
    <w:p w14:paraId="0B4F4453" w14:textId="5A4CD41A" w:rsidR="60B52058" w:rsidRPr="008653F7" w:rsidRDefault="00C55A58" w:rsidP="766C75F1">
      <w:pPr>
        <w:spacing w:after="0" w:line="240" w:lineRule="auto"/>
        <w:rPr>
          <w:rFonts w:ascii="Calibri" w:eastAsia="Calibri" w:hAnsi="Calibri" w:cs="Calibri"/>
        </w:rPr>
      </w:pPr>
      <w:hyperlink w:anchor="_English_Language_Arts">
        <w:r w:rsidR="60B52058" w:rsidRPr="008653F7">
          <w:rPr>
            <w:rStyle w:val="Hyperlink"/>
            <w:rFonts w:ascii="Calibri" w:eastAsia="Calibri" w:hAnsi="Calibri" w:cs="Calibri"/>
          </w:rPr>
          <w:t>English Language Arts and Literacy</w:t>
        </w:r>
      </w:hyperlink>
      <w:r w:rsidR="60B52058" w:rsidRPr="008653F7">
        <w:rPr>
          <w:rFonts w:ascii="Calibri" w:eastAsia="Calibri" w:hAnsi="Calibri" w:cs="Calibri"/>
        </w:rPr>
        <w:t xml:space="preserve"> </w:t>
      </w:r>
    </w:p>
    <w:p w14:paraId="1438D4C5" w14:textId="2F16011A" w:rsidR="005F16E0" w:rsidRPr="008653F7" w:rsidRDefault="005F16E0" w:rsidP="766C75F1">
      <w:pPr>
        <w:pStyle w:val="ListParagraph"/>
        <w:numPr>
          <w:ilvl w:val="0"/>
          <w:numId w:val="16"/>
        </w:numPr>
        <w:spacing w:after="0" w:line="240" w:lineRule="auto"/>
        <w:rPr>
          <w:rFonts w:ascii="Calibri" w:eastAsia="Calibri" w:hAnsi="Calibri" w:cs="Calibri"/>
        </w:rPr>
      </w:pPr>
      <w:r w:rsidRPr="008653F7">
        <w:rPr>
          <w:rFonts w:ascii="Calibri" w:eastAsia="Calibri" w:hAnsi="Calibri" w:cs="Calibri"/>
        </w:rPr>
        <w:t>English Language Arts and Literacy Anchor Standards</w:t>
      </w:r>
    </w:p>
    <w:p w14:paraId="1EC54894" w14:textId="37F19391" w:rsidR="005F16E0" w:rsidRPr="008653F7" w:rsidRDefault="005F16E0" w:rsidP="766C75F1">
      <w:pPr>
        <w:pStyle w:val="ListParagraph"/>
        <w:numPr>
          <w:ilvl w:val="0"/>
          <w:numId w:val="16"/>
        </w:numPr>
        <w:spacing w:after="0" w:line="240" w:lineRule="auto"/>
        <w:rPr>
          <w:rFonts w:ascii="Calibri" w:eastAsia="Calibri" w:hAnsi="Calibri" w:cs="Calibri"/>
        </w:rPr>
      </w:pPr>
      <w:r w:rsidRPr="008653F7">
        <w:rPr>
          <w:rFonts w:ascii="Calibri" w:eastAsia="Calibri" w:hAnsi="Calibri" w:cs="Calibri"/>
        </w:rPr>
        <w:t>English Language Arts and Literacy Practices</w:t>
      </w:r>
    </w:p>
    <w:p w14:paraId="3CA5D17A" w14:textId="34236057" w:rsidR="766C75F1" w:rsidRPr="008653F7" w:rsidRDefault="766C75F1" w:rsidP="766C75F1">
      <w:pPr>
        <w:spacing w:after="0" w:line="240" w:lineRule="auto"/>
        <w:rPr>
          <w:rFonts w:ascii="Calibri" w:eastAsia="Calibri" w:hAnsi="Calibri" w:cs="Calibri"/>
        </w:rPr>
      </w:pPr>
    </w:p>
    <w:p w14:paraId="4F9EF9BF" w14:textId="47E59375" w:rsidR="005F16E0" w:rsidRPr="008653F7" w:rsidRDefault="00C55A58" w:rsidP="766C75F1">
      <w:pPr>
        <w:spacing w:after="0" w:line="240" w:lineRule="auto"/>
        <w:rPr>
          <w:rFonts w:ascii="Calibri" w:eastAsia="Calibri" w:hAnsi="Calibri" w:cs="Calibri"/>
        </w:rPr>
      </w:pPr>
      <w:hyperlink w:anchor="_History_and_Social">
        <w:r w:rsidR="60B52058" w:rsidRPr="008653F7">
          <w:rPr>
            <w:rStyle w:val="Hyperlink"/>
            <w:rFonts w:ascii="Calibri" w:eastAsia="Calibri" w:hAnsi="Calibri" w:cs="Calibri"/>
          </w:rPr>
          <w:t>History and Social Science</w:t>
        </w:r>
      </w:hyperlink>
      <w:r w:rsidR="60B52058" w:rsidRPr="008653F7">
        <w:rPr>
          <w:rFonts w:ascii="Calibri" w:eastAsia="Calibri" w:hAnsi="Calibri" w:cs="Calibri"/>
        </w:rPr>
        <w:t xml:space="preserve"> </w:t>
      </w:r>
    </w:p>
    <w:p w14:paraId="4CB12AC3" w14:textId="24F5EBE6" w:rsidR="005F16E0" w:rsidRPr="008653F7" w:rsidRDefault="005F16E0" w:rsidP="766C75F1">
      <w:pPr>
        <w:pStyle w:val="ListParagraph"/>
        <w:numPr>
          <w:ilvl w:val="0"/>
          <w:numId w:val="16"/>
        </w:numPr>
        <w:spacing w:after="0" w:line="240" w:lineRule="auto"/>
        <w:rPr>
          <w:rFonts w:ascii="Calibri" w:eastAsia="Calibri" w:hAnsi="Calibri" w:cs="Calibri"/>
        </w:rPr>
      </w:pPr>
      <w:r w:rsidRPr="008653F7">
        <w:rPr>
          <w:rFonts w:ascii="Calibri" w:eastAsia="Calibri" w:hAnsi="Calibri" w:cs="Calibri"/>
        </w:rPr>
        <w:t>History and Social Science Scope, Sequence, and Content Progression</w:t>
      </w:r>
    </w:p>
    <w:p w14:paraId="7C6FF01F" w14:textId="1AF46DC2" w:rsidR="005F16E0" w:rsidRPr="008653F7" w:rsidRDefault="005F16E0" w:rsidP="766C75F1">
      <w:pPr>
        <w:pStyle w:val="ListParagraph"/>
        <w:numPr>
          <w:ilvl w:val="0"/>
          <w:numId w:val="16"/>
        </w:numPr>
        <w:spacing w:after="0" w:line="240" w:lineRule="auto"/>
        <w:rPr>
          <w:rFonts w:ascii="Calibri" w:eastAsia="Calibri" w:hAnsi="Calibri" w:cs="Calibri"/>
        </w:rPr>
      </w:pPr>
      <w:r w:rsidRPr="008653F7">
        <w:rPr>
          <w:rFonts w:ascii="Calibri" w:eastAsia="Calibri" w:hAnsi="Calibri" w:cs="Calibri"/>
        </w:rPr>
        <w:t>Standards for History and Social Science Practices</w:t>
      </w:r>
    </w:p>
    <w:p w14:paraId="36ECF058" w14:textId="538573DC" w:rsidR="766C75F1" w:rsidRPr="008653F7" w:rsidRDefault="766C75F1" w:rsidP="766C75F1">
      <w:pPr>
        <w:spacing w:after="0" w:line="240" w:lineRule="auto"/>
        <w:rPr>
          <w:rFonts w:ascii="Calibri" w:eastAsia="Calibri" w:hAnsi="Calibri" w:cs="Calibri"/>
        </w:rPr>
      </w:pPr>
    </w:p>
    <w:p w14:paraId="17CE6982" w14:textId="6DDD4EDC" w:rsidR="60B52058" w:rsidRPr="008653F7" w:rsidRDefault="00C55A58" w:rsidP="766C75F1">
      <w:pPr>
        <w:spacing w:after="0" w:line="240" w:lineRule="auto"/>
        <w:rPr>
          <w:rStyle w:val="Hyperlink"/>
          <w:rFonts w:ascii="Calibri" w:eastAsia="Calibri" w:hAnsi="Calibri" w:cs="Calibri"/>
          <w:color w:val="auto"/>
          <w:u w:val="none"/>
        </w:rPr>
      </w:pPr>
      <w:hyperlink w:anchor="_Mathematics_Content_Progression">
        <w:r w:rsidR="60B52058" w:rsidRPr="008653F7">
          <w:rPr>
            <w:rStyle w:val="Hyperlink"/>
            <w:rFonts w:ascii="Calibri" w:eastAsia="Calibri" w:hAnsi="Calibri" w:cs="Calibri"/>
          </w:rPr>
          <w:t>Mathematics</w:t>
        </w:r>
      </w:hyperlink>
    </w:p>
    <w:p w14:paraId="35AA05CB" w14:textId="05B76251" w:rsidR="005F16E0" w:rsidRPr="008653F7"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Mathematics Content Progression</w:t>
      </w:r>
    </w:p>
    <w:p w14:paraId="2235153F" w14:textId="0D0B52BD" w:rsidR="005F16E0" w:rsidRPr="008653F7"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Mathematical Rigor</w:t>
      </w:r>
    </w:p>
    <w:p w14:paraId="52978A4B" w14:textId="2A6B1FEB" w:rsidR="005F16E0" w:rsidRPr="008653F7" w:rsidRDefault="005F16E0" w:rsidP="766C75F1">
      <w:pPr>
        <w:pStyle w:val="ListParagraph"/>
        <w:numPr>
          <w:ilvl w:val="0"/>
          <w:numId w:val="16"/>
        </w:numPr>
        <w:spacing w:after="0" w:line="240" w:lineRule="auto"/>
        <w:rPr>
          <w:rFonts w:ascii="Calibri" w:eastAsia="Calibri" w:hAnsi="Calibri" w:cs="Calibri"/>
          <w:color w:val="000000" w:themeColor="text1"/>
        </w:rPr>
      </w:pPr>
      <w:r w:rsidRPr="008653F7">
        <w:rPr>
          <w:rStyle w:val="Hyperlink"/>
          <w:rFonts w:ascii="Calibri" w:eastAsia="Calibri" w:hAnsi="Calibri" w:cs="Calibri"/>
          <w:color w:val="000000" w:themeColor="text1"/>
          <w:u w:val="none"/>
        </w:rPr>
        <w:t>Standards for Mathematics Practices</w:t>
      </w:r>
    </w:p>
    <w:p w14:paraId="54F0DD9E" w14:textId="383AC13B" w:rsidR="766C75F1" w:rsidRPr="008653F7" w:rsidRDefault="766C75F1" w:rsidP="766C75F1">
      <w:pPr>
        <w:spacing w:after="0" w:line="240" w:lineRule="auto"/>
        <w:rPr>
          <w:rFonts w:ascii="Calibri" w:eastAsia="Calibri" w:hAnsi="Calibri" w:cs="Calibri"/>
        </w:rPr>
      </w:pPr>
    </w:p>
    <w:p w14:paraId="4DB2455C" w14:textId="00FB5F2D" w:rsidR="60B52058" w:rsidRPr="008653F7" w:rsidRDefault="00C55A58" w:rsidP="766C75F1">
      <w:pPr>
        <w:spacing w:after="0" w:line="240" w:lineRule="auto"/>
        <w:rPr>
          <w:rStyle w:val="Hyperlink"/>
          <w:rFonts w:ascii="Calibri" w:eastAsia="Calibri" w:hAnsi="Calibri" w:cs="Calibri"/>
        </w:rPr>
      </w:pPr>
      <w:hyperlink w:anchor="_Science_and_Technology/Engineering">
        <w:r w:rsidR="60B52058" w:rsidRPr="008653F7">
          <w:rPr>
            <w:rStyle w:val="Hyperlink"/>
            <w:rFonts w:ascii="Calibri" w:eastAsia="Calibri" w:hAnsi="Calibri" w:cs="Calibri"/>
          </w:rPr>
          <w:t>Science and Technology/Engineering</w:t>
        </w:r>
      </w:hyperlink>
    </w:p>
    <w:p w14:paraId="63C56E31" w14:textId="49D99AA1" w:rsidR="005F16E0" w:rsidRPr="008653F7"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Science and Technology/Engineering Content Progression</w:t>
      </w:r>
    </w:p>
    <w:p w14:paraId="00356167" w14:textId="2321A9E7" w:rsidR="005F16E0" w:rsidRPr="008653F7"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Science and Technology/Engineering Practices</w:t>
      </w:r>
    </w:p>
    <w:p w14:paraId="462F838C" w14:textId="77777777" w:rsidR="00022719" w:rsidRPr="008653F7" w:rsidRDefault="00022719" w:rsidP="73ACE57D">
      <w:pPr>
        <w:spacing w:after="0" w:line="240" w:lineRule="auto"/>
        <w:rPr>
          <w:rFonts w:ascii="Calibri" w:eastAsia="Calibri" w:hAnsi="Calibri" w:cs="Calibri"/>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123DF449" w14:textId="514DAB9F" w:rsidR="63EF8817" w:rsidRDefault="0053471B" w:rsidP="00AF71A8">
      <w:pPr>
        <w:pStyle w:val="Heading1"/>
        <w:rPr>
          <w:rFonts w:eastAsia="Calibri"/>
        </w:rPr>
      </w:pPr>
      <w:bookmarkStart w:id="0" w:name="Moderate"/>
      <w:bookmarkStart w:id="1" w:name="_Moderate_Disabilities,_5-12,"/>
      <w:bookmarkEnd w:id="0"/>
      <w:bookmarkEnd w:id="1"/>
      <w:r>
        <w:rPr>
          <w:rFonts w:eastAsia="Calibri"/>
        </w:rPr>
        <w:t>Teacher of the Deaf and Hard of Hearing</w:t>
      </w:r>
      <w:r w:rsidR="63EF8817" w:rsidRPr="46BBFF7D">
        <w:rPr>
          <w:rFonts w:eastAsia="Calibri"/>
        </w:rPr>
        <w:t xml:space="preserve">, </w:t>
      </w:r>
      <w:r>
        <w:rPr>
          <w:rFonts w:eastAsia="Calibri"/>
        </w:rPr>
        <w:t>All</w:t>
      </w:r>
      <w:r w:rsidR="41CACDC2" w:rsidRPr="46BBFF7D">
        <w:rPr>
          <w:rFonts w:eastAsia="Calibri"/>
        </w:rPr>
        <w:t>, Knowledge and Skills</w:t>
      </w:r>
    </w:p>
    <w:p w14:paraId="2601D4D1" w14:textId="6F74BD1A" w:rsidR="63EF8817" w:rsidRDefault="63EF8817" w:rsidP="460A1D2E">
      <w:pPr>
        <w:spacing w:after="0"/>
        <w:rPr>
          <w:rFonts w:eastAsiaTheme="minorEastAsia"/>
          <w:color w:val="000000" w:themeColor="text1"/>
        </w:rPr>
      </w:pPr>
      <w:r w:rsidRPr="460A1D2E">
        <w:rPr>
          <w:rFonts w:eastAsiaTheme="minorEastAsia"/>
          <w:color w:val="000000" w:themeColor="text1"/>
        </w:rPr>
        <w:t xml:space="preserve">In addition to the content aligned with the Massachusetts Curriculum Frameworks, Teachers of </w:t>
      </w:r>
      <w:r w:rsidR="650A2142" w:rsidRPr="460A1D2E">
        <w:rPr>
          <w:rFonts w:eastAsiaTheme="minorEastAsia"/>
          <w:color w:val="000000" w:themeColor="text1"/>
        </w:rPr>
        <w:t>the Deaf and Hard of Hearing</w:t>
      </w:r>
      <w:r w:rsidRPr="460A1D2E">
        <w:rPr>
          <w:rFonts w:eastAsiaTheme="minorEastAsia"/>
          <w:color w:val="000000" w:themeColor="text1"/>
        </w:rPr>
        <w:t xml:space="preserve"> should demonstrate the following knowledge and skills</w:t>
      </w:r>
      <w:r w:rsidR="30096B3B" w:rsidRPr="460A1D2E">
        <w:rPr>
          <w:rFonts w:eastAsiaTheme="minorEastAsia"/>
          <w:color w:val="000000" w:themeColor="text1"/>
        </w:rPr>
        <w:t>.</w:t>
      </w:r>
    </w:p>
    <w:p w14:paraId="52072A84" w14:textId="634AD33C" w:rsidR="46BBFF7D" w:rsidRDefault="46BBFF7D" w:rsidP="46BBFF7D">
      <w:pPr>
        <w:spacing w:after="0"/>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3680"/>
      </w:tblGrid>
      <w:tr w:rsidR="46BBFF7D" w14:paraId="6858B82B" w14:textId="77777777" w:rsidTr="46BBFF7D">
        <w:trPr>
          <w:trHeight w:val="300"/>
        </w:trPr>
        <w:tc>
          <w:tcPr>
            <w:tcW w:w="13680" w:type="dxa"/>
            <w:shd w:val="clear" w:color="auto" w:fill="E2EFD9" w:themeFill="accent6" w:themeFillTint="33"/>
          </w:tcPr>
          <w:p w14:paraId="0F8D8C13" w14:textId="6DE0AAB5" w:rsidR="4573FE2B" w:rsidRDefault="4573FE2B" w:rsidP="46BBFF7D">
            <w:pPr>
              <w:spacing w:line="259" w:lineRule="auto"/>
              <w:rPr>
                <w:rFonts w:ascii="Calibri" w:eastAsia="Calibri" w:hAnsi="Calibri" w:cs="Calibri"/>
                <w:color w:val="000000" w:themeColor="text1"/>
              </w:rPr>
            </w:pPr>
            <w:r w:rsidRPr="46BBFF7D">
              <w:rPr>
                <w:rStyle w:val="normaltextrun"/>
                <w:rFonts w:ascii="Calibri" w:hAnsi="Calibri" w:cs="Calibri"/>
                <w:b/>
                <w:bCs/>
                <w:color w:val="000000" w:themeColor="text1"/>
              </w:rPr>
              <w:t>Instructions</w:t>
            </w:r>
            <w:r w:rsidRPr="46BBFF7D">
              <w:rPr>
                <w:rStyle w:val="normaltextrun"/>
                <w:rFonts w:ascii="Calibri" w:hAnsi="Calibri" w:cs="Calibri"/>
                <w:b/>
                <w:bCs/>
                <w:i/>
                <w:iCs/>
                <w:color w:val="000000" w:themeColor="text1"/>
              </w:rPr>
              <w:t>:</w:t>
            </w:r>
            <w:r w:rsidRPr="46BBFF7D">
              <w:rPr>
                <w:rStyle w:val="normaltextrun"/>
                <w:rFonts w:ascii="Calibri" w:hAnsi="Calibri" w:cs="Calibri"/>
                <w:i/>
                <w:iCs/>
                <w:color w:val="000000" w:themeColor="text1"/>
              </w:rPr>
              <w:t xml:space="preserve"> </w:t>
            </w:r>
            <w:r w:rsidR="12A21A98" w:rsidRPr="46BBFF7D">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12A21A98" w:rsidRPr="46BBFF7D">
              <w:rPr>
                <w:rStyle w:val="normaltextrun"/>
                <w:rFonts w:ascii="Calibri" w:eastAsia="Calibri" w:hAnsi="Calibri" w:cs="Calibri"/>
                <w:b/>
                <w:bCs/>
                <w:color w:val="000000" w:themeColor="text1"/>
              </w:rPr>
              <w:t>sponsoring organization’s required courses where the content is explicitly targeted and coherently addressed</w:t>
            </w:r>
            <w:r w:rsidR="12A21A98" w:rsidRPr="46BBFF7D">
              <w:rPr>
                <w:rStyle w:val="normaltextrun"/>
                <w:rFonts w:ascii="Calibri" w:eastAsia="Calibri" w:hAnsi="Calibri" w:cs="Calibri"/>
                <w:color w:val="000000" w:themeColor="text1"/>
              </w:rPr>
              <w:t xml:space="preserve">. Then, </w:t>
            </w:r>
            <w:r w:rsidR="12A21A98" w:rsidRPr="46BBFF7D">
              <w:rPr>
                <w:rStyle w:val="normaltextrun"/>
                <w:rFonts w:ascii="Calibri" w:eastAsia="Calibri" w:hAnsi="Calibri" w:cs="Calibri"/>
                <w:b/>
                <w:bCs/>
                <w:color w:val="000000" w:themeColor="text1"/>
              </w:rPr>
              <w:t>briefly describe where in the syllabus the content is covered</w:t>
            </w:r>
            <w:r w:rsidR="12A21A98" w:rsidRPr="46BBFF7D">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tc>
      </w:tr>
    </w:tbl>
    <w:p w14:paraId="6B0AF66E" w14:textId="3019D55A" w:rsidR="46BBFF7D" w:rsidRDefault="46BBFF7D" w:rsidP="766C75F1">
      <w:pPr>
        <w:rPr>
          <w:rStyle w:val="normaltextrun"/>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25"/>
        <w:gridCol w:w="2339"/>
      </w:tblGrid>
      <w:tr w:rsidR="46BBFF7D" w14:paraId="372118C9" w14:textId="77777777" w:rsidTr="00F94BD0">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1467436" w14:textId="2387E1A3" w:rsidR="1B33ABBB" w:rsidRDefault="1B33ABBB" w:rsidP="46BBFF7D">
            <w:pPr>
              <w:spacing w:after="0" w:line="240" w:lineRule="auto"/>
              <w:rPr>
                <w:rFonts w:ascii="Calibri" w:eastAsia="Calibri" w:hAnsi="Calibri" w:cs="Calibri"/>
                <w:b/>
                <w:bCs/>
              </w:rPr>
            </w:pPr>
            <w:r w:rsidRPr="46BBFF7D">
              <w:rPr>
                <w:rFonts w:ascii="Calibri" w:eastAsia="Calibri" w:hAnsi="Calibri" w:cs="Calibri"/>
                <w:b/>
                <w:bCs/>
              </w:rPr>
              <w:t xml:space="preserve">  </w:t>
            </w:r>
            <w:r w:rsidR="000E6648" w:rsidRPr="000E6648">
              <w:rPr>
                <w:rFonts w:ascii="Calibri" w:eastAsia="Calibri" w:hAnsi="Calibri" w:cs="Calibri"/>
                <w:b/>
                <w:bCs/>
              </w:rPr>
              <w:t>Oral/Aura</w:t>
            </w:r>
            <w:r w:rsidR="000E6648">
              <w:rPr>
                <w:rFonts w:ascii="Calibri" w:eastAsia="Calibri" w:hAnsi="Calibri" w:cs="Calibri"/>
                <w:b/>
                <w:bCs/>
              </w:rPr>
              <w:t>l</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32DED75" w14:textId="48DA7348" w:rsidR="46BBFF7D" w:rsidRDefault="46BBFF7D" w:rsidP="46BBFF7D">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46BBFF7D" w14:paraId="097D6308" w14:textId="77777777" w:rsidTr="00F94BD0">
        <w:trPr>
          <w:trHeight w:val="24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1CE3043" w14:textId="0B8DEBB3"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C5FCE4D" w14:textId="535C9700"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46BBFF7D" w14:paraId="0180348D" w14:textId="77777777" w:rsidTr="00F94BD0">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8AB61" w14:textId="77777777" w:rsidR="00623C1E" w:rsidRDefault="00774DFB" w:rsidP="00623C1E">
            <w:pPr>
              <w:pStyle w:val="ListParagraph"/>
              <w:numPr>
                <w:ilvl w:val="0"/>
                <w:numId w:val="31"/>
              </w:numPr>
              <w:spacing w:after="0"/>
              <w:rPr>
                <w:rFonts w:eastAsiaTheme="minorEastAsia"/>
                <w:color w:val="000000" w:themeColor="text1"/>
              </w:rPr>
            </w:pPr>
            <w:r w:rsidRPr="00623C1E">
              <w:rPr>
                <w:rFonts w:eastAsiaTheme="minorEastAsia"/>
                <w:color w:val="000000" w:themeColor="text1"/>
              </w:rPr>
              <w:t>Hearing and Hearing Technology including:</w:t>
            </w:r>
          </w:p>
          <w:p w14:paraId="511DE09C" w14:textId="77777777" w:rsidR="00623C1E" w:rsidRDefault="00774DFB" w:rsidP="00623C1E">
            <w:pPr>
              <w:pStyle w:val="ListParagraph"/>
              <w:numPr>
                <w:ilvl w:val="1"/>
                <w:numId w:val="31"/>
              </w:numPr>
              <w:spacing w:after="0"/>
              <w:rPr>
                <w:rFonts w:eastAsiaTheme="minorEastAsia"/>
                <w:color w:val="000000" w:themeColor="text1"/>
              </w:rPr>
            </w:pPr>
            <w:r w:rsidRPr="00623C1E">
              <w:rPr>
                <w:rFonts w:eastAsiaTheme="minorEastAsia"/>
                <w:color w:val="000000" w:themeColor="text1"/>
              </w:rPr>
              <w:t xml:space="preserve">The anatomy and physiology of ear and neural pathways, physics of sound and psychoacoustics including auditory perception, speech acoustics and impact of environmental acoustics on speech understanding and listening. </w:t>
            </w:r>
          </w:p>
          <w:p w14:paraId="1762B379" w14:textId="77777777" w:rsidR="00623C1E" w:rsidRDefault="00774DFB" w:rsidP="00623C1E">
            <w:pPr>
              <w:pStyle w:val="ListParagraph"/>
              <w:numPr>
                <w:ilvl w:val="1"/>
                <w:numId w:val="31"/>
              </w:numPr>
              <w:spacing w:after="0"/>
              <w:rPr>
                <w:rFonts w:eastAsiaTheme="minorEastAsia"/>
                <w:color w:val="000000" w:themeColor="text1"/>
              </w:rPr>
            </w:pPr>
            <w:r w:rsidRPr="00623C1E">
              <w:rPr>
                <w:rFonts w:eastAsiaTheme="minorEastAsia"/>
                <w:color w:val="000000" w:themeColor="text1"/>
              </w:rPr>
              <w:t>Hearing measurement and etiology (both objective and subjective screening and test methods), test interpretation, hearing levels and the impact on listening and speech perception.</w:t>
            </w:r>
          </w:p>
          <w:p w14:paraId="02195524" w14:textId="3C012528" w:rsidR="0ED58844" w:rsidRPr="00594396" w:rsidRDefault="00774DFB" w:rsidP="00594396">
            <w:pPr>
              <w:pStyle w:val="ListParagraph"/>
              <w:numPr>
                <w:ilvl w:val="1"/>
                <w:numId w:val="31"/>
              </w:numPr>
              <w:spacing w:after="0"/>
              <w:rPr>
                <w:rFonts w:eastAsiaTheme="minorEastAsia"/>
                <w:color w:val="000000" w:themeColor="text1"/>
              </w:rPr>
            </w:pPr>
            <w:r w:rsidRPr="00623C1E">
              <w:rPr>
                <w:rFonts w:eastAsiaTheme="minorEastAsia"/>
                <w:color w:val="000000" w:themeColor="text1"/>
              </w:rPr>
              <w:t>Function and uses of available sensory devices and hearing assistive technology.</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5F4AF5"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BFD8C5D" w14:textId="77777777" w:rsidTr="00F94BD0">
        <w:trPr>
          <w:trHeight w:val="354"/>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FB4D1F" w14:textId="77777777" w:rsidR="00594396" w:rsidRDefault="00594396" w:rsidP="00594396">
            <w:pPr>
              <w:pStyle w:val="ListParagraph"/>
              <w:numPr>
                <w:ilvl w:val="0"/>
                <w:numId w:val="31"/>
              </w:numPr>
              <w:spacing w:after="0"/>
              <w:rPr>
                <w:rFonts w:eastAsiaTheme="minorEastAsia"/>
                <w:color w:val="000000" w:themeColor="text1"/>
              </w:rPr>
            </w:pPr>
            <w:r w:rsidRPr="00623C1E">
              <w:rPr>
                <w:rFonts w:eastAsiaTheme="minorEastAsia"/>
                <w:color w:val="000000" w:themeColor="text1"/>
              </w:rPr>
              <w:t>Auditory Functioning including:</w:t>
            </w:r>
          </w:p>
          <w:p w14:paraId="7FD6C517" w14:textId="63508F65" w:rsidR="1DE9E158" w:rsidRPr="00594396" w:rsidRDefault="00594396" w:rsidP="00594396">
            <w:pPr>
              <w:pStyle w:val="ListParagraph"/>
              <w:numPr>
                <w:ilvl w:val="1"/>
                <w:numId w:val="31"/>
              </w:numPr>
              <w:spacing w:after="0"/>
              <w:rPr>
                <w:rFonts w:eastAsiaTheme="minorEastAsia"/>
                <w:color w:val="000000" w:themeColor="text1"/>
              </w:rPr>
            </w:pPr>
            <w:r w:rsidRPr="00623C1E">
              <w:rPr>
                <w:rFonts w:eastAsiaTheme="minorEastAsia"/>
                <w:color w:val="000000" w:themeColor="text1"/>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A02D32"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2A3C89C" w14:textId="77777777" w:rsidTr="00F94BD0">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5B1B21" w14:textId="77777777" w:rsidR="00594396" w:rsidRDefault="00594396" w:rsidP="00594396">
            <w:pPr>
              <w:pStyle w:val="ListParagraph"/>
              <w:numPr>
                <w:ilvl w:val="0"/>
                <w:numId w:val="31"/>
              </w:numPr>
              <w:spacing w:after="0"/>
              <w:rPr>
                <w:rFonts w:eastAsiaTheme="minorEastAsia"/>
                <w:color w:val="000000" w:themeColor="text1"/>
              </w:rPr>
            </w:pPr>
            <w:r w:rsidRPr="00594396">
              <w:rPr>
                <w:rFonts w:eastAsiaTheme="minorEastAsia"/>
                <w:color w:val="000000" w:themeColor="text1"/>
              </w:rPr>
              <w:t>Spoken Language Communication including:</w:t>
            </w:r>
          </w:p>
          <w:p w14:paraId="5E38917D" w14:textId="3A38C7F0" w:rsidR="1DE9E158" w:rsidRPr="00594396" w:rsidRDefault="00594396" w:rsidP="00594396">
            <w:pPr>
              <w:pStyle w:val="ListParagraph"/>
              <w:numPr>
                <w:ilvl w:val="1"/>
                <w:numId w:val="31"/>
              </w:numPr>
              <w:spacing w:after="0"/>
              <w:rPr>
                <w:rFonts w:eastAsiaTheme="minorEastAsia"/>
                <w:color w:val="000000" w:themeColor="text1"/>
              </w:rPr>
            </w:pPr>
            <w:r w:rsidRPr="00594396">
              <w:rPr>
                <w:rFonts w:eastAsiaTheme="minorEastAsia"/>
                <w:color w:val="000000" w:themeColor="text1"/>
              </w:rPr>
              <w:t>Speech production: sequence of development (typical and atypical), anatomy and physiology of the speech/voice mechanism; and formal and informal speech production assessment measures.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8631A8"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bl>
    <w:p w14:paraId="25E718A7" w14:textId="23BD00D1" w:rsidR="0053471B" w:rsidRDefault="0053471B" w:rsidP="46BBFF7D">
      <w:pPr>
        <w:spacing w:after="0"/>
        <w:rPr>
          <w:rFonts w:eastAsiaTheme="minorEastAsia"/>
          <w:color w:val="000000" w:themeColor="text1"/>
        </w:rPr>
      </w:pPr>
    </w:p>
    <w:p w14:paraId="24D511EB" w14:textId="77777777" w:rsidR="0053471B" w:rsidRDefault="0053471B">
      <w:pPr>
        <w:rPr>
          <w:rFonts w:eastAsiaTheme="minorEastAsia"/>
          <w:color w:val="000000" w:themeColor="text1"/>
        </w:rPr>
      </w:pPr>
      <w:r>
        <w:rPr>
          <w:rFonts w:eastAsiaTheme="minorEastAsia"/>
          <w:color w:val="000000" w:themeColor="text1"/>
        </w:rPr>
        <w:br w:type="page"/>
      </w:r>
    </w:p>
    <w:p w14:paraId="474B02F3" w14:textId="77777777" w:rsidR="46BBFF7D" w:rsidRDefault="46BBFF7D" w:rsidP="46BBFF7D">
      <w:pPr>
        <w:spacing w:after="0"/>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25"/>
        <w:gridCol w:w="2339"/>
      </w:tblGrid>
      <w:tr w:rsidR="00774DFB" w14:paraId="5C84A4DA"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CAA9A1E" w14:textId="19BA84DD" w:rsidR="00774DFB" w:rsidRPr="000E6648" w:rsidRDefault="00774DFB" w:rsidP="001301E3">
            <w:pPr>
              <w:spacing w:after="0" w:line="240" w:lineRule="auto"/>
              <w:rPr>
                <w:rFonts w:ascii="Calibri" w:eastAsia="Calibri" w:hAnsi="Calibri" w:cs="Calibri"/>
                <w:b/>
                <w:bCs/>
              </w:rPr>
            </w:pPr>
            <w:r w:rsidRPr="46BBFF7D">
              <w:rPr>
                <w:rFonts w:ascii="Calibri" w:eastAsia="Calibri" w:hAnsi="Calibri" w:cs="Calibri"/>
                <w:b/>
                <w:bCs/>
              </w:rPr>
              <w:t xml:space="preserve">  </w:t>
            </w:r>
            <w:r w:rsidR="000E6648" w:rsidRPr="000E6648">
              <w:rPr>
                <w:b/>
                <w:bCs/>
                <w:color w:val="000000"/>
              </w:rPr>
              <w:t>American Sign Language (ASL)</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7E7390E" w14:textId="77777777" w:rsidR="00774DFB" w:rsidRDefault="00774DFB" w:rsidP="001301E3">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00774DFB" w14:paraId="4513D2EA" w14:textId="77777777" w:rsidTr="00774DFB">
        <w:trPr>
          <w:trHeight w:val="24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7B52612" w14:textId="77777777" w:rsidR="00774DFB" w:rsidRDefault="00774DFB" w:rsidP="001301E3">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B826971" w14:textId="77777777" w:rsidR="00774DFB" w:rsidRDefault="00774DFB" w:rsidP="001301E3">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00774DFB" w14:paraId="2ECE8635" w14:textId="77777777" w:rsidTr="00774DFB">
        <w:trPr>
          <w:trHeight w:val="354"/>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4D693A" w14:textId="7764D19B" w:rsidR="00774DFB" w:rsidRPr="0053471B" w:rsidRDefault="00F94BD0"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the perception, acquisition and processing of language (including both spoken and sign language).</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CAA2A6" w14:textId="77777777" w:rsidR="00774DFB" w:rsidRDefault="00774DFB" w:rsidP="001301E3">
            <w:pPr>
              <w:spacing w:after="0" w:line="240" w:lineRule="auto"/>
              <w:rPr>
                <w:rFonts w:ascii="Times New Roman" w:eastAsia="Times New Roman" w:hAnsi="Times New Roman" w:cs="Times New Roman"/>
                <w:color w:val="000000" w:themeColor="text1"/>
                <w:sz w:val="24"/>
                <w:szCs w:val="24"/>
              </w:rPr>
            </w:pPr>
          </w:p>
        </w:tc>
      </w:tr>
      <w:tr w:rsidR="00774DFB" w14:paraId="14FFC29C" w14:textId="77777777" w:rsidTr="0053471B">
        <w:trPr>
          <w:trHeight w:val="345"/>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FF792B" w14:textId="3AECF8E1" w:rsidR="00774DFB" w:rsidRPr="0053471B" w:rsidRDefault="0053471B"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strategies for supporting language acquisition in sign language.</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D83F43" w14:textId="77777777" w:rsidR="00774DFB" w:rsidRDefault="00774DFB" w:rsidP="001301E3">
            <w:pPr>
              <w:spacing w:after="0" w:line="240" w:lineRule="auto"/>
              <w:rPr>
                <w:rFonts w:ascii="Times New Roman" w:eastAsia="Times New Roman" w:hAnsi="Times New Roman" w:cs="Times New Roman"/>
                <w:color w:val="000000" w:themeColor="text1"/>
                <w:sz w:val="24"/>
                <w:szCs w:val="24"/>
              </w:rPr>
            </w:pPr>
          </w:p>
        </w:tc>
      </w:tr>
      <w:tr w:rsidR="00774DFB" w14:paraId="1C82F322"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D9A946" w14:textId="39619578" w:rsidR="00774DFB" w:rsidRPr="0053471B" w:rsidRDefault="0053471B" w:rsidP="0053471B">
            <w:pPr>
              <w:pStyle w:val="ListParagraph"/>
              <w:numPr>
                <w:ilvl w:val="0"/>
                <w:numId w:val="32"/>
              </w:numPr>
              <w:spacing w:after="0"/>
              <w:rPr>
                <w:rFonts w:eastAsiaTheme="minorEastAsia"/>
                <w:color w:val="000000" w:themeColor="text1"/>
              </w:rPr>
            </w:pPr>
            <w:r w:rsidRPr="0053471B">
              <w:rPr>
                <w:rFonts w:eastAsiaTheme="minorEastAsia"/>
                <w:color w:val="000000" w:themeColor="text1"/>
              </w:rPr>
              <w:t>Knowledge of theories in typical and atypical child development as it relates to children who are deaf or hard of hearing, including emotional, social and intellectual development.</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3FAAA9" w14:textId="77777777" w:rsidR="00774DFB" w:rsidRDefault="00774DFB" w:rsidP="001301E3">
            <w:pPr>
              <w:spacing w:line="240" w:lineRule="auto"/>
              <w:rPr>
                <w:rFonts w:ascii="Times New Roman" w:eastAsia="Times New Roman" w:hAnsi="Times New Roman" w:cs="Times New Roman"/>
                <w:color w:val="000000" w:themeColor="text1"/>
                <w:sz w:val="24"/>
                <w:szCs w:val="24"/>
              </w:rPr>
            </w:pPr>
          </w:p>
        </w:tc>
      </w:tr>
      <w:tr w:rsidR="00774DFB" w14:paraId="59971251"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B61BBE" w14:textId="712EF22B" w:rsidR="00774DFB" w:rsidRPr="0053471B" w:rsidRDefault="0053471B"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the design and modifications of curricular and instructional materials to ensure accessibility of the curriculum for deaf or hard of hearing students with and without special needs.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53314B" w14:textId="77777777" w:rsidR="00774DFB" w:rsidRDefault="00774DFB" w:rsidP="001301E3">
            <w:pPr>
              <w:spacing w:line="240" w:lineRule="auto"/>
              <w:rPr>
                <w:rFonts w:ascii="Times New Roman" w:eastAsia="Times New Roman" w:hAnsi="Times New Roman" w:cs="Times New Roman"/>
                <w:color w:val="000000" w:themeColor="text1"/>
                <w:sz w:val="24"/>
                <w:szCs w:val="24"/>
              </w:rPr>
            </w:pPr>
          </w:p>
        </w:tc>
      </w:tr>
      <w:tr w:rsidR="00774DFB" w14:paraId="71602D22"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A681DF" w14:textId="25B2B161" w:rsidR="00774DFB" w:rsidRPr="0053471B" w:rsidRDefault="0053471B"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strategies for promoting literacy among students who are deaf or hard of hearing.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D116AF" w14:textId="77777777" w:rsidR="00774DFB" w:rsidRDefault="00774DFB" w:rsidP="001301E3">
            <w:pPr>
              <w:spacing w:line="240" w:lineRule="auto"/>
              <w:rPr>
                <w:rFonts w:ascii="Times New Roman" w:eastAsia="Times New Roman" w:hAnsi="Times New Roman" w:cs="Times New Roman"/>
                <w:color w:val="000000" w:themeColor="text1"/>
                <w:sz w:val="24"/>
                <w:szCs w:val="24"/>
              </w:rPr>
            </w:pPr>
          </w:p>
        </w:tc>
      </w:tr>
      <w:tr w:rsidR="0053471B" w14:paraId="42203039"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FDA6C" w14:textId="51FCB418" w:rsidR="0053471B" w:rsidRPr="0053471B" w:rsidRDefault="0053471B"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the clinical foundations of hearing.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CB08E0"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r w:rsidR="0053471B" w14:paraId="3ABF83DD"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62FD48" w14:textId="018E255B" w:rsidR="0053471B" w:rsidRPr="0053471B" w:rsidRDefault="0053471B" w:rsidP="0053471B">
            <w:pPr>
              <w:pStyle w:val="ListParagraph"/>
              <w:numPr>
                <w:ilvl w:val="0"/>
                <w:numId w:val="32"/>
              </w:numPr>
              <w:spacing w:after="0"/>
              <w:rPr>
                <w:rFonts w:eastAsiaTheme="minorEastAsia"/>
                <w:color w:val="000000" w:themeColor="text1"/>
              </w:rPr>
            </w:pPr>
            <w:r w:rsidRPr="00F94BD0">
              <w:rPr>
                <w:rFonts w:eastAsiaTheme="minorEastAsia"/>
                <w:color w:val="000000" w:themeColor="text1"/>
              </w:rPr>
              <w:t>Knowledge of the relationship between ASL and English and strategies for translating between ASL and English.</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9B7AB6"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r w:rsidR="0053471B" w14:paraId="26888633" w14:textId="77777777" w:rsidTr="0053471B">
        <w:trPr>
          <w:trHeight w:val="327"/>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AC91A0" w14:textId="1DFA69A2" w:rsidR="0053471B" w:rsidRPr="0053471B" w:rsidRDefault="0053471B" w:rsidP="0053471B">
            <w:pPr>
              <w:pStyle w:val="ListParagraph"/>
              <w:numPr>
                <w:ilvl w:val="0"/>
                <w:numId w:val="32"/>
              </w:numPr>
              <w:spacing w:after="0"/>
              <w:rPr>
                <w:rFonts w:eastAsiaTheme="minorEastAsia"/>
                <w:color w:val="000000" w:themeColor="text1"/>
              </w:rPr>
            </w:pPr>
            <w:r w:rsidRPr="0053471B">
              <w:rPr>
                <w:rFonts w:eastAsiaTheme="minorEastAsia"/>
                <w:color w:val="000000" w:themeColor="text1"/>
              </w:rPr>
              <w:t>Knowledge of Deaf culture, Deaf history</w:t>
            </w:r>
            <w:r>
              <w:rPr>
                <w:rFonts w:eastAsiaTheme="minorEastAsia"/>
                <w:color w:val="000000" w:themeColor="text1"/>
              </w:rPr>
              <w:t>,</w:t>
            </w:r>
            <w:r w:rsidRPr="0053471B">
              <w:rPr>
                <w:rFonts w:eastAsiaTheme="minorEastAsia"/>
                <w:color w:val="000000" w:themeColor="text1"/>
              </w:rPr>
              <w:t xml:space="preserve"> and the Deaf community.</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5B9C51"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r w:rsidR="0053471B" w14:paraId="5B74543D"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9F0B0A" w14:textId="511D6689" w:rsidR="0053471B" w:rsidRPr="0053471B" w:rsidRDefault="0053471B" w:rsidP="0053471B">
            <w:pPr>
              <w:pStyle w:val="ListParagraph"/>
              <w:numPr>
                <w:ilvl w:val="0"/>
                <w:numId w:val="32"/>
              </w:numPr>
              <w:spacing w:after="0"/>
              <w:rPr>
                <w:rFonts w:eastAsiaTheme="minorEastAsia"/>
                <w:color w:val="000000" w:themeColor="text1"/>
              </w:rPr>
            </w:pPr>
            <w:r w:rsidRPr="0053471B">
              <w:rPr>
                <w:rFonts w:eastAsiaTheme="minorEastAsia"/>
                <w:color w:val="000000" w:themeColor="text1"/>
              </w:rPr>
              <w:t>Knowledge of medical, social, and ethical issues related to educating students who are deaf or hard of hearing.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772287"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r w:rsidR="0053471B" w14:paraId="1B104688"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000D00" w14:textId="372FE242" w:rsidR="0053471B" w:rsidRPr="0053471B" w:rsidRDefault="0053471B" w:rsidP="0053471B">
            <w:pPr>
              <w:pStyle w:val="ListParagraph"/>
              <w:numPr>
                <w:ilvl w:val="0"/>
                <w:numId w:val="32"/>
              </w:numPr>
              <w:spacing w:after="0"/>
              <w:rPr>
                <w:rFonts w:eastAsiaTheme="minorEastAsia"/>
                <w:color w:val="000000" w:themeColor="text1"/>
              </w:rPr>
            </w:pPr>
            <w:r w:rsidRPr="0053471B">
              <w:rPr>
                <w:rFonts w:eastAsiaTheme="minorEastAsia"/>
                <w:color w:val="000000" w:themeColor="text1"/>
              </w:rPr>
              <w:t>Knowledge of Federal and State Special Education Laws, Individualized Education Programs (IEPs) and Section 504 of the Rehabilitation Act of 1973 (29 USC 794) plan development and implementation for students who are deaf or hard of hearing.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FF87FA"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r w:rsidR="0053471B" w14:paraId="640938EB" w14:textId="77777777" w:rsidTr="00774DFB">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55B4B8" w14:textId="2CB1856E" w:rsidR="0053471B" w:rsidRPr="00F94BD0" w:rsidRDefault="0053471B" w:rsidP="0053471B">
            <w:pPr>
              <w:pStyle w:val="ListParagraph"/>
              <w:numPr>
                <w:ilvl w:val="0"/>
                <w:numId w:val="32"/>
              </w:numPr>
              <w:spacing w:after="0"/>
              <w:rPr>
                <w:rFonts w:eastAsiaTheme="minorEastAsia"/>
                <w:color w:val="000000" w:themeColor="text1"/>
              </w:rPr>
            </w:pPr>
            <w:r w:rsidRPr="0053471B">
              <w:rPr>
                <w:rFonts w:eastAsiaTheme="minorEastAsia"/>
                <w:color w:val="000000" w:themeColor="text1"/>
              </w:rPr>
              <w:t>Critical analysis and application of research relevant to educating students who are deaf or hard of hearing.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02E49E" w14:textId="77777777" w:rsidR="0053471B" w:rsidRDefault="0053471B" w:rsidP="001301E3">
            <w:pPr>
              <w:spacing w:line="240" w:lineRule="auto"/>
              <w:rPr>
                <w:rFonts w:ascii="Times New Roman" w:eastAsia="Times New Roman" w:hAnsi="Times New Roman" w:cs="Times New Roman"/>
                <w:color w:val="000000" w:themeColor="text1"/>
                <w:sz w:val="24"/>
                <w:szCs w:val="24"/>
              </w:rPr>
            </w:pPr>
          </w:p>
        </w:tc>
      </w:tr>
    </w:tbl>
    <w:p w14:paraId="4007C6FC" w14:textId="4C8EC865" w:rsidR="46BBFF7D" w:rsidRDefault="46BBFF7D"/>
    <w:p w14:paraId="15BBEC62" w14:textId="77777777" w:rsidR="0053471B" w:rsidRDefault="0053471B">
      <w:pPr>
        <w:rPr>
          <w:rFonts w:eastAsia="Calibri" w:cstheme="majorBidi"/>
          <w:b/>
          <w:color w:val="1F4E79" w:themeColor="accent5" w:themeShade="80"/>
          <w:sz w:val="26"/>
          <w:szCs w:val="32"/>
        </w:rPr>
      </w:pPr>
      <w:bookmarkStart w:id="2" w:name="_English_Language_Arts"/>
      <w:bookmarkStart w:id="3" w:name="ELA"/>
      <w:bookmarkEnd w:id="2"/>
      <w:r>
        <w:rPr>
          <w:rFonts w:eastAsia="Calibri"/>
        </w:rPr>
        <w:br w:type="page"/>
      </w:r>
    </w:p>
    <w:p w14:paraId="3235E206" w14:textId="757B4967" w:rsidR="0032290C" w:rsidRPr="002612AF" w:rsidRDefault="000650D8" w:rsidP="00AF71A8">
      <w:pPr>
        <w:pStyle w:val="Heading1"/>
        <w:rPr>
          <w:rFonts w:eastAsia="Calibri"/>
        </w:rPr>
      </w:pPr>
      <w:r w:rsidRPr="0EAFCFEA">
        <w:rPr>
          <w:rFonts w:eastAsia="Calibri"/>
        </w:rPr>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543047">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543047">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543047">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5FB10856" w:rsidR="008A0836" w:rsidRPr="00A07346" w:rsidRDefault="00C55A58" w:rsidP="008A0836">
    <w:pPr>
      <w:pStyle w:val="Header"/>
      <w:rPr>
        <w:b/>
        <w:sz w:val="32"/>
        <w:szCs w:val="32"/>
      </w:rPr>
    </w:pPr>
    <w:sdt>
      <w:sdtPr>
        <w:rPr>
          <w:b/>
          <w:color w:val="2F5496" w:themeColor="accent1" w:themeShade="BF"/>
          <w:sz w:val="32"/>
          <w:szCs w:val="32"/>
        </w:rPr>
        <w:alias w:val="Title"/>
        <w:tag w:val=""/>
        <w:id w:val="950509252"/>
        <w:placeholder>
          <w:docPart w:val="6FD33F84CCAC43508AF6E267304BD5A9"/>
        </w:placeholder>
        <w:dataBinding w:prefixMappings="xmlns:ns0='http://purl.org/dc/elements/1.1/' xmlns:ns1='http://schemas.openxmlformats.org/package/2006/metadata/core-properties' " w:xpath="/ns1:coreProperties[1]/ns0:title[1]" w:storeItemID="{6C3C8BC8-F283-45AE-878A-BAB7291924A1}"/>
        <w:text/>
      </w:sdtPr>
      <w:sdtEndPr/>
      <w:sdtContent>
        <w:r w:rsidR="00A92C07" w:rsidRPr="00A92C07">
          <w:rPr>
            <w:b/>
            <w:color w:val="2F5496" w:themeColor="accent1" w:themeShade="BF"/>
            <w:sz w:val="32"/>
            <w:szCs w:val="32"/>
          </w:rPr>
          <w:t>SMK Matrix – Deaf and Hard of Hearing</w:t>
        </w:r>
      </w:sdtContent>
    </w:sdt>
    <w:r w:rsidR="00A07346">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423"/>
    <w:multiLevelType w:val="hybridMultilevel"/>
    <w:tmpl w:val="E0E407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20A9B"/>
    <w:multiLevelType w:val="hybridMultilevel"/>
    <w:tmpl w:val="5EC66C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7"/>
  </w:num>
  <w:num w:numId="2" w16cid:durableId="477871">
    <w:abstractNumId w:val="26"/>
  </w:num>
  <w:num w:numId="3" w16cid:durableId="442723933">
    <w:abstractNumId w:val="10"/>
  </w:num>
  <w:num w:numId="4" w16cid:durableId="1898660599">
    <w:abstractNumId w:val="17"/>
  </w:num>
  <w:num w:numId="5" w16cid:durableId="2016301933">
    <w:abstractNumId w:val="13"/>
  </w:num>
  <w:num w:numId="6" w16cid:durableId="1486433883">
    <w:abstractNumId w:val="7"/>
  </w:num>
  <w:num w:numId="7" w16cid:durableId="1632243077">
    <w:abstractNumId w:val="19"/>
  </w:num>
  <w:num w:numId="8" w16cid:durableId="1927767152">
    <w:abstractNumId w:val="31"/>
  </w:num>
  <w:num w:numId="9" w16cid:durableId="1961179949">
    <w:abstractNumId w:val="29"/>
  </w:num>
  <w:num w:numId="10" w16cid:durableId="99297803">
    <w:abstractNumId w:val="11"/>
  </w:num>
  <w:num w:numId="11" w16cid:durableId="1901162730">
    <w:abstractNumId w:val="0"/>
  </w:num>
  <w:num w:numId="12" w16cid:durableId="1421296611">
    <w:abstractNumId w:val="9"/>
  </w:num>
  <w:num w:numId="13" w16cid:durableId="488332819">
    <w:abstractNumId w:val="16"/>
  </w:num>
  <w:num w:numId="14" w16cid:durableId="1339499224">
    <w:abstractNumId w:val="25"/>
  </w:num>
  <w:num w:numId="15" w16cid:durableId="1876579499">
    <w:abstractNumId w:val="28"/>
  </w:num>
  <w:num w:numId="16" w16cid:durableId="658849607">
    <w:abstractNumId w:val="21"/>
  </w:num>
  <w:num w:numId="17" w16cid:durableId="7371488">
    <w:abstractNumId w:val="15"/>
  </w:num>
  <w:num w:numId="18" w16cid:durableId="1097558798">
    <w:abstractNumId w:val="18"/>
  </w:num>
  <w:num w:numId="19" w16cid:durableId="962273582">
    <w:abstractNumId w:val="30"/>
  </w:num>
  <w:num w:numId="20" w16cid:durableId="500850907">
    <w:abstractNumId w:val="1"/>
  </w:num>
  <w:num w:numId="21" w16cid:durableId="456877503">
    <w:abstractNumId w:val="5"/>
  </w:num>
  <w:num w:numId="22" w16cid:durableId="671108708">
    <w:abstractNumId w:val="2"/>
  </w:num>
  <w:num w:numId="23" w16cid:durableId="610863068">
    <w:abstractNumId w:val="8"/>
  </w:num>
  <w:num w:numId="24" w16cid:durableId="869610373">
    <w:abstractNumId w:val="14"/>
  </w:num>
  <w:num w:numId="25" w16cid:durableId="1931234052">
    <w:abstractNumId w:val="6"/>
  </w:num>
  <w:num w:numId="26" w16cid:durableId="1917787909">
    <w:abstractNumId w:val="20"/>
  </w:num>
  <w:num w:numId="27" w16cid:durableId="2041541725">
    <w:abstractNumId w:val="22"/>
  </w:num>
  <w:num w:numId="28" w16cid:durableId="1911378638">
    <w:abstractNumId w:val="24"/>
  </w:num>
  <w:num w:numId="29" w16cid:durableId="1034426865">
    <w:abstractNumId w:val="23"/>
  </w:num>
  <w:num w:numId="30" w16cid:durableId="422534751">
    <w:abstractNumId w:val="12"/>
  </w:num>
  <w:num w:numId="31" w16cid:durableId="134756983">
    <w:abstractNumId w:val="4"/>
  </w:num>
  <w:num w:numId="32" w16cid:durableId="164431157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0E6648"/>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471B"/>
    <w:rsid w:val="005363A7"/>
    <w:rsid w:val="00536EAE"/>
    <w:rsid w:val="00543047"/>
    <w:rsid w:val="00543EBC"/>
    <w:rsid w:val="00552F50"/>
    <w:rsid w:val="00557FAC"/>
    <w:rsid w:val="005619D9"/>
    <w:rsid w:val="00563358"/>
    <w:rsid w:val="0057103D"/>
    <w:rsid w:val="005827F9"/>
    <w:rsid w:val="00584069"/>
    <w:rsid w:val="00585EB2"/>
    <w:rsid w:val="00587275"/>
    <w:rsid w:val="00590EC6"/>
    <w:rsid w:val="00593D64"/>
    <w:rsid w:val="005941AC"/>
    <w:rsid w:val="00594396"/>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23C1E"/>
    <w:rsid w:val="00644083"/>
    <w:rsid w:val="00644C89"/>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74DFB"/>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653F7"/>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C07"/>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55A58"/>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6E18"/>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94BD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0A1D2E"/>
    <w:rsid w:val="4678BDDC"/>
    <w:rsid w:val="46A72D3E"/>
    <w:rsid w:val="46AF1AC4"/>
    <w:rsid w:val="46BBFF7D"/>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50A2142"/>
    <w:rsid w:val="66218B92"/>
    <w:rsid w:val="687E1353"/>
    <w:rsid w:val="6886116B"/>
    <w:rsid w:val="68CF4BE2"/>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A92C0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394">
      <w:bodyDiv w:val="1"/>
      <w:marLeft w:val="0"/>
      <w:marRight w:val="0"/>
      <w:marTop w:val="0"/>
      <w:marBottom w:val="0"/>
      <w:divBdr>
        <w:top w:val="none" w:sz="0" w:space="0" w:color="auto"/>
        <w:left w:val="none" w:sz="0" w:space="0" w:color="auto"/>
        <w:bottom w:val="none" w:sz="0" w:space="0" w:color="auto"/>
        <w:right w:val="none" w:sz="0" w:space="0" w:color="auto"/>
      </w:divBdr>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59843460">
      <w:bodyDiv w:val="1"/>
      <w:marLeft w:val="0"/>
      <w:marRight w:val="0"/>
      <w:marTop w:val="0"/>
      <w:marBottom w:val="0"/>
      <w:divBdr>
        <w:top w:val="none" w:sz="0" w:space="0" w:color="auto"/>
        <w:left w:val="none" w:sz="0" w:space="0" w:color="auto"/>
        <w:bottom w:val="none" w:sz="0" w:space="0" w:color="auto"/>
        <w:right w:val="none" w:sz="0" w:space="0" w:color="auto"/>
      </w:divBdr>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33F84CCAC43508AF6E267304BD5A9"/>
        <w:category>
          <w:name w:val="General"/>
          <w:gallery w:val="placeholder"/>
        </w:category>
        <w:types>
          <w:type w:val="bbPlcHdr"/>
        </w:types>
        <w:behaviors>
          <w:behavior w:val="content"/>
        </w:behaviors>
        <w:guid w:val="{1156B8ED-CF2C-4C9A-A1A9-74459372AEC6}"/>
      </w:docPartPr>
      <w:docPartBody>
        <w:p w:rsidR="003228AA" w:rsidRDefault="003228AA">
          <w:r w:rsidRPr="00AD21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28AA"/>
    <w:rsid w:val="003228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8A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09bc02a0-1bd8-43ac-9b2b-ec81f331de42"/>
    <ds:schemaRef ds:uri="3beec907-3983-4d0d-9c11-a26ecbded5c3"/>
    <ds:schemaRef ds:uri="http://purl.org/dc/terms/"/>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10649</Words>
  <Characters>62297</Characters>
  <Application>Microsoft Office Word</Application>
  <DocSecurity>0</DocSecurity>
  <Lines>973</Lines>
  <Paragraphs>390</Paragraphs>
  <ScaleCrop>false</ScaleCrop>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Deaf and Hard of Hearing</dc:title>
  <dc:subject/>
  <dc:creator>DESE</dc:creator>
  <cp:keywords/>
  <dc:description/>
  <cp:lastModifiedBy>Zou, Dong (EOE)</cp:lastModifiedBy>
  <cp:revision>502</cp:revision>
  <dcterms:created xsi:type="dcterms:W3CDTF">2023-12-02T00:11:00Z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