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9D" w:rsidRPr="005A55D5" w:rsidRDefault="005E6316" w:rsidP="005A55D5">
      <w:pPr>
        <w:rPr>
          <w:rFonts w:ascii="Calibri" w:hAnsi="Calibri"/>
          <w:b/>
          <w:color w:val="365F91" w:themeColor="accent1" w:themeShade="BF"/>
          <w:sz w:val="36"/>
          <w:szCs w:val="36"/>
        </w:rPr>
      </w:pPr>
      <w:r w:rsidRPr="005A55D5">
        <w:rPr>
          <w:rFonts w:ascii="Calibri" w:hAnsi="Calibri"/>
          <w:b/>
          <w:color w:val="365F91" w:themeColor="accent1" w:themeShade="BF"/>
          <w:sz w:val="36"/>
          <w:szCs w:val="36"/>
        </w:rPr>
        <w:t xml:space="preserve">Professional Standards for </w:t>
      </w:r>
      <w:r w:rsidR="00BF62A0">
        <w:rPr>
          <w:rFonts w:ascii="Calibri" w:hAnsi="Calibri"/>
          <w:b/>
          <w:color w:val="365F91" w:themeColor="accent1" w:themeShade="BF"/>
          <w:sz w:val="36"/>
          <w:szCs w:val="36"/>
        </w:rPr>
        <w:t>Administrative Leadership (PSI</w:t>
      </w:r>
      <w:r w:rsidR="001B3C91">
        <w:rPr>
          <w:rFonts w:ascii="Calibri" w:hAnsi="Calibri"/>
          <w:b/>
          <w:color w:val="365F91" w:themeColor="accent1" w:themeShade="BF"/>
          <w:sz w:val="36"/>
          <w:szCs w:val="36"/>
        </w:rPr>
        <w:t>)</w:t>
      </w:r>
      <w:r w:rsidR="00124923" w:rsidRPr="005A55D5">
        <w:rPr>
          <w:rFonts w:ascii="Calibri" w:hAnsi="Calibri"/>
          <w:b/>
          <w:color w:val="365F91" w:themeColor="accent1" w:themeShade="BF"/>
          <w:sz w:val="36"/>
          <w:szCs w:val="36"/>
        </w:rPr>
        <w:t xml:space="preserve"> Matrix</w:t>
      </w:r>
    </w:p>
    <w:p w:rsidR="00181002" w:rsidRDefault="00181002" w:rsidP="005A55D5">
      <w:pPr>
        <w:spacing w:after="0"/>
        <w:rPr>
          <w:rFonts w:ascii="Calibri" w:hAnsi="Calibri" w:cs="Arial"/>
          <w:b/>
          <w:bCs/>
        </w:rPr>
      </w:pPr>
      <w:r>
        <w:rPr>
          <w:rFonts w:ascii="Calibri" w:hAnsi="Calibri" w:cs="Arial"/>
          <w:b/>
          <w:bCs/>
        </w:rPr>
        <w:t>Sponsoring Organizations must codif</w:t>
      </w:r>
      <w:r w:rsidR="00E1191D">
        <w:rPr>
          <w:rFonts w:ascii="Calibri" w:hAnsi="Calibri" w:cs="Arial"/>
          <w:b/>
          <w:bCs/>
        </w:rPr>
        <w:t>y where and to what extent the PSAL</w:t>
      </w:r>
      <w:r>
        <w:rPr>
          <w:rFonts w:ascii="Calibri" w:hAnsi="Calibri" w:cs="Arial"/>
          <w:b/>
          <w:bCs/>
        </w:rPr>
        <w:t xml:space="preserve"> is addressed</w:t>
      </w:r>
      <w:r w:rsidR="003A4FB6">
        <w:rPr>
          <w:rFonts w:ascii="Calibri" w:hAnsi="Calibri" w:cs="Arial"/>
          <w:b/>
          <w:bCs/>
        </w:rPr>
        <w:t>.</w:t>
      </w:r>
    </w:p>
    <w:p w:rsidR="005A55D5" w:rsidRDefault="005A55D5" w:rsidP="005A55D5">
      <w:pPr>
        <w:spacing w:after="0"/>
        <w:rPr>
          <w:rFonts w:ascii="Calibri" w:hAnsi="Calibri" w:cs="Arial"/>
          <w:b/>
          <w:bCs/>
        </w:rPr>
      </w:pPr>
    </w:p>
    <w:p w:rsidR="00181002" w:rsidRPr="005A55D5" w:rsidRDefault="00181002" w:rsidP="00181002">
      <w:pPr>
        <w:spacing w:after="0"/>
        <w:rPr>
          <w:rFonts w:ascii="Calibri" w:hAnsi="Calibri"/>
          <w:b/>
          <w:sz w:val="22"/>
          <w:szCs w:val="22"/>
          <w:u w:val="single"/>
        </w:rPr>
      </w:pPr>
      <w:r w:rsidRPr="005A55D5">
        <w:rPr>
          <w:rFonts w:ascii="Calibri" w:hAnsi="Calibri" w:cs="Arial"/>
          <w:bCs/>
          <w:sz w:val="22"/>
          <w:szCs w:val="22"/>
        </w:rPr>
        <w:t xml:space="preserve">Please enter the appropriate reference code(s) in the boxes below according to the level where each indicator is targeted, explicit, and coherently addressed.  The </w:t>
      </w:r>
      <w:r w:rsidRPr="005A55D5">
        <w:rPr>
          <w:rFonts w:ascii="Calibri" w:hAnsi="Calibri" w:cs="Arial"/>
          <w:b/>
          <w:bCs/>
          <w:sz w:val="22"/>
          <w:szCs w:val="22"/>
        </w:rPr>
        <w:t>matrix should be completed collaboratively</w:t>
      </w:r>
      <w:r w:rsidRPr="005A55D5">
        <w:rPr>
          <w:rFonts w:ascii="Calibri" w:hAnsi="Calibri" w:cs="Arial"/>
          <w:bCs/>
          <w:sz w:val="22"/>
          <w:szCs w:val="22"/>
        </w:rPr>
        <w:t xml:space="preserve"> as instructors/faculty</w:t>
      </w:r>
      <w:r w:rsidRPr="005A55D5">
        <w:rPr>
          <w:rFonts w:ascii="Calibri" w:hAnsi="Calibri" w:cs="Arial"/>
          <w:b/>
          <w:bCs/>
          <w:sz w:val="22"/>
          <w:szCs w:val="22"/>
        </w:rPr>
        <w:t xml:space="preserve"> collectively analyze all content and reach consensus</w:t>
      </w:r>
      <w:r w:rsidRPr="005A55D5">
        <w:rPr>
          <w:rFonts w:ascii="Calibri" w:hAnsi="Calibri" w:cs="Arial"/>
          <w:bCs/>
          <w:sz w:val="22"/>
          <w:szCs w:val="22"/>
        </w:rPr>
        <w:t xml:space="preserve"> on the developmental progression (spiraling) of knowledge and skills or analysis of behaviors identified in the indicators that is expected of candidates. See the example below.</w:t>
      </w:r>
    </w:p>
    <w:p w:rsidR="00181002" w:rsidRPr="005A55D5" w:rsidRDefault="00181002" w:rsidP="00181002">
      <w:pPr>
        <w:spacing w:after="0" w:line="240" w:lineRule="auto"/>
        <w:ind w:left="-18"/>
        <w:rPr>
          <w:rFonts w:ascii="Calibri" w:hAnsi="Calibri"/>
          <w:b/>
          <w:sz w:val="22"/>
          <w:szCs w:val="22"/>
          <w:u w:val="single"/>
        </w:rPr>
      </w:pPr>
    </w:p>
    <w:p w:rsidR="005A55D5" w:rsidRPr="00181002" w:rsidRDefault="005A55D5" w:rsidP="00181002">
      <w:pPr>
        <w:spacing w:after="0"/>
        <w:rPr>
          <w:rFonts w:ascii="Calibri" w:hAnsi="Calibri"/>
          <w:bCs/>
          <w:sz w:val="20"/>
          <w:szCs w:val="20"/>
        </w:rPr>
      </w:pPr>
    </w:p>
    <w:tbl>
      <w:tblPr>
        <w:tblStyle w:val="TableGrid"/>
        <w:tblW w:w="0" w:type="auto"/>
        <w:tblLook w:val="04A0"/>
      </w:tblPr>
      <w:tblGrid>
        <w:gridCol w:w="4626"/>
        <w:gridCol w:w="2862"/>
        <w:gridCol w:w="2790"/>
        <w:gridCol w:w="2880"/>
      </w:tblGrid>
      <w:tr w:rsidR="00B66094" w:rsidRPr="004D250B" w:rsidTr="003A4FB6">
        <w:trPr>
          <w:trHeight w:val="1610"/>
        </w:trPr>
        <w:tc>
          <w:tcPr>
            <w:tcW w:w="4626" w:type="dxa"/>
            <w:tcBorders>
              <w:bottom w:val="single" w:sz="4" w:space="0" w:color="auto"/>
            </w:tcBorders>
            <w:shd w:val="clear" w:color="auto" w:fill="B8CCE4" w:themeFill="accent1" w:themeFillTint="66"/>
            <w:vAlign w:val="center"/>
          </w:tcPr>
          <w:p w:rsidR="00B66094" w:rsidRPr="004D250B" w:rsidRDefault="00B66094" w:rsidP="008925BB">
            <w:pPr>
              <w:jc w:val="center"/>
              <w:rPr>
                <w:rFonts w:ascii="Calibri" w:hAnsi="Calibri" w:cs="Arial"/>
                <w:b/>
                <w:bCs/>
              </w:rPr>
            </w:pPr>
            <w:r>
              <w:rPr>
                <w:rFonts w:ascii="Calibri" w:hAnsi="Calibri" w:cs="Arial"/>
                <w:b/>
                <w:bCs/>
              </w:rPr>
              <w:t xml:space="preserve">Professional Standard for </w:t>
            </w:r>
            <w:r w:rsidR="001E0730">
              <w:rPr>
                <w:rFonts w:ascii="Calibri" w:hAnsi="Calibri" w:cs="Arial"/>
                <w:b/>
                <w:bCs/>
              </w:rPr>
              <w:t>Administrative Leadership (PSAL</w:t>
            </w:r>
            <w:r>
              <w:rPr>
                <w:rFonts w:ascii="Calibri" w:hAnsi="Calibri" w:cs="Arial"/>
                <w:b/>
                <w:bCs/>
              </w:rPr>
              <w:t xml:space="preserve">) </w:t>
            </w:r>
          </w:p>
          <w:p w:rsidR="00B66094" w:rsidRPr="004D250B" w:rsidRDefault="00B66094" w:rsidP="008925BB">
            <w:pPr>
              <w:jc w:val="center"/>
              <w:rPr>
                <w:rFonts w:ascii="Calibri" w:hAnsi="Calibri" w:cs="Arial"/>
                <w:b/>
                <w:bCs/>
              </w:rPr>
            </w:pPr>
          </w:p>
        </w:tc>
        <w:tc>
          <w:tcPr>
            <w:tcW w:w="2862" w:type="dxa"/>
            <w:tcBorders>
              <w:bottom w:val="single" w:sz="4" w:space="0" w:color="auto"/>
            </w:tcBorders>
            <w:shd w:val="clear" w:color="auto" w:fill="B8CCE4" w:themeFill="accent1" w:themeFillTint="66"/>
            <w:vAlign w:val="center"/>
          </w:tcPr>
          <w:p w:rsidR="00B66094" w:rsidRPr="0096014E" w:rsidRDefault="00B66094" w:rsidP="0096014E">
            <w:pPr>
              <w:jc w:val="center"/>
              <w:rPr>
                <w:sz w:val="16"/>
                <w:szCs w:val="16"/>
              </w:rPr>
            </w:pPr>
            <w:r w:rsidRPr="00E96E10">
              <w:rPr>
                <w:b/>
              </w:rPr>
              <w:t>Introductory Level:</w:t>
            </w:r>
            <w:r>
              <w:t xml:space="preserve"> </w:t>
            </w:r>
            <w:r w:rsidR="0096014E" w:rsidRPr="008F5CBB">
              <w:rPr>
                <w:sz w:val="16"/>
                <w:szCs w:val="16"/>
              </w:rPr>
              <w:t>Introduced; Beginning</w:t>
            </w:r>
            <w:r w:rsidRPr="008F5CBB">
              <w:rPr>
                <w:sz w:val="16"/>
                <w:szCs w:val="16"/>
              </w:rPr>
              <w:t xml:space="preserve"> / Developing</w:t>
            </w:r>
          </w:p>
        </w:tc>
        <w:tc>
          <w:tcPr>
            <w:tcW w:w="2790" w:type="dxa"/>
            <w:tcBorders>
              <w:bottom w:val="single" w:sz="4" w:space="0" w:color="auto"/>
            </w:tcBorders>
            <w:shd w:val="clear" w:color="auto" w:fill="B8CCE4" w:themeFill="accent1" w:themeFillTint="66"/>
            <w:vAlign w:val="center"/>
          </w:tcPr>
          <w:p w:rsidR="00B66094" w:rsidRPr="00E96E10" w:rsidRDefault="00B66094" w:rsidP="008925BB">
            <w:pPr>
              <w:jc w:val="center"/>
              <w:rPr>
                <w:rFonts w:ascii="Calibri" w:hAnsi="Calibri" w:cs="Arial"/>
                <w:b/>
                <w:bCs/>
              </w:rPr>
            </w:pPr>
            <w:r w:rsidRPr="00E96E10">
              <w:rPr>
                <w:rFonts w:ascii="Calibri" w:hAnsi="Calibri" w:cs="Arial"/>
                <w:b/>
                <w:bCs/>
              </w:rPr>
              <w:t>Moderate Level:</w:t>
            </w:r>
          </w:p>
          <w:p w:rsidR="00B66094" w:rsidRPr="0096014E" w:rsidRDefault="0096014E" w:rsidP="0096014E">
            <w:pPr>
              <w:jc w:val="center"/>
              <w:rPr>
                <w:rFonts w:ascii="Calibri" w:hAnsi="Calibri" w:cs="Arial"/>
                <w:bCs/>
                <w:sz w:val="16"/>
                <w:szCs w:val="16"/>
              </w:rPr>
            </w:pPr>
            <w:r w:rsidRPr="008F5CBB">
              <w:rPr>
                <w:sz w:val="16"/>
                <w:szCs w:val="16"/>
              </w:rPr>
              <w:t>Reinforced</w:t>
            </w:r>
            <w:r w:rsidRPr="008F5CBB">
              <w:rPr>
                <w:b/>
                <w:sz w:val="16"/>
                <w:szCs w:val="16"/>
              </w:rPr>
              <w:t>;</w:t>
            </w:r>
            <w:r w:rsidRPr="008F5CBB">
              <w:rPr>
                <w:rFonts w:ascii="Calibri" w:hAnsi="Calibri" w:cs="Arial"/>
                <w:bCs/>
                <w:sz w:val="16"/>
                <w:szCs w:val="16"/>
              </w:rPr>
              <w:t xml:space="preserve"> Developing</w:t>
            </w:r>
            <w:r w:rsidR="00B66094" w:rsidRPr="008F5CBB">
              <w:rPr>
                <w:rFonts w:ascii="Calibri" w:hAnsi="Calibri" w:cs="Arial"/>
                <w:bCs/>
                <w:sz w:val="16"/>
                <w:szCs w:val="16"/>
              </w:rPr>
              <w:t>/ Competent</w:t>
            </w:r>
          </w:p>
        </w:tc>
        <w:tc>
          <w:tcPr>
            <w:tcW w:w="2880" w:type="dxa"/>
            <w:tcBorders>
              <w:bottom w:val="single" w:sz="4" w:space="0" w:color="auto"/>
            </w:tcBorders>
            <w:shd w:val="clear" w:color="auto" w:fill="B8CCE4" w:themeFill="accent1" w:themeFillTint="66"/>
            <w:vAlign w:val="center"/>
          </w:tcPr>
          <w:p w:rsidR="00B66094" w:rsidRPr="00E96E10" w:rsidRDefault="00B66094" w:rsidP="00E96E10">
            <w:pPr>
              <w:jc w:val="center"/>
              <w:rPr>
                <w:rFonts w:ascii="Calibri" w:hAnsi="Calibri" w:cs="Arial"/>
                <w:b/>
                <w:bCs/>
              </w:rPr>
            </w:pPr>
            <w:r w:rsidRPr="00E96E10">
              <w:rPr>
                <w:rFonts w:ascii="Calibri" w:hAnsi="Calibri" w:cs="Arial"/>
                <w:b/>
                <w:bCs/>
              </w:rPr>
              <w:t>High Level:</w:t>
            </w:r>
          </w:p>
          <w:p w:rsidR="00B66094" w:rsidRPr="0096014E" w:rsidRDefault="0096014E" w:rsidP="0096014E">
            <w:pPr>
              <w:jc w:val="center"/>
              <w:rPr>
                <w:rFonts w:ascii="Calibri" w:hAnsi="Calibri" w:cs="Arial"/>
                <w:bCs/>
                <w:sz w:val="16"/>
                <w:szCs w:val="16"/>
              </w:rPr>
            </w:pPr>
            <w:r w:rsidRPr="008F5CBB">
              <w:rPr>
                <w:rFonts w:ascii="Calibri" w:hAnsi="Calibri" w:cs="Arial"/>
                <w:bCs/>
                <w:sz w:val="16"/>
                <w:szCs w:val="16"/>
              </w:rPr>
              <w:t>Mastered; Competent</w:t>
            </w:r>
            <w:r w:rsidR="00B66094" w:rsidRPr="008F5CBB">
              <w:rPr>
                <w:rFonts w:ascii="Calibri" w:hAnsi="Calibri" w:cs="Arial"/>
                <w:bCs/>
                <w:sz w:val="16"/>
                <w:szCs w:val="16"/>
              </w:rPr>
              <w:t>/ Skilled</w:t>
            </w:r>
          </w:p>
        </w:tc>
      </w:tr>
      <w:tr w:rsidR="00B66094" w:rsidRPr="00F82074" w:rsidTr="003A4FB6">
        <w:trPr>
          <w:trHeight w:val="710"/>
        </w:trPr>
        <w:tc>
          <w:tcPr>
            <w:tcW w:w="4626" w:type="dxa"/>
            <w:shd w:val="clear" w:color="auto" w:fill="FFFFFF" w:themeFill="background1"/>
          </w:tcPr>
          <w:p w:rsidR="00B66094" w:rsidRPr="00D10801" w:rsidRDefault="008C01F1" w:rsidP="008C01F1">
            <w:pPr>
              <w:pStyle w:val="ListParagraph"/>
              <w:ind w:left="0"/>
              <w:rPr>
                <w:rFonts w:ascii="Calibri" w:hAnsi="Calibri" w:cs="Arial"/>
                <w:b/>
                <w:bCs/>
                <w:i/>
              </w:rPr>
            </w:pPr>
            <w:r w:rsidRPr="00A644F2">
              <w:rPr>
                <w:rFonts w:ascii="Calibri" w:eastAsia="Times New Roman" w:hAnsi="Calibri" w:cs="Calibri"/>
              </w:rPr>
              <w:t xml:space="preserve">e. </w:t>
            </w:r>
            <w:r w:rsidRPr="006732F8">
              <w:rPr>
                <w:rFonts w:ascii="Calibri" w:eastAsia="Times New Roman" w:hAnsi="Calibri" w:cs="Calibri"/>
                <w:b/>
              </w:rPr>
              <w:t>Evaluation.</w:t>
            </w:r>
            <w:r w:rsidRPr="00A644F2">
              <w:rPr>
                <w:rFonts w:ascii="Calibri" w:eastAsia="Times New Roman" w:hAnsi="Calibri" w:cs="Calibri"/>
              </w:rPr>
              <w:t xml:space="preserve">  Provides effective supervision and evaluation in alignment and accordance with state Regulations and contract provisions.</w:t>
            </w:r>
          </w:p>
        </w:tc>
        <w:tc>
          <w:tcPr>
            <w:tcW w:w="2862" w:type="dxa"/>
          </w:tcPr>
          <w:p w:rsidR="00B66094" w:rsidRDefault="00B66094" w:rsidP="008925BB">
            <w:pPr>
              <w:jc w:val="center"/>
              <w:rPr>
                <w:b/>
              </w:rPr>
            </w:pPr>
          </w:p>
          <w:p w:rsidR="00B66094" w:rsidRPr="002B72C0" w:rsidRDefault="00B66094" w:rsidP="008925BB">
            <w:pPr>
              <w:jc w:val="center"/>
              <w:rPr>
                <w:b/>
              </w:rPr>
            </w:pPr>
            <w:r>
              <w:rPr>
                <w:b/>
              </w:rPr>
              <w:t>ED 101</w:t>
            </w:r>
          </w:p>
        </w:tc>
        <w:tc>
          <w:tcPr>
            <w:tcW w:w="2790" w:type="dxa"/>
          </w:tcPr>
          <w:p w:rsidR="00B66094" w:rsidRDefault="00B66094" w:rsidP="008925BB">
            <w:pPr>
              <w:jc w:val="center"/>
              <w:rPr>
                <w:b/>
              </w:rPr>
            </w:pPr>
          </w:p>
          <w:p w:rsidR="00B66094" w:rsidRPr="002B72C0" w:rsidRDefault="00B66094" w:rsidP="008925BB">
            <w:pPr>
              <w:jc w:val="center"/>
              <w:rPr>
                <w:b/>
              </w:rPr>
            </w:pPr>
          </w:p>
        </w:tc>
        <w:tc>
          <w:tcPr>
            <w:tcW w:w="2880" w:type="dxa"/>
          </w:tcPr>
          <w:p w:rsidR="00B66094" w:rsidRDefault="00B66094" w:rsidP="008925BB">
            <w:pPr>
              <w:jc w:val="center"/>
              <w:rPr>
                <w:b/>
              </w:rPr>
            </w:pPr>
          </w:p>
          <w:p w:rsidR="00B66094" w:rsidRDefault="00B66094" w:rsidP="008925BB">
            <w:pPr>
              <w:jc w:val="center"/>
              <w:rPr>
                <w:b/>
              </w:rPr>
            </w:pPr>
            <w:r>
              <w:rPr>
                <w:b/>
              </w:rPr>
              <w:t>ED 450</w:t>
            </w:r>
          </w:p>
          <w:p w:rsidR="00B66094" w:rsidRDefault="00B66094" w:rsidP="008925BB">
            <w:pPr>
              <w:jc w:val="center"/>
              <w:rPr>
                <w:b/>
              </w:rPr>
            </w:pPr>
          </w:p>
          <w:p w:rsidR="00B66094" w:rsidRPr="002B72C0" w:rsidRDefault="00B66094" w:rsidP="008925BB">
            <w:pPr>
              <w:jc w:val="center"/>
              <w:rPr>
                <w:b/>
              </w:rPr>
            </w:pPr>
          </w:p>
        </w:tc>
      </w:tr>
    </w:tbl>
    <w:p w:rsidR="00CD616A" w:rsidRDefault="00CD616A" w:rsidP="00181002">
      <w:pPr>
        <w:spacing w:after="0" w:line="240" w:lineRule="auto"/>
      </w:pPr>
    </w:p>
    <w:p w:rsidR="00AF7D93" w:rsidRDefault="00AF7D93" w:rsidP="00181002">
      <w:pPr>
        <w:spacing w:after="0" w:line="240" w:lineRule="auto"/>
      </w:pPr>
    </w:p>
    <w:p w:rsidR="00AF7D93" w:rsidRDefault="00AF7D93" w:rsidP="00181002">
      <w:pPr>
        <w:spacing w:after="0" w:line="240" w:lineRule="auto"/>
      </w:pPr>
    </w:p>
    <w:p w:rsidR="00AF7D93" w:rsidRDefault="00AF7D93" w:rsidP="00181002">
      <w:pPr>
        <w:spacing w:after="0" w:line="240" w:lineRule="auto"/>
      </w:pPr>
    </w:p>
    <w:p w:rsidR="00AF7D93" w:rsidRDefault="00AF7D93" w:rsidP="00181002">
      <w:pPr>
        <w:spacing w:after="0" w:line="240" w:lineRule="auto"/>
      </w:pPr>
    </w:p>
    <w:p w:rsidR="00AF7D93" w:rsidRDefault="00AF7D93" w:rsidP="00181002">
      <w:pPr>
        <w:spacing w:after="0" w:line="240" w:lineRule="auto"/>
      </w:pPr>
    </w:p>
    <w:p w:rsidR="00AF7D93" w:rsidRDefault="00AF7D93" w:rsidP="00181002">
      <w:pPr>
        <w:spacing w:after="0" w:line="240" w:lineRule="auto"/>
      </w:pPr>
    </w:p>
    <w:p w:rsidR="00AF7D93" w:rsidRDefault="00AF7D93" w:rsidP="00181002">
      <w:pPr>
        <w:spacing w:after="0" w:line="240" w:lineRule="auto"/>
      </w:pPr>
    </w:p>
    <w:tbl>
      <w:tblPr>
        <w:tblStyle w:val="TableGrid"/>
        <w:tblpPr w:leftFromText="180" w:rightFromText="180" w:vertAnchor="text" w:horzAnchor="margin" w:tblpY="-19"/>
        <w:tblW w:w="0" w:type="auto"/>
        <w:tblLayout w:type="fixed"/>
        <w:tblCellMar>
          <w:left w:w="115" w:type="dxa"/>
          <w:right w:w="115" w:type="dxa"/>
        </w:tblCellMar>
        <w:tblLook w:val="04A0"/>
      </w:tblPr>
      <w:tblGrid>
        <w:gridCol w:w="13176"/>
      </w:tblGrid>
      <w:tr w:rsidR="00AF7D93" w:rsidRPr="006259E1" w:rsidTr="00435175">
        <w:tc>
          <w:tcPr>
            <w:tcW w:w="13176" w:type="dxa"/>
            <w:shd w:val="clear" w:color="auto" w:fill="DBE5F1" w:themeFill="accent1" w:themeFillTint="33"/>
            <w:vAlign w:val="center"/>
          </w:tcPr>
          <w:p w:rsidR="00AF7D93" w:rsidRPr="00435175" w:rsidRDefault="00AF7D93" w:rsidP="00435175">
            <w:pPr>
              <w:rPr>
                <w:color w:val="E36C0A" w:themeColor="accent6" w:themeShade="BF"/>
              </w:rPr>
            </w:pPr>
            <w:r w:rsidRPr="00435175">
              <w:rPr>
                <w:rFonts w:cs="Arial"/>
                <w:b/>
                <w:bCs/>
                <w:color w:val="E36C0A" w:themeColor="accent6" w:themeShade="BF"/>
              </w:rPr>
              <w:lastRenderedPageBreak/>
              <w:t>Professional Standards for Administrative Leadership (PSAL)</w:t>
            </w:r>
          </w:p>
        </w:tc>
      </w:tr>
      <w:tr w:rsidR="00AF7D93" w:rsidTr="00AF7D93">
        <w:tc>
          <w:tcPr>
            <w:tcW w:w="13176" w:type="dxa"/>
          </w:tcPr>
          <w:p w:rsidR="00AF7D93" w:rsidRPr="00B52557" w:rsidRDefault="00AF7D93" w:rsidP="00AF7D93">
            <w:pPr>
              <w:tabs>
                <w:tab w:val="left" w:pos="5025"/>
              </w:tabs>
              <w:rPr>
                <w:rFonts w:ascii="Calibri" w:hAnsi="Calibri" w:cs="Arial"/>
              </w:rPr>
            </w:pPr>
            <w:r w:rsidRPr="00B022CB">
              <w:rPr>
                <w:rFonts w:ascii="Calibri" w:hAnsi="Calibri" w:cs="Arial"/>
                <w:b/>
              </w:rPr>
              <w:t>Sponsoring Organization</w:t>
            </w:r>
            <w:r w:rsidRPr="00B022CB">
              <w:rPr>
                <w:rFonts w:ascii="Calibri" w:hAnsi="Calibri" w:cs="Arial"/>
              </w:rPr>
              <w:t>:</w:t>
            </w:r>
            <w:r>
              <w:rPr>
                <w:rFonts w:ascii="Calibri" w:hAnsi="Calibri" w:cs="Arial"/>
              </w:rPr>
              <w:t xml:space="preserve">  </w:t>
            </w:r>
            <w:r>
              <w:rPr>
                <w:rFonts w:ascii="Calibri" w:hAnsi="Calibri" w:cs="Arial"/>
              </w:rPr>
              <w:tab/>
            </w:r>
          </w:p>
        </w:tc>
      </w:tr>
      <w:tr w:rsidR="00AF7D93" w:rsidRPr="00F82074" w:rsidTr="00AF7D93">
        <w:tc>
          <w:tcPr>
            <w:tcW w:w="13176" w:type="dxa"/>
          </w:tcPr>
          <w:p w:rsidR="00AF7D93" w:rsidRPr="00B52557" w:rsidRDefault="00AF7D93" w:rsidP="00AF7D93">
            <w:pPr>
              <w:tabs>
                <w:tab w:val="left" w:pos="5025"/>
              </w:tabs>
              <w:rPr>
                <w:rFonts w:ascii="Calibri" w:hAnsi="Calibri" w:cs="Arial"/>
              </w:rPr>
            </w:pPr>
            <w:r w:rsidRPr="00541D95">
              <w:rPr>
                <w:rFonts w:ascii="Calibri" w:hAnsi="Calibri" w:cs="Arial"/>
                <w:b/>
              </w:rPr>
              <w:t>Licensure Program (License and Grade Level):</w:t>
            </w:r>
            <w:r w:rsidRPr="00F82074">
              <w:rPr>
                <w:rFonts w:ascii="Calibri" w:hAnsi="Calibri" w:cs="Arial"/>
              </w:rPr>
              <w:t xml:space="preserve"> </w:t>
            </w:r>
            <w:r w:rsidRPr="00F82074">
              <w:rPr>
                <w:rFonts w:ascii="Calibri" w:hAnsi="Calibri" w:cs="Arial"/>
              </w:rPr>
              <w:softHyphen/>
              <w:t xml:space="preserve">  </w:t>
            </w:r>
          </w:p>
        </w:tc>
      </w:tr>
      <w:tr w:rsidR="00AF7D93" w:rsidTr="00AF7D93">
        <w:tc>
          <w:tcPr>
            <w:tcW w:w="13176" w:type="dxa"/>
          </w:tcPr>
          <w:p w:rsidR="00AF7D93" w:rsidRPr="00B52557" w:rsidRDefault="00AF7D93" w:rsidP="00AF7D93">
            <w:pPr>
              <w:tabs>
                <w:tab w:val="left" w:pos="5025"/>
              </w:tabs>
              <w:rPr>
                <w:rFonts w:ascii="Arial" w:hAnsi="Arial" w:cs="Arial"/>
                <w:b/>
              </w:rPr>
            </w:pPr>
            <w:r>
              <w:rPr>
                <w:rFonts w:ascii="Calibri" w:hAnsi="Calibri" w:cs="Arial"/>
                <w:b/>
              </w:rPr>
              <w:t>Name</w:t>
            </w:r>
            <w:r w:rsidRPr="00B022CB">
              <w:rPr>
                <w:rFonts w:ascii="Calibri" w:hAnsi="Calibri" w:cs="Arial"/>
                <w:b/>
              </w:rPr>
              <w:t>(s) of person(s) completing this matrix:</w:t>
            </w:r>
            <w:r>
              <w:rPr>
                <w:rFonts w:ascii="Arial" w:hAnsi="Arial" w:cs="Arial"/>
                <w:b/>
              </w:rPr>
              <w:t xml:space="preserve">   </w:t>
            </w:r>
            <w:bookmarkStart w:id="0" w:name="Text3"/>
            <w:r>
              <w:rPr>
                <w:rFonts w:ascii="Arial" w:hAnsi="Arial" w:cs="Arial"/>
                <w:b/>
              </w:rPr>
              <w:t xml:space="preserve"> </w:t>
            </w:r>
            <w:bookmarkEnd w:id="0"/>
            <w:r>
              <w:rPr>
                <w:rFonts w:ascii="Arial" w:hAnsi="Arial" w:cs="Arial"/>
                <w:b/>
              </w:rPr>
              <w:tab/>
            </w:r>
          </w:p>
        </w:tc>
      </w:tr>
    </w:tbl>
    <w:p w:rsidR="00AF7D93" w:rsidRDefault="00AF7D93" w:rsidP="00181002">
      <w:pPr>
        <w:spacing w:after="0" w:line="240" w:lineRule="auto"/>
      </w:pPr>
    </w:p>
    <w:tbl>
      <w:tblPr>
        <w:tblStyle w:val="TableGrid"/>
        <w:tblW w:w="13165" w:type="dxa"/>
        <w:tblLayout w:type="fixed"/>
        <w:tblCellMar>
          <w:left w:w="115" w:type="dxa"/>
          <w:right w:w="115" w:type="dxa"/>
        </w:tblCellMar>
        <w:tblLook w:val="04A0"/>
      </w:tblPr>
      <w:tblGrid>
        <w:gridCol w:w="4795"/>
        <w:gridCol w:w="2700"/>
        <w:gridCol w:w="2790"/>
        <w:gridCol w:w="2880"/>
      </w:tblGrid>
      <w:tr w:rsidR="00841307" w:rsidTr="00435175">
        <w:trPr>
          <w:cantSplit/>
          <w:trHeight w:val="1133"/>
          <w:tblHeader/>
        </w:trPr>
        <w:tc>
          <w:tcPr>
            <w:tcW w:w="4795" w:type="dxa"/>
            <w:tcBorders>
              <w:top w:val="single" w:sz="4" w:space="0" w:color="auto"/>
            </w:tcBorders>
            <w:shd w:val="clear" w:color="auto" w:fill="DBE5F1" w:themeFill="accent1" w:themeFillTint="33"/>
            <w:vAlign w:val="center"/>
          </w:tcPr>
          <w:p w:rsidR="00841307" w:rsidRPr="002B72C0" w:rsidRDefault="00736D71" w:rsidP="00736D71">
            <w:pPr>
              <w:jc w:val="center"/>
            </w:pPr>
            <w:r>
              <w:rPr>
                <w:b/>
              </w:rPr>
              <w:t>7.10</w:t>
            </w:r>
            <w:r w:rsidR="00841307" w:rsidRPr="002B72C0">
              <w:rPr>
                <w:b/>
              </w:rPr>
              <w:t xml:space="preserve">: </w:t>
            </w:r>
            <w:r w:rsidR="00841307">
              <w:rPr>
                <w:b/>
              </w:rPr>
              <w:t xml:space="preserve">Professional Standards for </w:t>
            </w:r>
            <w:r>
              <w:rPr>
                <w:b/>
              </w:rPr>
              <w:t>Administrative Leadership</w:t>
            </w:r>
          </w:p>
        </w:tc>
        <w:tc>
          <w:tcPr>
            <w:tcW w:w="2700" w:type="dxa"/>
            <w:tcBorders>
              <w:top w:val="single" w:sz="4" w:space="0" w:color="auto"/>
            </w:tcBorders>
            <w:shd w:val="clear" w:color="auto" w:fill="DBE5F1" w:themeFill="accent1" w:themeFillTint="33"/>
            <w:vAlign w:val="center"/>
          </w:tcPr>
          <w:p w:rsidR="00841307" w:rsidRPr="002B72C0" w:rsidRDefault="00841307" w:rsidP="00B12B83">
            <w:pPr>
              <w:jc w:val="center"/>
              <w:rPr>
                <w:b/>
              </w:rPr>
            </w:pPr>
            <w:r>
              <w:rPr>
                <w:b/>
              </w:rPr>
              <w:t>Introductory Level</w:t>
            </w:r>
          </w:p>
          <w:p w:rsidR="00841307" w:rsidRDefault="00841307" w:rsidP="00B12B83">
            <w:pPr>
              <w:jc w:val="center"/>
              <w:rPr>
                <w:b/>
              </w:rPr>
            </w:pPr>
            <w:r w:rsidRPr="006E0474">
              <w:rPr>
                <w:sz w:val="16"/>
              </w:rPr>
              <w:t>Introduced; Beginning / Developing</w:t>
            </w:r>
          </w:p>
        </w:tc>
        <w:tc>
          <w:tcPr>
            <w:tcW w:w="2790" w:type="dxa"/>
            <w:tcBorders>
              <w:top w:val="single" w:sz="4" w:space="0" w:color="auto"/>
            </w:tcBorders>
            <w:shd w:val="clear" w:color="auto" w:fill="DBE5F1" w:themeFill="accent1" w:themeFillTint="33"/>
            <w:vAlign w:val="center"/>
          </w:tcPr>
          <w:p w:rsidR="00841307" w:rsidRPr="002B72C0" w:rsidRDefault="00841307" w:rsidP="00B12B83">
            <w:pPr>
              <w:jc w:val="center"/>
              <w:rPr>
                <w:b/>
              </w:rPr>
            </w:pPr>
            <w:r>
              <w:rPr>
                <w:b/>
              </w:rPr>
              <w:t>Moderate Level</w:t>
            </w:r>
          </w:p>
          <w:p w:rsidR="00841307" w:rsidRDefault="00841307" w:rsidP="00B12B83">
            <w:pPr>
              <w:jc w:val="center"/>
              <w:rPr>
                <w:b/>
              </w:rPr>
            </w:pPr>
            <w:r w:rsidRPr="006E0474">
              <w:rPr>
                <w:sz w:val="16"/>
              </w:rPr>
              <w:t>Reinforced</w:t>
            </w:r>
            <w:r w:rsidRPr="006E0474">
              <w:rPr>
                <w:b/>
                <w:sz w:val="16"/>
              </w:rPr>
              <w:t>;</w:t>
            </w:r>
            <w:r>
              <w:rPr>
                <w:rFonts w:ascii="Calibri" w:hAnsi="Calibri" w:cs="Arial"/>
                <w:bCs/>
                <w:sz w:val="16"/>
              </w:rPr>
              <w:t xml:space="preserve"> </w:t>
            </w:r>
            <w:r w:rsidRPr="006E0474">
              <w:rPr>
                <w:rFonts w:ascii="Calibri" w:hAnsi="Calibri" w:cs="Arial"/>
                <w:bCs/>
                <w:sz w:val="16"/>
              </w:rPr>
              <w:t>Developing/ Competent</w:t>
            </w:r>
          </w:p>
        </w:tc>
        <w:tc>
          <w:tcPr>
            <w:tcW w:w="2880" w:type="dxa"/>
            <w:tcBorders>
              <w:top w:val="single" w:sz="4" w:space="0" w:color="auto"/>
            </w:tcBorders>
            <w:shd w:val="clear" w:color="auto" w:fill="DBE5F1" w:themeFill="accent1" w:themeFillTint="33"/>
            <w:vAlign w:val="center"/>
          </w:tcPr>
          <w:p w:rsidR="00841307" w:rsidRPr="003A4FB6" w:rsidRDefault="00841307" w:rsidP="00841307">
            <w:pPr>
              <w:jc w:val="center"/>
              <w:rPr>
                <w:rFonts w:ascii="Calibri" w:hAnsi="Calibri" w:cs="Arial"/>
                <w:b/>
                <w:bCs/>
              </w:rPr>
            </w:pPr>
            <w:r>
              <w:rPr>
                <w:rFonts w:ascii="Calibri" w:hAnsi="Calibri" w:cs="Arial"/>
                <w:b/>
                <w:bCs/>
              </w:rPr>
              <w:t>High Level</w:t>
            </w:r>
          </w:p>
          <w:p w:rsidR="00841307" w:rsidRDefault="00841307" w:rsidP="00841307">
            <w:pPr>
              <w:jc w:val="center"/>
              <w:rPr>
                <w:rFonts w:ascii="Calibri" w:hAnsi="Calibri" w:cs="Arial"/>
                <w:b/>
                <w:bCs/>
              </w:rPr>
            </w:pPr>
            <w:r w:rsidRPr="006E0474">
              <w:rPr>
                <w:rFonts w:ascii="Calibri" w:hAnsi="Calibri" w:cs="Arial"/>
                <w:bCs/>
                <w:sz w:val="16"/>
              </w:rPr>
              <w:t>Mastered;</w:t>
            </w:r>
            <w:r>
              <w:rPr>
                <w:rFonts w:ascii="Calibri" w:hAnsi="Calibri" w:cs="Arial"/>
                <w:bCs/>
                <w:sz w:val="16"/>
              </w:rPr>
              <w:t xml:space="preserve"> </w:t>
            </w:r>
            <w:r w:rsidRPr="006E0474">
              <w:rPr>
                <w:rFonts w:ascii="Calibri" w:hAnsi="Calibri" w:cs="Arial"/>
                <w:bCs/>
                <w:sz w:val="16"/>
              </w:rPr>
              <w:t>Competent/ Skilled</w:t>
            </w:r>
          </w:p>
        </w:tc>
      </w:tr>
      <w:tr w:rsidR="001E79A6" w:rsidTr="009D0193">
        <w:trPr>
          <w:trHeight w:val="1835"/>
        </w:trPr>
        <w:tc>
          <w:tcPr>
            <w:tcW w:w="4795" w:type="dxa"/>
            <w:shd w:val="clear" w:color="auto" w:fill="FFFFFF" w:themeFill="background1"/>
          </w:tcPr>
          <w:p w:rsidR="001E79A6" w:rsidRPr="009D0193" w:rsidRDefault="004F7720" w:rsidP="004F7720">
            <w:pPr>
              <w:pStyle w:val="ListParagraph"/>
              <w:ind w:left="0"/>
              <w:rPr>
                <w:rFonts w:ascii="Calibri" w:hAnsi="Calibri" w:cs="Calibri"/>
              </w:rPr>
            </w:pPr>
            <w:r>
              <w:rPr>
                <w:rFonts w:ascii="Calibri" w:hAnsi="Calibri" w:cs="Calibri"/>
                <w:b/>
              </w:rPr>
              <w:t xml:space="preserve">1) </w:t>
            </w:r>
            <w:r w:rsidR="001E79A6" w:rsidRPr="009D0193">
              <w:rPr>
                <w:rFonts w:ascii="Calibri" w:hAnsi="Calibri" w:cs="Calibri"/>
                <w:b/>
              </w:rPr>
              <w:t>Instructional Leadership:</w:t>
            </w:r>
            <w:r w:rsidR="001E79A6" w:rsidRPr="009D0193">
              <w:rPr>
                <w:rFonts w:ascii="Calibri" w:hAnsi="Calibri" w:cs="Calibri"/>
              </w:rPr>
              <w:t xml:space="preserve"> Promotes the learning and growth of all students and the success of all staff by cultivating a shared vision that makes effective teaching and learning the central focus of schooling</w:t>
            </w:r>
          </w:p>
        </w:tc>
        <w:tc>
          <w:tcPr>
            <w:tcW w:w="8370" w:type="dxa"/>
            <w:gridSpan w:val="3"/>
            <w:shd w:val="clear" w:color="auto" w:fill="D9D9D9" w:themeFill="background1" w:themeFillShade="D9"/>
          </w:tcPr>
          <w:p w:rsidR="001E79A6" w:rsidRPr="00D31098" w:rsidRDefault="009D0193" w:rsidP="009D0193">
            <w:pPr>
              <w:tabs>
                <w:tab w:val="left" w:pos="3555"/>
              </w:tabs>
              <w:rPr>
                <w:rFonts w:ascii="Calibri" w:hAnsi="Calibri"/>
              </w:rPr>
            </w:pPr>
            <w:r>
              <w:rPr>
                <w:rFonts w:ascii="Calibri" w:hAnsi="Calibri"/>
              </w:rPr>
              <w:tab/>
            </w:r>
            <w:r>
              <w:rPr>
                <w:rFonts w:ascii="Calibri" w:hAnsi="Calibri"/>
              </w:rPr>
              <w:tab/>
            </w:r>
          </w:p>
          <w:p w:rsidR="009D0193" w:rsidRDefault="009D0193" w:rsidP="009D0193">
            <w:pPr>
              <w:tabs>
                <w:tab w:val="left" w:pos="1455"/>
              </w:tabs>
              <w:jc w:val="center"/>
              <w:rPr>
                <w:rFonts w:ascii="Calibri" w:hAnsi="Calibri"/>
              </w:rPr>
            </w:pPr>
          </w:p>
          <w:p w:rsidR="009D0193" w:rsidRPr="009D0193" w:rsidRDefault="009D0193" w:rsidP="009D0193">
            <w:pPr>
              <w:rPr>
                <w:rFonts w:ascii="Calibri" w:hAnsi="Calibri"/>
              </w:rPr>
            </w:pPr>
          </w:p>
          <w:p w:rsidR="009D0193" w:rsidRDefault="009D0193" w:rsidP="009D0193">
            <w:pPr>
              <w:rPr>
                <w:rFonts w:ascii="Calibri" w:hAnsi="Calibri"/>
              </w:rPr>
            </w:pPr>
          </w:p>
          <w:p w:rsidR="001E79A6" w:rsidRPr="009D0193" w:rsidRDefault="001E79A6" w:rsidP="009D0193">
            <w:pPr>
              <w:tabs>
                <w:tab w:val="left" w:pos="1860"/>
              </w:tabs>
              <w:rPr>
                <w:rFonts w:ascii="Calibri" w:hAnsi="Calibri"/>
              </w:rPr>
            </w:pPr>
          </w:p>
        </w:tc>
      </w:tr>
      <w:tr w:rsidR="009D0193" w:rsidTr="009D0193">
        <w:tc>
          <w:tcPr>
            <w:tcW w:w="4795" w:type="dxa"/>
            <w:shd w:val="clear" w:color="auto" w:fill="FFFFFF" w:themeFill="background1"/>
          </w:tcPr>
          <w:p w:rsidR="009D0193" w:rsidRPr="00A644F2" w:rsidRDefault="009D0193" w:rsidP="00E92F5A">
            <w:pPr>
              <w:rPr>
                <w:rFonts w:ascii="Calibri" w:hAnsi="Calibri" w:cs="Calibri"/>
              </w:rPr>
            </w:pPr>
            <w:r w:rsidRPr="00A644F2">
              <w:rPr>
                <w:rFonts w:ascii="Calibri" w:eastAsia="Times New Roman" w:hAnsi="Calibri" w:cs="Calibri"/>
              </w:rPr>
              <w:t>a</w:t>
            </w:r>
            <w:r w:rsidRPr="00A438E2">
              <w:t xml:space="preserve">. </w:t>
            </w:r>
            <w:r w:rsidRPr="003C342D">
              <w:rPr>
                <w:b/>
              </w:rPr>
              <w:t>Goals.</w:t>
            </w:r>
            <w:r w:rsidRPr="00A438E2">
              <w:t xml:space="preserve">  Articulates clear goals and objectives relative to student achievement and curriculum, instruction, and assessment, which guide the work of the school and district; understands the school committee role in approval of district goals and objectives.</w:t>
            </w:r>
          </w:p>
        </w:tc>
        <w:tc>
          <w:tcPr>
            <w:tcW w:w="2700" w:type="dxa"/>
            <w:shd w:val="clear" w:color="auto" w:fill="auto"/>
          </w:tcPr>
          <w:p w:rsidR="009D0193" w:rsidRPr="008B31B8" w:rsidRDefault="009D0193" w:rsidP="00F83675">
            <w:pPr>
              <w:rPr>
                <w:rFonts w:ascii="Calibri" w:hAnsi="Calibri"/>
                <w:b/>
              </w:rPr>
            </w:pPr>
          </w:p>
        </w:tc>
        <w:tc>
          <w:tcPr>
            <w:tcW w:w="2790" w:type="dxa"/>
            <w:shd w:val="clear" w:color="auto" w:fill="auto"/>
          </w:tcPr>
          <w:p w:rsidR="009D0193" w:rsidRPr="008B31B8" w:rsidRDefault="009D0193" w:rsidP="00F83675">
            <w:pPr>
              <w:rPr>
                <w:rFonts w:ascii="Calibri" w:hAnsi="Calibri"/>
                <w:b/>
              </w:rPr>
            </w:pPr>
          </w:p>
        </w:tc>
        <w:tc>
          <w:tcPr>
            <w:tcW w:w="2880" w:type="dxa"/>
            <w:shd w:val="clear" w:color="auto" w:fill="auto"/>
          </w:tcPr>
          <w:p w:rsidR="009D0193" w:rsidRPr="008B31B8" w:rsidRDefault="009D0193" w:rsidP="00F83675">
            <w:pPr>
              <w:rPr>
                <w:rFonts w:ascii="Calibri" w:hAnsi="Calibri"/>
                <w:b/>
              </w:rPr>
            </w:pPr>
          </w:p>
        </w:tc>
      </w:tr>
      <w:tr w:rsidR="009D0193" w:rsidTr="009D0193">
        <w:tc>
          <w:tcPr>
            <w:tcW w:w="4795" w:type="dxa"/>
            <w:shd w:val="clear" w:color="auto" w:fill="FFFFFF" w:themeFill="background1"/>
          </w:tcPr>
          <w:p w:rsidR="009D0193" w:rsidRPr="00A644F2" w:rsidRDefault="009D0193" w:rsidP="00E92F5A">
            <w:pPr>
              <w:rPr>
                <w:rFonts w:ascii="Calibri" w:hAnsi="Calibri" w:cs="Calibri"/>
              </w:rPr>
            </w:pPr>
            <w:r w:rsidRPr="00A644F2">
              <w:rPr>
                <w:rFonts w:ascii="Calibri" w:eastAsia="Times New Roman" w:hAnsi="Calibri" w:cs="Calibri"/>
              </w:rPr>
              <w:t xml:space="preserve">b. </w:t>
            </w:r>
            <w:r w:rsidRPr="003C342D">
              <w:rPr>
                <w:rFonts w:ascii="Calibri" w:eastAsia="Times New Roman" w:hAnsi="Calibri" w:cs="Calibri"/>
                <w:b/>
              </w:rPr>
              <w:t>Aligned Curriculum.</w:t>
            </w:r>
            <w:r w:rsidRPr="00A644F2">
              <w:rPr>
                <w:rFonts w:ascii="Calibri" w:eastAsia="Times New Roman" w:hAnsi="Calibri" w:cs="Calibri"/>
              </w:rPr>
              <w:t xml:space="preserve">  Ensures the implementation of an effective curriculum that is aligned to state curriculum frameworks.</w:t>
            </w:r>
          </w:p>
        </w:tc>
        <w:tc>
          <w:tcPr>
            <w:tcW w:w="2700" w:type="dxa"/>
            <w:shd w:val="clear" w:color="auto" w:fill="auto"/>
          </w:tcPr>
          <w:p w:rsidR="009D0193" w:rsidRDefault="009D0193" w:rsidP="00F83675">
            <w:pPr>
              <w:rPr>
                <w:rFonts w:ascii="Calibri" w:hAnsi="Calibri"/>
                <w:b/>
              </w:rPr>
            </w:pPr>
          </w:p>
        </w:tc>
        <w:tc>
          <w:tcPr>
            <w:tcW w:w="2790" w:type="dxa"/>
            <w:shd w:val="clear" w:color="auto" w:fill="auto"/>
          </w:tcPr>
          <w:p w:rsidR="009D0193" w:rsidRDefault="009D0193" w:rsidP="00F83675">
            <w:pPr>
              <w:rPr>
                <w:rFonts w:ascii="Calibri" w:hAnsi="Calibri"/>
                <w:b/>
              </w:rPr>
            </w:pPr>
          </w:p>
        </w:tc>
        <w:tc>
          <w:tcPr>
            <w:tcW w:w="2880" w:type="dxa"/>
            <w:shd w:val="clear" w:color="auto" w:fill="auto"/>
          </w:tcPr>
          <w:p w:rsidR="009D0193" w:rsidRDefault="009D0193" w:rsidP="00F83675">
            <w:pPr>
              <w:rPr>
                <w:rFonts w:ascii="Calibri" w:hAnsi="Calibri"/>
                <w:b/>
              </w:rPr>
            </w:pPr>
          </w:p>
        </w:tc>
      </w:tr>
      <w:tr w:rsidR="001E79A6" w:rsidTr="00D31098">
        <w:tc>
          <w:tcPr>
            <w:tcW w:w="4795" w:type="dxa"/>
          </w:tcPr>
          <w:p w:rsidR="001E79A6" w:rsidRPr="00A644F2" w:rsidRDefault="001E79A6" w:rsidP="00E92F5A">
            <w:pPr>
              <w:rPr>
                <w:rFonts w:ascii="Calibri" w:hAnsi="Calibri" w:cs="Calibri"/>
              </w:rPr>
            </w:pPr>
            <w:r w:rsidRPr="00A644F2">
              <w:rPr>
                <w:rFonts w:ascii="Calibri" w:eastAsia="Times New Roman" w:hAnsi="Calibri" w:cs="Calibri"/>
                <w:bCs/>
              </w:rPr>
              <w:t>c</w:t>
            </w:r>
            <w:r w:rsidRPr="00A438E2">
              <w:t xml:space="preserve">. </w:t>
            </w:r>
            <w:r w:rsidRPr="003C342D">
              <w:rPr>
                <w:b/>
              </w:rPr>
              <w:t>Instruction.</w:t>
            </w:r>
            <w:r w:rsidRPr="00A438E2">
              <w:t xml:space="preserve">  Ensures that instructional practices in all settings reflect high expectations regarding content and quality of effort and work, engage all students, and are personalized to accommodate diverse learning </w:t>
            </w:r>
            <w:r w:rsidRPr="00A438E2">
              <w:lastRenderedPageBreak/>
              <w:t>styles, needs, interests, and levels of readiness.</w:t>
            </w:r>
          </w:p>
        </w:tc>
        <w:tc>
          <w:tcPr>
            <w:tcW w:w="2700" w:type="dxa"/>
          </w:tcPr>
          <w:p w:rsidR="001E79A6" w:rsidRDefault="001E79A6" w:rsidP="00F83675"/>
        </w:tc>
        <w:tc>
          <w:tcPr>
            <w:tcW w:w="2790" w:type="dxa"/>
          </w:tcPr>
          <w:p w:rsidR="001E79A6" w:rsidRDefault="001E79A6" w:rsidP="00F83675"/>
        </w:tc>
        <w:tc>
          <w:tcPr>
            <w:tcW w:w="2880" w:type="dxa"/>
          </w:tcPr>
          <w:p w:rsidR="001E79A6" w:rsidRDefault="001E79A6" w:rsidP="005E6316"/>
        </w:tc>
      </w:tr>
      <w:tr w:rsidR="001E79A6" w:rsidTr="00D31098">
        <w:tc>
          <w:tcPr>
            <w:tcW w:w="4795" w:type="dxa"/>
          </w:tcPr>
          <w:p w:rsidR="001E79A6" w:rsidRPr="00A644F2" w:rsidRDefault="001E79A6" w:rsidP="00E92F5A">
            <w:pPr>
              <w:rPr>
                <w:rFonts w:ascii="Calibri" w:hAnsi="Calibri" w:cs="Calibri"/>
              </w:rPr>
            </w:pPr>
            <w:r w:rsidRPr="00A644F2">
              <w:rPr>
                <w:rFonts w:ascii="Calibri" w:eastAsia="Times New Roman" w:hAnsi="Calibri" w:cs="Calibri"/>
              </w:rPr>
              <w:lastRenderedPageBreak/>
              <w:t xml:space="preserve">d. </w:t>
            </w:r>
            <w:r w:rsidRPr="003C342D">
              <w:rPr>
                <w:rFonts w:ascii="Calibri" w:eastAsia="Times New Roman" w:hAnsi="Calibri" w:cs="Calibri"/>
                <w:b/>
                <w:bCs/>
              </w:rPr>
              <w:t>Assessment.</w:t>
            </w:r>
            <w:r w:rsidRPr="00A644F2">
              <w:rPr>
                <w:rFonts w:ascii="Calibri" w:eastAsia="Times New Roman" w:hAnsi="Calibri" w:cs="Calibri"/>
                <w:bCs/>
              </w:rPr>
              <w:t xml:space="preserve">  Ensures that all teachers use a variety of formal and informal methods and assessments to measure student learning, growth, and understanding, and also make necessary adjustments to their practice when students are not learning.</w:t>
            </w:r>
          </w:p>
        </w:tc>
        <w:tc>
          <w:tcPr>
            <w:tcW w:w="2700" w:type="dxa"/>
          </w:tcPr>
          <w:p w:rsidR="001E79A6" w:rsidRDefault="001E79A6" w:rsidP="00F83675"/>
        </w:tc>
        <w:tc>
          <w:tcPr>
            <w:tcW w:w="2790" w:type="dxa"/>
          </w:tcPr>
          <w:p w:rsidR="001E79A6" w:rsidRDefault="001E79A6" w:rsidP="00F83675"/>
        </w:tc>
        <w:tc>
          <w:tcPr>
            <w:tcW w:w="2880" w:type="dxa"/>
          </w:tcPr>
          <w:p w:rsidR="001E79A6" w:rsidRDefault="001E79A6" w:rsidP="005E6316"/>
        </w:tc>
      </w:tr>
      <w:tr w:rsidR="001E79A6" w:rsidTr="00D31098">
        <w:tc>
          <w:tcPr>
            <w:tcW w:w="4795" w:type="dxa"/>
          </w:tcPr>
          <w:p w:rsidR="001E79A6" w:rsidRPr="00A644F2" w:rsidRDefault="001E79A6" w:rsidP="00CF25BD">
            <w:pPr>
              <w:rPr>
                <w:rFonts w:ascii="Calibri" w:hAnsi="Calibri" w:cs="Calibri"/>
              </w:rPr>
            </w:pPr>
            <w:r w:rsidRPr="00A644F2">
              <w:rPr>
                <w:rFonts w:ascii="Calibri" w:eastAsia="Times New Roman" w:hAnsi="Calibri" w:cs="Calibri"/>
              </w:rPr>
              <w:t xml:space="preserve">e. </w:t>
            </w:r>
            <w:r w:rsidRPr="003C342D">
              <w:rPr>
                <w:rFonts w:ascii="Calibri" w:eastAsia="Times New Roman" w:hAnsi="Calibri" w:cs="Calibri"/>
                <w:b/>
              </w:rPr>
              <w:t>Evaluation.</w:t>
            </w:r>
            <w:r w:rsidRPr="00A644F2">
              <w:rPr>
                <w:rFonts w:ascii="Calibri" w:eastAsia="Times New Roman" w:hAnsi="Calibri" w:cs="Calibri"/>
              </w:rPr>
              <w:t xml:space="preserve">  Provides effective supervision and evaluation in alignment and accordance with state Regulations and contract provisions.</w:t>
            </w:r>
          </w:p>
        </w:tc>
        <w:tc>
          <w:tcPr>
            <w:tcW w:w="2700" w:type="dxa"/>
          </w:tcPr>
          <w:p w:rsidR="001E79A6" w:rsidRDefault="001E79A6" w:rsidP="00F83675"/>
        </w:tc>
        <w:tc>
          <w:tcPr>
            <w:tcW w:w="2790" w:type="dxa"/>
          </w:tcPr>
          <w:p w:rsidR="001E79A6" w:rsidRDefault="001E79A6" w:rsidP="00F83675"/>
        </w:tc>
        <w:tc>
          <w:tcPr>
            <w:tcW w:w="2880" w:type="dxa"/>
          </w:tcPr>
          <w:p w:rsidR="001E79A6" w:rsidRDefault="001E79A6" w:rsidP="005E6316"/>
        </w:tc>
      </w:tr>
      <w:tr w:rsidR="001E79A6" w:rsidTr="00D31098">
        <w:tc>
          <w:tcPr>
            <w:tcW w:w="4795" w:type="dxa"/>
            <w:tcBorders>
              <w:bottom w:val="single" w:sz="4" w:space="0" w:color="auto"/>
            </w:tcBorders>
          </w:tcPr>
          <w:p w:rsidR="001E79A6" w:rsidRPr="00A644F2" w:rsidRDefault="001E79A6" w:rsidP="00E92F5A">
            <w:pPr>
              <w:rPr>
                <w:rFonts w:ascii="Calibri" w:hAnsi="Calibri" w:cs="Calibri"/>
              </w:rPr>
            </w:pPr>
            <w:r w:rsidRPr="00A644F2">
              <w:rPr>
                <w:rFonts w:ascii="Calibri" w:eastAsia="Times New Roman" w:hAnsi="Calibri" w:cs="Calibri"/>
              </w:rPr>
              <w:t xml:space="preserve">f. </w:t>
            </w:r>
            <w:r w:rsidRPr="003C342D">
              <w:rPr>
                <w:rFonts w:ascii="Calibri" w:eastAsia="Times New Roman" w:hAnsi="Calibri" w:cs="Calibri"/>
                <w:b/>
                <w:bCs/>
              </w:rPr>
              <w:t>Data-Informed Decision-Making.</w:t>
            </w:r>
            <w:r w:rsidRPr="00A644F2">
              <w:rPr>
                <w:rFonts w:ascii="Calibri" w:eastAsia="Times New Roman" w:hAnsi="Calibri" w:cs="Calibri"/>
                <w:bCs/>
              </w:rPr>
              <w:t xml:space="preserve">  Uses multiple sources of evidence related to student learning, including state, district and school assessment results and growth data, to inform school and district goals and improve organizational performance, educator effectiveness and student learning.</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5E6316"/>
        </w:tc>
      </w:tr>
      <w:tr w:rsidR="001E79A6" w:rsidTr="00D31098">
        <w:tc>
          <w:tcPr>
            <w:tcW w:w="4795" w:type="dxa"/>
            <w:tcBorders>
              <w:bottom w:val="single" w:sz="4" w:space="0" w:color="auto"/>
            </w:tcBorders>
          </w:tcPr>
          <w:p w:rsidR="001E79A6" w:rsidRPr="00A644F2" w:rsidRDefault="001E79A6" w:rsidP="00E92F5A">
            <w:pPr>
              <w:rPr>
                <w:rFonts w:ascii="Calibri" w:hAnsi="Calibri" w:cs="Calibri"/>
              </w:rPr>
            </w:pPr>
            <w:r w:rsidRPr="00A644F2">
              <w:rPr>
                <w:rFonts w:ascii="Calibri" w:eastAsia="Times New Roman" w:hAnsi="Calibri" w:cs="Calibri"/>
              </w:rPr>
              <w:t xml:space="preserve">g. </w:t>
            </w:r>
            <w:r w:rsidRPr="003C342D">
              <w:rPr>
                <w:rFonts w:ascii="Calibri" w:eastAsia="Times New Roman" w:hAnsi="Calibri" w:cs="Calibri"/>
                <w:b/>
              </w:rPr>
              <w:t>Equity and Excellence.</w:t>
            </w:r>
            <w:r w:rsidRPr="00A644F2">
              <w:rPr>
                <w:rFonts w:ascii="Calibri" w:eastAsia="Times New Roman" w:hAnsi="Calibri" w:cs="Calibri"/>
                <w:bCs/>
              </w:rPr>
              <w:t xml:space="preserve">  Promotes fairness, respect, high expectations, and support for all students through policies, programs, and practices, and addresses the impact of changes in student population on curriculum and instruction.</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D31098">
        <w:tc>
          <w:tcPr>
            <w:tcW w:w="4795" w:type="dxa"/>
            <w:tcBorders>
              <w:bottom w:val="single" w:sz="4" w:space="0" w:color="auto"/>
            </w:tcBorders>
          </w:tcPr>
          <w:p w:rsidR="001E79A6" w:rsidRPr="00A644F2" w:rsidRDefault="001E79A6" w:rsidP="00CF25BD">
            <w:pPr>
              <w:rPr>
                <w:rFonts w:ascii="Calibri" w:hAnsi="Calibri" w:cs="Calibri"/>
              </w:rPr>
            </w:pPr>
            <w:r w:rsidRPr="00A644F2">
              <w:rPr>
                <w:rFonts w:ascii="Calibri" w:eastAsia="Times New Roman" w:hAnsi="Calibri" w:cs="Calibri"/>
                <w:bCs/>
              </w:rPr>
              <w:t xml:space="preserve">h. </w:t>
            </w:r>
            <w:r w:rsidRPr="003C342D">
              <w:rPr>
                <w:rFonts w:ascii="Calibri" w:eastAsia="Times New Roman" w:hAnsi="Calibri" w:cs="Calibri"/>
                <w:b/>
                <w:bCs/>
              </w:rPr>
              <w:t>Accountability.</w:t>
            </w:r>
            <w:r w:rsidRPr="00A644F2">
              <w:rPr>
                <w:rFonts w:ascii="Calibri" w:eastAsia="Times New Roman" w:hAnsi="Calibri" w:cs="Calibri"/>
                <w:bCs/>
              </w:rPr>
              <w:t xml:space="preserve">  Creates a culture in which both staff and students take responsibility for </w:t>
            </w:r>
            <w:r w:rsidRPr="00A644F2">
              <w:rPr>
                <w:rFonts w:ascii="Calibri" w:eastAsia="Times New Roman" w:hAnsi="Calibri" w:cs="Calibri"/>
                <w:bCs/>
              </w:rPr>
              <w:lastRenderedPageBreak/>
              <w:t>their performance and behavior.</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256BA8"/>
        </w:tc>
      </w:tr>
      <w:tr w:rsidR="001E79A6" w:rsidTr="00D31098">
        <w:tc>
          <w:tcPr>
            <w:tcW w:w="4795" w:type="dxa"/>
            <w:tcBorders>
              <w:bottom w:val="single" w:sz="4" w:space="0" w:color="auto"/>
            </w:tcBorders>
          </w:tcPr>
          <w:p w:rsidR="001E79A6" w:rsidRPr="00A644F2" w:rsidRDefault="001E79A6" w:rsidP="00E92F5A">
            <w:pPr>
              <w:rPr>
                <w:rFonts w:ascii="Calibri" w:hAnsi="Calibri" w:cs="Calibri"/>
              </w:rPr>
            </w:pPr>
            <w:r w:rsidRPr="00A644F2">
              <w:rPr>
                <w:rFonts w:ascii="Calibri" w:eastAsia="Times New Roman" w:hAnsi="Calibri" w:cs="Calibri"/>
                <w:bCs/>
              </w:rPr>
              <w:lastRenderedPageBreak/>
              <w:t xml:space="preserve">i. </w:t>
            </w:r>
            <w:r w:rsidRPr="003C342D">
              <w:rPr>
                <w:rFonts w:ascii="Calibri" w:eastAsia="Times New Roman" w:hAnsi="Calibri" w:cs="Calibri"/>
                <w:b/>
                <w:bCs/>
              </w:rPr>
              <w:t>Closing Proficiency Gaps.</w:t>
            </w:r>
            <w:r w:rsidRPr="00A644F2">
              <w:rPr>
                <w:rFonts w:ascii="Calibri" w:eastAsia="Times New Roman" w:hAnsi="Calibri" w:cs="Calibri"/>
                <w:bCs/>
              </w:rPr>
              <w:t xml:space="preserve">  Can identify and address the complex, multiple causes of educational underperformance and ensures that districts/schools close proficiency gaps.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256BA8"/>
        </w:tc>
      </w:tr>
      <w:tr w:rsidR="001E79A6" w:rsidTr="00D31098">
        <w:tc>
          <w:tcPr>
            <w:tcW w:w="4795" w:type="dxa"/>
            <w:tcBorders>
              <w:bottom w:val="single" w:sz="4" w:space="0" w:color="auto"/>
            </w:tcBorders>
          </w:tcPr>
          <w:p w:rsidR="001E79A6" w:rsidRPr="00A644F2" w:rsidRDefault="001E79A6" w:rsidP="00E92F5A">
            <w:pPr>
              <w:rPr>
                <w:rFonts w:ascii="Calibri" w:hAnsi="Calibri" w:cs="Calibri"/>
              </w:rPr>
            </w:pPr>
            <w:r w:rsidRPr="00A644F2">
              <w:rPr>
                <w:rFonts w:ascii="Calibri" w:eastAsia="Times New Roman" w:hAnsi="Calibri" w:cs="Calibri"/>
              </w:rPr>
              <w:t xml:space="preserve">j. </w:t>
            </w:r>
            <w:r w:rsidRPr="003C342D">
              <w:rPr>
                <w:rFonts w:ascii="Calibri" w:eastAsia="Times New Roman" w:hAnsi="Calibri" w:cs="Calibri"/>
                <w:b/>
              </w:rPr>
              <w:t>Intervention Strategy.</w:t>
            </w:r>
            <w:r w:rsidRPr="00A644F2">
              <w:rPr>
                <w:rFonts w:ascii="Calibri" w:eastAsia="Times New Roman" w:hAnsi="Calibri" w:cs="Calibri"/>
                <w:bCs/>
              </w:rPr>
              <w:t xml:space="preserve">  Ensures that a comprehensive system exists to meet the individual needs of each student, including adequate learning time, effective instruction, additional academic support, appropriate student services, and differentiated approaches to meet the needs of all learners.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D31098">
        <w:tc>
          <w:tcPr>
            <w:tcW w:w="4795" w:type="dxa"/>
            <w:tcBorders>
              <w:bottom w:val="single" w:sz="4" w:space="0" w:color="auto"/>
            </w:tcBorders>
          </w:tcPr>
          <w:p w:rsidR="001E79A6" w:rsidRPr="00A644F2" w:rsidRDefault="001E79A6" w:rsidP="00E92F5A">
            <w:pPr>
              <w:rPr>
                <w:rFonts w:ascii="Calibri" w:hAnsi="Calibri" w:cs="Calibri"/>
              </w:rPr>
            </w:pPr>
            <w:r w:rsidRPr="00A644F2">
              <w:rPr>
                <w:rFonts w:ascii="Calibri" w:eastAsia="Times New Roman" w:hAnsi="Calibri" w:cs="Calibri"/>
                <w:bCs/>
              </w:rPr>
              <w:t xml:space="preserve">k. </w:t>
            </w:r>
            <w:r w:rsidRPr="003C342D">
              <w:rPr>
                <w:rFonts w:ascii="Calibri" w:eastAsia="Times New Roman" w:hAnsi="Calibri" w:cs="Calibri"/>
                <w:b/>
                <w:bCs/>
              </w:rPr>
              <w:t>Professional Development.</w:t>
            </w:r>
            <w:r w:rsidRPr="00A644F2">
              <w:rPr>
                <w:rFonts w:ascii="Calibri" w:eastAsia="Times New Roman" w:hAnsi="Calibri" w:cs="Calibri"/>
                <w:bCs/>
              </w:rPr>
              <w:t xml:space="preserve">  Understands the adult learning needs of staff and creates a culture of inquiry and collaboration, and supports a comprehensive professional development program for all staff that is ongoing, job-embedded, and aligned with school and district goals.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E17AB2">
        <w:tc>
          <w:tcPr>
            <w:tcW w:w="4795" w:type="dxa"/>
            <w:shd w:val="clear" w:color="auto" w:fill="FFFFFF" w:themeFill="background1"/>
          </w:tcPr>
          <w:p w:rsidR="001E79A6" w:rsidRPr="00A644F2" w:rsidRDefault="001E79A6" w:rsidP="00E92F5A">
            <w:pPr>
              <w:rPr>
                <w:rFonts w:ascii="Calibri" w:hAnsi="Calibri" w:cs="Calibri"/>
              </w:rPr>
            </w:pPr>
            <w:r w:rsidRPr="00A644F2">
              <w:rPr>
                <w:rFonts w:ascii="Calibri" w:eastAsia="Times New Roman" w:hAnsi="Calibri" w:cs="Calibri"/>
                <w:bCs/>
              </w:rPr>
              <w:t xml:space="preserve">l. </w:t>
            </w:r>
            <w:r w:rsidRPr="003C342D">
              <w:rPr>
                <w:rFonts w:ascii="Calibri" w:eastAsia="Times New Roman" w:hAnsi="Calibri" w:cs="Calibri"/>
                <w:b/>
                <w:bCs/>
              </w:rPr>
              <w:t>Program Evaluation.</w:t>
            </w:r>
            <w:r w:rsidRPr="00A644F2">
              <w:rPr>
                <w:rFonts w:ascii="Calibri" w:eastAsia="Times New Roman" w:hAnsi="Calibri" w:cs="Calibri"/>
                <w:bCs/>
              </w:rPr>
              <w:t xml:space="preserve">  Systematically monitors, evaluates and makes needed changes to curriculum, instruction, and programs to assess their effectiveness in meeting school and district goals.</w:t>
            </w:r>
          </w:p>
        </w:tc>
        <w:tc>
          <w:tcPr>
            <w:tcW w:w="2700" w:type="dxa"/>
            <w:shd w:val="clear" w:color="auto" w:fill="auto"/>
          </w:tcPr>
          <w:p w:rsidR="001E79A6" w:rsidRDefault="001E79A6" w:rsidP="00F83675"/>
        </w:tc>
        <w:tc>
          <w:tcPr>
            <w:tcW w:w="2790" w:type="dxa"/>
            <w:shd w:val="clear" w:color="auto" w:fill="auto"/>
          </w:tcPr>
          <w:p w:rsidR="001E79A6" w:rsidRDefault="001E79A6" w:rsidP="00F83675"/>
        </w:tc>
        <w:tc>
          <w:tcPr>
            <w:tcW w:w="2880" w:type="dxa"/>
            <w:shd w:val="clear" w:color="auto" w:fill="auto"/>
          </w:tcPr>
          <w:p w:rsidR="001E79A6" w:rsidRDefault="001E79A6" w:rsidP="00F83675"/>
        </w:tc>
      </w:tr>
      <w:tr w:rsidR="001E79A6" w:rsidTr="00E17AB2">
        <w:tc>
          <w:tcPr>
            <w:tcW w:w="4795" w:type="dxa"/>
            <w:shd w:val="clear" w:color="auto" w:fill="FFFFFF" w:themeFill="background1"/>
          </w:tcPr>
          <w:p w:rsidR="001E79A6" w:rsidRPr="00A644F2" w:rsidRDefault="001E79A6" w:rsidP="00E92F5A">
            <w:pPr>
              <w:rPr>
                <w:rFonts w:ascii="Calibri" w:hAnsi="Calibri" w:cs="Calibri"/>
              </w:rPr>
            </w:pPr>
            <w:r w:rsidRPr="00A644F2">
              <w:rPr>
                <w:rFonts w:ascii="Calibri" w:eastAsia="Times New Roman" w:hAnsi="Calibri" w:cs="Calibri"/>
                <w:bCs/>
              </w:rPr>
              <w:t xml:space="preserve">m. </w:t>
            </w:r>
            <w:r w:rsidRPr="003C342D">
              <w:rPr>
                <w:rFonts w:ascii="Calibri" w:eastAsia="Times New Roman" w:hAnsi="Calibri" w:cs="Calibri"/>
                <w:b/>
                <w:bCs/>
              </w:rPr>
              <w:t>Technology.</w:t>
            </w:r>
            <w:r w:rsidRPr="00A644F2">
              <w:rPr>
                <w:rFonts w:ascii="Calibri" w:eastAsia="Times New Roman" w:hAnsi="Calibri" w:cs="Calibri"/>
                <w:bCs/>
              </w:rPr>
              <w:t xml:space="preserve">  Expects and supports effective use of technology to support instruction.</w:t>
            </w:r>
          </w:p>
        </w:tc>
        <w:tc>
          <w:tcPr>
            <w:tcW w:w="2700" w:type="dxa"/>
            <w:shd w:val="clear" w:color="auto" w:fill="auto"/>
          </w:tcPr>
          <w:p w:rsidR="001E79A6" w:rsidRDefault="001E79A6" w:rsidP="00F83675"/>
        </w:tc>
        <w:tc>
          <w:tcPr>
            <w:tcW w:w="2790" w:type="dxa"/>
            <w:shd w:val="clear" w:color="auto" w:fill="auto"/>
          </w:tcPr>
          <w:p w:rsidR="001E79A6" w:rsidRDefault="001E79A6" w:rsidP="00F83675"/>
        </w:tc>
        <w:tc>
          <w:tcPr>
            <w:tcW w:w="2880" w:type="dxa"/>
            <w:shd w:val="clear" w:color="auto" w:fill="auto"/>
          </w:tcPr>
          <w:p w:rsidR="001E79A6" w:rsidRDefault="001E79A6" w:rsidP="00F83675"/>
        </w:tc>
      </w:tr>
      <w:tr w:rsidR="001E79A6" w:rsidTr="00D31098">
        <w:tc>
          <w:tcPr>
            <w:tcW w:w="4795" w:type="dxa"/>
          </w:tcPr>
          <w:p w:rsidR="001E79A6" w:rsidRPr="00A644F2" w:rsidRDefault="001E79A6" w:rsidP="00E92F5A">
            <w:pPr>
              <w:rPr>
                <w:rFonts w:ascii="Calibri" w:hAnsi="Calibri" w:cs="Calibri"/>
              </w:rPr>
            </w:pPr>
            <w:r w:rsidRPr="00A644F2">
              <w:rPr>
                <w:rFonts w:ascii="Calibri" w:eastAsia="Times New Roman" w:hAnsi="Calibri" w:cs="Calibri"/>
                <w:bCs/>
              </w:rPr>
              <w:lastRenderedPageBreak/>
              <w:t xml:space="preserve">n. </w:t>
            </w:r>
            <w:r w:rsidRPr="003C342D">
              <w:rPr>
                <w:rFonts w:ascii="Calibri" w:eastAsia="Times New Roman" w:hAnsi="Calibri" w:cs="Calibri"/>
                <w:b/>
                <w:bCs/>
              </w:rPr>
              <w:t>English Language Learners.</w:t>
            </w:r>
            <w:r w:rsidRPr="00A644F2">
              <w:rPr>
                <w:rFonts w:ascii="Calibri" w:eastAsia="Times New Roman" w:hAnsi="Calibri" w:cs="Calibri"/>
                <w:bCs/>
              </w:rPr>
              <w:t xml:space="preserve">  Understands and appreciates the challenges that English language learners (ELL) face in the mastery of academic language and assures that educators are equipped to shelter content and scaffold instruction in order to promote ELLs’ academic achievement.</w:t>
            </w:r>
          </w:p>
        </w:tc>
        <w:tc>
          <w:tcPr>
            <w:tcW w:w="2700" w:type="dxa"/>
          </w:tcPr>
          <w:p w:rsidR="001E79A6" w:rsidRDefault="001E79A6" w:rsidP="00F83675"/>
        </w:tc>
        <w:tc>
          <w:tcPr>
            <w:tcW w:w="2790" w:type="dxa"/>
          </w:tcPr>
          <w:p w:rsidR="001E79A6" w:rsidRDefault="001E79A6" w:rsidP="00F83675"/>
        </w:tc>
        <w:tc>
          <w:tcPr>
            <w:tcW w:w="2880" w:type="dxa"/>
          </w:tcPr>
          <w:p w:rsidR="001E79A6" w:rsidRDefault="001E79A6" w:rsidP="00D10801"/>
        </w:tc>
      </w:tr>
      <w:tr w:rsidR="00E17AB2" w:rsidTr="00E17AB2">
        <w:tc>
          <w:tcPr>
            <w:tcW w:w="4795" w:type="dxa"/>
            <w:tcBorders>
              <w:bottom w:val="single" w:sz="4" w:space="0" w:color="auto"/>
            </w:tcBorders>
          </w:tcPr>
          <w:p w:rsidR="00E17AB2" w:rsidRPr="000A71F0" w:rsidRDefault="000A71F0" w:rsidP="000A71F0">
            <w:pPr>
              <w:rPr>
                <w:rFonts w:ascii="Calibri" w:hAnsi="Calibri" w:cs="Calibri"/>
              </w:rPr>
            </w:pPr>
            <w:r>
              <w:rPr>
                <w:rFonts w:ascii="Calibri" w:hAnsi="Calibri" w:cs="Calibri"/>
                <w:b/>
              </w:rPr>
              <w:t xml:space="preserve">2) </w:t>
            </w:r>
            <w:r w:rsidR="00E17AB2" w:rsidRPr="000A71F0">
              <w:rPr>
                <w:rFonts w:ascii="Calibri" w:hAnsi="Calibri" w:cs="Calibri"/>
                <w:b/>
              </w:rPr>
              <w:t>Management and Operations:</w:t>
            </w:r>
            <w:r w:rsidR="00E17AB2" w:rsidRPr="000A71F0">
              <w:rPr>
                <w:rFonts w:ascii="Calibri" w:hAnsi="Calibri" w:cs="Calibri"/>
              </w:rPr>
              <w:t xml:space="preserve"> Promotes the learning and growth of all students and the success of all staff by ensuring a safe, efficient, and effective learning environment, using resources to implement appropriate curriculum, staffing and scheduling</w:t>
            </w:r>
          </w:p>
        </w:tc>
        <w:tc>
          <w:tcPr>
            <w:tcW w:w="8370" w:type="dxa"/>
            <w:gridSpan w:val="3"/>
            <w:tcBorders>
              <w:bottom w:val="single" w:sz="4" w:space="0" w:color="auto"/>
            </w:tcBorders>
            <w:shd w:val="clear" w:color="auto" w:fill="D9D9D9" w:themeFill="background1" w:themeFillShade="D9"/>
          </w:tcPr>
          <w:p w:rsidR="00E17AB2" w:rsidRDefault="00E17AB2" w:rsidP="00D10801"/>
        </w:tc>
      </w:tr>
      <w:tr w:rsidR="001E79A6" w:rsidTr="00D31098">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a. </w:t>
            </w:r>
            <w:r w:rsidRPr="003C342D">
              <w:rPr>
                <w:rFonts w:ascii="Calibri" w:eastAsia="Times New Roman" w:hAnsi="Calibri" w:cs="Calibri"/>
                <w:b/>
                <w:bCs/>
              </w:rPr>
              <w:t>Safe, Orderly and Caring Environments.</w:t>
            </w:r>
            <w:r w:rsidRPr="00A644F2">
              <w:rPr>
                <w:rFonts w:ascii="Calibri" w:eastAsia="Times New Roman" w:hAnsi="Calibri" w:cs="Calibri"/>
                <w:bCs/>
              </w:rPr>
              <w:t xml:space="preserve">  Has plans and procedures in place to address a full range of safety, health and student needs and establishes routines that give staff and students a sense of order, discipline and predictability within a caring environment.</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D10801"/>
        </w:tc>
      </w:tr>
      <w:tr w:rsidR="001E79A6" w:rsidTr="00D31098">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b. </w:t>
            </w:r>
            <w:r w:rsidRPr="003C342D">
              <w:rPr>
                <w:rFonts w:ascii="Calibri" w:eastAsia="Times New Roman" w:hAnsi="Calibri" w:cs="Calibri"/>
                <w:b/>
                <w:bCs/>
              </w:rPr>
              <w:t>Operational Systems.</w:t>
            </w:r>
            <w:r w:rsidRPr="00A644F2">
              <w:rPr>
                <w:rFonts w:ascii="Calibri" w:eastAsia="Times New Roman" w:hAnsi="Calibri" w:cs="Calibri"/>
                <w:bCs/>
              </w:rPr>
              <w:t xml:space="preserve">  Ensures efficient and effective operational systems (e.g., maintenance, transportation, food service) and supports their continuous improvement.</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D10801"/>
        </w:tc>
      </w:tr>
      <w:tr w:rsidR="001E79A6" w:rsidTr="00D4583C">
        <w:tc>
          <w:tcPr>
            <w:tcW w:w="4795" w:type="dxa"/>
            <w:shd w:val="clear" w:color="auto" w:fill="FFFFFF" w:themeFill="background1"/>
          </w:tcPr>
          <w:p w:rsidR="001E79A6" w:rsidRPr="00A644F2" w:rsidRDefault="001E79A6" w:rsidP="00E92F5A">
            <w:r w:rsidRPr="00A644F2">
              <w:rPr>
                <w:rFonts w:ascii="Calibri" w:eastAsia="Times New Roman" w:hAnsi="Calibri" w:cs="Calibri"/>
              </w:rPr>
              <w:t xml:space="preserve">c. </w:t>
            </w:r>
            <w:r w:rsidRPr="003C342D">
              <w:rPr>
                <w:rFonts w:ascii="Calibri" w:eastAsia="Times New Roman" w:hAnsi="Calibri" w:cs="Calibri"/>
                <w:b/>
              </w:rPr>
              <w:t>Human Resources Management and Development.</w:t>
            </w:r>
            <w:r w:rsidRPr="00A644F2">
              <w:rPr>
                <w:rFonts w:ascii="Calibri" w:eastAsia="Times New Roman" w:hAnsi="Calibri" w:cs="Calibri"/>
                <w:bCs/>
              </w:rPr>
              <w:t xml:space="preserve">  Implements a cohesive approach to human resource management that promotes high quality and effective staff </w:t>
            </w:r>
            <w:r w:rsidRPr="00A644F2">
              <w:rPr>
                <w:rFonts w:ascii="Calibri" w:eastAsia="Times New Roman" w:hAnsi="Calibri" w:cs="Calibri"/>
                <w:bCs/>
              </w:rPr>
              <w:lastRenderedPageBreak/>
              <w:t>and professional growth, consistent with state licensure, effective employment practices, and collective bargaining agreements.</w:t>
            </w:r>
          </w:p>
        </w:tc>
        <w:tc>
          <w:tcPr>
            <w:tcW w:w="2700" w:type="dxa"/>
            <w:shd w:val="clear" w:color="auto" w:fill="auto"/>
          </w:tcPr>
          <w:p w:rsidR="001E79A6" w:rsidRDefault="001E79A6" w:rsidP="00F83675"/>
        </w:tc>
        <w:tc>
          <w:tcPr>
            <w:tcW w:w="2790" w:type="dxa"/>
            <w:shd w:val="clear" w:color="auto" w:fill="auto"/>
          </w:tcPr>
          <w:p w:rsidR="001E79A6" w:rsidRDefault="001E79A6" w:rsidP="00F83675"/>
        </w:tc>
        <w:tc>
          <w:tcPr>
            <w:tcW w:w="2880" w:type="dxa"/>
            <w:shd w:val="clear" w:color="auto" w:fill="auto"/>
          </w:tcPr>
          <w:p w:rsidR="001E79A6" w:rsidRDefault="001E79A6" w:rsidP="00F83675"/>
        </w:tc>
      </w:tr>
      <w:tr w:rsidR="001E79A6" w:rsidTr="00D31098">
        <w:tc>
          <w:tcPr>
            <w:tcW w:w="4795" w:type="dxa"/>
          </w:tcPr>
          <w:p w:rsidR="001E79A6" w:rsidRPr="00A644F2" w:rsidRDefault="001E79A6" w:rsidP="00E92F5A">
            <w:r w:rsidRPr="00A644F2">
              <w:rPr>
                <w:rFonts w:ascii="Calibri" w:eastAsia="Times New Roman" w:hAnsi="Calibri" w:cs="Calibri"/>
                <w:bCs/>
              </w:rPr>
              <w:lastRenderedPageBreak/>
              <w:t xml:space="preserve">d. </w:t>
            </w:r>
            <w:r w:rsidRPr="003C342D">
              <w:rPr>
                <w:rFonts w:ascii="Calibri" w:eastAsia="Times New Roman" w:hAnsi="Calibri" w:cs="Calibri"/>
                <w:b/>
              </w:rPr>
              <w:t>Scheduling.</w:t>
            </w:r>
            <w:r w:rsidRPr="00A644F2">
              <w:rPr>
                <w:rFonts w:ascii="Calibri" w:eastAsia="Times New Roman" w:hAnsi="Calibri" w:cs="Calibri"/>
                <w:bCs/>
              </w:rPr>
              <w:t xml:space="preserve">  Ensures a comprehensive scheduling system that provides sufficient time for instruction, teacher planning and collaboration.</w:t>
            </w:r>
          </w:p>
        </w:tc>
        <w:tc>
          <w:tcPr>
            <w:tcW w:w="2700" w:type="dxa"/>
          </w:tcPr>
          <w:p w:rsidR="001E79A6" w:rsidRDefault="001E79A6" w:rsidP="00F83675"/>
        </w:tc>
        <w:tc>
          <w:tcPr>
            <w:tcW w:w="2790" w:type="dxa"/>
          </w:tcPr>
          <w:p w:rsidR="001E79A6" w:rsidRDefault="001E79A6" w:rsidP="00F83675"/>
        </w:tc>
        <w:tc>
          <w:tcPr>
            <w:tcW w:w="2880" w:type="dxa"/>
          </w:tcPr>
          <w:p w:rsidR="001E79A6" w:rsidRDefault="001E79A6" w:rsidP="00D10801"/>
        </w:tc>
      </w:tr>
      <w:tr w:rsidR="001E79A6" w:rsidTr="00D31098">
        <w:tc>
          <w:tcPr>
            <w:tcW w:w="4795" w:type="dxa"/>
          </w:tcPr>
          <w:p w:rsidR="001E79A6" w:rsidRPr="00A644F2" w:rsidRDefault="001E79A6" w:rsidP="00E92F5A">
            <w:r w:rsidRPr="00A644F2">
              <w:rPr>
                <w:rFonts w:ascii="Calibri" w:eastAsia="Times New Roman" w:hAnsi="Calibri" w:cs="Calibri"/>
                <w:bCs/>
              </w:rPr>
              <w:t xml:space="preserve">e. </w:t>
            </w:r>
            <w:r w:rsidRPr="003C342D">
              <w:rPr>
                <w:rFonts w:ascii="Calibri" w:eastAsia="Times New Roman" w:hAnsi="Calibri" w:cs="Calibri"/>
                <w:b/>
                <w:bCs/>
              </w:rPr>
              <w:t>Management Information Systems.</w:t>
            </w:r>
            <w:r w:rsidRPr="00A644F2">
              <w:rPr>
                <w:rFonts w:ascii="Calibri" w:eastAsia="Times New Roman" w:hAnsi="Calibri" w:cs="Calibri"/>
                <w:bCs/>
              </w:rPr>
              <w:t xml:space="preserve">  Expects, models, and supports use of technology for management and communication purposes; develops a technology plan yearly that appropriately reflects new technological developments and needs and provides updates as needed.</w:t>
            </w:r>
          </w:p>
        </w:tc>
        <w:tc>
          <w:tcPr>
            <w:tcW w:w="2700" w:type="dxa"/>
          </w:tcPr>
          <w:p w:rsidR="001E79A6" w:rsidRDefault="001E79A6" w:rsidP="00F83675"/>
        </w:tc>
        <w:tc>
          <w:tcPr>
            <w:tcW w:w="2790" w:type="dxa"/>
          </w:tcPr>
          <w:p w:rsidR="001E79A6" w:rsidRDefault="001E79A6" w:rsidP="00F83675"/>
        </w:tc>
        <w:tc>
          <w:tcPr>
            <w:tcW w:w="2880" w:type="dxa"/>
          </w:tcPr>
          <w:p w:rsidR="001E79A6" w:rsidRDefault="001E79A6" w:rsidP="00D10801"/>
        </w:tc>
      </w:tr>
      <w:tr w:rsidR="001E79A6" w:rsidTr="00D31098">
        <w:tc>
          <w:tcPr>
            <w:tcW w:w="4795" w:type="dxa"/>
          </w:tcPr>
          <w:p w:rsidR="001E79A6" w:rsidRPr="00A644F2" w:rsidRDefault="001E79A6" w:rsidP="00E92F5A">
            <w:r w:rsidRPr="00A644F2">
              <w:rPr>
                <w:rFonts w:ascii="Calibri" w:eastAsia="Times New Roman" w:hAnsi="Calibri" w:cs="Calibri"/>
                <w:bCs/>
              </w:rPr>
              <w:t xml:space="preserve">f. </w:t>
            </w:r>
            <w:r w:rsidRPr="003C342D">
              <w:rPr>
                <w:rFonts w:ascii="Calibri" w:eastAsia="Times New Roman" w:hAnsi="Calibri" w:cs="Calibri"/>
                <w:b/>
                <w:bCs/>
              </w:rPr>
              <w:t>Laws, Ethics and Policies.</w:t>
            </w:r>
            <w:r w:rsidRPr="00A644F2">
              <w:rPr>
                <w:rFonts w:ascii="Calibri" w:eastAsia="Times New Roman" w:hAnsi="Calibri" w:cs="Calibri"/>
                <w:bCs/>
              </w:rPr>
              <w:t xml:space="preserve">  Understands and complies with state and federal laws and mandates, school committee policies, collective bargaining agreements, and ethical guidelines.</w:t>
            </w:r>
          </w:p>
        </w:tc>
        <w:tc>
          <w:tcPr>
            <w:tcW w:w="2700" w:type="dxa"/>
          </w:tcPr>
          <w:p w:rsidR="001E79A6" w:rsidRDefault="001E79A6" w:rsidP="00F83675"/>
        </w:tc>
        <w:tc>
          <w:tcPr>
            <w:tcW w:w="2790" w:type="dxa"/>
          </w:tcPr>
          <w:p w:rsidR="001E79A6" w:rsidRDefault="001E79A6" w:rsidP="00F83675"/>
        </w:tc>
        <w:tc>
          <w:tcPr>
            <w:tcW w:w="2880" w:type="dxa"/>
          </w:tcPr>
          <w:p w:rsidR="001E79A6" w:rsidRDefault="001E79A6" w:rsidP="00D10801"/>
        </w:tc>
      </w:tr>
      <w:tr w:rsidR="001E79A6" w:rsidTr="00CF25BD">
        <w:trPr>
          <w:trHeight w:val="30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g. </w:t>
            </w:r>
            <w:r w:rsidRPr="003C342D">
              <w:rPr>
                <w:rFonts w:ascii="Calibri" w:eastAsia="Times New Roman" w:hAnsi="Calibri" w:cs="Calibri"/>
                <w:b/>
                <w:bCs/>
              </w:rPr>
              <w:t>Fiscal Systems.</w:t>
            </w:r>
            <w:r w:rsidRPr="00A644F2">
              <w:rPr>
                <w:rFonts w:ascii="Calibri" w:eastAsia="Times New Roman" w:hAnsi="Calibri" w:cs="Calibri"/>
                <w:bCs/>
              </w:rPr>
              <w:t xml:space="preserve">  Allocates, manages and audits fiscal expenditures consistent with district and school goals and available resources, and develops a budget for the School Committee that supports the district’s vision, mission and goals.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5E6316"/>
        </w:tc>
      </w:tr>
      <w:tr w:rsidR="001E79A6" w:rsidTr="00CF61D7">
        <w:trPr>
          <w:trHeight w:val="30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h. </w:t>
            </w:r>
            <w:r w:rsidRPr="00036C56">
              <w:rPr>
                <w:rFonts w:ascii="Calibri" w:eastAsia="Times New Roman" w:hAnsi="Calibri" w:cs="Calibri"/>
                <w:b/>
                <w:bCs/>
              </w:rPr>
              <w:t>Improvement Planning.</w:t>
            </w:r>
            <w:r w:rsidRPr="00A644F2">
              <w:rPr>
                <w:rFonts w:ascii="Calibri" w:eastAsia="Times New Roman" w:hAnsi="Calibri" w:cs="Calibri"/>
                <w:bCs/>
              </w:rPr>
              <w:t xml:space="preserve">  Develops, implements, and assesses the effectiveness of </w:t>
            </w:r>
            <w:r w:rsidRPr="00A644F2">
              <w:rPr>
                <w:rFonts w:ascii="Calibri" w:eastAsia="Times New Roman" w:hAnsi="Calibri" w:cs="Calibri"/>
                <w:bCs/>
              </w:rPr>
              <w:lastRenderedPageBreak/>
              <w:t>district and school improvement plans.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lastRenderedPageBreak/>
              <w:t xml:space="preserve">i. </w:t>
            </w:r>
            <w:r w:rsidRPr="00036C56">
              <w:rPr>
                <w:rFonts w:ascii="Calibri" w:eastAsia="Times New Roman" w:hAnsi="Calibri" w:cs="Calibri"/>
                <w:b/>
              </w:rPr>
              <w:t>School Committee Relations.</w:t>
            </w:r>
            <w:r w:rsidRPr="00A644F2">
              <w:rPr>
                <w:rFonts w:ascii="Calibri" w:eastAsia="Times New Roman" w:hAnsi="Calibri" w:cs="Calibri"/>
                <w:bCs/>
              </w:rPr>
              <w:t xml:space="preserve">  Provides clear, accurate, and timely information and guidance to the committee to support data-informed policy-making.</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j. </w:t>
            </w:r>
            <w:r w:rsidRPr="00036C56">
              <w:rPr>
                <w:rFonts w:ascii="Calibri" w:eastAsia="Times New Roman" w:hAnsi="Calibri" w:cs="Calibri"/>
                <w:b/>
                <w:bCs/>
              </w:rPr>
              <w:t>Contract Negotiations.</w:t>
            </w:r>
            <w:r w:rsidRPr="00A644F2">
              <w:rPr>
                <w:rFonts w:ascii="Calibri" w:eastAsia="Times New Roman" w:hAnsi="Calibri" w:cs="Calibri"/>
                <w:bCs/>
              </w:rPr>
              <w:t xml:space="preserve">  Advises the School Committee on union contracts that reflect best practices and support the district’s vision, mission, and goals.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D4583C" w:rsidTr="00D4583C">
        <w:trPr>
          <w:trHeight w:val="575"/>
        </w:trPr>
        <w:tc>
          <w:tcPr>
            <w:tcW w:w="4795" w:type="dxa"/>
            <w:tcBorders>
              <w:bottom w:val="single" w:sz="4" w:space="0" w:color="auto"/>
            </w:tcBorders>
          </w:tcPr>
          <w:p w:rsidR="00D4583C" w:rsidRPr="00D4583C" w:rsidRDefault="00CF61D7" w:rsidP="00CF61D7">
            <w:pPr>
              <w:pStyle w:val="ListParagraph"/>
              <w:ind w:left="0"/>
            </w:pPr>
            <w:r>
              <w:rPr>
                <w:b/>
              </w:rPr>
              <w:t xml:space="preserve">3) </w:t>
            </w:r>
            <w:r w:rsidR="00D4583C" w:rsidRPr="00CF61D7">
              <w:rPr>
                <w:b/>
              </w:rPr>
              <w:t>Family and Community Engagement:</w:t>
            </w:r>
            <w:r w:rsidR="00D4583C" w:rsidRPr="00D4583C">
              <w:t xml:space="preserve"> Promotes the learning and growth of all students and the success of all staff through effective partnerships with families, community organizations, and other stakeholders that support the mission of the school and district</w:t>
            </w:r>
          </w:p>
        </w:tc>
        <w:tc>
          <w:tcPr>
            <w:tcW w:w="8370" w:type="dxa"/>
            <w:gridSpan w:val="3"/>
            <w:tcBorders>
              <w:bottom w:val="single" w:sz="4" w:space="0" w:color="auto"/>
            </w:tcBorders>
            <w:shd w:val="clear" w:color="auto" w:fill="D9D9D9" w:themeFill="background1" w:themeFillShade="D9"/>
          </w:tcPr>
          <w:p w:rsidR="00D4583C" w:rsidRDefault="00D4583C" w:rsidP="00B82033"/>
        </w:tc>
      </w:tr>
      <w:tr w:rsidR="001E79A6" w:rsidTr="00CF25BD">
        <w:trPr>
          <w:trHeight w:val="30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rPr>
              <w:t xml:space="preserve">a. </w:t>
            </w:r>
            <w:r w:rsidRPr="00036C56">
              <w:rPr>
                <w:rFonts w:ascii="Calibri" w:eastAsia="Times New Roman" w:hAnsi="Calibri" w:cs="Calibri"/>
                <w:b/>
                <w:bCs/>
              </w:rPr>
              <w:t>Family Engagement.</w:t>
            </w:r>
            <w:r w:rsidRPr="00A644F2">
              <w:rPr>
                <w:rFonts w:ascii="Calibri" w:eastAsia="Times New Roman" w:hAnsi="Calibri" w:cs="Calibri"/>
                <w:bCs/>
              </w:rPr>
              <w:t xml:space="preserve">  Ensures that family concerns are addressed in an equitable, effective, and efficient manner and creates opportunities for families to inform policies, practices and programs that support students and their families and enhance student learning.</w:t>
            </w:r>
          </w:p>
        </w:tc>
        <w:tc>
          <w:tcPr>
            <w:tcW w:w="2700" w:type="dxa"/>
            <w:tcBorders>
              <w:bottom w:val="single" w:sz="4" w:space="0" w:color="auto"/>
            </w:tcBorders>
          </w:tcPr>
          <w:p w:rsidR="00CF25BD" w:rsidRDefault="00CF25BD" w:rsidP="00F83675"/>
          <w:p w:rsidR="00CF25BD" w:rsidRDefault="00CF25BD" w:rsidP="00CF25BD"/>
          <w:p w:rsidR="00CF25BD" w:rsidRDefault="00CF25BD" w:rsidP="00CF25BD"/>
          <w:p w:rsidR="001E79A6" w:rsidRPr="00CF25BD" w:rsidRDefault="001E79A6" w:rsidP="00CF25BD">
            <w:pPr>
              <w:jc w:val="right"/>
            </w:pPr>
          </w:p>
        </w:tc>
        <w:tc>
          <w:tcPr>
            <w:tcW w:w="2790" w:type="dxa"/>
            <w:tcBorders>
              <w:bottom w:val="single" w:sz="4" w:space="0" w:color="auto"/>
            </w:tcBorders>
          </w:tcPr>
          <w:p w:rsidR="001E79A6" w:rsidRDefault="001E79A6" w:rsidP="00F83675"/>
        </w:tc>
        <w:tc>
          <w:tcPr>
            <w:tcW w:w="2880" w:type="dxa"/>
            <w:tcBorders>
              <w:bottom w:val="single" w:sz="4" w:space="0" w:color="auto"/>
            </w:tcBorders>
          </w:tcPr>
          <w:p w:rsidR="00CF25BD" w:rsidRDefault="00CF25BD" w:rsidP="00B82033"/>
          <w:p w:rsidR="00CF25BD" w:rsidRDefault="00CF25BD" w:rsidP="00CF25BD"/>
          <w:p w:rsidR="00CF25BD" w:rsidRDefault="00CF25BD" w:rsidP="00CF25BD"/>
          <w:p w:rsidR="001E79A6" w:rsidRPr="00CF25BD" w:rsidRDefault="001E79A6" w:rsidP="00CF25BD">
            <w:pPr>
              <w:ind w:firstLine="720"/>
            </w:pPr>
          </w:p>
        </w:tc>
      </w:tr>
      <w:tr w:rsidR="001E79A6" w:rsidTr="0057278D">
        <w:trPr>
          <w:trHeight w:val="30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b. </w:t>
            </w:r>
            <w:r w:rsidRPr="00036C56">
              <w:rPr>
                <w:rFonts w:ascii="Calibri" w:eastAsia="Times New Roman" w:hAnsi="Calibri" w:cs="Calibri"/>
                <w:b/>
                <w:bCs/>
              </w:rPr>
              <w:t>Effective Communication.</w:t>
            </w:r>
            <w:r w:rsidRPr="00A644F2">
              <w:rPr>
                <w:rFonts w:ascii="Calibri" w:eastAsia="Times New Roman" w:hAnsi="Calibri" w:cs="Calibri"/>
                <w:bCs/>
              </w:rPr>
              <w:t xml:space="preserve">  Effectively executes a full range of communication strategies that generate public understanding </w:t>
            </w:r>
            <w:r w:rsidRPr="00A644F2">
              <w:rPr>
                <w:rFonts w:ascii="Calibri" w:eastAsia="Times New Roman" w:hAnsi="Calibri" w:cs="Calibri"/>
                <w:bCs/>
              </w:rPr>
              <w:lastRenderedPageBreak/>
              <w:t>and support for the district/school.</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D45681" w:rsidRDefault="001E79A6" w:rsidP="00E92F5A">
            <w:pPr>
              <w:rPr>
                <w:rFonts w:cstheme="minorHAnsi"/>
              </w:rPr>
            </w:pPr>
            <w:r w:rsidRPr="00A644F2">
              <w:rPr>
                <w:rFonts w:cstheme="minorHAnsi"/>
              </w:rPr>
              <w:lastRenderedPageBreak/>
              <w:t xml:space="preserve">c. </w:t>
            </w:r>
            <w:r w:rsidRPr="00036C56">
              <w:rPr>
                <w:rFonts w:cstheme="minorHAnsi"/>
                <w:b/>
              </w:rPr>
              <w:t>Advocacy.</w:t>
            </w:r>
            <w:r w:rsidRPr="00A644F2">
              <w:t xml:space="preserve">  </w:t>
            </w:r>
            <w:r w:rsidRPr="00A644F2">
              <w:rPr>
                <w:rFonts w:cstheme="minorHAnsi"/>
              </w:rPr>
              <w:t>Advocates for, and collaborates with, families, community members, and other stakeholders.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rPr>
              <w:t xml:space="preserve">d. </w:t>
            </w:r>
            <w:r w:rsidRPr="00036C56">
              <w:rPr>
                <w:rFonts w:ascii="Calibri" w:eastAsia="Times New Roman" w:hAnsi="Calibri" w:cs="Calibri"/>
                <w:b/>
              </w:rPr>
              <w:t>Community Connections.</w:t>
            </w:r>
            <w:r w:rsidRPr="00A644F2">
              <w:rPr>
                <w:rFonts w:ascii="Calibri" w:eastAsia="Times New Roman" w:hAnsi="Calibri" w:cs="Calibri"/>
              </w:rPr>
              <w:t xml:space="preserve">  Builds strong working relationships and connections with appropriate community providers to support students’ academic progress, social and emotional well-being, and civic participation.</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rPr>
              <w:t xml:space="preserve">e. </w:t>
            </w:r>
            <w:r w:rsidRPr="00036C56">
              <w:rPr>
                <w:rFonts w:ascii="Calibri" w:eastAsia="Times New Roman" w:hAnsi="Calibri" w:cs="Calibri"/>
                <w:b/>
              </w:rPr>
              <w:t>Cultural Awareness.</w:t>
            </w:r>
            <w:r w:rsidRPr="00A644F2">
              <w:rPr>
                <w:rFonts w:ascii="Calibri" w:eastAsia="Times New Roman" w:hAnsi="Calibri" w:cs="Calibri"/>
                <w:bCs/>
              </w:rPr>
              <w:t xml:space="preserve">  Recognizes, values, and enlists the diverse strengths of the whole district/school community to improve student outcomes.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7D7ACF" w:rsidTr="007D7ACF">
        <w:trPr>
          <w:trHeight w:val="575"/>
        </w:trPr>
        <w:tc>
          <w:tcPr>
            <w:tcW w:w="4795" w:type="dxa"/>
            <w:tcBorders>
              <w:bottom w:val="single" w:sz="4" w:space="0" w:color="auto"/>
            </w:tcBorders>
          </w:tcPr>
          <w:p w:rsidR="007D7ACF" w:rsidRPr="007D7ACF" w:rsidRDefault="0057278D" w:rsidP="0057278D">
            <w:r>
              <w:rPr>
                <w:b/>
              </w:rPr>
              <w:t xml:space="preserve">4) </w:t>
            </w:r>
            <w:r w:rsidR="007D7ACF" w:rsidRPr="0057278D">
              <w:rPr>
                <w:b/>
              </w:rPr>
              <w:t>Professional Culture:</w:t>
            </w:r>
            <w:r w:rsidR="007D7ACF" w:rsidRPr="007D7ACF">
              <w:t xml:space="preserve"> Promotes success for all students by nurturing and sustaining a school culture of reflective practice, high expectations, and continuous learning for staff</w:t>
            </w:r>
          </w:p>
        </w:tc>
        <w:tc>
          <w:tcPr>
            <w:tcW w:w="8370" w:type="dxa"/>
            <w:gridSpan w:val="3"/>
            <w:tcBorders>
              <w:bottom w:val="single" w:sz="4" w:space="0" w:color="auto"/>
            </w:tcBorders>
            <w:shd w:val="clear" w:color="auto" w:fill="D9D9D9" w:themeFill="background1" w:themeFillShade="D9"/>
          </w:tcPr>
          <w:p w:rsidR="007D7ACF" w:rsidRDefault="007D7ACF"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hAnsi="Calibri" w:cs="Calibri"/>
              </w:rPr>
              <w:t xml:space="preserve">a. </w:t>
            </w:r>
            <w:r w:rsidRPr="00036C56">
              <w:rPr>
                <w:rFonts w:ascii="Calibri" w:hAnsi="Calibri" w:cs="Calibri"/>
                <w:b/>
              </w:rPr>
              <w:t>Mission and Core Values:</w:t>
            </w:r>
            <w:r w:rsidRPr="00A644F2">
              <w:t xml:space="preserve"> </w:t>
            </w:r>
            <w:r w:rsidRPr="00A644F2">
              <w:rPr>
                <w:rFonts w:ascii="Calibri" w:hAnsi="Calibri" w:cs="Calibri"/>
              </w:rPr>
              <w:t>Develops, promotes, and secures staff commitment to core values that guide the development of a succinct, results-oriented mission statement and ongoing decision-making.</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57278D">
        <w:trPr>
          <w:trHeight w:val="30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b. </w:t>
            </w:r>
            <w:r w:rsidRPr="00036C56">
              <w:rPr>
                <w:rFonts w:ascii="Calibri" w:eastAsia="Times New Roman" w:hAnsi="Calibri" w:cs="Calibri"/>
                <w:b/>
                <w:bCs/>
              </w:rPr>
              <w:t>Shared Vision.</w:t>
            </w:r>
            <w:r w:rsidRPr="00A644F2">
              <w:rPr>
                <w:rFonts w:ascii="Calibri" w:eastAsia="Times New Roman" w:hAnsi="Calibri" w:cs="Calibri"/>
                <w:bCs/>
              </w:rPr>
              <w:t xml:space="preserve">  Successfully and continuously engages all stakeholders in the creation of a shared educational vision in which every student is prepared to succeed in </w:t>
            </w:r>
            <w:r w:rsidRPr="00A644F2">
              <w:rPr>
                <w:rFonts w:ascii="Calibri" w:eastAsia="Times New Roman" w:hAnsi="Calibri" w:cs="Calibri"/>
                <w:bCs/>
              </w:rPr>
              <w:lastRenderedPageBreak/>
              <w:t>postsecondary education and careers.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lastRenderedPageBreak/>
              <w:t xml:space="preserve">c. </w:t>
            </w:r>
            <w:r w:rsidRPr="00036C56">
              <w:rPr>
                <w:rFonts w:ascii="Calibri" w:eastAsia="Times New Roman" w:hAnsi="Calibri" w:cs="Calibri"/>
                <w:b/>
                <w:bCs/>
              </w:rPr>
              <w:t>Personal Vision.</w:t>
            </w:r>
            <w:r w:rsidRPr="00A644F2">
              <w:rPr>
                <w:rFonts w:ascii="Calibri" w:eastAsia="Times New Roman" w:hAnsi="Calibri" w:cs="Calibri"/>
                <w:bCs/>
              </w:rPr>
              <w:t xml:space="preserve">  Articulates a vision for schooling characterized by respect for children and families and democratic values of excellence, equity, and pluralism.</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d. </w:t>
            </w:r>
            <w:r w:rsidRPr="00036C56">
              <w:rPr>
                <w:rFonts w:ascii="Calibri" w:eastAsia="Times New Roman" w:hAnsi="Calibri" w:cs="Calibri"/>
                <w:b/>
                <w:bCs/>
              </w:rPr>
              <w:t>Transformational and Collaborative Leadership.</w:t>
            </w:r>
            <w:r w:rsidRPr="00A644F2">
              <w:rPr>
                <w:rFonts w:ascii="Calibri" w:eastAsia="Times New Roman" w:hAnsi="Calibri" w:cs="Calibri"/>
                <w:bCs/>
              </w:rPr>
              <w:t xml:space="preserve">  Cultivates and promotes reflective, adaptive, and collaborative behaviors and skills of self and others in leading change or confronting new challenges.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e. </w:t>
            </w:r>
            <w:r w:rsidRPr="00036C56">
              <w:rPr>
                <w:rFonts w:ascii="Calibri" w:eastAsia="Times New Roman" w:hAnsi="Calibri" w:cs="Calibri"/>
                <w:b/>
                <w:bCs/>
              </w:rPr>
              <w:t>Cultural Proficiency.</w:t>
            </w:r>
            <w:r w:rsidRPr="00A644F2">
              <w:rPr>
                <w:rFonts w:ascii="Calibri" w:eastAsia="Times New Roman" w:hAnsi="Calibri" w:cs="Calibri"/>
                <w:bCs/>
              </w:rPr>
              <w:t xml:space="preserve">  Ensures that policies and practices enable staff members and students to contribute to and interact effectively in a culturally diverse environment in which students’ background, identities, strengths and challenges are respected.</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f. </w:t>
            </w:r>
            <w:r w:rsidRPr="00036C56">
              <w:rPr>
                <w:rFonts w:ascii="Calibri" w:eastAsia="Times New Roman" w:hAnsi="Calibri" w:cs="Calibri"/>
                <w:b/>
                <w:bCs/>
              </w:rPr>
              <w:t>Ethical Behavior.</w:t>
            </w:r>
            <w:r w:rsidRPr="00A644F2">
              <w:rPr>
                <w:rFonts w:ascii="Calibri" w:eastAsia="Times New Roman" w:hAnsi="Calibri" w:cs="Calibri"/>
                <w:bCs/>
              </w:rPr>
              <w:t xml:space="preserve">  Consistently maintains and promotes ethical and professional conduct and appropriately addresses any unethical and/or unprofessional behavior.</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57278D">
        <w:trPr>
          <w:trHeight w:val="30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g. </w:t>
            </w:r>
            <w:r w:rsidRPr="00036C56">
              <w:rPr>
                <w:rFonts w:ascii="Calibri" w:eastAsia="Times New Roman" w:hAnsi="Calibri" w:cs="Calibri"/>
                <w:b/>
                <w:bCs/>
              </w:rPr>
              <w:t>Continuous Learning.</w:t>
            </w:r>
            <w:r w:rsidRPr="00A644F2">
              <w:rPr>
                <w:rFonts w:ascii="Calibri" w:eastAsia="Times New Roman" w:hAnsi="Calibri" w:cs="Calibri"/>
                <w:bCs/>
              </w:rPr>
              <w:t xml:space="preserve">  Develops and nurtures a culture in which all staff members are reflective about their practice and use student data, current research, best practices and theory to continuously adapt instruction and achieve improved results.  Models these </w:t>
            </w:r>
            <w:r w:rsidRPr="00A644F2">
              <w:rPr>
                <w:rFonts w:ascii="Calibri" w:eastAsia="Times New Roman" w:hAnsi="Calibri" w:cs="Calibri"/>
                <w:bCs/>
              </w:rPr>
              <w:lastRenderedPageBreak/>
              <w:t>behaviors in the administrator’s own practice.</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lastRenderedPageBreak/>
              <w:t xml:space="preserve">h. </w:t>
            </w:r>
            <w:r w:rsidRPr="00036C56">
              <w:rPr>
                <w:rFonts w:ascii="Calibri" w:eastAsia="Times New Roman" w:hAnsi="Calibri" w:cs="Calibri"/>
                <w:b/>
                <w:bCs/>
              </w:rPr>
              <w:t>Communications.</w:t>
            </w:r>
            <w:r w:rsidRPr="00A644F2">
              <w:rPr>
                <w:rFonts w:ascii="Calibri" w:eastAsia="Times New Roman" w:hAnsi="Calibri" w:cs="Calibri"/>
                <w:bCs/>
              </w:rPr>
              <w:t xml:space="preserve">  Demonstrates strong interpersonal, written, and verbal communication skills, facilitates groups effectively, and fosters clear lines of communication between and among constituencies.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i. </w:t>
            </w:r>
            <w:r w:rsidRPr="00036C56">
              <w:rPr>
                <w:rFonts w:ascii="Calibri" w:eastAsia="Times New Roman" w:hAnsi="Calibri" w:cs="Calibri"/>
                <w:b/>
                <w:bCs/>
              </w:rPr>
              <w:t>Managing Conflict.</w:t>
            </w:r>
            <w:r w:rsidRPr="00A644F2">
              <w:rPr>
                <w:rFonts w:ascii="Calibri" w:eastAsia="Times New Roman" w:hAnsi="Calibri" w:cs="Calibri"/>
                <w:bCs/>
              </w:rPr>
              <w:t xml:space="preserve">  Employs strategies for responding to disagreement and dissent, constructively resolving conflict, and building consensus throughout a district/school community.</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bCs/>
              </w:rPr>
              <w:t xml:space="preserve">j. </w:t>
            </w:r>
            <w:r w:rsidRPr="00036C56">
              <w:rPr>
                <w:rFonts w:ascii="Calibri" w:eastAsia="Times New Roman" w:hAnsi="Calibri" w:cs="Calibri"/>
                <w:b/>
                <w:bCs/>
              </w:rPr>
              <w:t>Team Building.</w:t>
            </w:r>
            <w:r w:rsidRPr="00A644F2">
              <w:rPr>
                <w:rFonts w:ascii="Calibri" w:eastAsia="Times New Roman" w:hAnsi="Calibri" w:cs="Calibri"/>
                <w:bCs/>
              </w:rPr>
              <w:t xml:space="preserve">  Builds high quality and effective teams and fosters collaborative decision-making and responsibility.</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r w:rsidR="001E79A6" w:rsidTr="001B5830">
        <w:trPr>
          <w:trHeight w:val="575"/>
        </w:trPr>
        <w:tc>
          <w:tcPr>
            <w:tcW w:w="4795" w:type="dxa"/>
            <w:tcBorders>
              <w:bottom w:val="single" w:sz="4" w:space="0" w:color="auto"/>
            </w:tcBorders>
          </w:tcPr>
          <w:p w:rsidR="001E79A6" w:rsidRPr="00A644F2" w:rsidRDefault="001E79A6" w:rsidP="00E92F5A">
            <w:r w:rsidRPr="00A644F2">
              <w:rPr>
                <w:rFonts w:ascii="Calibri" w:eastAsia="Times New Roman" w:hAnsi="Calibri" w:cs="Calibri"/>
              </w:rPr>
              <w:t xml:space="preserve">k. </w:t>
            </w:r>
            <w:r w:rsidRPr="00036C56">
              <w:rPr>
                <w:rFonts w:ascii="Calibri" w:eastAsia="Times New Roman" w:hAnsi="Calibri" w:cs="Calibri"/>
                <w:b/>
              </w:rPr>
              <w:t>Time Management.</w:t>
            </w:r>
            <w:r w:rsidRPr="00A644F2">
              <w:rPr>
                <w:rFonts w:ascii="Calibri" w:eastAsia="Times New Roman" w:hAnsi="Calibri" w:cs="Calibri"/>
                <w:bCs/>
              </w:rPr>
              <w:t xml:space="preserve">  Effectively manages time, prioritizes tasks, meets important deadlines to maximize the attainment of personal and professional goals. Plans and leads well-run and engaging meetings that have clear purpose, focus on matters of consequence, and engage participants in a thoughtful, productive series of conversations and deliberations about important school matters.</w:t>
            </w:r>
          </w:p>
        </w:tc>
        <w:tc>
          <w:tcPr>
            <w:tcW w:w="2700" w:type="dxa"/>
            <w:tcBorders>
              <w:bottom w:val="single" w:sz="4" w:space="0" w:color="auto"/>
            </w:tcBorders>
          </w:tcPr>
          <w:p w:rsidR="001E79A6" w:rsidRDefault="001E79A6" w:rsidP="00F83675"/>
        </w:tc>
        <w:tc>
          <w:tcPr>
            <w:tcW w:w="2790" w:type="dxa"/>
            <w:tcBorders>
              <w:bottom w:val="single" w:sz="4" w:space="0" w:color="auto"/>
            </w:tcBorders>
          </w:tcPr>
          <w:p w:rsidR="001E79A6" w:rsidRDefault="001E79A6" w:rsidP="00F83675"/>
        </w:tc>
        <w:tc>
          <w:tcPr>
            <w:tcW w:w="2880" w:type="dxa"/>
            <w:tcBorders>
              <w:bottom w:val="single" w:sz="4" w:space="0" w:color="auto"/>
            </w:tcBorders>
          </w:tcPr>
          <w:p w:rsidR="001E79A6" w:rsidRDefault="001E79A6" w:rsidP="00B82033"/>
        </w:tc>
      </w:tr>
    </w:tbl>
    <w:p w:rsidR="0040509D" w:rsidRPr="00A311F2" w:rsidRDefault="0040509D" w:rsidP="00742AEB">
      <w:pPr>
        <w:ind w:left="360" w:hanging="360"/>
      </w:pPr>
    </w:p>
    <w:sectPr w:rsidR="0040509D" w:rsidRPr="00A311F2" w:rsidSect="009A6D72">
      <w:headerReference w:type="default" r:id="rId8"/>
      <w:footerReference w:type="default" r:id="rId9"/>
      <w:footerReference w:type="first" r:id="rId10"/>
      <w:pgSz w:w="15840" w:h="12240" w:orient="landscape"/>
      <w:pgMar w:top="630" w:right="1440" w:bottom="1152" w:left="144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47" w:rsidRDefault="00A17D47" w:rsidP="0040509D">
      <w:pPr>
        <w:spacing w:after="0" w:line="240" w:lineRule="auto"/>
      </w:pPr>
      <w:r>
        <w:separator/>
      </w:r>
    </w:p>
  </w:endnote>
  <w:endnote w:type="continuationSeparator" w:id="0">
    <w:p w:rsidR="00A17D47" w:rsidRDefault="00A17D47" w:rsidP="00405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785"/>
      <w:docPartObj>
        <w:docPartGallery w:val="Page Numbers (Bottom of Page)"/>
        <w:docPartUnique/>
      </w:docPartObj>
    </w:sdtPr>
    <w:sdtContent>
      <w:p w:rsidR="00B82033" w:rsidRDefault="00915E77">
        <w:pPr>
          <w:pStyle w:val="Footer"/>
          <w:jc w:val="right"/>
        </w:pPr>
        <w:r>
          <w:rPr>
            <w:noProof/>
          </w:rPr>
          <w:pict>
            <v:shapetype id="_x0000_t32" coordsize="21600,21600" o:spt="32" o:oned="t" path="m,l21600,21600e" filled="f">
              <v:path arrowok="t" fillok="f" o:connecttype="none"/>
              <o:lock v:ext="edit" shapetype="t"/>
            </v:shapetype>
            <v:shape id="_x0000_s2049" type="#_x0000_t32" alt="horizontal line" style="position:absolute;left:0;text-align:left;margin-left:-3.75pt;margin-top:9.35pt;width:657pt;height:0;z-index:251657216;mso-position-horizontal-relative:text;mso-position-vertical-relative:text" o:connectortype="straight" strokecolor="#0070c0" strokeweight="3pt">
              <v:shadow type="perspective" color="#243f60 [1604]" opacity=".5" offset="1pt" offset2="-1pt"/>
            </v:shape>
          </w:pict>
        </w:r>
      </w:p>
      <w:p w:rsidR="00B82033" w:rsidRDefault="00915E77">
        <w:pPr>
          <w:pStyle w:val="Footer"/>
          <w:jc w:val="right"/>
        </w:pPr>
        <w:fldSimple w:instr=" PAGE   \* MERGEFORMAT ">
          <w:r w:rsidR="00611C67">
            <w:rPr>
              <w:noProof/>
            </w:rPr>
            <w:t>1</w:t>
          </w:r>
        </w:fldSimple>
      </w:p>
    </w:sdtContent>
  </w:sdt>
  <w:p w:rsidR="00B82033" w:rsidRPr="00233A24" w:rsidRDefault="005A55D5" w:rsidP="00233A24">
    <w:pPr>
      <w:pStyle w:val="Footer"/>
      <w:rPr>
        <w:color w:val="0070C0"/>
      </w:rPr>
    </w:pPr>
    <w:r w:rsidRPr="005A55D5">
      <w:rPr>
        <w:rFonts w:ascii="Arial" w:hAnsi="Arial" w:cs="Arial"/>
        <w:b/>
        <w:noProof/>
        <w:sz w:val="20"/>
        <w:szCs w:val="20"/>
        <w:lang w:eastAsia="zh-CN" w:bidi="km-KH"/>
      </w:rPr>
      <w:drawing>
        <wp:inline distT="0" distB="0" distL="0" distR="0">
          <wp:extent cx="1676400" cy="714375"/>
          <wp:effectExtent l="19050" t="0" r="0"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1676522" cy="714427"/>
                  </a:xfrm>
                  <a:prstGeom prst="rect">
                    <a:avLst/>
                  </a:prstGeom>
                  <a:noFill/>
                  <a:ln w="9525">
                    <a:noFill/>
                    <a:miter lim="800000"/>
                    <a:headEnd/>
                    <a:tailEnd/>
                  </a:ln>
                </pic:spPr>
              </pic:pic>
            </a:graphicData>
          </a:graphic>
        </wp:inline>
      </w:drawing>
    </w:r>
    <w:r w:rsidR="00736D71">
      <w:rPr>
        <w:rFonts w:ascii="Arial" w:hAnsi="Arial" w:cs="Arial"/>
        <w:b/>
        <w:sz w:val="20"/>
        <w:szCs w:val="20"/>
      </w:rPr>
      <w:t>603 CMR 7.10</w:t>
    </w:r>
    <w:r w:rsidR="00B82033">
      <w:rPr>
        <w:rFonts w:ascii="Arial" w:hAnsi="Arial" w:cs="Arial"/>
        <w:b/>
        <w:sz w:val="20"/>
        <w:szCs w:val="20"/>
      </w:rPr>
      <w:t xml:space="preserve">: Massachusetts Professional Standards for </w:t>
    </w:r>
    <w:r w:rsidR="00736D71">
      <w:rPr>
        <w:rFonts w:ascii="Arial" w:hAnsi="Arial" w:cs="Arial"/>
        <w:b/>
        <w:sz w:val="20"/>
        <w:szCs w:val="20"/>
      </w:rPr>
      <w:t>Administrative Leadership</w:t>
    </w:r>
    <w:r w:rsidR="00B82033">
      <w:rPr>
        <w:rFonts w:ascii="Arial" w:hAnsi="Arial" w:cs="Arial"/>
        <w:b/>
        <w:sz w:val="20"/>
        <w:szCs w:val="20"/>
      </w:rPr>
      <w:t xml:space="preserve"> Matrix</w:t>
    </w:r>
    <w:r w:rsidR="00B82033">
      <w:rPr>
        <w:rFonts w:ascii="Arial" w:hAnsi="Arial" w:cs="Arial"/>
        <w:b/>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3" w:rsidRPr="00124923" w:rsidRDefault="005A55D5" w:rsidP="00B52557">
    <w:pPr>
      <w:rPr>
        <w:snapToGrid w:val="0"/>
      </w:rPr>
    </w:pPr>
    <w:r w:rsidRPr="005A55D5">
      <w:rPr>
        <w:noProof/>
        <w:snapToGrid w:val="0"/>
        <w:lang w:eastAsia="zh-CN" w:bidi="km-KH"/>
      </w:rPr>
      <w:drawing>
        <wp:inline distT="0" distB="0" distL="0" distR="0">
          <wp:extent cx="1676400" cy="714375"/>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1676522" cy="714427"/>
                  </a:xfrm>
                  <a:prstGeom prst="rect">
                    <a:avLst/>
                  </a:prstGeom>
                  <a:noFill/>
                  <a:ln w="9525">
                    <a:noFill/>
                    <a:miter lim="800000"/>
                    <a:headEnd/>
                    <a:tailEnd/>
                  </a:ln>
                </pic:spPr>
              </pic:pic>
            </a:graphicData>
          </a:graphic>
        </wp:inline>
      </w:drawing>
    </w:r>
    <w:r w:rsidR="001E0730">
      <w:rPr>
        <w:rFonts w:ascii="Arial" w:hAnsi="Arial" w:cs="Arial"/>
        <w:b/>
        <w:sz w:val="20"/>
        <w:szCs w:val="20"/>
      </w:rPr>
      <w:t>603 CMR 7.10</w:t>
    </w:r>
    <w:r>
      <w:rPr>
        <w:rFonts w:ascii="Arial" w:hAnsi="Arial" w:cs="Arial"/>
        <w:b/>
        <w:sz w:val="20"/>
        <w:szCs w:val="20"/>
      </w:rPr>
      <w:t xml:space="preserve">: Massachusetts Professional Standards for </w:t>
    </w:r>
    <w:r w:rsidR="001E0730">
      <w:rPr>
        <w:rFonts w:ascii="Arial" w:hAnsi="Arial" w:cs="Arial"/>
        <w:b/>
        <w:sz w:val="20"/>
        <w:szCs w:val="20"/>
      </w:rPr>
      <w:t>Administrative Leadership</w:t>
    </w:r>
    <w:r>
      <w:rPr>
        <w:rFonts w:ascii="Arial" w:hAnsi="Arial" w:cs="Arial"/>
        <w:b/>
        <w:sz w:val="20"/>
        <w:szCs w:val="20"/>
      </w:rPr>
      <w:t xml:space="preserve"> Matrix</w:t>
    </w:r>
  </w:p>
  <w:p w:rsidR="00B82033" w:rsidRDefault="00B82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47" w:rsidRDefault="00A17D47" w:rsidP="0040509D">
      <w:pPr>
        <w:spacing w:after="0" w:line="240" w:lineRule="auto"/>
      </w:pPr>
      <w:r>
        <w:separator/>
      </w:r>
    </w:p>
  </w:footnote>
  <w:footnote w:type="continuationSeparator" w:id="0">
    <w:p w:rsidR="00A17D47" w:rsidRDefault="00A17D47" w:rsidP="00405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33" w:rsidRDefault="00B82033" w:rsidP="00E47C74">
    <w:pPr>
      <w:pStyle w:val="Header"/>
      <w:tabs>
        <w:tab w:val="clear" w:pos="4680"/>
        <w:tab w:val="center" w:pos="1440"/>
      </w:tabs>
      <w:rPr>
        <w:sz w:val="32"/>
        <w:szCs w:val="32"/>
      </w:rPr>
    </w:pPr>
    <w:r>
      <w:rPr>
        <w:sz w:val="32"/>
        <w:szCs w:val="32"/>
      </w:rPr>
      <w:tab/>
    </w:r>
  </w:p>
  <w:p w:rsidR="00B82033" w:rsidRPr="0040509D" w:rsidRDefault="00B82033" w:rsidP="00E47C74">
    <w:pPr>
      <w:pStyle w:val="Header"/>
      <w:tabs>
        <w:tab w:val="clear" w:pos="4680"/>
        <w:tab w:val="center" w:pos="1440"/>
      </w:tabs>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40D"/>
    <w:multiLevelType w:val="hybridMultilevel"/>
    <w:tmpl w:val="D69EEEC8"/>
    <w:lvl w:ilvl="0" w:tplc="4A481BB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EE25FE"/>
    <w:multiLevelType w:val="multilevel"/>
    <w:tmpl w:val="32FE82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07E7C97"/>
    <w:multiLevelType w:val="hybridMultilevel"/>
    <w:tmpl w:val="C9069222"/>
    <w:lvl w:ilvl="0" w:tplc="5CB4C6D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D2A1D"/>
    <w:multiLevelType w:val="hybridMultilevel"/>
    <w:tmpl w:val="D00C08C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41169"/>
    <w:multiLevelType w:val="hybridMultilevel"/>
    <w:tmpl w:val="FFE0BB92"/>
    <w:lvl w:ilvl="0" w:tplc="5BE6FE0E">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957562B"/>
    <w:multiLevelType w:val="hybridMultilevel"/>
    <w:tmpl w:val="ECFC11F8"/>
    <w:lvl w:ilvl="0" w:tplc="34561EE8">
      <w:start w:val="1"/>
      <w:numFmt w:val="decimal"/>
      <w:lvlText w:val="%1."/>
      <w:lvlJc w:val="left"/>
      <w:pPr>
        <w:ind w:left="720" w:hanging="360"/>
      </w:pPr>
      <w:rPr>
        <w:rFonts w:cs="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E0C54"/>
    <w:multiLevelType w:val="hybridMultilevel"/>
    <w:tmpl w:val="C542F0C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A4799"/>
    <w:multiLevelType w:val="hybridMultilevel"/>
    <w:tmpl w:val="3FA28106"/>
    <w:lvl w:ilvl="0" w:tplc="95CE6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45045"/>
    <w:multiLevelType w:val="hybridMultilevel"/>
    <w:tmpl w:val="73DE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46BF3"/>
    <w:multiLevelType w:val="hybridMultilevel"/>
    <w:tmpl w:val="45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A20A68"/>
    <w:multiLevelType w:val="multilevel"/>
    <w:tmpl w:val="5F768D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9124B00"/>
    <w:multiLevelType w:val="hybridMultilevel"/>
    <w:tmpl w:val="9618904E"/>
    <w:lvl w:ilvl="0" w:tplc="937C9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446E2"/>
    <w:multiLevelType w:val="hybridMultilevel"/>
    <w:tmpl w:val="D466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46572"/>
    <w:multiLevelType w:val="hybridMultilevel"/>
    <w:tmpl w:val="9CF4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70237"/>
    <w:multiLevelType w:val="hybridMultilevel"/>
    <w:tmpl w:val="33D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F5531"/>
    <w:multiLevelType w:val="multilevel"/>
    <w:tmpl w:val="C1488338"/>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FB22186"/>
    <w:multiLevelType w:val="hybridMultilevel"/>
    <w:tmpl w:val="9244D2E2"/>
    <w:lvl w:ilvl="0" w:tplc="04090011">
      <w:start w:val="1"/>
      <w:numFmt w:val="decimal"/>
      <w:lvlText w:val="%1)"/>
      <w:lvlJc w:val="left"/>
      <w:pPr>
        <w:ind w:left="450" w:hanging="360"/>
      </w:pPr>
      <w:rPr>
        <w:rFonts w:hint="default"/>
        <w:b w:val="0"/>
        <w:sz w:val="23"/>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12"/>
  </w:num>
  <w:num w:numId="3">
    <w:abstractNumId w:val="8"/>
  </w:num>
  <w:num w:numId="4">
    <w:abstractNumId w:val="14"/>
  </w:num>
  <w:num w:numId="5">
    <w:abstractNumId w:val="5"/>
  </w:num>
  <w:num w:numId="6">
    <w:abstractNumId w:val="15"/>
  </w:num>
  <w:num w:numId="7">
    <w:abstractNumId w:val="1"/>
  </w:num>
  <w:num w:numId="8">
    <w:abstractNumId w:val="0"/>
  </w:num>
  <w:num w:numId="9">
    <w:abstractNumId w:val="10"/>
  </w:num>
  <w:num w:numId="10">
    <w:abstractNumId w:val="9"/>
  </w:num>
  <w:num w:numId="11">
    <w:abstractNumId w:val="6"/>
  </w:num>
  <w:num w:numId="12">
    <w:abstractNumId w:val="3"/>
  </w:num>
  <w:num w:numId="13">
    <w:abstractNumId w:val="7"/>
  </w:num>
  <w:num w:numId="14">
    <w:abstractNumId w:val="13"/>
  </w:num>
  <w:num w:numId="15">
    <w:abstractNumId w:val="11"/>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24578"/>
    <o:shapelayout v:ext="edit">
      <o:idmap v:ext="edit" data="2"/>
      <o:rules v:ext="edit">
        <o:r id="V:Rule2" type="connector" idref="#_x0000_s2049"/>
      </o:rules>
    </o:shapelayout>
  </w:hdrShapeDefaults>
  <w:footnotePr>
    <w:footnote w:id="-1"/>
    <w:footnote w:id="0"/>
  </w:footnotePr>
  <w:endnotePr>
    <w:endnote w:id="-1"/>
    <w:endnote w:id="0"/>
  </w:endnotePr>
  <w:compat/>
  <w:rsids>
    <w:rsidRoot w:val="00A47476"/>
    <w:rsid w:val="00003391"/>
    <w:rsid w:val="00015146"/>
    <w:rsid w:val="00061D53"/>
    <w:rsid w:val="000704CD"/>
    <w:rsid w:val="000A71F0"/>
    <w:rsid w:val="000C0B81"/>
    <w:rsid w:val="000D5FA8"/>
    <w:rsid w:val="000D6E91"/>
    <w:rsid w:val="001148CB"/>
    <w:rsid w:val="00124923"/>
    <w:rsid w:val="001302F1"/>
    <w:rsid w:val="00156700"/>
    <w:rsid w:val="00181002"/>
    <w:rsid w:val="001A4CB5"/>
    <w:rsid w:val="001A5874"/>
    <w:rsid w:val="001B3C91"/>
    <w:rsid w:val="001B5830"/>
    <w:rsid w:val="001C6DFB"/>
    <w:rsid w:val="001E0730"/>
    <w:rsid w:val="001E2E11"/>
    <w:rsid w:val="001E79A6"/>
    <w:rsid w:val="00205ABE"/>
    <w:rsid w:val="00233A24"/>
    <w:rsid w:val="0024049E"/>
    <w:rsid w:val="00256BA8"/>
    <w:rsid w:val="00291C68"/>
    <w:rsid w:val="002E216F"/>
    <w:rsid w:val="003144ED"/>
    <w:rsid w:val="003327D0"/>
    <w:rsid w:val="0035484F"/>
    <w:rsid w:val="0036397E"/>
    <w:rsid w:val="003917EA"/>
    <w:rsid w:val="003A4FB6"/>
    <w:rsid w:val="003C6D13"/>
    <w:rsid w:val="003D7ED6"/>
    <w:rsid w:val="003E5C5F"/>
    <w:rsid w:val="0040509D"/>
    <w:rsid w:val="0042461C"/>
    <w:rsid w:val="0043412F"/>
    <w:rsid w:val="00435175"/>
    <w:rsid w:val="00456122"/>
    <w:rsid w:val="00464E44"/>
    <w:rsid w:val="00474866"/>
    <w:rsid w:val="004A1936"/>
    <w:rsid w:val="004B265B"/>
    <w:rsid w:val="004D3F70"/>
    <w:rsid w:val="004D5FB1"/>
    <w:rsid w:val="004F7720"/>
    <w:rsid w:val="00511905"/>
    <w:rsid w:val="005257AD"/>
    <w:rsid w:val="0057278D"/>
    <w:rsid w:val="00592DCF"/>
    <w:rsid w:val="005A55D5"/>
    <w:rsid w:val="005A7DF2"/>
    <w:rsid w:val="005B62F4"/>
    <w:rsid w:val="005D0743"/>
    <w:rsid w:val="005E6316"/>
    <w:rsid w:val="00611C67"/>
    <w:rsid w:val="00613016"/>
    <w:rsid w:val="006311FC"/>
    <w:rsid w:val="00695476"/>
    <w:rsid w:val="006D7CF8"/>
    <w:rsid w:val="006E17E7"/>
    <w:rsid w:val="006F6CDF"/>
    <w:rsid w:val="00710541"/>
    <w:rsid w:val="007122B4"/>
    <w:rsid w:val="00731258"/>
    <w:rsid w:val="00736D71"/>
    <w:rsid w:val="00737603"/>
    <w:rsid w:val="00742AEB"/>
    <w:rsid w:val="00747F95"/>
    <w:rsid w:val="00755BC5"/>
    <w:rsid w:val="00777466"/>
    <w:rsid w:val="007820B6"/>
    <w:rsid w:val="007B2437"/>
    <w:rsid w:val="007B453C"/>
    <w:rsid w:val="007D7ACF"/>
    <w:rsid w:val="00841307"/>
    <w:rsid w:val="0087594F"/>
    <w:rsid w:val="008820AE"/>
    <w:rsid w:val="008925BB"/>
    <w:rsid w:val="008A1A55"/>
    <w:rsid w:val="008B5DA0"/>
    <w:rsid w:val="008C01F1"/>
    <w:rsid w:val="008E4D91"/>
    <w:rsid w:val="008F5CBB"/>
    <w:rsid w:val="009126B6"/>
    <w:rsid w:val="00913D22"/>
    <w:rsid w:val="00915E77"/>
    <w:rsid w:val="00921C84"/>
    <w:rsid w:val="009503DD"/>
    <w:rsid w:val="0096014E"/>
    <w:rsid w:val="0097019A"/>
    <w:rsid w:val="00987E27"/>
    <w:rsid w:val="009A6D72"/>
    <w:rsid w:val="009C405D"/>
    <w:rsid w:val="009D0193"/>
    <w:rsid w:val="009D48BE"/>
    <w:rsid w:val="009D5976"/>
    <w:rsid w:val="009F5A6E"/>
    <w:rsid w:val="00A15CFB"/>
    <w:rsid w:val="00A17D47"/>
    <w:rsid w:val="00A311F2"/>
    <w:rsid w:val="00A47476"/>
    <w:rsid w:val="00A54CAA"/>
    <w:rsid w:val="00A80CC0"/>
    <w:rsid w:val="00A9173A"/>
    <w:rsid w:val="00AD748F"/>
    <w:rsid w:val="00AE17FA"/>
    <w:rsid w:val="00AF1230"/>
    <w:rsid w:val="00AF2139"/>
    <w:rsid w:val="00AF7D93"/>
    <w:rsid w:val="00B12B83"/>
    <w:rsid w:val="00B52557"/>
    <w:rsid w:val="00B66094"/>
    <w:rsid w:val="00B82033"/>
    <w:rsid w:val="00B83BE0"/>
    <w:rsid w:val="00B97D43"/>
    <w:rsid w:val="00BA1CCC"/>
    <w:rsid w:val="00BA3155"/>
    <w:rsid w:val="00BA7C61"/>
    <w:rsid w:val="00BC2CA1"/>
    <w:rsid w:val="00BD4611"/>
    <w:rsid w:val="00BE4DB8"/>
    <w:rsid w:val="00BF55D0"/>
    <w:rsid w:val="00BF62A0"/>
    <w:rsid w:val="00C10FD7"/>
    <w:rsid w:val="00C12EFB"/>
    <w:rsid w:val="00C13CA3"/>
    <w:rsid w:val="00C14A70"/>
    <w:rsid w:val="00C33056"/>
    <w:rsid w:val="00C74CDB"/>
    <w:rsid w:val="00C81D9A"/>
    <w:rsid w:val="00CB37D6"/>
    <w:rsid w:val="00CC2028"/>
    <w:rsid w:val="00CD48A5"/>
    <w:rsid w:val="00CD616A"/>
    <w:rsid w:val="00CE17E1"/>
    <w:rsid w:val="00CF25BD"/>
    <w:rsid w:val="00CF61D7"/>
    <w:rsid w:val="00D0094A"/>
    <w:rsid w:val="00D10801"/>
    <w:rsid w:val="00D20FC1"/>
    <w:rsid w:val="00D31098"/>
    <w:rsid w:val="00D439EF"/>
    <w:rsid w:val="00D44ADF"/>
    <w:rsid w:val="00D4583C"/>
    <w:rsid w:val="00D57163"/>
    <w:rsid w:val="00D85155"/>
    <w:rsid w:val="00D87461"/>
    <w:rsid w:val="00D92862"/>
    <w:rsid w:val="00D94650"/>
    <w:rsid w:val="00D9753F"/>
    <w:rsid w:val="00DF7B6C"/>
    <w:rsid w:val="00E1191D"/>
    <w:rsid w:val="00E17AB2"/>
    <w:rsid w:val="00E24114"/>
    <w:rsid w:val="00E2507F"/>
    <w:rsid w:val="00E4295E"/>
    <w:rsid w:val="00E4775C"/>
    <w:rsid w:val="00E47C74"/>
    <w:rsid w:val="00E562D2"/>
    <w:rsid w:val="00E60688"/>
    <w:rsid w:val="00E96E10"/>
    <w:rsid w:val="00EA156A"/>
    <w:rsid w:val="00EA180E"/>
    <w:rsid w:val="00EC59CE"/>
    <w:rsid w:val="00EC7C6E"/>
    <w:rsid w:val="00F24602"/>
    <w:rsid w:val="00F46BC7"/>
    <w:rsid w:val="00F821BA"/>
    <w:rsid w:val="00F83675"/>
    <w:rsid w:val="00F8665F"/>
    <w:rsid w:val="00F86D27"/>
    <w:rsid w:val="00FD1D3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05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09D"/>
  </w:style>
  <w:style w:type="paragraph" w:styleId="Footer">
    <w:name w:val="footer"/>
    <w:basedOn w:val="Normal"/>
    <w:link w:val="FooterChar"/>
    <w:uiPriority w:val="99"/>
    <w:unhideWhenUsed/>
    <w:rsid w:val="0040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9D"/>
  </w:style>
  <w:style w:type="paragraph" w:styleId="BalloonText">
    <w:name w:val="Balloon Text"/>
    <w:basedOn w:val="Normal"/>
    <w:link w:val="BalloonTextChar"/>
    <w:uiPriority w:val="99"/>
    <w:semiHidden/>
    <w:unhideWhenUsed/>
    <w:rsid w:val="0040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9D"/>
    <w:rPr>
      <w:rFonts w:ascii="Tahoma" w:hAnsi="Tahoma" w:cs="Tahoma"/>
      <w:sz w:val="16"/>
      <w:szCs w:val="16"/>
    </w:rPr>
  </w:style>
  <w:style w:type="paragraph" w:customStyle="1" w:styleId="arial9">
    <w:name w:val="arial9"/>
    <w:basedOn w:val="Normal"/>
    <w:semiHidden/>
    <w:rsid w:val="00124923"/>
    <w:pPr>
      <w:spacing w:after="0" w:line="240" w:lineRule="auto"/>
      <w:ind w:right="-108"/>
    </w:pPr>
    <w:rPr>
      <w:rFonts w:ascii="Arial" w:eastAsia="Times New Roman" w:hAnsi="Arial" w:cs="Times New Roman"/>
      <w:sz w:val="18"/>
    </w:rPr>
  </w:style>
  <w:style w:type="paragraph" w:customStyle="1" w:styleId="AgencyTitle">
    <w:name w:val="Agency Title"/>
    <w:basedOn w:val="Normal"/>
    <w:semiHidden/>
    <w:rsid w:val="00124923"/>
    <w:pPr>
      <w:spacing w:after="0" w:line="240" w:lineRule="auto"/>
    </w:pPr>
    <w:rPr>
      <w:rFonts w:ascii="Arial" w:eastAsia="Times New Roman" w:hAnsi="Arial" w:cs="Times New Roman"/>
      <w:b/>
      <w:sz w:val="18"/>
    </w:rPr>
  </w:style>
  <w:style w:type="character" w:styleId="Hyperlink">
    <w:name w:val="Hyperlink"/>
    <w:basedOn w:val="DefaultParagraphFont"/>
    <w:rsid w:val="00124923"/>
    <w:rPr>
      <w:color w:val="0000FF"/>
      <w:u w:val="single"/>
    </w:rPr>
  </w:style>
  <w:style w:type="paragraph" w:styleId="ListParagraph">
    <w:name w:val="List Paragraph"/>
    <w:basedOn w:val="Normal"/>
    <w:uiPriority w:val="34"/>
    <w:qFormat/>
    <w:rsid w:val="008B5DA0"/>
    <w:pPr>
      <w:ind w:left="720"/>
      <w:contextualSpacing/>
    </w:pPr>
  </w:style>
  <w:style w:type="paragraph" w:customStyle="1" w:styleId="Default">
    <w:name w:val="Default"/>
    <w:rsid w:val="00C12EFB"/>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5275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l\Documents\SM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6112C-AF21-4BCF-9C10-ABE03FDC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SMK Template.dotx</Template>
  <TotalTime>0</TotalTime>
  <Pages>10</Pages>
  <Words>1398</Words>
  <Characters>9099</Characters>
  <Application>Microsoft Office Word</Application>
  <DocSecurity>0</DocSecurity>
  <Lines>416</Lines>
  <Paragraphs>67</Paragraphs>
  <ScaleCrop>false</ScaleCrop>
  <HeadingPairs>
    <vt:vector size="2" baseType="variant">
      <vt:variant>
        <vt:lpstr>Title</vt:lpstr>
      </vt:variant>
      <vt:variant>
        <vt:i4>1</vt:i4>
      </vt:variant>
    </vt:vector>
  </HeadingPairs>
  <TitlesOfParts>
    <vt:vector size="1" baseType="lpstr">
      <vt:lpstr>Professional Standards for Administrative Leadership (PSI) Matrix</vt:lpstr>
    </vt:vector>
  </TitlesOfParts>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for Administrative Leadership (PSI) Matrix</dc:title>
  <dc:creator>ESE</dc:creator>
  <cp:lastModifiedBy>dzou</cp:lastModifiedBy>
  <cp:revision>3</cp:revision>
  <cp:lastPrinted>2012-06-20T15:57:00Z</cp:lastPrinted>
  <dcterms:created xsi:type="dcterms:W3CDTF">2014-01-30T15:59:00Z</dcterms:created>
  <dcterms:modified xsi:type="dcterms:W3CDTF">2014-01-30T20:11:00Z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2014</vt:lpwstr>
  </property>
</Properties>
</file>