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Calibri" w:hAnsi="Calibri"/>
          <w:b/>
          <w:color w:val="2E74B5" w:themeColor="accent1" w:themeShade="BF"/>
          <w:sz w:val="36"/>
          <w:szCs w:val="36"/>
        </w:rPr>
        <w:alias w:val="Title"/>
        <w:tag w:val=""/>
        <w:id w:val="394314675"/>
        <w:placeholder>
          <w:docPart w:val="6EC637D8C33445469F8057FED9F391AF"/>
        </w:placeholder>
        <w:dataBinding w:prefixMappings="xmlns:ns0='http://purl.org/dc/elements/1.1/' xmlns:ns1='http://schemas.openxmlformats.org/package/2006/metadata/core-properties' " w:xpath="/ns1:coreProperties[1]/ns0:title[1]" w:storeItemID="{6C3C8BC8-F283-45AE-878A-BAB7291924A1}"/>
        <w:text/>
      </w:sdtPr>
      <w:sdtEndPr/>
      <w:sdtContent>
        <w:p w14:paraId="1D771175" w14:textId="70691E65" w:rsidR="006F1178" w:rsidRPr="005A55D5" w:rsidRDefault="006F1178" w:rsidP="006F1178">
          <w:pPr>
            <w:rPr>
              <w:rFonts w:ascii="Calibri" w:hAnsi="Calibri"/>
              <w:b/>
              <w:color w:val="2E74B5" w:themeColor="accent1" w:themeShade="BF"/>
              <w:sz w:val="36"/>
              <w:szCs w:val="36"/>
            </w:rPr>
          </w:pPr>
          <w:r w:rsidRPr="005A55D5">
            <w:rPr>
              <w:rFonts w:ascii="Calibri" w:hAnsi="Calibri"/>
              <w:b/>
              <w:color w:val="2E74B5" w:themeColor="accent1" w:themeShade="BF"/>
              <w:sz w:val="36"/>
              <w:szCs w:val="36"/>
            </w:rPr>
            <w:t>Professional Standards for Teachers (PST) Matrix</w:t>
          </w:r>
        </w:p>
      </w:sdtContent>
    </w:sdt>
    <w:p w14:paraId="7BE56621" w14:textId="77777777" w:rsidR="00E96074" w:rsidRDefault="00E96074" w:rsidP="00E96074">
      <w:pPr>
        <w:rPr>
          <w:snapToGrid w:val="0"/>
        </w:rPr>
      </w:pPr>
      <w:r>
        <w:rPr>
          <w:b/>
          <w:snapToGrid w:val="0"/>
        </w:rPr>
        <w:t xml:space="preserve">603 CMR 7.08 (1) </w:t>
      </w:r>
      <w:r w:rsidRPr="00CC3EE2">
        <w:rPr>
          <w:b/>
          <w:snapToGrid w:val="0"/>
        </w:rPr>
        <w:t>Application.</w:t>
      </w:r>
      <w:r w:rsidRPr="00CC3EE2">
        <w:rPr>
          <w:snapToGrid w:val="0"/>
        </w:rPr>
        <w:t xml:space="preserve"> The Professional Standards for Teachers define the pedagogical and other professional knowledge and skills required of all teachers. These standards and indicators referred to in </w:t>
      </w:r>
      <w:hyperlink r:id="rId11" w:history="1">
        <w:r w:rsidRPr="00E96074">
          <w:rPr>
            <w:rStyle w:val="Hyperlink"/>
            <w:snapToGrid w:val="0"/>
          </w:rPr>
          <w:t>603 CMR 7.08 (2) and (3)</w:t>
        </w:r>
      </w:hyperlink>
      <w:r w:rsidRPr="00CC3EE2">
        <w:rPr>
          <w:snapToGrid w:val="0"/>
        </w:rPr>
        <w:t xml:space="preserve"> are used by sponsoring organizations in designing their teacher preparation programs and in preparing their candidates. The standards and indicators are also used by the Department in reviewing programs seeking state approval, and as the basis of performance assessments of candidates. Candidates shall demonstrate that they meet the Professional Standards and indicators referred to in 603 CMR 7.08 (2) and (3) by passing a Performance Assessment for Initial License using Department guidelines.</w:t>
      </w:r>
    </w:p>
    <w:p w14:paraId="2A8BFBC5" w14:textId="77777777" w:rsidR="006F1178" w:rsidRDefault="006F1178" w:rsidP="006F1178">
      <w:pPr>
        <w:spacing w:after="0"/>
        <w:rPr>
          <w:rFonts w:ascii="Calibri" w:hAnsi="Calibri" w:cs="Arial"/>
          <w:b/>
          <w:bCs/>
        </w:rPr>
      </w:pPr>
      <w:r>
        <w:rPr>
          <w:rFonts w:ascii="Calibri" w:hAnsi="Calibri" w:cs="Arial"/>
          <w:b/>
          <w:bCs/>
        </w:rPr>
        <w:t xml:space="preserve">Sponsoring Organizations must </w:t>
      </w:r>
      <w:r w:rsidR="004B0422">
        <w:rPr>
          <w:rFonts w:ascii="Calibri" w:hAnsi="Calibri" w:cs="Arial"/>
          <w:b/>
          <w:bCs/>
        </w:rPr>
        <w:t>identify</w:t>
      </w:r>
      <w:r>
        <w:rPr>
          <w:rFonts w:ascii="Calibri" w:hAnsi="Calibri" w:cs="Arial"/>
          <w:b/>
          <w:bCs/>
        </w:rPr>
        <w:t xml:space="preserve"> where and to what extent the PST is addressed.</w:t>
      </w:r>
    </w:p>
    <w:p w14:paraId="5746911A" w14:textId="50D817C9" w:rsidR="003F5E89" w:rsidRPr="000006ED" w:rsidRDefault="006F1178" w:rsidP="000006ED">
      <w:pPr>
        <w:spacing w:after="0"/>
        <w:rPr>
          <w:rFonts w:ascii="Calibri" w:hAnsi="Calibri" w:cs="Arial"/>
          <w:bCs/>
        </w:rPr>
      </w:pPr>
      <w:r w:rsidRPr="005A55D5">
        <w:rPr>
          <w:rFonts w:ascii="Calibri" w:hAnsi="Calibri" w:cs="Arial"/>
          <w:bCs/>
        </w:rPr>
        <w:t>Please enter the appropriate reference code(s) in the boxes below according to the level where each indicator is targeted, explicit, and coherently addressed.  The</w:t>
      </w:r>
      <w:r w:rsidRPr="00E96074">
        <w:rPr>
          <w:rFonts w:ascii="Calibri" w:hAnsi="Calibri" w:cs="Arial"/>
          <w:bCs/>
        </w:rPr>
        <w:t xml:space="preserve"> matrix should be completed collaboratively as instructors/faculty collectively analyze all content and reach consensus on</w:t>
      </w:r>
      <w:r w:rsidRPr="005A55D5">
        <w:rPr>
          <w:rFonts w:ascii="Calibri" w:hAnsi="Calibri" w:cs="Arial"/>
          <w:bCs/>
        </w:rPr>
        <w:t xml:space="preserve"> the developmental progression (spiraling) of knowledge and skills or analysis of behaviors identified in the indicators that is expected of candidates.</w:t>
      </w:r>
      <w:r w:rsidR="000006ED">
        <w:rPr>
          <w:rFonts w:ascii="Calibri" w:hAnsi="Calibri" w:cs="Arial"/>
          <w:bCs/>
        </w:rPr>
        <w:t xml:space="preserve"> The grey boxes indicate</w:t>
      </w:r>
      <w:r w:rsidR="000006ED" w:rsidRPr="000006ED">
        <w:t xml:space="preserve"> </w:t>
      </w:r>
      <w:r w:rsidR="000006ED" w:rsidRPr="000006ED">
        <w:rPr>
          <w:rFonts w:ascii="Calibri" w:hAnsi="Calibri" w:cs="Arial"/>
          <w:bCs/>
        </w:rPr>
        <w:t>the level of practice that candidates should demonstrate by the time they complete their teacher preparation program and are endorsed for licensure</w:t>
      </w:r>
      <w:r w:rsidR="000006ED">
        <w:rPr>
          <w:rFonts w:ascii="Calibri" w:hAnsi="Calibri" w:cs="Arial"/>
          <w:bCs/>
        </w:rPr>
        <w:t xml:space="preserve">. Please reference the </w:t>
      </w:r>
      <w:hyperlink r:id="rId12" w:history="1">
        <w:r w:rsidR="000006ED" w:rsidRPr="0027783F">
          <w:rPr>
            <w:rStyle w:val="Hyperlink"/>
            <w:rFonts w:ascii="Calibri" w:hAnsi="Calibri" w:cs="Arial"/>
            <w:bCs/>
          </w:rPr>
          <w:t>PST Guidelines</w:t>
        </w:r>
      </w:hyperlink>
      <w:r w:rsidR="0027783F">
        <w:rPr>
          <w:rFonts w:ascii="Calibri" w:hAnsi="Calibri" w:cs="Arial"/>
          <w:bCs/>
        </w:rPr>
        <w:t xml:space="preserve"> </w:t>
      </w:r>
      <w:r w:rsidR="000006ED">
        <w:rPr>
          <w:rFonts w:ascii="Calibri" w:hAnsi="Calibri" w:cs="Arial"/>
          <w:bCs/>
        </w:rPr>
        <w:t xml:space="preserve">for further information and guidance. </w:t>
      </w:r>
      <w:r w:rsidRPr="005A55D5">
        <w:rPr>
          <w:rFonts w:ascii="Calibri" w:hAnsi="Calibri" w:cs="Arial"/>
          <w:bCs/>
        </w:rPr>
        <w:t xml:space="preserve"> See the example below.</w:t>
      </w:r>
      <w:r w:rsidR="000006ED">
        <w:rPr>
          <w:rFonts w:ascii="Calibri" w:hAnsi="Calibri" w:cs="Arial"/>
          <w:bCs/>
        </w:rPr>
        <w:t xml:space="preserve"> </w:t>
      </w:r>
    </w:p>
    <w:p w14:paraId="493978CC" w14:textId="77777777" w:rsidR="00F86228" w:rsidRDefault="00F86228" w:rsidP="006F1178">
      <w:pPr>
        <w:spacing w:after="0"/>
        <w:rPr>
          <w:rFonts w:ascii="Calibri" w:hAnsi="Calibri" w:cs="Arial"/>
          <w:bCs/>
        </w:rPr>
      </w:pPr>
    </w:p>
    <w:tbl>
      <w:tblPr>
        <w:tblStyle w:val="TableGrid"/>
        <w:tblW w:w="5000" w:type="pct"/>
        <w:tblLook w:val="04A0" w:firstRow="1" w:lastRow="0" w:firstColumn="1" w:lastColumn="0" w:noHBand="0" w:noVBand="1"/>
      </w:tblPr>
      <w:tblGrid>
        <w:gridCol w:w="5059"/>
        <w:gridCol w:w="3131"/>
        <w:gridCol w:w="3051"/>
        <w:gridCol w:w="3149"/>
      </w:tblGrid>
      <w:tr w:rsidR="007E1C66" w:rsidRPr="004D250B" w14:paraId="17FA9E74" w14:textId="77777777" w:rsidTr="009F07E6">
        <w:trPr>
          <w:trHeight w:val="1610"/>
        </w:trPr>
        <w:tc>
          <w:tcPr>
            <w:tcW w:w="1758" w:type="pct"/>
            <w:tcBorders>
              <w:bottom w:val="single" w:sz="4" w:space="0" w:color="auto"/>
            </w:tcBorders>
            <w:shd w:val="clear" w:color="auto" w:fill="DEEAF6" w:themeFill="accent1" w:themeFillTint="33"/>
            <w:vAlign w:val="center"/>
          </w:tcPr>
          <w:p w14:paraId="3CDC0898" w14:textId="77777777" w:rsidR="007E1C66" w:rsidRPr="004D250B" w:rsidRDefault="007E1C66" w:rsidP="00AD532D">
            <w:pPr>
              <w:jc w:val="center"/>
              <w:rPr>
                <w:rFonts w:ascii="Calibri" w:hAnsi="Calibri" w:cs="Arial"/>
                <w:b/>
                <w:bCs/>
              </w:rPr>
            </w:pPr>
            <w:r>
              <w:rPr>
                <w:rFonts w:ascii="Calibri" w:hAnsi="Calibri" w:cs="Arial"/>
                <w:b/>
                <w:bCs/>
              </w:rPr>
              <w:t xml:space="preserve">Professional Standard for Teachers (PST) </w:t>
            </w:r>
          </w:p>
          <w:p w14:paraId="60428AEE" w14:textId="77777777" w:rsidR="007E1C66" w:rsidRPr="004D250B" w:rsidRDefault="007E1C66" w:rsidP="00AD532D">
            <w:pPr>
              <w:jc w:val="center"/>
              <w:rPr>
                <w:rFonts w:ascii="Calibri" w:hAnsi="Calibri" w:cs="Arial"/>
                <w:b/>
                <w:bCs/>
              </w:rPr>
            </w:pPr>
          </w:p>
        </w:tc>
        <w:tc>
          <w:tcPr>
            <w:tcW w:w="1088" w:type="pct"/>
            <w:tcBorders>
              <w:bottom w:val="single" w:sz="4" w:space="0" w:color="auto"/>
            </w:tcBorders>
            <w:shd w:val="clear" w:color="auto" w:fill="DEEAF6" w:themeFill="accent1" w:themeFillTint="33"/>
            <w:vAlign w:val="center"/>
          </w:tcPr>
          <w:p w14:paraId="73D8B2E3" w14:textId="77777777" w:rsidR="003F5E89" w:rsidRDefault="007E1C66" w:rsidP="00AD532D">
            <w:pPr>
              <w:jc w:val="center"/>
            </w:pPr>
            <w:r>
              <w:rPr>
                <w:b/>
              </w:rPr>
              <w:t>Introduction</w:t>
            </w:r>
            <w:r w:rsidRPr="00E96E10">
              <w:rPr>
                <w:b/>
              </w:rPr>
              <w:t xml:space="preserve"> Level:</w:t>
            </w:r>
            <w:r>
              <w:t xml:space="preserve"> </w:t>
            </w:r>
          </w:p>
          <w:p w14:paraId="5B5393EB" w14:textId="77777777" w:rsidR="007E1C66" w:rsidRPr="0096014E" w:rsidRDefault="007E1C66" w:rsidP="00AD532D">
            <w:pPr>
              <w:jc w:val="center"/>
              <w:rPr>
                <w:sz w:val="16"/>
                <w:szCs w:val="16"/>
              </w:rPr>
            </w:pPr>
            <w:r w:rsidRPr="007E1C66">
              <w:rPr>
                <w:sz w:val="16"/>
                <w:szCs w:val="16"/>
              </w:rPr>
              <w:t>Candidates show understanding through coursework and/or in field-based experiences.</w:t>
            </w:r>
          </w:p>
        </w:tc>
        <w:tc>
          <w:tcPr>
            <w:tcW w:w="1060" w:type="pct"/>
            <w:tcBorders>
              <w:bottom w:val="single" w:sz="4" w:space="0" w:color="auto"/>
            </w:tcBorders>
            <w:shd w:val="clear" w:color="auto" w:fill="DEEAF6" w:themeFill="accent1" w:themeFillTint="33"/>
            <w:vAlign w:val="center"/>
          </w:tcPr>
          <w:p w14:paraId="305E761D" w14:textId="77777777" w:rsidR="007E1C66" w:rsidRPr="00E96E10" w:rsidRDefault="007E1C66" w:rsidP="00AD532D">
            <w:pPr>
              <w:jc w:val="center"/>
              <w:rPr>
                <w:rFonts w:ascii="Calibri" w:hAnsi="Calibri" w:cs="Arial"/>
                <w:b/>
                <w:bCs/>
              </w:rPr>
            </w:pPr>
            <w:r>
              <w:rPr>
                <w:rFonts w:ascii="Calibri" w:hAnsi="Calibri" w:cs="Arial"/>
                <w:b/>
                <w:bCs/>
              </w:rPr>
              <w:t>Practice</w:t>
            </w:r>
            <w:r w:rsidRPr="00E96E10">
              <w:rPr>
                <w:rFonts w:ascii="Calibri" w:hAnsi="Calibri" w:cs="Arial"/>
                <w:b/>
                <w:bCs/>
              </w:rPr>
              <w:t xml:space="preserve"> Level:</w:t>
            </w:r>
          </w:p>
          <w:p w14:paraId="32E604E9" w14:textId="77777777" w:rsidR="007E1C66" w:rsidRPr="0096014E" w:rsidRDefault="007E1C66" w:rsidP="00AD532D">
            <w:pPr>
              <w:jc w:val="center"/>
              <w:rPr>
                <w:rFonts w:ascii="Calibri" w:hAnsi="Calibri" w:cs="Arial"/>
                <w:bCs/>
                <w:sz w:val="16"/>
                <w:szCs w:val="16"/>
              </w:rPr>
            </w:pPr>
            <w:r w:rsidRPr="007E1C66">
              <w:rPr>
                <w:sz w:val="16"/>
                <w:szCs w:val="16"/>
              </w:rPr>
              <w:t>Candidates have opportunities to practice, to be observed, and to receive feedback through coursework and/or in field-based experiences.</w:t>
            </w:r>
          </w:p>
        </w:tc>
        <w:tc>
          <w:tcPr>
            <w:tcW w:w="1094" w:type="pct"/>
            <w:tcBorders>
              <w:bottom w:val="single" w:sz="4" w:space="0" w:color="auto"/>
            </w:tcBorders>
            <w:shd w:val="clear" w:color="auto" w:fill="DEEAF6" w:themeFill="accent1" w:themeFillTint="33"/>
            <w:vAlign w:val="center"/>
          </w:tcPr>
          <w:p w14:paraId="3D573856" w14:textId="77777777" w:rsidR="007E1C66" w:rsidRPr="00E96E10" w:rsidRDefault="007E1C66" w:rsidP="00AD532D">
            <w:pPr>
              <w:jc w:val="center"/>
              <w:rPr>
                <w:rFonts w:ascii="Calibri" w:hAnsi="Calibri" w:cs="Arial"/>
                <w:b/>
                <w:bCs/>
              </w:rPr>
            </w:pPr>
            <w:r>
              <w:rPr>
                <w:rFonts w:ascii="Calibri" w:hAnsi="Calibri" w:cs="Arial"/>
                <w:b/>
                <w:bCs/>
              </w:rPr>
              <w:t>Demonstrate</w:t>
            </w:r>
            <w:r w:rsidRPr="00E96E10">
              <w:rPr>
                <w:rFonts w:ascii="Calibri" w:hAnsi="Calibri" w:cs="Arial"/>
                <w:b/>
                <w:bCs/>
              </w:rPr>
              <w:t xml:space="preserve"> Level:</w:t>
            </w:r>
          </w:p>
          <w:p w14:paraId="5618FEFA" w14:textId="77777777" w:rsidR="007E1C66" w:rsidRPr="0096014E" w:rsidRDefault="007E1C66" w:rsidP="00AD532D">
            <w:pPr>
              <w:jc w:val="center"/>
              <w:rPr>
                <w:rFonts w:ascii="Calibri" w:hAnsi="Calibri" w:cs="Arial"/>
                <w:bCs/>
                <w:sz w:val="16"/>
                <w:szCs w:val="16"/>
              </w:rPr>
            </w:pPr>
            <w:r w:rsidRPr="007E1C66">
              <w:rPr>
                <w:rFonts w:ascii="Calibri" w:hAnsi="Calibri" w:cs="Arial"/>
                <w:bCs/>
                <w:sz w:val="16"/>
                <w:szCs w:val="16"/>
              </w:rPr>
              <w:t>Candidates consistently demonstrate competency through coursework and in field-based experiences as measured by the teacher performance assessment.</w:t>
            </w:r>
          </w:p>
        </w:tc>
      </w:tr>
      <w:tr w:rsidR="000006ED" w:rsidRPr="00F82074" w14:paraId="0FF01ED1" w14:textId="77777777" w:rsidTr="000006ED">
        <w:trPr>
          <w:trHeight w:val="710"/>
        </w:trPr>
        <w:tc>
          <w:tcPr>
            <w:tcW w:w="1758" w:type="pct"/>
            <w:shd w:val="clear" w:color="auto" w:fill="FFFFFF" w:themeFill="background1"/>
            <w:vAlign w:val="center"/>
          </w:tcPr>
          <w:p w14:paraId="049D959F" w14:textId="77777777" w:rsidR="000006ED" w:rsidRPr="00F67A3D" w:rsidRDefault="000006ED" w:rsidP="00AD532D">
            <w:pPr>
              <w:widowControl w:val="0"/>
              <w:rPr>
                <w:snapToGrid w:val="0"/>
                <w:szCs w:val="22"/>
              </w:rPr>
            </w:pPr>
            <w:r w:rsidRPr="0029086F">
              <w:rPr>
                <w:snapToGrid w:val="0"/>
                <w:sz w:val="22"/>
                <w:szCs w:val="22"/>
              </w:rPr>
              <w:t>(b)  Assessment indicator: Uses a variety of informal and formal methods of assessment to measure student learning, growth, and understanding, develop differentiated and enhanced learning experiences, and improve future instruction.</w:t>
            </w:r>
          </w:p>
        </w:tc>
        <w:tc>
          <w:tcPr>
            <w:tcW w:w="1088" w:type="pct"/>
            <w:vAlign w:val="center"/>
          </w:tcPr>
          <w:p w14:paraId="2C81A132" w14:textId="77777777" w:rsidR="000006ED" w:rsidRPr="00F67A3D" w:rsidRDefault="000006ED" w:rsidP="00AD532D">
            <w:pPr>
              <w:widowControl w:val="0"/>
              <w:jc w:val="center"/>
              <w:rPr>
                <w:snapToGrid w:val="0"/>
                <w:szCs w:val="22"/>
              </w:rPr>
            </w:pPr>
            <w:r>
              <w:rPr>
                <w:snapToGrid w:val="0"/>
                <w:szCs w:val="22"/>
              </w:rPr>
              <w:t>EDU 101</w:t>
            </w:r>
          </w:p>
        </w:tc>
        <w:tc>
          <w:tcPr>
            <w:tcW w:w="1060" w:type="pct"/>
            <w:vAlign w:val="center"/>
          </w:tcPr>
          <w:p w14:paraId="0411C9FE" w14:textId="77777777" w:rsidR="000006ED" w:rsidRDefault="00E2190D" w:rsidP="00AD532D">
            <w:pPr>
              <w:widowControl w:val="0"/>
              <w:jc w:val="center"/>
              <w:rPr>
                <w:snapToGrid w:val="0"/>
                <w:szCs w:val="22"/>
              </w:rPr>
            </w:pPr>
            <w:r>
              <w:rPr>
                <w:snapToGrid w:val="0"/>
                <w:szCs w:val="22"/>
              </w:rPr>
              <w:t>EDU342</w:t>
            </w:r>
          </w:p>
          <w:p w14:paraId="397ECC0C" w14:textId="77777777" w:rsidR="00E2190D" w:rsidRPr="00F67A3D" w:rsidRDefault="00E2190D" w:rsidP="00AD532D">
            <w:pPr>
              <w:widowControl w:val="0"/>
              <w:jc w:val="center"/>
              <w:rPr>
                <w:snapToGrid w:val="0"/>
                <w:szCs w:val="22"/>
              </w:rPr>
            </w:pPr>
            <w:r>
              <w:rPr>
                <w:snapToGrid w:val="0"/>
                <w:szCs w:val="22"/>
              </w:rPr>
              <w:t>EDU201</w:t>
            </w:r>
          </w:p>
        </w:tc>
        <w:tc>
          <w:tcPr>
            <w:tcW w:w="1094" w:type="pct"/>
            <w:shd w:val="clear" w:color="auto" w:fill="E5E5E5" w:themeFill="accent3" w:themeFillTint="33"/>
            <w:vAlign w:val="center"/>
          </w:tcPr>
          <w:p w14:paraId="5066B9BB" w14:textId="77777777" w:rsidR="000006ED" w:rsidRPr="00F67A3D" w:rsidRDefault="000006ED" w:rsidP="00AD532D">
            <w:pPr>
              <w:widowControl w:val="0"/>
              <w:jc w:val="center"/>
              <w:rPr>
                <w:snapToGrid w:val="0"/>
                <w:szCs w:val="22"/>
              </w:rPr>
            </w:pPr>
            <w:r>
              <w:rPr>
                <w:snapToGrid w:val="0"/>
                <w:szCs w:val="22"/>
              </w:rPr>
              <w:t>EDU 405</w:t>
            </w:r>
          </w:p>
        </w:tc>
      </w:tr>
    </w:tbl>
    <w:p w14:paraId="09DAF047" w14:textId="77777777" w:rsidR="0027783F" w:rsidRDefault="0027783F">
      <w:pPr>
        <w:rPr>
          <w:sz w:val="12"/>
        </w:rPr>
      </w:pPr>
    </w:p>
    <w:p w14:paraId="2F4077AF" w14:textId="77777777" w:rsidR="00F86228" w:rsidRPr="0029086F" w:rsidRDefault="00F86228">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0"/>
      </w:tblGrid>
      <w:tr w:rsidR="00827E5E" w:rsidRPr="00F67A3D" w14:paraId="3FA1A9CB" w14:textId="77777777" w:rsidTr="0029086F">
        <w:trPr>
          <w:trHeight w:val="663"/>
        </w:trPr>
        <w:tc>
          <w:tcPr>
            <w:tcW w:w="5000" w:type="pct"/>
            <w:shd w:val="clear" w:color="auto" w:fill="C1D8F5" w:themeFill="text2" w:themeFillTint="33"/>
            <w:vAlign w:val="bottom"/>
          </w:tcPr>
          <w:p w14:paraId="573C4EA3" w14:textId="77777777" w:rsidR="00827E5E" w:rsidRPr="00827E5E" w:rsidRDefault="00E52877" w:rsidP="0029086F">
            <w:pPr>
              <w:rPr>
                <w:b/>
                <w:sz w:val="28"/>
              </w:rPr>
            </w:pPr>
            <w:hyperlink r:id="rId13" w:history="1">
              <w:r w:rsidR="00827E5E" w:rsidRPr="0029086F">
                <w:rPr>
                  <w:rStyle w:val="Hyperlink"/>
                  <w:b/>
                  <w:sz w:val="24"/>
                </w:rPr>
                <w:t>7.08: Professional Standards for Teachers</w:t>
              </w:r>
            </w:hyperlink>
          </w:p>
        </w:tc>
      </w:tr>
    </w:tbl>
    <w:p w14:paraId="37FB9DC6" w14:textId="77777777" w:rsidR="0029086F" w:rsidRPr="0029086F" w:rsidRDefault="0029086F">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1807"/>
        <w:gridCol w:w="1810"/>
        <w:gridCol w:w="1810"/>
      </w:tblGrid>
      <w:tr w:rsidR="00827E5E" w:rsidRPr="00F67A3D" w14:paraId="223F7F59" w14:textId="77777777" w:rsidTr="00E96074">
        <w:trPr>
          <w:tblHeader/>
        </w:trPr>
        <w:tc>
          <w:tcPr>
            <w:tcW w:w="5000" w:type="pct"/>
            <w:gridSpan w:val="4"/>
            <w:shd w:val="clear" w:color="auto" w:fill="D9D9D9" w:themeFill="background1" w:themeFillShade="D9"/>
            <w:vAlign w:val="center"/>
          </w:tcPr>
          <w:p w14:paraId="4AE08447" w14:textId="77777777" w:rsidR="00827E5E" w:rsidRPr="00CC3EE2" w:rsidRDefault="0027783F" w:rsidP="0027783F">
            <w:pPr>
              <w:widowControl w:val="0"/>
              <w:rPr>
                <w:b/>
                <w:snapToGrid w:val="0"/>
              </w:rPr>
            </w:pPr>
            <w:r>
              <w:rPr>
                <w:b/>
                <w:snapToGrid w:val="0"/>
              </w:rPr>
              <w:t>(1)</w:t>
            </w:r>
            <w:r w:rsidR="00E2190D">
              <w:rPr>
                <w:b/>
                <w:snapToGrid w:val="0"/>
              </w:rPr>
              <w:t xml:space="preserve"> </w:t>
            </w:r>
            <w:r w:rsidR="00827E5E" w:rsidRPr="00CC3EE2">
              <w:rPr>
                <w:b/>
                <w:snapToGrid w:val="0"/>
              </w:rPr>
              <w:t xml:space="preserve">Curriculum, Planning, and Assessment standard: </w:t>
            </w:r>
            <w:r w:rsidR="00827E5E" w:rsidRPr="00CC3EE2">
              <w:rPr>
                <w:snapToGrid w:val="0"/>
              </w:rPr>
              <w:t>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p>
        </w:tc>
      </w:tr>
      <w:tr w:rsidR="00827E5E" w:rsidRPr="00F67A3D" w14:paraId="48C0F3DC" w14:textId="77777777" w:rsidTr="003426DA">
        <w:tc>
          <w:tcPr>
            <w:tcW w:w="3114" w:type="pct"/>
            <w:shd w:val="clear" w:color="auto" w:fill="DEEAF6" w:themeFill="accent1" w:themeFillTint="33"/>
            <w:vAlign w:val="center"/>
          </w:tcPr>
          <w:p w14:paraId="79052DDB" w14:textId="77777777" w:rsidR="00827E5E" w:rsidRPr="00827E5E" w:rsidRDefault="00827E5E" w:rsidP="00AD532D">
            <w:pPr>
              <w:widowControl w:val="0"/>
              <w:rPr>
                <w:b/>
                <w:snapToGrid w:val="0"/>
              </w:rPr>
            </w:pPr>
            <w:r w:rsidRPr="00827E5E">
              <w:rPr>
                <w:b/>
                <w:snapToGrid w:val="0"/>
              </w:rPr>
              <w:t>Indicators</w:t>
            </w:r>
          </w:p>
        </w:tc>
        <w:tc>
          <w:tcPr>
            <w:tcW w:w="628" w:type="pct"/>
            <w:shd w:val="clear" w:color="auto" w:fill="DEEAF6" w:themeFill="accent1" w:themeFillTint="33"/>
            <w:vAlign w:val="center"/>
          </w:tcPr>
          <w:p w14:paraId="56BD110F" w14:textId="77777777" w:rsidR="00827E5E" w:rsidRPr="00F67A3D" w:rsidRDefault="00827E5E" w:rsidP="00827E5E">
            <w:pPr>
              <w:widowControl w:val="0"/>
              <w:jc w:val="center"/>
              <w:rPr>
                <w:snapToGrid w:val="0"/>
              </w:rPr>
            </w:pPr>
            <w:r w:rsidRPr="00F67A3D">
              <w:rPr>
                <w:b/>
                <w:snapToGrid w:val="0"/>
              </w:rPr>
              <w:t>Introduction</w:t>
            </w:r>
          </w:p>
        </w:tc>
        <w:tc>
          <w:tcPr>
            <w:tcW w:w="629" w:type="pct"/>
            <w:shd w:val="clear" w:color="auto" w:fill="DEEAF6" w:themeFill="accent1" w:themeFillTint="33"/>
            <w:vAlign w:val="center"/>
          </w:tcPr>
          <w:p w14:paraId="2E4458DF" w14:textId="77777777" w:rsidR="00827E5E" w:rsidRPr="00F67A3D" w:rsidRDefault="00827E5E" w:rsidP="00827E5E">
            <w:pPr>
              <w:widowControl w:val="0"/>
              <w:jc w:val="center"/>
              <w:rPr>
                <w:snapToGrid w:val="0"/>
              </w:rPr>
            </w:pPr>
            <w:r w:rsidRPr="00F67A3D">
              <w:rPr>
                <w:b/>
                <w:snapToGrid w:val="0"/>
              </w:rPr>
              <w:t>Practice</w:t>
            </w:r>
          </w:p>
        </w:tc>
        <w:tc>
          <w:tcPr>
            <w:tcW w:w="629" w:type="pct"/>
            <w:shd w:val="clear" w:color="auto" w:fill="DEEAF6" w:themeFill="accent1" w:themeFillTint="33"/>
            <w:vAlign w:val="center"/>
          </w:tcPr>
          <w:p w14:paraId="0F12367C" w14:textId="77777777" w:rsidR="00827E5E" w:rsidRPr="00F67A3D" w:rsidRDefault="00827E5E" w:rsidP="00827E5E">
            <w:pPr>
              <w:widowControl w:val="0"/>
              <w:jc w:val="center"/>
              <w:rPr>
                <w:snapToGrid w:val="0"/>
              </w:rPr>
            </w:pPr>
            <w:r w:rsidRPr="00F67A3D">
              <w:rPr>
                <w:b/>
                <w:snapToGrid w:val="0"/>
              </w:rPr>
              <w:t>Demonstrate</w:t>
            </w:r>
          </w:p>
        </w:tc>
      </w:tr>
      <w:tr w:rsidR="00827E5E" w:rsidRPr="00F67A3D" w14:paraId="6D6A4C67" w14:textId="77777777" w:rsidTr="003426DA">
        <w:tc>
          <w:tcPr>
            <w:tcW w:w="3114" w:type="pct"/>
            <w:shd w:val="clear" w:color="auto" w:fill="auto"/>
            <w:vAlign w:val="center"/>
          </w:tcPr>
          <w:p w14:paraId="2D581D55" w14:textId="77777777" w:rsidR="00827E5E" w:rsidRPr="00F67A3D" w:rsidRDefault="00827E5E" w:rsidP="00E96074">
            <w:pPr>
              <w:widowControl w:val="0"/>
              <w:spacing w:after="120" w:line="240" w:lineRule="auto"/>
              <w:rPr>
                <w:snapToGrid w:val="0"/>
              </w:rPr>
            </w:pPr>
            <w:r w:rsidRPr="00F67A3D">
              <w:rPr>
                <w:snapToGrid w:val="0"/>
              </w:rPr>
              <w:t>(a)  Curriculum and Planning indicator: Knows the subject matter well, has a good grasp of child development and how students learn, and designs effective and rigorous standards-based units of instruction consisting of well-structured lessons with measurable outcomes.</w:t>
            </w:r>
          </w:p>
        </w:tc>
        <w:tc>
          <w:tcPr>
            <w:tcW w:w="628" w:type="pct"/>
            <w:shd w:val="clear" w:color="auto" w:fill="auto"/>
            <w:vAlign w:val="center"/>
          </w:tcPr>
          <w:p w14:paraId="286A1AA0" w14:textId="77777777" w:rsidR="00827E5E" w:rsidRPr="00F67A3D" w:rsidRDefault="00827E5E" w:rsidP="00AD532D">
            <w:pPr>
              <w:widowControl w:val="0"/>
              <w:jc w:val="center"/>
              <w:rPr>
                <w:snapToGrid w:val="0"/>
              </w:rPr>
            </w:pPr>
          </w:p>
        </w:tc>
        <w:tc>
          <w:tcPr>
            <w:tcW w:w="629" w:type="pct"/>
            <w:shd w:val="clear" w:color="auto" w:fill="auto"/>
            <w:vAlign w:val="center"/>
          </w:tcPr>
          <w:p w14:paraId="098C3050" w14:textId="77777777" w:rsidR="00827E5E" w:rsidRPr="00F67A3D" w:rsidRDefault="00827E5E" w:rsidP="00AD532D">
            <w:pPr>
              <w:widowControl w:val="0"/>
              <w:jc w:val="center"/>
              <w:rPr>
                <w:snapToGrid w:val="0"/>
              </w:rPr>
            </w:pPr>
          </w:p>
        </w:tc>
        <w:tc>
          <w:tcPr>
            <w:tcW w:w="629" w:type="pct"/>
            <w:shd w:val="clear" w:color="auto" w:fill="E5E5E5" w:themeFill="accent3" w:themeFillTint="33"/>
            <w:vAlign w:val="center"/>
          </w:tcPr>
          <w:p w14:paraId="62262BC7" w14:textId="77777777" w:rsidR="00827E5E" w:rsidRPr="00F67A3D" w:rsidRDefault="00827E5E" w:rsidP="00AD532D">
            <w:pPr>
              <w:widowControl w:val="0"/>
              <w:jc w:val="center"/>
              <w:rPr>
                <w:snapToGrid w:val="0"/>
              </w:rPr>
            </w:pPr>
          </w:p>
        </w:tc>
      </w:tr>
      <w:tr w:rsidR="003426DA" w:rsidRPr="00F67A3D" w14:paraId="3D233D18" w14:textId="77777777" w:rsidTr="003426DA">
        <w:trPr>
          <w:trHeight w:val="1277"/>
        </w:trPr>
        <w:tc>
          <w:tcPr>
            <w:tcW w:w="3114" w:type="pct"/>
            <w:shd w:val="clear" w:color="auto" w:fill="auto"/>
            <w:vAlign w:val="center"/>
          </w:tcPr>
          <w:p w14:paraId="220206D4" w14:textId="77777777" w:rsidR="00827E5E" w:rsidRPr="00F67A3D" w:rsidRDefault="00827E5E" w:rsidP="00E96074">
            <w:pPr>
              <w:widowControl w:val="0"/>
              <w:spacing w:after="120" w:line="240" w:lineRule="auto"/>
              <w:rPr>
                <w:snapToGrid w:val="0"/>
              </w:rPr>
            </w:pPr>
            <w:r w:rsidRPr="00F67A3D">
              <w:rPr>
                <w:snapToGrid w:val="0"/>
              </w:rPr>
              <w:t>(b)  Assessment indicator: Uses a variety of informal and formal methods of assessment to measure student learning, growth, and understanding, develop differentiated and enhanced learning experiences, and improve future instruction.</w:t>
            </w:r>
          </w:p>
        </w:tc>
        <w:tc>
          <w:tcPr>
            <w:tcW w:w="628" w:type="pct"/>
            <w:shd w:val="clear" w:color="auto" w:fill="auto"/>
            <w:vAlign w:val="center"/>
          </w:tcPr>
          <w:p w14:paraId="42CCACC9" w14:textId="77777777" w:rsidR="00827E5E" w:rsidRPr="00F67A3D" w:rsidRDefault="00827E5E" w:rsidP="00AD532D">
            <w:pPr>
              <w:widowControl w:val="0"/>
              <w:jc w:val="center"/>
              <w:rPr>
                <w:snapToGrid w:val="0"/>
              </w:rPr>
            </w:pPr>
          </w:p>
        </w:tc>
        <w:tc>
          <w:tcPr>
            <w:tcW w:w="629" w:type="pct"/>
            <w:shd w:val="clear" w:color="auto" w:fill="auto"/>
            <w:vAlign w:val="center"/>
          </w:tcPr>
          <w:p w14:paraId="410D7695" w14:textId="77777777" w:rsidR="00827E5E" w:rsidRPr="00F67A3D" w:rsidRDefault="00827E5E" w:rsidP="00AD532D">
            <w:pPr>
              <w:widowControl w:val="0"/>
              <w:jc w:val="center"/>
              <w:rPr>
                <w:snapToGrid w:val="0"/>
              </w:rPr>
            </w:pPr>
          </w:p>
        </w:tc>
        <w:tc>
          <w:tcPr>
            <w:tcW w:w="629" w:type="pct"/>
            <w:shd w:val="clear" w:color="auto" w:fill="E5E5E5" w:themeFill="accent3" w:themeFillTint="33"/>
            <w:vAlign w:val="center"/>
          </w:tcPr>
          <w:p w14:paraId="3C8B0A9F" w14:textId="77777777" w:rsidR="00827E5E" w:rsidRPr="00F67A3D" w:rsidRDefault="00827E5E" w:rsidP="00AD532D">
            <w:pPr>
              <w:widowControl w:val="0"/>
              <w:jc w:val="center"/>
              <w:rPr>
                <w:snapToGrid w:val="0"/>
              </w:rPr>
            </w:pPr>
          </w:p>
        </w:tc>
      </w:tr>
      <w:tr w:rsidR="003426DA" w:rsidRPr="00F67A3D" w14:paraId="3F8330AF" w14:textId="77777777" w:rsidTr="003426DA">
        <w:trPr>
          <w:trHeight w:val="710"/>
        </w:trPr>
        <w:tc>
          <w:tcPr>
            <w:tcW w:w="3114" w:type="pct"/>
            <w:shd w:val="clear" w:color="auto" w:fill="auto"/>
            <w:vAlign w:val="center"/>
          </w:tcPr>
          <w:p w14:paraId="0BEB9890" w14:textId="77777777" w:rsidR="00827E5E" w:rsidRPr="00F67A3D" w:rsidRDefault="00827E5E" w:rsidP="00E96074">
            <w:pPr>
              <w:widowControl w:val="0"/>
              <w:spacing w:after="120" w:line="240" w:lineRule="auto"/>
              <w:rPr>
                <w:snapToGrid w:val="0"/>
              </w:rPr>
            </w:pPr>
            <w:r w:rsidRPr="00F67A3D">
              <w:rPr>
                <w:snapToGrid w:val="0"/>
              </w:rPr>
              <w:t>(c)  Analysis indicator: Analyzes data from assessments, draws conclusions, and shares them appropriately.</w:t>
            </w:r>
          </w:p>
        </w:tc>
        <w:tc>
          <w:tcPr>
            <w:tcW w:w="628" w:type="pct"/>
            <w:shd w:val="clear" w:color="auto" w:fill="auto"/>
            <w:vAlign w:val="center"/>
          </w:tcPr>
          <w:p w14:paraId="684893CB" w14:textId="77777777" w:rsidR="00827E5E" w:rsidRPr="00F67A3D" w:rsidRDefault="00827E5E" w:rsidP="00AD532D">
            <w:pPr>
              <w:widowControl w:val="0"/>
              <w:jc w:val="center"/>
              <w:rPr>
                <w:snapToGrid w:val="0"/>
              </w:rPr>
            </w:pPr>
          </w:p>
        </w:tc>
        <w:tc>
          <w:tcPr>
            <w:tcW w:w="629" w:type="pct"/>
            <w:shd w:val="clear" w:color="auto" w:fill="E5E5E5" w:themeFill="accent3" w:themeFillTint="33"/>
            <w:vAlign w:val="center"/>
          </w:tcPr>
          <w:p w14:paraId="435AB786" w14:textId="77777777" w:rsidR="00827E5E" w:rsidRPr="00F67A3D" w:rsidRDefault="00827E5E" w:rsidP="00AD532D">
            <w:pPr>
              <w:widowControl w:val="0"/>
              <w:jc w:val="center"/>
              <w:rPr>
                <w:snapToGrid w:val="0"/>
              </w:rPr>
            </w:pPr>
          </w:p>
        </w:tc>
        <w:tc>
          <w:tcPr>
            <w:tcW w:w="629" w:type="pct"/>
            <w:shd w:val="clear" w:color="auto" w:fill="auto"/>
            <w:vAlign w:val="center"/>
          </w:tcPr>
          <w:p w14:paraId="0A3F7549" w14:textId="77777777" w:rsidR="00827E5E" w:rsidRPr="00F67A3D" w:rsidRDefault="00827E5E" w:rsidP="00AD532D">
            <w:pPr>
              <w:widowControl w:val="0"/>
              <w:jc w:val="center"/>
              <w:rPr>
                <w:snapToGrid w:val="0"/>
              </w:rPr>
            </w:pPr>
          </w:p>
        </w:tc>
      </w:tr>
      <w:tr w:rsidR="003426DA" w:rsidRPr="00F67A3D" w14:paraId="5AD3CD1D" w14:textId="77777777" w:rsidTr="003426DA">
        <w:trPr>
          <w:trHeight w:val="980"/>
        </w:trPr>
        <w:tc>
          <w:tcPr>
            <w:tcW w:w="3114" w:type="pct"/>
            <w:shd w:val="clear" w:color="auto" w:fill="auto"/>
            <w:vAlign w:val="center"/>
          </w:tcPr>
          <w:p w14:paraId="26EF8823" w14:textId="77777777" w:rsidR="00827E5E" w:rsidRPr="00F67A3D" w:rsidRDefault="00827E5E" w:rsidP="00E96074">
            <w:pPr>
              <w:widowControl w:val="0"/>
              <w:spacing w:after="120" w:line="240" w:lineRule="auto"/>
              <w:rPr>
                <w:snapToGrid w:val="0"/>
              </w:rPr>
            </w:pPr>
            <w:r w:rsidRPr="00F67A3D">
              <w:rPr>
                <w:snapToGrid w:val="0"/>
              </w:rPr>
              <w:t>SEI Indicator (a) Uses instructional planning, materials, and student engagement approaches that support students of diverse cultural and linguistic backgrounds, strengths, and challenges.</w:t>
            </w:r>
          </w:p>
        </w:tc>
        <w:tc>
          <w:tcPr>
            <w:tcW w:w="628" w:type="pct"/>
            <w:shd w:val="clear" w:color="auto" w:fill="auto"/>
            <w:vAlign w:val="center"/>
          </w:tcPr>
          <w:p w14:paraId="4E466308" w14:textId="77777777" w:rsidR="00827E5E" w:rsidRPr="00F67A3D" w:rsidRDefault="00827E5E" w:rsidP="00AD532D">
            <w:pPr>
              <w:widowControl w:val="0"/>
              <w:jc w:val="center"/>
              <w:rPr>
                <w:b/>
                <w:snapToGrid w:val="0"/>
              </w:rPr>
            </w:pPr>
          </w:p>
          <w:p w14:paraId="7D520C35" w14:textId="77777777" w:rsidR="00827E5E" w:rsidRPr="00F67A3D" w:rsidRDefault="00827E5E" w:rsidP="00AD532D">
            <w:pPr>
              <w:widowControl w:val="0"/>
              <w:jc w:val="center"/>
              <w:rPr>
                <w:b/>
                <w:snapToGrid w:val="0"/>
              </w:rPr>
            </w:pPr>
          </w:p>
        </w:tc>
        <w:tc>
          <w:tcPr>
            <w:tcW w:w="629" w:type="pct"/>
            <w:shd w:val="clear" w:color="auto" w:fill="auto"/>
            <w:vAlign w:val="center"/>
          </w:tcPr>
          <w:p w14:paraId="4FAB5972" w14:textId="77777777" w:rsidR="00827E5E" w:rsidRPr="00F67A3D" w:rsidRDefault="00827E5E" w:rsidP="00AD532D">
            <w:pPr>
              <w:widowControl w:val="0"/>
              <w:jc w:val="center"/>
              <w:rPr>
                <w:snapToGrid w:val="0"/>
              </w:rPr>
            </w:pPr>
          </w:p>
        </w:tc>
        <w:tc>
          <w:tcPr>
            <w:tcW w:w="629" w:type="pct"/>
            <w:shd w:val="clear" w:color="auto" w:fill="E5E5E5" w:themeFill="accent3" w:themeFillTint="33"/>
            <w:vAlign w:val="center"/>
          </w:tcPr>
          <w:p w14:paraId="7B933E8E" w14:textId="77777777" w:rsidR="00827E5E" w:rsidRPr="00F67A3D" w:rsidRDefault="00827E5E" w:rsidP="00AD532D">
            <w:pPr>
              <w:widowControl w:val="0"/>
              <w:jc w:val="center"/>
              <w:rPr>
                <w:snapToGrid w:val="0"/>
              </w:rPr>
            </w:pPr>
          </w:p>
        </w:tc>
      </w:tr>
      <w:tr w:rsidR="003426DA" w:rsidRPr="00F67A3D" w14:paraId="29872598" w14:textId="77777777" w:rsidTr="003426DA">
        <w:trPr>
          <w:trHeight w:val="1520"/>
        </w:trPr>
        <w:tc>
          <w:tcPr>
            <w:tcW w:w="3114" w:type="pct"/>
            <w:shd w:val="clear" w:color="auto" w:fill="auto"/>
            <w:vAlign w:val="center"/>
          </w:tcPr>
          <w:p w14:paraId="0A70B15F" w14:textId="77777777" w:rsidR="00827E5E" w:rsidRPr="00F67A3D" w:rsidRDefault="00827E5E" w:rsidP="00E96074">
            <w:pPr>
              <w:widowControl w:val="0"/>
              <w:spacing w:after="120" w:line="240" w:lineRule="auto"/>
              <w:rPr>
                <w:snapToGrid w:val="0"/>
              </w:rPr>
            </w:pPr>
            <w:r w:rsidRPr="00F67A3D">
              <w:rPr>
                <w:snapToGrid w:val="0"/>
              </w:rPr>
              <w:t>SEI Indicator (c) Demonstrates knowledge of the difference between social and academic language and the importance of this difference in planning, differentiating and delivering effective instruction for English language learners at various levels of English language proficiency and literacy.</w:t>
            </w:r>
          </w:p>
        </w:tc>
        <w:tc>
          <w:tcPr>
            <w:tcW w:w="628" w:type="pct"/>
            <w:shd w:val="clear" w:color="auto" w:fill="auto"/>
            <w:vAlign w:val="center"/>
          </w:tcPr>
          <w:p w14:paraId="20514934" w14:textId="77777777" w:rsidR="00827E5E" w:rsidRPr="00F67A3D" w:rsidRDefault="00827E5E" w:rsidP="00AD532D">
            <w:pPr>
              <w:widowControl w:val="0"/>
              <w:jc w:val="center"/>
              <w:rPr>
                <w:b/>
                <w:snapToGrid w:val="0"/>
              </w:rPr>
            </w:pPr>
          </w:p>
        </w:tc>
        <w:tc>
          <w:tcPr>
            <w:tcW w:w="629" w:type="pct"/>
            <w:shd w:val="clear" w:color="auto" w:fill="auto"/>
            <w:vAlign w:val="center"/>
          </w:tcPr>
          <w:p w14:paraId="69721280" w14:textId="77777777" w:rsidR="00827E5E" w:rsidRPr="00F67A3D" w:rsidRDefault="00827E5E" w:rsidP="00AD532D">
            <w:pPr>
              <w:widowControl w:val="0"/>
              <w:jc w:val="center"/>
              <w:rPr>
                <w:snapToGrid w:val="0"/>
              </w:rPr>
            </w:pPr>
          </w:p>
        </w:tc>
        <w:tc>
          <w:tcPr>
            <w:tcW w:w="629" w:type="pct"/>
            <w:shd w:val="clear" w:color="auto" w:fill="E5E5E5" w:themeFill="accent3" w:themeFillTint="33"/>
            <w:vAlign w:val="center"/>
          </w:tcPr>
          <w:p w14:paraId="583CA4B2" w14:textId="77777777" w:rsidR="00827E5E" w:rsidRPr="00F67A3D" w:rsidRDefault="00827E5E" w:rsidP="00AD532D">
            <w:pPr>
              <w:widowControl w:val="0"/>
              <w:jc w:val="center"/>
              <w:rPr>
                <w:snapToGrid w:val="0"/>
              </w:rPr>
            </w:pPr>
          </w:p>
        </w:tc>
      </w:tr>
    </w:tbl>
    <w:p w14:paraId="40BA0565" w14:textId="77777777" w:rsidR="0027783F" w:rsidRDefault="002778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1807"/>
        <w:gridCol w:w="86"/>
        <w:gridCol w:w="1514"/>
        <w:gridCol w:w="210"/>
        <w:gridCol w:w="1810"/>
      </w:tblGrid>
      <w:tr w:rsidR="00827E5E" w:rsidRPr="00F67A3D" w14:paraId="7EF6E620" w14:textId="77777777" w:rsidTr="003426DA">
        <w:tc>
          <w:tcPr>
            <w:tcW w:w="5000" w:type="pct"/>
            <w:gridSpan w:val="6"/>
            <w:shd w:val="clear" w:color="auto" w:fill="BFBFBF" w:themeFill="background1" w:themeFillShade="BF"/>
            <w:vAlign w:val="center"/>
          </w:tcPr>
          <w:p w14:paraId="3B6DD0FA" w14:textId="77777777" w:rsidR="00827E5E" w:rsidRPr="00827E5E" w:rsidRDefault="0027783F" w:rsidP="00827E5E">
            <w:pPr>
              <w:widowControl w:val="0"/>
              <w:rPr>
                <w:snapToGrid w:val="0"/>
              </w:rPr>
            </w:pPr>
            <w:r>
              <w:rPr>
                <w:b/>
                <w:snapToGrid w:val="0"/>
              </w:rPr>
              <w:lastRenderedPageBreak/>
              <w:t xml:space="preserve">(2) </w:t>
            </w:r>
            <w:r w:rsidR="00827E5E" w:rsidRPr="00827E5E">
              <w:rPr>
                <w:b/>
                <w:snapToGrid w:val="0"/>
              </w:rPr>
              <w:t>Teaching All Students standard:</w:t>
            </w:r>
            <w:r w:rsidR="00827E5E" w:rsidRPr="00827E5E">
              <w:rPr>
                <w:snapToGrid w:val="0"/>
              </w:rPr>
              <w:t xml:space="preserve"> Promotes the learning and growth of all students through instructional practices that establish high expectations, create a safe and effective classroom environment, and demonstrate cultural proficiency.</w:t>
            </w:r>
          </w:p>
        </w:tc>
      </w:tr>
      <w:tr w:rsidR="00827E5E" w:rsidRPr="00F67A3D" w14:paraId="793971D5" w14:textId="77777777" w:rsidTr="003426DA">
        <w:trPr>
          <w:trHeight w:val="386"/>
        </w:trPr>
        <w:tc>
          <w:tcPr>
            <w:tcW w:w="3114" w:type="pct"/>
            <w:shd w:val="clear" w:color="auto" w:fill="DEEAF6" w:themeFill="accent1" w:themeFillTint="33"/>
          </w:tcPr>
          <w:p w14:paraId="60E75BA0" w14:textId="77777777" w:rsidR="00827E5E" w:rsidRPr="00827E5E" w:rsidRDefault="00827E5E" w:rsidP="00827E5E">
            <w:pPr>
              <w:widowControl w:val="0"/>
              <w:jc w:val="center"/>
              <w:rPr>
                <w:b/>
                <w:snapToGrid w:val="0"/>
              </w:rPr>
            </w:pPr>
            <w:r w:rsidRPr="00827E5E">
              <w:rPr>
                <w:b/>
                <w:snapToGrid w:val="0"/>
              </w:rPr>
              <w:t>Indicators</w:t>
            </w:r>
          </w:p>
        </w:tc>
        <w:tc>
          <w:tcPr>
            <w:tcW w:w="628" w:type="pct"/>
            <w:shd w:val="clear" w:color="auto" w:fill="DEEAF6" w:themeFill="accent1" w:themeFillTint="33"/>
          </w:tcPr>
          <w:p w14:paraId="26B2E8A9" w14:textId="77777777" w:rsidR="00827E5E" w:rsidRPr="00F67A3D" w:rsidRDefault="00827E5E" w:rsidP="00827E5E">
            <w:pPr>
              <w:widowControl w:val="0"/>
              <w:jc w:val="center"/>
              <w:rPr>
                <w:snapToGrid w:val="0"/>
              </w:rPr>
            </w:pPr>
            <w:r w:rsidRPr="00F67A3D">
              <w:rPr>
                <w:b/>
                <w:snapToGrid w:val="0"/>
              </w:rPr>
              <w:t>Introduction</w:t>
            </w:r>
          </w:p>
        </w:tc>
        <w:tc>
          <w:tcPr>
            <w:tcW w:w="629" w:type="pct"/>
            <w:gridSpan w:val="3"/>
            <w:shd w:val="clear" w:color="auto" w:fill="DEEAF6" w:themeFill="accent1" w:themeFillTint="33"/>
          </w:tcPr>
          <w:p w14:paraId="38946593" w14:textId="77777777" w:rsidR="00827E5E" w:rsidRPr="00F67A3D" w:rsidRDefault="00827E5E" w:rsidP="00827E5E">
            <w:pPr>
              <w:widowControl w:val="0"/>
              <w:jc w:val="center"/>
              <w:rPr>
                <w:snapToGrid w:val="0"/>
              </w:rPr>
            </w:pPr>
            <w:r w:rsidRPr="00F67A3D">
              <w:rPr>
                <w:b/>
                <w:snapToGrid w:val="0"/>
              </w:rPr>
              <w:t>Practice</w:t>
            </w:r>
          </w:p>
        </w:tc>
        <w:tc>
          <w:tcPr>
            <w:tcW w:w="629" w:type="pct"/>
            <w:shd w:val="clear" w:color="auto" w:fill="DEEAF6" w:themeFill="accent1" w:themeFillTint="33"/>
          </w:tcPr>
          <w:p w14:paraId="30098B80" w14:textId="77777777" w:rsidR="00827E5E" w:rsidRPr="00F67A3D" w:rsidRDefault="00827E5E" w:rsidP="00827E5E">
            <w:pPr>
              <w:widowControl w:val="0"/>
              <w:jc w:val="center"/>
              <w:rPr>
                <w:snapToGrid w:val="0"/>
              </w:rPr>
            </w:pPr>
            <w:r w:rsidRPr="00F67A3D">
              <w:rPr>
                <w:b/>
                <w:snapToGrid w:val="0"/>
              </w:rPr>
              <w:t>Demonstrate</w:t>
            </w:r>
          </w:p>
        </w:tc>
      </w:tr>
      <w:tr w:rsidR="003426DA" w:rsidRPr="00F67A3D" w14:paraId="43CB729A" w14:textId="77777777" w:rsidTr="003426DA">
        <w:tc>
          <w:tcPr>
            <w:tcW w:w="3114" w:type="pct"/>
            <w:shd w:val="clear" w:color="auto" w:fill="auto"/>
            <w:vAlign w:val="center"/>
          </w:tcPr>
          <w:p w14:paraId="2BD0EB65" w14:textId="77777777" w:rsidR="00827E5E" w:rsidRPr="00F67A3D" w:rsidRDefault="00827E5E" w:rsidP="00E96074">
            <w:pPr>
              <w:widowControl w:val="0"/>
              <w:spacing w:after="120" w:line="240" w:lineRule="auto"/>
              <w:rPr>
                <w:snapToGrid w:val="0"/>
              </w:rPr>
            </w:pPr>
            <w:r w:rsidRPr="00F67A3D">
              <w:rPr>
                <w:snapToGrid w:val="0"/>
              </w:rPr>
              <w:t>(a)  Instruction indicator: Uses instructional practices that reflect high expectations regarding content and quality of effort and work, engage all students, and are personalized to accommodate diverse learning styles, needs, interests, and levels of readiness.</w:t>
            </w:r>
          </w:p>
        </w:tc>
        <w:tc>
          <w:tcPr>
            <w:tcW w:w="628" w:type="pct"/>
            <w:shd w:val="clear" w:color="auto" w:fill="auto"/>
          </w:tcPr>
          <w:p w14:paraId="08E354A4" w14:textId="77777777" w:rsidR="00827E5E" w:rsidRPr="00F67A3D" w:rsidRDefault="00827E5E" w:rsidP="00AD532D">
            <w:pPr>
              <w:widowControl w:val="0"/>
              <w:jc w:val="center"/>
              <w:rPr>
                <w:snapToGrid w:val="0"/>
                <w:color w:val="FF0000"/>
              </w:rPr>
            </w:pPr>
          </w:p>
        </w:tc>
        <w:tc>
          <w:tcPr>
            <w:tcW w:w="629" w:type="pct"/>
            <w:gridSpan w:val="3"/>
            <w:shd w:val="clear" w:color="auto" w:fill="auto"/>
            <w:vAlign w:val="center"/>
          </w:tcPr>
          <w:p w14:paraId="1432CDFB" w14:textId="77777777" w:rsidR="00827E5E" w:rsidRPr="00F67A3D" w:rsidRDefault="00827E5E" w:rsidP="00AD532D">
            <w:pPr>
              <w:widowControl w:val="0"/>
              <w:jc w:val="center"/>
              <w:rPr>
                <w:snapToGrid w:val="0"/>
              </w:rPr>
            </w:pPr>
          </w:p>
        </w:tc>
        <w:tc>
          <w:tcPr>
            <w:tcW w:w="629" w:type="pct"/>
            <w:shd w:val="clear" w:color="auto" w:fill="E5E5E5" w:themeFill="accent3" w:themeFillTint="33"/>
            <w:vAlign w:val="center"/>
          </w:tcPr>
          <w:p w14:paraId="7C14C4B6" w14:textId="77777777" w:rsidR="00827E5E" w:rsidRPr="00F67A3D" w:rsidRDefault="00827E5E" w:rsidP="00AD532D">
            <w:pPr>
              <w:widowControl w:val="0"/>
              <w:jc w:val="center"/>
              <w:rPr>
                <w:snapToGrid w:val="0"/>
              </w:rPr>
            </w:pPr>
          </w:p>
        </w:tc>
      </w:tr>
      <w:tr w:rsidR="003426DA" w:rsidRPr="00F67A3D" w14:paraId="3FB4537D" w14:textId="77777777" w:rsidTr="003426DA">
        <w:tc>
          <w:tcPr>
            <w:tcW w:w="3114" w:type="pct"/>
            <w:shd w:val="clear" w:color="auto" w:fill="auto"/>
            <w:vAlign w:val="center"/>
          </w:tcPr>
          <w:p w14:paraId="6EF85AC7" w14:textId="77777777" w:rsidR="00827E5E" w:rsidRPr="00F67A3D" w:rsidRDefault="00827E5E" w:rsidP="00E96074">
            <w:pPr>
              <w:widowControl w:val="0"/>
              <w:spacing w:after="120" w:line="240" w:lineRule="auto"/>
              <w:rPr>
                <w:snapToGrid w:val="0"/>
              </w:rPr>
            </w:pPr>
            <w:r w:rsidRPr="00F67A3D">
              <w:rPr>
                <w:snapToGrid w:val="0"/>
              </w:rPr>
              <w:t>(b)  Learning Environment indicator: Creates and maintains a safe and collaborative learning environment that values diversity and motivates students to take academic risks, challenge themselves, and claim ownership of their learning.</w:t>
            </w:r>
          </w:p>
        </w:tc>
        <w:tc>
          <w:tcPr>
            <w:tcW w:w="628" w:type="pct"/>
            <w:shd w:val="clear" w:color="auto" w:fill="auto"/>
          </w:tcPr>
          <w:p w14:paraId="48BF8685" w14:textId="77777777" w:rsidR="00827E5E" w:rsidRPr="00F67A3D" w:rsidRDefault="00827E5E" w:rsidP="00AD532D">
            <w:pPr>
              <w:widowControl w:val="0"/>
              <w:jc w:val="center"/>
              <w:rPr>
                <w:snapToGrid w:val="0"/>
              </w:rPr>
            </w:pPr>
          </w:p>
        </w:tc>
        <w:tc>
          <w:tcPr>
            <w:tcW w:w="629" w:type="pct"/>
            <w:gridSpan w:val="3"/>
            <w:shd w:val="clear" w:color="auto" w:fill="auto"/>
            <w:vAlign w:val="center"/>
          </w:tcPr>
          <w:p w14:paraId="76986A77" w14:textId="77777777" w:rsidR="00827E5E" w:rsidRPr="00F67A3D" w:rsidRDefault="00827E5E" w:rsidP="00AD532D">
            <w:pPr>
              <w:widowControl w:val="0"/>
              <w:jc w:val="center"/>
              <w:rPr>
                <w:snapToGrid w:val="0"/>
              </w:rPr>
            </w:pPr>
          </w:p>
        </w:tc>
        <w:tc>
          <w:tcPr>
            <w:tcW w:w="629" w:type="pct"/>
            <w:shd w:val="clear" w:color="auto" w:fill="E5E5E5" w:themeFill="accent3" w:themeFillTint="33"/>
            <w:vAlign w:val="center"/>
          </w:tcPr>
          <w:p w14:paraId="50394261" w14:textId="77777777" w:rsidR="00827E5E" w:rsidRPr="00F67A3D" w:rsidRDefault="00827E5E" w:rsidP="00AD532D">
            <w:pPr>
              <w:widowControl w:val="0"/>
              <w:jc w:val="center"/>
              <w:rPr>
                <w:snapToGrid w:val="0"/>
              </w:rPr>
            </w:pPr>
          </w:p>
        </w:tc>
      </w:tr>
      <w:tr w:rsidR="003426DA" w:rsidRPr="00F67A3D" w14:paraId="70275C91" w14:textId="77777777" w:rsidTr="003426DA">
        <w:trPr>
          <w:trHeight w:val="863"/>
        </w:trPr>
        <w:tc>
          <w:tcPr>
            <w:tcW w:w="3114" w:type="pct"/>
            <w:shd w:val="clear" w:color="auto" w:fill="auto"/>
            <w:vAlign w:val="center"/>
          </w:tcPr>
          <w:p w14:paraId="03F3AA7F" w14:textId="77777777" w:rsidR="00827E5E" w:rsidRPr="00F67A3D" w:rsidRDefault="00827E5E" w:rsidP="00E96074">
            <w:pPr>
              <w:widowControl w:val="0"/>
              <w:spacing w:after="120" w:line="240" w:lineRule="auto"/>
              <w:rPr>
                <w:snapToGrid w:val="0"/>
              </w:rPr>
            </w:pPr>
            <w:r w:rsidRPr="00F67A3D">
              <w:rPr>
                <w:snapToGrid w:val="0"/>
              </w:rPr>
              <w:t>(c)  Cultural Proficiency indicator: Actively creates and maintains an environment in which students' diverse backgrounds, identities, strengths, and challenges are respected.</w:t>
            </w:r>
          </w:p>
        </w:tc>
        <w:tc>
          <w:tcPr>
            <w:tcW w:w="628" w:type="pct"/>
            <w:shd w:val="clear" w:color="auto" w:fill="auto"/>
          </w:tcPr>
          <w:p w14:paraId="35E07393" w14:textId="77777777" w:rsidR="00827E5E" w:rsidRPr="00F67A3D" w:rsidRDefault="00827E5E" w:rsidP="00AD532D">
            <w:pPr>
              <w:widowControl w:val="0"/>
              <w:jc w:val="center"/>
              <w:rPr>
                <w:snapToGrid w:val="0"/>
              </w:rPr>
            </w:pPr>
          </w:p>
        </w:tc>
        <w:tc>
          <w:tcPr>
            <w:tcW w:w="629" w:type="pct"/>
            <w:gridSpan w:val="3"/>
            <w:shd w:val="clear" w:color="auto" w:fill="auto"/>
            <w:vAlign w:val="center"/>
          </w:tcPr>
          <w:p w14:paraId="7EBE9308" w14:textId="77777777" w:rsidR="00827E5E" w:rsidRPr="00F67A3D" w:rsidRDefault="00827E5E" w:rsidP="00AD532D">
            <w:pPr>
              <w:widowControl w:val="0"/>
              <w:jc w:val="center"/>
              <w:rPr>
                <w:snapToGrid w:val="0"/>
              </w:rPr>
            </w:pPr>
          </w:p>
        </w:tc>
        <w:tc>
          <w:tcPr>
            <w:tcW w:w="629" w:type="pct"/>
            <w:shd w:val="clear" w:color="auto" w:fill="E5E5E5" w:themeFill="accent3" w:themeFillTint="33"/>
            <w:vAlign w:val="center"/>
          </w:tcPr>
          <w:p w14:paraId="701BA8CB" w14:textId="77777777" w:rsidR="00827E5E" w:rsidRPr="00F67A3D" w:rsidRDefault="00827E5E" w:rsidP="00AD532D">
            <w:pPr>
              <w:widowControl w:val="0"/>
              <w:jc w:val="center"/>
              <w:rPr>
                <w:snapToGrid w:val="0"/>
              </w:rPr>
            </w:pPr>
          </w:p>
        </w:tc>
      </w:tr>
      <w:tr w:rsidR="003426DA" w:rsidRPr="00F67A3D" w14:paraId="7A7E5DBA" w14:textId="77777777" w:rsidTr="00E96074">
        <w:trPr>
          <w:trHeight w:val="852"/>
        </w:trPr>
        <w:tc>
          <w:tcPr>
            <w:tcW w:w="3114" w:type="pct"/>
            <w:shd w:val="clear" w:color="auto" w:fill="auto"/>
            <w:vAlign w:val="center"/>
          </w:tcPr>
          <w:p w14:paraId="31172B60" w14:textId="77777777" w:rsidR="00827E5E" w:rsidRPr="00F67A3D" w:rsidRDefault="00827E5E" w:rsidP="00E96074">
            <w:pPr>
              <w:widowControl w:val="0"/>
              <w:spacing w:after="120" w:line="240" w:lineRule="auto"/>
              <w:rPr>
                <w:snapToGrid w:val="0"/>
              </w:rPr>
            </w:pPr>
            <w:r w:rsidRPr="00F67A3D">
              <w:rPr>
                <w:snapToGrid w:val="0"/>
              </w:rPr>
              <w:t>(d)  Expectations indicator: Plans and implements lessons that set clear and high expectations and make knowledge accessible for all students.</w:t>
            </w:r>
          </w:p>
        </w:tc>
        <w:tc>
          <w:tcPr>
            <w:tcW w:w="628" w:type="pct"/>
            <w:shd w:val="clear" w:color="auto" w:fill="auto"/>
          </w:tcPr>
          <w:p w14:paraId="60E7CFB9" w14:textId="77777777" w:rsidR="00827E5E" w:rsidRPr="00F67A3D" w:rsidRDefault="00827E5E" w:rsidP="00AD532D">
            <w:pPr>
              <w:widowControl w:val="0"/>
              <w:jc w:val="center"/>
              <w:rPr>
                <w:snapToGrid w:val="0"/>
              </w:rPr>
            </w:pPr>
          </w:p>
        </w:tc>
        <w:tc>
          <w:tcPr>
            <w:tcW w:w="629" w:type="pct"/>
            <w:gridSpan w:val="3"/>
            <w:shd w:val="clear" w:color="auto" w:fill="auto"/>
            <w:vAlign w:val="center"/>
          </w:tcPr>
          <w:p w14:paraId="3818E1D8" w14:textId="77777777" w:rsidR="00827E5E" w:rsidRPr="00F67A3D" w:rsidRDefault="00827E5E" w:rsidP="00AD532D">
            <w:pPr>
              <w:widowControl w:val="0"/>
              <w:jc w:val="center"/>
              <w:rPr>
                <w:snapToGrid w:val="0"/>
              </w:rPr>
            </w:pPr>
          </w:p>
        </w:tc>
        <w:tc>
          <w:tcPr>
            <w:tcW w:w="629" w:type="pct"/>
            <w:shd w:val="clear" w:color="auto" w:fill="E5E5E5" w:themeFill="accent3" w:themeFillTint="33"/>
            <w:vAlign w:val="center"/>
          </w:tcPr>
          <w:p w14:paraId="2D9CFC0E" w14:textId="77777777" w:rsidR="00827E5E" w:rsidRPr="00F67A3D" w:rsidRDefault="00827E5E" w:rsidP="00AD532D">
            <w:pPr>
              <w:widowControl w:val="0"/>
              <w:jc w:val="center"/>
              <w:rPr>
                <w:snapToGrid w:val="0"/>
              </w:rPr>
            </w:pPr>
          </w:p>
        </w:tc>
      </w:tr>
      <w:tr w:rsidR="003426DA" w:rsidRPr="00F67A3D" w14:paraId="561A0B10" w14:textId="77777777" w:rsidTr="00E96074">
        <w:trPr>
          <w:trHeight w:val="1068"/>
        </w:trPr>
        <w:tc>
          <w:tcPr>
            <w:tcW w:w="3114" w:type="pct"/>
            <w:shd w:val="clear" w:color="auto" w:fill="auto"/>
            <w:vAlign w:val="center"/>
          </w:tcPr>
          <w:p w14:paraId="5CDEB50F" w14:textId="77777777" w:rsidR="00827E5E" w:rsidRPr="00F67A3D" w:rsidRDefault="00827E5E" w:rsidP="00E96074">
            <w:pPr>
              <w:widowControl w:val="0"/>
              <w:spacing w:after="120" w:line="240" w:lineRule="auto"/>
              <w:rPr>
                <w:snapToGrid w:val="0"/>
              </w:rPr>
            </w:pPr>
            <w:r w:rsidRPr="00F67A3D">
              <w:rPr>
                <w:snapToGrid w:val="0"/>
              </w:rPr>
              <w:t xml:space="preserve">(e) Social and Emotional Learning Indicator: Employs a variety of strategies to assist students to develop social </w:t>
            </w:r>
            <w:proofErr w:type="gramStart"/>
            <w:r w:rsidRPr="00F67A3D">
              <w:rPr>
                <w:snapToGrid w:val="0"/>
              </w:rPr>
              <w:t>emotional-competencies</w:t>
            </w:r>
            <w:proofErr w:type="gramEnd"/>
            <w:r w:rsidRPr="00F67A3D">
              <w:rPr>
                <w:snapToGrid w:val="0"/>
              </w:rPr>
              <w:t xml:space="preserve">: self-awareness, self-management, social awareness, relationship skills, and responsible decision-making. </w:t>
            </w:r>
          </w:p>
        </w:tc>
        <w:tc>
          <w:tcPr>
            <w:tcW w:w="628" w:type="pct"/>
            <w:shd w:val="clear" w:color="auto" w:fill="auto"/>
          </w:tcPr>
          <w:p w14:paraId="66D4F077" w14:textId="77777777" w:rsidR="00827E5E" w:rsidRPr="00F67A3D" w:rsidRDefault="00827E5E" w:rsidP="00AD532D">
            <w:pPr>
              <w:widowControl w:val="0"/>
              <w:jc w:val="center"/>
              <w:rPr>
                <w:snapToGrid w:val="0"/>
              </w:rPr>
            </w:pPr>
          </w:p>
        </w:tc>
        <w:tc>
          <w:tcPr>
            <w:tcW w:w="629" w:type="pct"/>
            <w:gridSpan w:val="3"/>
            <w:shd w:val="clear" w:color="auto" w:fill="E5E5E5" w:themeFill="accent3" w:themeFillTint="33"/>
            <w:vAlign w:val="center"/>
          </w:tcPr>
          <w:p w14:paraId="1219F447" w14:textId="77777777" w:rsidR="00827E5E" w:rsidRPr="00F67A3D" w:rsidRDefault="00827E5E" w:rsidP="00AD532D">
            <w:pPr>
              <w:widowControl w:val="0"/>
              <w:jc w:val="center"/>
              <w:rPr>
                <w:snapToGrid w:val="0"/>
              </w:rPr>
            </w:pPr>
          </w:p>
        </w:tc>
        <w:tc>
          <w:tcPr>
            <w:tcW w:w="629" w:type="pct"/>
            <w:shd w:val="clear" w:color="auto" w:fill="auto"/>
            <w:vAlign w:val="center"/>
          </w:tcPr>
          <w:p w14:paraId="08BD029E" w14:textId="77777777" w:rsidR="00827E5E" w:rsidRPr="00F67A3D" w:rsidRDefault="00827E5E" w:rsidP="00AD532D">
            <w:pPr>
              <w:widowControl w:val="0"/>
              <w:jc w:val="center"/>
              <w:rPr>
                <w:snapToGrid w:val="0"/>
              </w:rPr>
            </w:pPr>
          </w:p>
        </w:tc>
      </w:tr>
      <w:tr w:rsidR="003426DA" w:rsidRPr="00F67A3D" w14:paraId="373A311F" w14:textId="77777777" w:rsidTr="00E96074">
        <w:trPr>
          <w:trHeight w:val="1068"/>
        </w:trPr>
        <w:tc>
          <w:tcPr>
            <w:tcW w:w="3114" w:type="pct"/>
            <w:shd w:val="clear" w:color="auto" w:fill="auto"/>
            <w:vAlign w:val="center"/>
          </w:tcPr>
          <w:p w14:paraId="40275056" w14:textId="77777777" w:rsidR="00827E5E" w:rsidRPr="00F67A3D" w:rsidRDefault="00827E5E" w:rsidP="00E96074">
            <w:pPr>
              <w:widowControl w:val="0"/>
              <w:spacing w:after="120" w:line="240" w:lineRule="auto"/>
              <w:rPr>
                <w:snapToGrid w:val="0"/>
              </w:rPr>
            </w:pPr>
            <w:r w:rsidRPr="00F67A3D">
              <w:rPr>
                <w:snapToGrid w:val="0"/>
              </w:rPr>
              <w:t xml:space="preserve">(f)  Classroom Management Indicator:  Employs a variety of classroom management strategies, and establishes and maintains effective routines and procedures that promote positive student behavior. </w:t>
            </w:r>
          </w:p>
        </w:tc>
        <w:tc>
          <w:tcPr>
            <w:tcW w:w="628" w:type="pct"/>
            <w:shd w:val="clear" w:color="auto" w:fill="auto"/>
          </w:tcPr>
          <w:p w14:paraId="3F41BFD2" w14:textId="77777777" w:rsidR="00827E5E" w:rsidRPr="00F67A3D" w:rsidRDefault="00827E5E" w:rsidP="00AD532D">
            <w:pPr>
              <w:widowControl w:val="0"/>
              <w:jc w:val="center"/>
              <w:rPr>
                <w:snapToGrid w:val="0"/>
              </w:rPr>
            </w:pPr>
          </w:p>
        </w:tc>
        <w:tc>
          <w:tcPr>
            <w:tcW w:w="629" w:type="pct"/>
            <w:gridSpan w:val="3"/>
            <w:shd w:val="clear" w:color="auto" w:fill="auto"/>
            <w:vAlign w:val="center"/>
          </w:tcPr>
          <w:p w14:paraId="5868A731" w14:textId="77777777" w:rsidR="00827E5E" w:rsidRPr="00F67A3D" w:rsidRDefault="00827E5E" w:rsidP="00AD532D">
            <w:pPr>
              <w:widowControl w:val="0"/>
              <w:jc w:val="center"/>
              <w:rPr>
                <w:snapToGrid w:val="0"/>
              </w:rPr>
            </w:pPr>
          </w:p>
        </w:tc>
        <w:tc>
          <w:tcPr>
            <w:tcW w:w="629" w:type="pct"/>
            <w:shd w:val="clear" w:color="auto" w:fill="E5E5E5" w:themeFill="accent3" w:themeFillTint="33"/>
            <w:vAlign w:val="center"/>
          </w:tcPr>
          <w:p w14:paraId="41E2DCB7" w14:textId="77777777" w:rsidR="00827E5E" w:rsidRPr="00F67A3D" w:rsidRDefault="00827E5E" w:rsidP="00AD532D">
            <w:pPr>
              <w:widowControl w:val="0"/>
              <w:jc w:val="center"/>
              <w:rPr>
                <w:snapToGrid w:val="0"/>
              </w:rPr>
            </w:pPr>
          </w:p>
        </w:tc>
      </w:tr>
      <w:tr w:rsidR="003426DA" w:rsidRPr="00F67A3D" w14:paraId="24B56FA8" w14:textId="77777777" w:rsidTr="00E96074">
        <w:trPr>
          <w:trHeight w:val="672"/>
        </w:trPr>
        <w:tc>
          <w:tcPr>
            <w:tcW w:w="3114" w:type="pct"/>
            <w:shd w:val="clear" w:color="auto" w:fill="auto"/>
            <w:vAlign w:val="center"/>
          </w:tcPr>
          <w:p w14:paraId="4E7B4788" w14:textId="77777777" w:rsidR="00827E5E" w:rsidRDefault="00827E5E" w:rsidP="00E96074">
            <w:pPr>
              <w:spacing w:after="120" w:line="240" w:lineRule="auto"/>
              <w:contextualSpacing/>
              <w:rPr>
                <w:rFonts w:eastAsia="Calibri"/>
              </w:rPr>
            </w:pPr>
            <w:r w:rsidRPr="00F67A3D">
              <w:rPr>
                <w:rFonts w:eastAsia="Calibri"/>
              </w:rPr>
              <w:t>SEI Indicator (b) Uses effective strategies and techniques for making content accessible to English language learners.</w:t>
            </w:r>
          </w:p>
          <w:p w14:paraId="6A73FB01" w14:textId="77777777" w:rsidR="0027783F" w:rsidRPr="00F67A3D" w:rsidRDefault="0027783F" w:rsidP="00E96074">
            <w:pPr>
              <w:spacing w:after="120" w:line="240" w:lineRule="auto"/>
              <w:contextualSpacing/>
              <w:rPr>
                <w:rFonts w:eastAsia="Calibri"/>
              </w:rPr>
            </w:pPr>
          </w:p>
        </w:tc>
        <w:tc>
          <w:tcPr>
            <w:tcW w:w="628" w:type="pct"/>
            <w:shd w:val="clear" w:color="auto" w:fill="auto"/>
          </w:tcPr>
          <w:p w14:paraId="7E7143F4" w14:textId="77777777" w:rsidR="00827E5E" w:rsidRPr="00F67A3D" w:rsidRDefault="00827E5E" w:rsidP="00AD532D">
            <w:pPr>
              <w:widowControl w:val="0"/>
              <w:jc w:val="center"/>
              <w:rPr>
                <w:b/>
                <w:snapToGrid w:val="0"/>
              </w:rPr>
            </w:pPr>
          </w:p>
        </w:tc>
        <w:tc>
          <w:tcPr>
            <w:tcW w:w="629" w:type="pct"/>
            <w:gridSpan w:val="3"/>
            <w:shd w:val="clear" w:color="auto" w:fill="auto"/>
            <w:vAlign w:val="center"/>
          </w:tcPr>
          <w:p w14:paraId="5A48EBBD" w14:textId="77777777" w:rsidR="00827E5E" w:rsidRPr="00F67A3D" w:rsidRDefault="00827E5E" w:rsidP="00AD532D">
            <w:pPr>
              <w:widowControl w:val="0"/>
              <w:jc w:val="center"/>
              <w:rPr>
                <w:snapToGrid w:val="0"/>
              </w:rPr>
            </w:pPr>
          </w:p>
        </w:tc>
        <w:tc>
          <w:tcPr>
            <w:tcW w:w="629" w:type="pct"/>
            <w:shd w:val="clear" w:color="auto" w:fill="E5E5E5" w:themeFill="accent3" w:themeFillTint="33"/>
            <w:vAlign w:val="center"/>
          </w:tcPr>
          <w:p w14:paraId="3A88947E" w14:textId="77777777" w:rsidR="00827E5E" w:rsidRPr="00F67A3D" w:rsidRDefault="00827E5E" w:rsidP="00AD532D">
            <w:pPr>
              <w:widowControl w:val="0"/>
              <w:jc w:val="center"/>
              <w:rPr>
                <w:snapToGrid w:val="0"/>
              </w:rPr>
            </w:pPr>
          </w:p>
        </w:tc>
      </w:tr>
      <w:tr w:rsidR="003426DA" w:rsidRPr="00F67A3D" w14:paraId="7FBABA47" w14:textId="77777777" w:rsidTr="00E96074">
        <w:trPr>
          <w:trHeight w:val="753"/>
        </w:trPr>
        <w:tc>
          <w:tcPr>
            <w:tcW w:w="3114" w:type="pct"/>
            <w:shd w:val="clear" w:color="auto" w:fill="auto"/>
            <w:vAlign w:val="center"/>
          </w:tcPr>
          <w:p w14:paraId="5F893740" w14:textId="77777777" w:rsidR="00827E5E" w:rsidRPr="00F67A3D" w:rsidRDefault="00827E5E" w:rsidP="00E96074">
            <w:pPr>
              <w:widowControl w:val="0"/>
              <w:spacing w:after="120" w:line="240" w:lineRule="auto"/>
              <w:rPr>
                <w:snapToGrid w:val="0"/>
              </w:rPr>
            </w:pPr>
            <w:r w:rsidRPr="00F67A3D">
              <w:rPr>
                <w:snapToGrid w:val="0"/>
              </w:rPr>
              <w:t>SEI Indicator (d) Creates and maintains a safe and collaborative learning environment that values diversity and motivates students to meet high standards of conduct, effort and performance.</w:t>
            </w:r>
          </w:p>
        </w:tc>
        <w:tc>
          <w:tcPr>
            <w:tcW w:w="628" w:type="pct"/>
            <w:shd w:val="clear" w:color="auto" w:fill="auto"/>
          </w:tcPr>
          <w:p w14:paraId="2E198D6F" w14:textId="77777777" w:rsidR="00827E5E" w:rsidRPr="00F67A3D" w:rsidRDefault="00827E5E" w:rsidP="00AD532D">
            <w:pPr>
              <w:widowControl w:val="0"/>
              <w:jc w:val="center"/>
              <w:rPr>
                <w:b/>
                <w:snapToGrid w:val="0"/>
              </w:rPr>
            </w:pPr>
          </w:p>
        </w:tc>
        <w:tc>
          <w:tcPr>
            <w:tcW w:w="629" w:type="pct"/>
            <w:gridSpan w:val="3"/>
            <w:shd w:val="clear" w:color="auto" w:fill="auto"/>
            <w:vAlign w:val="center"/>
          </w:tcPr>
          <w:p w14:paraId="2553A67B" w14:textId="77777777" w:rsidR="00827E5E" w:rsidRPr="00F67A3D" w:rsidRDefault="00827E5E" w:rsidP="00AD532D">
            <w:pPr>
              <w:widowControl w:val="0"/>
              <w:jc w:val="center"/>
              <w:rPr>
                <w:snapToGrid w:val="0"/>
              </w:rPr>
            </w:pPr>
          </w:p>
        </w:tc>
        <w:tc>
          <w:tcPr>
            <w:tcW w:w="629" w:type="pct"/>
            <w:shd w:val="clear" w:color="auto" w:fill="E5E5E5" w:themeFill="accent3" w:themeFillTint="33"/>
            <w:vAlign w:val="center"/>
          </w:tcPr>
          <w:p w14:paraId="15267748" w14:textId="77777777" w:rsidR="00827E5E" w:rsidRPr="00F67A3D" w:rsidRDefault="00827E5E" w:rsidP="00AD532D">
            <w:pPr>
              <w:widowControl w:val="0"/>
              <w:jc w:val="center"/>
              <w:rPr>
                <w:snapToGrid w:val="0"/>
              </w:rPr>
            </w:pPr>
          </w:p>
        </w:tc>
      </w:tr>
      <w:tr w:rsidR="00827E5E" w:rsidRPr="00F67A3D" w14:paraId="5EAA37AA" w14:textId="77777777" w:rsidTr="003426DA">
        <w:tc>
          <w:tcPr>
            <w:tcW w:w="5000" w:type="pct"/>
            <w:gridSpan w:val="6"/>
            <w:shd w:val="clear" w:color="auto" w:fill="BFBFBF" w:themeFill="background1" w:themeFillShade="BF"/>
            <w:vAlign w:val="center"/>
          </w:tcPr>
          <w:p w14:paraId="39892DAE" w14:textId="77777777" w:rsidR="00827E5E" w:rsidRPr="00F67A3D" w:rsidRDefault="0027783F" w:rsidP="00AD532D">
            <w:pPr>
              <w:widowControl w:val="0"/>
              <w:rPr>
                <w:snapToGrid w:val="0"/>
              </w:rPr>
            </w:pPr>
            <w:r>
              <w:rPr>
                <w:b/>
                <w:snapToGrid w:val="0"/>
              </w:rPr>
              <w:lastRenderedPageBreak/>
              <w:t xml:space="preserve">(3) </w:t>
            </w:r>
            <w:r w:rsidR="00827E5E" w:rsidRPr="00F67A3D">
              <w:rPr>
                <w:b/>
                <w:snapToGrid w:val="0"/>
              </w:rPr>
              <w:t>Family and Community Engagement standard:</w:t>
            </w:r>
            <w:r w:rsidR="00827E5E" w:rsidRPr="00F67A3D">
              <w:rPr>
                <w:snapToGrid w:val="0"/>
              </w:rPr>
              <w:t xml:space="preserve"> Promotes the learning and growth of all students through effective partnerships with families, caregivers, community members, and organizations.</w:t>
            </w:r>
          </w:p>
        </w:tc>
      </w:tr>
      <w:tr w:rsidR="003426DA" w:rsidRPr="00F67A3D" w14:paraId="29942D01" w14:textId="77777777" w:rsidTr="00B763C3">
        <w:tc>
          <w:tcPr>
            <w:tcW w:w="3114" w:type="pct"/>
            <w:shd w:val="clear" w:color="auto" w:fill="DEEAF6" w:themeFill="accent1" w:themeFillTint="33"/>
          </w:tcPr>
          <w:p w14:paraId="43264B3A" w14:textId="77777777" w:rsidR="003426DA" w:rsidRPr="00827E5E" w:rsidRDefault="003426DA" w:rsidP="00AD532D">
            <w:pPr>
              <w:widowControl w:val="0"/>
              <w:jc w:val="center"/>
              <w:rPr>
                <w:b/>
                <w:snapToGrid w:val="0"/>
              </w:rPr>
            </w:pPr>
            <w:r w:rsidRPr="00827E5E">
              <w:rPr>
                <w:b/>
                <w:snapToGrid w:val="0"/>
              </w:rPr>
              <w:t>Indicators</w:t>
            </w:r>
          </w:p>
        </w:tc>
        <w:tc>
          <w:tcPr>
            <w:tcW w:w="658" w:type="pct"/>
            <w:gridSpan w:val="2"/>
            <w:shd w:val="clear" w:color="auto" w:fill="DEEAF6" w:themeFill="accent1" w:themeFillTint="33"/>
          </w:tcPr>
          <w:p w14:paraId="2F20BB13" w14:textId="77777777" w:rsidR="003426DA" w:rsidRPr="00F67A3D" w:rsidRDefault="003426DA" w:rsidP="00AD532D">
            <w:pPr>
              <w:widowControl w:val="0"/>
              <w:jc w:val="center"/>
              <w:rPr>
                <w:snapToGrid w:val="0"/>
              </w:rPr>
            </w:pPr>
            <w:r w:rsidRPr="00F67A3D">
              <w:rPr>
                <w:b/>
                <w:snapToGrid w:val="0"/>
              </w:rPr>
              <w:t>Introduction</w:t>
            </w:r>
          </w:p>
        </w:tc>
        <w:tc>
          <w:tcPr>
            <w:tcW w:w="526" w:type="pct"/>
            <w:shd w:val="clear" w:color="auto" w:fill="DEEAF6" w:themeFill="accent1" w:themeFillTint="33"/>
          </w:tcPr>
          <w:p w14:paraId="15B59AED" w14:textId="77777777" w:rsidR="003426DA" w:rsidRPr="00F67A3D" w:rsidRDefault="003426DA" w:rsidP="00AD532D">
            <w:pPr>
              <w:widowControl w:val="0"/>
              <w:jc w:val="center"/>
              <w:rPr>
                <w:snapToGrid w:val="0"/>
              </w:rPr>
            </w:pPr>
            <w:r w:rsidRPr="00F67A3D">
              <w:rPr>
                <w:b/>
                <w:snapToGrid w:val="0"/>
              </w:rPr>
              <w:t>Practice</w:t>
            </w:r>
          </w:p>
        </w:tc>
        <w:tc>
          <w:tcPr>
            <w:tcW w:w="702" w:type="pct"/>
            <w:gridSpan w:val="2"/>
            <w:shd w:val="clear" w:color="auto" w:fill="DEEAF6" w:themeFill="accent1" w:themeFillTint="33"/>
          </w:tcPr>
          <w:p w14:paraId="73053376" w14:textId="77777777" w:rsidR="003426DA" w:rsidRPr="00F67A3D" w:rsidRDefault="003426DA" w:rsidP="00AD532D">
            <w:pPr>
              <w:widowControl w:val="0"/>
              <w:jc w:val="center"/>
              <w:rPr>
                <w:snapToGrid w:val="0"/>
              </w:rPr>
            </w:pPr>
            <w:r w:rsidRPr="00F67A3D">
              <w:rPr>
                <w:b/>
                <w:snapToGrid w:val="0"/>
              </w:rPr>
              <w:t>Demonstrate</w:t>
            </w:r>
          </w:p>
        </w:tc>
      </w:tr>
      <w:tr w:rsidR="003426DA" w:rsidRPr="00F67A3D" w14:paraId="68D90D04" w14:textId="77777777" w:rsidTr="00E96074">
        <w:trPr>
          <w:trHeight w:val="720"/>
        </w:trPr>
        <w:tc>
          <w:tcPr>
            <w:tcW w:w="3114" w:type="pct"/>
            <w:shd w:val="clear" w:color="auto" w:fill="auto"/>
            <w:vAlign w:val="center"/>
          </w:tcPr>
          <w:p w14:paraId="348F5203" w14:textId="77777777" w:rsidR="00827E5E" w:rsidRPr="00F67A3D" w:rsidRDefault="00827E5E" w:rsidP="00E96074">
            <w:pPr>
              <w:widowControl w:val="0"/>
              <w:spacing w:after="120" w:line="240" w:lineRule="auto"/>
              <w:rPr>
                <w:snapToGrid w:val="0"/>
              </w:rPr>
            </w:pPr>
            <w:r w:rsidRPr="00F67A3D">
              <w:rPr>
                <w:snapToGrid w:val="0"/>
              </w:rPr>
              <w:t>(a)  Engagement indicator: Welcomes and encourages every family to become active participants in the classroom and school community.</w:t>
            </w:r>
          </w:p>
        </w:tc>
        <w:tc>
          <w:tcPr>
            <w:tcW w:w="658" w:type="pct"/>
            <w:gridSpan w:val="2"/>
            <w:shd w:val="clear" w:color="auto" w:fill="auto"/>
            <w:vAlign w:val="center"/>
          </w:tcPr>
          <w:p w14:paraId="7949FDF9" w14:textId="77777777" w:rsidR="00827E5E" w:rsidRPr="00F67A3D" w:rsidRDefault="00827E5E" w:rsidP="00AD532D">
            <w:pPr>
              <w:widowControl w:val="0"/>
              <w:jc w:val="center"/>
              <w:rPr>
                <w:snapToGrid w:val="0"/>
              </w:rPr>
            </w:pPr>
          </w:p>
          <w:p w14:paraId="26A14533" w14:textId="77777777" w:rsidR="00827E5E" w:rsidRPr="00F67A3D" w:rsidRDefault="00827E5E" w:rsidP="00AD532D">
            <w:pPr>
              <w:widowControl w:val="0"/>
              <w:jc w:val="center"/>
              <w:rPr>
                <w:snapToGrid w:val="0"/>
              </w:rPr>
            </w:pPr>
          </w:p>
        </w:tc>
        <w:tc>
          <w:tcPr>
            <w:tcW w:w="526" w:type="pct"/>
            <w:shd w:val="clear" w:color="auto" w:fill="E5E5E5" w:themeFill="accent3" w:themeFillTint="33"/>
            <w:vAlign w:val="center"/>
          </w:tcPr>
          <w:p w14:paraId="13E8863A" w14:textId="77777777" w:rsidR="00827E5E" w:rsidRPr="00F67A3D" w:rsidRDefault="00827E5E" w:rsidP="00AD532D">
            <w:pPr>
              <w:widowControl w:val="0"/>
              <w:jc w:val="center"/>
              <w:rPr>
                <w:snapToGrid w:val="0"/>
                <w:color w:val="FF0000"/>
              </w:rPr>
            </w:pPr>
          </w:p>
        </w:tc>
        <w:tc>
          <w:tcPr>
            <w:tcW w:w="702" w:type="pct"/>
            <w:gridSpan w:val="2"/>
            <w:shd w:val="clear" w:color="auto" w:fill="auto"/>
            <w:vAlign w:val="center"/>
          </w:tcPr>
          <w:p w14:paraId="5A722A99" w14:textId="77777777" w:rsidR="00827E5E" w:rsidRPr="00F67A3D" w:rsidRDefault="00827E5E" w:rsidP="00AD532D">
            <w:pPr>
              <w:widowControl w:val="0"/>
              <w:jc w:val="center"/>
              <w:rPr>
                <w:snapToGrid w:val="0"/>
              </w:rPr>
            </w:pPr>
          </w:p>
        </w:tc>
      </w:tr>
      <w:tr w:rsidR="003426DA" w:rsidRPr="00F67A3D" w14:paraId="37C98980" w14:textId="77777777" w:rsidTr="00E96074">
        <w:trPr>
          <w:trHeight w:val="852"/>
        </w:trPr>
        <w:tc>
          <w:tcPr>
            <w:tcW w:w="3114" w:type="pct"/>
            <w:shd w:val="clear" w:color="auto" w:fill="auto"/>
            <w:vAlign w:val="center"/>
          </w:tcPr>
          <w:p w14:paraId="69D53FB2" w14:textId="77777777" w:rsidR="00827E5E" w:rsidRPr="00F67A3D" w:rsidRDefault="00827E5E" w:rsidP="00E96074">
            <w:pPr>
              <w:widowControl w:val="0"/>
              <w:spacing w:after="120" w:line="240" w:lineRule="auto"/>
              <w:rPr>
                <w:snapToGrid w:val="0"/>
              </w:rPr>
            </w:pPr>
            <w:r w:rsidRPr="00F67A3D">
              <w:rPr>
                <w:snapToGrid w:val="0"/>
              </w:rPr>
              <w:t>(b) Collaboration indicator: Collaborates with families and communities to create and implement strategies for supporting student learning and development both at home and at school.</w:t>
            </w:r>
          </w:p>
        </w:tc>
        <w:tc>
          <w:tcPr>
            <w:tcW w:w="658" w:type="pct"/>
            <w:gridSpan w:val="2"/>
            <w:shd w:val="clear" w:color="auto" w:fill="auto"/>
            <w:vAlign w:val="center"/>
          </w:tcPr>
          <w:p w14:paraId="34F9896C" w14:textId="77777777" w:rsidR="00827E5E" w:rsidRPr="00F67A3D" w:rsidRDefault="00827E5E" w:rsidP="00AD532D">
            <w:pPr>
              <w:widowControl w:val="0"/>
              <w:jc w:val="center"/>
              <w:rPr>
                <w:snapToGrid w:val="0"/>
              </w:rPr>
            </w:pPr>
          </w:p>
        </w:tc>
        <w:tc>
          <w:tcPr>
            <w:tcW w:w="526" w:type="pct"/>
            <w:shd w:val="clear" w:color="auto" w:fill="E5E5E5" w:themeFill="accent3" w:themeFillTint="33"/>
            <w:vAlign w:val="center"/>
          </w:tcPr>
          <w:p w14:paraId="6419D471" w14:textId="77777777" w:rsidR="00827E5E" w:rsidRPr="00F67A3D" w:rsidRDefault="00827E5E" w:rsidP="00AD532D">
            <w:pPr>
              <w:widowControl w:val="0"/>
              <w:jc w:val="center"/>
              <w:rPr>
                <w:snapToGrid w:val="0"/>
              </w:rPr>
            </w:pPr>
          </w:p>
        </w:tc>
        <w:tc>
          <w:tcPr>
            <w:tcW w:w="702" w:type="pct"/>
            <w:gridSpan w:val="2"/>
            <w:shd w:val="clear" w:color="auto" w:fill="auto"/>
            <w:vAlign w:val="center"/>
          </w:tcPr>
          <w:p w14:paraId="4DF7D595" w14:textId="77777777" w:rsidR="00827E5E" w:rsidRPr="00F67A3D" w:rsidRDefault="00827E5E" w:rsidP="00AD532D">
            <w:pPr>
              <w:widowControl w:val="0"/>
              <w:jc w:val="center"/>
              <w:rPr>
                <w:snapToGrid w:val="0"/>
              </w:rPr>
            </w:pPr>
          </w:p>
        </w:tc>
      </w:tr>
      <w:tr w:rsidR="003426DA" w:rsidRPr="00F67A3D" w14:paraId="075A736F" w14:textId="77777777" w:rsidTr="00E96074">
        <w:trPr>
          <w:trHeight w:val="888"/>
        </w:trPr>
        <w:tc>
          <w:tcPr>
            <w:tcW w:w="3114" w:type="pct"/>
            <w:shd w:val="clear" w:color="auto" w:fill="auto"/>
            <w:vAlign w:val="center"/>
          </w:tcPr>
          <w:p w14:paraId="49ACBB35" w14:textId="77777777" w:rsidR="00827E5E" w:rsidRPr="00F67A3D" w:rsidRDefault="00827E5E" w:rsidP="00E96074">
            <w:pPr>
              <w:widowControl w:val="0"/>
              <w:spacing w:after="120" w:line="240" w:lineRule="auto"/>
              <w:rPr>
                <w:snapToGrid w:val="0"/>
              </w:rPr>
            </w:pPr>
            <w:r w:rsidRPr="00F67A3D">
              <w:rPr>
                <w:snapToGrid w:val="0"/>
              </w:rPr>
              <w:t>(c)  Communication indicator: Engages in regular, two-way, and culturally proficient communication with families about student learning and performance.</w:t>
            </w:r>
          </w:p>
        </w:tc>
        <w:tc>
          <w:tcPr>
            <w:tcW w:w="658" w:type="pct"/>
            <w:gridSpan w:val="2"/>
            <w:shd w:val="clear" w:color="auto" w:fill="auto"/>
            <w:vAlign w:val="center"/>
          </w:tcPr>
          <w:p w14:paraId="0296B394" w14:textId="77777777" w:rsidR="00827E5E" w:rsidRPr="00F67A3D" w:rsidRDefault="00827E5E" w:rsidP="00AD532D">
            <w:pPr>
              <w:widowControl w:val="0"/>
              <w:jc w:val="center"/>
              <w:rPr>
                <w:snapToGrid w:val="0"/>
              </w:rPr>
            </w:pPr>
          </w:p>
        </w:tc>
        <w:tc>
          <w:tcPr>
            <w:tcW w:w="526" w:type="pct"/>
            <w:shd w:val="clear" w:color="auto" w:fill="E5E5E5" w:themeFill="accent3" w:themeFillTint="33"/>
            <w:vAlign w:val="center"/>
          </w:tcPr>
          <w:p w14:paraId="6A73E7A4" w14:textId="77777777" w:rsidR="00827E5E" w:rsidRPr="00F67A3D" w:rsidRDefault="00827E5E" w:rsidP="00AD532D">
            <w:pPr>
              <w:widowControl w:val="0"/>
              <w:jc w:val="center"/>
              <w:rPr>
                <w:snapToGrid w:val="0"/>
              </w:rPr>
            </w:pPr>
          </w:p>
        </w:tc>
        <w:tc>
          <w:tcPr>
            <w:tcW w:w="702" w:type="pct"/>
            <w:gridSpan w:val="2"/>
            <w:shd w:val="clear" w:color="auto" w:fill="auto"/>
            <w:vAlign w:val="center"/>
          </w:tcPr>
          <w:p w14:paraId="7B8A653B" w14:textId="77777777" w:rsidR="00827E5E" w:rsidRPr="00F67A3D" w:rsidRDefault="00827E5E" w:rsidP="00AD532D">
            <w:pPr>
              <w:widowControl w:val="0"/>
              <w:jc w:val="center"/>
              <w:rPr>
                <w:snapToGrid w:val="0"/>
              </w:rPr>
            </w:pPr>
          </w:p>
        </w:tc>
      </w:tr>
      <w:tr w:rsidR="003426DA" w:rsidRPr="00F67A3D" w14:paraId="61423162" w14:textId="77777777" w:rsidTr="003426DA">
        <w:trPr>
          <w:trHeight w:val="1142"/>
        </w:trPr>
        <w:tc>
          <w:tcPr>
            <w:tcW w:w="3114" w:type="pct"/>
            <w:shd w:val="clear" w:color="auto" w:fill="auto"/>
            <w:vAlign w:val="center"/>
          </w:tcPr>
          <w:p w14:paraId="340B2B7D" w14:textId="77777777" w:rsidR="00827E5E" w:rsidRPr="00F67A3D" w:rsidRDefault="00827E5E" w:rsidP="00E96074">
            <w:pPr>
              <w:widowControl w:val="0"/>
              <w:spacing w:after="120" w:line="240" w:lineRule="auto"/>
              <w:rPr>
                <w:snapToGrid w:val="0"/>
              </w:rPr>
            </w:pPr>
            <w:r w:rsidRPr="00F67A3D">
              <w:rPr>
                <w:snapToGrid w:val="0"/>
              </w:rPr>
              <w:t>SEI Indicator (e) Collaborates with families, recognizing the significance of native language and culture to create and implement strategies for supporting student learning and development both at home and at school.</w:t>
            </w:r>
          </w:p>
        </w:tc>
        <w:tc>
          <w:tcPr>
            <w:tcW w:w="658" w:type="pct"/>
            <w:gridSpan w:val="2"/>
            <w:shd w:val="clear" w:color="auto" w:fill="auto"/>
            <w:vAlign w:val="center"/>
          </w:tcPr>
          <w:p w14:paraId="2B901CCC" w14:textId="77777777" w:rsidR="00827E5E" w:rsidRPr="00F67A3D" w:rsidRDefault="00827E5E" w:rsidP="00AD532D">
            <w:pPr>
              <w:widowControl w:val="0"/>
              <w:jc w:val="center"/>
              <w:rPr>
                <w:snapToGrid w:val="0"/>
              </w:rPr>
            </w:pPr>
          </w:p>
        </w:tc>
        <w:tc>
          <w:tcPr>
            <w:tcW w:w="526" w:type="pct"/>
            <w:shd w:val="clear" w:color="auto" w:fill="E5E5E5" w:themeFill="accent3" w:themeFillTint="33"/>
            <w:vAlign w:val="center"/>
          </w:tcPr>
          <w:p w14:paraId="52AD9566" w14:textId="77777777" w:rsidR="00827E5E" w:rsidRPr="00F67A3D" w:rsidRDefault="00827E5E" w:rsidP="00AD532D">
            <w:pPr>
              <w:widowControl w:val="0"/>
              <w:jc w:val="center"/>
              <w:rPr>
                <w:snapToGrid w:val="0"/>
              </w:rPr>
            </w:pPr>
          </w:p>
        </w:tc>
        <w:tc>
          <w:tcPr>
            <w:tcW w:w="702" w:type="pct"/>
            <w:gridSpan w:val="2"/>
            <w:shd w:val="clear" w:color="auto" w:fill="auto"/>
            <w:vAlign w:val="center"/>
          </w:tcPr>
          <w:p w14:paraId="68495B58" w14:textId="77777777" w:rsidR="00827E5E" w:rsidRPr="00F67A3D" w:rsidRDefault="00827E5E" w:rsidP="00AD532D">
            <w:pPr>
              <w:widowControl w:val="0"/>
              <w:jc w:val="center"/>
              <w:rPr>
                <w:snapToGrid w:val="0"/>
              </w:rPr>
            </w:pPr>
          </w:p>
        </w:tc>
      </w:tr>
    </w:tbl>
    <w:p w14:paraId="436D6474" w14:textId="77777777" w:rsidR="0027783F" w:rsidRDefault="002778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1807"/>
        <w:gridCol w:w="1810"/>
        <w:gridCol w:w="1810"/>
      </w:tblGrid>
      <w:tr w:rsidR="00827E5E" w:rsidRPr="00F67A3D" w14:paraId="403D3227" w14:textId="77777777" w:rsidTr="003426DA">
        <w:tc>
          <w:tcPr>
            <w:tcW w:w="5000" w:type="pct"/>
            <w:gridSpan w:val="4"/>
            <w:shd w:val="clear" w:color="auto" w:fill="BFBFBF" w:themeFill="background1" w:themeFillShade="BF"/>
            <w:vAlign w:val="center"/>
          </w:tcPr>
          <w:p w14:paraId="56B3868A" w14:textId="77777777" w:rsidR="00827E5E" w:rsidRPr="00F67A3D" w:rsidRDefault="0027783F" w:rsidP="00AD532D">
            <w:pPr>
              <w:widowControl w:val="0"/>
              <w:rPr>
                <w:snapToGrid w:val="0"/>
              </w:rPr>
            </w:pPr>
            <w:r>
              <w:rPr>
                <w:b/>
                <w:snapToGrid w:val="0"/>
              </w:rPr>
              <w:t xml:space="preserve">(4) </w:t>
            </w:r>
            <w:r w:rsidR="00827E5E" w:rsidRPr="00F67A3D">
              <w:rPr>
                <w:b/>
                <w:snapToGrid w:val="0"/>
              </w:rPr>
              <w:t>Professional Culture standard:</w:t>
            </w:r>
            <w:r w:rsidR="00827E5E" w:rsidRPr="00F67A3D">
              <w:rPr>
                <w:snapToGrid w:val="0"/>
              </w:rPr>
              <w:t xml:space="preserve"> Promotes the learning and growth of all students through ethical, culturally proficient, skilled, and collaborative practice.</w:t>
            </w:r>
          </w:p>
        </w:tc>
      </w:tr>
      <w:tr w:rsidR="003426DA" w:rsidRPr="00F67A3D" w14:paraId="4588744C" w14:textId="77777777" w:rsidTr="000006ED">
        <w:tc>
          <w:tcPr>
            <w:tcW w:w="3114" w:type="pct"/>
            <w:shd w:val="clear" w:color="auto" w:fill="DEEAF6" w:themeFill="accent1" w:themeFillTint="33"/>
          </w:tcPr>
          <w:p w14:paraId="06B9C9BA" w14:textId="77777777" w:rsidR="003426DA" w:rsidRPr="00827E5E" w:rsidRDefault="003426DA" w:rsidP="00AD532D">
            <w:pPr>
              <w:widowControl w:val="0"/>
              <w:jc w:val="center"/>
              <w:rPr>
                <w:b/>
                <w:snapToGrid w:val="0"/>
              </w:rPr>
            </w:pPr>
            <w:r w:rsidRPr="00827E5E">
              <w:rPr>
                <w:b/>
                <w:snapToGrid w:val="0"/>
              </w:rPr>
              <w:t>Indicators</w:t>
            </w:r>
          </w:p>
        </w:tc>
        <w:tc>
          <w:tcPr>
            <w:tcW w:w="628" w:type="pct"/>
            <w:shd w:val="clear" w:color="auto" w:fill="DEEAF6" w:themeFill="accent1" w:themeFillTint="33"/>
          </w:tcPr>
          <w:p w14:paraId="207CA9F5" w14:textId="77777777" w:rsidR="003426DA" w:rsidRPr="00F67A3D" w:rsidRDefault="003426DA" w:rsidP="00AD532D">
            <w:pPr>
              <w:widowControl w:val="0"/>
              <w:jc w:val="center"/>
              <w:rPr>
                <w:snapToGrid w:val="0"/>
              </w:rPr>
            </w:pPr>
            <w:r w:rsidRPr="00F67A3D">
              <w:rPr>
                <w:b/>
                <w:snapToGrid w:val="0"/>
              </w:rPr>
              <w:t>Introduction</w:t>
            </w:r>
          </w:p>
        </w:tc>
        <w:tc>
          <w:tcPr>
            <w:tcW w:w="629" w:type="pct"/>
            <w:shd w:val="clear" w:color="auto" w:fill="DEEAF6" w:themeFill="accent1" w:themeFillTint="33"/>
          </w:tcPr>
          <w:p w14:paraId="6990D71F" w14:textId="77777777" w:rsidR="003426DA" w:rsidRPr="00F67A3D" w:rsidRDefault="003426DA" w:rsidP="00AD532D">
            <w:pPr>
              <w:widowControl w:val="0"/>
              <w:jc w:val="center"/>
              <w:rPr>
                <w:snapToGrid w:val="0"/>
              </w:rPr>
            </w:pPr>
            <w:r w:rsidRPr="00F67A3D">
              <w:rPr>
                <w:b/>
                <w:snapToGrid w:val="0"/>
              </w:rPr>
              <w:t>Practice</w:t>
            </w:r>
          </w:p>
        </w:tc>
        <w:tc>
          <w:tcPr>
            <w:tcW w:w="629" w:type="pct"/>
            <w:shd w:val="clear" w:color="auto" w:fill="DEEAF6" w:themeFill="accent1" w:themeFillTint="33"/>
          </w:tcPr>
          <w:p w14:paraId="7499A629" w14:textId="77777777" w:rsidR="003426DA" w:rsidRPr="00F67A3D" w:rsidRDefault="003426DA" w:rsidP="00AD532D">
            <w:pPr>
              <w:widowControl w:val="0"/>
              <w:jc w:val="center"/>
              <w:rPr>
                <w:snapToGrid w:val="0"/>
              </w:rPr>
            </w:pPr>
            <w:r w:rsidRPr="00F67A3D">
              <w:rPr>
                <w:b/>
                <w:snapToGrid w:val="0"/>
              </w:rPr>
              <w:t>Demonstrate</w:t>
            </w:r>
          </w:p>
        </w:tc>
      </w:tr>
      <w:tr w:rsidR="003426DA" w:rsidRPr="00F67A3D" w14:paraId="123AC4F8" w14:textId="77777777" w:rsidTr="000006ED">
        <w:tc>
          <w:tcPr>
            <w:tcW w:w="3114" w:type="pct"/>
            <w:shd w:val="clear" w:color="auto" w:fill="auto"/>
            <w:vAlign w:val="center"/>
          </w:tcPr>
          <w:p w14:paraId="1EE255C3" w14:textId="77777777" w:rsidR="00827E5E" w:rsidRPr="00F67A3D" w:rsidRDefault="00827E5E" w:rsidP="00E96074">
            <w:pPr>
              <w:widowControl w:val="0"/>
              <w:spacing w:after="120" w:line="240" w:lineRule="auto"/>
              <w:rPr>
                <w:snapToGrid w:val="0"/>
              </w:rPr>
            </w:pPr>
            <w:r w:rsidRPr="00F67A3D">
              <w:rPr>
                <w:snapToGrid w:val="0"/>
              </w:rPr>
              <w:t>(a)  Reflection indicator: Demonstrates the capacity to reflect on and improve the educator's own practice, using informal means as well as meetings with teams and work groups to gather information, analyze data, examine issues, set meaningful goals, and develop new approaches in order to improve teaching and learning.</w:t>
            </w:r>
          </w:p>
        </w:tc>
        <w:tc>
          <w:tcPr>
            <w:tcW w:w="628" w:type="pct"/>
            <w:shd w:val="clear" w:color="auto" w:fill="auto"/>
            <w:vAlign w:val="center"/>
          </w:tcPr>
          <w:p w14:paraId="6C00DE9F" w14:textId="77777777" w:rsidR="00827E5E" w:rsidRPr="00F67A3D" w:rsidRDefault="00827E5E" w:rsidP="00AD532D">
            <w:pPr>
              <w:widowControl w:val="0"/>
              <w:jc w:val="center"/>
              <w:rPr>
                <w:snapToGrid w:val="0"/>
              </w:rPr>
            </w:pPr>
          </w:p>
        </w:tc>
        <w:tc>
          <w:tcPr>
            <w:tcW w:w="629" w:type="pct"/>
            <w:shd w:val="clear" w:color="auto" w:fill="auto"/>
            <w:vAlign w:val="center"/>
          </w:tcPr>
          <w:p w14:paraId="78697038" w14:textId="77777777" w:rsidR="00827E5E" w:rsidRPr="00F67A3D" w:rsidRDefault="00827E5E" w:rsidP="00AD532D">
            <w:pPr>
              <w:widowControl w:val="0"/>
              <w:jc w:val="center"/>
              <w:rPr>
                <w:snapToGrid w:val="0"/>
              </w:rPr>
            </w:pPr>
          </w:p>
        </w:tc>
        <w:tc>
          <w:tcPr>
            <w:tcW w:w="629" w:type="pct"/>
            <w:shd w:val="clear" w:color="auto" w:fill="E5E5E5" w:themeFill="accent3" w:themeFillTint="33"/>
            <w:vAlign w:val="center"/>
          </w:tcPr>
          <w:p w14:paraId="00031B4B" w14:textId="77777777" w:rsidR="00827E5E" w:rsidRPr="00F67A3D" w:rsidRDefault="00827E5E" w:rsidP="00AD532D">
            <w:pPr>
              <w:widowControl w:val="0"/>
              <w:jc w:val="center"/>
              <w:rPr>
                <w:snapToGrid w:val="0"/>
              </w:rPr>
            </w:pPr>
          </w:p>
        </w:tc>
      </w:tr>
      <w:tr w:rsidR="003426DA" w:rsidRPr="00F67A3D" w14:paraId="66B0FBCE" w14:textId="77777777" w:rsidTr="000006ED">
        <w:tc>
          <w:tcPr>
            <w:tcW w:w="3114" w:type="pct"/>
            <w:shd w:val="clear" w:color="auto" w:fill="auto"/>
            <w:vAlign w:val="center"/>
          </w:tcPr>
          <w:p w14:paraId="73A324D3" w14:textId="77777777" w:rsidR="00827E5E" w:rsidRPr="00F67A3D" w:rsidRDefault="00827E5E" w:rsidP="00E96074">
            <w:pPr>
              <w:widowControl w:val="0"/>
              <w:spacing w:after="120" w:line="240" w:lineRule="auto"/>
              <w:rPr>
                <w:snapToGrid w:val="0"/>
              </w:rPr>
            </w:pPr>
            <w:r w:rsidRPr="00F67A3D">
              <w:rPr>
                <w:snapToGrid w:val="0"/>
              </w:rPr>
              <w:t xml:space="preserve">(b)  Professional Growth indicator: Actively pursues professional development and learning opportunities to improve quality of practice or build the expertise and experience to assume </w:t>
            </w:r>
            <w:r w:rsidRPr="00F67A3D">
              <w:rPr>
                <w:snapToGrid w:val="0"/>
              </w:rPr>
              <w:lastRenderedPageBreak/>
              <w:t>different instructional and leadership roles.</w:t>
            </w:r>
          </w:p>
        </w:tc>
        <w:tc>
          <w:tcPr>
            <w:tcW w:w="628" w:type="pct"/>
            <w:shd w:val="clear" w:color="auto" w:fill="E5E5E5" w:themeFill="accent3" w:themeFillTint="33"/>
            <w:vAlign w:val="center"/>
          </w:tcPr>
          <w:p w14:paraId="54C8AC4C" w14:textId="77777777" w:rsidR="00827E5E" w:rsidRPr="00F67A3D" w:rsidRDefault="00827E5E" w:rsidP="00AD532D">
            <w:pPr>
              <w:widowControl w:val="0"/>
              <w:jc w:val="center"/>
              <w:rPr>
                <w:snapToGrid w:val="0"/>
              </w:rPr>
            </w:pPr>
          </w:p>
        </w:tc>
        <w:tc>
          <w:tcPr>
            <w:tcW w:w="629" w:type="pct"/>
            <w:shd w:val="clear" w:color="auto" w:fill="auto"/>
            <w:vAlign w:val="center"/>
          </w:tcPr>
          <w:p w14:paraId="3186C896" w14:textId="77777777" w:rsidR="00827E5E" w:rsidRPr="00F67A3D" w:rsidRDefault="00827E5E" w:rsidP="00AD532D">
            <w:pPr>
              <w:widowControl w:val="0"/>
              <w:jc w:val="center"/>
              <w:rPr>
                <w:snapToGrid w:val="0"/>
              </w:rPr>
            </w:pPr>
          </w:p>
        </w:tc>
        <w:tc>
          <w:tcPr>
            <w:tcW w:w="629" w:type="pct"/>
            <w:shd w:val="clear" w:color="auto" w:fill="auto"/>
            <w:vAlign w:val="center"/>
          </w:tcPr>
          <w:p w14:paraId="1AC9E854" w14:textId="77777777" w:rsidR="00827E5E" w:rsidRPr="00F67A3D" w:rsidRDefault="00827E5E" w:rsidP="00AD532D">
            <w:pPr>
              <w:widowControl w:val="0"/>
              <w:jc w:val="center"/>
              <w:rPr>
                <w:snapToGrid w:val="0"/>
              </w:rPr>
            </w:pPr>
          </w:p>
          <w:p w14:paraId="4EE29D15" w14:textId="77777777" w:rsidR="00827E5E" w:rsidRPr="00F67A3D" w:rsidRDefault="00827E5E" w:rsidP="00AD532D">
            <w:pPr>
              <w:widowControl w:val="0"/>
              <w:jc w:val="center"/>
              <w:rPr>
                <w:snapToGrid w:val="0"/>
                <w:color w:val="FF0000"/>
              </w:rPr>
            </w:pPr>
          </w:p>
        </w:tc>
      </w:tr>
      <w:tr w:rsidR="003426DA" w:rsidRPr="00F67A3D" w14:paraId="5F86C0E9" w14:textId="77777777" w:rsidTr="00E96074">
        <w:trPr>
          <w:trHeight w:val="591"/>
        </w:trPr>
        <w:tc>
          <w:tcPr>
            <w:tcW w:w="3114" w:type="pct"/>
            <w:shd w:val="clear" w:color="auto" w:fill="auto"/>
            <w:vAlign w:val="center"/>
          </w:tcPr>
          <w:p w14:paraId="2EB8EB1F" w14:textId="77777777" w:rsidR="00827E5E" w:rsidRPr="00F67A3D" w:rsidRDefault="00827E5E" w:rsidP="00E96074">
            <w:pPr>
              <w:widowControl w:val="0"/>
              <w:spacing w:after="120" w:line="240" w:lineRule="auto"/>
              <w:rPr>
                <w:snapToGrid w:val="0"/>
              </w:rPr>
            </w:pPr>
            <w:r w:rsidRPr="00F67A3D">
              <w:rPr>
                <w:snapToGrid w:val="0"/>
              </w:rPr>
              <w:lastRenderedPageBreak/>
              <w:t>(c)  Collaboration indicator: Collaborates effectively with colleagues on a wide range of tasks.</w:t>
            </w:r>
          </w:p>
        </w:tc>
        <w:tc>
          <w:tcPr>
            <w:tcW w:w="628" w:type="pct"/>
            <w:shd w:val="clear" w:color="auto" w:fill="auto"/>
            <w:vAlign w:val="center"/>
          </w:tcPr>
          <w:p w14:paraId="0720E393" w14:textId="77777777" w:rsidR="00827E5E" w:rsidRPr="00F67A3D" w:rsidRDefault="00827E5E" w:rsidP="00AD532D">
            <w:pPr>
              <w:widowControl w:val="0"/>
              <w:jc w:val="center"/>
              <w:rPr>
                <w:snapToGrid w:val="0"/>
              </w:rPr>
            </w:pPr>
          </w:p>
        </w:tc>
        <w:tc>
          <w:tcPr>
            <w:tcW w:w="629" w:type="pct"/>
            <w:shd w:val="clear" w:color="auto" w:fill="E5E5E5" w:themeFill="accent3" w:themeFillTint="33"/>
            <w:vAlign w:val="center"/>
          </w:tcPr>
          <w:p w14:paraId="13C733AE" w14:textId="77777777" w:rsidR="00827E5E" w:rsidRPr="00F67A3D" w:rsidRDefault="00827E5E" w:rsidP="00AD532D">
            <w:pPr>
              <w:widowControl w:val="0"/>
              <w:jc w:val="center"/>
              <w:rPr>
                <w:snapToGrid w:val="0"/>
              </w:rPr>
            </w:pPr>
          </w:p>
        </w:tc>
        <w:tc>
          <w:tcPr>
            <w:tcW w:w="629" w:type="pct"/>
            <w:shd w:val="clear" w:color="auto" w:fill="auto"/>
            <w:vAlign w:val="center"/>
          </w:tcPr>
          <w:p w14:paraId="5C16534E" w14:textId="77777777" w:rsidR="00827E5E" w:rsidRPr="00F67A3D" w:rsidRDefault="00827E5E" w:rsidP="00AD532D">
            <w:pPr>
              <w:widowControl w:val="0"/>
              <w:jc w:val="center"/>
              <w:rPr>
                <w:snapToGrid w:val="0"/>
              </w:rPr>
            </w:pPr>
          </w:p>
        </w:tc>
      </w:tr>
      <w:tr w:rsidR="003426DA" w:rsidRPr="00F67A3D" w14:paraId="74A3EA04" w14:textId="77777777" w:rsidTr="00E96074">
        <w:trPr>
          <w:trHeight w:val="798"/>
        </w:trPr>
        <w:tc>
          <w:tcPr>
            <w:tcW w:w="3114" w:type="pct"/>
            <w:shd w:val="clear" w:color="auto" w:fill="auto"/>
            <w:vAlign w:val="center"/>
          </w:tcPr>
          <w:p w14:paraId="4FA381DC" w14:textId="77777777" w:rsidR="00827E5E" w:rsidRPr="00F67A3D" w:rsidRDefault="00827E5E" w:rsidP="00E96074">
            <w:pPr>
              <w:widowControl w:val="0"/>
              <w:spacing w:after="120" w:line="240" w:lineRule="auto"/>
              <w:rPr>
                <w:snapToGrid w:val="0"/>
              </w:rPr>
            </w:pPr>
            <w:r w:rsidRPr="00F67A3D">
              <w:rPr>
                <w:snapToGrid w:val="0"/>
              </w:rPr>
              <w:t>(d)  Decision-making indicator: Becomes involved in school-wide decision-making, and takes an active role in school improvement planning.</w:t>
            </w:r>
          </w:p>
        </w:tc>
        <w:tc>
          <w:tcPr>
            <w:tcW w:w="628" w:type="pct"/>
            <w:shd w:val="clear" w:color="auto" w:fill="E5E5E5" w:themeFill="accent3" w:themeFillTint="33"/>
            <w:vAlign w:val="center"/>
          </w:tcPr>
          <w:p w14:paraId="4EB9BF3F" w14:textId="77777777" w:rsidR="00827E5E" w:rsidRPr="00F67A3D" w:rsidRDefault="00827E5E" w:rsidP="00AD532D">
            <w:pPr>
              <w:widowControl w:val="0"/>
              <w:jc w:val="center"/>
              <w:rPr>
                <w:snapToGrid w:val="0"/>
              </w:rPr>
            </w:pPr>
          </w:p>
        </w:tc>
        <w:tc>
          <w:tcPr>
            <w:tcW w:w="629" w:type="pct"/>
            <w:shd w:val="clear" w:color="auto" w:fill="auto"/>
            <w:vAlign w:val="center"/>
          </w:tcPr>
          <w:p w14:paraId="46EAA40F" w14:textId="77777777" w:rsidR="00827E5E" w:rsidRPr="00F67A3D" w:rsidRDefault="00827E5E" w:rsidP="00AD532D">
            <w:pPr>
              <w:widowControl w:val="0"/>
              <w:jc w:val="center"/>
              <w:rPr>
                <w:snapToGrid w:val="0"/>
              </w:rPr>
            </w:pPr>
          </w:p>
        </w:tc>
        <w:tc>
          <w:tcPr>
            <w:tcW w:w="629" w:type="pct"/>
            <w:shd w:val="clear" w:color="auto" w:fill="auto"/>
            <w:vAlign w:val="center"/>
          </w:tcPr>
          <w:p w14:paraId="32A4BAED" w14:textId="77777777" w:rsidR="00827E5E" w:rsidRPr="00F67A3D" w:rsidRDefault="00827E5E" w:rsidP="00AD532D">
            <w:pPr>
              <w:widowControl w:val="0"/>
              <w:jc w:val="center"/>
              <w:rPr>
                <w:snapToGrid w:val="0"/>
              </w:rPr>
            </w:pPr>
          </w:p>
        </w:tc>
      </w:tr>
      <w:tr w:rsidR="003426DA" w:rsidRPr="00F67A3D" w14:paraId="6E3300C9" w14:textId="77777777" w:rsidTr="00E96074">
        <w:trPr>
          <w:trHeight w:val="879"/>
        </w:trPr>
        <w:tc>
          <w:tcPr>
            <w:tcW w:w="3114" w:type="pct"/>
            <w:shd w:val="clear" w:color="auto" w:fill="auto"/>
            <w:vAlign w:val="center"/>
          </w:tcPr>
          <w:p w14:paraId="4F558613" w14:textId="77777777" w:rsidR="00827E5E" w:rsidRPr="00F67A3D" w:rsidRDefault="00827E5E" w:rsidP="00E96074">
            <w:pPr>
              <w:widowControl w:val="0"/>
              <w:spacing w:after="120" w:line="240" w:lineRule="auto"/>
              <w:rPr>
                <w:snapToGrid w:val="0"/>
              </w:rPr>
            </w:pPr>
            <w:r w:rsidRPr="00F67A3D">
              <w:rPr>
                <w:snapToGrid w:val="0"/>
              </w:rPr>
              <w:t>(e)  Shared Responsibility indicator: Shares responsibility for the performance of all students within the school.</w:t>
            </w:r>
          </w:p>
        </w:tc>
        <w:tc>
          <w:tcPr>
            <w:tcW w:w="628" w:type="pct"/>
            <w:shd w:val="clear" w:color="auto" w:fill="E5E5E5" w:themeFill="accent3" w:themeFillTint="33"/>
            <w:vAlign w:val="center"/>
          </w:tcPr>
          <w:p w14:paraId="1F057307" w14:textId="77777777" w:rsidR="00827E5E" w:rsidRPr="00F67A3D" w:rsidRDefault="00827E5E" w:rsidP="00AD532D">
            <w:pPr>
              <w:widowControl w:val="0"/>
              <w:jc w:val="center"/>
              <w:rPr>
                <w:snapToGrid w:val="0"/>
              </w:rPr>
            </w:pPr>
          </w:p>
        </w:tc>
        <w:tc>
          <w:tcPr>
            <w:tcW w:w="629" w:type="pct"/>
            <w:shd w:val="clear" w:color="auto" w:fill="auto"/>
            <w:vAlign w:val="center"/>
          </w:tcPr>
          <w:p w14:paraId="2F1A8B24" w14:textId="77777777" w:rsidR="00827E5E" w:rsidRPr="00F67A3D" w:rsidRDefault="00827E5E" w:rsidP="00AD532D">
            <w:pPr>
              <w:widowControl w:val="0"/>
              <w:jc w:val="center"/>
              <w:rPr>
                <w:snapToGrid w:val="0"/>
              </w:rPr>
            </w:pPr>
          </w:p>
        </w:tc>
        <w:tc>
          <w:tcPr>
            <w:tcW w:w="629" w:type="pct"/>
            <w:shd w:val="clear" w:color="auto" w:fill="auto"/>
            <w:vAlign w:val="center"/>
          </w:tcPr>
          <w:p w14:paraId="2858B561" w14:textId="77777777" w:rsidR="00827E5E" w:rsidRPr="00F67A3D" w:rsidRDefault="00827E5E" w:rsidP="00AD532D">
            <w:pPr>
              <w:widowControl w:val="0"/>
              <w:jc w:val="center"/>
              <w:rPr>
                <w:snapToGrid w:val="0"/>
                <w:color w:val="FF0000"/>
              </w:rPr>
            </w:pPr>
          </w:p>
        </w:tc>
      </w:tr>
      <w:tr w:rsidR="003426DA" w:rsidRPr="00F67A3D" w14:paraId="59F242CA" w14:textId="77777777" w:rsidTr="00E96074">
        <w:trPr>
          <w:trHeight w:val="807"/>
        </w:trPr>
        <w:tc>
          <w:tcPr>
            <w:tcW w:w="3114" w:type="pct"/>
            <w:shd w:val="clear" w:color="auto" w:fill="auto"/>
            <w:vAlign w:val="center"/>
          </w:tcPr>
          <w:p w14:paraId="35B201DA" w14:textId="77777777" w:rsidR="00827E5E" w:rsidRPr="00F67A3D" w:rsidRDefault="00827E5E" w:rsidP="00E96074">
            <w:pPr>
              <w:widowControl w:val="0"/>
              <w:spacing w:after="120" w:line="240" w:lineRule="auto"/>
              <w:rPr>
                <w:snapToGrid w:val="0"/>
              </w:rPr>
            </w:pPr>
            <w:r w:rsidRPr="00F67A3D">
              <w:rPr>
                <w:snapToGrid w:val="0"/>
              </w:rPr>
              <w:t>(f)  Professional Responsibilities indicator: Is ethical and reliable, and meets routine responsibilities consistently.</w:t>
            </w:r>
          </w:p>
        </w:tc>
        <w:tc>
          <w:tcPr>
            <w:tcW w:w="628" w:type="pct"/>
            <w:shd w:val="clear" w:color="auto" w:fill="auto"/>
            <w:vAlign w:val="center"/>
          </w:tcPr>
          <w:p w14:paraId="08FDD227" w14:textId="77777777" w:rsidR="00827E5E" w:rsidRPr="00F67A3D" w:rsidRDefault="00827E5E" w:rsidP="00AD532D">
            <w:pPr>
              <w:widowControl w:val="0"/>
              <w:jc w:val="center"/>
              <w:rPr>
                <w:snapToGrid w:val="0"/>
              </w:rPr>
            </w:pPr>
          </w:p>
        </w:tc>
        <w:tc>
          <w:tcPr>
            <w:tcW w:w="629" w:type="pct"/>
            <w:shd w:val="clear" w:color="auto" w:fill="auto"/>
            <w:vAlign w:val="center"/>
          </w:tcPr>
          <w:p w14:paraId="0C73E05D" w14:textId="77777777" w:rsidR="00827E5E" w:rsidRPr="00F67A3D" w:rsidRDefault="00827E5E" w:rsidP="00AD532D">
            <w:pPr>
              <w:widowControl w:val="0"/>
              <w:jc w:val="center"/>
              <w:rPr>
                <w:snapToGrid w:val="0"/>
              </w:rPr>
            </w:pPr>
          </w:p>
        </w:tc>
        <w:tc>
          <w:tcPr>
            <w:tcW w:w="629" w:type="pct"/>
            <w:shd w:val="clear" w:color="auto" w:fill="E5E5E5" w:themeFill="accent3" w:themeFillTint="33"/>
            <w:vAlign w:val="center"/>
          </w:tcPr>
          <w:p w14:paraId="5472FA1E" w14:textId="77777777" w:rsidR="00827E5E" w:rsidRPr="00F67A3D" w:rsidRDefault="00827E5E" w:rsidP="00AD532D">
            <w:pPr>
              <w:widowControl w:val="0"/>
              <w:jc w:val="center"/>
              <w:rPr>
                <w:snapToGrid w:val="0"/>
              </w:rPr>
            </w:pPr>
          </w:p>
        </w:tc>
      </w:tr>
    </w:tbl>
    <w:p w14:paraId="3DF91CD2" w14:textId="77777777" w:rsidR="006F1178" w:rsidRDefault="006F1178"/>
    <w:sectPr w:rsidR="006F1178" w:rsidSect="0027783F">
      <w:headerReference w:type="default" r:id="rId14"/>
      <w:footerReference w:type="default" r:id="rId15"/>
      <w:pgSz w:w="15840" w:h="12240" w:orient="landscape"/>
      <w:pgMar w:top="1982" w:right="720" w:bottom="720" w:left="720" w:header="720" w:footer="6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346BD" w14:textId="77777777" w:rsidR="00E52877" w:rsidRDefault="00E52877" w:rsidP="006F1178">
      <w:pPr>
        <w:spacing w:after="0" w:line="240" w:lineRule="auto"/>
      </w:pPr>
      <w:r>
        <w:separator/>
      </w:r>
    </w:p>
  </w:endnote>
  <w:endnote w:type="continuationSeparator" w:id="0">
    <w:p w14:paraId="35F157BC" w14:textId="77777777" w:rsidR="00E52877" w:rsidRDefault="00E52877" w:rsidP="006F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rPr>
      <w:id w:val="-1942743232"/>
      <w:docPartObj>
        <w:docPartGallery w:val="Page Numbers (Bottom of Page)"/>
        <w:docPartUnique/>
      </w:docPartObj>
    </w:sdtPr>
    <w:sdtEndPr>
      <w:rPr>
        <w:color w:val="808080" w:themeColor="background1" w:themeShade="80"/>
        <w:spacing w:val="60"/>
      </w:rPr>
    </w:sdtEndPr>
    <w:sdtContent>
      <w:p w14:paraId="2D00CDA4" w14:textId="5E5502A8" w:rsidR="007E1C66" w:rsidRDefault="0029086F" w:rsidP="007E1C66">
        <w:pPr>
          <w:pStyle w:val="Footer"/>
          <w:rPr>
            <w:b/>
          </w:rPr>
        </w:pPr>
        <w:r>
          <w:rPr>
            <w:b/>
            <w:noProof/>
            <w:color w:val="FFFFFF" w:themeColor="background1"/>
            <w:spacing w:val="60"/>
            <w:lang w:eastAsia="zh-CN" w:bidi="km-KH"/>
          </w:rPr>
          <w:drawing>
            <wp:anchor distT="0" distB="0" distL="114300" distR="114300" simplePos="0" relativeHeight="251658240" behindDoc="0" locked="0" layoutInCell="1" allowOverlap="1" wp14:anchorId="590CED3B" wp14:editId="14C4310C">
              <wp:simplePos x="0" y="0"/>
              <wp:positionH relativeFrom="column">
                <wp:posOffset>7675245</wp:posOffset>
              </wp:positionH>
              <wp:positionV relativeFrom="paragraph">
                <wp:posOffset>157480</wp:posOffset>
              </wp:positionV>
              <wp:extent cx="1445895" cy="584835"/>
              <wp:effectExtent l="0" t="0" r="1905" b="5715"/>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5895" cy="584835"/>
                      </a:xfrm>
                      <a:prstGeom prst="rect">
                        <a:avLst/>
                      </a:prstGeom>
                    </pic:spPr>
                  </pic:pic>
                </a:graphicData>
              </a:graphic>
            </wp:anchor>
          </w:drawing>
        </w:r>
        <w:bookmarkStart w:id="0" w:name="_GoBack"/>
        <w:r w:rsidR="00BC5690">
          <w:rPr>
            <w:b/>
            <w:noProof/>
            <w:color w:val="2E74B5" w:themeColor="accent1" w:themeShade="BF"/>
          </w:rPr>
          <mc:AlternateContent>
            <mc:Choice Requires="wps">
              <w:drawing>
                <wp:anchor distT="4294967294" distB="4294967294" distL="114300" distR="114300" simplePos="0" relativeHeight="251659264" behindDoc="0" locked="0" layoutInCell="1" allowOverlap="1" wp14:anchorId="72D9770C" wp14:editId="459A66AF">
                  <wp:simplePos x="0" y="0"/>
                  <wp:positionH relativeFrom="column">
                    <wp:posOffset>1270</wp:posOffset>
                  </wp:positionH>
                  <wp:positionV relativeFrom="paragraph">
                    <wp:posOffset>142875</wp:posOffset>
                  </wp:positionV>
                  <wp:extent cx="9166860" cy="0"/>
                  <wp:effectExtent l="10795" t="9525" r="13970" b="9525"/>
                  <wp:wrapNone/>
                  <wp:docPr id="1" name="Straight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66860" cy="0"/>
                          </a:xfrm>
                          <a:prstGeom prst="line">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CFD954" id="Straight Connector 1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1.25pt" to="721.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" strokecolor="#2e74b5 [2404]">
                  <o:lock v:ext="edit" shapetype="f"/>
                </v:line>
              </w:pict>
            </mc:Fallback>
          </mc:AlternateContent>
        </w:r>
        <w:bookmarkEnd w:id="0"/>
      </w:p>
      <w:p w14:paraId="12DDC693" w14:textId="77777777" w:rsidR="007E1C66" w:rsidRPr="007E1C66" w:rsidRDefault="00F3603B" w:rsidP="007E1C66">
        <w:pPr>
          <w:pStyle w:val="Footer"/>
          <w:rPr>
            <w:b/>
            <w:color w:val="0070C0"/>
          </w:rPr>
        </w:pPr>
        <w:r w:rsidRPr="007E1C66">
          <w:rPr>
            <w:b/>
          </w:rPr>
          <w:fldChar w:fldCharType="begin"/>
        </w:r>
        <w:r w:rsidR="007E1C66" w:rsidRPr="007E1C66">
          <w:rPr>
            <w:b/>
          </w:rPr>
          <w:instrText xml:space="preserve"> PAGE   \* MERGEFORMAT </w:instrText>
        </w:r>
        <w:r w:rsidRPr="007E1C66">
          <w:rPr>
            <w:b/>
          </w:rPr>
          <w:fldChar w:fldCharType="separate"/>
        </w:r>
        <w:r w:rsidR="00E31577" w:rsidRPr="00E31577">
          <w:rPr>
            <w:b/>
            <w:bCs/>
            <w:noProof/>
          </w:rPr>
          <w:t>2</w:t>
        </w:r>
        <w:r w:rsidRPr="007E1C66">
          <w:rPr>
            <w:b/>
            <w:bCs/>
            <w:noProof/>
          </w:rPr>
          <w:fldChar w:fldCharType="end"/>
        </w:r>
        <w:r w:rsidR="007E1C66" w:rsidRPr="007E1C66">
          <w:rPr>
            <w:b/>
            <w:bCs/>
          </w:rPr>
          <w:t xml:space="preserve"> | </w:t>
        </w:r>
        <w:r w:rsidR="007E1C66" w:rsidRPr="007E1C66">
          <w:rPr>
            <w:rFonts w:cs="Arial"/>
            <w:b/>
            <w:sz w:val="20"/>
            <w:szCs w:val="20"/>
          </w:rPr>
          <w:t>603 CMR 7.08: Massachusetts Professional Standards for Teachers Matrix</w:t>
        </w:r>
        <w:r w:rsidR="007E1C66">
          <w:rPr>
            <w:rFonts w:cs="Arial"/>
            <w:b/>
            <w:sz w:val="20"/>
            <w:szCs w:val="20"/>
          </w:rPr>
          <w:t xml:space="preserve"> </w:t>
        </w:r>
      </w:p>
    </w:sdtContent>
  </w:sdt>
  <w:p w14:paraId="6117BF81" w14:textId="77777777" w:rsidR="006F1178" w:rsidRPr="007E1C66" w:rsidRDefault="006F1178" w:rsidP="006F1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E8F6F" w14:textId="77777777" w:rsidR="00E52877" w:rsidRDefault="00E52877" w:rsidP="006F1178">
      <w:pPr>
        <w:spacing w:after="0" w:line="240" w:lineRule="auto"/>
      </w:pPr>
      <w:r>
        <w:separator/>
      </w:r>
    </w:p>
  </w:footnote>
  <w:footnote w:type="continuationSeparator" w:id="0">
    <w:p w14:paraId="2EFD7930" w14:textId="77777777" w:rsidR="00E52877" w:rsidRDefault="00E52877" w:rsidP="006F1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0" w:rightFromText="180" w:vertAnchor="text" w:horzAnchor="margin" w:tblpY="-178"/>
      <w:tblW w:w="5000" w:type="pct"/>
      <w:tblCellMar>
        <w:left w:w="115" w:type="dxa"/>
        <w:right w:w="115" w:type="dxa"/>
      </w:tblCellMar>
      <w:tblLook w:val="04A0" w:firstRow="1" w:lastRow="0" w:firstColumn="1" w:lastColumn="0" w:noHBand="0" w:noVBand="1"/>
    </w:tblPr>
    <w:tblGrid>
      <w:gridCol w:w="14400"/>
    </w:tblGrid>
    <w:tr w:rsidR="00AA74D6" w:rsidRPr="006259E1" w14:paraId="1FDAAACA" w14:textId="77777777" w:rsidTr="0029086F">
      <w:tc>
        <w:tcPr>
          <w:tcW w:w="5000" w:type="pct"/>
          <w:tcBorders>
            <w:top w:val="nil"/>
            <w:left w:val="nil"/>
            <w:bottom w:val="nil"/>
            <w:right w:val="nil"/>
          </w:tcBorders>
          <w:shd w:val="clear" w:color="auto" w:fill="EDB47C" w:themeFill="accent2" w:themeFillTint="99"/>
          <w:vAlign w:val="center"/>
        </w:tcPr>
        <w:p w14:paraId="35051A9C" w14:textId="77777777" w:rsidR="00AA74D6" w:rsidRPr="0029086F" w:rsidRDefault="00AA74D6" w:rsidP="00AA74D6">
          <w:pPr>
            <w:rPr>
              <w:color w:val="FFFFFF" w:themeColor="background1"/>
            </w:rPr>
          </w:pPr>
          <w:r w:rsidRPr="000736B9">
            <w:rPr>
              <w:rFonts w:cs="Arial"/>
              <w:b/>
              <w:bCs/>
              <w:color w:val="000000" w:themeColor="text1"/>
            </w:rPr>
            <w:t>Professional Standards for Teachers (PST)</w:t>
          </w:r>
          <w:r w:rsidR="0029086F" w:rsidRPr="000736B9">
            <w:rPr>
              <w:rFonts w:cs="Arial"/>
              <w:b/>
              <w:bCs/>
              <w:color w:val="000000" w:themeColor="text1"/>
            </w:rPr>
            <w:t xml:space="preserve"> Matrix</w:t>
          </w:r>
        </w:p>
      </w:tc>
    </w:tr>
    <w:tr w:rsidR="00AA74D6" w14:paraId="264C333F" w14:textId="77777777" w:rsidTr="0029086F">
      <w:tc>
        <w:tcPr>
          <w:tcW w:w="5000" w:type="pct"/>
          <w:tcBorders>
            <w:top w:val="nil"/>
            <w:left w:val="nil"/>
            <w:bottom w:val="nil"/>
            <w:right w:val="nil"/>
          </w:tcBorders>
        </w:tcPr>
        <w:p w14:paraId="22D6D23D" w14:textId="77777777" w:rsidR="00AA74D6" w:rsidRPr="00AA74D6" w:rsidRDefault="00AA74D6" w:rsidP="00AA74D6">
          <w:pPr>
            <w:tabs>
              <w:tab w:val="left" w:pos="5025"/>
            </w:tabs>
            <w:rPr>
              <w:rFonts w:ascii="Calibri" w:hAnsi="Calibri" w:cs="Arial"/>
            </w:rPr>
          </w:pPr>
          <w:r w:rsidRPr="00AA74D6">
            <w:rPr>
              <w:rFonts w:ascii="Calibri" w:hAnsi="Calibri" w:cs="Arial"/>
            </w:rPr>
            <w:t xml:space="preserve">Sponsoring Organization:  </w:t>
          </w:r>
          <w:r w:rsidRPr="00AA74D6">
            <w:rPr>
              <w:rFonts w:ascii="Calibri" w:hAnsi="Calibri" w:cs="Arial"/>
            </w:rPr>
            <w:tab/>
          </w:r>
        </w:p>
      </w:tc>
    </w:tr>
    <w:tr w:rsidR="00AA74D6" w14:paraId="1EB0812A" w14:textId="77777777" w:rsidTr="00AA74D6">
      <w:tc>
        <w:tcPr>
          <w:tcW w:w="5000" w:type="pct"/>
          <w:tcBorders>
            <w:top w:val="nil"/>
            <w:left w:val="nil"/>
            <w:bottom w:val="nil"/>
            <w:right w:val="nil"/>
          </w:tcBorders>
        </w:tcPr>
        <w:p w14:paraId="5456BD7F" w14:textId="77777777" w:rsidR="00AA74D6" w:rsidRPr="00AA74D6" w:rsidRDefault="00AA74D6" w:rsidP="00AA74D6">
          <w:pPr>
            <w:tabs>
              <w:tab w:val="left" w:pos="5025"/>
            </w:tabs>
            <w:rPr>
              <w:rFonts w:ascii="Calibri" w:hAnsi="Calibri" w:cs="Arial"/>
            </w:rPr>
          </w:pPr>
          <w:r w:rsidRPr="00AA74D6">
            <w:rPr>
              <w:rFonts w:ascii="Calibri" w:hAnsi="Calibri" w:cs="Arial"/>
            </w:rPr>
            <w:t>Licensure Program (License and Grade Level):</w:t>
          </w:r>
        </w:p>
      </w:tc>
    </w:tr>
    <w:tr w:rsidR="00AA74D6" w:rsidRPr="00F82074" w14:paraId="698A0D7C" w14:textId="77777777" w:rsidTr="00AA74D6">
      <w:tc>
        <w:tcPr>
          <w:tcW w:w="5000" w:type="pct"/>
          <w:tcBorders>
            <w:top w:val="nil"/>
            <w:left w:val="nil"/>
            <w:bottom w:val="single" w:sz="4" w:space="0" w:color="auto"/>
            <w:right w:val="nil"/>
          </w:tcBorders>
        </w:tcPr>
        <w:p w14:paraId="7457DB6E" w14:textId="77777777" w:rsidR="00AA74D6" w:rsidRPr="00AA74D6" w:rsidRDefault="00AA74D6" w:rsidP="00AA74D6">
          <w:pPr>
            <w:tabs>
              <w:tab w:val="left" w:pos="5025"/>
            </w:tabs>
            <w:rPr>
              <w:rFonts w:ascii="Calibri" w:hAnsi="Calibri" w:cs="Arial"/>
            </w:rPr>
          </w:pPr>
          <w:r w:rsidRPr="00AA74D6">
            <w:rPr>
              <w:rFonts w:ascii="Calibri" w:hAnsi="Calibri" w:cs="Arial"/>
            </w:rPr>
            <w:t>Name(s) of person(s) completing this matrix:</w:t>
          </w:r>
          <w:r w:rsidRPr="00AA74D6">
            <w:rPr>
              <w:rFonts w:ascii="Arial" w:hAnsi="Arial" w:cs="Arial"/>
            </w:rPr>
            <w:t xml:space="preserve">    </w:t>
          </w:r>
        </w:p>
      </w:tc>
    </w:tr>
  </w:tbl>
  <w:p w14:paraId="70343811" w14:textId="77777777" w:rsidR="00AA74D6" w:rsidRDefault="00AA7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72C57"/>
    <w:multiLevelType w:val="hybridMultilevel"/>
    <w:tmpl w:val="6C98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D2A1D"/>
    <w:multiLevelType w:val="hybridMultilevel"/>
    <w:tmpl w:val="D00C08C6"/>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78"/>
    <w:rsid w:val="000001AC"/>
    <w:rsid w:val="000006ED"/>
    <w:rsid w:val="0002664F"/>
    <w:rsid w:val="00043178"/>
    <w:rsid w:val="000736B9"/>
    <w:rsid w:val="000A0F8C"/>
    <w:rsid w:val="000B1104"/>
    <w:rsid w:val="000F0DFC"/>
    <w:rsid w:val="00164871"/>
    <w:rsid w:val="00182864"/>
    <w:rsid w:val="0027783F"/>
    <w:rsid w:val="0029086F"/>
    <w:rsid w:val="003426DA"/>
    <w:rsid w:val="003F5E89"/>
    <w:rsid w:val="00432288"/>
    <w:rsid w:val="0044650D"/>
    <w:rsid w:val="004B0422"/>
    <w:rsid w:val="005E41C9"/>
    <w:rsid w:val="0067017D"/>
    <w:rsid w:val="0069717A"/>
    <w:rsid w:val="006F1178"/>
    <w:rsid w:val="007E1C66"/>
    <w:rsid w:val="00827E5E"/>
    <w:rsid w:val="0095402D"/>
    <w:rsid w:val="009D02A7"/>
    <w:rsid w:val="009F07E6"/>
    <w:rsid w:val="00A722DE"/>
    <w:rsid w:val="00AA74D6"/>
    <w:rsid w:val="00BC5690"/>
    <w:rsid w:val="00C4529B"/>
    <w:rsid w:val="00C543D8"/>
    <w:rsid w:val="00C93BDD"/>
    <w:rsid w:val="00CC3EE2"/>
    <w:rsid w:val="00CE66B9"/>
    <w:rsid w:val="00D44374"/>
    <w:rsid w:val="00D44581"/>
    <w:rsid w:val="00D80DCC"/>
    <w:rsid w:val="00DC31AF"/>
    <w:rsid w:val="00E10198"/>
    <w:rsid w:val="00E131C8"/>
    <w:rsid w:val="00E2190D"/>
    <w:rsid w:val="00E31577"/>
    <w:rsid w:val="00E52877"/>
    <w:rsid w:val="00E72675"/>
    <w:rsid w:val="00E96074"/>
    <w:rsid w:val="00EC4492"/>
    <w:rsid w:val="00F3603B"/>
    <w:rsid w:val="00F70FBC"/>
    <w:rsid w:val="00F86228"/>
    <w:rsid w:val="00FF0E92"/>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C75B8"/>
  <w15:docId w15:val="{EA43B6E7-118F-4F03-ADE2-D0D21276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50D"/>
    <w:pPr>
      <w:ind w:left="720"/>
      <w:contextualSpacing/>
    </w:pPr>
  </w:style>
  <w:style w:type="paragraph" w:styleId="Header">
    <w:name w:val="header"/>
    <w:basedOn w:val="Normal"/>
    <w:link w:val="HeaderChar"/>
    <w:uiPriority w:val="99"/>
    <w:unhideWhenUsed/>
    <w:rsid w:val="006F1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178"/>
  </w:style>
  <w:style w:type="paragraph" w:styleId="Footer">
    <w:name w:val="footer"/>
    <w:basedOn w:val="Normal"/>
    <w:link w:val="FooterChar"/>
    <w:uiPriority w:val="99"/>
    <w:unhideWhenUsed/>
    <w:rsid w:val="006F1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178"/>
  </w:style>
  <w:style w:type="paragraph" w:styleId="BalloonText">
    <w:name w:val="Balloon Text"/>
    <w:basedOn w:val="Normal"/>
    <w:link w:val="BalloonTextChar"/>
    <w:uiPriority w:val="99"/>
    <w:semiHidden/>
    <w:unhideWhenUsed/>
    <w:rsid w:val="006F1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178"/>
    <w:rPr>
      <w:rFonts w:ascii="Tahoma" w:hAnsi="Tahoma" w:cs="Tahoma"/>
      <w:sz w:val="16"/>
      <w:szCs w:val="16"/>
    </w:rPr>
  </w:style>
  <w:style w:type="paragraph" w:customStyle="1" w:styleId="FooterOdd">
    <w:name w:val="Footer Odd"/>
    <w:basedOn w:val="Normal"/>
    <w:qFormat/>
    <w:rsid w:val="006F1178"/>
    <w:pPr>
      <w:pBdr>
        <w:top w:val="single" w:sz="4" w:space="1" w:color="5B9BD5" w:themeColor="accent1"/>
      </w:pBdr>
      <w:spacing w:after="180" w:line="264" w:lineRule="auto"/>
      <w:jc w:val="right"/>
    </w:pPr>
    <w:rPr>
      <w:rFonts w:cs="Times New Roman"/>
      <w:color w:val="154786" w:themeColor="text2"/>
      <w:sz w:val="20"/>
      <w:szCs w:val="20"/>
      <w:lang w:eastAsia="ja-JP"/>
    </w:rPr>
  </w:style>
  <w:style w:type="table" w:styleId="TableGrid">
    <w:name w:val="Table Grid"/>
    <w:basedOn w:val="TableNormal"/>
    <w:uiPriority w:val="59"/>
    <w:rsid w:val="007E1C6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06ED"/>
    <w:rPr>
      <w:color w:val="0000FF" w:themeColor="hyperlink"/>
      <w:u w:val="single"/>
    </w:rPr>
  </w:style>
  <w:style w:type="character" w:styleId="CommentReference">
    <w:name w:val="annotation reference"/>
    <w:basedOn w:val="DefaultParagraphFont"/>
    <w:uiPriority w:val="99"/>
    <w:semiHidden/>
    <w:unhideWhenUsed/>
    <w:rsid w:val="00E2190D"/>
    <w:rPr>
      <w:sz w:val="16"/>
      <w:szCs w:val="16"/>
    </w:rPr>
  </w:style>
  <w:style w:type="paragraph" w:styleId="CommentText">
    <w:name w:val="annotation text"/>
    <w:basedOn w:val="Normal"/>
    <w:link w:val="CommentTextChar"/>
    <w:uiPriority w:val="99"/>
    <w:semiHidden/>
    <w:unhideWhenUsed/>
    <w:rsid w:val="00E2190D"/>
    <w:pPr>
      <w:spacing w:line="240" w:lineRule="auto"/>
    </w:pPr>
    <w:rPr>
      <w:sz w:val="20"/>
      <w:szCs w:val="20"/>
    </w:rPr>
  </w:style>
  <w:style w:type="character" w:customStyle="1" w:styleId="CommentTextChar">
    <w:name w:val="Comment Text Char"/>
    <w:basedOn w:val="DefaultParagraphFont"/>
    <w:link w:val="CommentText"/>
    <w:uiPriority w:val="99"/>
    <w:semiHidden/>
    <w:rsid w:val="00E2190D"/>
    <w:rPr>
      <w:sz w:val="20"/>
      <w:szCs w:val="20"/>
    </w:rPr>
  </w:style>
  <w:style w:type="paragraph" w:styleId="CommentSubject">
    <w:name w:val="annotation subject"/>
    <w:basedOn w:val="CommentText"/>
    <w:next w:val="CommentText"/>
    <w:link w:val="CommentSubjectChar"/>
    <w:uiPriority w:val="99"/>
    <w:semiHidden/>
    <w:unhideWhenUsed/>
    <w:rsid w:val="00E2190D"/>
    <w:rPr>
      <w:b/>
      <w:bCs/>
    </w:rPr>
  </w:style>
  <w:style w:type="character" w:customStyle="1" w:styleId="CommentSubjectChar">
    <w:name w:val="Comment Subject Char"/>
    <w:basedOn w:val="CommentTextChar"/>
    <w:link w:val="CommentSubject"/>
    <w:uiPriority w:val="99"/>
    <w:semiHidden/>
    <w:rsid w:val="00E2190D"/>
    <w:rPr>
      <w:b/>
      <w:bCs/>
      <w:sz w:val="20"/>
      <w:szCs w:val="20"/>
    </w:rPr>
  </w:style>
  <w:style w:type="character" w:styleId="FollowedHyperlink">
    <w:name w:val="FollowedHyperlink"/>
    <w:basedOn w:val="DefaultParagraphFont"/>
    <w:uiPriority w:val="99"/>
    <w:semiHidden/>
    <w:unhideWhenUsed/>
    <w:rsid w:val="0029086F"/>
    <w:rPr>
      <w:color w:val="800080" w:themeColor="followedHyperlink"/>
      <w:u w:val="single"/>
    </w:rPr>
  </w:style>
  <w:style w:type="character" w:styleId="PlaceholderText">
    <w:name w:val="Placeholder Text"/>
    <w:basedOn w:val="DefaultParagraphFont"/>
    <w:uiPriority w:val="99"/>
    <w:semiHidden/>
    <w:rsid w:val="009540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603cmr7.html?section=0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edprep/resources/guidelines-advisories/teachers-guide.doc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7.html?section=0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C637D8C33445469F8057FED9F391AF"/>
        <w:category>
          <w:name w:val="General"/>
          <w:gallery w:val="placeholder"/>
        </w:category>
        <w:types>
          <w:type w:val="bbPlcHdr"/>
        </w:types>
        <w:behaviors>
          <w:behavior w:val="content"/>
        </w:behaviors>
        <w:guid w:val="{5DF4F3C0-C378-4D2F-84A2-70E4F07C2ECA}"/>
      </w:docPartPr>
      <w:docPartBody>
        <w:p w:rsidR="003D6E0B" w:rsidRDefault="00517779">
          <w:r w:rsidRPr="00707BB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79"/>
    <w:rsid w:val="002A0B4A"/>
    <w:rsid w:val="003B6D5D"/>
    <w:rsid w:val="003D6E0B"/>
    <w:rsid w:val="00517779"/>
    <w:rsid w:val="00533EC1"/>
    <w:rsid w:val="00865A46"/>
    <w:rsid w:val="00BF7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7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PPL">
      <a:dk1>
        <a:sysClr val="windowText" lastClr="000000"/>
      </a:dk1>
      <a:lt1>
        <a:sysClr val="window" lastClr="FFFFFF"/>
      </a:lt1>
      <a:dk2>
        <a:srgbClr val="154786"/>
      </a:dk2>
      <a:lt2>
        <a:srgbClr val="EEECE1"/>
      </a:lt2>
      <a:accent1>
        <a:srgbClr val="5B9BD5"/>
      </a:accent1>
      <a:accent2>
        <a:srgbClr val="E28325"/>
      </a:accent2>
      <a:accent3>
        <a:srgbClr val="7F7F7F"/>
      </a:accent3>
      <a:accent4>
        <a:srgbClr val="FFC000"/>
      </a:accent4>
      <a:accent5>
        <a:srgbClr val="4472C4"/>
      </a:accent5>
      <a:accent6>
        <a:srgbClr val="70AD4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DESE-231-69542</_dlc_DocId>
    <_dlc_DocIdUrl xmlns="733efe1c-5bbe-4968-87dc-d400e65c879f">
      <Url>https://sharepoint.doemass.org/ese/webteam/cps/_layouts/DocIdRedir.aspx?ID=DESE-231-69542</Url>
      <Description>DESE-231-69542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160846C-F86D-4B21-858B-67CED189B8B2}">
  <ds:schemaRefs>
    <ds:schemaRef ds:uri="http://schemas.microsoft.com/sharepoint/events"/>
  </ds:schemaRefs>
</ds:datastoreItem>
</file>

<file path=customXml/itemProps2.xml><?xml version="1.0" encoding="utf-8"?>
<ds:datastoreItem xmlns:ds="http://schemas.openxmlformats.org/officeDocument/2006/customXml" ds:itemID="{25D4B969-76F9-459C-A1F0-B2F5573E605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232A829-4128-4E49-BEFD-3393812FC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2B71F-B3AF-4A11-AE7F-681219251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Professional Standards for Teachers (PST) Matrix</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Standards for Teachers (PST) Matrix</dc:title>
  <dc:creator>DESE</dc:creator>
  <cp:lastModifiedBy>Zou, Dong (EOE)</cp:lastModifiedBy>
  <cp:revision>6</cp:revision>
  <dcterms:created xsi:type="dcterms:W3CDTF">2021-04-02T14:56:00Z</dcterms:created>
  <dcterms:modified xsi:type="dcterms:W3CDTF">2021-04-02T20:42:00Z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2021</vt:lpwstr>
  </property>
</Properties>
</file>