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01" w:rsidRPr="00093ECC" w:rsidRDefault="00343F01" w:rsidP="00241150">
      <w:pPr>
        <w:pStyle w:val="Heading1"/>
        <w:spacing w:before="240"/>
      </w:pPr>
      <w:r w:rsidRPr="00093ECC">
        <w:t xml:space="preserve">Edwin Analytics:  </w:t>
      </w:r>
      <w:r w:rsidR="00E66DD6">
        <w:t>Finance</w:t>
      </w:r>
    </w:p>
    <w:p w:rsidR="00F23E77" w:rsidRPr="00241150" w:rsidRDefault="00F23E77" w:rsidP="00F23E77">
      <w:pPr>
        <w:pStyle w:val="Heading2"/>
        <w:rPr>
          <w:lang w:bidi="en-US"/>
        </w:rPr>
      </w:pPr>
      <w:r>
        <w:rPr>
          <w:lang w:bidi="en-US"/>
        </w:rPr>
        <w:t>FN214</w:t>
      </w:r>
      <w:r w:rsidRPr="00241150">
        <w:rPr>
          <w:lang w:bidi="en-US"/>
        </w:rPr>
        <w:t xml:space="preserve"> District</w:t>
      </w:r>
      <w:r>
        <w:rPr>
          <w:lang w:bidi="en-US"/>
        </w:rPr>
        <w:t xml:space="preserve"> Expenditures Comparison</w:t>
      </w:r>
    </w:p>
    <w:p w:rsidR="008B6A10" w:rsidRPr="00241150" w:rsidRDefault="008B6A10" w:rsidP="00A977DD"/>
    <w:tbl>
      <w:tblPr>
        <w:tblW w:w="0" w:type="auto"/>
        <w:tblLook w:val="0000"/>
      </w:tblPr>
      <w:tblGrid>
        <w:gridCol w:w="4788"/>
        <w:gridCol w:w="4788"/>
      </w:tblGrid>
      <w:tr w:rsidR="00F23E77" w:rsidTr="008F755B">
        <w:tc>
          <w:tcPr>
            <w:tcW w:w="9576" w:type="dxa"/>
            <w:gridSpan w:val="2"/>
            <w:tcMar>
              <w:left w:w="115" w:type="dxa"/>
              <w:bottom w:w="115" w:type="dxa"/>
              <w:right w:w="115" w:type="dxa"/>
            </w:tcMar>
          </w:tcPr>
          <w:p w:rsidR="00F23E77" w:rsidRDefault="00F23E77" w:rsidP="00F23E77">
            <w:pPr>
              <w:rPr>
                <w:lang w:bidi="en-US"/>
              </w:rPr>
            </w:pPr>
            <w:r w:rsidRPr="00241150">
              <w:rPr>
                <w:lang w:bidi="en-US"/>
              </w:rPr>
              <w:t xml:space="preserve">Provides information on </w:t>
            </w:r>
            <w:r w:rsidRPr="00A850B8">
              <w:rPr>
                <w:lang w:bidi="en-US"/>
              </w:rPr>
              <w:t xml:space="preserve">a district or multiple districts’ </w:t>
            </w:r>
            <w:r>
              <w:rPr>
                <w:lang w:bidi="en-US"/>
              </w:rPr>
              <w:t>expenditures (</w:t>
            </w:r>
            <w:r w:rsidRPr="00A850B8">
              <w:rPr>
                <w:lang w:bidi="en-US"/>
              </w:rPr>
              <w:t xml:space="preserve">Schedule 1 End of the Year Report </w:t>
            </w:r>
            <w:r>
              <w:rPr>
                <w:lang w:bidi="en-US"/>
              </w:rPr>
              <w:t>data), alongside</w:t>
            </w:r>
            <w:r w:rsidRPr="00A850B8">
              <w:rPr>
                <w:lang w:bidi="en-US"/>
              </w:rPr>
              <w:t xml:space="preserve"> teacher staffing information, student population characteristics, and MCAS results</w:t>
            </w:r>
            <w:r>
              <w:rPr>
                <w:lang w:bidi="en-US"/>
              </w:rPr>
              <w:t xml:space="preserve"> for the purpose of single district analysis or multi-district benchmarking and comparison</w:t>
            </w:r>
            <w:r w:rsidRPr="00A850B8">
              <w:rPr>
                <w:lang w:bidi="en-US"/>
              </w:rPr>
              <w:t>.</w:t>
            </w:r>
            <w:r>
              <w:rPr>
                <w:lang w:bidi="en-US"/>
              </w:rPr>
              <w:t xml:space="preserve"> </w:t>
            </w:r>
          </w:p>
        </w:tc>
      </w:tr>
      <w:tr w:rsidR="00F23E77" w:rsidTr="008F755B">
        <w:tc>
          <w:tcPr>
            <w:tcW w:w="4788" w:type="dxa"/>
            <w:tcMar>
              <w:left w:w="115" w:type="dxa"/>
              <w:bottom w:w="115" w:type="dxa"/>
              <w:right w:w="115" w:type="dxa"/>
            </w:tcMar>
          </w:tcPr>
          <w:p w:rsidR="00F23E77" w:rsidRPr="00F23E77" w:rsidRDefault="00F23E77" w:rsidP="00F23E77">
            <w:pPr>
              <w:rPr>
                <w:iCs/>
                <w:lang w:bidi="en-US"/>
              </w:rPr>
            </w:pPr>
            <w:r w:rsidRPr="00F23E77">
              <w:rPr>
                <w:b/>
                <w:bCs/>
                <w:iCs/>
                <w:lang w:bidi="en-US"/>
              </w:rPr>
              <w:t>Includes data on</w:t>
            </w:r>
          </w:p>
          <w:p w:rsidR="00F23E77" w:rsidRPr="00470721" w:rsidRDefault="00F23E77" w:rsidP="00F23E77">
            <w:pPr>
              <w:rPr>
                <w:i/>
                <w:lang w:bidi="en-US"/>
              </w:rPr>
            </w:pPr>
            <w:r w:rsidRPr="00470721">
              <w:rPr>
                <w:i/>
                <w:lang w:bidi="en-US"/>
              </w:rPr>
              <w:t>District expenditures (Schedule 1, EOY)</w:t>
            </w:r>
          </w:p>
          <w:p w:rsidR="00646225" w:rsidRDefault="00646225" w:rsidP="00646225">
            <w:pPr>
              <w:pStyle w:val="ListParagraph"/>
              <w:numPr>
                <w:ilvl w:val="0"/>
                <w:numId w:val="18"/>
              </w:numPr>
              <w:rPr>
                <w:lang w:bidi="en-US"/>
              </w:rPr>
            </w:pPr>
            <w:r>
              <w:rPr>
                <w:lang w:bidi="en-US"/>
              </w:rPr>
              <w:t>School committee expenditures by object codes</w:t>
            </w:r>
          </w:p>
          <w:p w:rsidR="00646225" w:rsidRDefault="00646225" w:rsidP="00646225">
            <w:pPr>
              <w:pStyle w:val="ListParagraph"/>
              <w:numPr>
                <w:ilvl w:val="0"/>
                <w:numId w:val="18"/>
              </w:numPr>
              <w:rPr>
                <w:lang w:bidi="en-US"/>
              </w:rPr>
            </w:pPr>
            <w:r>
              <w:rPr>
                <w:lang w:bidi="en-US"/>
              </w:rPr>
              <w:t>Other fund expenditures by fund group</w:t>
            </w:r>
          </w:p>
          <w:p w:rsidR="00646225" w:rsidRDefault="00646225" w:rsidP="00646225">
            <w:pPr>
              <w:pStyle w:val="ListParagraph"/>
              <w:numPr>
                <w:ilvl w:val="0"/>
                <w:numId w:val="18"/>
              </w:numPr>
              <w:rPr>
                <w:lang w:bidi="en-US"/>
              </w:rPr>
            </w:pPr>
            <w:r>
              <w:rPr>
                <w:lang w:bidi="en-US"/>
              </w:rPr>
              <w:t>Total function expenditures</w:t>
            </w:r>
          </w:p>
          <w:p w:rsidR="00646225" w:rsidRDefault="00646225" w:rsidP="00646225">
            <w:pPr>
              <w:pStyle w:val="ListParagraph"/>
              <w:numPr>
                <w:ilvl w:val="0"/>
                <w:numId w:val="18"/>
              </w:numPr>
              <w:rPr>
                <w:lang w:bidi="en-US"/>
              </w:rPr>
            </w:pPr>
            <w:r>
              <w:rPr>
                <w:lang w:bidi="en-US"/>
              </w:rPr>
              <w:t>Per student expenditures</w:t>
            </w:r>
            <w:r>
              <w:rPr>
                <w:rStyle w:val="FootnoteReference"/>
                <w:lang w:bidi="en-US"/>
              </w:rPr>
              <w:footnoteReference w:id="1"/>
            </w:r>
          </w:p>
          <w:p w:rsidR="00646225" w:rsidRDefault="00674DE9" w:rsidP="00646225">
            <w:pPr>
              <w:pStyle w:val="ListParagraph"/>
              <w:numPr>
                <w:ilvl w:val="0"/>
                <w:numId w:val="18"/>
              </w:numPr>
              <w:rPr>
                <w:lang w:bidi="en-US"/>
              </w:rPr>
            </w:pPr>
            <w:r>
              <w:rPr>
                <w:lang w:bidi="en-US"/>
              </w:rPr>
              <w:t>Total in-district operating expenditures</w:t>
            </w:r>
          </w:p>
          <w:p w:rsidR="00674DE9" w:rsidRPr="00F23E77" w:rsidRDefault="00674DE9" w:rsidP="00646225">
            <w:pPr>
              <w:pStyle w:val="ListParagraph"/>
              <w:numPr>
                <w:ilvl w:val="0"/>
                <w:numId w:val="18"/>
              </w:numPr>
              <w:rPr>
                <w:lang w:bidi="en-US"/>
              </w:rPr>
            </w:pPr>
            <w:r>
              <w:rPr>
                <w:lang w:bidi="en-US"/>
              </w:rPr>
              <w:t>% of in-district operating expenditures</w:t>
            </w:r>
          </w:p>
          <w:p w:rsidR="00674DE9" w:rsidRPr="00470721" w:rsidRDefault="00F23E77" w:rsidP="00F23E77">
            <w:pPr>
              <w:rPr>
                <w:i/>
                <w:lang w:bidi="en-US"/>
              </w:rPr>
            </w:pPr>
            <w:r w:rsidRPr="00470721">
              <w:rPr>
                <w:i/>
                <w:lang w:bidi="en-US"/>
              </w:rPr>
              <w:t>Staffing (EPIMS)</w:t>
            </w:r>
          </w:p>
          <w:p w:rsidR="00F23E77" w:rsidRPr="00F23E77" w:rsidRDefault="00674DE9" w:rsidP="00674DE9">
            <w:pPr>
              <w:pStyle w:val="ListParagraph"/>
              <w:numPr>
                <w:ilvl w:val="0"/>
                <w:numId w:val="26"/>
              </w:numPr>
              <w:rPr>
                <w:lang w:bidi="en-US"/>
              </w:rPr>
            </w:pPr>
            <w:r>
              <w:rPr>
                <w:lang w:bidi="en-US"/>
              </w:rPr>
              <w:t>Teacher FTEs</w:t>
            </w:r>
          </w:p>
          <w:p w:rsidR="00F23E77" w:rsidRPr="00470721" w:rsidRDefault="00F23E77" w:rsidP="00F23E77">
            <w:pPr>
              <w:rPr>
                <w:i/>
                <w:lang w:bidi="en-US"/>
              </w:rPr>
            </w:pPr>
            <w:r w:rsidRPr="00470721">
              <w:rPr>
                <w:i/>
                <w:lang w:bidi="en-US"/>
              </w:rPr>
              <w:t>Student population (SIMS)</w:t>
            </w:r>
          </w:p>
          <w:p w:rsidR="00674DE9" w:rsidRDefault="00674DE9" w:rsidP="00674DE9">
            <w:pPr>
              <w:pStyle w:val="ListParagraph"/>
              <w:numPr>
                <w:ilvl w:val="0"/>
                <w:numId w:val="26"/>
              </w:numPr>
              <w:rPr>
                <w:lang w:bidi="en-US"/>
              </w:rPr>
            </w:pPr>
            <w:r>
              <w:rPr>
                <w:lang w:bidi="en-US"/>
              </w:rPr>
              <w:t># enrolled</w:t>
            </w:r>
          </w:p>
          <w:p w:rsidR="00674DE9" w:rsidRPr="00F23E77" w:rsidRDefault="00674DE9" w:rsidP="00674DE9">
            <w:pPr>
              <w:pStyle w:val="ListParagraph"/>
              <w:numPr>
                <w:ilvl w:val="0"/>
                <w:numId w:val="26"/>
              </w:numPr>
              <w:rPr>
                <w:lang w:bidi="en-US"/>
              </w:rPr>
            </w:pPr>
            <w:r>
              <w:rPr>
                <w:lang w:bidi="en-US"/>
              </w:rPr>
              <w:t>% low income, ELL, SWD</w:t>
            </w:r>
          </w:p>
          <w:p w:rsidR="00F23E77" w:rsidRPr="00470721" w:rsidRDefault="00F23E77" w:rsidP="00F23E77">
            <w:pPr>
              <w:rPr>
                <w:i/>
                <w:lang w:bidi="en-US"/>
              </w:rPr>
            </w:pPr>
            <w:r w:rsidRPr="00470721">
              <w:rPr>
                <w:i/>
                <w:lang w:bidi="en-US"/>
              </w:rPr>
              <w:t>ELA, Math &amp; Science MCAS</w:t>
            </w:r>
          </w:p>
          <w:p w:rsidR="00674DE9" w:rsidRDefault="00674DE9" w:rsidP="00674DE9">
            <w:pPr>
              <w:pStyle w:val="ListParagraph"/>
              <w:numPr>
                <w:ilvl w:val="0"/>
                <w:numId w:val="27"/>
              </w:numPr>
              <w:rPr>
                <w:lang w:bidi="en-US"/>
              </w:rPr>
            </w:pPr>
            <w:r>
              <w:rPr>
                <w:lang w:bidi="en-US"/>
              </w:rPr>
              <w:t># tested</w:t>
            </w:r>
          </w:p>
          <w:p w:rsidR="00674DE9" w:rsidRDefault="00674DE9" w:rsidP="00674DE9">
            <w:pPr>
              <w:pStyle w:val="ListParagraph"/>
              <w:numPr>
                <w:ilvl w:val="0"/>
                <w:numId w:val="27"/>
              </w:numPr>
              <w:rPr>
                <w:lang w:bidi="en-US"/>
              </w:rPr>
            </w:pPr>
            <w:r>
              <w:rPr>
                <w:lang w:bidi="en-US"/>
              </w:rPr>
              <w:t>% advanced, proficient, needs improvement, warning/failing</w:t>
            </w:r>
          </w:p>
          <w:p w:rsidR="00674DE9" w:rsidRDefault="00674DE9" w:rsidP="00674DE9">
            <w:pPr>
              <w:pStyle w:val="ListParagraph"/>
              <w:numPr>
                <w:ilvl w:val="0"/>
                <w:numId w:val="27"/>
              </w:numPr>
              <w:rPr>
                <w:lang w:bidi="en-US"/>
              </w:rPr>
            </w:pPr>
            <w:r>
              <w:rPr>
                <w:lang w:bidi="en-US"/>
              </w:rPr>
              <w:t># Student Growth Percentile, SGP</w:t>
            </w:r>
          </w:p>
        </w:tc>
        <w:tc>
          <w:tcPr>
            <w:tcW w:w="4788" w:type="dxa"/>
            <w:tcBorders>
              <w:left w:val="nil"/>
            </w:tcBorders>
            <w:tcMar>
              <w:left w:w="115" w:type="dxa"/>
              <w:bottom w:w="115" w:type="dxa"/>
              <w:right w:w="115" w:type="dxa"/>
            </w:tcMar>
          </w:tcPr>
          <w:p w:rsidR="00F23E77" w:rsidRPr="00F23E77" w:rsidRDefault="00F23E77" w:rsidP="00F23E77">
            <w:pPr>
              <w:rPr>
                <w:iCs/>
                <w:lang w:bidi="en-US"/>
              </w:rPr>
            </w:pPr>
            <w:r w:rsidRPr="00F23E77">
              <w:rPr>
                <w:b/>
                <w:bCs/>
                <w:iCs/>
                <w:lang w:bidi="en-US"/>
              </w:rPr>
              <w:t>Allows filtering by</w:t>
            </w:r>
          </w:p>
          <w:p w:rsidR="00F23E77" w:rsidRPr="00F23E77" w:rsidRDefault="00F23E77" w:rsidP="00F23E77">
            <w:pPr>
              <w:rPr>
                <w:iCs/>
                <w:lang w:bidi="en-US"/>
              </w:rPr>
            </w:pPr>
            <w:r w:rsidRPr="00F23E77">
              <w:rPr>
                <w:iCs/>
                <w:lang w:bidi="en-US"/>
              </w:rPr>
              <w:t>District</w:t>
            </w:r>
          </w:p>
          <w:p w:rsidR="00F23E77" w:rsidRPr="00F23E77" w:rsidRDefault="00F23E77" w:rsidP="00F23E77">
            <w:pPr>
              <w:rPr>
                <w:iCs/>
                <w:lang w:bidi="en-US"/>
              </w:rPr>
            </w:pPr>
            <w:r w:rsidRPr="00F23E77">
              <w:rPr>
                <w:iCs/>
                <w:lang w:bidi="en-US"/>
              </w:rPr>
              <w:t>District size</w:t>
            </w:r>
          </w:p>
          <w:p w:rsidR="00F23E77" w:rsidRPr="00F23E77" w:rsidRDefault="00F23E77" w:rsidP="00F23E77">
            <w:pPr>
              <w:rPr>
                <w:iCs/>
                <w:lang w:bidi="en-US"/>
              </w:rPr>
            </w:pPr>
            <w:r w:rsidRPr="00F23E77">
              <w:rPr>
                <w:iCs/>
                <w:lang w:bidi="en-US"/>
              </w:rPr>
              <w:t>Student demographics (%</w:t>
            </w:r>
            <w:r w:rsidR="00674DE9">
              <w:rPr>
                <w:iCs/>
                <w:lang w:bidi="en-US"/>
              </w:rPr>
              <w:t xml:space="preserve"> </w:t>
            </w:r>
            <w:r w:rsidRPr="00F23E77">
              <w:rPr>
                <w:iCs/>
                <w:lang w:bidi="en-US"/>
              </w:rPr>
              <w:t>low income, ELL, SWD)</w:t>
            </w:r>
          </w:p>
          <w:p w:rsidR="00F23E77" w:rsidRPr="00F23E77" w:rsidRDefault="00F23E77" w:rsidP="00F23E77">
            <w:pPr>
              <w:rPr>
                <w:iCs/>
                <w:lang w:bidi="en-US"/>
              </w:rPr>
            </w:pPr>
            <w:r w:rsidRPr="00F23E77">
              <w:rPr>
                <w:iCs/>
                <w:lang w:bidi="en-US"/>
              </w:rPr>
              <w:t>Expenditures per student</w:t>
            </w:r>
          </w:p>
          <w:p w:rsidR="00F23E77" w:rsidRDefault="00F23E77" w:rsidP="00F23E77">
            <w:pPr>
              <w:rPr>
                <w:lang w:bidi="en-US"/>
              </w:rPr>
            </w:pPr>
            <w:r w:rsidRPr="00F23E77">
              <w:rPr>
                <w:iCs/>
                <w:lang w:bidi="en-US"/>
              </w:rPr>
              <w:t>Local wealth (combined effort yield – CEY – as a % of foundation budget)</w:t>
            </w:r>
          </w:p>
        </w:tc>
      </w:tr>
      <w:tr w:rsidR="00206E1C" w:rsidTr="008F755B">
        <w:tc>
          <w:tcPr>
            <w:tcW w:w="9576" w:type="dxa"/>
            <w:gridSpan w:val="2"/>
            <w:tcMar>
              <w:left w:w="115" w:type="dxa"/>
              <w:bottom w:w="115" w:type="dxa"/>
              <w:right w:w="115" w:type="dxa"/>
            </w:tcMar>
          </w:tcPr>
          <w:p w:rsidR="00206E1C" w:rsidRDefault="00206E1C" w:rsidP="00F23E77">
            <w:pPr>
              <w:rPr>
                <w:b/>
                <w:bCs/>
                <w:iCs/>
                <w:lang w:bidi="en-US"/>
              </w:rPr>
            </w:pPr>
            <w:r>
              <w:rPr>
                <w:b/>
                <w:bCs/>
                <w:iCs/>
                <w:lang w:bidi="en-US"/>
              </w:rPr>
              <w:t>Report Footnotes</w:t>
            </w:r>
          </w:p>
          <w:p w:rsidR="00206E1C" w:rsidRPr="00206E1C" w:rsidRDefault="00206E1C" w:rsidP="00206E1C">
            <w:pPr>
              <w:rPr>
                <w:bCs/>
                <w:iCs/>
                <w:lang w:bidi="en-US"/>
              </w:rPr>
            </w:pPr>
            <w:r w:rsidRPr="00206E1C">
              <w:rPr>
                <w:bCs/>
                <w:iCs/>
                <w:lang w:bidi="en-US"/>
              </w:rPr>
              <w:t xml:space="preserve">- Includes districts for the selected year which meet all the selected parameters. </w:t>
            </w:r>
          </w:p>
          <w:p w:rsidR="00206E1C" w:rsidRPr="00206E1C" w:rsidRDefault="00206E1C" w:rsidP="00206E1C">
            <w:pPr>
              <w:rPr>
                <w:bCs/>
                <w:iCs/>
                <w:lang w:bidi="en-US"/>
              </w:rPr>
            </w:pPr>
            <w:r w:rsidRPr="00206E1C">
              <w:rPr>
                <w:bCs/>
                <w:iCs/>
                <w:lang w:bidi="en-US"/>
              </w:rPr>
              <w:t xml:space="preserve">- Expenditures information reflects the most recent EOYR information for the selected year. </w:t>
            </w:r>
          </w:p>
          <w:p w:rsidR="00206E1C" w:rsidRPr="00206E1C" w:rsidRDefault="00206E1C" w:rsidP="00206E1C">
            <w:pPr>
              <w:rPr>
                <w:bCs/>
                <w:iCs/>
                <w:lang w:bidi="en-US"/>
              </w:rPr>
            </w:pPr>
            <w:r w:rsidRPr="00206E1C">
              <w:rPr>
                <w:bCs/>
                <w:iCs/>
                <w:lang w:bidi="en-US"/>
              </w:rPr>
              <w:t xml:space="preserve">- Staffing reports cumulative FTEs for individuals who were active in October in the selected year.  Teachers include all teaching classifications - teachers, co teachers, virtual teachers, and teachers-support content instruction. </w:t>
            </w:r>
          </w:p>
          <w:p w:rsidR="00206E1C" w:rsidRPr="00206E1C" w:rsidRDefault="00206E1C" w:rsidP="00206E1C">
            <w:pPr>
              <w:rPr>
                <w:bCs/>
                <w:iCs/>
                <w:lang w:bidi="en-US"/>
              </w:rPr>
            </w:pPr>
            <w:r w:rsidRPr="00206E1C">
              <w:rPr>
                <w:bCs/>
                <w:iCs/>
                <w:lang w:bidi="en-US"/>
              </w:rPr>
              <w:t xml:space="preserve">- "Per Student Expenditures", "Total In-District Operating Expenditures", and "% of In-District Operating Expenditures" are only displayed for in-district expenditure functions. </w:t>
            </w:r>
          </w:p>
          <w:p w:rsidR="00206E1C" w:rsidRPr="00206E1C" w:rsidRDefault="00206E1C" w:rsidP="00206E1C">
            <w:pPr>
              <w:rPr>
                <w:bCs/>
                <w:iCs/>
                <w:lang w:bidi="en-US"/>
              </w:rPr>
            </w:pPr>
            <w:r w:rsidRPr="00206E1C">
              <w:rPr>
                <w:bCs/>
                <w:iCs/>
                <w:lang w:bidi="en-US"/>
              </w:rPr>
              <w:t xml:space="preserve">- "In District Operating Expenditures" is defined as the total spending from Schedule 1 from all funds and functions, excluding functions in the 6000, 7000, 8000, 9000 series, indirect cost transfers (5990), short term interest BANs (5450), and all out of district transportation costs. </w:t>
            </w:r>
          </w:p>
          <w:p w:rsidR="00206E1C" w:rsidRPr="00206E1C" w:rsidRDefault="00206E1C" w:rsidP="00206E1C">
            <w:pPr>
              <w:rPr>
                <w:bCs/>
                <w:iCs/>
                <w:lang w:bidi="en-US"/>
              </w:rPr>
            </w:pPr>
            <w:r w:rsidRPr="00206E1C">
              <w:rPr>
                <w:bCs/>
                <w:iCs/>
                <w:lang w:bidi="en-US"/>
              </w:rPr>
              <w:t xml:space="preserve">- The "Functional Area Total" within "Total In-District Functions" excludes out of district transportation expenditures from Schedule 7. The in-district transportation expenditures are grouped within the "No Objects Defined" objects code. </w:t>
            </w:r>
          </w:p>
          <w:p w:rsidR="00206E1C" w:rsidRPr="00206E1C" w:rsidRDefault="00206E1C" w:rsidP="00206E1C">
            <w:pPr>
              <w:rPr>
                <w:bCs/>
                <w:iCs/>
                <w:lang w:bidi="en-US"/>
              </w:rPr>
            </w:pPr>
            <w:r w:rsidRPr="00206E1C">
              <w:rPr>
                <w:bCs/>
                <w:iCs/>
                <w:lang w:bidi="en-US"/>
              </w:rPr>
              <w:t xml:space="preserve">- Student demographics are based on the October collection for the selected year. Low Income indicates students eligible for either free or reduced lunch; ELL (English Language Learner) indicates students who do not speak English or whose native language is not English, and who are not currently able to perform </w:t>
            </w:r>
            <w:r w:rsidRPr="00206E1C">
              <w:rPr>
                <w:bCs/>
                <w:iCs/>
                <w:lang w:bidi="en-US"/>
              </w:rPr>
              <w:lastRenderedPageBreak/>
              <w:t xml:space="preserve">ordinary classroom work; and SWD (student with disabilities) indicates students receiving special education services. </w:t>
            </w:r>
          </w:p>
          <w:p w:rsidR="00206E1C" w:rsidRPr="00206E1C" w:rsidRDefault="00206E1C" w:rsidP="00206E1C">
            <w:pPr>
              <w:rPr>
                <w:bCs/>
                <w:iCs/>
                <w:lang w:bidi="en-US"/>
              </w:rPr>
            </w:pPr>
            <w:r w:rsidRPr="00206E1C">
              <w:rPr>
                <w:bCs/>
                <w:iCs/>
                <w:lang w:bidi="en-US"/>
              </w:rPr>
              <w:t xml:space="preserve">- MCAS results are the officially reported results for the selected year. </w:t>
            </w:r>
          </w:p>
          <w:p w:rsidR="00206E1C" w:rsidRPr="00F23E77" w:rsidRDefault="00206E1C" w:rsidP="00206E1C">
            <w:pPr>
              <w:rPr>
                <w:b/>
                <w:bCs/>
                <w:iCs/>
                <w:lang w:bidi="en-US"/>
              </w:rPr>
            </w:pPr>
            <w:r w:rsidRPr="00206E1C">
              <w:rPr>
                <w:bCs/>
                <w:iCs/>
                <w:lang w:bidi="en-US"/>
              </w:rPr>
              <w:t>- Information for enrollments of fewer than 6, performance results fewer than 10, and growth results fewer than 20 are suppressed.  Suppressed values are displayed as dashes (-).</w:t>
            </w:r>
          </w:p>
        </w:tc>
      </w:tr>
    </w:tbl>
    <w:p w:rsidR="00F23E77" w:rsidRDefault="00F23E77" w:rsidP="00F23E77">
      <w:pPr>
        <w:rPr>
          <w:lang w:bidi="en-US"/>
        </w:rPr>
      </w:pPr>
    </w:p>
    <w:p w:rsidR="00C6217F" w:rsidRDefault="00C6217F" w:rsidP="00C6217F">
      <w:pPr>
        <w:pStyle w:val="ListParagraph"/>
        <w:numPr>
          <w:ilvl w:val="0"/>
          <w:numId w:val="17"/>
        </w:numPr>
        <w:rPr>
          <w:lang w:bidi="en-US"/>
        </w:rPr>
      </w:pPr>
      <w:r>
        <w:rPr>
          <w:lang w:bidi="en-US"/>
        </w:rPr>
        <w:t>Select the report.  Report will open in a new tab.</w:t>
      </w:r>
    </w:p>
    <w:p w:rsidR="00C6217F" w:rsidRDefault="00C6217F" w:rsidP="00F23E77"/>
    <w:p w:rsidR="00C6217F" w:rsidRDefault="00C6217F" w:rsidP="00C6217F">
      <w:pPr>
        <w:pStyle w:val="Caption"/>
        <w:keepNext/>
      </w:pPr>
      <w:r>
        <w:t xml:space="preserve">Figure </w:t>
      </w:r>
      <w:fldSimple w:instr=" SEQ Figure \* ARABIC ">
        <w:r w:rsidR="002650BC">
          <w:rPr>
            <w:noProof/>
          </w:rPr>
          <w:t>1</w:t>
        </w:r>
      </w:fldSimple>
    </w:p>
    <w:p w:rsidR="00F23E77" w:rsidRPr="00F23E77" w:rsidRDefault="00EE5BF7" w:rsidP="00F23E77">
      <w:pPr>
        <w:rPr>
          <w:lang w:bidi="en-US"/>
        </w:rPr>
      </w:pPr>
      <w:r>
        <w:rPr>
          <w:noProof/>
        </w:rPr>
        <w:pict>
          <v:shapetype id="_x0000_t32" coordsize="21600,21600" o:spt="32" o:oned="t" path="m,l21600,21600e" filled="f">
            <v:path arrowok="t" fillok="f" o:connecttype="none"/>
            <o:lock v:ext="edit" shapetype="t"/>
          </v:shapetype>
          <v:shape id="_x0000_s1026" type="#_x0000_t32" style="position:absolute;margin-left:224.3pt;margin-top:124.45pt;width:75pt;height:10.5pt;flip:x;z-index:251658240" o:connectortype="straight" strokecolor="#943634 [2405]" strokeweight="2pt">
            <v:stroke endarrow="block"/>
          </v:shape>
        </w:pict>
      </w:r>
      <w:r w:rsidR="00470721" w:rsidRPr="00470721">
        <w:rPr>
          <w:noProof/>
        </w:rPr>
        <w:t xml:space="preserve"> </w:t>
      </w:r>
      <w:r w:rsidR="00470721">
        <w:rPr>
          <w:noProof/>
        </w:rPr>
        <w:drawing>
          <wp:inline distT="0" distB="0" distL="0" distR="0">
            <wp:extent cx="4540102" cy="3818083"/>
            <wp:effectExtent l="19050" t="19050" r="12848" b="10967"/>
            <wp:docPr id="1" name="Picture 1" descr="An image of the District tab with the Finance section selected. A red arrow points to the first report in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41116" cy="3818936"/>
                    </a:xfrm>
                    <a:prstGeom prst="rect">
                      <a:avLst/>
                    </a:prstGeom>
                    <a:noFill/>
                    <a:ln w="9525">
                      <a:solidFill>
                        <a:schemeClr val="accent1"/>
                      </a:solidFill>
                      <a:miter lim="800000"/>
                      <a:headEnd/>
                      <a:tailEnd/>
                    </a:ln>
                  </pic:spPr>
                </pic:pic>
              </a:graphicData>
            </a:graphic>
          </wp:inline>
        </w:drawing>
      </w:r>
    </w:p>
    <w:p w:rsidR="00F23E77" w:rsidRDefault="00F23E77" w:rsidP="00C6217F">
      <w:pPr>
        <w:rPr>
          <w:lang w:bidi="en-US"/>
        </w:rPr>
      </w:pPr>
    </w:p>
    <w:p w:rsidR="00C6217F" w:rsidRDefault="00C6217F" w:rsidP="00C6217F">
      <w:pPr>
        <w:pStyle w:val="ListParagraph"/>
        <w:numPr>
          <w:ilvl w:val="0"/>
          <w:numId w:val="17"/>
        </w:numPr>
        <w:rPr>
          <w:lang w:bidi="en-US"/>
        </w:rPr>
      </w:pPr>
      <w:r>
        <w:rPr>
          <w:lang w:bidi="en-US"/>
        </w:rPr>
        <w:t>Prompt page will launch.  Select the desired parameters.</w:t>
      </w:r>
    </w:p>
    <w:p w:rsidR="00646225" w:rsidRDefault="00C6217F" w:rsidP="00646225">
      <w:pPr>
        <w:pStyle w:val="ListParagraph"/>
        <w:numPr>
          <w:ilvl w:val="1"/>
          <w:numId w:val="17"/>
        </w:numPr>
        <w:rPr>
          <w:lang w:bidi="en-US"/>
        </w:rPr>
      </w:pPr>
      <w:r>
        <w:rPr>
          <w:lang w:bidi="en-US"/>
        </w:rPr>
        <w:t xml:space="preserve">Fiscal year, functional area, function code, and “measures to include” are all required </w:t>
      </w:r>
      <w:r w:rsidR="008767C2">
        <w:rPr>
          <w:lang w:bidi="en-US"/>
        </w:rPr>
        <w:t>fields</w:t>
      </w:r>
      <w:r w:rsidR="00674DE9">
        <w:rPr>
          <w:lang w:bidi="en-US"/>
        </w:rPr>
        <w:t xml:space="preserve"> so those </w:t>
      </w:r>
      <w:r>
        <w:rPr>
          <w:lang w:bidi="en-US"/>
        </w:rPr>
        <w:t>selections must be made to run the report.</w:t>
      </w:r>
      <w:r w:rsidR="008767C2">
        <w:rPr>
          <w:lang w:bidi="en-US"/>
        </w:rPr>
        <w:t xml:space="preserve">  </w:t>
      </w:r>
      <w:r w:rsidR="008767C2" w:rsidRPr="008767C2">
        <w:rPr>
          <w:i/>
          <w:lang w:bidi="en-US"/>
        </w:rPr>
        <w:t>Note:</w:t>
      </w:r>
      <w:r w:rsidR="008767C2">
        <w:rPr>
          <w:i/>
          <w:lang w:bidi="en-US"/>
        </w:rPr>
        <w:t xml:space="preserve"> You must select a functional area and a function code.  To see the entire functional area, choose “Functional Area Total” in the function code drop-down menu.</w:t>
      </w:r>
    </w:p>
    <w:p w:rsidR="00C6217F" w:rsidRDefault="00C6217F" w:rsidP="00C6217F">
      <w:pPr>
        <w:pStyle w:val="ListParagraph"/>
        <w:numPr>
          <w:ilvl w:val="1"/>
          <w:numId w:val="17"/>
        </w:numPr>
        <w:rPr>
          <w:lang w:bidi="en-US"/>
        </w:rPr>
      </w:pPr>
      <w:r>
        <w:rPr>
          <w:lang w:bidi="en-US"/>
        </w:rPr>
        <w:t xml:space="preserve">Selecting districts is optional.  </w:t>
      </w:r>
      <w:r w:rsidR="00674DE9">
        <w:rPr>
          <w:lang w:bidi="en-US"/>
        </w:rPr>
        <w:t>“</w:t>
      </w:r>
      <w:r>
        <w:rPr>
          <w:lang w:bidi="en-US"/>
        </w:rPr>
        <w:t>District</w:t>
      </w:r>
      <w:r w:rsidR="00674DE9">
        <w:rPr>
          <w:lang w:bidi="en-US"/>
        </w:rPr>
        <w:t>”</w:t>
      </w:r>
      <w:r>
        <w:rPr>
          <w:lang w:bidi="en-US"/>
        </w:rPr>
        <w:t xml:space="preserve"> defaults to the list of </w:t>
      </w:r>
      <w:r w:rsidR="00646225">
        <w:rPr>
          <w:lang w:bidi="en-US"/>
        </w:rPr>
        <w:t xml:space="preserve">all </w:t>
      </w:r>
      <w:r>
        <w:rPr>
          <w:lang w:bidi="en-US"/>
        </w:rPr>
        <w:t>active public districts in the chosen fiscal year.</w:t>
      </w:r>
      <w:r w:rsidR="00646225">
        <w:rPr>
          <w:lang w:bidi="en-US"/>
        </w:rPr>
        <w:t xml:space="preserve">  The number of returned districts can be pared down by either selecting individual districts from the list or by selecting one or more optional filters (district size, %low income, %ELL, %SWD, expenditure per student and/or current </w:t>
      </w:r>
      <w:proofErr w:type="gramStart"/>
      <w:r w:rsidR="00646225">
        <w:rPr>
          <w:lang w:bidi="en-US"/>
        </w:rPr>
        <w:t>CEY%</w:t>
      </w:r>
      <w:proofErr w:type="gramEnd"/>
      <w:r w:rsidR="00646225">
        <w:rPr>
          <w:lang w:bidi="en-US"/>
        </w:rPr>
        <w:t>).</w:t>
      </w:r>
      <w:r w:rsidR="003E2E9D">
        <w:rPr>
          <w:lang w:bidi="en-US"/>
        </w:rPr>
        <w:t xml:space="preserve">  </w:t>
      </w:r>
      <w:r w:rsidR="003E2E9D" w:rsidRPr="003E2E9D">
        <w:rPr>
          <w:i/>
          <w:lang w:bidi="en-US"/>
        </w:rPr>
        <w:t>Note: When applying one of the filters, you may enter an upper and lower bound, an upper bound</w:t>
      </w:r>
      <w:r w:rsidR="004C1718">
        <w:rPr>
          <w:i/>
          <w:lang w:bidi="en-US"/>
        </w:rPr>
        <w:t xml:space="preserve"> only</w:t>
      </w:r>
      <w:r w:rsidR="003E2E9D" w:rsidRPr="003E2E9D">
        <w:rPr>
          <w:i/>
          <w:lang w:bidi="en-US"/>
        </w:rPr>
        <w:t>, or a lower bound</w:t>
      </w:r>
      <w:r w:rsidR="004C1718">
        <w:rPr>
          <w:i/>
          <w:lang w:bidi="en-US"/>
        </w:rPr>
        <w:t xml:space="preserve"> only</w:t>
      </w:r>
      <w:r w:rsidR="003E2E9D" w:rsidRPr="003E2E9D">
        <w:rPr>
          <w:i/>
          <w:lang w:bidi="en-US"/>
        </w:rPr>
        <w:t>.  Entering an upper bound will return all districts that are less than that number, and entering a lower bound will return all districts that are greater than that number.</w:t>
      </w:r>
    </w:p>
    <w:p w:rsidR="00C6217F" w:rsidRDefault="00C6217F" w:rsidP="00C6217F">
      <w:pPr>
        <w:pStyle w:val="Caption"/>
        <w:keepNext/>
      </w:pPr>
      <w:r>
        <w:lastRenderedPageBreak/>
        <w:t xml:space="preserve">Figure </w:t>
      </w:r>
      <w:fldSimple w:instr=" SEQ Figure \* ARABIC ">
        <w:r w:rsidR="002650BC">
          <w:rPr>
            <w:noProof/>
          </w:rPr>
          <w:t>2</w:t>
        </w:r>
      </w:fldSimple>
    </w:p>
    <w:p w:rsidR="00C6217F" w:rsidRPr="00241150" w:rsidRDefault="00EE5BF7" w:rsidP="00C6217F">
      <w:pPr>
        <w:rPr>
          <w:lang w:bidi="en-US"/>
        </w:rPr>
      </w:pPr>
      <w:r>
        <w:rPr>
          <w:noProof/>
        </w:rPr>
        <w:pict>
          <v:oval id="_x0000_s1027" style="position:absolute;margin-left:409.5pt;margin-top:21.3pt;width:55.5pt;height:12.75pt;z-index:251659264" filled="f" strokecolor="#943634 [2405]" strokeweight="2pt"/>
        </w:pict>
      </w:r>
      <w:r w:rsidR="00C6217F">
        <w:rPr>
          <w:noProof/>
        </w:rPr>
        <w:drawing>
          <wp:inline distT="0" distB="0" distL="0" distR="0">
            <wp:extent cx="5943600" cy="2815110"/>
            <wp:effectExtent l="19050" t="19050" r="19050" b="23340"/>
            <wp:docPr id="3" name="Picture 4" descr="The prompt page for District Expenditures Comparison -- Schedule 1: In the upper right, the key explaining that the starred items are required fields is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2815110"/>
                    </a:xfrm>
                    <a:prstGeom prst="rect">
                      <a:avLst/>
                    </a:prstGeom>
                    <a:noFill/>
                    <a:ln w="9525">
                      <a:solidFill>
                        <a:schemeClr val="accent1"/>
                      </a:solidFill>
                      <a:miter lim="800000"/>
                      <a:headEnd/>
                      <a:tailEnd/>
                    </a:ln>
                  </pic:spPr>
                </pic:pic>
              </a:graphicData>
            </a:graphic>
          </wp:inline>
        </w:drawing>
      </w:r>
    </w:p>
    <w:p w:rsidR="00533FA2" w:rsidRDefault="00533FA2" w:rsidP="003E2E9D"/>
    <w:p w:rsidR="00533FA2" w:rsidRDefault="00533FA2" w:rsidP="00533FA2">
      <w:pPr>
        <w:pStyle w:val="Caption"/>
        <w:keepNext/>
      </w:pPr>
      <w:r>
        <w:t xml:space="preserve">Figure </w:t>
      </w:r>
      <w:fldSimple w:instr=" SEQ Figure \* ARABIC ">
        <w:r w:rsidR="002650BC">
          <w:rPr>
            <w:noProof/>
          </w:rPr>
          <w:t>3</w:t>
        </w:r>
      </w:fldSimple>
    </w:p>
    <w:p w:rsidR="00533FA2" w:rsidRDefault="00533FA2">
      <w:pPr>
        <w:spacing w:after="200" w:line="276" w:lineRule="auto"/>
        <w:rPr>
          <w:b/>
          <w:lang w:bidi="en-US"/>
        </w:rPr>
      </w:pPr>
      <w:r w:rsidRPr="00533FA2">
        <w:rPr>
          <w:b/>
          <w:noProof/>
        </w:rPr>
        <w:drawing>
          <wp:inline distT="0" distB="0" distL="0" distR="0">
            <wp:extent cx="5943600" cy="2484182"/>
            <wp:effectExtent l="19050" t="19050" r="19050" b="11368"/>
            <wp:docPr id="5" name="Picture 7" descr="The prompt page for District Expenditures Comparison -- Schedule 1: In the 'District Size' fields, 1000 has been entered in the 'from' box and 1250 in the 'to' box. In the '% Low Income' fields, 15 has been entered in the 'from'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2484182"/>
                    </a:xfrm>
                    <a:prstGeom prst="rect">
                      <a:avLst/>
                    </a:prstGeom>
                    <a:noFill/>
                    <a:ln w="9525">
                      <a:solidFill>
                        <a:schemeClr val="accent1"/>
                      </a:solidFill>
                      <a:miter lim="800000"/>
                      <a:headEnd/>
                      <a:tailEnd/>
                    </a:ln>
                  </pic:spPr>
                </pic:pic>
              </a:graphicData>
            </a:graphic>
          </wp:inline>
        </w:drawing>
      </w:r>
    </w:p>
    <w:p w:rsidR="00533FA2" w:rsidRDefault="00674DE9" w:rsidP="00533FA2">
      <w:pPr>
        <w:pStyle w:val="ListParagraph"/>
        <w:numPr>
          <w:ilvl w:val="0"/>
          <w:numId w:val="17"/>
        </w:numPr>
        <w:spacing w:after="200" w:line="276" w:lineRule="auto"/>
        <w:rPr>
          <w:lang w:bidi="en-US"/>
        </w:rPr>
      </w:pPr>
      <w:r>
        <w:rPr>
          <w:lang w:bidi="en-US"/>
        </w:rPr>
        <w:t>This report</w:t>
      </w:r>
      <w:r w:rsidR="00533FA2">
        <w:rPr>
          <w:lang w:bidi="en-US"/>
        </w:rPr>
        <w:t xml:space="preserve"> returns a list of district that meets the specified criteria</w:t>
      </w:r>
      <w:r w:rsidR="008767C2">
        <w:rPr>
          <w:lang w:bidi="en-US"/>
        </w:rPr>
        <w:t>.  From the report page you may</w:t>
      </w:r>
      <w:r w:rsidR="00533FA2">
        <w:rPr>
          <w:lang w:bidi="en-US"/>
        </w:rPr>
        <w:t>:</w:t>
      </w:r>
    </w:p>
    <w:p w:rsidR="00533FA2" w:rsidRDefault="008767C2" w:rsidP="00206E1C">
      <w:pPr>
        <w:pStyle w:val="ListParagraph"/>
        <w:numPr>
          <w:ilvl w:val="1"/>
          <w:numId w:val="17"/>
        </w:numPr>
        <w:rPr>
          <w:lang w:bidi="en-US"/>
        </w:rPr>
      </w:pPr>
      <w:r>
        <w:rPr>
          <w:lang w:bidi="en-US"/>
        </w:rPr>
        <w:t>Select a different functional area and/or function code.</w:t>
      </w:r>
    </w:p>
    <w:p w:rsidR="008767C2" w:rsidRDefault="008767C2" w:rsidP="00206E1C">
      <w:pPr>
        <w:pStyle w:val="ListParagraph"/>
        <w:numPr>
          <w:ilvl w:val="1"/>
          <w:numId w:val="17"/>
        </w:numPr>
        <w:rPr>
          <w:lang w:bidi="en-US"/>
        </w:rPr>
      </w:pPr>
      <w:r>
        <w:rPr>
          <w:lang w:bidi="en-US"/>
        </w:rPr>
        <w:t xml:space="preserve">Choose which measures (sections of the displayed report) to include.  To re-run the report with these selections, click submit.  To return to the prompt page, select the play button in the upper </w:t>
      </w:r>
      <w:r w:rsidR="00674DE9">
        <w:rPr>
          <w:lang w:bidi="en-US"/>
        </w:rPr>
        <w:t xml:space="preserve">right </w:t>
      </w:r>
      <w:r>
        <w:rPr>
          <w:lang w:bidi="en-US"/>
        </w:rPr>
        <w:t>corner.</w:t>
      </w:r>
    </w:p>
    <w:p w:rsidR="00533FA2" w:rsidRDefault="00EE5BF7" w:rsidP="00533FA2">
      <w:pPr>
        <w:pStyle w:val="Caption"/>
        <w:keepNext/>
      </w:pPr>
      <w:r>
        <w:rPr>
          <w:noProof/>
        </w:rPr>
        <w:lastRenderedPageBreak/>
        <w:pict>
          <v:oval id="_x0000_s1029" style="position:absolute;margin-left:358.35pt;margin-top:20pt;width:10pt;height:15.9pt;z-index:251661312" filled="f" strokecolor="#943634 [2405]" strokeweight="2pt"/>
        </w:pict>
      </w:r>
      <w:r w:rsidR="00533FA2">
        <w:t xml:space="preserve">Figure </w:t>
      </w:r>
      <w:fldSimple w:instr=" SEQ Figure \* ARABIC ">
        <w:r w:rsidR="002650BC">
          <w:rPr>
            <w:noProof/>
          </w:rPr>
          <w:t>4</w:t>
        </w:r>
      </w:fldSimple>
    </w:p>
    <w:p w:rsidR="00206E1C" w:rsidRDefault="00EE5BF7" w:rsidP="00533FA2">
      <w:pPr>
        <w:rPr>
          <w:lang w:bidi="en-US"/>
        </w:rPr>
      </w:pPr>
      <w:r>
        <w:rPr>
          <w:noProof/>
        </w:rPr>
        <w:pict>
          <v:rect id="_x0000_s1028" style="position:absolute;margin-left:119.7pt;margin-top:36.65pt;width:226.9pt;height:49.4pt;z-index:251660288" filled="f" strokecolor="#943634 [2405]" strokeweight="2pt"/>
        </w:pict>
      </w:r>
      <w:r w:rsidR="00533FA2">
        <w:rPr>
          <w:noProof/>
        </w:rPr>
        <w:drawing>
          <wp:inline distT="0" distB="0" distL="0" distR="0">
            <wp:extent cx="5943600" cy="3425479"/>
            <wp:effectExtent l="19050" t="19050" r="19050" b="22571"/>
            <wp:docPr id="10" name="Picture 10" descr="The report page for District Expenditures Comparison -- Schedule 1: Prompts at the top of the report page are enclosed in a red box and options are selected. The blue arrow to rerun the report is circled in red at the very top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43600" cy="3425479"/>
                    </a:xfrm>
                    <a:prstGeom prst="rect">
                      <a:avLst/>
                    </a:prstGeom>
                    <a:noFill/>
                    <a:ln w="9525">
                      <a:solidFill>
                        <a:schemeClr val="accent1"/>
                      </a:solidFill>
                      <a:miter lim="800000"/>
                      <a:headEnd/>
                      <a:tailEnd/>
                    </a:ln>
                  </pic:spPr>
                </pic:pic>
              </a:graphicData>
            </a:graphic>
          </wp:inline>
        </w:drawing>
      </w:r>
    </w:p>
    <w:p w:rsidR="00206E1C" w:rsidRDefault="00206E1C" w:rsidP="00533FA2">
      <w:pPr>
        <w:rPr>
          <w:lang w:bidi="en-US"/>
        </w:rPr>
      </w:pPr>
    </w:p>
    <w:p w:rsidR="00206E1C" w:rsidRPr="00A5051C" w:rsidRDefault="00206E1C" w:rsidP="00206E1C">
      <w:pPr>
        <w:pStyle w:val="ListParagraph"/>
        <w:numPr>
          <w:ilvl w:val="0"/>
          <w:numId w:val="17"/>
        </w:numPr>
        <w:rPr>
          <w:lang w:bidi="en-US"/>
        </w:rPr>
      </w:pPr>
      <w:r>
        <w:rPr>
          <w:lang w:bidi="en-US"/>
        </w:rPr>
        <w:t>From th</w:t>
      </w:r>
      <w:r w:rsidR="00A5051C">
        <w:rPr>
          <w:lang w:bidi="en-US"/>
        </w:rPr>
        <w:t>is</w:t>
      </w:r>
      <w:r>
        <w:rPr>
          <w:lang w:bidi="en-US"/>
        </w:rPr>
        <w:t xml:space="preserve"> report page, you may drill through to FN314 – School Instructional Resource Analysis – Schedule 3 by clicking one of the displayed districts.  </w:t>
      </w:r>
      <w:r>
        <w:rPr>
          <w:i/>
          <w:lang w:bidi="en-US"/>
        </w:rPr>
        <w:t>This capability is only available for aggregate functions/functions in the Instruction (2000) series.</w:t>
      </w:r>
      <w:r w:rsidR="00674DE9">
        <w:rPr>
          <w:i/>
          <w:lang w:bidi="en-US"/>
        </w:rPr>
        <w:t xml:space="preserve">  Districts will be highlighted in blue.</w:t>
      </w:r>
    </w:p>
    <w:p w:rsidR="00A5051C" w:rsidRPr="00A5051C" w:rsidRDefault="00A5051C" w:rsidP="00A5051C"/>
    <w:p w:rsidR="00206E1C" w:rsidRDefault="00206E1C" w:rsidP="00206E1C">
      <w:pPr>
        <w:pStyle w:val="Caption"/>
        <w:keepNext/>
      </w:pPr>
      <w:r>
        <w:t xml:space="preserve">Figure </w:t>
      </w:r>
      <w:fldSimple w:instr=" SEQ Figure \* ARABIC ">
        <w:r w:rsidR="002650BC">
          <w:rPr>
            <w:noProof/>
          </w:rPr>
          <w:t>5</w:t>
        </w:r>
      </w:fldSimple>
    </w:p>
    <w:p w:rsidR="006D67E6" w:rsidRDefault="00EE5BF7" w:rsidP="00206E1C">
      <w:pPr>
        <w:rPr>
          <w:lang w:bidi="en-US"/>
        </w:rPr>
      </w:pPr>
      <w:r>
        <w:rPr>
          <w:noProof/>
        </w:rPr>
        <w:pict>
          <v:shape id="_x0000_s1030" type="#_x0000_t32" style="position:absolute;margin-left:49.4pt;margin-top:107.7pt;width:1in;height:30.15pt;flip:x;z-index:251662336" o:connectortype="straight" strokecolor="#943634 [2405]" strokeweight="2pt">
            <v:stroke endarrow="block"/>
          </v:shape>
        </w:pict>
      </w:r>
      <w:r>
        <w:rPr>
          <w:noProof/>
        </w:rPr>
        <w:pict>
          <v:rect id="_x0000_s1031" style="position:absolute;margin-left:121.4pt;margin-top:39.9pt;width:105.5pt;height:44.35pt;z-index:251663360" filled="f" strokecolor="#943634 [2405]" strokeweight="2pt"/>
        </w:pict>
      </w:r>
      <w:r w:rsidR="00206E1C">
        <w:rPr>
          <w:noProof/>
        </w:rPr>
        <w:drawing>
          <wp:inline distT="0" distB="0" distL="0" distR="0">
            <wp:extent cx="5943600" cy="3478598"/>
            <wp:effectExtent l="19050" t="19050" r="19050" b="26602"/>
            <wp:docPr id="13" name="Picture 13" descr="The report page for District Expenditures Comparison -- Schedule 1: The 'Functional Area' and 'Function Code' prompts are enclosed in a red box. A red arrow points from them to the list of districts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3478598"/>
                    </a:xfrm>
                    <a:prstGeom prst="rect">
                      <a:avLst/>
                    </a:prstGeom>
                    <a:noFill/>
                    <a:ln w="9525">
                      <a:solidFill>
                        <a:schemeClr val="accent1"/>
                      </a:solidFill>
                      <a:miter lim="800000"/>
                      <a:headEnd/>
                      <a:tailEnd/>
                    </a:ln>
                  </pic:spPr>
                </pic:pic>
              </a:graphicData>
            </a:graphic>
          </wp:inline>
        </w:drawing>
      </w:r>
    </w:p>
    <w:p w:rsidR="006D67E6" w:rsidRDefault="006D67E6" w:rsidP="00206E1C">
      <w:pPr>
        <w:rPr>
          <w:lang w:bidi="en-US"/>
        </w:rPr>
      </w:pPr>
    </w:p>
    <w:p w:rsidR="006D67E6" w:rsidRDefault="006D67E6" w:rsidP="006D67E6">
      <w:pPr>
        <w:pStyle w:val="ListParagraph"/>
        <w:numPr>
          <w:ilvl w:val="0"/>
          <w:numId w:val="17"/>
        </w:numPr>
        <w:rPr>
          <w:lang w:bidi="en-US"/>
        </w:rPr>
      </w:pPr>
      <w:r>
        <w:rPr>
          <w:lang w:bidi="en-US"/>
        </w:rPr>
        <w:t>To export this report to another format (i.e.</w:t>
      </w:r>
      <w:r w:rsidR="00765BCA">
        <w:rPr>
          <w:lang w:bidi="en-US"/>
        </w:rPr>
        <w:t>,</w:t>
      </w:r>
      <w:r>
        <w:rPr>
          <w:lang w:bidi="en-US"/>
        </w:rPr>
        <w:t xml:space="preserve"> PDF, XML, Excel or HTML) select the output format icon in the upper right corner.</w:t>
      </w:r>
    </w:p>
    <w:p w:rsidR="00674DE9" w:rsidRPr="00674DE9" w:rsidRDefault="00674DE9" w:rsidP="00674DE9"/>
    <w:p w:rsidR="006D67E6" w:rsidRDefault="006D67E6" w:rsidP="006D67E6">
      <w:pPr>
        <w:pStyle w:val="Caption"/>
        <w:keepNext/>
      </w:pPr>
      <w:r>
        <w:t xml:space="preserve">Figure </w:t>
      </w:r>
      <w:fldSimple w:instr=" SEQ Figure \* ARABIC ">
        <w:r w:rsidR="002650BC">
          <w:rPr>
            <w:noProof/>
          </w:rPr>
          <w:t>6</w:t>
        </w:r>
      </w:fldSimple>
    </w:p>
    <w:p w:rsidR="00674DE9" w:rsidRDefault="00EE5BF7" w:rsidP="006D67E6">
      <w:pPr>
        <w:rPr>
          <w:lang w:bidi="en-US"/>
        </w:rPr>
      </w:pPr>
      <w:r>
        <w:rPr>
          <w:noProof/>
        </w:rPr>
        <w:pict>
          <v:rect id="_x0000_s1032" style="position:absolute;margin-left:121.4pt;margin-top:2.55pt;width:38.5pt;height:21.75pt;z-index:251664384" filled="f" strokecolor="#943634 [2405]" strokeweight="2pt"/>
        </w:pict>
      </w:r>
      <w:r w:rsidR="006D67E6">
        <w:rPr>
          <w:noProof/>
        </w:rPr>
        <w:drawing>
          <wp:inline distT="0" distB="0" distL="0" distR="0">
            <wp:extent cx="3051810" cy="1510030"/>
            <wp:effectExtent l="19050" t="19050" r="15240" b="13970"/>
            <wp:docPr id="16" name="Picture 16" descr="The dropdown for the format selection icon is shown. The options include 'View in HTML Format', 'View in PDF Format', and 'View in Excel Options' format. A further dropdown from 'View in Excel Options' offers 'View in Excel 2007 Format', 'View in Excel 2002 Form', and 'View in CS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051810" cy="1510030"/>
                    </a:xfrm>
                    <a:prstGeom prst="rect">
                      <a:avLst/>
                    </a:prstGeom>
                    <a:noFill/>
                    <a:ln w="9525">
                      <a:solidFill>
                        <a:schemeClr val="accent1"/>
                      </a:solidFill>
                      <a:miter lim="800000"/>
                      <a:headEnd/>
                      <a:tailEnd/>
                    </a:ln>
                  </pic:spPr>
                </pic:pic>
              </a:graphicData>
            </a:graphic>
          </wp:inline>
        </w:drawing>
      </w:r>
    </w:p>
    <w:p w:rsidR="00F23E77" w:rsidRPr="00533FA2" w:rsidRDefault="00F23E77" w:rsidP="006D67E6">
      <w:pPr>
        <w:rPr>
          <w:lang w:bidi="en-US"/>
        </w:rPr>
      </w:pPr>
      <w:r w:rsidRPr="00533FA2">
        <w:rPr>
          <w:lang w:bidi="en-US"/>
        </w:rPr>
        <w:br w:type="page"/>
      </w:r>
    </w:p>
    <w:p w:rsidR="00E66DD6" w:rsidRDefault="00EB03BD" w:rsidP="00F23E77">
      <w:pPr>
        <w:pStyle w:val="Heading2"/>
        <w:rPr>
          <w:lang w:bidi="en-US"/>
        </w:rPr>
      </w:pPr>
      <w:r>
        <w:rPr>
          <w:lang w:bidi="en-US"/>
        </w:rPr>
        <w:lastRenderedPageBreak/>
        <w:t>FN314</w:t>
      </w:r>
      <w:r w:rsidR="00E66DD6" w:rsidRPr="00241150">
        <w:rPr>
          <w:lang w:bidi="en-US"/>
        </w:rPr>
        <w:t xml:space="preserve"> School</w:t>
      </w:r>
      <w:r w:rsidR="00E66DD6">
        <w:rPr>
          <w:lang w:bidi="en-US"/>
        </w:rPr>
        <w:t xml:space="preserve"> </w:t>
      </w:r>
      <w:r w:rsidR="00AE1BFA">
        <w:rPr>
          <w:lang w:bidi="en-US"/>
        </w:rPr>
        <w:t xml:space="preserve">Instructional Resource Analysis </w:t>
      </w:r>
    </w:p>
    <w:p w:rsidR="006D67E6" w:rsidRPr="006D67E6" w:rsidRDefault="006D67E6" w:rsidP="006D67E6">
      <w:pPr>
        <w:rPr>
          <w:lang w:bidi="en-US"/>
        </w:rPr>
      </w:pPr>
    </w:p>
    <w:tbl>
      <w:tblPr>
        <w:tblW w:w="0" w:type="auto"/>
        <w:tblLook w:val="0000"/>
      </w:tblPr>
      <w:tblGrid>
        <w:gridCol w:w="4788"/>
        <w:gridCol w:w="4788"/>
      </w:tblGrid>
      <w:tr w:rsidR="006D67E6" w:rsidTr="008F755B">
        <w:tc>
          <w:tcPr>
            <w:tcW w:w="9576" w:type="dxa"/>
            <w:gridSpan w:val="2"/>
            <w:tcMar>
              <w:left w:w="115" w:type="dxa"/>
              <w:bottom w:w="115" w:type="dxa"/>
              <w:right w:w="115" w:type="dxa"/>
            </w:tcMar>
          </w:tcPr>
          <w:p w:rsidR="006D67E6" w:rsidRDefault="006D67E6" w:rsidP="007E4A19">
            <w:pPr>
              <w:rPr>
                <w:lang w:bidi="en-US"/>
              </w:rPr>
            </w:pPr>
            <w:r w:rsidRPr="006D67E6">
              <w:rPr>
                <w:lang w:bidi="en-US"/>
              </w:rPr>
              <w:t>Provides information on a school level instructional expenditures (Schedule 3 End of the Year Report data), alongside staffing information, student population characteristics, MCAS results, and classroom size information for the purpose of single district analysis.</w:t>
            </w:r>
          </w:p>
        </w:tc>
      </w:tr>
      <w:tr w:rsidR="006D67E6" w:rsidTr="008F755B">
        <w:tc>
          <w:tcPr>
            <w:tcW w:w="4788" w:type="dxa"/>
            <w:tcMar>
              <w:left w:w="115" w:type="dxa"/>
              <w:bottom w:w="115" w:type="dxa"/>
              <w:right w:w="115" w:type="dxa"/>
            </w:tcMar>
          </w:tcPr>
          <w:p w:rsidR="006D67E6" w:rsidRPr="00F23E77" w:rsidRDefault="006D67E6" w:rsidP="007E4A19">
            <w:pPr>
              <w:rPr>
                <w:iCs/>
                <w:lang w:bidi="en-US"/>
              </w:rPr>
            </w:pPr>
            <w:r w:rsidRPr="00F23E77">
              <w:rPr>
                <w:b/>
                <w:bCs/>
                <w:iCs/>
                <w:lang w:bidi="en-US"/>
              </w:rPr>
              <w:t>Includes data on</w:t>
            </w:r>
          </w:p>
          <w:p w:rsidR="007E4A19" w:rsidRPr="00470721" w:rsidRDefault="007E4A19" w:rsidP="007E4A19">
            <w:pPr>
              <w:rPr>
                <w:i/>
                <w:lang w:bidi="en-US"/>
              </w:rPr>
            </w:pPr>
            <w:r w:rsidRPr="00470721">
              <w:rPr>
                <w:i/>
                <w:lang w:bidi="en-US"/>
              </w:rPr>
              <w:t>District/school instructional expenditures (Schedule 3, 2000 series, EOY)</w:t>
            </w:r>
          </w:p>
          <w:p w:rsidR="003E2E9D" w:rsidRDefault="003E2E9D" w:rsidP="003E2E9D">
            <w:pPr>
              <w:pStyle w:val="ListParagraph"/>
              <w:numPr>
                <w:ilvl w:val="0"/>
                <w:numId w:val="28"/>
              </w:numPr>
              <w:rPr>
                <w:lang w:bidi="en-US"/>
              </w:rPr>
            </w:pPr>
            <w:r>
              <w:rPr>
                <w:lang w:bidi="en-US"/>
              </w:rPr>
              <w:t>School committee expenditures by object code</w:t>
            </w:r>
          </w:p>
          <w:p w:rsidR="003E2E9D" w:rsidRDefault="003E2E9D" w:rsidP="003E2E9D">
            <w:pPr>
              <w:pStyle w:val="ListParagraph"/>
              <w:numPr>
                <w:ilvl w:val="0"/>
                <w:numId w:val="28"/>
              </w:numPr>
              <w:rPr>
                <w:lang w:bidi="en-US"/>
              </w:rPr>
            </w:pPr>
            <w:r>
              <w:rPr>
                <w:lang w:bidi="en-US"/>
              </w:rPr>
              <w:t>Other fund expenditures by fund group</w:t>
            </w:r>
          </w:p>
          <w:p w:rsidR="003E2E9D" w:rsidRDefault="003E2E9D" w:rsidP="003E2E9D">
            <w:pPr>
              <w:pStyle w:val="ListParagraph"/>
              <w:numPr>
                <w:ilvl w:val="0"/>
                <w:numId w:val="28"/>
              </w:numPr>
              <w:rPr>
                <w:lang w:bidi="en-US"/>
              </w:rPr>
            </w:pPr>
            <w:r>
              <w:rPr>
                <w:lang w:bidi="en-US"/>
              </w:rPr>
              <w:t>Total function expenditures</w:t>
            </w:r>
          </w:p>
          <w:p w:rsidR="003E2E9D" w:rsidRPr="007E4A19" w:rsidRDefault="003E2E9D" w:rsidP="003E2E9D">
            <w:pPr>
              <w:pStyle w:val="ListParagraph"/>
              <w:numPr>
                <w:ilvl w:val="0"/>
                <w:numId w:val="28"/>
              </w:numPr>
              <w:rPr>
                <w:lang w:bidi="en-US"/>
              </w:rPr>
            </w:pPr>
            <w:r>
              <w:rPr>
                <w:lang w:bidi="en-US"/>
              </w:rPr>
              <w:t>Per student expenditures</w:t>
            </w:r>
          </w:p>
          <w:p w:rsidR="007E4A19" w:rsidRPr="00470721" w:rsidRDefault="007E4A19" w:rsidP="007E4A19">
            <w:pPr>
              <w:rPr>
                <w:i/>
                <w:lang w:bidi="en-US"/>
              </w:rPr>
            </w:pPr>
            <w:r w:rsidRPr="00470721">
              <w:rPr>
                <w:i/>
                <w:lang w:bidi="en-US"/>
              </w:rPr>
              <w:t>Staffing (EPIMS)</w:t>
            </w:r>
          </w:p>
          <w:p w:rsidR="003E2E9D" w:rsidRDefault="003E2E9D" w:rsidP="003E2E9D">
            <w:pPr>
              <w:pStyle w:val="ListParagraph"/>
              <w:numPr>
                <w:ilvl w:val="0"/>
                <w:numId w:val="29"/>
              </w:numPr>
              <w:rPr>
                <w:lang w:bidi="en-US"/>
              </w:rPr>
            </w:pPr>
            <w:r>
              <w:rPr>
                <w:lang w:bidi="en-US"/>
              </w:rPr>
              <w:t>Teacher FTEs, by age, by years from 1</w:t>
            </w:r>
            <w:r w:rsidRPr="003E2E9D">
              <w:rPr>
                <w:vertAlign w:val="superscript"/>
                <w:lang w:bidi="en-US"/>
              </w:rPr>
              <w:t>st</w:t>
            </w:r>
            <w:r>
              <w:rPr>
                <w:lang w:bidi="en-US"/>
              </w:rPr>
              <w:t xml:space="preserve"> license</w:t>
            </w:r>
          </w:p>
          <w:p w:rsidR="003E2E9D" w:rsidRPr="007E4A19" w:rsidRDefault="003E2E9D" w:rsidP="003E2E9D">
            <w:pPr>
              <w:pStyle w:val="ListParagraph"/>
              <w:numPr>
                <w:ilvl w:val="0"/>
                <w:numId w:val="29"/>
              </w:numPr>
              <w:rPr>
                <w:lang w:bidi="en-US"/>
              </w:rPr>
            </w:pPr>
            <w:r>
              <w:rPr>
                <w:lang w:bidi="en-US"/>
              </w:rPr>
              <w:t>Instructional coach FTEs, instructional support FTEs, SPED instructional support FTEs, paraprofessional FTEs</w:t>
            </w:r>
          </w:p>
          <w:p w:rsidR="007E4A19" w:rsidRPr="00470721" w:rsidRDefault="007E4A19" w:rsidP="007E4A19">
            <w:pPr>
              <w:rPr>
                <w:i/>
                <w:lang w:bidi="en-US"/>
              </w:rPr>
            </w:pPr>
            <w:r w:rsidRPr="00470721">
              <w:rPr>
                <w:i/>
                <w:lang w:bidi="en-US"/>
              </w:rPr>
              <w:t>Student population (SIMS)</w:t>
            </w:r>
          </w:p>
          <w:p w:rsidR="003E2E9D" w:rsidRDefault="003E2E9D" w:rsidP="003E2E9D">
            <w:pPr>
              <w:pStyle w:val="ListParagraph"/>
              <w:numPr>
                <w:ilvl w:val="0"/>
                <w:numId w:val="26"/>
              </w:numPr>
              <w:rPr>
                <w:lang w:bidi="en-US"/>
              </w:rPr>
            </w:pPr>
            <w:r>
              <w:rPr>
                <w:lang w:bidi="en-US"/>
              </w:rPr>
              <w:t># enrolled</w:t>
            </w:r>
          </w:p>
          <w:p w:rsidR="003E2E9D" w:rsidRPr="00F23E77" w:rsidRDefault="003E2E9D" w:rsidP="003E2E9D">
            <w:pPr>
              <w:pStyle w:val="ListParagraph"/>
              <w:numPr>
                <w:ilvl w:val="0"/>
                <w:numId w:val="26"/>
              </w:numPr>
              <w:rPr>
                <w:lang w:bidi="en-US"/>
              </w:rPr>
            </w:pPr>
            <w:r>
              <w:rPr>
                <w:lang w:bidi="en-US"/>
              </w:rPr>
              <w:t>% low income, ELL, SWD</w:t>
            </w:r>
          </w:p>
          <w:p w:rsidR="007E4A19" w:rsidRPr="00470721" w:rsidRDefault="007E4A19" w:rsidP="007E4A19">
            <w:pPr>
              <w:rPr>
                <w:i/>
                <w:lang w:bidi="en-US"/>
              </w:rPr>
            </w:pPr>
            <w:r w:rsidRPr="00470721">
              <w:rPr>
                <w:i/>
                <w:lang w:bidi="en-US"/>
              </w:rPr>
              <w:t>Class size</w:t>
            </w:r>
          </w:p>
          <w:p w:rsidR="006D67E6" w:rsidRPr="00470721" w:rsidRDefault="007E4A19" w:rsidP="007E4A19">
            <w:pPr>
              <w:rPr>
                <w:i/>
                <w:lang w:bidi="en-US"/>
              </w:rPr>
            </w:pPr>
            <w:r w:rsidRPr="00470721">
              <w:rPr>
                <w:i/>
                <w:lang w:bidi="en-US"/>
              </w:rPr>
              <w:t>ELA, Math &amp; Science MCAS</w:t>
            </w:r>
          </w:p>
          <w:p w:rsidR="003E2E9D" w:rsidRPr="003E2E9D" w:rsidRDefault="003E2E9D" w:rsidP="003E2E9D">
            <w:pPr>
              <w:numPr>
                <w:ilvl w:val="0"/>
                <w:numId w:val="27"/>
              </w:numPr>
              <w:rPr>
                <w:lang w:bidi="en-US"/>
              </w:rPr>
            </w:pPr>
            <w:r w:rsidRPr="003E2E9D">
              <w:rPr>
                <w:lang w:bidi="en-US"/>
              </w:rPr>
              <w:t># tested</w:t>
            </w:r>
          </w:p>
          <w:p w:rsidR="003E2E9D" w:rsidRPr="003E2E9D" w:rsidRDefault="003E2E9D" w:rsidP="003E2E9D">
            <w:pPr>
              <w:numPr>
                <w:ilvl w:val="0"/>
                <w:numId w:val="27"/>
              </w:numPr>
              <w:rPr>
                <w:lang w:bidi="en-US"/>
              </w:rPr>
            </w:pPr>
            <w:r w:rsidRPr="003E2E9D">
              <w:rPr>
                <w:lang w:bidi="en-US"/>
              </w:rPr>
              <w:t>% advanced, proficient, needs improvement, warning/failing</w:t>
            </w:r>
          </w:p>
          <w:p w:rsidR="003E2E9D" w:rsidRDefault="003E2E9D" w:rsidP="003E2E9D">
            <w:pPr>
              <w:pStyle w:val="ListParagraph"/>
              <w:numPr>
                <w:ilvl w:val="0"/>
                <w:numId w:val="27"/>
              </w:numPr>
              <w:rPr>
                <w:lang w:bidi="en-US"/>
              </w:rPr>
            </w:pPr>
            <w:r w:rsidRPr="003E2E9D">
              <w:rPr>
                <w:lang w:bidi="en-US"/>
              </w:rPr>
              <w:t># Student Growth Percentile, SGP</w:t>
            </w:r>
          </w:p>
        </w:tc>
        <w:tc>
          <w:tcPr>
            <w:tcW w:w="4788" w:type="dxa"/>
            <w:tcBorders>
              <w:left w:val="nil"/>
            </w:tcBorders>
            <w:tcMar>
              <w:left w:w="115" w:type="dxa"/>
              <w:bottom w:w="115" w:type="dxa"/>
              <w:right w:w="115" w:type="dxa"/>
            </w:tcMar>
          </w:tcPr>
          <w:p w:rsidR="006D67E6" w:rsidRPr="00F23E77" w:rsidRDefault="006D67E6" w:rsidP="007E4A19">
            <w:pPr>
              <w:rPr>
                <w:iCs/>
                <w:lang w:bidi="en-US"/>
              </w:rPr>
            </w:pPr>
            <w:r w:rsidRPr="00F23E77">
              <w:rPr>
                <w:b/>
                <w:bCs/>
                <w:iCs/>
                <w:lang w:bidi="en-US"/>
              </w:rPr>
              <w:t>Allows filtering by</w:t>
            </w:r>
          </w:p>
          <w:p w:rsidR="007E4A19" w:rsidRPr="007E4A19" w:rsidRDefault="007E4A19" w:rsidP="007E4A19">
            <w:pPr>
              <w:rPr>
                <w:lang w:bidi="en-US"/>
              </w:rPr>
            </w:pPr>
            <w:r w:rsidRPr="007E4A19">
              <w:rPr>
                <w:lang w:bidi="en-US"/>
              </w:rPr>
              <w:t>District</w:t>
            </w:r>
          </w:p>
          <w:p w:rsidR="006D67E6" w:rsidRDefault="007E4A19" w:rsidP="007E4A19">
            <w:pPr>
              <w:rPr>
                <w:lang w:bidi="en-US"/>
              </w:rPr>
            </w:pPr>
            <w:r w:rsidRPr="007E4A19">
              <w:rPr>
                <w:lang w:bidi="en-US"/>
              </w:rPr>
              <w:t>School level type (elementary, middle, secondary)</w:t>
            </w:r>
          </w:p>
        </w:tc>
      </w:tr>
      <w:tr w:rsidR="006D67E6" w:rsidTr="008F755B">
        <w:tc>
          <w:tcPr>
            <w:tcW w:w="9576" w:type="dxa"/>
            <w:gridSpan w:val="2"/>
            <w:tcMar>
              <w:left w:w="115" w:type="dxa"/>
              <w:bottom w:w="115" w:type="dxa"/>
              <w:right w:w="115" w:type="dxa"/>
            </w:tcMar>
          </w:tcPr>
          <w:p w:rsidR="006D67E6" w:rsidRDefault="006D67E6" w:rsidP="007E4A19">
            <w:pPr>
              <w:rPr>
                <w:b/>
                <w:bCs/>
                <w:iCs/>
                <w:lang w:bidi="en-US"/>
              </w:rPr>
            </w:pPr>
            <w:r>
              <w:rPr>
                <w:b/>
                <w:bCs/>
                <w:iCs/>
                <w:lang w:bidi="en-US"/>
              </w:rPr>
              <w:t>Report Footnotes</w:t>
            </w:r>
          </w:p>
          <w:p w:rsidR="007E4A19" w:rsidRPr="007E4A19" w:rsidRDefault="007E4A19" w:rsidP="007E4A19">
            <w:pPr>
              <w:rPr>
                <w:bCs/>
                <w:iCs/>
                <w:lang w:bidi="en-US"/>
              </w:rPr>
            </w:pPr>
            <w:r w:rsidRPr="007E4A19">
              <w:rPr>
                <w:bCs/>
                <w:iCs/>
                <w:lang w:bidi="en-US"/>
              </w:rPr>
              <w:t xml:space="preserve">- Includes the selected district's expenditures information as of the most recent EOYR information for the selected year. </w:t>
            </w:r>
          </w:p>
          <w:p w:rsidR="007E4A19" w:rsidRPr="007E4A19" w:rsidRDefault="007E4A19" w:rsidP="007E4A19">
            <w:pPr>
              <w:rPr>
                <w:bCs/>
                <w:iCs/>
                <w:lang w:bidi="en-US"/>
              </w:rPr>
            </w:pPr>
            <w:r w:rsidRPr="007E4A19">
              <w:rPr>
                <w:bCs/>
                <w:iCs/>
                <w:lang w:bidi="en-US"/>
              </w:rPr>
              <w:t xml:space="preserve">- Staffing reports cumulative FTEs for individuals who were active in October in the selected year.  Teachers include all teaching classifications - teachers, co teachers, virtual teachers, and teachers-support content instruction. </w:t>
            </w:r>
          </w:p>
          <w:p w:rsidR="007E4A19" w:rsidRPr="007E4A19" w:rsidRDefault="007E4A19" w:rsidP="007E4A19">
            <w:pPr>
              <w:rPr>
                <w:bCs/>
                <w:iCs/>
                <w:lang w:bidi="en-US"/>
              </w:rPr>
            </w:pPr>
            <w:r w:rsidRPr="007E4A19">
              <w:rPr>
                <w:bCs/>
                <w:iCs/>
                <w:lang w:bidi="en-US"/>
              </w:rPr>
              <w:t xml:space="preserve">- Expenditures information reflects the most recent EOYR information for the selected year. </w:t>
            </w:r>
          </w:p>
          <w:p w:rsidR="007E4A19" w:rsidRPr="007E4A19" w:rsidRDefault="007E4A19" w:rsidP="007E4A19">
            <w:pPr>
              <w:rPr>
                <w:bCs/>
                <w:iCs/>
                <w:lang w:bidi="en-US"/>
              </w:rPr>
            </w:pPr>
            <w:r w:rsidRPr="007E4A19">
              <w:rPr>
                <w:bCs/>
                <w:iCs/>
                <w:lang w:bidi="en-US"/>
              </w:rPr>
              <w:t xml:space="preserve">- "District-Wide" includes staff assigned at the district level and expenditures reported at the district-level. </w:t>
            </w:r>
          </w:p>
          <w:p w:rsidR="007E4A19" w:rsidRPr="007E4A19" w:rsidRDefault="007E4A19" w:rsidP="007E4A19">
            <w:pPr>
              <w:rPr>
                <w:bCs/>
                <w:iCs/>
                <w:lang w:bidi="en-US"/>
              </w:rPr>
            </w:pPr>
            <w:r w:rsidRPr="007E4A19">
              <w:rPr>
                <w:bCs/>
                <w:iCs/>
                <w:lang w:bidi="en-US"/>
              </w:rPr>
              <w:t xml:space="preserve">- Student demographics are based on the October collection for the selected year. Low Income indicates students eligible for either free or reduced lunch; ELL (English Language Learner) indicates students who do not speak English or whose native language is not English, and who are not currently able to perform ordinary classroom work; and SWD (student with disabilities) indicates students receiving special education services. </w:t>
            </w:r>
          </w:p>
          <w:p w:rsidR="007E4A19" w:rsidRPr="007E4A19" w:rsidRDefault="007E4A19" w:rsidP="007E4A19">
            <w:pPr>
              <w:rPr>
                <w:bCs/>
                <w:iCs/>
                <w:lang w:bidi="en-US"/>
              </w:rPr>
            </w:pPr>
            <w:r w:rsidRPr="007E4A19">
              <w:rPr>
                <w:bCs/>
                <w:iCs/>
                <w:lang w:bidi="en-US"/>
              </w:rPr>
              <w:t xml:space="preserve">- MCAS results are the officially reported results for the selected year. </w:t>
            </w:r>
          </w:p>
          <w:p w:rsidR="006D67E6" w:rsidRPr="00F23E77" w:rsidRDefault="007E4A19" w:rsidP="007E4A19">
            <w:pPr>
              <w:rPr>
                <w:b/>
                <w:bCs/>
                <w:iCs/>
                <w:lang w:bidi="en-US"/>
              </w:rPr>
            </w:pPr>
            <w:r w:rsidRPr="007E4A19">
              <w:rPr>
                <w:bCs/>
                <w:iCs/>
                <w:lang w:bidi="en-US"/>
              </w:rPr>
              <w:t>- Information for enrollments of fewer than 6, performance results fewer than 10, and growth results fewer than 20 are suppressed.  Suppressed values are displayed as dashes (-).</w:t>
            </w:r>
          </w:p>
        </w:tc>
      </w:tr>
    </w:tbl>
    <w:p w:rsidR="007E4A19" w:rsidRDefault="007E4A19" w:rsidP="007E4A19"/>
    <w:p w:rsidR="003E2E9D" w:rsidRPr="007E4A19" w:rsidRDefault="003E2E9D" w:rsidP="007E4A19"/>
    <w:p w:rsidR="007E4A19" w:rsidRDefault="007E4A19" w:rsidP="007E4A19">
      <w:pPr>
        <w:pStyle w:val="ListParagraph"/>
        <w:numPr>
          <w:ilvl w:val="0"/>
          <w:numId w:val="19"/>
        </w:numPr>
        <w:rPr>
          <w:lang w:bidi="en-US"/>
        </w:rPr>
      </w:pPr>
      <w:r>
        <w:rPr>
          <w:lang w:bidi="en-US"/>
        </w:rPr>
        <w:lastRenderedPageBreak/>
        <w:t>Select the report.  Report will open in a new tab.</w:t>
      </w:r>
    </w:p>
    <w:p w:rsidR="00017D53" w:rsidRDefault="00017D53" w:rsidP="00017D53">
      <w:pPr>
        <w:pStyle w:val="Caption"/>
        <w:keepNext/>
      </w:pPr>
      <w:r>
        <w:t xml:space="preserve">Figure </w:t>
      </w:r>
      <w:fldSimple w:instr=" SEQ Figure \* ARABIC ">
        <w:r w:rsidR="002650BC">
          <w:rPr>
            <w:noProof/>
          </w:rPr>
          <w:t>7</w:t>
        </w:r>
      </w:fldSimple>
    </w:p>
    <w:p w:rsidR="007E4A19" w:rsidRDefault="00EE5BF7">
      <w:pPr>
        <w:spacing w:after="200" w:line="276" w:lineRule="auto"/>
        <w:rPr>
          <w:b/>
          <w:lang w:bidi="en-US"/>
        </w:rPr>
      </w:pPr>
      <w:r>
        <w:rPr>
          <w:b/>
          <w:noProof/>
        </w:rPr>
        <w:pict>
          <v:shape id="_x0000_s1033" type="#_x0000_t32" style="position:absolute;margin-left:231.9pt;margin-top:147.2pt;width:61.15pt;height:15.9pt;flip:x;z-index:251665408" o:connectortype="straight" strokecolor="#943634 [2405]" strokeweight="2pt">
            <v:stroke endarrow="block"/>
          </v:shape>
        </w:pict>
      </w:r>
      <w:r w:rsidR="00470721" w:rsidRPr="00470721">
        <w:rPr>
          <w:b/>
          <w:noProof/>
        </w:rPr>
        <w:drawing>
          <wp:inline distT="0" distB="0" distL="0" distR="0">
            <wp:extent cx="4558284" cy="3831336"/>
            <wp:effectExtent l="19050" t="19050" r="13716" b="16764"/>
            <wp:docPr id="7" name="Picture 1" descr="An image of the District tab with the Finance section selected. A red arrow points to the second report in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58284" cy="3831336"/>
                    </a:xfrm>
                    <a:prstGeom prst="rect">
                      <a:avLst/>
                    </a:prstGeom>
                    <a:noFill/>
                    <a:ln w="9525">
                      <a:solidFill>
                        <a:schemeClr val="accent1"/>
                      </a:solidFill>
                      <a:miter lim="800000"/>
                      <a:headEnd/>
                      <a:tailEnd/>
                    </a:ln>
                  </pic:spPr>
                </pic:pic>
              </a:graphicData>
            </a:graphic>
          </wp:inline>
        </w:drawing>
      </w:r>
    </w:p>
    <w:p w:rsidR="007E4A19" w:rsidRDefault="007E4A19" w:rsidP="007E4A19">
      <w:pPr>
        <w:pStyle w:val="ListParagraph"/>
        <w:numPr>
          <w:ilvl w:val="0"/>
          <w:numId w:val="19"/>
        </w:numPr>
        <w:rPr>
          <w:lang w:bidi="en-US"/>
        </w:rPr>
      </w:pPr>
      <w:r>
        <w:rPr>
          <w:lang w:bidi="en-US"/>
        </w:rPr>
        <w:t>Prompt page will launch.  Select the desired parameters.</w:t>
      </w:r>
    </w:p>
    <w:p w:rsidR="007E4A19" w:rsidRDefault="007E4A19" w:rsidP="007E4A19">
      <w:pPr>
        <w:pStyle w:val="ListParagraph"/>
        <w:numPr>
          <w:ilvl w:val="1"/>
          <w:numId w:val="17"/>
        </w:numPr>
        <w:rPr>
          <w:lang w:bidi="en-US"/>
        </w:rPr>
      </w:pPr>
      <w:r>
        <w:rPr>
          <w:lang w:bidi="en-US"/>
        </w:rPr>
        <w:t xml:space="preserve">Fiscal year, functional area, function code, </w:t>
      </w:r>
      <w:r w:rsidR="00017D53">
        <w:rPr>
          <w:lang w:bidi="en-US"/>
        </w:rPr>
        <w:t xml:space="preserve">district </w:t>
      </w:r>
      <w:r>
        <w:rPr>
          <w:lang w:bidi="en-US"/>
        </w:rPr>
        <w:t xml:space="preserve">and “measures to include” are all required fields and therefore selections must be made to run the report.  </w:t>
      </w:r>
      <w:r w:rsidR="00017D53">
        <w:rPr>
          <w:lang w:bidi="en-US"/>
        </w:rPr>
        <w:t xml:space="preserve">This report is can display only one district at a time.  </w:t>
      </w:r>
      <w:r w:rsidRPr="008767C2">
        <w:rPr>
          <w:i/>
          <w:lang w:bidi="en-US"/>
        </w:rPr>
        <w:t>Note:</w:t>
      </w:r>
      <w:r>
        <w:rPr>
          <w:i/>
          <w:lang w:bidi="en-US"/>
        </w:rPr>
        <w:t xml:space="preserve"> You must select a functional area, and a function code.  To see the entire functional area, choose “Functional Area Total” in the function code drop-down menu.</w:t>
      </w:r>
    </w:p>
    <w:p w:rsidR="007E4A19" w:rsidRDefault="00017D53" w:rsidP="007E4A19">
      <w:pPr>
        <w:pStyle w:val="ListParagraph"/>
        <w:numPr>
          <w:ilvl w:val="1"/>
          <w:numId w:val="17"/>
        </w:numPr>
        <w:rPr>
          <w:lang w:bidi="en-US"/>
        </w:rPr>
      </w:pPr>
      <w:r>
        <w:rPr>
          <w:lang w:bidi="en-US"/>
        </w:rPr>
        <w:t>School level type</w:t>
      </w:r>
      <w:r w:rsidR="007E4A19">
        <w:rPr>
          <w:lang w:bidi="en-US"/>
        </w:rPr>
        <w:t xml:space="preserve"> is optional.  </w:t>
      </w:r>
      <w:r>
        <w:rPr>
          <w:lang w:bidi="en-US"/>
        </w:rPr>
        <w:t xml:space="preserve">This parameter </w:t>
      </w:r>
      <w:r w:rsidR="007E4A19">
        <w:rPr>
          <w:lang w:bidi="en-US"/>
        </w:rPr>
        <w:t xml:space="preserve">defaults to the list of all </w:t>
      </w:r>
      <w:r>
        <w:rPr>
          <w:lang w:bidi="en-US"/>
        </w:rPr>
        <w:t>schools in the district</w:t>
      </w:r>
      <w:r w:rsidR="007E4A19">
        <w:rPr>
          <w:lang w:bidi="en-US"/>
        </w:rPr>
        <w:t xml:space="preserve"> in the chosen fiscal year.  </w:t>
      </w:r>
    </w:p>
    <w:p w:rsidR="00017D53" w:rsidRDefault="00017D53" w:rsidP="00017D53">
      <w:pPr>
        <w:pStyle w:val="Caption"/>
        <w:keepNext/>
      </w:pPr>
      <w:r>
        <w:t xml:space="preserve">Figure </w:t>
      </w:r>
      <w:fldSimple w:instr=" SEQ Figure \* ARABIC ">
        <w:r w:rsidR="002650BC">
          <w:rPr>
            <w:noProof/>
          </w:rPr>
          <w:t>8</w:t>
        </w:r>
      </w:fldSimple>
    </w:p>
    <w:p w:rsidR="00017D53" w:rsidRDefault="00EE5BF7">
      <w:pPr>
        <w:spacing w:after="200" w:line="276" w:lineRule="auto"/>
        <w:rPr>
          <w:lang w:bidi="en-US"/>
        </w:rPr>
      </w:pPr>
      <w:r w:rsidRPr="00EE5BF7">
        <w:rPr>
          <w:b/>
          <w:noProof/>
        </w:rPr>
        <w:pict>
          <v:oval id="_x0000_s1035" style="position:absolute;margin-left:406.4pt;margin-top:21.35pt;width:55.5pt;height:12.75pt;z-index:251666432" filled="f" strokecolor="#943634 [2405]" strokeweight="2pt"/>
        </w:pict>
      </w:r>
      <w:r w:rsidR="00017D53" w:rsidRPr="00017D53">
        <w:rPr>
          <w:b/>
          <w:noProof/>
        </w:rPr>
        <w:drawing>
          <wp:inline distT="0" distB="0" distL="0" distR="0">
            <wp:extent cx="5943600" cy="2295864"/>
            <wp:effectExtent l="19050" t="19050" r="19050" b="28236"/>
            <wp:docPr id="8" name="Picture 19" descr="The prompt page forSchool Instructional Resource Analysis -- Schedule 3: In the upper right, the key explaining that the starred items are required fields is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943600" cy="2295864"/>
                    </a:xfrm>
                    <a:prstGeom prst="rect">
                      <a:avLst/>
                    </a:prstGeom>
                    <a:noFill/>
                    <a:ln w="9525">
                      <a:solidFill>
                        <a:schemeClr val="accent1"/>
                      </a:solidFill>
                      <a:miter lim="800000"/>
                      <a:headEnd/>
                      <a:tailEnd/>
                    </a:ln>
                  </pic:spPr>
                </pic:pic>
              </a:graphicData>
            </a:graphic>
          </wp:inline>
        </w:drawing>
      </w:r>
    </w:p>
    <w:p w:rsidR="00017D53" w:rsidRDefault="00017D53" w:rsidP="005F3C5E">
      <w:pPr>
        <w:pStyle w:val="ListParagraph"/>
        <w:numPr>
          <w:ilvl w:val="0"/>
          <w:numId w:val="19"/>
        </w:numPr>
        <w:spacing w:after="200" w:line="276" w:lineRule="auto"/>
        <w:rPr>
          <w:lang w:bidi="en-US"/>
        </w:rPr>
      </w:pPr>
      <w:r w:rsidRPr="00017D53">
        <w:rPr>
          <w:lang w:bidi="en-US"/>
        </w:rPr>
        <w:lastRenderedPageBreak/>
        <w:t>FN314 returns your selected district.</w:t>
      </w:r>
      <w:r>
        <w:rPr>
          <w:b/>
          <w:lang w:bidi="en-US"/>
        </w:rPr>
        <w:t xml:space="preserve"> </w:t>
      </w:r>
      <w:r>
        <w:rPr>
          <w:lang w:bidi="en-US"/>
        </w:rPr>
        <w:t>From the report page you may:</w:t>
      </w:r>
    </w:p>
    <w:p w:rsidR="00017D53" w:rsidRDefault="00017D53" w:rsidP="005F3C5E">
      <w:pPr>
        <w:pStyle w:val="ListParagraph"/>
        <w:numPr>
          <w:ilvl w:val="0"/>
          <w:numId w:val="21"/>
        </w:numPr>
        <w:rPr>
          <w:lang w:bidi="en-US"/>
        </w:rPr>
      </w:pPr>
      <w:r>
        <w:rPr>
          <w:lang w:bidi="en-US"/>
        </w:rPr>
        <w:t>Select a different district, functional area and/or function code.</w:t>
      </w:r>
    </w:p>
    <w:p w:rsidR="00017D53" w:rsidRDefault="00017D53" w:rsidP="005F3C5E">
      <w:pPr>
        <w:pStyle w:val="ListParagraph"/>
        <w:numPr>
          <w:ilvl w:val="0"/>
          <w:numId w:val="21"/>
        </w:numPr>
        <w:rPr>
          <w:lang w:bidi="en-US"/>
        </w:rPr>
      </w:pPr>
      <w:r>
        <w:rPr>
          <w:lang w:bidi="en-US"/>
        </w:rPr>
        <w:t>Choose which measures (sections of the displayed report) and/or which school level type to include.  To re-run the report with these selections, click submit.  To return to the prompt page, select the play button in the upper corner.</w:t>
      </w:r>
    </w:p>
    <w:p w:rsidR="00017D53" w:rsidRDefault="00017D53" w:rsidP="00017D53">
      <w:pPr>
        <w:rPr>
          <w:lang w:bidi="en-US"/>
        </w:rPr>
      </w:pPr>
    </w:p>
    <w:p w:rsidR="00017D53" w:rsidRDefault="00017D53" w:rsidP="00017D53">
      <w:pPr>
        <w:pStyle w:val="Caption"/>
        <w:keepNext/>
      </w:pPr>
      <w:r>
        <w:t xml:space="preserve">Figure </w:t>
      </w:r>
      <w:fldSimple w:instr=" SEQ Figure \* ARABIC ">
        <w:r w:rsidR="002650BC">
          <w:rPr>
            <w:noProof/>
          </w:rPr>
          <w:t>9</w:t>
        </w:r>
      </w:fldSimple>
    </w:p>
    <w:p w:rsidR="0010727A" w:rsidRDefault="00EE5BF7" w:rsidP="00017D53">
      <w:pPr>
        <w:rPr>
          <w:b/>
          <w:lang w:bidi="en-US"/>
        </w:rPr>
      </w:pPr>
      <w:r>
        <w:rPr>
          <w:b/>
          <w:noProof/>
        </w:rPr>
        <w:pict>
          <v:rect id="_x0000_s1036" style="position:absolute;margin-left:85.4pt;margin-top:37.7pt;width:383.45pt;height:49.4pt;z-index:251667456" filled="f" strokecolor="#943634 [2405]" strokeweight="2pt"/>
        </w:pict>
      </w:r>
      <w:r w:rsidR="00017D53">
        <w:rPr>
          <w:b/>
          <w:noProof/>
        </w:rPr>
        <w:drawing>
          <wp:inline distT="0" distB="0" distL="0" distR="0">
            <wp:extent cx="5943600" cy="2595111"/>
            <wp:effectExtent l="19050" t="19050" r="19050" b="14739"/>
            <wp:docPr id="22" name="Picture 22" descr="The report page for School Instructional Resource Analysis -- Schedule 3: Prompts at the top of the report are enclosed in a 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943600" cy="2595111"/>
                    </a:xfrm>
                    <a:prstGeom prst="rect">
                      <a:avLst/>
                    </a:prstGeom>
                    <a:noFill/>
                    <a:ln w="9525">
                      <a:solidFill>
                        <a:schemeClr val="accent1"/>
                      </a:solidFill>
                      <a:miter lim="800000"/>
                      <a:headEnd/>
                      <a:tailEnd/>
                    </a:ln>
                  </pic:spPr>
                </pic:pic>
              </a:graphicData>
            </a:graphic>
          </wp:inline>
        </w:drawing>
      </w:r>
    </w:p>
    <w:p w:rsidR="0010727A" w:rsidRPr="0010727A" w:rsidRDefault="0010727A" w:rsidP="0010727A"/>
    <w:p w:rsidR="0010727A" w:rsidRDefault="0010727A" w:rsidP="005F3C5E">
      <w:pPr>
        <w:pStyle w:val="ListParagraph"/>
        <w:numPr>
          <w:ilvl w:val="0"/>
          <w:numId w:val="19"/>
        </w:numPr>
        <w:rPr>
          <w:lang w:bidi="en-US"/>
        </w:rPr>
      </w:pPr>
      <w:r>
        <w:rPr>
          <w:lang w:bidi="en-US"/>
        </w:rPr>
        <w:t>To export this report to another format (i.e. PDF, XML, Excel or HTML) select the output format icon in the upper right corner.</w:t>
      </w:r>
    </w:p>
    <w:p w:rsidR="0010727A" w:rsidRDefault="0010727A" w:rsidP="0010727A">
      <w:pPr>
        <w:pStyle w:val="Caption"/>
        <w:keepNext/>
      </w:pPr>
      <w:r>
        <w:t xml:space="preserve">Figure </w:t>
      </w:r>
      <w:fldSimple w:instr=" SEQ Figure \* ARABIC ">
        <w:r w:rsidR="002650BC">
          <w:rPr>
            <w:noProof/>
          </w:rPr>
          <w:t>10</w:t>
        </w:r>
      </w:fldSimple>
    </w:p>
    <w:p w:rsidR="004732B4" w:rsidRDefault="00EE5BF7" w:rsidP="0010727A">
      <w:pPr>
        <w:rPr>
          <w:b/>
          <w:lang w:bidi="en-US"/>
        </w:rPr>
      </w:pPr>
      <w:r w:rsidRPr="00EE5BF7">
        <w:rPr>
          <w:noProof/>
        </w:rPr>
        <w:pict>
          <v:rect id="_x0000_s1038" style="position:absolute;margin-left:121.4pt;margin-top:2.55pt;width:38.5pt;height:21.75pt;z-index:251669504" filled="f" strokecolor="#943634 [2405]" strokeweight="2pt"/>
        </w:pict>
      </w:r>
      <w:r w:rsidR="0010727A">
        <w:rPr>
          <w:noProof/>
        </w:rPr>
        <w:drawing>
          <wp:inline distT="0" distB="0" distL="0" distR="0">
            <wp:extent cx="3051810" cy="1510030"/>
            <wp:effectExtent l="19050" t="19050" r="15240" b="13970"/>
            <wp:docPr id="11" name="Picture 16" descr="The dropdown for the format selection icon is shown. The options include 'View in HTML Format', 'View in PDF Format', and 'View in Excel Options' format. A further dropdown from 'View in Excel Options' offers 'View in Excel 2007 Format', 'View in Excel 2002 Form', and 'View in CS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051810" cy="1510030"/>
                    </a:xfrm>
                    <a:prstGeom prst="rect">
                      <a:avLst/>
                    </a:prstGeom>
                    <a:noFill/>
                    <a:ln w="9525">
                      <a:solidFill>
                        <a:schemeClr val="accent1"/>
                      </a:solidFill>
                      <a:miter lim="800000"/>
                      <a:headEnd/>
                      <a:tailEnd/>
                    </a:ln>
                  </pic:spPr>
                </pic:pic>
              </a:graphicData>
            </a:graphic>
          </wp:inline>
        </w:drawing>
      </w:r>
    </w:p>
    <w:p w:rsidR="00F23E77" w:rsidRDefault="00F23E77" w:rsidP="0010727A">
      <w:pPr>
        <w:rPr>
          <w:b/>
          <w:lang w:bidi="en-US"/>
        </w:rPr>
      </w:pPr>
      <w:r>
        <w:rPr>
          <w:b/>
          <w:lang w:bidi="en-US"/>
        </w:rPr>
        <w:br w:type="page"/>
      </w:r>
    </w:p>
    <w:p w:rsidR="00E66DD6" w:rsidRDefault="00EB03BD" w:rsidP="00F23E77">
      <w:pPr>
        <w:pStyle w:val="Heading2"/>
        <w:rPr>
          <w:lang w:bidi="en-US"/>
        </w:rPr>
      </w:pPr>
      <w:r>
        <w:rPr>
          <w:lang w:bidi="en-US"/>
        </w:rPr>
        <w:lastRenderedPageBreak/>
        <w:t>FN316</w:t>
      </w:r>
      <w:r w:rsidRPr="00241150">
        <w:rPr>
          <w:lang w:bidi="en-US"/>
        </w:rPr>
        <w:t xml:space="preserve"> </w:t>
      </w:r>
      <w:r w:rsidR="00E66DD6">
        <w:rPr>
          <w:lang w:bidi="en-US"/>
        </w:rPr>
        <w:t>District Operations and Maintenance</w:t>
      </w:r>
    </w:p>
    <w:p w:rsidR="006D67E6" w:rsidRPr="006D67E6" w:rsidRDefault="006D67E6" w:rsidP="006D67E6">
      <w:pPr>
        <w:rPr>
          <w:lang w:bidi="en-US"/>
        </w:rPr>
      </w:pPr>
    </w:p>
    <w:tbl>
      <w:tblPr>
        <w:tblW w:w="0" w:type="auto"/>
        <w:tblLook w:val="0000"/>
      </w:tblPr>
      <w:tblGrid>
        <w:gridCol w:w="4788"/>
        <w:gridCol w:w="4788"/>
      </w:tblGrid>
      <w:tr w:rsidR="006D67E6" w:rsidTr="008F755B">
        <w:tc>
          <w:tcPr>
            <w:tcW w:w="9576" w:type="dxa"/>
            <w:gridSpan w:val="2"/>
            <w:tcMar>
              <w:left w:w="115" w:type="dxa"/>
              <w:bottom w:w="115" w:type="dxa"/>
              <w:right w:w="115" w:type="dxa"/>
            </w:tcMar>
          </w:tcPr>
          <w:p w:rsidR="006D67E6" w:rsidRDefault="006D67E6" w:rsidP="007E4A19">
            <w:pPr>
              <w:rPr>
                <w:lang w:bidi="en-US"/>
              </w:rPr>
            </w:pPr>
            <w:r w:rsidRPr="006D67E6">
              <w:rPr>
                <w:lang w:bidi="en-US"/>
              </w:rPr>
              <w:t>Provides information on a district’s operations and maintenance expenditures (Schedule 1 End of Year Report data), alongside school building and student enrollment information for the purpose of single district analysis over one or three years.</w:t>
            </w:r>
          </w:p>
        </w:tc>
      </w:tr>
      <w:tr w:rsidR="006D67E6" w:rsidTr="008F755B">
        <w:tc>
          <w:tcPr>
            <w:tcW w:w="4788" w:type="dxa"/>
            <w:tcMar>
              <w:left w:w="115" w:type="dxa"/>
              <w:bottom w:w="115" w:type="dxa"/>
              <w:right w:w="115" w:type="dxa"/>
            </w:tcMar>
          </w:tcPr>
          <w:p w:rsidR="006D67E6" w:rsidRPr="00F23E77" w:rsidRDefault="006D67E6" w:rsidP="007E4A19">
            <w:pPr>
              <w:rPr>
                <w:iCs/>
                <w:lang w:bidi="en-US"/>
              </w:rPr>
            </w:pPr>
            <w:r w:rsidRPr="00F23E77">
              <w:rPr>
                <w:b/>
                <w:bCs/>
                <w:iCs/>
                <w:lang w:bidi="en-US"/>
              </w:rPr>
              <w:t>Includes data on</w:t>
            </w:r>
          </w:p>
          <w:p w:rsidR="005D1E26" w:rsidRPr="00470721" w:rsidRDefault="005D1E26" w:rsidP="005D1E26">
            <w:pPr>
              <w:rPr>
                <w:i/>
                <w:lang w:bidi="en-US"/>
              </w:rPr>
            </w:pPr>
            <w:r w:rsidRPr="00470721">
              <w:rPr>
                <w:i/>
                <w:lang w:bidi="en-US"/>
              </w:rPr>
              <w:t>District operations &amp; maintenance expenditures (Schedule 1, 4000 series, EOY)</w:t>
            </w:r>
          </w:p>
          <w:p w:rsidR="00244361" w:rsidRDefault="00244361" w:rsidP="00244361">
            <w:pPr>
              <w:pStyle w:val="ListParagraph"/>
              <w:numPr>
                <w:ilvl w:val="0"/>
                <w:numId w:val="28"/>
              </w:numPr>
              <w:rPr>
                <w:lang w:bidi="en-US"/>
              </w:rPr>
            </w:pPr>
            <w:r>
              <w:rPr>
                <w:lang w:bidi="en-US"/>
              </w:rPr>
              <w:t>School committee expenditures by object code</w:t>
            </w:r>
          </w:p>
          <w:p w:rsidR="00244361" w:rsidRDefault="00244361" w:rsidP="00244361">
            <w:pPr>
              <w:pStyle w:val="ListParagraph"/>
              <w:numPr>
                <w:ilvl w:val="0"/>
                <w:numId w:val="28"/>
              </w:numPr>
              <w:rPr>
                <w:lang w:bidi="en-US"/>
              </w:rPr>
            </w:pPr>
            <w:r>
              <w:rPr>
                <w:lang w:bidi="en-US"/>
              </w:rPr>
              <w:t>Other fund expenditures by fund group</w:t>
            </w:r>
          </w:p>
          <w:p w:rsidR="00244361" w:rsidRDefault="00244361" w:rsidP="00244361">
            <w:pPr>
              <w:pStyle w:val="ListParagraph"/>
              <w:numPr>
                <w:ilvl w:val="0"/>
                <w:numId w:val="28"/>
              </w:numPr>
              <w:rPr>
                <w:lang w:bidi="en-US"/>
              </w:rPr>
            </w:pPr>
            <w:r>
              <w:rPr>
                <w:lang w:bidi="en-US"/>
              </w:rPr>
              <w:t>Total ops &amp; maintenance expenditures</w:t>
            </w:r>
          </w:p>
          <w:p w:rsidR="00244361" w:rsidRDefault="00244361" w:rsidP="005D1E26">
            <w:pPr>
              <w:pStyle w:val="ListParagraph"/>
              <w:numPr>
                <w:ilvl w:val="0"/>
                <w:numId w:val="28"/>
              </w:numPr>
              <w:rPr>
                <w:lang w:bidi="en-US"/>
              </w:rPr>
            </w:pPr>
            <w:r>
              <w:rPr>
                <w:lang w:bidi="en-US"/>
              </w:rPr>
              <w:t>Per student expenditures</w:t>
            </w:r>
          </w:p>
          <w:p w:rsidR="00244361" w:rsidRPr="005D1E26" w:rsidRDefault="00244361" w:rsidP="005D1E26">
            <w:pPr>
              <w:pStyle w:val="ListParagraph"/>
              <w:numPr>
                <w:ilvl w:val="0"/>
                <w:numId w:val="28"/>
              </w:numPr>
              <w:rPr>
                <w:lang w:bidi="en-US"/>
              </w:rPr>
            </w:pPr>
            <w:r>
              <w:rPr>
                <w:lang w:bidi="en-US"/>
              </w:rPr>
              <w:t>Per square footage expenditures</w:t>
            </w:r>
            <w:r w:rsidR="00F502E7">
              <w:rPr>
                <w:rStyle w:val="FootnoteReference"/>
                <w:lang w:bidi="en-US"/>
              </w:rPr>
              <w:footnoteReference w:id="2"/>
            </w:r>
          </w:p>
          <w:p w:rsidR="00F502E7" w:rsidRPr="00470721" w:rsidRDefault="005D1E26" w:rsidP="005D1E26">
            <w:pPr>
              <w:rPr>
                <w:i/>
                <w:lang w:bidi="en-US"/>
              </w:rPr>
            </w:pPr>
            <w:r w:rsidRPr="00470721">
              <w:rPr>
                <w:i/>
                <w:lang w:bidi="en-US"/>
              </w:rPr>
              <w:t>Enrollment (SIMS)</w:t>
            </w:r>
            <w:r w:rsidR="00F502E7" w:rsidRPr="00470721">
              <w:rPr>
                <w:i/>
                <w:lang w:bidi="en-US"/>
              </w:rPr>
              <w:t xml:space="preserve"> - # students</w:t>
            </w:r>
          </w:p>
          <w:p w:rsidR="006D67E6" w:rsidRPr="00470721" w:rsidRDefault="005D1E26" w:rsidP="00F502E7">
            <w:pPr>
              <w:rPr>
                <w:i/>
                <w:lang w:bidi="en-US"/>
              </w:rPr>
            </w:pPr>
            <w:r w:rsidRPr="00470721">
              <w:rPr>
                <w:i/>
                <w:lang w:bidi="en-US"/>
              </w:rPr>
              <w:t>School buildings</w:t>
            </w:r>
          </w:p>
          <w:p w:rsidR="00F502E7" w:rsidRDefault="00F502E7" w:rsidP="00F502E7">
            <w:pPr>
              <w:pStyle w:val="ListParagraph"/>
              <w:numPr>
                <w:ilvl w:val="0"/>
                <w:numId w:val="31"/>
              </w:numPr>
              <w:rPr>
                <w:lang w:bidi="en-US"/>
              </w:rPr>
            </w:pPr>
            <w:r>
              <w:rPr>
                <w:lang w:bidi="en-US"/>
              </w:rPr>
              <w:t>Grade range</w:t>
            </w:r>
          </w:p>
          <w:p w:rsidR="00F502E7" w:rsidRDefault="00F502E7" w:rsidP="00F502E7">
            <w:pPr>
              <w:pStyle w:val="ListParagraph"/>
              <w:numPr>
                <w:ilvl w:val="0"/>
                <w:numId w:val="31"/>
              </w:numPr>
              <w:rPr>
                <w:lang w:bidi="en-US"/>
              </w:rPr>
            </w:pPr>
            <w:r>
              <w:rPr>
                <w:lang w:bidi="en-US"/>
              </w:rPr>
              <w:t># students</w:t>
            </w:r>
          </w:p>
          <w:p w:rsidR="00F502E7" w:rsidRDefault="00F502E7" w:rsidP="00F502E7">
            <w:pPr>
              <w:pStyle w:val="ListParagraph"/>
              <w:numPr>
                <w:ilvl w:val="0"/>
                <w:numId w:val="31"/>
              </w:numPr>
              <w:rPr>
                <w:lang w:bidi="en-US"/>
              </w:rPr>
            </w:pPr>
            <w:r>
              <w:rPr>
                <w:lang w:bidi="en-US"/>
              </w:rPr>
              <w:t>Year built/last renovation year</w:t>
            </w:r>
          </w:p>
          <w:p w:rsidR="00F502E7" w:rsidRDefault="00F502E7" w:rsidP="00F502E7">
            <w:pPr>
              <w:pStyle w:val="ListParagraph"/>
              <w:numPr>
                <w:ilvl w:val="0"/>
                <w:numId w:val="31"/>
              </w:numPr>
              <w:rPr>
                <w:lang w:bidi="en-US"/>
              </w:rPr>
            </w:pPr>
            <w:r>
              <w:rPr>
                <w:lang w:bidi="en-US"/>
              </w:rPr>
              <w:t>Systems condition</w:t>
            </w:r>
          </w:p>
          <w:p w:rsidR="00F502E7" w:rsidRDefault="00F502E7" w:rsidP="00F502E7">
            <w:pPr>
              <w:pStyle w:val="ListParagraph"/>
              <w:numPr>
                <w:ilvl w:val="0"/>
                <w:numId w:val="31"/>
              </w:numPr>
              <w:rPr>
                <w:lang w:bidi="en-US"/>
              </w:rPr>
            </w:pPr>
            <w:r>
              <w:rPr>
                <w:lang w:bidi="en-US"/>
              </w:rPr>
              <w:t>Surveyed as of date</w:t>
            </w:r>
          </w:p>
        </w:tc>
        <w:tc>
          <w:tcPr>
            <w:tcW w:w="4788" w:type="dxa"/>
            <w:tcBorders>
              <w:left w:val="nil"/>
            </w:tcBorders>
            <w:tcMar>
              <w:left w:w="115" w:type="dxa"/>
              <w:bottom w:w="115" w:type="dxa"/>
              <w:right w:w="115" w:type="dxa"/>
            </w:tcMar>
          </w:tcPr>
          <w:p w:rsidR="006D67E6" w:rsidRPr="00F23E77" w:rsidRDefault="006D67E6" w:rsidP="007E4A19">
            <w:pPr>
              <w:rPr>
                <w:iCs/>
                <w:lang w:bidi="en-US"/>
              </w:rPr>
            </w:pPr>
            <w:r w:rsidRPr="00F23E77">
              <w:rPr>
                <w:b/>
                <w:bCs/>
                <w:iCs/>
                <w:lang w:bidi="en-US"/>
              </w:rPr>
              <w:t>Allows filtering by</w:t>
            </w:r>
          </w:p>
          <w:p w:rsidR="005D1E26" w:rsidRPr="005D1E26" w:rsidRDefault="005D1E26" w:rsidP="005D1E26">
            <w:pPr>
              <w:rPr>
                <w:lang w:bidi="en-US"/>
              </w:rPr>
            </w:pPr>
            <w:r w:rsidRPr="005D1E26">
              <w:rPr>
                <w:lang w:bidi="en-US"/>
              </w:rPr>
              <w:t>District</w:t>
            </w:r>
          </w:p>
          <w:p w:rsidR="006D67E6" w:rsidRDefault="005D1E26" w:rsidP="005D1E26">
            <w:pPr>
              <w:rPr>
                <w:lang w:bidi="en-US"/>
              </w:rPr>
            </w:pPr>
            <w:r w:rsidRPr="005D1E26">
              <w:rPr>
                <w:lang w:bidi="en-US"/>
              </w:rPr>
              <w:t>1-year snapshot or 3-year trend</w:t>
            </w:r>
          </w:p>
        </w:tc>
      </w:tr>
      <w:tr w:rsidR="006D67E6" w:rsidTr="008F755B">
        <w:tc>
          <w:tcPr>
            <w:tcW w:w="9576" w:type="dxa"/>
            <w:gridSpan w:val="2"/>
            <w:tcMar>
              <w:left w:w="115" w:type="dxa"/>
              <w:bottom w:w="115" w:type="dxa"/>
              <w:right w:w="115" w:type="dxa"/>
            </w:tcMar>
          </w:tcPr>
          <w:p w:rsidR="006D67E6" w:rsidRDefault="006D67E6" w:rsidP="007E4A19">
            <w:pPr>
              <w:rPr>
                <w:b/>
                <w:bCs/>
                <w:iCs/>
                <w:lang w:bidi="en-US"/>
              </w:rPr>
            </w:pPr>
            <w:r>
              <w:rPr>
                <w:b/>
                <w:bCs/>
                <w:iCs/>
                <w:lang w:bidi="en-US"/>
              </w:rPr>
              <w:t>Report Footnotes</w:t>
            </w:r>
          </w:p>
          <w:p w:rsidR="00304226" w:rsidRPr="00304226" w:rsidRDefault="00304226" w:rsidP="00304226">
            <w:pPr>
              <w:rPr>
                <w:bCs/>
                <w:iCs/>
                <w:lang w:bidi="en-US"/>
              </w:rPr>
            </w:pPr>
            <w:r w:rsidRPr="00304226">
              <w:rPr>
                <w:bCs/>
                <w:iCs/>
                <w:lang w:bidi="en-US"/>
              </w:rPr>
              <w:t xml:space="preserve">- Includes the selected district's expenditures information as of the most recent EOYR information for the selected year or the most recent three years. </w:t>
            </w:r>
          </w:p>
          <w:p w:rsidR="00304226" w:rsidRPr="00304226" w:rsidRDefault="00304226" w:rsidP="00304226">
            <w:pPr>
              <w:rPr>
                <w:bCs/>
                <w:iCs/>
                <w:lang w:bidi="en-US"/>
              </w:rPr>
            </w:pPr>
            <w:r w:rsidRPr="00304226">
              <w:rPr>
                <w:bCs/>
                <w:iCs/>
                <w:lang w:bidi="en-US"/>
              </w:rPr>
              <w:t xml:space="preserve">- Building information reflects the most recent MSBA survey information. </w:t>
            </w:r>
          </w:p>
          <w:p w:rsidR="006D67E6" w:rsidRPr="00F23E77" w:rsidRDefault="00304226" w:rsidP="00304226">
            <w:pPr>
              <w:rPr>
                <w:b/>
                <w:bCs/>
                <w:iCs/>
                <w:lang w:bidi="en-US"/>
              </w:rPr>
            </w:pPr>
            <w:r w:rsidRPr="00304226">
              <w:rPr>
                <w:bCs/>
                <w:iCs/>
                <w:lang w:bidi="en-US"/>
              </w:rPr>
              <w:t>- Building condition is defined as: Good = building is in good condition with few or no building systems needing attention; Generally Good = building is in generally good condition with a few building systems that may need some attention; Fair to Poor = building is in fair to poor condition with some building systems needing repair or replacement; Poor = building is in poor condition, many building systems require attention, and further study is required to determine the extent of renovations or potential replacement.</w:t>
            </w:r>
          </w:p>
        </w:tc>
      </w:tr>
    </w:tbl>
    <w:p w:rsidR="005D1E26" w:rsidRDefault="005D1E26" w:rsidP="005D1E26"/>
    <w:p w:rsidR="00F502E7" w:rsidRDefault="00F502E7" w:rsidP="005D1E26"/>
    <w:p w:rsidR="00F502E7" w:rsidRDefault="00F502E7" w:rsidP="005D1E26"/>
    <w:p w:rsidR="00F502E7" w:rsidRDefault="00F502E7" w:rsidP="005D1E26"/>
    <w:p w:rsidR="00F502E7" w:rsidRDefault="00F502E7" w:rsidP="005D1E26"/>
    <w:p w:rsidR="00F502E7" w:rsidRDefault="00F502E7" w:rsidP="005D1E26"/>
    <w:p w:rsidR="00F502E7" w:rsidRDefault="00F502E7" w:rsidP="005D1E26"/>
    <w:p w:rsidR="00F502E7" w:rsidRDefault="00F502E7" w:rsidP="005D1E26"/>
    <w:p w:rsidR="00F502E7" w:rsidRDefault="00F502E7" w:rsidP="005D1E26"/>
    <w:p w:rsidR="00F502E7" w:rsidRDefault="00F502E7" w:rsidP="005D1E26"/>
    <w:p w:rsidR="00F502E7" w:rsidRDefault="00F502E7" w:rsidP="005D1E26"/>
    <w:p w:rsidR="00F502E7" w:rsidRDefault="00F502E7" w:rsidP="005D1E26"/>
    <w:p w:rsidR="00F502E7" w:rsidRDefault="00F502E7" w:rsidP="005D1E26"/>
    <w:p w:rsidR="00F502E7" w:rsidRPr="005D1E26" w:rsidRDefault="00F502E7" w:rsidP="005D1E26"/>
    <w:p w:rsidR="005D1E26" w:rsidRDefault="005D1E26" w:rsidP="005D1E26">
      <w:pPr>
        <w:pStyle w:val="ListParagraph"/>
        <w:numPr>
          <w:ilvl w:val="0"/>
          <w:numId w:val="20"/>
        </w:numPr>
        <w:rPr>
          <w:lang w:bidi="en-US"/>
        </w:rPr>
      </w:pPr>
      <w:r>
        <w:rPr>
          <w:lang w:bidi="en-US"/>
        </w:rPr>
        <w:lastRenderedPageBreak/>
        <w:t>Select the report.  Report will open in a new tab.</w:t>
      </w:r>
    </w:p>
    <w:p w:rsidR="005D1E26" w:rsidRPr="005D1E26" w:rsidRDefault="005D1E26" w:rsidP="005D1E26"/>
    <w:p w:rsidR="005D1E26" w:rsidRDefault="005D1E26" w:rsidP="005D1E26">
      <w:pPr>
        <w:pStyle w:val="Caption"/>
        <w:keepNext/>
      </w:pPr>
      <w:r>
        <w:t xml:space="preserve">Figure </w:t>
      </w:r>
      <w:fldSimple w:instr=" SEQ Figure \* ARABIC ">
        <w:r w:rsidR="002650BC">
          <w:rPr>
            <w:noProof/>
          </w:rPr>
          <w:t>11</w:t>
        </w:r>
      </w:fldSimple>
    </w:p>
    <w:p w:rsidR="005D1E26" w:rsidRPr="00F23E77" w:rsidRDefault="00EE5BF7" w:rsidP="005D1E26">
      <w:pPr>
        <w:rPr>
          <w:lang w:bidi="en-US"/>
        </w:rPr>
      </w:pPr>
      <w:r>
        <w:rPr>
          <w:noProof/>
        </w:rPr>
        <w:pict>
          <v:shape id="_x0000_s1039" type="#_x0000_t32" style="position:absolute;margin-left:195.9pt;margin-top:181pt;width:75pt;height:10.5pt;flip:x;z-index:251671552" o:connectortype="straight" strokecolor="#943634 [2405]" strokeweight="2pt">
            <v:stroke endarrow="block"/>
          </v:shape>
        </w:pict>
      </w:r>
      <w:r w:rsidR="00470721" w:rsidRPr="00470721">
        <w:rPr>
          <w:noProof/>
        </w:rPr>
        <w:drawing>
          <wp:inline distT="0" distB="0" distL="0" distR="0">
            <wp:extent cx="4558284" cy="3831336"/>
            <wp:effectExtent l="19050" t="19050" r="13716" b="16764"/>
            <wp:docPr id="9" name="Picture 1" descr="An image of the District tab with the Finance section selected. A red arrow points to the third report in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58284" cy="3831336"/>
                    </a:xfrm>
                    <a:prstGeom prst="rect">
                      <a:avLst/>
                    </a:prstGeom>
                    <a:noFill/>
                    <a:ln w="9525">
                      <a:solidFill>
                        <a:schemeClr val="accent1"/>
                      </a:solidFill>
                      <a:miter lim="800000"/>
                      <a:headEnd/>
                      <a:tailEnd/>
                    </a:ln>
                  </pic:spPr>
                </pic:pic>
              </a:graphicData>
            </a:graphic>
          </wp:inline>
        </w:drawing>
      </w:r>
    </w:p>
    <w:p w:rsidR="005D1E26" w:rsidRDefault="005D1E26" w:rsidP="005D1E26">
      <w:pPr>
        <w:rPr>
          <w:lang w:bidi="en-US"/>
        </w:rPr>
      </w:pPr>
    </w:p>
    <w:p w:rsidR="005D1E26" w:rsidRDefault="006B4907" w:rsidP="005D1E26">
      <w:pPr>
        <w:pStyle w:val="ListParagraph"/>
        <w:numPr>
          <w:ilvl w:val="0"/>
          <w:numId w:val="20"/>
        </w:numPr>
        <w:rPr>
          <w:lang w:bidi="en-US"/>
        </w:rPr>
      </w:pPr>
      <w:r>
        <w:rPr>
          <w:lang w:bidi="en-US"/>
        </w:rPr>
        <w:t xml:space="preserve">Select report type.  </w:t>
      </w:r>
      <w:r w:rsidR="005D1E26">
        <w:rPr>
          <w:lang w:bidi="en-US"/>
        </w:rPr>
        <w:t>This report can either be displayed as a 1-year snapshot, or as a 3-year trend</w:t>
      </w:r>
      <w:r w:rsidR="00F502E7">
        <w:rPr>
          <w:lang w:bidi="en-US"/>
        </w:rPr>
        <w:t>.</w:t>
      </w:r>
    </w:p>
    <w:p w:rsidR="006B4907" w:rsidRDefault="006B4907" w:rsidP="006B4907">
      <w:pPr>
        <w:pStyle w:val="ListParagraph"/>
        <w:numPr>
          <w:ilvl w:val="1"/>
          <w:numId w:val="20"/>
        </w:numPr>
        <w:rPr>
          <w:lang w:bidi="en-US"/>
        </w:rPr>
      </w:pPr>
      <w:r>
        <w:rPr>
          <w:lang w:bidi="en-US"/>
        </w:rPr>
        <w:t>When a single year is chosen, select a fiscal year, a district, and which report sections to display (operations and plant maintenance, and building details.)</w:t>
      </w:r>
    </w:p>
    <w:p w:rsidR="006B4907" w:rsidRDefault="006B4907" w:rsidP="006B4907">
      <w:pPr>
        <w:pStyle w:val="ListParagraph"/>
        <w:numPr>
          <w:ilvl w:val="1"/>
          <w:numId w:val="20"/>
        </w:numPr>
        <w:rPr>
          <w:lang w:bidi="en-US"/>
        </w:rPr>
      </w:pPr>
      <w:r>
        <w:rPr>
          <w:lang w:bidi="en-US"/>
        </w:rPr>
        <w:t>When a three year trend is chosen, select a year sort order (ascending or descending), a district and which report sections to display.</w:t>
      </w:r>
    </w:p>
    <w:p w:rsidR="005D1E26" w:rsidRDefault="005D1E26" w:rsidP="00F502E7">
      <w:pPr>
        <w:rPr>
          <w:lang w:bidi="en-US"/>
        </w:rPr>
      </w:pPr>
    </w:p>
    <w:p w:rsidR="005D1E26" w:rsidRDefault="005D1E26" w:rsidP="005D1E26">
      <w:pPr>
        <w:pStyle w:val="Caption"/>
        <w:keepNext/>
      </w:pPr>
      <w:r>
        <w:t xml:space="preserve">Figure </w:t>
      </w:r>
      <w:fldSimple w:instr=" SEQ Figure \* ARABIC ">
        <w:r w:rsidR="002650BC">
          <w:rPr>
            <w:noProof/>
          </w:rPr>
          <w:t>12</w:t>
        </w:r>
      </w:fldSimple>
    </w:p>
    <w:p w:rsidR="006B4907" w:rsidRDefault="00EE5BF7">
      <w:pPr>
        <w:spacing w:after="200" w:line="276" w:lineRule="auto"/>
        <w:rPr>
          <w:b/>
          <w:lang w:bidi="en-US"/>
        </w:rPr>
      </w:pPr>
      <w:r>
        <w:rPr>
          <w:b/>
          <w:noProof/>
        </w:rPr>
        <w:pict>
          <v:rect id="_x0000_s1040" style="position:absolute;margin-left:13.4pt;margin-top:46.7pt;width:125.6pt;height:83.75pt;z-index:251672576" filled="f" strokecolor="#943634 [2405]" strokeweight="2pt"/>
        </w:pict>
      </w:r>
      <w:r w:rsidR="005D1E26">
        <w:rPr>
          <w:b/>
          <w:noProof/>
        </w:rPr>
        <w:drawing>
          <wp:inline distT="0" distB="0" distL="0" distR="0">
            <wp:extent cx="6000750" cy="1983105"/>
            <wp:effectExtent l="19050" t="19050" r="19050" b="17145"/>
            <wp:docPr id="25" name="Picture 25" descr="Prompt page for District Operations and Maintenance: The 'Report Type' prompt option box is highlighted by a re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6000750" cy="1983105"/>
                    </a:xfrm>
                    <a:prstGeom prst="rect">
                      <a:avLst/>
                    </a:prstGeom>
                    <a:noFill/>
                    <a:ln w="9525">
                      <a:solidFill>
                        <a:schemeClr val="accent1"/>
                      </a:solidFill>
                      <a:miter lim="800000"/>
                      <a:headEnd/>
                      <a:tailEnd/>
                    </a:ln>
                  </pic:spPr>
                </pic:pic>
              </a:graphicData>
            </a:graphic>
          </wp:inline>
        </w:drawing>
      </w:r>
    </w:p>
    <w:p w:rsidR="006B4907" w:rsidRDefault="006B4907" w:rsidP="006B4907">
      <w:pPr>
        <w:pStyle w:val="Caption"/>
        <w:keepNext/>
      </w:pPr>
      <w:r>
        <w:lastRenderedPageBreak/>
        <w:t xml:space="preserve">Figure </w:t>
      </w:r>
      <w:fldSimple w:instr=" SEQ Figure \* ARABIC ">
        <w:r w:rsidR="002650BC">
          <w:rPr>
            <w:noProof/>
          </w:rPr>
          <w:t>13</w:t>
        </w:r>
      </w:fldSimple>
    </w:p>
    <w:p w:rsidR="006B4907" w:rsidRDefault="006B4907">
      <w:pPr>
        <w:spacing w:after="200" w:line="276" w:lineRule="auto"/>
        <w:rPr>
          <w:b/>
          <w:lang w:bidi="en-US"/>
        </w:rPr>
      </w:pPr>
      <w:r>
        <w:rPr>
          <w:b/>
          <w:noProof/>
        </w:rPr>
        <w:drawing>
          <wp:inline distT="0" distB="0" distL="0" distR="0">
            <wp:extent cx="5943600" cy="1932353"/>
            <wp:effectExtent l="19050" t="19050" r="19050" b="10747"/>
            <wp:docPr id="28" name="Picture 28" descr="Prompt page for District Operations and Maintenance: 'Single Year' is selected in the 'Report Type' prompt and '2012-13' in the 'Fiscal Year'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5943600" cy="1932353"/>
                    </a:xfrm>
                    <a:prstGeom prst="rect">
                      <a:avLst/>
                    </a:prstGeom>
                    <a:noFill/>
                    <a:ln w="9525">
                      <a:solidFill>
                        <a:schemeClr val="accent1"/>
                      </a:solidFill>
                      <a:miter lim="800000"/>
                      <a:headEnd/>
                      <a:tailEnd/>
                    </a:ln>
                  </pic:spPr>
                </pic:pic>
              </a:graphicData>
            </a:graphic>
          </wp:inline>
        </w:drawing>
      </w:r>
    </w:p>
    <w:p w:rsidR="006B4907" w:rsidRDefault="006B4907" w:rsidP="006B4907">
      <w:pPr>
        <w:pStyle w:val="Caption"/>
        <w:keepNext/>
      </w:pPr>
      <w:r>
        <w:t xml:space="preserve">Figure </w:t>
      </w:r>
      <w:fldSimple w:instr=" SEQ Figure \* ARABIC ">
        <w:r w:rsidR="002650BC">
          <w:rPr>
            <w:noProof/>
          </w:rPr>
          <w:t>14</w:t>
        </w:r>
      </w:fldSimple>
    </w:p>
    <w:p w:rsidR="006B4907" w:rsidRDefault="006B4907">
      <w:pPr>
        <w:spacing w:after="200" w:line="276" w:lineRule="auto"/>
        <w:rPr>
          <w:b/>
          <w:lang w:bidi="en-US"/>
        </w:rPr>
      </w:pPr>
      <w:r>
        <w:rPr>
          <w:b/>
          <w:noProof/>
        </w:rPr>
        <w:drawing>
          <wp:inline distT="0" distB="0" distL="0" distR="0">
            <wp:extent cx="5943600" cy="1970478"/>
            <wp:effectExtent l="19050" t="19050" r="19050" b="10722"/>
            <wp:docPr id="31" name="Picture 31" descr="Prompt page for District Operations and Maintenance: '3-Year Trend' is selected in the 'Report Type' prompt and 'Ascending' in the 'Year Sort Order'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943600" cy="1970478"/>
                    </a:xfrm>
                    <a:prstGeom prst="rect">
                      <a:avLst/>
                    </a:prstGeom>
                    <a:noFill/>
                    <a:ln w="9525">
                      <a:solidFill>
                        <a:schemeClr val="accent1"/>
                      </a:solidFill>
                      <a:miter lim="800000"/>
                      <a:headEnd/>
                      <a:tailEnd/>
                    </a:ln>
                  </pic:spPr>
                </pic:pic>
              </a:graphicData>
            </a:graphic>
          </wp:inline>
        </w:drawing>
      </w:r>
    </w:p>
    <w:p w:rsidR="006B4907" w:rsidRDefault="00F502E7" w:rsidP="005F3C5E">
      <w:pPr>
        <w:pStyle w:val="ListParagraph"/>
        <w:numPr>
          <w:ilvl w:val="0"/>
          <w:numId w:val="20"/>
        </w:numPr>
        <w:spacing w:after="200" w:line="276" w:lineRule="auto"/>
      </w:pPr>
      <w:r>
        <w:rPr>
          <w:lang w:bidi="en-US"/>
        </w:rPr>
        <w:t>The</w:t>
      </w:r>
      <w:r w:rsidR="005F3C5E">
        <w:rPr>
          <w:lang w:bidi="en-US"/>
        </w:rPr>
        <w:t xml:space="preserve"> 1-year snapshot</w:t>
      </w:r>
      <w:r>
        <w:rPr>
          <w:lang w:bidi="en-US"/>
        </w:rPr>
        <w:t xml:space="preserve"> report</w:t>
      </w:r>
      <w:r w:rsidR="005F3C5E" w:rsidRPr="00017D53">
        <w:rPr>
          <w:lang w:bidi="en-US"/>
        </w:rPr>
        <w:t xml:space="preserve"> returns your selected district</w:t>
      </w:r>
      <w:r w:rsidR="005F3C5E">
        <w:rPr>
          <w:lang w:bidi="en-US"/>
        </w:rPr>
        <w:t xml:space="preserve"> for the selected year</w:t>
      </w:r>
      <w:r w:rsidR="005F3C5E" w:rsidRPr="00017D53">
        <w:rPr>
          <w:lang w:bidi="en-US"/>
        </w:rPr>
        <w:t>.</w:t>
      </w:r>
      <w:r w:rsidR="005F3C5E" w:rsidRPr="005F3C5E">
        <w:rPr>
          <w:b/>
          <w:lang w:bidi="en-US"/>
        </w:rPr>
        <w:t xml:space="preserve"> </w:t>
      </w:r>
      <w:r w:rsidR="005F3C5E">
        <w:rPr>
          <w:lang w:bidi="en-US"/>
        </w:rPr>
        <w:t>From the report page you may change the district or sections to display.  This report has three sections.</w:t>
      </w:r>
    </w:p>
    <w:p w:rsidR="005F3C5E" w:rsidRDefault="005F3C5E" w:rsidP="005F3C5E">
      <w:pPr>
        <w:pStyle w:val="ListParagraph"/>
        <w:numPr>
          <w:ilvl w:val="1"/>
          <w:numId w:val="20"/>
        </w:numPr>
        <w:spacing w:after="200" w:line="276" w:lineRule="auto"/>
      </w:pPr>
      <w:r>
        <w:rPr>
          <w:lang w:bidi="en-US"/>
        </w:rPr>
        <w:t>A district overview, including student count, operations and maintenance expenditures, and school building information.</w:t>
      </w:r>
    </w:p>
    <w:p w:rsidR="005F3C5E" w:rsidRDefault="005F3C5E" w:rsidP="005F3C5E">
      <w:pPr>
        <w:pStyle w:val="ListParagraph"/>
        <w:numPr>
          <w:ilvl w:val="1"/>
          <w:numId w:val="20"/>
        </w:numPr>
        <w:spacing w:after="200" w:line="276" w:lineRule="auto"/>
      </w:pPr>
      <w:r>
        <w:rPr>
          <w:lang w:bidi="en-US"/>
        </w:rPr>
        <w:t>Operations and maintenance expenditure details, including spending by object code and fund, per student and per square foot expenditures.</w:t>
      </w:r>
    </w:p>
    <w:p w:rsidR="005F3C5E" w:rsidRDefault="005F3C5E" w:rsidP="005F3C5E">
      <w:pPr>
        <w:pStyle w:val="ListParagraph"/>
        <w:numPr>
          <w:ilvl w:val="1"/>
          <w:numId w:val="20"/>
        </w:numPr>
        <w:spacing w:after="200" w:line="276" w:lineRule="auto"/>
      </w:pPr>
      <w:r>
        <w:rPr>
          <w:lang w:bidi="en-US"/>
        </w:rPr>
        <w:t>Details for school buildings from the last MSBA school building survey.</w:t>
      </w:r>
    </w:p>
    <w:p w:rsidR="005F3C5E" w:rsidRDefault="005F3C5E" w:rsidP="005F3C5E">
      <w:pPr>
        <w:pStyle w:val="Caption"/>
        <w:keepNext/>
      </w:pPr>
      <w:r>
        <w:lastRenderedPageBreak/>
        <w:t xml:space="preserve">Figure </w:t>
      </w:r>
      <w:fldSimple w:instr=" SEQ Figure \* ARABIC ">
        <w:r w:rsidR="002650BC">
          <w:rPr>
            <w:noProof/>
          </w:rPr>
          <w:t>15</w:t>
        </w:r>
      </w:fldSimple>
    </w:p>
    <w:p w:rsidR="005F3C5E" w:rsidRDefault="00EE5BF7" w:rsidP="005F3C5E">
      <w:pPr>
        <w:rPr>
          <w:lang w:bidi="en-US"/>
        </w:rPr>
      </w:pPr>
      <w:r>
        <w:rPr>
          <w:noProof/>
        </w:rPr>
        <w:pict>
          <v:rect id="_x0000_s1047" style="position:absolute;margin-left:7.55pt;margin-top:35.6pt;width:282.1pt;height:39.35pt;z-index:251679744" filled="f" strokecolor="#943634 [2405]" strokeweight="2pt"/>
        </w:pict>
      </w:r>
      <w:r w:rsidR="005F3C5E">
        <w:rPr>
          <w:noProof/>
        </w:rPr>
        <w:drawing>
          <wp:inline distT="0" distB="0" distL="0" distR="0">
            <wp:extent cx="5943600" cy="3517376"/>
            <wp:effectExtent l="19050" t="19050" r="19050" b="25924"/>
            <wp:docPr id="34" name="Picture 34" descr="Report page for District Operations and Maintenance: The few prompt options at the top of the page are highlighted by a re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5943600" cy="3517376"/>
                    </a:xfrm>
                    <a:prstGeom prst="rect">
                      <a:avLst/>
                    </a:prstGeom>
                    <a:noFill/>
                    <a:ln w="9525">
                      <a:solidFill>
                        <a:schemeClr val="accent1"/>
                      </a:solidFill>
                      <a:miter lim="800000"/>
                      <a:headEnd/>
                      <a:tailEnd/>
                    </a:ln>
                  </pic:spPr>
                </pic:pic>
              </a:graphicData>
            </a:graphic>
          </wp:inline>
        </w:drawing>
      </w:r>
    </w:p>
    <w:p w:rsidR="00370699" w:rsidRPr="00370699" w:rsidRDefault="00370699" w:rsidP="00370699"/>
    <w:p w:rsidR="005F3C5E" w:rsidRPr="00370699" w:rsidRDefault="00F502E7" w:rsidP="00370699">
      <w:pPr>
        <w:pStyle w:val="ListParagraph"/>
        <w:numPr>
          <w:ilvl w:val="0"/>
          <w:numId w:val="20"/>
        </w:numPr>
        <w:spacing w:after="200" w:line="276" w:lineRule="auto"/>
      </w:pPr>
      <w:r>
        <w:rPr>
          <w:lang w:bidi="en-US"/>
        </w:rPr>
        <w:t>The</w:t>
      </w:r>
      <w:r w:rsidR="005F3C5E" w:rsidRPr="00370699">
        <w:rPr>
          <w:lang w:bidi="en-US"/>
        </w:rPr>
        <w:t xml:space="preserve"> </w:t>
      </w:r>
      <w:r w:rsidR="00370699" w:rsidRPr="00370699">
        <w:rPr>
          <w:lang w:bidi="en-US"/>
        </w:rPr>
        <w:t>3</w:t>
      </w:r>
      <w:r w:rsidR="00370699">
        <w:rPr>
          <w:lang w:bidi="en-US"/>
        </w:rPr>
        <w:t>-year trend</w:t>
      </w:r>
      <w:r>
        <w:rPr>
          <w:lang w:bidi="en-US"/>
        </w:rPr>
        <w:t xml:space="preserve"> report</w:t>
      </w:r>
      <w:r w:rsidR="00370699">
        <w:rPr>
          <w:lang w:bidi="en-US"/>
        </w:rPr>
        <w:t xml:space="preserve"> returns your selected district for the last three years. </w:t>
      </w:r>
      <w:r w:rsidR="00370699" w:rsidRPr="00370699">
        <w:rPr>
          <w:lang w:bidi="en-US"/>
        </w:rPr>
        <w:t xml:space="preserve"> </w:t>
      </w:r>
      <w:r w:rsidR="00BD4BA3">
        <w:rPr>
          <w:lang w:bidi="en-US"/>
        </w:rPr>
        <w:t xml:space="preserve">Like the 1-year snapshot, this report has the same three sections. </w:t>
      </w:r>
      <w:r w:rsidR="00370699">
        <w:rPr>
          <w:lang w:bidi="en-US"/>
        </w:rPr>
        <w:t xml:space="preserve">From the report page you may change the district or sections to display.  </w:t>
      </w:r>
      <w:r w:rsidR="00BD4BA3">
        <w:rPr>
          <w:lang w:bidi="en-US"/>
        </w:rPr>
        <w:t>To return to the prompt page, select the play button in the upper corner.</w:t>
      </w:r>
    </w:p>
    <w:p w:rsidR="005F3C5E" w:rsidRDefault="005F3C5E" w:rsidP="005F3C5E">
      <w:pPr>
        <w:pStyle w:val="Caption"/>
        <w:keepNext/>
      </w:pPr>
      <w:r>
        <w:lastRenderedPageBreak/>
        <w:t xml:space="preserve">Figure </w:t>
      </w:r>
      <w:fldSimple w:instr=" SEQ Figure \* ARABIC ">
        <w:r w:rsidR="002650BC">
          <w:rPr>
            <w:noProof/>
          </w:rPr>
          <w:t>16</w:t>
        </w:r>
      </w:fldSimple>
    </w:p>
    <w:p w:rsidR="00BD4BA3" w:rsidRDefault="00EE5BF7" w:rsidP="005F3C5E">
      <w:pPr>
        <w:rPr>
          <w:lang w:bidi="en-US"/>
        </w:rPr>
      </w:pPr>
      <w:r>
        <w:rPr>
          <w:noProof/>
        </w:rPr>
        <w:pict>
          <v:rect id="_x0000_s1042" style="position:absolute;margin-left:0;margin-top:64.3pt;width:26.8pt;height:34.3pt;z-index:251673600" filled="f" strokecolor="#943634 [2405]" strokeweight="2pt"/>
        </w:pict>
      </w:r>
      <w:r w:rsidR="005F3C5E">
        <w:rPr>
          <w:noProof/>
        </w:rPr>
        <w:drawing>
          <wp:inline distT="0" distB="0" distL="0" distR="0">
            <wp:extent cx="5943600" cy="3774440"/>
            <wp:effectExtent l="19050" t="19050" r="19050" b="16510"/>
            <wp:docPr id="37" name="Picture 37" descr="Report page for District Operations and Maintenance: The 3 consecutive years are highlighted by a re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5943600" cy="3774440"/>
                    </a:xfrm>
                    <a:prstGeom prst="rect">
                      <a:avLst/>
                    </a:prstGeom>
                    <a:noFill/>
                    <a:ln w="9525">
                      <a:solidFill>
                        <a:schemeClr val="accent1"/>
                      </a:solidFill>
                      <a:miter lim="800000"/>
                      <a:headEnd/>
                      <a:tailEnd/>
                    </a:ln>
                  </pic:spPr>
                </pic:pic>
              </a:graphicData>
            </a:graphic>
          </wp:inline>
        </w:drawing>
      </w:r>
      <w:r w:rsidR="005F3C5E" w:rsidRPr="005F3C5E">
        <w:rPr>
          <w:lang w:bidi="en-US"/>
        </w:rPr>
        <w:t xml:space="preserve"> </w:t>
      </w:r>
      <w:r w:rsidR="005F3C5E">
        <w:rPr>
          <w:noProof/>
        </w:rPr>
        <w:drawing>
          <wp:inline distT="0" distB="0" distL="0" distR="0">
            <wp:extent cx="4486275" cy="1968054"/>
            <wp:effectExtent l="19050" t="19050" r="28575" b="13146"/>
            <wp:docPr id="40" name="Picture 40" descr="Report page for District Operations and Maintenance: 'Section B Building Details' i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srcRect r="37821" b="-5"/>
                    <a:stretch>
                      <a:fillRect/>
                    </a:stretch>
                  </pic:blipFill>
                  <pic:spPr bwMode="auto">
                    <a:xfrm>
                      <a:off x="0" y="0"/>
                      <a:ext cx="4486275" cy="1968054"/>
                    </a:xfrm>
                    <a:prstGeom prst="rect">
                      <a:avLst/>
                    </a:prstGeom>
                    <a:noFill/>
                    <a:ln w="9525">
                      <a:solidFill>
                        <a:schemeClr val="accent1"/>
                      </a:solidFill>
                      <a:miter lim="800000"/>
                      <a:headEnd/>
                      <a:tailEnd/>
                    </a:ln>
                  </pic:spPr>
                </pic:pic>
              </a:graphicData>
            </a:graphic>
          </wp:inline>
        </w:drawing>
      </w:r>
    </w:p>
    <w:p w:rsidR="00BD4BA3" w:rsidRDefault="00BD4BA3" w:rsidP="00BD4BA3">
      <w:pPr>
        <w:pStyle w:val="ListParagraph"/>
        <w:numPr>
          <w:ilvl w:val="0"/>
          <w:numId w:val="19"/>
        </w:numPr>
        <w:rPr>
          <w:lang w:bidi="en-US"/>
        </w:rPr>
      </w:pPr>
      <w:r>
        <w:rPr>
          <w:lang w:bidi="en-US"/>
        </w:rPr>
        <w:t>To export this report to another format (i.e. PDF, XML, Excel or HTML) select the output format icon in the upper right corner.</w:t>
      </w:r>
    </w:p>
    <w:p w:rsidR="00BD4BA3" w:rsidRDefault="00BD4BA3" w:rsidP="00BD4BA3">
      <w:pPr>
        <w:pStyle w:val="Caption"/>
        <w:keepNext/>
      </w:pPr>
      <w:r>
        <w:t xml:space="preserve">Figure </w:t>
      </w:r>
      <w:fldSimple w:instr=" SEQ Figure \* ARABIC ">
        <w:r w:rsidR="002650BC">
          <w:rPr>
            <w:noProof/>
          </w:rPr>
          <w:t>17</w:t>
        </w:r>
      </w:fldSimple>
    </w:p>
    <w:p w:rsidR="00F502E7" w:rsidRDefault="00EE5BF7" w:rsidP="00BD4BA3">
      <w:pPr>
        <w:rPr>
          <w:lang w:bidi="en-US"/>
        </w:rPr>
      </w:pPr>
      <w:r>
        <w:rPr>
          <w:noProof/>
        </w:rPr>
        <w:pict>
          <v:rect id="_x0000_s1044" style="position:absolute;margin-left:121.4pt;margin-top:2.55pt;width:38.5pt;height:21.75pt;z-index:251675648" filled="f" strokecolor="#943634 [2405]" strokeweight="2pt"/>
        </w:pict>
      </w:r>
      <w:r w:rsidR="00BD4BA3">
        <w:rPr>
          <w:noProof/>
        </w:rPr>
        <w:drawing>
          <wp:inline distT="0" distB="0" distL="0" distR="0">
            <wp:extent cx="3051810" cy="1510030"/>
            <wp:effectExtent l="19050" t="19050" r="15240" b="13970"/>
            <wp:docPr id="17" name="Picture 16" descr="The dropdown for the format selection icon is shown. The options include 'View in HTML Format', 'View in PDF Format', and 'View in Excel Options' format. A further dropdown from 'View in Excel Options' offers 'View in Excel 2007 Format', 'View in Excel 2002 Form', and 'View in CS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051810" cy="1510030"/>
                    </a:xfrm>
                    <a:prstGeom prst="rect">
                      <a:avLst/>
                    </a:prstGeom>
                    <a:noFill/>
                    <a:ln w="9525">
                      <a:solidFill>
                        <a:schemeClr val="accent1"/>
                      </a:solidFill>
                      <a:miter lim="800000"/>
                      <a:headEnd/>
                      <a:tailEnd/>
                    </a:ln>
                  </pic:spPr>
                </pic:pic>
              </a:graphicData>
            </a:graphic>
          </wp:inline>
        </w:drawing>
      </w:r>
    </w:p>
    <w:p w:rsidR="00F23E77" w:rsidRPr="006B4907" w:rsidRDefault="00F23E77" w:rsidP="00BD4BA3">
      <w:pPr>
        <w:rPr>
          <w:lang w:bidi="en-US"/>
        </w:rPr>
      </w:pPr>
      <w:r w:rsidRPr="006B4907">
        <w:rPr>
          <w:lang w:bidi="en-US"/>
        </w:rPr>
        <w:br w:type="page"/>
      </w:r>
    </w:p>
    <w:p w:rsidR="00E66DD6" w:rsidRDefault="00EB03BD" w:rsidP="00F23E77">
      <w:pPr>
        <w:pStyle w:val="Heading2"/>
        <w:rPr>
          <w:lang w:bidi="en-US"/>
        </w:rPr>
      </w:pPr>
      <w:r>
        <w:rPr>
          <w:lang w:bidi="en-US"/>
        </w:rPr>
        <w:lastRenderedPageBreak/>
        <w:t>FN215</w:t>
      </w:r>
      <w:r w:rsidRPr="00241150">
        <w:rPr>
          <w:lang w:bidi="en-US"/>
        </w:rPr>
        <w:t xml:space="preserve"> </w:t>
      </w:r>
      <w:r w:rsidR="00E66DD6">
        <w:rPr>
          <w:lang w:bidi="en-US"/>
        </w:rPr>
        <w:t>Special Education</w:t>
      </w:r>
      <w:r w:rsidR="00AE1BFA">
        <w:rPr>
          <w:lang w:bidi="en-US"/>
        </w:rPr>
        <w:t xml:space="preserve"> Resource Allocation by District</w:t>
      </w:r>
    </w:p>
    <w:p w:rsidR="006D67E6" w:rsidRPr="006D67E6" w:rsidRDefault="006D67E6" w:rsidP="006D67E6">
      <w:pPr>
        <w:rPr>
          <w:lang w:bidi="en-US"/>
        </w:rPr>
      </w:pPr>
    </w:p>
    <w:tbl>
      <w:tblPr>
        <w:tblW w:w="0" w:type="auto"/>
        <w:tblLook w:val="0000"/>
      </w:tblPr>
      <w:tblGrid>
        <w:gridCol w:w="4788"/>
        <w:gridCol w:w="4788"/>
      </w:tblGrid>
      <w:tr w:rsidR="006D67E6" w:rsidTr="008F755B">
        <w:tc>
          <w:tcPr>
            <w:tcW w:w="9576" w:type="dxa"/>
            <w:gridSpan w:val="2"/>
            <w:tcMar>
              <w:left w:w="115" w:type="dxa"/>
              <w:bottom w:w="115" w:type="dxa"/>
              <w:right w:w="115" w:type="dxa"/>
            </w:tcMar>
          </w:tcPr>
          <w:p w:rsidR="006D67E6" w:rsidRDefault="006D67E6" w:rsidP="007E4A19">
            <w:pPr>
              <w:rPr>
                <w:lang w:bidi="en-US"/>
              </w:rPr>
            </w:pPr>
            <w:r w:rsidRPr="006D67E6">
              <w:rPr>
                <w:lang w:bidi="en-US"/>
              </w:rPr>
              <w:t>Provides information on special education student enrollment, staffing, and expenditures (Schedule 4 and 7 End of Year Report data) for the purpose of single district analysis or multi-district benchmarking and comparison.</w:t>
            </w:r>
          </w:p>
        </w:tc>
      </w:tr>
      <w:tr w:rsidR="006D67E6" w:rsidTr="008F755B">
        <w:tc>
          <w:tcPr>
            <w:tcW w:w="4788" w:type="dxa"/>
            <w:tcMar>
              <w:left w:w="115" w:type="dxa"/>
              <w:bottom w:w="115" w:type="dxa"/>
              <w:right w:w="115" w:type="dxa"/>
            </w:tcMar>
          </w:tcPr>
          <w:p w:rsidR="006D67E6" w:rsidRPr="00F23E77" w:rsidRDefault="006D67E6" w:rsidP="007E4A19">
            <w:pPr>
              <w:rPr>
                <w:iCs/>
                <w:lang w:bidi="en-US"/>
              </w:rPr>
            </w:pPr>
            <w:r w:rsidRPr="00F23E77">
              <w:rPr>
                <w:b/>
                <w:bCs/>
                <w:iCs/>
                <w:lang w:bidi="en-US"/>
              </w:rPr>
              <w:t>Includes data on</w:t>
            </w:r>
          </w:p>
          <w:p w:rsidR="001F6C6C" w:rsidRPr="00470721" w:rsidRDefault="001F6C6C" w:rsidP="001F6C6C">
            <w:pPr>
              <w:rPr>
                <w:i/>
                <w:lang w:bidi="en-US"/>
              </w:rPr>
            </w:pPr>
            <w:r w:rsidRPr="00470721">
              <w:rPr>
                <w:i/>
                <w:lang w:bidi="en-US"/>
              </w:rPr>
              <w:t>District special education expenditures (Schedules 4 and 7, EOY)</w:t>
            </w:r>
          </w:p>
          <w:p w:rsidR="00790794" w:rsidRDefault="00790794" w:rsidP="00790794">
            <w:pPr>
              <w:pStyle w:val="ListParagraph"/>
              <w:numPr>
                <w:ilvl w:val="0"/>
                <w:numId w:val="32"/>
              </w:numPr>
              <w:rPr>
                <w:lang w:bidi="en-US"/>
              </w:rPr>
            </w:pPr>
            <w:r>
              <w:rPr>
                <w:lang w:bidi="en-US"/>
              </w:rPr>
              <w:t xml:space="preserve">In-district expenditures (teacher and </w:t>
            </w:r>
            <w:proofErr w:type="spellStart"/>
            <w:r>
              <w:rPr>
                <w:lang w:bidi="en-US"/>
              </w:rPr>
              <w:t>para</w:t>
            </w:r>
            <w:proofErr w:type="spellEnd"/>
            <w:r>
              <w:rPr>
                <w:lang w:bidi="en-US"/>
              </w:rPr>
              <w:t xml:space="preserve"> salaries paid from school committee and Circuit Breaker), instructional expenditures, transportation expenditures</w:t>
            </w:r>
          </w:p>
          <w:p w:rsidR="00790794" w:rsidRDefault="00790794" w:rsidP="00790794">
            <w:pPr>
              <w:pStyle w:val="ListParagraph"/>
              <w:numPr>
                <w:ilvl w:val="0"/>
                <w:numId w:val="32"/>
              </w:numPr>
              <w:rPr>
                <w:lang w:bidi="en-US"/>
              </w:rPr>
            </w:pPr>
            <w:r>
              <w:rPr>
                <w:lang w:bidi="en-US"/>
              </w:rPr>
              <w:t>Out of district expenditures (payments to other districts, transportation expenditures, % of SPED expenditures</w:t>
            </w:r>
          </w:p>
          <w:p w:rsidR="00790794" w:rsidRPr="001F6C6C" w:rsidRDefault="00790794" w:rsidP="00790794">
            <w:pPr>
              <w:pStyle w:val="ListParagraph"/>
              <w:numPr>
                <w:ilvl w:val="0"/>
                <w:numId w:val="32"/>
              </w:numPr>
              <w:rPr>
                <w:lang w:bidi="en-US"/>
              </w:rPr>
            </w:pPr>
            <w:r>
              <w:rPr>
                <w:lang w:bidi="en-US"/>
              </w:rPr>
              <w:t>Other SPED expenditures (non-public health services, grants &amp; revolving, total spending, and % total operating expenditures)</w:t>
            </w:r>
          </w:p>
          <w:p w:rsidR="001F6C6C" w:rsidRPr="00470721" w:rsidRDefault="001F6C6C" w:rsidP="001F6C6C">
            <w:pPr>
              <w:rPr>
                <w:i/>
                <w:lang w:bidi="en-US"/>
              </w:rPr>
            </w:pPr>
            <w:r w:rsidRPr="00470721">
              <w:rPr>
                <w:i/>
                <w:lang w:bidi="en-US"/>
              </w:rPr>
              <w:t>Students with disabilities (SWD) enrollment (SIMS)</w:t>
            </w:r>
          </w:p>
          <w:p w:rsidR="004F2726" w:rsidRDefault="004F2726" w:rsidP="004F2726">
            <w:pPr>
              <w:pStyle w:val="ListParagraph"/>
              <w:numPr>
                <w:ilvl w:val="0"/>
                <w:numId w:val="33"/>
              </w:numPr>
              <w:rPr>
                <w:lang w:bidi="en-US"/>
              </w:rPr>
            </w:pPr>
            <w:r>
              <w:rPr>
                <w:lang w:bidi="en-US"/>
              </w:rPr>
              <w:t>Total students</w:t>
            </w:r>
          </w:p>
          <w:p w:rsidR="004F2726" w:rsidRDefault="004F2726" w:rsidP="004F2726">
            <w:pPr>
              <w:pStyle w:val="ListParagraph"/>
              <w:numPr>
                <w:ilvl w:val="0"/>
                <w:numId w:val="33"/>
              </w:numPr>
              <w:rPr>
                <w:lang w:bidi="en-US"/>
              </w:rPr>
            </w:pPr>
            <w:r>
              <w:rPr>
                <w:lang w:bidi="en-US"/>
              </w:rPr>
              <w:t>Total SWD students, % SWD students</w:t>
            </w:r>
          </w:p>
          <w:p w:rsidR="004F2726" w:rsidRDefault="004F2726" w:rsidP="004F2726">
            <w:pPr>
              <w:pStyle w:val="ListParagraph"/>
              <w:numPr>
                <w:ilvl w:val="0"/>
                <w:numId w:val="33"/>
              </w:numPr>
              <w:rPr>
                <w:lang w:bidi="en-US"/>
              </w:rPr>
            </w:pPr>
            <w:r>
              <w:rPr>
                <w:lang w:bidi="en-US"/>
              </w:rPr>
              <w:t>In-district and out-of-district SWD students, # and level of need</w:t>
            </w:r>
          </w:p>
          <w:p w:rsidR="00030BEE" w:rsidRPr="001F6C6C" w:rsidRDefault="00030BEE" w:rsidP="004F2726">
            <w:pPr>
              <w:pStyle w:val="ListParagraph"/>
              <w:numPr>
                <w:ilvl w:val="0"/>
                <w:numId w:val="33"/>
              </w:numPr>
              <w:rPr>
                <w:lang w:bidi="en-US"/>
              </w:rPr>
            </w:pPr>
            <w:r>
              <w:rPr>
                <w:lang w:bidi="en-US"/>
              </w:rPr>
              <w:t>% of students by placement, in- and out-of-district</w:t>
            </w:r>
          </w:p>
          <w:p w:rsidR="006D67E6" w:rsidRPr="00470721" w:rsidRDefault="001F6C6C" w:rsidP="001F6C6C">
            <w:pPr>
              <w:rPr>
                <w:i/>
                <w:lang w:bidi="en-US"/>
              </w:rPr>
            </w:pPr>
            <w:r w:rsidRPr="00470721">
              <w:rPr>
                <w:i/>
                <w:lang w:bidi="en-US"/>
              </w:rPr>
              <w:t>Special education staffing (EPIMS)</w:t>
            </w:r>
          </w:p>
          <w:p w:rsidR="003C4D29" w:rsidRDefault="003C4D29" w:rsidP="003C4D29">
            <w:pPr>
              <w:pStyle w:val="ListParagraph"/>
              <w:numPr>
                <w:ilvl w:val="0"/>
                <w:numId w:val="34"/>
              </w:numPr>
              <w:rPr>
                <w:lang w:bidi="en-US"/>
              </w:rPr>
            </w:pPr>
            <w:r>
              <w:rPr>
                <w:lang w:bidi="en-US"/>
              </w:rPr>
              <w:t>Teacher and paraprofessional FTEs</w:t>
            </w:r>
          </w:p>
          <w:p w:rsidR="003C4D29" w:rsidRDefault="003C4D29" w:rsidP="003C4D29">
            <w:pPr>
              <w:pStyle w:val="ListParagraph"/>
              <w:numPr>
                <w:ilvl w:val="0"/>
                <w:numId w:val="34"/>
              </w:numPr>
              <w:rPr>
                <w:lang w:bidi="en-US"/>
              </w:rPr>
            </w:pPr>
            <w:r>
              <w:rPr>
                <w:lang w:bidi="en-US"/>
              </w:rPr>
              <w:t>Student to staff ratios</w:t>
            </w:r>
          </w:p>
        </w:tc>
        <w:tc>
          <w:tcPr>
            <w:tcW w:w="4788" w:type="dxa"/>
            <w:tcBorders>
              <w:left w:val="nil"/>
            </w:tcBorders>
            <w:tcMar>
              <w:left w:w="115" w:type="dxa"/>
              <w:bottom w:w="115" w:type="dxa"/>
              <w:right w:w="115" w:type="dxa"/>
            </w:tcMar>
          </w:tcPr>
          <w:p w:rsidR="006D67E6" w:rsidRPr="00F23E77" w:rsidRDefault="006D67E6" w:rsidP="007E4A19">
            <w:pPr>
              <w:rPr>
                <w:iCs/>
                <w:lang w:bidi="en-US"/>
              </w:rPr>
            </w:pPr>
            <w:r w:rsidRPr="00F23E77">
              <w:rPr>
                <w:b/>
                <w:bCs/>
                <w:iCs/>
                <w:lang w:bidi="en-US"/>
              </w:rPr>
              <w:t>Allows filtering by</w:t>
            </w:r>
          </w:p>
          <w:p w:rsidR="001F6C6C" w:rsidRPr="001F6C6C" w:rsidRDefault="001F6C6C" w:rsidP="001F6C6C">
            <w:pPr>
              <w:rPr>
                <w:lang w:bidi="en-US"/>
              </w:rPr>
            </w:pPr>
            <w:r w:rsidRPr="001F6C6C">
              <w:rPr>
                <w:lang w:bidi="en-US"/>
              </w:rPr>
              <w:t>District</w:t>
            </w:r>
          </w:p>
          <w:p w:rsidR="001F6C6C" w:rsidRPr="001F6C6C" w:rsidRDefault="001F6C6C" w:rsidP="001F6C6C">
            <w:pPr>
              <w:rPr>
                <w:lang w:bidi="en-US"/>
              </w:rPr>
            </w:pPr>
            <w:r w:rsidRPr="001F6C6C">
              <w:rPr>
                <w:lang w:bidi="en-US"/>
              </w:rPr>
              <w:t>District size</w:t>
            </w:r>
          </w:p>
          <w:p w:rsidR="006D67E6" w:rsidRDefault="001F6C6C" w:rsidP="001F6C6C">
            <w:pPr>
              <w:rPr>
                <w:lang w:bidi="en-US"/>
              </w:rPr>
            </w:pPr>
            <w:r w:rsidRPr="001F6C6C">
              <w:rPr>
                <w:lang w:bidi="en-US"/>
              </w:rPr>
              <w:t>% SWD</w:t>
            </w:r>
          </w:p>
        </w:tc>
      </w:tr>
      <w:tr w:rsidR="006D67E6" w:rsidTr="008F755B">
        <w:tc>
          <w:tcPr>
            <w:tcW w:w="9576" w:type="dxa"/>
            <w:gridSpan w:val="2"/>
            <w:tcMar>
              <w:left w:w="115" w:type="dxa"/>
              <w:bottom w:w="115" w:type="dxa"/>
              <w:right w:w="115" w:type="dxa"/>
            </w:tcMar>
          </w:tcPr>
          <w:p w:rsidR="006D67E6" w:rsidRDefault="006D67E6" w:rsidP="007E4A19">
            <w:pPr>
              <w:rPr>
                <w:b/>
                <w:bCs/>
                <w:iCs/>
                <w:lang w:bidi="en-US"/>
              </w:rPr>
            </w:pPr>
            <w:r>
              <w:rPr>
                <w:b/>
                <w:bCs/>
                <w:iCs/>
                <w:lang w:bidi="en-US"/>
              </w:rPr>
              <w:t>Report Footnotes</w:t>
            </w:r>
          </w:p>
          <w:p w:rsidR="00030BEE" w:rsidRPr="00030BEE" w:rsidRDefault="00030BEE" w:rsidP="00030BEE">
            <w:pPr>
              <w:rPr>
                <w:bCs/>
                <w:iCs/>
                <w:lang w:bidi="en-US"/>
              </w:rPr>
            </w:pPr>
            <w:r w:rsidRPr="00030BEE">
              <w:rPr>
                <w:bCs/>
                <w:iCs/>
                <w:lang w:bidi="en-US"/>
              </w:rPr>
              <w:t>- Includes districts for the selected year which meet all the selected parameters.</w:t>
            </w:r>
          </w:p>
          <w:p w:rsidR="00030BEE" w:rsidRPr="00030BEE" w:rsidRDefault="00030BEE" w:rsidP="00030BEE">
            <w:pPr>
              <w:rPr>
                <w:bCs/>
                <w:iCs/>
                <w:lang w:bidi="en-US"/>
              </w:rPr>
            </w:pPr>
            <w:r w:rsidRPr="00030BEE">
              <w:rPr>
                <w:bCs/>
                <w:iCs/>
                <w:lang w:bidi="en-US"/>
              </w:rPr>
              <w:t xml:space="preserve">- Expenditures information reflects the most recent EOYR information for the selected year. </w:t>
            </w:r>
          </w:p>
          <w:p w:rsidR="00030BEE" w:rsidRPr="00030BEE" w:rsidRDefault="00030BEE" w:rsidP="00030BEE">
            <w:pPr>
              <w:rPr>
                <w:bCs/>
                <w:iCs/>
                <w:lang w:bidi="en-US"/>
              </w:rPr>
            </w:pPr>
            <w:r w:rsidRPr="00030BEE">
              <w:rPr>
                <w:bCs/>
                <w:iCs/>
                <w:lang w:bidi="en-US"/>
              </w:rPr>
              <w:t xml:space="preserve">- Staffing reports cumulative FTEs for individuals who were active in October in the selected year.   Teachers include all teaching classifications - teachers, co teachers, virtual teachers, and teachers-support content instruction. </w:t>
            </w:r>
          </w:p>
          <w:p w:rsidR="00030BEE" w:rsidRPr="00030BEE" w:rsidRDefault="00030BEE" w:rsidP="00030BEE">
            <w:pPr>
              <w:rPr>
                <w:bCs/>
                <w:iCs/>
                <w:lang w:bidi="en-US"/>
              </w:rPr>
            </w:pPr>
            <w:r w:rsidRPr="00030BEE">
              <w:rPr>
                <w:bCs/>
                <w:iCs/>
                <w:lang w:bidi="en-US"/>
              </w:rPr>
              <w:t>- SWD (student with disabilities) information is based on the October collection for the selected year.</w:t>
            </w:r>
          </w:p>
          <w:p w:rsidR="00030BEE" w:rsidRPr="00030BEE" w:rsidRDefault="00030BEE" w:rsidP="00030BEE">
            <w:pPr>
              <w:rPr>
                <w:bCs/>
                <w:iCs/>
                <w:lang w:bidi="en-US"/>
              </w:rPr>
            </w:pPr>
            <w:r w:rsidRPr="00030BEE">
              <w:rPr>
                <w:bCs/>
                <w:iCs/>
                <w:lang w:bidi="en-US"/>
              </w:rPr>
              <w:t>- Special Education placement is an indication of the educational environment of a student with disabilities at the specific time of reporting (October 1st); Full Inclusion indicates special education services outside the general education classroom less than 21% of the time, Partial Inclusion indicates special education services outside the general education classroom 21% to 60% of the time, and Substantially Separate indicates special education services outside the general education classroom more than 60% of the time.</w:t>
            </w:r>
          </w:p>
          <w:p w:rsidR="00030BEE" w:rsidRPr="00030BEE" w:rsidRDefault="00030BEE" w:rsidP="00030BEE">
            <w:pPr>
              <w:rPr>
                <w:bCs/>
                <w:iCs/>
                <w:lang w:bidi="en-US"/>
              </w:rPr>
            </w:pPr>
            <w:r w:rsidRPr="00030BEE">
              <w:rPr>
                <w:bCs/>
                <w:iCs/>
                <w:lang w:bidi="en-US"/>
              </w:rPr>
              <w:t xml:space="preserve">- </w:t>
            </w:r>
            <w:proofErr w:type="spellStart"/>
            <w:r w:rsidRPr="00030BEE">
              <w:rPr>
                <w:bCs/>
                <w:iCs/>
                <w:lang w:bidi="en-US"/>
              </w:rPr>
              <w:t>Tuitioned</w:t>
            </w:r>
            <w:proofErr w:type="spellEnd"/>
            <w:r w:rsidRPr="00030BEE">
              <w:rPr>
                <w:bCs/>
                <w:iCs/>
                <w:lang w:bidi="en-US"/>
              </w:rPr>
              <w:t xml:space="preserve"> students that the district is no longer accountable for in terms of performance are not submitted by the home district, and are therefore not included any student counts in the report.  </w:t>
            </w:r>
          </w:p>
          <w:p w:rsidR="00030BEE" w:rsidRPr="00030BEE" w:rsidRDefault="00030BEE" w:rsidP="00030BEE">
            <w:pPr>
              <w:rPr>
                <w:bCs/>
                <w:iCs/>
                <w:lang w:bidi="en-US"/>
              </w:rPr>
            </w:pPr>
            <w:r w:rsidRPr="00030BEE">
              <w:rPr>
                <w:bCs/>
                <w:iCs/>
                <w:lang w:bidi="en-US"/>
              </w:rPr>
              <w:t>- Salaries expenditures are calculated from the Schedule 1 School Committee fund under the Special Education program as well as from the Circuit Breaker fund.</w:t>
            </w:r>
          </w:p>
          <w:p w:rsidR="00030BEE" w:rsidRPr="00030BEE" w:rsidRDefault="00030BEE" w:rsidP="00030BEE">
            <w:pPr>
              <w:rPr>
                <w:bCs/>
                <w:iCs/>
                <w:lang w:bidi="en-US"/>
              </w:rPr>
            </w:pPr>
            <w:r w:rsidRPr="00030BEE">
              <w:rPr>
                <w:bCs/>
                <w:iCs/>
                <w:lang w:bidi="en-US"/>
              </w:rPr>
              <w:t xml:space="preserve">- Instructional Services (2000), Payments to Other Districts (9000), Non-Public Health Services (6800), </w:t>
            </w:r>
            <w:r w:rsidRPr="00030BEE">
              <w:rPr>
                <w:bCs/>
                <w:iCs/>
                <w:lang w:bidi="en-US"/>
              </w:rPr>
              <w:lastRenderedPageBreak/>
              <w:t>and Grants and Revolving Funds is the total expenditures in each category from Schedule 4.</w:t>
            </w:r>
          </w:p>
          <w:p w:rsidR="00030BEE" w:rsidRPr="00030BEE" w:rsidRDefault="00030BEE" w:rsidP="00030BEE">
            <w:pPr>
              <w:rPr>
                <w:bCs/>
                <w:iCs/>
                <w:lang w:bidi="en-US"/>
              </w:rPr>
            </w:pPr>
            <w:r w:rsidRPr="00030BEE">
              <w:rPr>
                <w:bCs/>
                <w:iCs/>
                <w:lang w:bidi="en-US"/>
              </w:rPr>
              <w:t>- In and Out of District Transportation are the total expenditures in each category from the Special Education section of Schedule 7, excluding Depreciation.</w:t>
            </w:r>
          </w:p>
          <w:p w:rsidR="00030BEE" w:rsidRPr="00030BEE" w:rsidRDefault="00030BEE" w:rsidP="00030BEE">
            <w:pPr>
              <w:rPr>
                <w:bCs/>
                <w:iCs/>
                <w:lang w:bidi="en-US"/>
              </w:rPr>
            </w:pPr>
            <w:r w:rsidRPr="00030BEE">
              <w:rPr>
                <w:bCs/>
                <w:iCs/>
                <w:lang w:bidi="en-US"/>
              </w:rPr>
              <w:t>- Percent of Total Operating Expenditures is calculated as the percentage of the Total Special Education Expenditures out of the district’s total operating expenditures.  Total Operating Expenditures is defined as the total spending from Schedule 1 from all funds and functions excluding functions in the 6000, 7000, and 8000 series, indirect cost transfers (5990), and short term interest BANs (5450).</w:t>
            </w:r>
          </w:p>
          <w:p w:rsidR="006D67E6" w:rsidRPr="00F23E77" w:rsidRDefault="00030BEE" w:rsidP="00030BEE">
            <w:pPr>
              <w:rPr>
                <w:b/>
                <w:bCs/>
                <w:iCs/>
                <w:lang w:bidi="en-US"/>
              </w:rPr>
            </w:pPr>
            <w:r w:rsidRPr="00030BEE">
              <w:rPr>
                <w:bCs/>
                <w:iCs/>
                <w:lang w:bidi="en-US"/>
              </w:rPr>
              <w:t>- Information for enrollments of fewer than 6 is suppressed.  Suppressed values are displayed as dashes (-).</w:t>
            </w:r>
          </w:p>
        </w:tc>
      </w:tr>
    </w:tbl>
    <w:p w:rsidR="00205879" w:rsidRDefault="00205879" w:rsidP="003C4D29">
      <w:pPr>
        <w:rPr>
          <w:lang w:bidi="en-US"/>
        </w:rPr>
      </w:pPr>
    </w:p>
    <w:p w:rsidR="001F6C6C" w:rsidRDefault="001F6C6C" w:rsidP="001F6C6C">
      <w:pPr>
        <w:pStyle w:val="ListParagraph"/>
        <w:numPr>
          <w:ilvl w:val="0"/>
          <w:numId w:val="22"/>
        </w:numPr>
        <w:rPr>
          <w:lang w:bidi="en-US"/>
        </w:rPr>
      </w:pPr>
      <w:r>
        <w:rPr>
          <w:lang w:bidi="en-US"/>
        </w:rPr>
        <w:t>Select the report.  Report will open in a new tab.</w:t>
      </w:r>
    </w:p>
    <w:p w:rsidR="001F6C6C" w:rsidRDefault="001F6C6C" w:rsidP="001F6C6C"/>
    <w:p w:rsidR="001F6C6C" w:rsidRDefault="001F6C6C" w:rsidP="001F6C6C">
      <w:pPr>
        <w:pStyle w:val="Caption"/>
        <w:keepNext/>
      </w:pPr>
      <w:r>
        <w:t xml:space="preserve">Figure </w:t>
      </w:r>
      <w:fldSimple w:instr=" SEQ Figure \* ARABIC ">
        <w:r w:rsidR="002650BC">
          <w:rPr>
            <w:noProof/>
          </w:rPr>
          <w:t>18</w:t>
        </w:r>
      </w:fldSimple>
    </w:p>
    <w:p w:rsidR="001F6C6C" w:rsidRPr="00F23E77" w:rsidRDefault="00EE5BF7" w:rsidP="001F6C6C">
      <w:pPr>
        <w:rPr>
          <w:lang w:bidi="en-US"/>
        </w:rPr>
      </w:pPr>
      <w:r>
        <w:rPr>
          <w:noProof/>
        </w:rPr>
        <w:pict>
          <v:shape id="_x0000_s1045" type="#_x0000_t32" style="position:absolute;margin-left:223.45pt;margin-top:219.45pt;width:75pt;height:10.5pt;flip:x;z-index:251677696" o:connectortype="straight" strokecolor="#943634 [2405]" strokeweight="2pt">
            <v:stroke endarrow="block"/>
          </v:shape>
        </w:pict>
      </w:r>
      <w:r w:rsidR="00470721" w:rsidRPr="00470721">
        <w:rPr>
          <w:noProof/>
        </w:rPr>
        <w:drawing>
          <wp:inline distT="0" distB="0" distL="0" distR="0">
            <wp:extent cx="4558284" cy="3831336"/>
            <wp:effectExtent l="19050" t="19050" r="13716" b="16764"/>
            <wp:docPr id="15" name="Picture 1" descr="An image of the District tab with the Finance section selected. A red arrow points to the fourth report in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58284" cy="3831336"/>
                    </a:xfrm>
                    <a:prstGeom prst="rect">
                      <a:avLst/>
                    </a:prstGeom>
                    <a:noFill/>
                    <a:ln w="9525">
                      <a:solidFill>
                        <a:schemeClr val="accent1"/>
                      </a:solidFill>
                      <a:miter lim="800000"/>
                      <a:headEnd/>
                      <a:tailEnd/>
                    </a:ln>
                  </pic:spPr>
                </pic:pic>
              </a:graphicData>
            </a:graphic>
          </wp:inline>
        </w:drawing>
      </w:r>
    </w:p>
    <w:p w:rsidR="002B0577" w:rsidRPr="002B0577" w:rsidRDefault="002B0577" w:rsidP="002B0577"/>
    <w:p w:rsidR="001F6C6C" w:rsidRDefault="001F6C6C" w:rsidP="001F6C6C">
      <w:pPr>
        <w:pStyle w:val="ListParagraph"/>
        <w:numPr>
          <w:ilvl w:val="0"/>
          <w:numId w:val="22"/>
        </w:numPr>
        <w:rPr>
          <w:lang w:bidi="en-US"/>
        </w:rPr>
      </w:pPr>
      <w:r>
        <w:rPr>
          <w:lang w:bidi="en-US"/>
        </w:rPr>
        <w:t>Prompt page will launch.  Select the desired parameters.</w:t>
      </w:r>
    </w:p>
    <w:p w:rsidR="001F6C6C" w:rsidRDefault="001F6C6C" w:rsidP="002B0577">
      <w:pPr>
        <w:pStyle w:val="ListParagraph"/>
        <w:numPr>
          <w:ilvl w:val="0"/>
          <w:numId w:val="23"/>
        </w:numPr>
        <w:rPr>
          <w:lang w:bidi="en-US"/>
        </w:rPr>
      </w:pPr>
      <w:r>
        <w:rPr>
          <w:lang w:bidi="en-US"/>
        </w:rPr>
        <w:t>Fiscal year</w:t>
      </w:r>
      <w:r w:rsidR="002B0577">
        <w:rPr>
          <w:lang w:bidi="en-US"/>
        </w:rPr>
        <w:t xml:space="preserve"> is</w:t>
      </w:r>
      <w:r>
        <w:rPr>
          <w:lang w:bidi="en-US"/>
        </w:rPr>
        <w:t xml:space="preserve"> </w:t>
      </w:r>
      <w:r w:rsidR="002B0577">
        <w:rPr>
          <w:lang w:bidi="en-US"/>
        </w:rPr>
        <w:t>a</w:t>
      </w:r>
      <w:r>
        <w:rPr>
          <w:lang w:bidi="en-US"/>
        </w:rPr>
        <w:t xml:space="preserve"> required field and must be </w:t>
      </w:r>
      <w:r w:rsidR="002B0577">
        <w:rPr>
          <w:lang w:bidi="en-US"/>
        </w:rPr>
        <w:t>selected</w:t>
      </w:r>
      <w:r>
        <w:rPr>
          <w:lang w:bidi="en-US"/>
        </w:rPr>
        <w:t xml:space="preserve"> to run the report.  </w:t>
      </w:r>
    </w:p>
    <w:p w:rsidR="001F6C6C" w:rsidRDefault="001F6C6C" w:rsidP="002B0577">
      <w:pPr>
        <w:pStyle w:val="ListParagraph"/>
        <w:numPr>
          <w:ilvl w:val="0"/>
          <w:numId w:val="23"/>
        </w:numPr>
        <w:rPr>
          <w:lang w:bidi="en-US"/>
        </w:rPr>
      </w:pPr>
      <w:r>
        <w:rPr>
          <w:lang w:bidi="en-US"/>
        </w:rPr>
        <w:t xml:space="preserve">Selecting districts is optional.  District defaults to the list of all active public districts in the chosen fiscal year.  The number of returned districts can be pared down by either selecting individual districts from the list or by selecting one or more optional filters (district size, </w:t>
      </w:r>
      <w:r w:rsidR="002B0577">
        <w:rPr>
          <w:lang w:bidi="en-US"/>
        </w:rPr>
        <w:t>%SWD).</w:t>
      </w:r>
    </w:p>
    <w:p w:rsidR="00030BEE" w:rsidRDefault="00030BEE" w:rsidP="002B0577">
      <w:pPr>
        <w:pStyle w:val="ListParagraph"/>
        <w:numPr>
          <w:ilvl w:val="0"/>
          <w:numId w:val="23"/>
        </w:numPr>
        <w:rPr>
          <w:lang w:bidi="en-US"/>
        </w:rPr>
      </w:pPr>
      <w:r>
        <w:rPr>
          <w:lang w:bidi="en-US"/>
        </w:rPr>
        <w:t>You may opt to show the percent of students by special education placements.  The report defaults to “No.”</w:t>
      </w:r>
    </w:p>
    <w:p w:rsidR="002B0577" w:rsidRDefault="002B0577" w:rsidP="002B0577">
      <w:pPr>
        <w:pStyle w:val="Caption"/>
        <w:keepNext/>
      </w:pPr>
      <w:r>
        <w:lastRenderedPageBreak/>
        <w:t xml:space="preserve">Figure </w:t>
      </w:r>
      <w:fldSimple w:instr=" SEQ Figure \* ARABIC ">
        <w:r w:rsidR="002650BC">
          <w:rPr>
            <w:noProof/>
          </w:rPr>
          <w:t>19</w:t>
        </w:r>
      </w:fldSimple>
    </w:p>
    <w:p w:rsidR="002B0577" w:rsidRDefault="00EE5BF7">
      <w:pPr>
        <w:spacing w:after="200" w:line="276" w:lineRule="auto"/>
        <w:rPr>
          <w:lang w:bidi="en-US"/>
        </w:rPr>
      </w:pPr>
      <w:r>
        <w:rPr>
          <w:noProof/>
        </w:rPr>
        <w:pict>
          <v:oval id="_x0000_s1046" style="position:absolute;margin-left:409.4pt;margin-top:17.4pt;width:64.45pt;height:19.25pt;z-index:251678720" filled="f" strokecolor="#943634 [2405]" strokeweight="2pt"/>
        </w:pict>
      </w:r>
      <w:r w:rsidR="00030BEE">
        <w:rPr>
          <w:noProof/>
        </w:rPr>
        <w:drawing>
          <wp:inline distT="0" distB="0" distL="0" distR="0">
            <wp:extent cx="5943600" cy="2239126"/>
            <wp:effectExtent l="19050" t="19050" r="19050" b="27824"/>
            <wp:docPr id="19" name="Picture 4" descr="The prompt page for Special Education Resource Allocation by District: In the upper right, the key explaining that the starred items are required fields is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943600" cy="2239126"/>
                    </a:xfrm>
                    <a:prstGeom prst="rect">
                      <a:avLst/>
                    </a:prstGeom>
                    <a:noFill/>
                    <a:ln w="9525">
                      <a:solidFill>
                        <a:schemeClr val="accent1"/>
                      </a:solidFill>
                      <a:miter lim="800000"/>
                      <a:headEnd/>
                      <a:tailEnd/>
                    </a:ln>
                  </pic:spPr>
                </pic:pic>
              </a:graphicData>
            </a:graphic>
          </wp:inline>
        </w:drawing>
      </w:r>
    </w:p>
    <w:p w:rsidR="002B0577" w:rsidRDefault="002B0577" w:rsidP="002B0577">
      <w:pPr>
        <w:pStyle w:val="ListParagraph"/>
        <w:numPr>
          <w:ilvl w:val="0"/>
          <w:numId w:val="22"/>
        </w:numPr>
        <w:spacing w:after="200" w:line="276" w:lineRule="auto"/>
        <w:rPr>
          <w:lang w:bidi="en-US"/>
        </w:rPr>
      </w:pPr>
      <w:r w:rsidRPr="00017D53">
        <w:rPr>
          <w:lang w:bidi="en-US"/>
        </w:rPr>
        <w:t>FN</w:t>
      </w:r>
      <w:r>
        <w:rPr>
          <w:lang w:bidi="en-US"/>
        </w:rPr>
        <w:t>215</w:t>
      </w:r>
      <w:r w:rsidRPr="00017D53">
        <w:rPr>
          <w:lang w:bidi="en-US"/>
        </w:rPr>
        <w:t xml:space="preserve"> returns your selected district</w:t>
      </w:r>
      <w:r>
        <w:rPr>
          <w:lang w:bidi="en-US"/>
        </w:rPr>
        <w:t>s</w:t>
      </w:r>
      <w:r w:rsidRPr="00017D53">
        <w:rPr>
          <w:lang w:bidi="en-US"/>
        </w:rPr>
        <w:t>.</w:t>
      </w:r>
      <w:r>
        <w:rPr>
          <w:b/>
          <w:lang w:bidi="en-US"/>
        </w:rPr>
        <w:t xml:space="preserve"> </w:t>
      </w:r>
      <w:r>
        <w:rPr>
          <w:lang w:bidi="en-US"/>
        </w:rPr>
        <w:t>From the report page you may select a particular district, and/or change the optional parameters.  To re-run the report with these selections, click submit.  To return to the prompt page, select the play button in the upper corner.</w:t>
      </w:r>
    </w:p>
    <w:p w:rsidR="00205879" w:rsidRDefault="00205879" w:rsidP="002B0577">
      <w:pPr>
        <w:pStyle w:val="ListParagraph"/>
        <w:numPr>
          <w:ilvl w:val="0"/>
          <w:numId w:val="22"/>
        </w:numPr>
        <w:spacing w:after="200" w:line="276" w:lineRule="auto"/>
        <w:rPr>
          <w:lang w:bidi="en-US"/>
        </w:rPr>
      </w:pPr>
      <w:r>
        <w:rPr>
          <w:lang w:bidi="en-US"/>
        </w:rPr>
        <w:t xml:space="preserve">From this report page, you may drill through to FN315 – Special Education Resource Allocation – 1 District by clicking one of the displayed districts.  </w:t>
      </w:r>
    </w:p>
    <w:p w:rsidR="002B0577" w:rsidRDefault="002B0577" w:rsidP="002B0577">
      <w:pPr>
        <w:pStyle w:val="Caption"/>
        <w:keepNext/>
      </w:pPr>
      <w:r>
        <w:t xml:space="preserve">Figure </w:t>
      </w:r>
      <w:fldSimple w:instr=" SEQ Figure \* ARABIC ">
        <w:r w:rsidR="002650BC">
          <w:rPr>
            <w:noProof/>
          </w:rPr>
          <w:t>20</w:t>
        </w:r>
      </w:fldSimple>
    </w:p>
    <w:p w:rsidR="000C45EE" w:rsidRDefault="00EE5BF7">
      <w:pPr>
        <w:spacing w:after="200" w:line="276" w:lineRule="auto"/>
        <w:rPr>
          <w:lang w:bidi="en-US"/>
        </w:rPr>
      </w:pPr>
      <w:r>
        <w:rPr>
          <w:noProof/>
        </w:rPr>
        <w:pict>
          <v:shape id="_x0000_s1049" type="#_x0000_t32" style="position:absolute;margin-left:44.35pt;margin-top:58.8pt;width:78.7pt;height:74.5pt;flip:x;z-index:251681792" o:connectortype="straight" strokecolor="#943634 [2405]" strokeweight="2pt">
            <v:stroke endarrow="block"/>
          </v:shape>
        </w:pict>
      </w:r>
      <w:r>
        <w:rPr>
          <w:noProof/>
        </w:rPr>
        <w:pict>
          <v:rect id="_x0000_s1048" style="position:absolute;margin-left:128.1pt;margin-top:28.65pt;width:236.1pt;height:53.6pt;z-index:251680768" filled="f" strokecolor="#943634 [2405]" strokeweight="2pt"/>
        </w:pict>
      </w:r>
      <w:r w:rsidR="00030BEE">
        <w:rPr>
          <w:noProof/>
        </w:rPr>
        <w:drawing>
          <wp:inline distT="0" distB="0" distL="0" distR="0">
            <wp:extent cx="5890437" cy="2764465"/>
            <wp:effectExtent l="19050" t="19050" r="15063" b="16835"/>
            <wp:docPr id="20" name="Picture 7" descr="The report page for Special Education Resource Allocation by District: Report prompts are enclosed in a red box. A red arrow points from them to the list of districts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931"/>
                    <a:stretch>
                      <a:fillRect/>
                    </a:stretch>
                  </pic:blipFill>
                  <pic:spPr bwMode="auto">
                    <a:xfrm>
                      <a:off x="0" y="0"/>
                      <a:ext cx="5890437" cy="2764465"/>
                    </a:xfrm>
                    <a:prstGeom prst="rect">
                      <a:avLst/>
                    </a:prstGeom>
                    <a:noFill/>
                    <a:ln w="9525">
                      <a:solidFill>
                        <a:schemeClr val="accent1"/>
                      </a:solidFill>
                      <a:miter lim="800000"/>
                      <a:headEnd/>
                      <a:tailEnd/>
                    </a:ln>
                  </pic:spPr>
                </pic:pic>
              </a:graphicData>
            </a:graphic>
          </wp:inline>
        </w:drawing>
      </w:r>
    </w:p>
    <w:p w:rsidR="000C45EE" w:rsidRDefault="000C45EE" w:rsidP="000C45EE">
      <w:pPr>
        <w:pStyle w:val="ListParagraph"/>
        <w:numPr>
          <w:ilvl w:val="0"/>
          <w:numId w:val="19"/>
        </w:numPr>
        <w:rPr>
          <w:lang w:bidi="en-US"/>
        </w:rPr>
      </w:pPr>
      <w:r>
        <w:rPr>
          <w:lang w:bidi="en-US"/>
        </w:rPr>
        <w:t>To export this report to another format (i.e. PDF, XML, Excel or HTML) select the output format icon in the upper right corner.</w:t>
      </w:r>
    </w:p>
    <w:p w:rsidR="000C45EE" w:rsidRDefault="000C45EE" w:rsidP="000C45EE">
      <w:pPr>
        <w:pStyle w:val="Caption"/>
        <w:keepNext/>
      </w:pPr>
      <w:r>
        <w:lastRenderedPageBreak/>
        <w:t xml:space="preserve">Figure </w:t>
      </w:r>
      <w:fldSimple w:instr=" SEQ Figure \* ARABIC ">
        <w:r w:rsidR="002650BC">
          <w:rPr>
            <w:noProof/>
          </w:rPr>
          <w:t>21</w:t>
        </w:r>
      </w:fldSimple>
    </w:p>
    <w:p w:rsidR="003C4D29" w:rsidRDefault="00EE5BF7" w:rsidP="000C45EE">
      <w:pPr>
        <w:spacing w:after="200" w:line="276" w:lineRule="auto"/>
        <w:rPr>
          <w:lang w:bidi="en-US"/>
        </w:rPr>
      </w:pPr>
      <w:r>
        <w:rPr>
          <w:noProof/>
        </w:rPr>
        <w:pict>
          <v:rect id="_x0000_s1051" style="position:absolute;margin-left:121.4pt;margin-top:2.55pt;width:38.5pt;height:21.75pt;z-index:251683840" filled="f" strokecolor="#943634 [2405]" strokeweight="2pt"/>
        </w:pict>
      </w:r>
      <w:r w:rsidR="000C45EE">
        <w:rPr>
          <w:noProof/>
        </w:rPr>
        <w:drawing>
          <wp:inline distT="0" distB="0" distL="0" distR="0">
            <wp:extent cx="3051810" cy="1510030"/>
            <wp:effectExtent l="19050" t="19050" r="15240" b="13970"/>
            <wp:docPr id="21" name="Picture 16" descr="The dropdown for the format selection icon is shown. The options include 'View in HTML Format', 'View in PDF Format', and 'View in Excel Options' format. A further dropdown from 'View in Excel Options' offers 'View in Excel 2007 Format', 'View in Excel 2002 Form', and 'View in CS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051810" cy="1510030"/>
                    </a:xfrm>
                    <a:prstGeom prst="rect">
                      <a:avLst/>
                    </a:prstGeom>
                    <a:noFill/>
                    <a:ln w="9525">
                      <a:solidFill>
                        <a:schemeClr val="accent1"/>
                      </a:solidFill>
                      <a:miter lim="800000"/>
                      <a:headEnd/>
                      <a:tailEnd/>
                    </a:ln>
                  </pic:spPr>
                </pic:pic>
              </a:graphicData>
            </a:graphic>
          </wp:inline>
        </w:drawing>
      </w:r>
    </w:p>
    <w:p w:rsidR="002B0577" w:rsidRDefault="002B0577" w:rsidP="000C45EE">
      <w:pPr>
        <w:spacing w:after="200" w:line="276" w:lineRule="auto"/>
        <w:rPr>
          <w:lang w:bidi="en-US"/>
        </w:rPr>
      </w:pPr>
      <w:r>
        <w:rPr>
          <w:lang w:bidi="en-US"/>
        </w:rPr>
        <w:br w:type="page"/>
      </w:r>
    </w:p>
    <w:p w:rsidR="00E66DD6" w:rsidRDefault="00EB03BD" w:rsidP="00F23E77">
      <w:pPr>
        <w:pStyle w:val="Heading2"/>
        <w:rPr>
          <w:lang w:bidi="en-US"/>
        </w:rPr>
      </w:pPr>
      <w:r>
        <w:rPr>
          <w:lang w:bidi="en-US"/>
        </w:rPr>
        <w:lastRenderedPageBreak/>
        <w:t>FN315</w:t>
      </w:r>
      <w:r w:rsidR="00E66DD6" w:rsidRPr="00241150">
        <w:rPr>
          <w:lang w:bidi="en-US"/>
        </w:rPr>
        <w:t xml:space="preserve"> </w:t>
      </w:r>
      <w:r w:rsidR="00AE1BFA">
        <w:rPr>
          <w:lang w:bidi="en-US"/>
        </w:rPr>
        <w:t>Special Education Resource Allocation – Individual District</w:t>
      </w:r>
    </w:p>
    <w:p w:rsidR="006D67E6" w:rsidRPr="006D67E6" w:rsidRDefault="006D67E6" w:rsidP="006D67E6">
      <w:pPr>
        <w:rPr>
          <w:lang w:bidi="en-US"/>
        </w:rPr>
      </w:pPr>
    </w:p>
    <w:tbl>
      <w:tblPr>
        <w:tblW w:w="0" w:type="auto"/>
        <w:tblLook w:val="0000"/>
      </w:tblPr>
      <w:tblGrid>
        <w:gridCol w:w="4788"/>
        <w:gridCol w:w="4788"/>
      </w:tblGrid>
      <w:tr w:rsidR="006D67E6" w:rsidTr="008F755B">
        <w:tc>
          <w:tcPr>
            <w:tcW w:w="9576" w:type="dxa"/>
            <w:gridSpan w:val="2"/>
            <w:tcMar>
              <w:left w:w="115" w:type="dxa"/>
              <w:bottom w:w="115" w:type="dxa"/>
              <w:right w:w="115" w:type="dxa"/>
            </w:tcMar>
          </w:tcPr>
          <w:p w:rsidR="006D67E6" w:rsidRDefault="006D67E6" w:rsidP="007E4A19">
            <w:pPr>
              <w:rPr>
                <w:lang w:bidi="en-US"/>
              </w:rPr>
            </w:pPr>
            <w:r w:rsidRPr="006D67E6">
              <w:rPr>
                <w:lang w:bidi="en-US"/>
              </w:rPr>
              <w:t>Provides information on a district’s SWD population, special education teachers, special education salaries, and special education expenditures (Schedule 4 and 7 End of Year Report data), including school level drilldown, for the purpose of single district analysis.</w:t>
            </w:r>
          </w:p>
        </w:tc>
      </w:tr>
      <w:tr w:rsidR="006D67E6" w:rsidTr="008F755B">
        <w:tc>
          <w:tcPr>
            <w:tcW w:w="4788" w:type="dxa"/>
            <w:tcMar>
              <w:left w:w="115" w:type="dxa"/>
              <w:bottom w:w="115" w:type="dxa"/>
              <w:right w:w="115" w:type="dxa"/>
            </w:tcMar>
          </w:tcPr>
          <w:p w:rsidR="006D67E6" w:rsidRPr="00F23E77" w:rsidRDefault="006D67E6" w:rsidP="007E4A19">
            <w:pPr>
              <w:rPr>
                <w:iCs/>
                <w:lang w:bidi="en-US"/>
              </w:rPr>
            </w:pPr>
            <w:r w:rsidRPr="00F23E77">
              <w:rPr>
                <w:b/>
                <w:bCs/>
                <w:iCs/>
                <w:lang w:bidi="en-US"/>
              </w:rPr>
              <w:t>Includes data on</w:t>
            </w:r>
          </w:p>
          <w:p w:rsidR="00C27DE6" w:rsidRPr="00967DFB" w:rsidRDefault="00C27DE6" w:rsidP="00AF792F">
            <w:pPr>
              <w:rPr>
                <w:i/>
                <w:lang w:bidi="en-US"/>
              </w:rPr>
            </w:pPr>
            <w:r w:rsidRPr="00967DFB">
              <w:rPr>
                <w:i/>
                <w:lang w:bidi="en-US"/>
              </w:rPr>
              <w:t>District/school special education expenditures (Schedules 1 and 3)</w:t>
            </w:r>
          </w:p>
          <w:p w:rsidR="00C27DE6" w:rsidRDefault="00C27DE6" w:rsidP="00C27DE6">
            <w:pPr>
              <w:pStyle w:val="ListParagraph"/>
              <w:numPr>
                <w:ilvl w:val="0"/>
                <w:numId w:val="35"/>
              </w:numPr>
              <w:rPr>
                <w:lang w:bidi="en-US"/>
              </w:rPr>
            </w:pPr>
            <w:r>
              <w:rPr>
                <w:lang w:bidi="en-US"/>
              </w:rPr>
              <w:t>Teacher and paraprofessional salaries (school committee and Circuit Breaker)</w:t>
            </w:r>
          </w:p>
          <w:p w:rsidR="00C27DE6" w:rsidRPr="00967DFB" w:rsidRDefault="00AF792F" w:rsidP="00C27DE6">
            <w:pPr>
              <w:rPr>
                <w:i/>
                <w:lang w:bidi="en-US"/>
              </w:rPr>
            </w:pPr>
            <w:r w:rsidRPr="00967DFB">
              <w:rPr>
                <w:i/>
                <w:lang w:bidi="en-US"/>
              </w:rPr>
              <w:t>District special education expend</w:t>
            </w:r>
            <w:r w:rsidR="00C27DE6" w:rsidRPr="00967DFB">
              <w:rPr>
                <w:i/>
                <w:lang w:bidi="en-US"/>
              </w:rPr>
              <w:t>itures (Schedules 4 and 7, EOY)</w:t>
            </w:r>
          </w:p>
          <w:p w:rsidR="00C27DE6" w:rsidRDefault="00C27DE6" w:rsidP="00C27DE6">
            <w:pPr>
              <w:pStyle w:val="ListParagraph"/>
              <w:numPr>
                <w:ilvl w:val="0"/>
                <w:numId w:val="35"/>
              </w:numPr>
              <w:rPr>
                <w:lang w:bidi="en-US"/>
              </w:rPr>
            </w:pPr>
            <w:r>
              <w:rPr>
                <w:lang w:bidi="en-US"/>
              </w:rPr>
              <w:t xml:space="preserve">Expenditures </w:t>
            </w:r>
            <w:r w:rsidR="00AF792F" w:rsidRPr="00AF792F">
              <w:rPr>
                <w:lang w:bidi="en-US"/>
              </w:rPr>
              <w:t>by placement</w:t>
            </w:r>
          </w:p>
          <w:p w:rsidR="00C27DE6" w:rsidRPr="00AF792F" w:rsidRDefault="00C27DE6" w:rsidP="00C27DE6">
            <w:pPr>
              <w:pStyle w:val="ListParagraph"/>
              <w:numPr>
                <w:ilvl w:val="0"/>
                <w:numId w:val="35"/>
              </w:numPr>
              <w:rPr>
                <w:lang w:bidi="en-US"/>
              </w:rPr>
            </w:pPr>
            <w:r>
              <w:rPr>
                <w:lang w:bidi="en-US"/>
              </w:rPr>
              <w:t>Expenditures per student (by placement and total)</w:t>
            </w:r>
          </w:p>
          <w:p w:rsidR="00732CC5" w:rsidRDefault="00AF792F" w:rsidP="00732CC5">
            <w:pPr>
              <w:rPr>
                <w:i/>
                <w:lang w:bidi="en-US"/>
              </w:rPr>
            </w:pPr>
            <w:r w:rsidRPr="00967DFB">
              <w:rPr>
                <w:i/>
                <w:lang w:bidi="en-US"/>
              </w:rPr>
              <w:t xml:space="preserve">Students with disabilities (SWD) enrollment (SIMS), by placement </w:t>
            </w:r>
          </w:p>
          <w:p w:rsidR="006D67E6" w:rsidRDefault="00AF792F" w:rsidP="00732CC5">
            <w:pPr>
              <w:rPr>
                <w:lang w:bidi="en-US"/>
              </w:rPr>
            </w:pPr>
            <w:r w:rsidRPr="00967DFB">
              <w:rPr>
                <w:i/>
                <w:lang w:bidi="en-US"/>
              </w:rPr>
              <w:t>Special education staffing (EPIMS) by district and schools, including FTEs and student-staff ratios</w:t>
            </w:r>
          </w:p>
        </w:tc>
        <w:tc>
          <w:tcPr>
            <w:tcW w:w="4788" w:type="dxa"/>
            <w:tcBorders>
              <w:left w:val="nil"/>
            </w:tcBorders>
            <w:tcMar>
              <w:left w:w="115" w:type="dxa"/>
              <w:bottom w:w="115" w:type="dxa"/>
              <w:right w:w="115" w:type="dxa"/>
            </w:tcMar>
          </w:tcPr>
          <w:p w:rsidR="006D67E6" w:rsidRPr="00F23E77" w:rsidRDefault="006D67E6" w:rsidP="007E4A19">
            <w:pPr>
              <w:rPr>
                <w:iCs/>
                <w:lang w:bidi="en-US"/>
              </w:rPr>
            </w:pPr>
            <w:r w:rsidRPr="00F23E77">
              <w:rPr>
                <w:b/>
                <w:bCs/>
                <w:iCs/>
                <w:lang w:bidi="en-US"/>
              </w:rPr>
              <w:t>Allows filtering by</w:t>
            </w:r>
          </w:p>
          <w:p w:rsidR="006D67E6" w:rsidRDefault="00AF792F" w:rsidP="007E4A19">
            <w:pPr>
              <w:rPr>
                <w:lang w:bidi="en-US"/>
              </w:rPr>
            </w:pPr>
            <w:r w:rsidRPr="00AF792F">
              <w:rPr>
                <w:lang w:bidi="en-US"/>
              </w:rPr>
              <w:t>District</w:t>
            </w:r>
          </w:p>
        </w:tc>
      </w:tr>
      <w:tr w:rsidR="006D67E6" w:rsidTr="008F755B">
        <w:tc>
          <w:tcPr>
            <w:tcW w:w="9576" w:type="dxa"/>
            <w:gridSpan w:val="2"/>
            <w:tcMar>
              <w:left w:w="115" w:type="dxa"/>
              <w:bottom w:w="115" w:type="dxa"/>
              <w:right w:w="115" w:type="dxa"/>
            </w:tcMar>
          </w:tcPr>
          <w:p w:rsidR="006D67E6" w:rsidRDefault="006D67E6" w:rsidP="007E4A19">
            <w:pPr>
              <w:rPr>
                <w:b/>
                <w:bCs/>
                <w:iCs/>
                <w:lang w:bidi="en-US"/>
              </w:rPr>
            </w:pPr>
            <w:r>
              <w:rPr>
                <w:b/>
                <w:bCs/>
                <w:iCs/>
                <w:lang w:bidi="en-US"/>
              </w:rPr>
              <w:t>Report Footnotes</w:t>
            </w:r>
          </w:p>
          <w:p w:rsidR="00732CC5" w:rsidRPr="00732CC5" w:rsidRDefault="00732CC5" w:rsidP="00732CC5">
            <w:pPr>
              <w:rPr>
                <w:bCs/>
                <w:iCs/>
                <w:lang w:bidi="en-US"/>
              </w:rPr>
            </w:pPr>
            <w:r w:rsidRPr="00732CC5">
              <w:rPr>
                <w:bCs/>
                <w:iCs/>
                <w:lang w:bidi="en-US"/>
              </w:rPr>
              <w:t>- Includes the selected district’s expenditures information as of the most recent EOYR information for the selected year.</w:t>
            </w:r>
          </w:p>
          <w:p w:rsidR="00732CC5" w:rsidRPr="00732CC5" w:rsidRDefault="00732CC5" w:rsidP="00732CC5">
            <w:pPr>
              <w:rPr>
                <w:bCs/>
                <w:iCs/>
                <w:lang w:bidi="en-US"/>
              </w:rPr>
            </w:pPr>
            <w:r w:rsidRPr="00732CC5">
              <w:rPr>
                <w:bCs/>
                <w:iCs/>
                <w:lang w:bidi="en-US"/>
              </w:rPr>
              <w:t xml:space="preserve">- Staffing reports cumulative FTEs for individuals who were active in October in the selected year.   Teachers include all teaching classifications - teachers, co teachers, virtual teachers, and teachers-support content instruction. </w:t>
            </w:r>
          </w:p>
          <w:p w:rsidR="00732CC5" w:rsidRPr="00732CC5" w:rsidRDefault="00732CC5" w:rsidP="00732CC5">
            <w:pPr>
              <w:rPr>
                <w:bCs/>
                <w:iCs/>
                <w:lang w:bidi="en-US"/>
              </w:rPr>
            </w:pPr>
            <w:r w:rsidRPr="00732CC5">
              <w:rPr>
                <w:bCs/>
                <w:iCs/>
                <w:lang w:bidi="en-US"/>
              </w:rPr>
              <w:t>- SWD (student with disabilities) information is based on the October collection for the selected year.</w:t>
            </w:r>
          </w:p>
          <w:p w:rsidR="00732CC5" w:rsidRPr="00732CC5" w:rsidRDefault="00732CC5" w:rsidP="00732CC5">
            <w:pPr>
              <w:rPr>
                <w:bCs/>
                <w:iCs/>
                <w:lang w:bidi="en-US"/>
              </w:rPr>
            </w:pPr>
            <w:r w:rsidRPr="00732CC5">
              <w:rPr>
                <w:bCs/>
                <w:iCs/>
                <w:lang w:bidi="en-US"/>
              </w:rPr>
              <w:t>- Special Education placement is an indication of the educational environment of a student with disabilities at the specific time of reporting (October 1st); Full Inclusion indicates special education services outside the general education classroom less than 21% of the time, Partial Inclusion indicates special education services outside the general education classroom 21% to 60% of the time, and Substantially Separate indicates special education services outside the general education classroom more than 60% of the time.</w:t>
            </w:r>
          </w:p>
          <w:p w:rsidR="00732CC5" w:rsidRPr="00732CC5" w:rsidRDefault="00732CC5" w:rsidP="00732CC5">
            <w:pPr>
              <w:rPr>
                <w:bCs/>
                <w:iCs/>
                <w:lang w:bidi="en-US"/>
              </w:rPr>
            </w:pPr>
            <w:r w:rsidRPr="00732CC5">
              <w:rPr>
                <w:bCs/>
                <w:iCs/>
                <w:lang w:bidi="en-US"/>
              </w:rPr>
              <w:t xml:space="preserve">- </w:t>
            </w:r>
            <w:proofErr w:type="spellStart"/>
            <w:r w:rsidRPr="00732CC5">
              <w:rPr>
                <w:bCs/>
                <w:iCs/>
                <w:lang w:bidi="en-US"/>
              </w:rPr>
              <w:t>Tuitioned</w:t>
            </w:r>
            <w:proofErr w:type="spellEnd"/>
            <w:r w:rsidRPr="00732CC5">
              <w:rPr>
                <w:bCs/>
                <w:iCs/>
                <w:lang w:bidi="en-US"/>
              </w:rPr>
              <w:t xml:space="preserve"> students that the district is no longer accountable for in terms of performance are not submitted by the home district, and are therefore not included any student counts in the report.  </w:t>
            </w:r>
          </w:p>
          <w:p w:rsidR="00732CC5" w:rsidRPr="00732CC5" w:rsidRDefault="00732CC5" w:rsidP="00732CC5">
            <w:pPr>
              <w:rPr>
                <w:bCs/>
                <w:iCs/>
                <w:lang w:bidi="en-US"/>
              </w:rPr>
            </w:pPr>
            <w:r w:rsidRPr="00732CC5">
              <w:rPr>
                <w:bCs/>
                <w:iCs/>
                <w:lang w:bidi="en-US"/>
              </w:rPr>
              <w:t>- Salaries expenditures are calculated from the Schedule 3 School Committee fund under the Special Education program as well as from the Circuit Breaker fund.</w:t>
            </w:r>
          </w:p>
          <w:p w:rsidR="00732CC5" w:rsidRPr="00732CC5" w:rsidRDefault="00732CC5" w:rsidP="00732CC5">
            <w:pPr>
              <w:rPr>
                <w:bCs/>
                <w:iCs/>
                <w:lang w:bidi="en-US"/>
              </w:rPr>
            </w:pPr>
            <w:r w:rsidRPr="00732CC5">
              <w:rPr>
                <w:bCs/>
                <w:iCs/>
                <w:lang w:bidi="en-US"/>
              </w:rPr>
              <w:t>- In and Out of District Transportation are the total expenditures in each category from the Special Education section of Schedule 7, excluding Depreciation.</w:t>
            </w:r>
          </w:p>
          <w:p w:rsidR="00732CC5" w:rsidRPr="00732CC5" w:rsidRDefault="00732CC5" w:rsidP="00732CC5">
            <w:pPr>
              <w:rPr>
                <w:bCs/>
                <w:iCs/>
                <w:lang w:bidi="en-US"/>
              </w:rPr>
            </w:pPr>
            <w:r w:rsidRPr="00732CC5">
              <w:rPr>
                <w:bCs/>
                <w:iCs/>
                <w:lang w:bidi="en-US"/>
              </w:rPr>
              <w:t xml:space="preserve">- Special Education Expenditures are the expenditures in each Special Education type from Schedule 4. </w:t>
            </w:r>
          </w:p>
          <w:p w:rsidR="006D67E6" w:rsidRPr="00F23E77" w:rsidRDefault="00732CC5" w:rsidP="00732CC5">
            <w:pPr>
              <w:rPr>
                <w:b/>
                <w:bCs/>
                <w:iCs/>
                <w:lang w:bidi="en-US"/>
              </w:rPr>
            </w:pPr>
            <w:r w:rsidRPr="00732CC5">
              <w:rPr>
                <w:bCs/>
                <w:iCs/>
                <w:lang w:bidi="en-US"/>
              </w:rPr>
              <w:t>- Information for enrollments of fewer than 6 is suppressed.  Suppressed values are displayed as dashes (-).</w:t>
            </w:r>
          </w:p>
        </w:tc>
      </w:tr>
    </w:tbl>
    <w:p w:rsidR="00A14C0E" w:rsidRDefault="00A14C0E" w:rsidP="006D67E6"/>
    <w:p w:rsidR="00911D8D" w:rsidRDefault="00911D8D" w:rsidP="00911D8D">
      <w:pPr>
        <w:pStyle w:val="ListParagraph"/>
        <w:numPr>
          <w:ilvl w:val="0"/>
          <w:numId w:val="24"/>
        </w:numPr>
        <w:rPr>
          <w:lang w:bidi="en-US"/>
        </w:rPr>
      </w:pPr>
      <w:r>
        <w:rPr>
          <w:lang w:bidi="en-US"/>
        </w:rPr>
        <w:t>Select the report.  Report will open in a new tab.</w:t>
      </w:r>
    </w:p>
    <w:p w:rsidR="00911D8D" w:rsidRDefault="00911D8D" w:rsidP="00911D8D">
      <w:pPr>
        <w:pStyle w:val="Caption"/>
        <w:keepNext/>
      </w:pPr>
      <w:r>
        <w:lastRenderedPageBreak/>
        <w:t xml:space="preserve">Figure </w:t>
      </w:r>
      <w:fldSimple w:instr=" SEQ Figure \* ARABIC ">
        <w:r w:rsidR="002650BC">
          <w:rPr>
            <w:noProof/>
          </w:rPr>
          <w:t>22</w:t>
        </w:r>
      </w:fldSimple>
    </w:p>
    <w:p w:rsidR="00911D8D" w:rsidRDefault="00EE5BF7" w:rsidP="00911D8D">
      <w:pPr>
        <w:spacing w:after="200" w:line="276" w:lineRule="auto"/>
        <w:rPr>
          <w:b/>
          <w:lang w:bidi="en-US"/>
        </w:rPr>
      </w:pPr>
      <w:r>
        <w:rPr>
          <w:b/>
          <w:noProof/>
        </w:rPr>
        <w:pict>
          <v:shape id="_x0000_s1052" type="#_x0000_t32" style="position:absolute;margin-left:241.1pt;margin-top:239.85pt;width:61.15pt;height:15.9pt;flip:x;z-index:251685888" o:connectortype="straight" strokecolor="#943634 [2405]" strokeweight="2pt">
            <v:stroke endarrow="block"/>
          </v:shape>
        </w:pict>
      </w:r>
      <w:r w:rsidR="00732CC5" w:rsidRPr="00732CC5">
        <w:rPr>
          <w:b/>
          <w:noProof/>
        </w:rPr>
        <w:drawing>
          <wp:inline distT="0" distB="0" distL="0" distR="0">
            <wp:extent cx="4558284" cy="3831336"/>
            <wp:effectExtent l="19050" t="19050" r="13716" b="16764"/>
            <wp:docPr id="24" name="Picture 1" descr="An image of the District tab with the Finance section selected. A red arrow points to the fifth report in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58284" cy="3831336"/>
                    </a:xfrm>
                    <a:prstGeom prst="rect">
                      <a:avLst/>
                    </a:prstGeom>
                    <a:noFill/>
                    <a:ln w="9525">
                      <a:solidFill>
                        <a:schemeClr val="accent1"/>
                      </a:solidFill>
                      <a:miter lim="800000"/>
                      <a:headEnd/>
                      <a:tailEnd/>
                    </a:ln>
                  </pic:spPr>
                </pic:pic>
              </a:graphicData>
            </a:graphic>
          </wp:inline>
        </w:drawing>
      </w:r>
    </w:p>
    <w:p w:rsidR="00AF792F" w:rsidRDefault="00911D8D" w:rsidP="00AF792F">
      <w:pPr>
        <w:pStyle w:val="ListParagraph"/>
        <w:numPr>
          <w:ilvl w:val="0"/>
          <w:numId w:val="24"/>
        </w:numPr>
        <w:rPr>
          <w:lang w:bidi="en-US"/>
        </w:rPr>
      </w:pPr>
      <w:r>
        <w:rPr>
          <w:lang w:bidi="en-US"/>
        </w:rPr>
        <w:t>Prompt page will launch.  Select the desired parameters.</w:t>
      </w:r>
      <w:r w:rsidR="00AF792F">
        <w:rPr>
          <w:lang w:bidi="en-US"/>
        </w:rPr>
        <w:t xml:space="preserve">  Fiscal year, district, “show school details”, and “sections to display” are all required fields and therefore those selections must be made to run the report.  This report is can display only one district at a time. </w:t>
      </w:r>
    </w:p>
    <w:p w:rsidR="00C27DE6" w:rsidRPr="00C27DE6" w:rsidRDefault="00C27DE6" w:rsidP="00C27DE6"/>
    <w:p w:rsidR="00AF792F" w:rsidRDefault="00AF792F" w:rsidP="00AF792F">
      <w:pPr>
        <w:pStyle w:val="Caption"/>
        <w:keepNext/>
      </w:pPr>
      <w:r>
        <w:t xml:space="preserve">Figure </w:t>
      </w:r>
      <w:fldSimple w:instr=" SEQ Figure \* ARABIC ">
        <w:r w:rsidR="002650BC">
          <w:rPr>
            <w:noProof/>
          </w:rPr>
          <w:t>23</w:t>
        </w:r>
      </w:fldSimple>
    </w:p>
    <w:p w:rsidR="00A14C0E" w:rsidRDefault="00346B86" w:rsidP="00911D8D">
      <w:r>
        <w:rPr>
          <w:noProof/>
        </w:rPr>
        <w:pict>
          <v:oval id="_x0000_s1055" style="position:absolute;margin-left:405.75pt;margin-top:22.05pt;width:55.5pt;height:12.75pt;z-index:251688960" filled="f" strokecolor="#943634 [2405]" strokeweight="2pt"/>
        </w:pict>
      </w:r>
      <w:r w:rsidR="00AF792F">
        <w:rPr>
          <w:noProof/>
        </w:rPr>
        <w:drawing>
          <wp:inline distT="0" distB="0" distL="0" distR="0">
            <wp:extent cx="5943600" cy="2777402"/>
            <wp:effectExtent l="19050" t="19050" r="19050" b="22948"/>
            <wp:docPr id="55" name="Picture 55" descr="The prompt page for Special Education Resource Allocation -- Individual District: In the upper right, the key explaining that the starred items are required fields is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cstate="print"/>
                    <a:srcRect/>
                    <a:stretch>
                      <a:fillRect/>
                    </a:stretch>
                  </pic:blipFill>
                  <pic:spPr bwMode="auto">
                    <a:xfrm>
                      <a:off x="0" y="0"/>
                      <a:ext cx="5943600" cy="2777402"/>
                    </a:xfrm>
                    <a:prstGeom prst="rect">
                      <a:avLst/>
                    </a:prstGeom>
                    <a:noFill/>
                    <a:ln w="9525">
                      <a:solidFill>
                        <a:schemeClr val="accent1"/>
                      </a:solidFill>
                      <a:miter lim="800000"/>
                      <a:headEnd/>
                      <a:tailEnd/>
                    </a:ln>
                  </pic:spPr>
                </pic:pic>
              </a:graphicData>
            </a:graphic>
          </wp:inline>
        </w:drawing>
      </w:r>
    </w:p>
    <w:p w:rsidR="00911D8D" w:rsidRDefault="00911D8D" w:rsidP="00911D8D"/>
    <w:p w:rsidR="007817D1" w:rsidRDefault="007817D1" w:rsidP="007817D1">
      <w:pPr>
        <w:pStyle w:val="ListParagraph"/>
        <w:numPr>
          <w:ilvl w:val="0"/>
          <w:numId w:val="24"/>
        </w:numPr>
        <w:spacing w:after="200" w:line="276" w:lineRule="auto"/>
        <w:rPr>
          <w:lang w:bidi="en-US"/>
        </w:rPr>
      </w:pPr>
      <w:r w:rsidRPr="00017D53">
        <w:rPr>
          <w:lang w:bidi="en-US"/>
        </w:rPr>
        <w:t>FN31</w:t>
      </w:r>
      <w:r>
        <w:rPr>
          <w:lang w:bidi="en-US"/>
        </w:rPr>
        <w:t>5</w:t>
      </w:r>
      <w:r w:rsidRPr="00017D53">
        <w:rPr>
          <w:lang w:bidi="en-US"/>
        </w:rPr>
        <w:t xml:space="preserve"> returns your selected district.</w:t>
      </w:r>
      <w:r>
        <w:rPr>
          <w:b/>
          <w:lang w:bidi="en-US"/>
        </w:rPr>
        <w:t xml:space="preserve"> </w:t>
      </w:r>
      <w:r>
        <w:rPr>
          <w:lang w:bidi="en-US"/>
        </w:rPr>
        <w:t>From the report page you may:</w:t>
      </w:r>
    </w:p>
    <w:p w:rsidR="007817D1" w:rsidRDefault="007817D1" w:rsidP="004C3CC0">
      <w:pPr>
        <w:pStyle w:val="ListParagraph"/>
        <w:numPr>
          <w:ilvl w:val="0"/>
          <w:numId w:val="25"/>
        </w:numPr>
        <w:rPr>
          <w:lang w:bidi="en-US"/>
        </w:rPr>
      </w:pPr>
      <w:r>
        <w:rPr>
          <w:lang w:bidi="en-US"/>
        </w:rPr>
        <w:lastRenderedPageBreak/>
        <w:t>Select a different district, show or hide school details, and/or select which districts to display.  To re-run the report with these selections, click submit.  To return to the prompt page, select the play button in the upper corner.</w:t>
      </w:r>
    </w:p>
    <w:p w:rsidR="0095655F" w:rsidRDefault="0095655F" w:rsidP="00911D8D"/>
    <w:p w:rsidR="0095655F" w:rsidRDefault="0095655F" w:rsidP="0095655F">
      <w:pPr>
        <w:pStyle w:val="Caption"/>
        <w:keepNext/>
      </w:pPr>
      <w:r>
        <w:t xml:space="preserve">Figure </w:t>
      </w:r>
      <w:fldSimple w:instr=" SEQ Figure \* ARABIC ">
        <w:r w:rsidR="002650BC">
          <w:rPr>
            <w:noProof/>
          </w:rPr>
          <w:t>24</w:t>
        </w:r>
      </w:fldSimple>
    </w:p>
    <w:p w:rsidR="0095655F" w:rsidRDefault="00732CC5" w:rsidP="00911D8D">
      <w:r>
        <w:rPr>
          <w:noProof/>
        </w:rPr>
        <w:drawing>
          <wp:inline distT="0" distB="0" distL="0" distR="0">
            <wp:extent cx="5943600" cy="2671469"/>
            <wp:effectExtent l="19050" t="19050" r="19050" b="14581"/>
            <wp:docPr id="26" name="Picture 10" descr="Report page for Special Education Resource Allocation -- Individual District: Additional prompts at the top of the report page are 'District', 'Show School Details', and 'Sections to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5943600" cy="2671469"/>
                    </a:xfrm>
                    <a:prstGeom prst="rect">
                      <a:avLst/>
                    </a:prstGeom>
                    <a:noFill/>
                    <a:ln w="9525">
                      <a:solidFill>
                        <a:schemeClr val="accent1"/>
                      </a:solidFill>
                      <a:miter lim="800000"/>
                      <a:headEnd/>
                      <a:tailEnd/>
                    </a:ln>
                  </pic:spPr>
                </pic:pic>
              </a:graphicData>
            </a:graphic>
          </wp:inline>
        </w:drawing>
      </w:r>
      <w:r>
        <w:rPr>
          <w:noProof/>
        </w:rPr>
        <w:drawing>
          <wp:inline distT="0" distB="0" distL="0" distR="0">
            <wp:extent cx="5943600" cy="3114926"/>
            <wp:effectExtent l="19050" t="19050" r="19050" b="28324"/>
            <wp:docPr id="27" name="Picture 13" descr="Report page for Special Education Resource Allocation -- Individual District: Sections C and D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943600" cy="3114926"/>
                    </a:xfrm>
                    <a:prstGeom prst="rect">
                      <a:avLst/>
                    </a:prstGeom>
                    <a:noFill/>
                    <a:ln w="9525">
                      <a:solidFill>
                        <a:schemeClr val="accent1"/>
                      </a:solidFill>
                      <a:miter lim="800000"/>
                      <a:headEnd/>
                      <a:tailEnd/>
                    </a:ln>
                  </pic:spPr>
                </pic:pic>
              </a:graphicData>
            </a:graphic>
          </wp:inline>
        </w:drawing>
      </w:r>
    </w:p>
    <w:p w:rsidR="0095655F" w:rsidRPr="00911D8D" w:rsidRDefault="0095655F" w:rsidP="00911D8D"/>
    <w:p w:rsidR="00A82A8C" w:rsidRDefault="00A82A8C" w:rsidP="00A82A8C">
      <w:pPr>
        <w:pStyle w:val="ListParagraph"/>
        <w:numPr>
          <w:ilvl w:val="0"/>
          <w:numId w:val="19"/>
        </w:numPr>
        <w:rPr>
          <w:lang w:bidi="en-US"/>
        </w:rPr>
      </w:pPr>
      <w:r>
        <w:rPr>
          <w:lang w:bidi="en-US"/>
        </w:rPr>
        <w:t>To export this report to another format (i.e. PDF, XML, Excel or HTML) select the output format icon in the upper right corner.</w:t>
      </w:r>
    </w:p>
    <w:p w:rsidR="00A82A8C" w:rsidRDefault="00A82A8C" w:rsidP="00A82A8C">
      <w:pPr>
        <w:pStyle w:val="Caption"/>
        <w:keepNext/>
      </w:pPr>
      <w:r>
        <w:lastRenderedPageBreak/>
        <w:t xml:space="preserve">Figure </w:t>
      </w:r>
      <w:fldSimple w:instr=" SEQ Figure \* ARABIC ">
        <w:r w:rsidR="002650BC">
          <w:rPr>
            <w:noProof/>
          </w:rPr>
          <w:t>25</w:t>
        </w:r>
      </w:fldSimple>
    </w:p>
    <w:p w:rsidR="00A82A8C" w:rsidRDefault="00EE5BF7" w:rsidP="00A82A8C">
      <w:pPr>
        <w:spacing w:after="200" w:line="276" w:lineRule="auto"/>
        <w:rPr>
          <w:lang w:bidi="en-US"/>
        </w:rPr>
      </w:pPr>
      <w:r>
        <w:rPr>
          <w:noProof/>
        </w:rPr>
        <w:pict>
          <v:rect id="_x0000_s1053" style="position:absolute;margin-left:121.4pt;margin-top:2.55pt;width:38.5pt;height:21.75pt;z-index:251687936" filled="f" strokecolor="#943634 [2405]" strokeweight="2pt"/>
        </w:pict>
      </w:r>
      <w:r w:rsidR="00A82A8C">
        <w:rPr>
          <w:noProof/>
        </w:rPr>
        <w:drawing>
          <wp:inline distT="0" distB="0" distL="0" distR="0">
            <wp:extent cx="3051810" cy="1510030"/>
            <wp:effectExtent l="19050" t="19050" r="15240" b="13970"/>
            <wp:docPr id="29" name="Picture 16" descr="The dropdown for the format selection icon is shown. The options include 'View in HTML Format', 'View in PDF Format', and 'View in Excel Options' format. A further dropdown from 'View in Excel Options' offers 'View in Excel 2007 Format', 'View in Excel 2002 Form', and 'View in CS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051810" cy="1510030"/>
                    </a:xfrm>
                    <a:prstGeom prst="rect">
                      <a:avLst/>
                    </a:prstGeom>
                    <a:noFill/>
                    <a:ln w="9525">
                      <a:solidFill>
                        <a:schemeClr val="accent1"/>
                      </a:solidFill>
                      <a:miter lim="800000"/>
                      <a:headEnd/>
                      <a:tailEnd/>
                    </a:ln>
                  </pic:spPr>
                </pic:pic>
              </a:graphicData>
            </a:graphic>
          </wp:inline>
        </w:drawing>
      </w:r>
    </w:p>
    <w:p w:rsidR="0095655F" w:rsidRDefault="0095655F" w:rsidP="00A82A8C"/>
    <w:p w:rsidR="00A977DD" w:rsidRDefault="00A977DD" w:rsidP="00A977DD">
      <w:pPr>
        <w:jc w:val="center"/>
      </w:pPr>
      <w:r w:rsidRPr="00F61037">
        <w:t>For more information on these and other resources in Edwin,</w:t>
      </w:r>
    </w:p>
    <w:p w:rsidR="00374BEB" w:rsidRDefault="00A977DD" w:rsidP="00374BEB">
      <w:pPr>
        <w:rPr>
          <w:color w:val="1F497D"/>
        </w:rPr>
      </w:pPr>
      <w:proofErr w:type="gramStart"/>
      <w:r w:rsidRPr="00F61037">
        <w:t>visit</w:t>
      </w:r>
      <w:proofErr w:type="gramEnd"/>
      <w:r w:rsidRPr="00F61037">
        <w:t xml:space="preserve"> </w:t>
      </w:r>
      <w:hyperlink r:id="rId27" w:history="1">
        <w:r w:rsidRPr="00F61037">
          <w:rPr>
            <w:rStyle w:val="Hyperlink"/>
          </w:rPr>
          <w:t>www.doe.mass.edu/edwin</w:t>
        </w:r>
      </w:hyperlink>
      <w:r w:rsidR="00374BEB">
        <w:t>,</w:t>
      </w:r>
      <w:r>
        <w:t xml:space="preserve"> email </w:t>
      </w:r>
      <w:hyperlink r:id="rId28" w:history="1">
        <w:r w:rsidRPr="00010028">
          <w:rPr>
            <w:rStyle w:val="Hyperlink"/>
          </w:rPr>
          <w:t>edwin@doe.mass.edu</w:t>
        </w:r>
      </w:hyperlink>
      <w:r w:rsidR="00374BEB">
        <w:t xml:space="preserve">, or </w:t>
      </w:r>
      <w:r w:rsidR="00374BEB">
        <w:rPr>
          <w:rFonts w:ascii="Tahoma" w:hAnsi="Tahoma" w:cs="Tahoma"/>
          <w:color w:val="000000"/>
          <w:sz w:val="20"/>
          <w:szCs w:val="20"/>
        </w:rPr>
        <w:t xml:space="preserve">follow us on Twitter </w:t>
      </w:r>
      <w:r w:rsidR="00374BEB" w:rsidRPr="00374BEB">
        <w:rPr>
          <w:rStyle w:val="Hyperlink"/>
        </w:rPr>
        <w:t>@</w:t>
      </w:r>
      <w:proofErr w:type="spellStart"/>
      <w:r w:rsidR="00374BEB" w:rsidRPr="00374BEB">
        <w:rPr>
          <w:rStyle w:val="Hyperlink"/>
        </w:rPr>
        <w:t>Edwin_DESE</w:t>
      </w:r>
      <w:proofErr w:type="spellEnd"/>
      <w:r w:rsidR="00374BEB">
        <w:rPr>
          <w:rStyle w:val="Hyperlink"/>
        </w:rPr>
        <w:t>.</w:t>
      </w:r>
      <w:r w:rsidR="00374BEB" w:rsidRPr="00374BEB">
        <w:rPr>
          <w:rFonts w:ascii="Tahoma" w:hAnsi="Tahoma" w:cs="Tahoma"/>
          <w:color w:val="1F497D" w:themeColor="text2"/>
          <w:sz w:val="20"/>
          <w:szCs w:val="20"/>
        </w:rPr>
        <w:t xml:space="preserve"> </w:t>
      </w:r>
    </w:p>
    <w:sectPr w:rsidR="00374BEB" w:rsidSect="006E0043">
      <w:headerReference w:type="default" r:id="rId29"/>
      <w:footerReference w:type="default" r:id="rId30"/>
      <w:pgSz w:w="12240" w:h="15840"/>
      <w:pgMar w:top="1440" w:right="1440" w:bottom="810" w:left="1440" w:header="288" w:footer="2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70" w:rsidRDefault="00033870" w:rsidP="004B46A0">
      <w:r>
        <w:separator/>
      </w:r>
    </w:p>
  </w:endnote>
  <w:endnote w:type="continuationSeparator" w:id="0">
    <w:p w:rsidR="00033870" w:rsidRDefault="00033870" w:rsidP="004B46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8"/>
        <w:szCs w:val="18"/>
      </w:rPr>
      <w:id w:val="6695629"/>
      <w:docPartObj>
        <w:docPartGallery w:val="Page Numbers (Bottom of Page)"/>
        <w:docPartUnique/>
      </w:docPartObj>
    </w:sdtPr>
    <w:sdtContent>
      <w:sdt>
        <w:sdtPr>
          <w:rPr>
            <w:color w:val="A6A6A6" w:themeColor="background1" w:themeShade="A6"/>
            <w:sz w:val="18"/>
            <w:szCs w:val="18"/>
          </w:rPr>
          <w:id w:val="6695630"/>
          <w:docPartObj>
            <w:docPartGallery w:val="Page Numbers (Top of Page)"/>
            <w:docPartUnique/>
          </w:docPartObj>
        </w:sdtPr>
        <w:sdtContent>
          <w:p w:rsidR="00967DFB" w:rsidRPr="005F7FC7" w:rsidRDefault="00967DFB" w:rsidP="005F7FC7">
            <w:pPr>
              <w:pStyle w:val="Footer"/>
              <w:pBdr>
                <w:top w:val="single" w:sz="4" w:space="1" w:color="auto"/>
              </w:pBdr>
              <w:rPr>
                <w:color w:val="A6A6A6" w:themeColor="background1" w:themeShade="A6"/>
                <w:sz w:val="18"/>
                <w:szCs w:val="18"/>
              </w:rPr>
            </w:pPr>
            <w:r w:rsidRPr="005F7FC7">
              <w:rPr>
                <w:color w:val="A6A6A6" w:themeColor="background1" w:themeShade="A6"/>
                <w:sz w:val="18"/>
                <w:szCs w:val="18"/>
              </w:rPr>
              <w:t xml:space="preserve">Updated </w:t>
            </w:r>
            <w:r>
              <w:rPr>
                <w:color w:val="A6A6A6" w:themeColor="background1" w:themeShade="A6"/>
                <w:sz w:val="18"/>
                <w:szCs w:val="18"/>
              </w:rPr>
              <w:t>10/17/2014</w:t>
            </w:r>
            <w:r w:rsidRPr="005F7FC7">
              <w:rPr>
                <w:color w:val="A6A6A6" w:themeColor="background1" w:themeShade="A6"/>
                <w:sz w:val="18"/>
                <w:szCs w:val="18"/>
              </w:rPr>
              <w:tab/>
            </w:r>
            <w:r w:rsidRPr="005F7FC7">
              <w:rPr>
                <w:color w:val="A6A6A6" w:themeColor="background1" w:themeShade="A6"/>
                <w:sz w:val="18"/>
                <w:szCs w:val="18"/>
              </w:rPr>
              <w:tab/>
              <w:t xml:space="preserve">Page </w:t>
            </w:r>
            <w:r w:rsidR="00EE5BF7" w:rsidRPr="005F7FC7">
              <w:rPr>
                <w:b/>
                <w:color w:val="A6A6A6" w:themeColor="background1" w:themeShade="A6"/>
                <w:sz w:val="18"/>
                <w:szCs w:val="18"/>
              </w:rPr>
              <w:fldChar w:fldCharType="begin"/>
            </w:r>
            <w:r w:rsidRPr="005F7FC7">
              <w:rPr>
                <w:b/>
                <w:color w:val="A6A6A6" w:themeColor="background1" w:themeShade="A6"/>
                <w:sz w:val="18"/>
                <w:szCs w:val="18"/>
              </w:rPr>
              <w:instrText xml:space="preserve"> PAGE </w:instrText>
            </w:r>
            <w:r w:rsidR="00EE5BF7" w:rsidRPr="005F7FC7">
              <w:rPr>
                <w:b/>
                <w:color w:val="A6A6A6" w:themeColor="background1" w:themeShade="A6"/>
                <w:sz w:val="18"/>
                <w:szCs w:val="18"/>
              </w:rPr>
              <w:fldChar w:fldCharType="separate"/>
            </w:r>
            <w:r w:rsidR="004F284F">
              <w:rPr>
                <w:b/>
                <w:noProof/>
                <w:color w:val="A6A6A6" w:themeColor="background1" w:themeShade="A6"/>
                <w:sz w:val="18"/>
                <w:szCs w:val="18"/>
              </w:rPr>
              <w:t>2</w:t>
            </w:r>
            <w:r w:rsidR="00EE5BF7" w:rsidRPr="005F7FC7">
              <w:rPr>
                <w:b/>
                <w:color w:val="A6A6A6" w:themeColor="background1" w:themeShade="A6"/>
                <w:sz w:val="18"/>
                <w:szCs w:val="18"/>
              </w:rPr>
              <w:fldChar w:fldCharType="end"/>
            </w:r>
            <w:r w:rsidRPr="005F7FC7">
              <w:rPr>
                <w:color w:val="A6A6A6" w:themeColor="background1" w:themeShade="A6"/>
                <w:sz w:val="18"/>
                <w:szCs w:val="18"/>
              </w:rPr>
              <w:t xml:space="preserve"> of </w:t>
            </w:r>
            <w:r w:rsidR="00EE5BF7" w:rsidRPr="005F7FC7">
              <w:rPr>
                <w:b/>
                <w:color w:val="A6A6A6" w:themeColor="background1" w:themeShade="A6"/>
                <w:sz w:val="18"/>
                <w:szCs w:val="18"/>
              </w:rPr>
              <w:fldChar w:fldCharType="begin"/>
            </w:r>
            <w:r w:rsidRPr="005F7FC7">
              <w:rPr>
                <w:b/>
                <w:color w:val="A6A6A6" w:themeColor="background1" w:themeShade="A6"/>
                <w:sz w:val="18"/>
                <w:szCs w:val="18"/>
              </w:rPr>
              <w:instrText xml:space="preserve"> NUMPAGES  </w:instrText>
            </w:r>
            <w:r w:rsidR="00EE5BF7" w:rsidRPr="005F7FC7">
              <w:rPr>
                <w:b/>
                <w:color w:val="A6A6A6" w:themeColor="background1" w:themeShade="A6"/>
                <w:sz w:val="18"/>
                <w:szCs w:val="18"/>
              </w:rPr>
              <w:fldChar w:fldCharType="separate"/>
            </w:r>
            <w:r w:rsidR="004F284F">
              <w:rPr>
                <w:b/>
                <w:noProof/>
                <w:color w:val="A6A6A6" w:themeColor="background1" w:themeShade="A6"/>
                <w:sz w:val="18"/>
                <w:szCs w:val="18"/>
              </w:rPr>
              <w:t>21</w:t>
            </w:r>
            <w:r w:rsidR="00EE5BF7" w:rsidRPr="005F7FC7">
              <w:rPr>
                <w:b/>
                <w:color w:val="A6A6A6" w:themeColor="background1" w:themeShade="A6"/>
                <w:sz w:val="18"/>
                <w:szCs w:val="18"/>
              </w:rPr>
              <w:fldChar w:fldCharType="end"/>
            </w:r>
          </w:p>
        </w:sdtContent>
      </w:sdt>
    </w:sdtContent>
  </w:sdt>
  <w:p w:rsidR="00967DFB" w:rsidRDefault="00967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70" w:rsidRDefault="00033870" w:rsidP="004B46A0">
      <w:r>
        <w:separator/>
      </w:r>
    </w:p>
  </w:footnote>
  <w:footnote w:type="continuationSeparator" w:id="0">
    <w:p w:rsidR="00033870" w:rsidRDefault="00033870" w:rsidP="004B46A0">
      <w:r>
        <w:continuationSeparator/>
      </w:r>
    </w:p>
  </w:footnote>
  <w:footnote w:id="1">
    <w:p w:rsidR="00967DFB" w:rsidRPr="00646225" w:rsidRDefault="00967DFB">
      <w:pPr>
        <w:pStyle w:val="FootnoteText"/>
      </w:pPr>
      <w:r>
        <w:rPr>
          <w:rStyle w:val="FootnoteReference"/>
        </w:rPr>
        <w:footnoteRef/>
      </w:r>
      <w:r>
        <w:t xml:space="preserve"> Per student expenditures used in this report</w:t>
      </w:r>
      <w:r>
        <w:rPr>
          <w:i/>
        </w:rPr>
        <w:t xml:space="preserve"> is not</w:t>
      </w:r>
      <w:r>
        <w:t xml:space="preserve"> the same as per pupil expenditures published on the ESE website.  </w:t>
      </w:r>
      <w:proofErr w:type="gramStart"/>
      <w:r>
        <w:t>Per student expenditures uses October 1 SIMS headcount.</w:t>
      </w:r>
      <w:proofErr w:type="gramEnd"/>
      <w:r>
        <w:t xml:space="preserve">  Per pupil expenditures uses student FTEs based on year-end SIMS.</w:t>
      </w:r>
    </w:p>
  </w:footnote>
  <w:footnote w:id="2">
    <w:p w:rsidR="00967DFB" w:rsidRDefault="00967DFB">
      <w:pPr>
        <w:pStyle w:val="FootnoteText"/>
      </w:pPr>
      <w:r>
        <w:rPr>
          <w:rStyle w:val="FootnoteReference"/>
        </w:rPr>
        <w:footnoteRef/>
      </w:r>
      <w:r>
        <w:t xml:space="preserve"> Per square footage calculations are only made where applicable.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B" w:rsidRPr="00A60A3D" w:rsidRDefault="00967DFB" w:rsidP="00374BEB">
    <w:pPr>
      <w:pStyle w:val="Header"/>
      <w:pBdr>
        <w:bottom w:val="single" w:sz="4" w:space="1" w:color="A6A6A6" w:themeColor="background1" w:themeShade="A6"/>
      </w:pBdr>
      <w:tabs>
        <w:tab w:val="clear" w:pos="4680"/>
        <w:tab w:val="clear" w:pos="9360"/>
        <w:tab w:val="left" w:pos="7761"/>
        <w:tab w:val="left" w:pos="8359"/>
      </w:tabs>
      <w:rPr>
        <w:sz w:val="20"/>
        <w:szCs w:val="20"/>
      </w:rPr>
    </w:pPr>
    <w:r w:rsidRPr="00374BEB">
      <w:rPr>
        <w:noProof/>
      </w:rPr>
      <w:drawing>
        <wp:inline distT="0" distB="0" distL="0" distR="0">
          <wp:extent cx="1952625" cy="883920"/>
          <wp:effectExtent l="19050" t="0" r="9525" b="0"/>
          <wp:docPr id="4" name="Picture 5" descr="ESE logo"/>
          <wp:cNvGraphicFramePr/>
          <a:graphic xmlns:a="http://schemas.openxmlformats.org/drawingml/2006/main">
            <a:graphicData uri="http://schemas.openxmlformats.org/drawingml/2006/picture">
              <pic:pic xmlns:pic="http://schemas.openxmlformats.org/drawingml/2006/picture">
                <pic:nvPicPr>
                  <pic:cNvPr id="5" name="Picture 4" descr="ESE logo"/>
                  <pic:cNvPicPr>
                    <a:picLocks noChangeAspect="1"/>
                  </pic:cNvPicPr>
                </pic:nvPicPr>
                <pic:blipFill>
                  <a:blip r:embed="rId1" cstate="print"/>
                  <a:srcRect t="7200"/>
                  <a:stretch>
                    <a:fillRect/>
                  </a:stretch>
                </pic:blipFill>
                <pic:spPr>
                  <a:xfrm>
                    <a:off x="0" y="0"/>
                    <a:ext cx="1952625" cy="883920"/>
                  </a:xfrm>
                  <a:prstGeom prst="rect">
                    <a:avLst/>
                  </a:prstGeom>
                </pic:spPr>
              </pic:pic>
            </a:graphicData>
          </a:graphic>
        </wp:inline>
      </w:drawing>
    </w:r>
    <w:r>
      <w:rPr>
        <w:noProof/>
      </w:rPr>
      <w:drawing>
        <wp:anchor distT="0" distB="0" distL="114300" distR="114300" simplePos="0" relativeHeight="251665408" behindDoc="1" locked="0" layoutInCell="1" allowOverlap="1">
          <wp:simplePos x="0" y="0"/>
          <wp:positionH relativeFrom="column">
            <wp:posOffset>4591050</wp:posOffset>
          </wp:positionH>
          <wp:positionV relativeFrom="paragraph">
            <wp:posOffset>162560</wp:posOffset>
          </wp:positionV>
          <wp:extent cx="1174115" cy="629920"/>
          <wp:effectExtent l="19050" t="0" r="6985" b="0"/>
          <wp:wrapTight wrapText="bothSides">
            <wp:wrapPolygon edited="0">
              <wp:start x="-350" y="0"/>
              <wp:lineTo x="-350" y="20903"/>
              <wp:lineTo x="21729" y="20903"/>
              <wp:lineTo x="21729" y="0"/>
              <wp:lineTo x="-350" y="0"/>
            </wp:wrapPolygon>
          </wp:wrapTight>
          <wp:docPr id="14" name="Picture 2" descr="Logo for Edwin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e.mass.edu/nmg/logo/edwin/analytics_1inch_files/analytics_logo_2color_1inch_F.jpg"/>
                  <pic:cNvPicPr>
                    <a:picLocks noChangeAspect="1" noChangeArrowheads="1"/>
                  </pic:cNvPicPr>
                </pic:nvPicPr>
                <pic:blipFill>
                  <a:blip r:embed="rId2"/>
                  <a:srcRect/>
                  <a:stretch>
                    <a:fillRect/>
                  </a:stretch>
                </pic:blipFill>
                <pic:spPr bwMode="auto">
                  <a:xfrm>
                    <a:off x="0" y="0"/>
                    <a:ext cx="1174115" cy="629920"/>
                  </a:xfrm>
                  <a:prstGeom prst="rect">
                    <a:avLst/>
                  </a:prstGeom>
                  <a:noFill/>
                  <a:ln w="9525">
                    <a:noFill/>
                    <a:miter lim="800000"/>
                    <a:headEnd/>
                    <a:tailEnd/>
                  </a:ln>
                </pic:spPr>
              </pic:pic>
            </a:graphicData>
          </a:graphic>
        </wp:anchor>
      </w:drawing>
    </w:r>
    <w:r>
      <w:rPr>
        <w:sz w:val="20"/>
        <w:szCs w:val="20"/>
      </w:rPr>
      <w:t xml:space="preserve"> </w:t>
    </w: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B09138"/>
    <w:lvl w:ilvl="0">
      <w:numFmt w:val="bullet"/>
      <w:lvlText w:val="*"/>
      <w:lvlJc w:val="left"/>
    </w:lvl>
  </w:abstractNum>
  <w:abstractNum w:abstractNumId="1">
    <w:nsid w:val="01222BDE"/>
    <w:multiLevelType w:val="hybridMultilevel"/>
    <w:tmpl w:val="4738C3BC"/>
    <w:lvl w:ilvl="0" w:tplc="84BA3EDC">
      <w:start w:val="1"/>
      <w:numFmt w:val="bullet"/>
      <w:lvlText w:val="•"/>
      <w:lvlJc w:val="left"/>
      <w:pPr>
        <w:tabs>
          <w:tab w:val="num" w:pos="720"/>
        </w:tabs>
        <w:ind w:left="720" w:hanging="360"/>
      </w:pPr>
      <w:rPr>
        <w:rFonts w:ascii="Arial" w:hAnsi="Arial" w:hint="default"/>
      </w:rPr>
    </w:lvl>
    <w:lvl w:ilvl="1" w:tplc="DEBC8AE0" w:tentative="1">
      <w:start w:val="1"/>
      <w:numFmt w:val="bullet"/>
      <w:lvlText w:val="•"/>
      <w:lvlJc w:val="left"/>
      <w:pPr>
        <w:tabs>
          <w:tab w:val="num" w:pos="1440"/>
        </w:tabs>
        <w:ind w:left="1440" w:hanging="360"/>
      </w:pPr>
      <w:rPr>
        <w:rFonts w:ascii="Arial" w:hAnsi="Arial" w:hint="default"/>
      </w:rPr>
    </w:lvl>
    <w:lvl w:ilvl="2" w:tplc="55BEC62C" w:tentative="1">
      <w:start w:val="1"/>
      <w:numFmt w:val="bullet"/>
      <w:lvlText w:val="•"/>
      <w:lvlJc w:val="left"/>
      <w:pPr>
        <w:tabs>
          <w:tab w:val="num" w:pos="2160"/>
        </w:tabs>
        <w:ind w:left="2160" w:hanging="360"/>
      </w:pPr>
      <w:rPr>
        <w:rFonts w:ascii="Arial" w:hAnsi="Arial" w:hint="default"/>
      </w:rPr>
    </w:lvl>
    <w:lvl w:ilvl="3" w:tplc="0CF0AE60" w:tentative="1">
      <w:start w:val="1"/>
      <w:numFmt w:val="bullet"/>
      <w:lvlText w:val="•"/>
      <w:lvlJc w:val="left"/>
      <w:pPr>
        <w:tabs>
          <w:tab w:val="num" w:pos="2880"/>
        </w:tabs>
        <w:ind w:left="2880" w:hanging="360"/>
      </w:pPr>
      <w:rPr>
        <w:rFonts w:ascii="Arial" w:hAnsi="Arial" w:hint="default"/>
      </w:rPr>
    </w:lvl>
    <w:lvl w:ilvl="4" w:tplc="04E8B92A" w:tentative="1">
      <w:start w:val="1"/>
      <w:numFmt w:val="bullet"/>
      <w:lvlText w:val="•"/>
      <w:lvlJc w:val="left"/>
      <w:pPr>
        <w:tabs>
          <w:tab w:val="num" w:pos="3600"/>
        </w:tabs>
        <w:ind w:left="3600" w:hanging="360"/>
      </w:pPr>
      <w:rPr>
        <w:rFonts w:ascii="Arial" w:hAnsi="Arial" w:hint="default"/>
      </w:rPr>
    </w:lvl>
    <w:lvl w:ilvl="5" w:tplc="209A19AA" w:tentative="1">
      <w:start w:val="1"/>
      <w:numFmt w:val="bullet"/>
      <w:lvlText w:val="•"/>
      <w:lvlJc w:val="left"/>
      <w:pPr>
        <w:tabs>
          <w:tab w:val="num" w:pos="4320"/>
        </w:tabs>
        <w:ind w:left="4320" w:hanging="360"/>
      </w:pPr>
      <w:rPr>
        <w:rFonts w:ascii="Arial" w:hAnsi="Arial" w:hint="default"/>
      </w:rPr>
    </w:lvl>
    <w:lvl w:ilvl="6" w:tplc="F0ACADE8" w:tentative="1">
      <w:start w:val="1"/>
      <w:numFmt w:val="bullet"/>
      <w:lvlText w:val="•"/>
      <w:lvlJc w:val="left"/>
      <w:pPr>
        <w:tabs>
          <w:tab w:val="num" w:pos="5040"/>
        </w:tabs>
        <w:ind w:left="5040" w:hanging="360"/>
      </w:pPr>
      <w:rPr>
        <w:rFonts w:ascii="Arial" w:hAnsi="Arial" w:hint="default"/>
      </w:rPr>
    </w:lvl>
    <w:lvl w:ilvl="7" w:tplc="1C08AE32" w:tentative="1">
      <w:start w:val="1"/>
      <w:numFmt w:val="bullet"/>
      <w:lvlText w:val="•"/>
      <w:lvlJc w:val="left"/>
      <w:pPr>
        <w:tabs>
          <w:tab w:val="num" w:pos="5760"/>
        </w:tabs>
        <w:ind w:left="5760" w:hanging="360"/>
      </w:pPr>
      <w:rPr>
        <w:rFonts w:ascii="Arial" w:hAnsi="Arial" w:hint="default"/>
      </w:rPr>
    </w:lvl>
    <w:lvl w:ilvl="8" w:tplc="4B5EC088" w:tentative="1">
      <w:start w:val="1"/>
      <w:numFmt w:val="bullet"/>
      <w:lvlText w:val="•"/>
      <w:lvlJc w:val="left"/>
      <w:pPr>
        <w:tabs>
          <w:tab w:val="num" w:pos="6480"/>
        </w:tabs>
        <w:ind w:left="6480" w:hanging="360"/>
      </w:pPr>
      <w:rPr>
        <w:rFonts w:ascii="Arial" w:hAnsi="Arial" w:hint="default"/>
      </w:rPr>
    </w:lvl>
  </w:abstractNum>
  <w:abstractNum w:abstractNumId="2">
    <w:nsid w:val="05427513"/>
    <w:multiLevelType w:val="hybridMultilevel"/>
    <w:tmpl w:val="927AC4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785A1F"/>
    <w:multiLevelType w:val="hybridMultilevel"/>
    <w:tmpl w:val="1B6E950C"/>
    <w:lvl w:ilvl="0" w:tplc="6AE4158E">
      <w:start w:val="1"/>
      <w:numFmt w:val="bullet"/>
      <w:lvlText w:val="•"/>
      <w:lvlJc w:val="left"/>
      <w:pPr>
        <w:tabs>
          <w:tab w:val="num" w:pos="720"/>
        </w:tabs>
        <w:ind w:left="720" w:hanging="360"/>
      </w:pPr>
      <w:rPr>
        <w:rFonts w:ascii="Arial" w:hAnsi="Arial" w:hint="default"/>
      </w:rPr>
    </w:lvl>
    <w:lvl w:ilvl="1" w:tplc="7110E70E" w:tentative="1">
      <w:start w:val="1"/>
      <w:numFmt w:val="bullet"/>
      <w:lvlText w:val="•"/>
      <w:lvlJc w:val="left"/>
      <w:pPr>
        <w:tabs>
          <w:tab w:val="num" w:pos="1440"/>
        </w:tabs>
        <w:ind w:left="1440" w:hanging="360"/>
      </w:pPr>
      <w:rPr>
        <w:rFonts w:ascii="Arial" w:hAnsi="Arial" w:hint="default"/>
      </w:rPr>
    </w:lvl>
    <w:lvl w:ilvl="2" w:tplc="A9103E6E" w:tentative="1">
      <w:start w:val="1"/>
      <w:numFmt w:val="bullet"/>
      <w:lvlText w:val="•"/>
      <w:lvlJc w:val="left"/>
      <w:pPr>
        <w:tabs>
          <w:tab w:val="num" w:pos="2160"/>
        </w:tabs>
        <w:ind w:left="2160" w:hanging="360"/>
      </w:pPr>
      <w:rPr>
        <w:rFonts w:ascii="Arial" w:hAnsi="Arial" w:hint="default"/>
      </w:rPr>
    </w:lvl>
    <w:lvl w:ilvl="3" w:tplc="73C831C6" w:tentative="1">
      <w:start w:val="1"/>
      <w:numFmt w:val="bullet"/>
      <w:lvlText w:val="•"/>
      <w:lvlJc w:val="left"/>
      <w:pPr>
        <w:tabs>
          <w:tab w:val="num" w:pos="2880"/>
        </w:tabs>
        <w:ind w:left="2880" w:hanging="360"/>
      </w:pPr>
      <w:rPr>
        <w:rFonts w:ascii="Arial" w:hAnsi="Arial" w:hint="default"/>
      </w:rPr>
    </w:lvl>
    <w:lvl w:ilvl="4" w:tplc="CC2432D6" w:tentative="1">
      <w:start w:val="1"/>
      <w:numFmt w:val="bullet"/>
      <w:lvlText w:val="•"/>
      <w:lvlJc w:val="left"/>
      <w:pPr>
        <w:tabs>
          <w:tab w:val="num" w:pos="3600"/>
        </w:tabs>
        <w:ind w:left="3600" w:hanging="360"/>
      </w:pPr>
      <w:rPr>
        <w:rFonts w:ascii="Arial" w:hAnsi="Arial" w:hint="default"/>
      </w:rPr>
    </w:lvl>
    <w:lvl w:ilvl="5" w:tplc="C9E01F3A" w:tentative="1">
      <w:start w:val="1"/>
      <w:numFmt w:val="bullet"/>
      <w:lvlText w:val="•"/>
      <w:lvlJc w:val="left"/>
      <w:pPr>
        <w:tabs>
          <w:tab w:val="num" w:pos="4320"/>
        </w:tabs>
        <w:ind w:left="4320" w:hanging="360"/>
      </w:pPr>
      <w:rPr>
        <w:rFonts w:ascii="Arial" w:hAnsi="Arial" w:hint="default"/>
      </w:rPr>
    </w:lvl>
    <w:lvl w:ilvl="6" w:tplc="45E0FE9E" w:tentative="1">
      <w:start w:val="1"/>
      <w:numFmt w:val="bullet"/>
      <w:lvlText w:val="•"/>
      <w:lvlJc w:val="left"/>
      <w:pPr>
        <w:tabs>
          <w:tab w:val="num" w:pos="5040"/>
        </w:tabs>
        <w:ind w:left="5040" w:hanging="360"/>
      </w:pPr>
      <w:rPr>
        <w:rFonts w:ascii="Arial" w:hAnsi="Arial" w:hint="default"/>
      </w:rPr>
    </w:lvl>
    <w:lvl w:ilvl="7" w:tplc="896C823C" w:tentative="1">
      <w:start w:val="1"/>
      <w:numFmt w:val="bullet"/>
      <w:lvlText w:val="•"/>
      <w:lvlJc w:val="left"/>
      <w:pPr>
        <w:tabs>
          <w:tab w:val="num" w:pos="5760"/>
        </w:tabs>
        <w:ind w:left="5760" w:hanging="360"/>
      </w:pPr>
      <w:rPr>
        <w:rFonts w:ascii="Arial" w:hAnsi="Arial" w:hint="default"/>
      </w:rPr>
    </w:lvl>
    <w:lvl w:ilvl="8" w:tplc="E03E4984" w:tentative="1">
      <w:start w:val="1"/>
      <w:numFmt w:val="bullet"/>
      <w:lvlText w:val="•"/>
      <w:lvlJc w:val="left"/>
      <w:pPr>
        <w:tabs>
          <w:tab w:val="num" w:pos="6480"/>
        </w:tabs>
        <w:ind w:left="6480" w:hanging="360"/>
      </w:pPr>
      <w:rPr>
        <w:rFonts w:ascii="Arial" w:hAnsi="Arial" w:hint="default"/>
      </w:rPr>
    </w:lvl>
  </w:abstractNum>
  <w:abstractNum w:abstractNumId="4">
    <w:nsid w:val="0F9A3F48"/>
    <w:multiLevelType w:val="hybridMultilevel"/>
    <w:tmpl w:val="D0FC0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32963"/>
    <w:multiLevelType w:val="hybridMultilevel"/>
    <w:tmpl w:val="41887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30627"/>
    <w:multiLevelType w:val="hybridMultilevel"/>
    <w:tmpl w:val="483E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D41F9"/>
    <w:multiLevelType w:val="hybridMultilevel"/>
    <w:tmpl w:val="6C48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254C1"/>
    <w:multiLevelType w:val="hybridMultilevel"/>
    <w:tmpl w:val="4DD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A02DF"/>
    <w:multiLevelType w:val="hybridMultilevel"/>
    <w:tmpl w:val="C52819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0654B"/>
    <w:multiLevelType w:val="hybridMultilevel"/>
    <w:tmpl w:val="854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169A7"/>
    <w:multiLevelType w:val="hybridMultilevel"/>
    <w:tmpl w:val="E47636C6"/>
    <w:lvl w:ilvl="0" w:tplc="D0445ECC">
      <w:start w:val="1"/>
      <w:numFmt w:val="bullet"/>
      <w:lvlText w:val="•"/>
      <w:lvlJc w:val="left"/>
      <w:pPr>
        <w:tabs>
          <w:tab w:val="num" w:pos="720"/>
        </w:tabs>
        <w:ind w:left="720" w:hanging="360"/>
      </w:pPr>
      <w:rPr>
        <w:rFonts w:ascii="Arial" w:hAnsi="Arial" w:hint="default"/>
      </w:rPr>
    </w:lvl>
    <w:lvl w:ilvl="1" w:tplc="3EE2BCAC" w:tentative="1">
      <w:start w:val="1"/>
      <w:numFmt w:val="bullet"/>
      <w:lvlText w:val="•"/>
      <w:lvlJc w:val="left"/>
      <w:pPr>
        <w:tabs>
          <w:tab w:val="num" w:pos="1440"/>
        </w:tabs>
        <w:ind w:left="1440" w:hanging="360"/>
      </w:pPr>
      <w:rPr>
        <w:rFonts w:ascii="Arial" w:hAnsi="Arial" w:hint="default"/>
      </w:rPr>
    </w:lvl>
    <w:lvl w:ilvl="2" w:tplc="CBBEF03A" w:tentative="1">
      <w:start w:val="1"/>
      <w:numFmt w:val="bullet"/>
      <w:lvlText w:val="•"/>
      <w:lvlJc w:val="left"/>
      <w:pPr>
        <w:tabs>
          <w:tab w:val="num" w:pos="2160"/>
        </w:tabs>
        <w:ind w:left="2160" w:hanging="360"/>
      </w:pPr>
      <w:rPr>
        <w:rFonts w:ascii="Arial" w:hAnsi="Arial" w:hint="default"/>
      </w:rPr>
    </w:lvl>
    <w:lvl w:ilvl="3" w:tplc="AAFAC820" w:tentative="1">
      <w:start w:val="1"/>
      <w:numFmt w:val="bullet"/>
      <w:lvlText w:val="•"/>
      <w:lvlJc w:val="left"/>
      <w:pPr>
        <w:tabs>
          <w:tab w:val="num" w:pos="2880"/>
        </w:tabs>
        <w:ind w:left="2880" w:hanging="360"/>
      </w:pPr>
      <w:rPr>
        <w:rFonts w:ascii="Arial" w:hAnsi="Arial" w:hint="default"/>
      </w:rPr>
    </w:lvl>
    <w:lvl w:ilvl="4" w:tplc="1CE0487A" w:tentative="1">
      <w:start w:val="1"/>
      <w:numFmt w:val="bullet"/>
      <w:lvlText w:val="•"/>
      <w:lvlJc w:val="left"/>
      <w:pPr>
        <w:tabs>
          <w:tab w:val="num" w:pos="3600"/>
        </w:tabs>
        <w:ind w:left="3600" w:hanging="360"/>
      </w:pPr>
      <w:rPr>
        <w:rFonts w:ascii="Arial" w:hAnsi="Arial" w:hint="default"/>
      </w:rPr>
    </w:lvl>
    <w:lvl w:ilvl="5" w:tplc="C3A070D8" w:tentative="1">
      <w:start w:val="1"/>
      <w:numFmt w:val="bullet"/>
      <w:lvlText w:val="•"/>
      <w:lvlJc w:val="left"/>
      <w:pPr>
        <w:tabs>
          <w:tab w:val="num" w:pos="4320"/>
        </w:tabs>
        <w:ind w:left="4320" w:hanging="360"/>
      </w:pPr>
      <w:rPr>
        <w:rFonts w:ascii="Arial" w:hAnsi="Arial" w:hint="default"/>
      </w:rPr>
    </w:lvl>
    <w:lvl w:ilvl="6" w:tplc="AB78C8EE" w:tentative="1">
      <w:start w:val="1"/>
      <w:numFmt w:val="bullet"/>
      <w:lvlText w:val="•"/>
      <w:lvlJc w:val="left"/>
      <w:pPr>
        <w:tabs>
          <w:tab w:val="num" w:pos="5040"/>
        </w:tabs>
        <w:ind w:left="5040" w:hanging="360"/>
      </w:pPr>
      <w:rPr>
        <w:rFonts w:ascii="Arial" w:hAnsi="Arial" w:hint="default"/>
      </w:rPr>
    </w:lvl>
    <w:lvl w:ilvl="7" w:tplc="F7B22776" w:tentative="1">
      <w:start w:val="1"/>
      <w:numFmt w:val="bullet"/>
      <w:lvlText w:val="•"/>
      <w:lvlJc w:val="left"/>
      <w:pPr>
        <w:tabs>
          <w:tab w:val="num" w:pos="5760"/>
        </w:tabs>
        <w:ind w:left="5760" w:hanging="360"/>
      </w:pPr>
      <w:rPr>
        <w:rFonts w:ascii="Arial" w:hAnsi="Arial" w:hint="default"/>
      </w:rPr>
    </w:lvl>
    <w:lvl w:ilvl="8" w:tplc="3E883C0E" w:tentative="1">
      <w:start w:val="1"/>
      <w:numFmt w:val="bullet"/>
      <w:lvlText w:val="•"/>
      <w:lvlJc w:val="left"/>
      <w:pPr>
        <w:tabs>
          <w:tab w:val="num" w:pos="6480"/>
        </w:tabs>
        <w:ind w:left="6480" w:hanging="360"/>
      </w:pPr>
      <w:rPr>
        <w:rFonts w:ascii="Arial" w:hAnsi="Arial" w:hint="default"/>
      </w:rPr>
    </w:lvl>
  </w:abstractNum>
  <w:abstractNum w:abstractNumId="12">
    <w:nsid w:val="339468AC"/>
    <w:multiLevelType w:val="hybridMultilevel"/>
    <w:tmpl w:val="C3E2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42C2D"/>
    <w:multiLevelType w:val="hybridMultilevel"/>
    <w:tmpl w:val="697402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173266"/>
    <w:multiLevelType w:val="hybridMultilevel"/>
    <w:tmpl w:val="3D38DA1E"/>
    <w:lvl w:ilvl="0" w:tplc="6EFA09C4">
      <w:start w:val="1"/>
      <w:numFmt w:val="bullet"/>
      <w:lvlText w:val="•"/>
      <w:lvlJc w:val="left"/>
      <w:pPr>
        <w:tabs>
          <w:tab w:val="num" w:pos="720"/>
        </w:tabs>
        <w:ind w:left="720" w:hanging="360"/>
      </w:pPr>
      <w:rPr>
        <w:rFonts w:ascii="Arial" w:hAnsi="Arial" w:hint="default"/>
      </w:rPr>
    </w:lvl>
    <w:lvl w:ilvl="1" w:tplc="E20EEA88" w:tentative="1">
      <w:start w:val="1"/>
      <w:numFmt w:val="bullet"/>
      <w:lvlText w:val="•"/>
      <w:lvlJc w:val="left"/>
      <w:pPr>
        <w:tabs>
          <w:tab w:val="num" w:pos="1440"/>
        </w:tabs>
        <w:ind w:left="1440" w:hanging="360"/>
      </w:pPr>
      <w:rPr>
        <w:rFonts w:ascii="Arial" w:hAnsi="Arial" w:hint="default"/>
      </w:rPr>
    </w:lvl>
    <w:lvl w:ilvl="2" w:tplc="0434A5AA" w:tentative="1">
      <w:start w:val="1"/>
      <w:numFmt w:val="bullet"/>
      <w:lvlText w:val="•"/>
      <w:lvlJc w:val="left"/>
      <w:pPr>
        <w:tabs>
          <w:tab w:val="num" w:pos="2160"/>
        </w:tabs>
        <w:ind w:left="2160" w:hanging="360"/>
      </w:pPr>
      <w:rPr>
        <w:rFonts w:ascii="Arial" w:hAnsi="Arial" w:hint="default"/>
      </w:rPr>
    </w:lvl>
    <w:lvl w:ilvl="3" w:tplc="F54055A4" w:tentative="1">
      <w:start w:val="1"/>
      <w:numFmt w:val="bullet"/>
      <w:lvlText w:val="•"/>
      <w:lvlJc w:val="left"/>
      <w:pPr>
        <w:tabs>
          <w:tab w:val="num" w:pos="2880"/>
        </w:tabs>
        <w:ind w:left="2880" w:hanging="360"/>
      </w:pPr>
      <w:rPr>
        <w:rFonts w:ascii="Arial" w:hAnsi="Arial" w:hint="default"/>
      </w:rPr>
    </w:lvl>
    <w:lvl w:ilvl="4" w:tplc="FDC03608" w:tentative="1">
      <w:start w:val="1"/>
      <w:numFmt w:val="bullet"/>
      <w:lvlText w:val="•"/>
      <w:lvlJc w:val="left"/>
      <w:pPr>
        <w:tabs>
          <w:tab w:val="num" w:pos="3600"/>
        </w:tabs>
        <w:ind w:left="3600" w:hanging="360"/>
      </w:pPr>
      <w:rPr>
        <w:rFonts w:ascii="Arial" w:hAnsi="Arial" w:hint="default"/>
      </w:rPr>
    </w:lvl>
    <w:lvl w:ilvl="5" w:tplc="42BA3BFC" w:tentative="1">
      <w:start w:val="1"/>
      <w:numFmt w:val="bullet"/>
      <w:lvlText w:val="•"/>
      <w:lvlJc w:val="left"/>
      <w:pPr>
        <w:tabs>
          <w:tab w:val="num" w:pos="4320"/>
        </w:tabs>
        <w:ind w:left="4320" w:hanging="360"/>
      </w:pPr>
      <w:rPr>
        <w:rFonts w:ascii="Arial" w:hAnsi="Arial" w:hint="default"/>
      </w:rPr>
    </w:lvl>
    <w:lvl w:ilvl="6" w:tplc="BDA04AD2" w:tentative="1">
      <w:start w:val="1"/>
      <w:numFmt w:val="bullet"/>
      <w:lvlText w:val="•"/>
      <w:lvlJc w:val="left"/>
      <w:pPr>
        <w:tabs>
          <w:tab w:val="num" w:pos="5040"/>
        </w:tabs>
        <w:ind w:left="5040" w:hanging="360"/>
      </w:pPr>
      <w:rPr>
        <w:rFonts w:ascii="Arial" w:hAnsi="Arial" w:hint="default"/>
      </w:rPr>
    </w:lvl>
    <w:lvl w:ilvl="7" w:tplc="E91A0ED2" w:tentative="1">
      <w:start w:val="1"/>
      <w:numFmt w:val="bullet"/>
      <w:lvlText w:val="•"/>
      <w:lvlJc w:val="left"/>
      <w:pPr>
        <w:tabs>
          <w:tab w:val="num" w:pos="5760"/>
        </w:tabs>
        <w:ind w:left="5760" w:hanging="360"/>
      </w:pPr>
      <w:rPr>
        <w:rFonts w:ascii="Arial" w:hAnsi="Arial" w:hint="default"/>
      </w:rPr>
    </w:lvl>
    <w:lvl w:ilvl="8" w:tplc="F82EBEEA" w:tentative="1">
      <w:start w:val="1"/>
      <w:numFmt w:val="bullet"/>
      <w:lvlText w:val="•"/>
      <w:lvlJc w:val="left"/>
      <w:pPr>
        <w:tabs>
          <w:tab w:val="num" w:pos="6480"/>
        </w:tabs>
        <w:ind w:left="6480" w:hanging="360"/>
      </w:pPr>
      <w:rPr>
        <w:rFonts w:ascii="Arial" w:hAnsi="Arial" w:hint="default"/>
      </w:rPr>
    </w:lvl>
  </w:abstractNum>
  <w:abstractNum w:abstractNumId="15">
    <w:nsid w:val="414C3A2C"/>
    <w:multiLevelType w:val="hybridMultilevel"/>
    <w:tmpl w:val="F1808440"/>
    <w:lvl w:ilvl="0" w:tplc="29D41820">
      <w:start w:val="1"/>
      <w:numFmt w:val="bullet"/>
      <w:lvlText w:val="•"/>
      <w:lvlJc w:val="left"/>
      <w:pPr>
        <w:tabs>
          <w:tab w:val="num" w:pos="720"/>
        </w:tabs>
        <w:ind w:left="720" w:hanging="360"/>
      </w:pPr>
      <w:rPr>
        <w:rFonts w:ascii="Times New Roman" w:hAnsi="Times New Roman" w:hint="default"/>
      </w:rPr>
    </w:lvl>
    <w:lvl w:ilvl="1" w:tplc="E918E7CC" w:tentative="1">
      <w:start w:val="1"/>
      <w:numFmt w:val="bullet"/>
      <w:lvlText w:val="•"/>
      <w:lvlJc w:val="left"/>
      <w:pPr>
        <w:tabs>
          <w:tab w:val="num" w:pos="1440"/>
        </w:tabs>
        <w:ind w:left="1440" w:hanging="360"/>
      </w:pPr>
      <w:rPr>
        <w:rFonts w:ascii="Times New Roman" w:hAnsi="Times New Roman" w:hint="default"/>
      </w:rPr>
    </w:lvl>
    <w:lvl w:ilvl="2" w:tplc="0352D320" w:tentative="1">
      <w:start w:val="1"/>
      <w:numFmt w:val="bullet"/>
      <w:lvlText w:val="•"/>
      <w:lvlJc w:val="left"/>
      <w:pPr>
        <w:tabs>
          <w:tab w:val="num" w:pos="2160"/>
        </w:tabs>
        <w:ind w:left="2160" w:hanging="360"/>
      </w:pPr>
      <w:rPr>
        <w:rFonts w:ascii="Times New Roman" w:hAnsi="Times New Roman" w:hint="default"/>
      </w:rPr>
    </w:lvl>
    <w:lvl w:ilvl="3" w:tplc="144ACBFE" w:tentative="1">
      <w:start w:val="1"/>
      <w:numFmt w:val="bullet"/>
      <w:lvlText w:val="•"/>
      <w:lvlJc w:val="left"/>
      <w:pPr>
        <w:tabs>
          <w:tab w:val="num" w:pos="2880"/>
        </w:tabs>
        <w:ind w:left="2880" w:hanging="360"/>
      </w:pPr>
      <w:rPr>
        <w:rFonts w:ascii="Times New Roman" w:hAnsi="Times New Roman" w:hint="default"/>
      </w:rPr>
    </w:lvl>
    <w:lvl w:ilvl="4" w:tplc="74BCE95C" w:tentative="1">
      <w:start w:val="1"/>
      <w:numFmt w:val="bullet"/>
      <w:lvlText w:val="•"/>
      <w:lvlJc w:val="left"/>
      <w:pPr>
        <w:tabs>
          <w:tab w:val="num" w:pos="3600"/>
        </w:tabs>
        <w:ind w:left="3600" w:hanging="360"/>
      </w:pPr>
      <w:rPr>
        <w:rFonts w:ascii="Times New Roman" w:hAnsi="Times New Roman" w:hint="default"/>
      </w:rPr>
    </w:lvl>
    <w:lvl w:ilvl="5" w:tplc="2E90B61A" w:tentative="1">
      <w:start w:val="1"/>
      <w:numFmt w:val="bullet"/>
      <w:lvlText w:val="•"/>
      <w:lvlJc w:val="left"/>
      <w:pPr>
        <w:tabs>
          <w:tab w:val="num" w:pos="4320"/>
        </w:tabs>
        <w:ind w:left="4320" w:hanging="360"/>
      </w:pPr>
      <w:rPr>
        <w:rFonts w:ascii="Times New Roman" w:hAnsi="Times New Roman" w:hint="default"/>
      </w:rPr>
    </w:lvl>
    <w:lvl w:ilvl="6" w:tplc="9CD2C12A" w:tentative="1">
      <w:start w:val="1"/>
      <w:numFmt w:val="bullet"/>
      <w:lvlText w:val="•"/>
      <w:lvlJc w:val="left"/>
      <w:pPr>
        <w:tabs>
          <w:tab w:val="num" w:pos="5040"/>
        </w:tabs>
        <w:ind w:left="5040" w:hanging="360"/>
      </w:pPr>
      <w:rPr>
        <w:rFonts w:ascii="Times New Roman" w:hAnsi="Times New Roman" w:hint="default"/>
      </w:rPr>
    </w:lvl>
    <w:lvl w:ilvl="7" w:tplc="2108AF42" w:tentative="1">
      <w:start w:val="1"/>
      <w:numFmt w:val="bullet"/>
      <w:lvlText w:val="•"/>
      <w:lvlJc w:val="left"/>
      <w:pPr>
        <w:tabs>
          <w:tab w:val="num" w:pos="5760"/>
        </w:tabs>
        <w:ind w:left="5760" w:hanging="360"/>
      </w:pPr>
      <w:rPr>
        <w:rFonts w:ascii="Times New Roman" w:hAnsi="Times New Roman" w:hint="default"/>
      </w:rPr>
    </w:lvl>
    <w:lvl w:ilvl="8" w:tplc="140ED5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607CE2"/>
    <w:multiLevelType w:val="hybridMultilevel"/>
    <w:tmpl w:val="09B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D3C78"/>
    <w:multiLevelType w:val="hybridMultilevel"/>
    <w:tmpl w:val="F6B07E3A"/>
    <w:lvl w:ilvl="0" w:tplc="DFDCBC76">
      <w:start w:val="1"/>
      <w:numFmt w:val="bullet"/>
      <w:lvlText w:val="•"/>
      <w:lvlJc w:val="left"/>
      <w:pPr>
        <w:tabs>
          <w:tab w:val="num" w:pos="720"/>
        </w:tabs>
        <w:ind w:left="720" w:hanging="360"/>
      </w:pPr>
      <w:rPr>
        <w:rFonts w:ascii="Times New Roman" w:hAnsi="Times New Roman" w:hint="default"/>
      </w:rPr>
    </w:lvl>
    <w:lvl w:ilvl="1" w:tplc="A19ECB14" w:tentative="1">
      <w:start w:val="1"/>
      <w:numFmt w:val="bullet"/>
      <w:lvlText w:val="•"/>
      <w:lvlJc w:val="left"/>
      <w:pPr>
        <w:tabs>
          <w:tab w:val="num" w:pos="1440"/>
        </w:tabs>
        <w:ind w:left="1440" w:hanging="360"/>
      </w:pPr>
      <w:rPr>
        <w:rFonts w:ascii="Times New Roman" w:hAnsi="Times New Roman" w:hint="default"/>
      </w:rPr>
    </w:lvl>
    <w:lvl w:ilvl="2" w:tplc="47E69204" w:tentative="1">
      <w:start w:val="1"/>
      <w:numFmt w:val="bullet"/>
      <w:lvlText w:val="•"/>
      <w:lvlJc w:val="left"/>
      <w:pPr>
        <w:tabs>
          <w:tab w:val="num" w:pos="2160"/>
        </w:tabs>
        <w:ind w:left="2160" w:hanging="360"/>
      </w:pPr>
      <w:rPr>
        <w:rFonts w:ascii="Times New Roman" w:hAnsi="Times New Roman" w:hint="default"/>
      </w:rPr>
    </w:lvl>
    <w:lvl w:ilvl="3" w:tplc="48D21BBE" w:tentative="1">
      <w:start w:val="1"/>
      <w:numFmt w:val="bullet"/>
      <w:lvlText w:val="•"/>
      <w:lvlJc w:val="left"/>
      <w:pPr>
        <w:tabs>
          <w:tab w:val="num" w:pos="2880"/>
        </w:tabs>
        <w:ind w:left="2880" w:hanging="360"/>
      </w:pPr>
      <w:rPr>
        <w:rFonts w:ascii="Times New Roman" w:hAnsi="Times New Roman" w:hint="default"/>
      </w:rPr>
    </w:lvl>
    <w:lvl w:ilvl="4" w:tplc="C544691C" w:tentative="1">
      <w:start w:val="1"/>
      <w:numFmt w:val="bullet"/>
      <w:lvlText w:val="•"/>
      <w:lvlJc w:val="left"/>
      <w:pPr>
        <w:tabs>
          <w:tab w:val="num" w:pos="3600"/>
        </w:tabs>
        <w:ind w:left="3600" w:hanging="360"/>
      </w:pPr>
      <w:rPr>
        <w:rFonts w:ascii="Times New Roman" w:hAnsi="Times New Roman" w:hint="default"/>
      </w:rPr>
    </w:lvl>
    <w:lvl w:ilvl="5" w:tplc="F8B62AA6" w:tentative="1">
      <w:start w:val="1"/>
      <w:numFmt w:val="bullet"/>
      <w:lvlText w:val="•"/>
      <w:lvlJc w:val="left"/>
      <w:pPr>
        <w:tabs>
          <w:tab w:val="num" w:pos="4320"/>
        </w:tabs>
        <w:ind w:left="4320" w:hanging="360"/>
      </w:pPr>
      <w:rPr>
        <w:rFonts w:ascii="Times New Roman" w:hAnsi="Times New Roman" w:hint="default"/>
      </w:rPr>
    </w:lvl>
    <w:lvl w:ilvl="6" w:tplc="7296495C" w:tentative="1">
      <w:start w:val="1"/>
      <w:numFmt w:val="bullet"/>
      <w:lvlText w:val="•"/>
      <w:lvlJc w:val="left"/>
      <w:pPr>
        <w:tabs>
          <w:tab w:val="num" w:pos="5040"/>
        </w:tabs>
        <w:ind w:left="5040" w:hanging="360"/>
      </w:pPr>
      <w:rPr>
        <w:rFonts w:ascii="Times New Roman" w:hAnsi="Times New Roman" w:hint="default"/>
      </w:rPr>
    </w:lvl>
    <w:lvl w:ilvl="7" w:tplc="E472A774" w:tentative="1">
      <w:start w:val="1"/>
      <w:numFmt w:val="bullet"/>
      <w:lvlText w:val="•"/>
      <w:lvlJc w:val="left"/>
      <w:pPr>
        <w:tabs>
          <w:tab w:val="num" w:pos="5760"/>
        </w:tabs>
        <w:ind w:left="5760" w:hanging="360"/>
      </w:pPr>
      <w:rPr>
        <w:rFonts w:ascii="Times New Roman" w:hAnsi="Times New Roman" w:hint="default"/>
      </w:rPr>
    </w:lvl>
    <w:lvl w:ilvl="8" w:tplc="929624C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576372"/>
    <w:multiLevelType w:val="hybridMultilevel"/>
    <w:tmpl w:val="E71E2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9723EA"/>
    <w:multiLevelType w:val="hybridMultilevel"/>
    <w:tmpl w:val="E54405C6"/>
    <w:lvl w:ilvl="0" w:tplc="E0BACA16">
      <w:start w:val="1"/>
      <w:numFmt w:val="bullet"/>
      <w:lvlText w:val="•"/>
      <w:lvlJc w:val="left"/>
      <w:pPr>
        <w:tabs>
          <w:tab w:val="num" w:pos="720"/>
        </w:tabs>
        <w:ind w:left="720" w:hanging="360"/>
      </w:pPr>
      <w:rPr>
        <w:rFonts w:ascii="Arial" w:hAnsi="Arial" w:hint="default"/>
      </w:rPr>
    </w:lvl>
    <w:lvl w:ilvl="1" w:tplc="26A04740" w:tentative="1">
      <w:start w:val="1"/>
      <w:numFmt w:val="bullet"/>
      <w:lvlText w:val="•"/>
      <w:lvlJc w:val="left"/>
      <w:pPr>
        <w:tabs>
          <w:tab w:val="num" w:pos="1440"/>
        </w:tabs>
        <w:ind w:left="1440" w:hanging="360"/>
      </w:pPr>
      <w:rPr>
        <w:rFonts w:ascii="Arial" w:hAnsi="Arial" w:hint="default"/>
      </w:rPr>
    </w:lvl>
    <w:lvl w:ilvl="2" w:tplc="F01CEF60" w:tentative="1">
      <w:start w:val="1"/>
      <w:numFmt w:val="bullet"/>
      <w:lvlText w:val="•"/>
      <w:lvlJc w:val="left"/>
      <w:pPr>
        <w:tabs>
          <w:tab w:val="num" w:pos="2160"/>
        </w:tabs>
        <w:ind w:left="2160" w:hanging="360"/>
      </w:pPr>
      <w:rPr>
        <w:rFonts w:ascii="Arial" w:hAnsi="Arial" w:hint="default"/>
      </w:rPr>
    </w:lvl>
    <w:lvl w:ilvl="3" w:tplc="BC6022F6" w:tentative="1">
      <w:start w:val="1"/>
      <w:numFmt w:val="bullet"/>
      <w:lvlText w:val="•"/>
      <w:lvlJc w:val="left"/>
      <w:pPr>
        <w:tabs>
          <w:tab w:val="num" w:pos="2880"/>
        </w:tabs>
        <w:ind w:left="2880" w:hanging="360"/>
      </w:pPr>
      <w:rPr>
        <w:rFonts w:ascii="Arial" w:hAnsi="Arial" w:hint="default"/>
      </w:rPr>
    </w:lvl>
    <w:lvl w:ilvl="4" w:tplc="BA40C60C" w:tentative="1">
      <w:start w:val="1"/>
      <w:numFmt w:val="bullet"/>
      <w:lvlText w:val="•"/>
      <w:lvlJc w:val="left"/>
      <w:pPr>
        <w:tabs>
          <w:tab w:val="num" w:pos="3600"/>
        </w:tabs>
        <w:ind w:left="3600" w:hanging="360"/>
      </w:pPr>
      <w:rPr>
        <w:rFonts w:ascii="Arial" w:hAnsi="Arial" w:hint="default"/>
      </w:rPr>
    </w:lvl>
    <w:lvl w:ilvl="5" w:tplc="57B0973E" w:tentative="1">
      <w:start w:val="1"/>
      <w:numFmt w:val="bullet"/>
      <w:lvlText w:val="•"/>
      <w:lvlJc w:val="left"/>
      <w:pPr>
        <w:tabs>
          <w:tab w:val="num" w:pos="4320"/>
        </w:tabs>
        <w:ind w:left="4320" w:hanging="360"/>
      </w:pPr>
      <w:rPr>
        <w:rFonts w:ascii="Arial" w:hAnsi="Arial" w:hint="default"/>
      </w:rPr>
    </w:lvl>
    <w:lvl w:ilvl="6" w:tplc="8A9E58BC" w:tentative="1">
      <w:start w:val="1"/>
      <w:numFmt w:val="bullet"/>
      <w:lvlText w:val="•"/>
      <w:lvlJc w:val="left"/>
      <w:pPr>
        <w:tabs>
          <w:tab w:val="num" w:pos="5040"/>
        </w:tabs>
        <w:ind w:left="5040" w:hanging="360"/>
      </w:pPr>
      <w:rPr>
        <w:rFonts w:ascii="Arial" w:hAnsi="Arial" w:hint="default"/>
      </w:rPr>
    </w:lvl>
    <w:lvl w:ilvl="7" w:tplc="81087EC0" w:tentative="1">
      <w:start w:val="1"/>
      <w:numFmt w:val="bullet"/>
      <w:lvlText w:val="•"/>
      <w:lvlJc w:val="left"/>
      <w:pPr>
        <w:tabs>
          <w:tab w:val="num" w:pos="5760"/>
        </w:tabs>
        <w:ind w:left="5760" w:hanging="360"/>
      </w:pPr>
      <w:rPr>
        <w:rFonts w:ascii="Arial" w:hAnsi="Arial" w:hint="default"/>
      </w:rPr>
    </w:lvl>
    <w:lvl w:ilvl="8" w:tplc="F4D4F096" w:tentative="1">
      <w:start w:val="1"/>
      <w:numFmt w:val="bullet"/>
      <w:lvlText w:val="•"/>
      <w:lvlJc w:val="left"/>
      <w:pPr>
        <w:tabs>
          <w:tab w:val="num" w:pos="6480"/>
        </w:tabs>
        <w:ind w:left="6480" w:hanging="360"/>
      </w:pPr>
      <w:rPr>
        <w:rFonts w:ascii="Arial" w:hAnsi="Arial" w:hint="default"/>
      </w:rPr>
    </w:lvl>
  </w:abstractNum>
  <w:abstractNum w:abstractNumId="20">
    <w:nsid w:val="58F27B53"/>
    <w:multiLevelType w:val="hybridMultilevel"/>
    <w:tmpl w:val="E638ADC8"/>
    <w:lvl w:ilvl="0" w:tplc="62F01400">
      <w:start w:val="1"/>
      <w:numFmt w:val="bullet"/>
      <w:lvlText w:val="•"/>
      <w:lvlJc w:val="left"/>
      <w:pPr>
        <w:tabs>
          <w:tab w:val="num" w:pos="720"/>
        </w:tabs>
        <w:ind w:left="720" w:hanging="360"/>
      </w:pPr>
      <w:rPr>
        <w:rFonts w:ascii="Arial" w:hAnsi="Arial" w:hint="default"/>
      </w:rPr>
    </w:lvl>
    <w:lvl w:ilvl="1" w:tplc="90CC4C52" w:tentative="1">
      <w:start w:val="1"/>
      <w:numFmt w:val="bullet"/>
      <w:lvlText w:val="•"/>
      <w:lvlJc w:val="left"/>
      <w:pPr>
        <w:tabs>
          <w:tab w:val="num" w:pos="1440"/>
        </w:tabs>
        <w:ind w:left="1440" w:hanging="360"/>
      </w:pPr>
      <w:rPr>
        <w:rFonts w:ascii="Arial" w:hAnsi="Arial" w:hint="default"/>
      </w:rPr>
    </w:lvl>
    <w:lvl w:ilvl="2" w:tplc="4F9C918C" w:tentative="1">
      <w:start w:val="1"/>
      <w:numFmt w:val="bullet"/>
      <w:lvlText w:val="•"/>
      <w:lvlJc w:val="left"/>
      <w:pPr>
        <w:tabs>
          <w:tab w:val="num" w:pos="2160"/>
        </w:tabs>
        <w:ind w:left="2160" w:hanging="360"/>
      </w:pPr>
      <w:rPr>
        <w:rFonts w:ascii="Arial" w:hAnsi="Arial" w:hint="default"/>
      </w:rPr>
    </w:lvl>
    <w:lvl w:ilvl="3" w:tplc="23B67C14" w:tentative="1">
      <w:start w:val="1"/>
      <w:numFmt w:val="bullet"/>
      <w:lvlText w:val="•"/>
      <w:lvlJc w:val="left"/>
      <w:pPr>
        <w:tabs>
          <w:tab w:val="num" w:pos="2880"/>
        </w:tabs>
        <w:ind w:left="2880" w:hanging="360"/>
      </w:pPr>
      <w:rPr>
        <w:rFonts w:ascii="Arial" w:hAnsi="Arial" w:hint="default"/>
      </w:rPr>
    </w:lvl>
    <w:lvl w:ilvl="4" w:tplc="90F6DB86" w:tentative="1">
      <w:start w:val="1"/>
      <w:numFmt w:val="bullet"/>
      <w:lvlText w:val="•"/>
      <w:lvlJc w:val="left"/>
      <w:pPr>
        <w:tabs>
          <w:tab w:val="num" w:pos="3600"/>
        </w:tabs>
        <w:ind w:left="3600" w:hanging="360"/>
      </w:pPr>
      <w:rPr>
        <w:rFonts w:ascii="Arial" w:hAnsi="Arial" w:hint="default"/>
      </w:rPr>
    </w:lvl>
    <w:lvl w:ilvl="5" w:tplc="24566254" w:tentative="1">
      <w:start w:val="1"/>
      <w:numFmt w:val="bullet"/>
      <w:lvlText w:val="•"/>
      <w:lvlJc w:val="left"/>
      <w:pPr>
        <w:tabs>
          <w:tab w:val="num" w:pos="4320"/>
        </w:tabs>
        <w:ind w:left="4320" w:hanging="360"/>
      </w:pPr>
      <w:rPr>
        <w:rFonts w:ascii="Arial" w:hAnsi="Arial" w:hint="default"/>
      </w:rPr>
    </w:lvl>
    <w:lvl w:ilvl="6" w:tplc="8CD07B4A" w:tentative="1">
      <w:start w:val="1"/>
      <w:numFmt w:val="bullet"/>
      <w:lvlText w:val="•"/>
      <w:lvlJc w:val="left"/>
      <w:pPr>
        <w:tabs>
          <w:tab w:val="num" w:pos="5040"/>
        </w:tabs>
        <w:ind w:left="5040" w:hanging="360"/>
      </w:pPr>
      <w:rPr>
        <w:rFonts w:ascii="Arial" w:hAnsi="Arial" w:hint="default"/>
      </w:rPr>
    </w:lvl>
    <w:lvl w:ilvl="7" w:tplc="58D8A92C" w:tentative="1">
      <w:start w:val="1"/>
      <w:numFmt w:val="bullet"/>
      <w:lvlText w:val="•"/>
      <w:lvlJc w:val="left"/>
      <w:pPr>
        <w:tabs>
          <w:tab w:val="num" w:pos="5760"/>
        </w:tabs>
        <w:ind w:left="5760" w:hanging="360"/>
      </w:pPr>
      <w:rPr>
        <w:rFonts w:ascii="Arial" w:hAnsi="Arial" w:hint="default"/>
      </w:rPr>
    </w:lvl>
    <w:lvl w:ilvl="8" w:tplc="793462AA" w:tentative="1">
      <w:start w:val="1"/>
      <w:numFmt w:val="bullet"/>
      <w:lvlText w:val="•"/>
      <w:lvlJc w:val="left"/>
      <w:pPr>
        <w:tabs>
          <w:tab w:val="num" w:pos="6480"/>
        </w:tabs>
        <w:ind w:left="6480" w:hanging="360"/>
      </w:pPr>
      <w:rPr>
        <w:rFonts w:ascii="Arial" w:hAnsi="Arial" w:hint="default"/>
      </w:rPr>
    </w:lvl>
  </w:abstractNum>
  <w:abstractNum w:abstractNumId="21">
    <w:nsid w:val="5D182B94"/>
    <w:multiLevelType w:val="hybridMultilevel"/>
    <w:tmpl w:val="E65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D58B6"/>
    <w:multiLevelType w:val="hybridMultilevel"/>
    <w:tmpl w:val="0F3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0596E"/>
    <w:multiLevelType w:val="hybridMultilevel"/>
    <w:tmpl w:val="34A4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C67C2"/>
    <w:multiLevelType w:val="hybridMultilevel"/>
    <w:tmpl w:val="C52819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22487D"/>
    <w:multiLevelType w:val="hybridMultilevel"/>
    <w:tmpl w:val="36F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50635"/>
    <w:multiLevelType w:val="hybridMultilevel"/>
    <w:tmpl w:val="8872FA3A"/>
    <w:lvl w:ilvl="0" w:tplc="46B61F8E">
      <w:start w:val="1"/>
      <w:numFmt w:val="bullet"/>
      <w:lvlText w:val="•"/>
      <w:lvlJc w:val="left"/>
      <w:pPr>
        <w:tabs>
          <w:tab w:val="num" w:pos="720"/>
        </w:tabs>
        <w:ind w:left="720" w:hanging="360"/>
      </w:pPr>
      <w:rPr>
        <w:rFonts w:ascii="Arial" w:hAnsi="Arial" w:hint="default"/>
      </w:rPr>
    </w:lvl>
    <w:lvl w:ilvl="1" w:tplc="E1BC926C" w:tentative="1">
      <w:start w:val="1"/>
      <w:numFmt w:val="bullet"/>
      <w:lvlText w:val="•"/>
      <w:lvlJc w:val="left"/>
      <w:pPr>
        <w:tabs>
          <w:tab w:val="num" w:pos="1440"/>
        </w:tabs>
        <w:ind w:left="1440" w:hanging="360"/>
      </w:pPr>
      <w:rPr>
        <w:rFonts w:ascii="Arial" w:hAnsi="Arial" w:hint="default"/>
      </w:rPr>
    </w:lvl>
    <w:lvl w:ilvl="2" w:tplc="A446AE92" w:tentative="1">
      <w:start w:val="1"/>
      <w:numFmt w:val="bullet"/>
      <w:lvlText w:val="•"/>
      <w:lvlJc w:val="left"/>
      <w:pPr>
        <w:tabs>
          <w:tab w:val="num" w:pos="2160"/>
        </w:tabs>
        <w:ind w:left="2160" w:hanging="360"/>
      </w:pPr>
      <w:rPr>
        <w:rFonts w:ascii="Arial" w:hAnsi="Arial" w:hint="default"/>
      </w:rPr>
    </w:lvl>
    <w:lvl w:ilvl="3" w:tplc="A93E4692" w:tentative="1">
      <w:start w:val="1"/>
      <w:numFmt w:val="bullet"/>
      <w:lvlText w:val="•"/>
      <w:lvlJc w:val="left"/>
      <w:pPr>
        <w:tabs>
          <w:tab w:val="num" w:pos="2880"/>
        </w:tabs>
        <w:ind w:left="2880" w:hanging="360"/>
      </w:pPr>
      <w:rPr>
        <w:rFonts w:ascii="Arial" w:hAnsi="Arial" w:hint="default"/>
      </w:rPr>
    </w:lvl>
    <w:lvl w:ilvl="4" w:tplc="B8C862D6" w:tentative="1">
      <w:start w:val="1"/>
      <w:numFmt w:val="bullet"/>
      <w:lvlText w:val="•"/>
      <w:lvlJc w:val="left"/>
      <w:pPr>
        <w:tabs>
          <w:tab w:val="num" w:pos="3600"/>
        </w:tabs>
        <w:ind w:left="3600" w:hanging="360"/>
      </w:pPr>
      <w:rPr>
        <w:rFonts w:ascii="Arial" w:hAnsi="Arial" w:hint="default"/>
      </w:rPr>
    </w:lvl>
    <w:lvl w:ilvl="5" w:tplc="05527F9A" w:tentative="1">
      <w:start w:val="1"/>
      <w:numFmt w:val="bullet"/>
      <w:lvlText w:val="•"/>
      <w:lvlJc w:val="left"/>
      <w:pPr>
        <w:tabs>
          <w:tab w:val="num" w:pos="4320"/>
        </w:tabs>
        <w:ind w:left="4320" w:hanging="360"/>
      </w:pPr>
      <w:rPr>
        <w:rFonts w:ascii="Arial" w:hAnsi="Arial" w:hint="default"/>
      </w:rPr>
    </w:lvl>
    <w:lvl w:ilvl="6" w:tplc="D2189E34" w:tentative="1">
      <w:start w:val="1"/>
      <w:numFmt w:val="bullet"/>
      <w:lvlText w:val="•"/>
      <w:lvlJc w:val="left"/>
      <w:pPr>
        <w:tabs>
          <w:tab w:val="num" w:pos="5040"/>
        </w:tabs>
        <w:ind w:left="5040" w:hanging="360"/>
      </w:pPr>
      <w:rPr>
        <w:rFonts w:ascii="Arial" w:hAnsi="Arial" w:hint="default"/>
      </w:rPr>
    </w:lvl>
    <w:lvl w:ilvl="7" w:tplc="AE3CE408" w:tentative="1">
      <w:start w:val="1"/>
      <w:numFmt w:val="bullet"/>
      <w:lvlText w:val="•"/>
      <w:lvlJc w:val="left"/>
      <w:pPr>
        <w:tabs>
          <w:tab w:val="num" w:pos="5760"/>
        </w:tabs>
        <w:ind w:left="5760" w:hanging="360"/>
      </w:pPr>
      <w:rPr>
        <w:rFonts w:ascii="Arial" w:hAnsi="Arial" w:hint="default"/>
      </w:rPr>
    </w:lvl>
    <w:lvl w:ilvl="8" w:tplc="BABEB7FE" w:tentative="1">
      <w:start w:val="1"/>
      <w:numFmt w:val="bullet"/>
      <w:lvlText w:val="•"/>
      <w:lvlJc w:val="left"/>
      <w:pPr>
        <w:tabs>
          <w:tab w:val="num" w:pos="6480"/>
        </w:tabs>
        <w:ind w:left="6480" w:hanging="360"/>
      </w:pPr>
      <w:rPr>
        <w:rFonts w:ascii="Arial" w:hAnsi="Arial" w:hint="default"/>
      </w:rPr>
    </w:lvl>
  </w:abstractNum>
  <w:abstractNum w:abstractNumId="27">
    <w:nsid w:val="6A963D79"/>
    <w:multiLevelType w:val="hybridMultilevel"/>
    <w:tmpl w:val="29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9A6623"/>
    <w:multiLevelType w:val="hybridMultilevel"/>
    <w:tmpl w:val="394CAA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C90449"/>
    <w:multiLevelType w:val="hybridMultilevel"/>
    <w:tmpl w:val="5BC2A1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6F00BB"/>
    <w:multiLevelType w:val="hybridMultilevel"/>
    <w:tmpl w:val="515C9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7E6378"/>
    <w:multiLevelType w:val="hybridMultilevel"/>
    <w:tmpl w:val="1AE647E8"/>
    <w:lvl w:ilvl="0" w:tplc="04090001">
      <w:start w:val="1"/>
      <w:numFmt w:val="bullet"/>
      <w:lvlText w:val=""/>
      <w:lvlJc w:val="left"/>
      <w:pPr>
        <w:ind w:left="720" w:hanging="360"/>
      </w:pPr>
      <w:rPr>
        <w:rFonts w:ascii="Symbol" w:hAnsi="Symbol" w:hint="default"/>
        <w:b/>
        <w:i w:val="0"/>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063330"/>
    <w:multiLevelType w:val="hybridMultilevel"/>
    <w:tmpl w:val="06D2F2D4"/>
    <w:lvl w:ilvl="0" w:tplc="4C7EE230">
      <w:start w:val="1"/>
      <w:numFmt w:val="bullet"/>
      <w:lvlText w:val="•"/>
      <w:lvlJc w:val="left"/>
      <w:pPr>
        <w:tabs>
          <w:tab w:val="num" w:pos="720"/>
        </w:tabs>
        <w:ind w:left="720" w:hanging="360"/>
      </w:pPr>
      <w:rPr>
        <w:rFonts w:ascii="Arial" w:hAnsi="Arial" w:hint="default"/>
      </w:rPr>
    </w:lvl>
    <w:lvl w:ilvl="1" w:tplc="040CC164" w:tentative="1">
      <w:start w:val="1"/>
      <w:numFmt w:val="bullet"/>
      <w:lvlText w:val="•"/>
      <w:lvlJc w:val="left"/>
      <w:pPr>
        <w:tabs>
          <w:tab w:val="num" w:pos="1440"/>
        </w:tabs>
        <w:ind w:left="1440" w:hanging="360"/>
      </w:pPr>
      <w:rPr>
        <w:rFonts w:ascii="Arial" w:hAnsi="Arial" w:hint="default"/>
      </w:rPr>
    </w:lvl>
    <w:lvl w:ilvl="2" w:tplc="8CE2269E" w:tentative="1">
      <w:start w:val="1"/>
      <w:numFmt w:val="bullet"/>
      <w:lvlText w:val="•"/>
      <w:lvlJc w:val="left"/>
      <w:pPr>
        <w:tabs>
          <w:tab w:val="num" w:pos="2160"/>
        </w:tabs>
        <w:ind w:left="2160" w:hanging="360"/>
      </w:pPr>
      <w:rPr>
        <w:rFonts w:ascii="Arial" w:hAnsi="Arial" w:hint="default"/>
      </w:rPr>
    </w:lvl>
    <w:lvl w:ilvl="3" w:tplc="F86A9708" w:tentative="1">
      <w:start w:val="1"/>
      <w:numFmt w:val="bullet"/>
      <w:lvlText w:val="•"/>
      <w:lvlJc w:val="left"/>
      <w:pPr>
        <w:tabs>
          <w:tab w:val="num" w:pos="2880"/>
        </w:tabs>
        <w:ind w:left="2880" w:hanging="360"/>
      </w:pPr>
      <w:rPr>
        <w:rFonts w:ascii="Arial" w:hAnsi="Arial" w:hint="default"/>
      </w:rPr>
    </w:lvl>
    <w:lvl w:ilvl="4" w:tplc="B330B68E" w:tentative="1">
      <w:start w:val="1"/>
      <w:numFmt w:val="bullet"/>
      <w:lvlText w:val="•"/>
      <w:lvlJc w:val="left"/>
      <w:pPr>
        <w:tabs>
          <w:tab w:val="num" w:pos="3600"/>
        </w:tabs>
        <w:ind w:left="3600" w:hanging="360"/>
      </w:pPr>
      <w:rPr>
        <w:rFonts w:ascii="Arial" w:hAnsi="Arial" w:hint="default"/>
      </w:rPr>
    </w:lvl>
    <w:lvl w:ilvl="5" w:tplc="DD28CD6E" w:tentative="1">
      <w:start w:val="1"/>
      <w:numFmt w:val="bullet"/>
      <w:lvlText w:val="•"/>
      <w:lvlJc w:val="left"/>
      <w:pPr>
        <w:tabs>
          <w:tab w:val="num" w:pos="4320"/>
        </w:tabs>
        <w:ind w:left="4320" w:hanging="360"/>
      </w:pPr>
      <w:rPr>
        <w:rFonts w:ascii="Arial" w:hAnsi="Arial" w:hint="default"/>
      </w:rPr>
    </w:lvl>
    <w:lvl w:ilvl="6" w:tplc="89307D6A" w:tentative="1">
      <w:start w:val="1"/>
      <w:numFmt w:val="bullet"/>
      <w:lvlText w:val="•"/>
      <w:lvlJc w:val="left"/>
      <w:pPr>
        <w:tabs>
          <w:tab w:val="num" w:pos="5040"/>
        </w:tabs>
        <w:ind w:left="5040" w:hanging="360"/>
      </w:pPr>
      <w:rPr>
        <w:rFonts w:ascii="Arial" w:hAnsi="Arial" w:hint="default"/>
      </w:rPr>
    </w:lvl>
    <w:lvl w:ilvl="7" w:tplc="CE7854D0" w:tentative="1">
      <w:start w:val="1"/>
      <w:numFmt w:val="bullet"/>
      <w:lvlText w:val="•"/>
      <w:lvlJc w:val="left"/>
      <w:pPr>
        <w:tabs>
          <w:tab w:val="num" w:pos="5760"/>
        </w:tabs>
        <w:ind w:left="5760" w:hanging="360"/>
      </w:pPr>
      <w:rPr>
        <w:rFonts w:ascii="Arial" w:hAnsi="Arial" w:hint="default"/>
      </w:rPr>
    </w:lvl>
    <w:lvl w:ilvl="8" w:tplc="48541890" w:tentative="1">
      <w:start w:val="1"/>
      <w:numFmt w:val="bullet"/>
      <w:lvlText w:val="•"/>
      <w:lvlJc w:val="left"/>
      <w:pPr>
        <w:tabs>
          <w:tab w:val="num" w:pos="6480"/>
        </w:tabs>
        <w:ind w:left="6480" w:hanging="360"/>
      </w:pPr>
      <w:rPr>
        <w:rFonts w:ascii="Arial" w:hAnsi="Arial" w:hint="default"/>
      </w:rPr>
    </w:lvl>
  </w:abstractNum>
  <w:abstractNum w:abstractNumId="33">
    <w:nsid w:val="7E7D5D9D"/>
    <w:multiLevelType w:val="hybridMultilevel"/>
    <w:tmpl w:val="3F10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lvl w:ilvl="0">
        <w:numFmt w:val="bullet"/>
        <w:lvlText w:val=""/>
        <w:legacy w:legacy="1" w:legacySpace="0" w:legacyIndent="0"/>
        <w:lvlJc w:val="left"/>
        <w:rPr>
          <w:rFonts w:ascii="Wingdings 2" w:hAnsi="Wingdings 2" w:hint="default"/>
          <w:sz w:val="28"/>
        </w:rPr>
      </w:lvl>
    </w:lvlOverride>
  </w:num>
  <w:num w:numId="3">
    <w:abstractNumId w:val="0"/>
    <w:lvlOverride w:ilvl="0">
      <w:lvl w:ilvl="0">
        <w:numFmt w:val="bullet"/>
        <w:lvlText w:val=""/>
        <w:legacy w:legacy="1" w:legacySpace="0" w:legacyIndent="0"/>
        <w:lvlJc w:val="left"/>
        <w:rPr>
          <w:rFonts w:ascii="Wingdings 2" w:hAnsi="Wingdings 2" w:hint="default"/>
          <w:sz w:val="32"/>
        </w:rPr>
      </w:lvl>
    </w:lvlOverride>
  </w:num>
  <w:num w:numId="4">
    <w:abstractNumId w:val="17"/>
  </w:num>
  <w:num w:numId="5">
    <w:abstractNumId w:val="4"/>
  </w:num>
  <w:num w:numId="6">
    <w:abstractNumId w:val="15"/>
  </w:num>
  <w:num w:numId="7">
    <w:abstractNumId w:val="30"/>
  </w:num>
  <w:num w:numId="8">
    <w:abstractNumId w:val="33"/>
  </w:num>
  <w:num w:numId="9">
    <w:abstractNumId w:val="3"/>
  </w:num>
  <w:num w:numId="10">
    <w:abstractNumId w:val="32"/>
  </w:num>
  <w:num w:numId="11">
    <w:abstractNumId w:val="14"/>
  </w:num>
  <w:num w:numId="12">
    <w:abstractNumId w:val="26"/>
  </w:num>
  <w:num w:numId="13">
    <w:abstractNumId w:val="1"/>
  </w:num>
  <w:num w:numId="14">
    <w:abstractNumId w:val="19"/>
  </w:num>
  <w:num w:numId="15">
    <w:abstractNumId w:val="11"/>
  </w:num>
  <w:num w:numId="16">
    <w:abstractNumId w:val="20"/>
  </w:num>
  <w:num w:numId="17">
    <w:abstractNumId w:val="13"/>
  </w:num>
  <w:num w:numId="18">
    <w:abstractNumId w:val="7"/>
  </w:num>
  <w:num w:numId="19">
    <w:abstractNumId w:val="5"/>
  </w:num>
  <w:num w:numId="20">
    <w:abstractNumId w:val="29"/>
  </w:num>
  <w:num w:numId="21">
    <w:abstractNumId w:val="9"/>
  </w:num>
  <w:num w:numId="22">
    <w:abstractNumId w:val="2"/>
  </w:num>
  <w:num w:numId="23">
    <w:abstractNumId w:val="28"/>
  </w:num>
  <w:num w:numId="24">
    <w:abstractNumId w:val="18"/>
  </w:num>
  <w:num w:numId="25">
    <w:abstractNumId w:val="24"/>
  </w:num>
  <w:num w:numId="26">
    <w:abstractNumId w:val="12"/>
  </w:num>
  <w:num w:numId="27">
    <w:abstractNumId w:val="21"/>
  </w:num>
  <w:num w:numId="28">
    <w:abstractNumId w:val="27"/>
  </w:num>
  <w:num w:numId="29">
    <w:abstractNumId w:val="10"/>
  </w:num>
  <w:num w:numId="30">
    <w:abstractNumId w:val="23"/>
  </w:num>
  <w:num w:numId="31">
    <w:abstractNumId w:val="6"/>
  </w:num>
  <w:num w:numId="32">
    <w:abstractNumId w:val="25"/>
  </w:num>
  <w:num w:numId="33">
    <w:abstractNumId w:val="8"/>
  </w:num>
  <w:num w:numId="34">
    <w:abstractNumId w:val="2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o:colormenu v:ext="edit" fillcolor="none" strokecolor="none [2405]"/>
    </o:shapedefaults>
  </w:hdrShapeDefaults>
  <w:footnotePr>
    <w:footnote w:id="-1"/>
    <w:footnote w:id="0"/>
  </w:footnotePr>
  <w:endnotePr>
    <w:endnote w:id="-1"/>
    <w:endnote w:id="0"/>
  </w:endnotePr>
  <w:compat/>
  <w:rsids>
    <w:rsidRoot w:val="004B46A0"/>
    <w:rsid w:val="00017D53"/>
    <w:rsid w:val="00030BEE"/>
    <w:rsid w:val="00033870"/>
    <w:rsid w:val="00093ECC"/>
    <w:rsid w:val="000C45EE"/>
    <w:rsid w:val="000E3BDB"/>
    <w:rsid w:val="000E448C"/>
    <w:rsid w:val="000F717B"/>
    <w:rsid w:val="0010727A"/>
    <w:rsid w:val="00107DF2"/>
    <w:rsid w:val="00126124"/>
    <w:rsid w:val="00132B57"/>
    <w:rsid w:val="001455D5"/>
    <w:rsid w:val="00175DCF"/>
    <w:rsid w:val="001A2105"/>
    <w:rsid w:val="001B2719"/>
    <w:rsid w:val="001D1F35"/>
    <w:rsid w:val="001E7F41"/>
    <w:rsid w:val="001F6C6C"/>
    <w:rsid w:val="00205879"/>
    <w:rsid w:val="00206E1C"/>
    <w:rsid w:val="00241150"/>
    <w:rsid w:val="00244361"/>
    <w:rsid w:val="002650BC"/>
    <w:rsid w:val="00274CE1"/>
    <w:rsid w:val="0028090B"/>
    <w:rsid w:val="00287036"/>
    <w:rsid w:val="002A362C"/>
    <w:rsid w:val="002A65F6"/>
    <w:rsid w:val="002B0577"/>
    <w:rsid w:val="002B4992"/>
    <w:rsid w:val="002E2D79"/>
    <w:rsid w:val="003026DB"/>
    <w:rsid w:val="00304226"/>
    <w:rsid w:val="00340DE5"/>
    <w:rsid w:val="00343F01"/>
    <w:rsid w:val="003454D7"/>
    <w:rsid w:val="00346B86"/>
    <w:rsid w:val="0035080F"/>
    <w:rsid w:val="0035385E"/>
    <w:rsid w:val="00364E2E"/>
    <w:rsid w:val="00370699"/>
    <w:rsid w:val="00374BEB"/>
    <w:rsid w:val="003811BB"/>
    <w:rsid w:val="00392950"/>
    <w:rsid w:val="003A7C44"/>
    <w:rsid w:val="003C4D29"/>
    <w:rsid w:val="003E2E9D"/>
    <w:rsid w:val="003E6395"/>
    <w:rsid w:val="004178F9"/>
    <w:rsid w:val="00457FDF"/>
    <w:rsid w:val="00470721"/>
    <w:rsid w:val="004732B4"/>
    <w:rsid w:val="004A7CDD"/>
    <w:rsid w:val="004B16AF"/>
    <w:rsid w:val="004B46A0"/>
    <w:rsid w:val="004C1718"/>
    <w:rsid w:val="004C2683"/>
    <w:rsid w:val="004C3CC0"/>
    <w:rsid w:val="004F2726"/>
    <w:rsid w:val="004F284F"/>
    <w:rsid w:val="004F5ACD"/>
    <w:rsid w:val="00505830"/>
    <w:rsid w:val="00510138"/>
    <w:rsid w:val="00533FA2"/>
    <w:rsid w:val="00560A05"/>
    <w:rsid w:val="005971A6"/>
    <w:rsid w:val="005A3F95"/>
    <w:rsid w:val="005D1E26"/>
    <w:rsid w:val="005F3C5E"/>
    <w:rsid w:val="005F7FC7"/>
    <w:rsid w:val="00613214"/>
    <w:rsid w:val="00616D0B"/>
    <w:rsid w:val="00621965"/>
    <w:rsid w:val="006254BA"/>
    <w:rsid w:val="00646225"/>
    <w:rsid w:val="006675CE"/>
    <w:rsid w:val="00674DE9"/>
    <w:rsid w:val="00687B7F"/>
    <w:rsid w:val="006960F2"/>
    <w:rsid w:val="006B4907"/>
    <w:rsid w:val="006C5294"/>
    <w:rsid w:val="006D240A"/>
    <w:rsid w:val="006D67E6"/>
    <w:rsid w:val="006E0043"/>
    <w:rsid w:val="00704C5D"/>
    <w:rsid w:val="007169F9"/>
    <w:rsid w:val="00717A6E"/>
    <w:rsid w:val="00732CC5"/>
    <w:rsid w:val="007569A5"/>
    <w:rsid w:val="00761074"/>
    <w:rsid w:val="00764189"/>
    <w:rsid w:val="00765BCA"/>
    <w:rsid w:val="007817D1"/>
    <w:rsid w:val="00790794"/>
    <w:rsid w:val="007A23F8"/>
    <w:rsid w:val="007C5894"/>
    <w:rsid w:val="007E4A19"/>
    <w:rsid w:val="007E6EFC"/>
    <w:rsid w:val="00804D25"/>
    <w:rsid w:val="00813AF8"/>
    <w:rsid w:val="00816DA2"/>
    <w:rsid w:val="008767C2"/>
    <w:rsid w:val="008946C0"/>
    <w:rsid w:val="008B6A10"/>
    <w:rsid w:val="008D1DA5"/>
    <w:rsid w:val="008D7B45"/>
    <w:rsid w:val="008F1AB0"/>
    <w:rsid w:val="008F755B"/>
    <w:rsid w:val="00911D8D"/>
    <w:rsid w:val="00917E6C"/>
    <w:rsid w:val="00923D2E"/>
    <w:rsid w:val="0094189A"/>
    <w:rsid w:val="0095655F"/>
    <w:rsid w:val="00967DFB"/>
    <w:rsid w:val="0097184F"/>
    <w:rsid w:val="00975429"/>
    <w:rsid w:val="009800F8"/>
    <w:rsid w:val="00A13C35"/>
    <w:rsid w:val="00A14C0E"/>
    <w:rsid w:val="00A5051C"/>
    <w:rsid w:val="00A5438D"/>
    <w:rsid w:val="00A60A3D"/>
    <w:rsid w:val="00A65765"/>
    <w:rsid w:val="00A73B33"/>
    <w:rsid w:val="00A82A8C"/>
    <w:rsid w:val="00A850B8"/>
    <w:rsid w:val="00A96B66"/>
    <w:rsid w:val="00A977DD"/>
    <w:rsid w:val="00AE090F"/>
    <w:rsid w:val="00AE1BFA"/>
    <w:rsid w:val="00AF792F"/>
    <w:rsid w:val="00AF7F12"/>
    <w:rsid w:val="00B179C5"/>
    <w:rsid w:val="00B21141"/>
    <w:rsid w:val="00B37AFE"/>
    <w:rsid w:val="00B7729A"/>
    <w:rsid w:val="00B96F33"/>
    <w:rsid w:val="00BC4529"/>
    <w:rsid w:val="00BD1CC3"/>
    <w:rsid w:val="00BD4BA3"/>
    <w:rsid w:val="00C20239"/>
    <w:rsid w:val="00C27DE6"/>
    <w:rsid w:val="00C3430B"/>
    <w:rsid w:val="00C56373"/>
    <w:rsid w:val="00C6217F"/>
    <w:rsid w:val="00C76FEC"/>
    <w:rsid w:val="00CB1D50"/>
    <w:rsid w:val="00CD2372"/>
    <w:rsid w:val="00CF3148"/>
    <w:rsid w:val="00CF7A78"/>
    <w:rsid w:val="00D042AD"/>
    <w:rsid w:val="00D046FF"/>
    <w:rsid w:val="00D31CC2"/>
    <w:rsid w:val="00D352C2"/>
    <w:rsid w:val="00D50E10"/>
    <w:rsid w:val="00D61F45"/>
    <w:rsid w:val="00DE2AC3"/>
    <w:rsid w:val="00E14F77"/>
    <w:rsid w:val="00E174F0"/>
    <w:rsid w:val="00E41BB9"/>
    <w:rsid w:val="00E45537"/>
    <w:rsid w:val="00E574D7"/>
    <w:rsid w:val="00E66DD6"/>
    <w:rsid w:val="00EA5A8F"/>
    <w:rsid w:val="00EA6C95"/>
    <w:rsid w:val="00EB03BD"/>
    <w:rsid w:val="00EB16C3"/>
    <w:rsid w:val="00EC4981"/>
    <w:rsid w:val="00EE2766"/>
    <w:rsid w:val="00EE5BF7"/>
    <w:rsid w:val="00EF7E6C"/>
    <w:rsid w:val="00F23E77"/>
    <w:rsid w:val="00F502E7"/>
    <w:rsid w:val="00F61037"/>
    <w:rsid w:val="00F9377C"/>
    <w:rsid w:val="00FF1554"/>
    <w:rsid w:val="00FF2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strokecolor="none [2405]"/>
    </o:shapedefaults>
    <o:shapelayout v:ext="edit">
      <o:idmap v:ext="edit" data="1"/>
      <o:rules v:ext="edit">
        <o:r id="V:Rule8" type="connector" idref="#_x0000_s1033"/>
        <o:r id="V:Rule9" type="connector" idref="#_x0000_s1030"/>
        <o:r id="V:Rule10" type="connector" idref="#_x0000_s1052"/>
        <o:r id="V:Rule11" type="connector" idref="#_x0000_s1049"/>
        <o:r id="V:Rule12" type="connector" idref="#_x0000_s1026"/>
        <o:r id="V:Rule13" type="connector" idref="#_x0000_s1039"/>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10"/>
    <w:pPr>
      <w:spacing w:after="0" w:line="240" w:lineRule="auto"/>
    </w:pPr>
  </w:style>
  <w:style w:type="paragraph" w:styleId="Heading1">
    <w:name w:val="heading 1"/>
    <w:basedOn w:val="Normal"/>
    <w:next w:val="Normal"/>
    <w:link w:val="Heading1Char"/>
    <w:uiPriority w:val="9"/>
    <w:qFormat/>
    <w:rsid w:val="00A60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3E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4BA3"/>
    <w:pPr>
      <w:ind w:left="720"/>
      <w:contextualSpacing/>
    </w:pPr>
  </w:style>
  <w:style w:type="character" w:styleId="Hyperlink">
    <w:name w:val="Hyperlink"/>
    <w:basedOn w:val="DefaultParagraphFont"/>
    <w:uiPriority w:val="99"/>
    <w:unhideWhenUsed/>
    <w:rsid w:val="004B46A0"/>
    <w:rPr>
      <w:color w:val="0000FF" w:themeColor="hyperlink"/>
      <w:u w:val="single"/>
    </w:rPr>
  </w:style>
  <w:style w:type="paragraph" w:styleId="FootnoteText">
    <w:name w:val="footnote text"/>
    <w:basedOn w:val="Normal"/>
    <w:link w:val="FootnoteTextChar"/>
    <w:uiPriority w:val="99"/>
    <w:semiHidden/>
    <w:unhideWhenUsed/>
    <w:rsid w:val="004B46A0"/>
    <w:rPr>
      <w:sz w:val="20"/>
      <w:szCs w:val="20"/>
    </w:rPr>
  </w:style>
  <w:style w:type="character" w:customStyle="1" w:styleId="FootnoteTextChar">
    <w:name w:val="Footnote Text Char"/>
    <w:basedOn w:val="DefaultParagraphFont"/>
    <w:link w:val="FootnoteText"/>
    <w:uiPriority w:val="99"/>
    <w:semiHidden/>
    <w:rsid w:val="004B46A0"/>
    <w:rPr>
      <w:sz w:val="20"/>
      <w:szCs w:val="20"/>
    </w:rPr>
  </w:style>
  <w:style w:type="character" w:styleId="FootnoteReference">
    <w:name w:val="footnote reference"/>
    <w:basedOn w:val="DefaultParagraphFont"/>
    <w:uiPriority w:val="99"/>
    <w:semiHidden/>
    <w:unhideWhenUsed/>
    <w:rsid w:val="004B46A0"/>
    <w:rPr>
      <w:vertAlign w:val="superscript"/>
    </w:rPr>
  </w:style>
  <w:style w:type="table" w:styleId="LightShading-Accent2">
    <w:name w:val="Light Shading Accent 2"/>
    <w:basedOn w:val="TableNormal"/>
    <w:uiPriority w:val="60"/>
    <w:rsid w:val="004B46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stParagraphChar">
    <w:name w:val="List Paragraph Char"/>
    <w:link w:val="ListParagraph"/>
    <w:uiPriority w:val="34"/>
    <w:locked/>
    <w:rsid w:val="00BD4BA3"/>
  </w:style>
  <w:style w:type="paragraph" w:styleId="Header">
    <w:name w:val="header"/>
    <w:basedOn w:val="Normal"/>
    <w:link w:val="HeaderChar"/>
    <w:unhideWhenUsed/>
    <w:rsid w:val="004B46A0"/>
    <w:pPr>
      <w:tabs>
        <w:tab w:val="center" w:pos="4680"/>
        <w:tab w:val="right" w:pos="9360"/>
      </w:tabs>
    </w:pPr>
  </w:style>
  <w:style w:type="character" w:customStyle="1" w:styleId="HeaderChar">
    <w:name w:val="Header Char"/>
    <w:basedOn w:val="DefaultParagraphFont"/>
    <w:link w:val="Header"/>
    <w:uiPriority w:val="99"/>
    <w:rsid w:val="004B46A0"/>
  </w:style>
  <w:style w:type="paragraph" w:styleId="Footer">
    <w:name w:val="footer"/>
    <w:basedOn w:val="Normal"/>
    <w:link w:val="FooterChar"/>
    <w:uiPriority w:val="99"/>
    <w:unhideWhenUsed/>
    <w:rsid w:val="004B46A0"/>
    <w:pPr>
      <w:tabs>
        <w:tab w:val="center" w:pos="4680"/>
        <w:tab w:val="right" w:pos="9360"/>
      </w:tabs>
    </w:pPr>
  </w:style>
  <w:style w:type="character" w:customStyle="1" w:styleId="FooterChar">
    <w:name w:val="Footer Char"/>
    <w:basedOn w:val="DefaultParagraphFont"/>
    <w:link w:val="Footer"/>
    <w:uiPriority w:val="99"/>
    <w:rsid w:val="004B46A0"/>
  </w:style>
  <w:style w:type="paragraph" w:styleId="BalloonText">
    <w:name w:val="Balloon Text"/>
    <w:basedOn w:val="Normal"/>
    <w:link w:val="BalloonTextChar"/>
    <w:uiPriority w:val="99"/>
    <w:semiHidden/>
    <w:unhideWhenUsed/>
    <w:rsid w:val="004B46A0"/>
    <w:rPr>
      <w:rFonts w:ascii="Tahoma" w:hAnsi="Tahoma" w:cs="Tahoma"/>
      <w:sz w:val="16"/>
      <w:szCs w:val="16"/>
    </w:rPr>
  </w:style>
  <w:style w:type="character" w:customStyle="1" w:styleId="BalloonTextChar">
    <w:name w:val="Balloon Text Char"/>
    <w:basedOn w:val="DefaultParagraphFont"/>
    <w:link w:val="BalloonText"/>
    <w:uiPriority w:val="99"/>
    <w:semiHidden/>
    <w:rsid w:val="004B46A0"/>
    <w:rPr>
      <w:rFonts w:ascii="Tahoma" w:hAnsi="Tahoma" w:cs="Tahoma"/>
      <w:sz w:val="16"/>
      <w:szCs w:val="16"/>
    </w:rPr>
  </w:style>
  <w:style w:type="table" w:customStyle="1" w:styleId="LightShading-Accent11">
    <w:name w:val="Light Shading - Accent 11"/>
    <w:basedOn w:val="TableNormal"/>
    <w:uiPriority w:val="60"/>
    <w:rsid w:val="00C5637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A60A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3E7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semiHidden/>
    <w:unhideWhenUsed/>
    <w:qFormat/>
    <w:rsid w:val="00C6217F"/>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9767494">
      <w:bodyDiv w:val="1"/>
      <w:marLeft w:val="0"/>
      <w:marRight w:val="0"/>
      <w:marTop w:val="0"/>
      <w:marBottom w:val="0"/>
      <w:divBdr>
        <w:top w:val="none" w:sz="0" w:space="0" w:color="auto"/>
        <w:left w:val="none" w:sz="0" w:space="0" w:color="auto"/>
        <w:bottom w:val="none" w:sz="0" w:space="0" w:color="auto"/>
        <w:right w:val="none" w:sz="0" w:space="0" w:color="auto"/>
      </w:divBdr>
      <w:divsChild>
        <w:div w:id="1546016250">
          <w:marLeft w:val="547"/>
          <w:marRight w:val="0"/>
          <w:marTop w:val="96"/>
          <w:marBottom w:val="0"/>
          <w:divBdr>
            <w:top w:val="none" w:sz="0" w:space="0" w:color="auto"/>
            <w:left w:val="none" w:sz="0" w:space="0" w:color="auto"/>
            <w:bottom w:val="none" w:sz="0" w:space="0" w:color="auto"/>
            <w:right w:val="none" w:sz="0" w:space="0" w:color="auto"/>
          </w:divBdr>
        </w:div>
      </w:divsChild>
    </w:div>
    <w:div w:id="167334416">
      <w:bodyDiv w:val="1"/>
      <w:marLeft w:val="0"/>
      <w:marRight w:val="0"/>
      <w:marTop w:val="0"/>
      <w:marBottom w:val="0"/>
      <w:divBdr>
        <w:top w:val="none" w:sz="0" w:space="0" w:color="auto"/>
        <w:left w:val="none" w:sz="0" w:space="0" w:color="auto"/>
        <w:bottom w:val="none" w:sz="0" w:space="0" w:color="auto"/>
        <w:right w:val="none" w:sz="0" w:space="0" w:color="auto"/>
      </w:divBdr>
      <w:divsChild>
        <w:div w:id="867450178">
          <w:marLeft w:val="547"/>
          <w:marRight w:val="0"/>
          <w:marTop w:val="72"/>
          <w:marBottom w:val="0"/>
          <w:divBdr>
            <w:top w:val="none" w:sz="0" w:space="0" w:color="auto"/>
            <w:left w:val="none" w:sz="0" w:space="0" w:color="auto"/>
            <w:bottom w:val="none" w:sz="0" w:space="0" w:color="auto"/>
            <w:right w:val="none" w:sz="0" w:space="0" w:color="auto"/>
          </w:divBdr>
        </w:div>
        <w:div w:id="691538554">
          <w:marLeft w:val="547"/>
          <w:marRight w:val="0"/>
          <w:marTop w:val="72"/>
          <w:marBottom w:val="0"/>
          <w:divBdr>
            <w:top w:val="none" w:sz="0" w:space="0" w:color="auto"/>
            <w:left w:val="none" w:sz="0" w:space="0" w:color="auto"/>
            <w:bottom w:val="none" w:sz="0" w:space="0" w:color="auto"/>
            <w:right w:val="none" w:sz="0" w:space="0" w:color="auto"/>
          </w:divBdr>
        </w:div>
        <w:div w:id="71464272">
          <w:marLeft w:val="547"/>
          <w:marRight w:val="0"/>
          <w:marTop w:val="72"/>
          <w:marBottom w:val="0"/>
          <w:divBdr>
            <w:top w:val="none" w:sz="0" w:space="0" w:color="auto"/>
            <w:left w:val="none" w:sz="0" w:space="0" w:color="auto"/>
            <w:bottom w:val="none" w:sz="0" w:space="0" w:color="auto"/>
            <w:right w:val="none" w:sz="0" w:space="0" w:color="auto"/>
          </w:divBdr>
        </w:div>
        <w:div w:id="851645934">
          <w:marLeft w:val="547"/>
          <w:marRight w:val="0"/>
          <w:marTop w:val="72"/>
          <w:marBottom w:val="0"/>
          <w:divBdr>
            <w:top w:val="none" w:sz="0" w:space="0" w:color="auto"/>
            <w:left w:val="none" w:sz="0" w:space="0" w:color="auto"/>
            <w:bottom w:val="none" w:sz="0" w:space="0" w:color="auto"/>
            <w:right w:val="none" w:sz="0" w:space="0" w:color="auto"/>
          </w:divBdr>
        </w:div>
        <w:div w:id="1414469568">
          <w:marLeft w:val="547"/>
          <w:marRight w:val="0"/>
          <w:marTop w:val="72"/>
          <w:marBottom w:val="0"/>
          <w:divBdr>
            <w:top w:val="none" w:sz="0" w:space="0" w:color="auto"/>
            <w:left w:val="none" w:sz="0" w:space="0" w:color="auto"/>
            <w:bottom w:val="none" w:sz="0" w:space="0" w:color="auto"/>
            <w:right w:val="none" w:sz="0" w:space="0" w:color="auto"/>
          </w:divBdr>
        </w:div>
        <w:div w:id="1074667174">
          <w:marLeft w:val="547"/>
          <w:marRight w:val="0"/>
          <w:marTop w:val="72"/>
          <w:marBottom w:val="0"/>
          <w:divBdr>
            <w:top w:val="none" w:sz="0" w:space="0" w:color="auto"/>
            <w:left w:val="none" w:sz="0" w:space="0" w:color="auto"/>
            <w:bottom w:val="none" w:sz="0" w:space="0" w:color="auto"/>
            <w:right w:val="none" w:sz="0" w:space="0" w:color="auto"/>
          </w:divBdr>
        </w:div>
        <w:div w:id="1289895051">
          <w:marLeft w:val="547"/>
          <w:marRight w:val="0"/>
          <w:marTop w:val="72"/>
          <w:marBottom w:val="0"/>
          <w:divBdr>
            <w:top w:val="none" w:sz="0" w:space="0" w:color="auto"/>
            <w:left w:val="none" w:sz="0" w:space="0" w:color="auto"/>
            <w:bottom w:val="none" w:sz="0" w:space="0" w:color="auto"/>
            <w:right w:val="none" w:sz="0" w:space="0" w:color="auto"/>
          </w:divBdr>
        </w:div>
        <w:div w:id="939220201">
          <w:marLeft w:val="547"/>
          <w:marRight w:val="0"/>
          <w:marTop w:val="72"/>
          <w:marBottom w:val="0"/>
          <w:divBdr>
            <w:top w:val="none" w:sz="0" w:space="0" w:color="auto"/>
            <w:left w:val="none" w:sz="0" w:space="0" w:color="auto"/>
            <w:bottom w:val="none" w:sz="0" w:space="0" w:color="auto"/>
            <w:right w:val="none" w:sz="0" w:space="0" w:color="auto"/>
          </w:divBdr>
        </w:div>
        <w:div w:id="47414094">
          <w:marLeft w:val="547"/>
          <w:marRight w:val="0"/>
          <w:marTop w:val="72"/>
          <w:marBottom w:val="0"/>
          <w:divBdr>
            <w:top w:val="none" w:sz="0" w:space="0" w:color="auto"/>
            <w:left w:val="none" w:sz="0" w:space="0" w:color="auto"/>
            <w:bottom w:val="none" w:sz="0" w:space="0" w:color="auto"/>
            <w:right w:val="none" w:sz="0" w:space="0" w:color="auto"/>
          </w:divBdr>
        </w:div>
      </w:divsChild>
    </w:div>
    <w:div w:id="642201680">
      <w:bodyDiv w:val="1"/>
      <w:marLeft w:val="0"/>
      <w:marRight w:val="0"/>
      <w:marTop w:val="0"/>
      <w:marBottom w:val="0"/>
      <w:divBdr>
        <w:top w:val="none" w:sz="0" w:space="0" w:color="auto"/>
        <w:left w:val="none" w:sz="0" w:space="0" w:color="auto"/>
        <w:bottom w:val="none" w:sz="0" w:space="0" w:color="auto"/>
        <w:right w:val="none" w:sz="0" w:space="0" w:color="auto"/>
      </w:divBdr>
      <w:divsChild>
        <w:div w:id="1881628702">
          <w:marLeft w:val="547"/>
          <w:marRight w:val="0"/>
          <w:marTop w:val="86"/>
          <w:marBottom w:val="0"/>
          <w:divBdr>
            <w:top w:val="none" w:sz="0" w:space="0" w:color="auto"/>
            <w:left w:val="none" w:sz="0" w:space="0" w:color="auto"/>
            <w:bottom w:val="none" w:sz="0" w:space="0" w:color="auto"/>
            <w:right w:val="none" w:sz="0" w:space="0" w:color="auto"/>
          </w:divBdr>
        </w:div>
        <w:div w:id="2108304137">
          <w:marLeft w:val="547"/>
          <w:marRight w:val="0"/>
          <w:marTop w:val="86"/>
          <w:marBottom w:val="0"/>
          <w:divBdr>
            <w:top w:val="none" w:sz="0" w:space="0" w:color="auto"/>
            <w:left w:val="none" w:sz="0" w:space="0" w:color="auto"/>
            <w:bottom w:val="none" w:sz="0" w:space="0" w:color="auto"/>
            <w:right w:val="none" w:sz="0" w:space="0" w:color="auto"/>
          </w:divBdr>
        </w:div>
        <w:div w:id="103117196">
          <w:marLeft w:val="547"/>
          <w:marRight w:val="0"/>
          <w:marTop w:val="86"/>
          <w:marBottom w:val="0"/>
          <w:divBdr>
            <w:top w:val="none" w:sz="0" w:space="0" w:color="auto"/>
            <w:left w:val="none" w:sz="0" w:space="0" w:color="auto"/>
            <w:bottom w:val="none" w:sz="0" w:space="0" w:color="auto"/>
            <w:right w:val="none" w:sz="0" w:space="0" w:color="auto"/>
          </w:divBdr>
        </w:div>
      </w:divsChild>
    </w:div>
    <w:div w:id="1130052071">
      <w:bodyDiv w:val="1"/>
      <w:marLeft w:val="0"/>
      <w:marRight w:val="0"/>
      <w:marTop w:val="0"/>
      <w:marBottom w:val="0"/>
      <w:divBdr>
        <w:top w:val="none" w:sz="0" w:space="0" w:color="auto"/>
        <w:left w:val="none" w:sz="0" w:space="0" w:color="auto"/>
        <w:bottom w:val="none" w:sz="0" w:space="0" w:color="auto"/>
        <w:right w:val="none" w:sz="0" w:space="0" w:color="auto"/>
      </w:divBdr>
      <w:divsChild>
        <w:div w:id="1289318393">
          <w:marLeft w:val="547"/>
          <w:marRight w:val="0"/>
          <w:marTop w:val="96"/>
          <w:marBottom w:val="0"/>
          <w:divBdr>
            <w:top w:val="none" w:sz="0" w:space="0" w:color="auto"/>
            <w:left w:val="none" w:sz="0" w:space="0" w:color="auto"/>
            <w:bottom w:val="none" w:sz="0" w:space="0" w:color="auto"/>
            <w:right w:val="none" w:sz="0" w:space="0" w:color="auto"/>
          </w:divBdr>
        </w:div>
        <w:div w:id="1062216588">
          <w:marLeft w:val="547"/>
          <w:marRight w:val="0"/>
          <w:marTop w:val="96"/>
          <w:marBottom w:val="0"/>
          <w:divBdr>
            <w:top w:val="none" w:sz="0" w:space="0" w:color="auto"/>
            <w:left w:val="none" w:sz="0" w:space="0" w:color="auto"/>
            <w:bottom w:val="none" w:sz="0" w:space="0" w:color="auto"/>
            <w:right w:val="none" w:sz="0" w:space="0" w:color="auto"/>
          </w:divBdr>
        </w:div>
        <w:div w:id="1283225206">
          <w:marLeft w:val="547"/>
          <w:marRight w:val="0"/>
          <w:marTop w:val="96"/>
          <w:marBottom w:val="0"/>
          <w:divBdr>
            <w:top w:val="none" w:sz="0" w:space="0" w:color="auto"/>
            <w:left w:val="none" w:sz="0" w:space="0" w:color="auto"/>
            <w:bottom w:val="none" w:sz="0" w:space="0" w:color="auto"/>
            <w:right w:val="none" w:sz="0" w:space="0" w:color="auto"/>
          </w:divBdr>
        </w:div>
      </w:divsChild>
    </w:div>
    <w:div w:id="1354720962">
      <w:bodyDiv w:val="1"/>
      <w:marLeft w:val="0"/>
      <w:marRight w:val="0"/>
      <w:marTop w:val="0"/>
      <w:marBottom w:val="0"/>
      <w:divBdr>
        <w:top w:val="none" w:sz="0" w:space="0" w:color="auto"/>
        <w:left w:val="none" w:sz="0" w:space="0" w:color="auto"/>
        <w:bottom w:val="none" w:sz="0" w:space="0" w:color="auto"/>
        <w:right w:val="none" w:sz="0" w:space="0" w:color="auto"/>
      </w:divBdr>
    </w:div>
    <w:div w:id="1451128481">
      <w:bodyDiv w:val="1"/>
      <w:marLeft w:val="0"/>
      <w:marRight w:val="0"/>
      <w:marTop w:val="0"/>
      <w:marBottom w:val="0"/>
      <w:divBdr>
        <w:top w:val="none" w:sz="0" w:space="0" w:color="auto"/>
        <w:left w:val="none" w:sz="0" w:space="0" w:color="auto"/>
        <w:bottom w:val="none" w:sz="0" w:space="0" w:color="auto"/>
        <w:right w:val="none" w:sz="0" w:space="0" w:color="auto"/>
      </w:divBdr>
      <w:divsChild>
        <w:div w:id="627011082">
          <w:marLeft w:val="547"/>
          <w:marRight w:val="0"/>
          <w:marTop w:val="115"/>
          <w:marBottom w:val="0"/>
          <w:divBdr>
            <w:top w:val="none" w:sz="0" w:space="0" w:color="auto"/>
            <w:left w:val="none" w:sz="0" w:space="0" w:color="auto"/>
            <w:bottom w:val="none" w:sz="0" w:space="0" w:color="auto"/>
            <w:right w:val="none" w:sz="0" w:space="0" w:color="auto"/>
          </w:divBdr>
        </w:div>
        <w:div w:id="376126228">
          <w:marLeft w:val="547"/>
          <w:marRight w:val="0"/>
          <w:marTop w:val="115"/>
          <w:marBottom w:val="0"/>
          <w:divBdr>
            <w:top w:val="none" w:sz="0" w:space="0" w:color="auto"/>
            <w:left w:val="none" w:sz="0" w:space="0" w:color="auto"/>
            <w:bottom w:val="none" w:sz="0" w:space="0" w:color="auto"/>
            <w:right w:val="none" w:sz="0" w:space="0" w:color="auto"/>
          </w:divBdr>
        </w:div>
        <w:div w:id="56901733">
          <w:marLeft w:val="547"/>
          <w:marRight w:val="0"/>
          <w:marTop w:val="115"/>
          <w:marBottom w:val="0"/>
          <w:divBdr>
            <w:top w:val="none" w:sz="0" w:space="0" w:color="auto"/>
            <w:left w:val="none" w:sz="0" w:space="0" w:color="auto"/>
            <w:bottom w:val="none" w:sz="0" w:space="0" w:color="auto"/>
            <w:right w:val="none" w:sz="0" w:space="0" w:color="auto"/>
          </w:divBdr>
        </w:div>
        <w:div w:id="1956521302">
          <w:marLeft w:val="547"/>
          <w:marRight w:val="0"/>
          <w:marTop w:val="115"/>
          <w:marBottom w:val="0"/>
          <w:divBdr>
            <w:top w:val="none" w:sz="0" w:space="0" w:color="auto"/>
            <w:left w:val="none" w:sz="0" w:space="0" w:color="auto"/>
            <w:bottom w:val="none" w:sz="0" w:space="0" w:color="auto"/>
            <w:right w:val="none" w:sz="0" w:space="0" w:color="auto"/>
          </w:divBdr>
        </w:div>
      </w:divsChild>
    </w:div>
    <w:div w:id="1535344104">
      <w:bodyDiv w:val="1"/>
      <w:marLeft w:val="0"/>
      <w:marRight w:val="0"/>
      <w:marTop w:val="0"/>
      <w:marBottom w:val="0"/>
      <w:divBdr>
        <w:top w:val="none" w:sz="0" w:space="0" w:color="auto"/>
        <w:left w:val="none" w:sz="0" w:space="0" w:color="auto"/>
        <w:bottom w:val="none" w:sz="0" w:space="0" w:color="auto"/>
        <w:right w:val="none" w:sz="0" w:space="0" w:color="auto"/>
      </w:divBdr>
      <w:divsChild>
        <w:div w:id="353188477">
          <w:marLeft w:val="547"/>
          <w:marRight w:val="0"/>
          <w:marTop w:val="86"/>
          <w:marBottom w:val="0"/>
          <w:divBdr>
            <w:top w:val="none" w:sz="0" w:space="0" w:color="auto"/>
            <w:left w:val="none" w:sz="0" w:space="0" w:color="auto"/>
            <w:bottom w:val="none" w:sz="0" w:space="0" w:color="auto"/>
            <w:right w:val="none" w:sz="0" w:space="0" w:color="auto"/>
          </w:divBdr>
        </w:div>
      </w:divsChild>
    </w:div>
    <w:div w:id="1547135639">
      <w:bodyDiv w:val="1"/>
      <w:marLeft w:val="0"/>
      <w:marRight w:val="0"/>
      <w:marTop w:val="0"/>
      <w:marBottom w:val="0"/>
      <w:divBdr>
        <w:top w:val="none" w:sz="0" w:space="0" w:color="auto"/>
        <w:left w:val="none" w:sz="0" w:space="0" w:color="auto"/>
        <w:bottom w:val="none" w:sz="0" w:space="0" w:color="auto"/>
        <w:right w:val="none" w:sz="0" w:space="0" w:color="auto"/>
      </w:divBdr>
      <w:divsChild>
        <w:div w:id="950933968">
          <w:marLeft w:val="547"/>
          <w:marRight w:val="0"/>
          <w:marTop w:val="86"/>
          <w:marBottom w:val="0"/>
          <w:divBdr>
            <w:top w:val="none" w:sz="0" w:space="0" w:color="auto"/>
            <w:left w:val="none" w:sz="0" w:space="0" w:color="auto"/>
            <w:bottom w:val="none" w:sz="0" w:space="0" w:color="auto"/>
            <w:right w:val="none" w:sz="0" w:space="0" w:color="auto"/>
          </w:divBdr>
        </w:div>
      </w:divsChild>
    </w:div>
    <w:div w:id="1635869669">
      <w:bodyDiv w:val="1"/>
      <w:marLeft w:val="0"/>
      <w:marRight w:val="0"/>
      <w:marTop w:val="0"/>
      <w:marBottom w:val="0"/>
      <w:divBdr>
        <w:top w:val="none" w:sz="0" w:space="0" w:color="auto"/>
        <w:left w:val="none" w:sz="0" w:space="0" w:color="auto"/>
        <w:bottom w:val="none" w:sz="0" w:space="0" w:color="auto"/>
        <w:right w:val="none" w:sz="0" w:space="0" w:color="auto"/>
      </w:divBdr>
      <w:divsChild>
        <w:div w:id="802314189">
          <w:marLeft w:val="547"/>
          <w:marRight w:val="0"/>
          <w:marTop w:val="86"/>
          <w:marBottom w:val="0"/>
          <w:divBdr>
            <w:top w:val="none" w:sz="0" w:space="0" w:color="auto"/>
            <w:left w:val="none" w:sz="0" w:space="0" w:color="auto"/>
            <w:bottom w:val="none" w:sz="0" w:space="0" w:color="auto"/>
            <w:right w:val="none" w:sz="0" w:space="0" w:color="auto"/>
          </w:divBdr>
        </w:div>
        <w:div w:id="1834447348">
          <w:marLeft w:val="547"/>
          <w:marRight w:val="0"/>
          <w:marTop w:val="86"/>
          <w:marBottom w:val="0"/>
          <w:divBdr>
            <w:top w:val="none" w:sz="0" w:space="0" w:color="auto"/>
            <w:left w:val="none" w:sz="0" w:space="0" w:color="auto"/>
            <w:bottom w:val="none" w:sz="0" w:space="0" w:color="auto"/>
            <w:right w:val="none" w:sz="0" w:space="0" w:color="auto"/>
          </w:divBdr>
        </w:div>
        <w:div w:id="1022898088">
          <w:marLeft w:val="547"/>
          <w:marRight w:val="0"/>
          <w:marTop w:val="86"/>
          <w:marBottom w:val="0"/>
          <w:divBdr>
            <w:top w:val="none" w:sz="0" w:space="0" w:color="auto"/>
            <w:left w:val="none" w:sz="0" w:space="0" w:color="auto"/>
            <w:bottom w:val="none" w:sz="0" w:space="0" w:color="auto"/>
            <w:right w:val="none" w:sz="0" w:space="0" w:color="auto"/>
          </w:divBdr>
        </w:div>
        <w:div w:id="1383600289">
          <w:marLeft w:val="547"/>
          <w:marRight w:val="0"/>
          <w:marTop w:val="86"/>
          <w:marBottom w:val="0"/>
          <w:divBdr>
            <w:top w:val="none" w:sz="0" w:space="0" w:color="auto"/>
            <w:left w:val="none" w:sz="0" w:space="0" w:color="auto"/>
            <w:bottom w:val="none" w:sz="0" w:space="0" w:color="auto"/>
            <w:right w:val="none" w:sz="0" w:space="0" w:color="auto"/>
          </w:divBdr>
        </w:div>
        <w:div w:id="128400511">
          <w:marLeft w:val="547"/>
          <w:marRight w:val="0"/>
          <w:marTop w:val="86"/>
          <w:marBottom w:val="0"/>
          <w:divBdr>
            <w:top w:val="none" w:sz="0" w:space="0" w:color="auto"/>
            <w:left w:val="none" w:sz="0" w:space="0" w:color="auto"/>
            <w:bottom w:val="none" w:sz="0" w:space="0" w:color="auto"/>
            <w:right w:val="none" w:sz="0" w:space="0" w:color="auto"/>
          </w:divBdr>
        </w:div>
      </w:divsChild>
    </w:div>
    <w:div w:id="1695115611">
      <w:bodyDiv w:val="1"/>
      <w:marLeft w:val="0"/>
      <w:marRight w:val="0"/>
      <w:marTop w:val="0"/>
      <w:marBottom w:val="0"/>
      <w:divBdr>
        <w:top w:val="none" w:sz="0" w:space="0" w:color="auto"/>
        <w:left w:val="none" w:sz="0" w:space="0" w:color="auto"/>
        <w:bottom w:val="none" w:sz="0" w:space="0" w:color="auto"/>
        <w:right w:val="none" w:sz="0" w:space="0" w:color="auto"/>
      </w:divBdr>
      <w:divsChild>
        <w:div w:id="107706789">
          <w:marLeft w:val="547"/>
          <w:marRight w:val="0"/>
          <w:marTop w:val="96"/>
          <w:marBottom w:val="0"/>
          <w:divBdr>
            <w:top w:val="none" w:sz="0" w:space="0" w:color="auto"/>
            <w:left w:val="none" w:sz="0" w:space="0" w:color="auto"/>
            <w:bottom w:val="none" w:sz="0" w:space="0" w:color="auto"/>
            <w:right w:val="none" w:sz="0" w:space="0" w:color="auto"/>
          </w:divBdr>
        </w:div>
        <w:div w:id="1782457984">
          <w:marLeft w:val="547"/>
          <w:marRight w:val="0"/>
          <w:marTop w:val="96"/>
          <w:marBottom w:val="0"/>
          <w:divBdr>
            <w:top w:val="none" w:sz="0" w:space="0" w:color="auto"/>
            <w:left w:val="none" w:sz="0" w:space="0" w:color="auto"/>
            <w:bottom w:val="none" w:sz="0" w:space="0" w:color="auto"/>
            <w:right w:val="none" w:sz="0" w:space="0" w:color="auto"/>
          </w:divBdr>
        </w:div>
        <w:div w:id="533274852">
          <w:marLeft w:val="547"/>
          <w:marRight w:val="0"/>
          <w:marTop w:val="96"/>
          <w:marBottom w:val="0"/>
          <w:divBdr>
            <w:top w:val="none" w:sz="0" w:space="0" w:color="auto"/>
            <w:left w:val="none" w:sz="0" w:space="0" w:color="auto"/>
            <w:bottom w:val="none" w:sz="0" w:space="0" w:color="auto"/>
            <w:right w:val="none" w:sz="0" w:space="0" w:color="auto"/>
          </w:divBdr>
        </w:div>
      </w:divsChild>
    </w:div>
    <w:div w:id="1699307270">
      <w:bodyDiv w:val="1"/>
      <w:marLeft w:val="0"/>
      <w:marRight w:val="0"/>
      <w:marTop w:val="0"/>
      <w:marBottom w:val="0"/>
      <w:divBdr>
        <w:top w:val="none" w:sz="0" w:space="0" w:color="auto"/>
        <w:left w:val="none" w:sz="0" w:space="0" w:color="auto"/>
        <w:bottom w:val="none" w:sz="0" w:space="0" w:color="auto"/>
        <w:right w:val="none" w:sz="0" w:space="0" w:color="auto"/>
      </w:divBdr>
    </w:div>
    <w:div w:id="1774789539">
      <w:bodyDiv w:val="1"/>
      <w:marLeft w:val="0"/>
      <w:marRight w:val="0"/>
      <w:marTop w:val="0"/>
      <w:marBottom w:val="0"/>
      <w:divBdr>
        <w:top w:val="none" w:sz="0" w:space="0" w:color="auto"/>
        <w:left w:val="none" w:sz="0" w:space="0" w:color="auto"/>
        <w:bottom w:val="none" w:sz="0" w:space="0" w:color="auto"/>
        <w:right w:val="none" w:sz="0" w:space="0" w:color="auto"/>
      </w:divBdr>
    </w:div>
    <w:div w:id="1783260475">
      <w:bodyDiv w:val="1"/>
      <w:marLeft w:val="0"/>
      <w:marRight w:val="0"/>
      <w:marTop w:val="0"/>
      <w:marBottom w:val="0"/>
      <w:divBdr>
        <w:top w:val="none" w:sz="0" w:space="0" w:color="auto"/>
        <w:left w:val="none" w:sz="0" w:space="0" w:color="auto"/>
        <w:bottom w:val="none" w:sz="0" w:space="0" w:color="auto"/>
        <w:right w:val="none" w:sz="0" w:space="0" w:color="auto"/>
      </w:divBdr>
      <w:divsChild>
        <w:div w:id="654802521">
          <w:marLeft w:val="547"/>
          <w:marRight w:val="0"/>
          <w:marTop w:val="86"/>
          <w:marBottom w:val="0"/>
          <w:divBdr>
            <w:top w:val="none" w:sz="0" w:space="0" w:color="auto"/>
            <w:left w:val="none" w:sz="0" w:space="0" w:color="auto"/>
            <w:bottom w:val="none" w:sz="0" w:space="0" w:color="auto"/>
            <w:right w:val="none" w:sz="0" w:space="0" w:color="auto"/>
          </w:divBdr>
        </w:div>
        <w:div w:id="940069984">
          <w:marLeft w:val="547"/>
          <w:marRight w:val="0"/>
          <w:marTop w:val="86"/>
          <w:marBottom w:val="0"/>
          <w:divBdr>
            <w:top w:val="none" w:sz="0" w:space="0" w:color="auto"/>
            <w:left w:val="none" w:sz="0" w:space="0" w:color="auto"/>
            <w:bottom w:val="none" w:sz="0" w:space="0" w:color="auto"/>
            <w:right w:val="none" w:sz="0" w:space="0" w:color="auto"/>
          </w:divBdr>
        </w:div>
        <w:div w:id="119108512">
          <w:marLeft w:val="547"/>
          <w:marRight w:val="0"/>
          <w:marTop w:val="86"/>
          <w:marBottom w:val="0"/>
          <w:divBdr>
            <w:top w:val="none" w:sz="0" w:space="0" w:color="auto"/>
            <w:left w:val="none" w:sz="0" w:space="0" w:color="auto"/>
            <w:bottom w:val="none" w:sz="0" w:space="0" w:color="auto"/>
            <w:right w:val="none" w:sz="0" w:space="0" w:color="auto"/>
          </w:divBdr>
        </w:div>
      </w:divsChild>
    </w:div>
    <w:div w:id="1979334045">
      <w:bodyDiv w:val="1"/>
      <w:marLeft w:val="0"/>
      <w:marRight w:val="0"/>
      <w:marTop w:val="0"/>
      <w:marBottom w:val="0"/>
      <w:divBdr>
        <w:top w:val="none" w:sz="0" w:space="0" w:color="auto"/>
        <w:left w:val="none" w:sz="0" w:space="0" w:color="auto"/>
        <w:bottom w:val="none" w:sz="0" w:space="0" w:color="auto"/>
        <w:right w:val="none" w:sz="0" w:space="0" w:color="auto"/>
      </w:divBdr>
    </w:div>
    <w:div w:id="2006779487">
      <w:bodyDiv w:val="1"/>
      <w:marLeft w:val="0"/>
      <w:marRight w:val="0"/>
      <w:marTop w:val="0"/>
      <w:marBottom w:val="0"/>
      <w:divBdr>
        <w:top w:val="none" w:sz="0" w:space="0" w:color="auto"/>
        <w:left w:val="none" w:sz="0" w:space="0" w:color="auto"/>
        <w:bottom w:val="none" w:sz="0" w:space="0" w:color="auto"/>
        <w:right w:val="none" w:sz="0" w:space="0" w:color="auto"/>
      </w:divBdr>
      <w:divsChild>
        <w:div w:id="974211986">
          <w:marLeft w:val="547"/>
          <w:marRight w:val="0"/>
          <w:marTop w:val="86"/>
          <w:marBottom w:val="0"/>
          <w:divBdr>
            <w:top w:val="none" w:sz="0" w:space="0" w:color="auto"/>
            <w:left w:val="none" w:sz="0" w:space="0" w:color="auto"/>
            <w:bottom w:val="none" w:sz="0" w:space="0" w:color="auto"/>
            <w:right w:val="none" w:sz="0" w:space="0" w:color="auto"/>
          </w:divBdr>
        </w:div>
        <w:div w:id="1064647670">
          <w:marLeft w:val="547"/>
          <w:marRight w:val="0"/>
          <w:marTop w:val="86"/>
          <w:marBottom w:val="0"/>
          <w:divBdr>
            <w:top w:val="none" w:sz="0" w:space="0" w:color="auto"/>
            <w:left w:val="none" w:sz="0" w:space="0" w:color="auto"/>
            <w:bottom w:val="none" w:sz="0" w:space="0" w:color="auto"/>
            <w:right w:val="none" w:sz="0" w:space="0" w:color="auto"/>
          </w:divBdr>
        </w:div>
      </w:divsChild>
    </w:div>
    <w:div w:id="2131239754">
      <w:bodyDiv w:val="1"/>
      <w:marLeft w:val="0"/>
      <w:marRight w:val="0"/>
      <w:marTop w:val="0"/>
      <w:marBottom w:val="0"/>
      <w:divBdr>
        <w:top w:val="none" w:sz="0" w:space="0" w:color="auto"/>
        <w:left w:val="none" w:sz="0" w:space="0" w:color="auto"/>
        <w:bottom w:val="none" w:sz="0" w:space="0" w:color="auto"/>
        <w:right w:val="none" w:sz="0" w:space="0" w:color="auto"/>
      </w:divBdr>
      <w:divsChild>
        <w:div w:id="2072926265">
          <w:marLeft w:val="547"/>
          <w:marRight w:val="0"/>
          <w:marTop w:val="96"/>
          <w:marBottom w:val="0"/>
          <w:divBdr>
            <w:top w:val="none" w:sz="0" w:space="0" w:color="auto"/>
            <w:left w:val="none" w:sz="0" w:space="0" w:color="auto"/>
            <w:bottom w:val="none" w:sz="0" w:space="0" w:color="auto"/>
            <w:right w:val="none" w:sz="0" w:space="0" w:color="auto"/>
          </w:divBdr>
        </w:div>
        <w:div w:id="5207810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numbering" Target="numbering.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image" Target="media/image19.png"/>
  <Relationship Id="rId27" Type="http://schemas.openxmlformats.org/officeDocument/2006/relationships/hyperlink" TargetMode="External" Target="http://www.doe.mass.edu/edwin"/>
  <Relationship Id="rId28" Type="http://schemas.openxmlformats.org/officeDocument/2006/relationships/hyperlink" TargetMode="External" Target="mailto:edwin@doe.mass.edu"/>
  <Relationship Id="rId29" Type="http://schemas.openxmlformats.org/officeDocument/2006/relationships/header" Target="header1.xml"/>
  <Relationship Id="rId3" Type="http://schemas.openxmlformats.org/officeDocument/2006/relationships/styles" Target="styles.xml"/>
  <Relationship Id="rId30" Type="http://schemas.openxmlformats.org/officeDocument/2006/relationships/footer" Target="footer1.xml"/>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Relationships xmlns="http://schemas.openxmlformats.org/package/2006/relationships">
  <Relationship Id="rId1" Type="http://schemas.openxmlformats.org/officeDocument/2006/relationships/image" Target="media/image20.gif"/>
  <Relationship Id="rId2" Type="http://schemas.openxmlformats.org/officeDocument/2006/relationships/image" Target="media/image2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5E07D-7860-4A17-B613-1AF2861D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Edwin Analytics Reports Overview - Expanded</vt:lpstr>
    </vt:vector>
  </TitlesOfParts>
  <Company/>
  <LinksUpToDate>false</LinksUpToDate>
  <CharactersWithSpaces>20091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2014-11-10T17:58:00Z</dcterms:created>
  <dc:creator>Melissa King</dc:creator>
  <lastModifiedBy>mac</lastModifiedBy>
  <lastPrinted>2014-10-17T18:58:00Z</lastPrinted>
  <dcterms:modified xsi:type="dcterms:W3CDTF">2014-11-10T17:58:00Z</dcterms:modified>
  <revision>2</revision>
  <dc:title>Edwin Analytics Reports Overview - Expanded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2013</vt:lpwstr>
  </property>
</Properties>
</file>