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83CDF" w14:textId="55CAD53D" w:rsidR="007D5464" w:rsidRDefault="007D5464" w:rsidP="007D5464">
      <w:pPr>
        <w:pStyle w:val="Heading2"/>
      </w:pPr>
      <w:r>
        <w:t>Employment and Earnings</w:t>
      </w:r>
      <w:r w:rsidR="00324993">
        <w:t xml:space="preserve"> of High School Graduates</w:t>
      </w:r>
      <w:r>
        <w:t xml:space="preserve"> (WF301)</w:t>
      </w:r>
    </w:p>
    <w:p w14:paraId="795DCDD5" w14:textId="77777777" w:rsidR="00324993" w:rsidRPr="00324993" w:rsidRDefault="00324993" w:rsidP="00C07D6F">
      <w:pPr>
        <w:pStyle w:val="Heading2"/>
        <w:tabs>
          <w:tab w:val="left" w:pos="8265"/>
        </w:tabs>
        <w:rPr>
          <w:i/>
          <w:sz w:val="24"/>
        </w:rPr>
      </w:pPr>
      <w:r w:rsidRPr="00324993">
        <w:rPr>
          <w:i/>
          <w:sz w:val="24"/>
        </w:rPr>
        <w:t>Context</w:t>
      </w:r>
    </w:p>
    <w:p w14:paraId="0B91DF5F" w14:textId="77777777" w:rsidR="00324993" w:rsidRDefault="00324993" w:rsidP="00324993">
      <w:pPr>
        <w:tabs>
          <w:tab w:val="left" w:pos="21219"/>
        </w:tabs>
        <w:spacing w:after="0" w:line="240" w:lineRule="auto"/>
        <w:contextualSpacing/>
      </w:pPr>
      <w:r w:rsidRPr="00324993">
        <w:t xml:space="preserve">The Department of Elementary and Secondary Education (DESE) has </w:t>
      </w:r>
      <w:proofErr w:type="gramStart"/>
      <w:r w:rsidRPr="00324993">
        <w:t>partnered</w:t>
      </w:r>
      <w:proofErr w:type="gramEnd"/>
      <w:r w:rsidRPr="00324993">
        <w:t xml:space="preserve"> with the Department of Higher Education (DHE) and the Executive Office of Labor and Workforce Development (EOLWD) to answer policy questions related to the employment outcomes of public high school graduates. With support from federal Statewide Longitudinal Data System (SLDS) grant funding, DESE will produce research and reporting tools designed to:</w:t>
      </w:r>
    </w:p>
    <w:p w14:paraId="30557572" w14:textId="30AA2D20" w:rsidR="00324993" w:rsidRPr="00324993" w:rsidRDefault="00324993" w:rsidP="00324993">
      <w:pPr>
        <w:tabs>
          <w:tab w:val="left" w:pos="21219"/>
        </w:tabs>
        <w:spacing w:after="0" w:line="240" w:lineRule="auto"/>
        <w:contextualSpacing/>
      </w:pPr>
      <w:r w:rsidRPr="00324993">
        <w:tab/>
      </w:r>
    </w:p>
    <w:p w14:paraId="5987690F" w14:textId="27B54B46" w:rsidR="00324993" w:rsidRPr="00324993" w:rsidRDefault="00324993" w:rsidP="00324993">
      <w:pPr>
        <w:pStyle w:val="ListParagraph"/>
        <w:numPr>
          <w:ilvl w:val="0"/>
          <w:numId w:val="6"/>
        </w:numPr>
        <w:tabs>
          <w:tab w:val="left" w:pos="21219"/>
        </w:tabs>
        <w:spacing w:before="0"/>
        <w:rPr>
          <w:rFonts w:asciiTheme="minorHAnsi" w:hAnsiTheme="minorHAnsi" w:cstheme="minorHAnsi"/>
          <w:sz w:val="22"/>
        </w:rPr>
      </w:pPr>
      <w:r w:rsidRPr="00324993">
        <w:rPr>
          <w:rFonts w:asciiTheme="minorHAnsi" w:eastAsiaTheme="minorHAnsi" w:hAnsiTheme="minorHAnsi" w:cstheme="minorHAnsi"/>
          <w:sz w:val="22"/>
        </w:rPr>
        <w:t>Better connect education and workforce policies,</w:t>
      </w:r>
      <w:r w:rsidRPr="00324993">
        <w:rPr>
          <w:rFonts w:asciiTheme="minorHAnsi" w:hAnsiTheme="minorHAnsi" w:cstheme="minorHAnsi"/>
          <w:sz w:val="22"/>
        </w:rPr>
        <w:tab/>
      </w:r>
    </w:p>
    <w:p w14:paraId="3AD64BB3" w14:textId="639B1708" w:rsidR="00324993" w:rsidRPr="00324993" w:rsidRDefault="00324993" w:rsidP="00324993">
      <w:pPr>
        <w:pStyle w:val="ListParagraph"/>
        <w:numPr>
          <w:ilvl w:val="0"/>
          <w:numId w:val="6"/>
        </w:numPr>
        <w:tabs>
          <w:tab w:val="left" w:pos="21219"/>
        </w:tabs>
        <w:spacing w:before="0"/>
        <w:rPr>
          <w:rFonts w:asciiTheme="minorHAnsi" w:hAnsiTheme="minorHAnsi" w:cstheme="minorHAnsi"/>
          <w:sz w:val="22"/>
        </w:rPr>
      </w:pPr>
      <w:r w:rsidRPr="00324993">
        <w:rPr>
          <w:rFonts w:asciiTheme="minorHAnsi" w:eastAsiaTheme="minorHAnsi" w:hAnsiTheme="minorHAnsi" w:cstheme="minorHAnsi"/>
          <w:sz w:val="22"/>
        </w:rPr>
        <w:t>Create a stronger alignment between student learning and career outcomes, and</w:t>
      </w:r>
      <w:r w:rsidRPr="00324993">
        <w:rPr>
          <w:rFonts w:asciiTheme="minorHAnsi" w:hAnsiTheme="minorHAnsi" w:cstheme="minorHAnsi"/>
          <w:sz w:val="22"/>
        </w:rPr>
        <w:tab/>
      </w:r>
    </w:p>
    <w:p w14:paraId="0B8AEDC3" w14:textId="6FEBAA63" w:rsidR="00324993" w:rsidRPr="00E86E7B" w:rsidRDefault="00324993" w:rsidP="00324993">
      <w:pPr>
        <w:pStyle w:val="ListParagraph"/>
        <w:numPr>
          <w:ilvl w:val="0"/>
          <w:numId w:val="6"/>
        </w:numPr>
        <w:tabs>
          <w:tab w:val="left" w:pos="21219"/>
        </w:tabs>
        <w:spacing w:before="0" w:after="0"/>
        <w:rPr>
          <w:rFonts w:asciiTheme="minorHAnsi" w:hAnsiTheme="minorHAnsi" w:cstheme="minorHAnsi"/>
          <w:sz w:val="22"/>
        </w:rPr>
      </w:pPr>
      <w:r w:rsidRPr="00324993">
        <w:rPr>
          <w:rFonts w:asciiTheme="minorHAnsi" w:eastAsiaTheme="minorHAnsi" w:hAnsiTheme="minorHAnsi" w:cstheme="minorHAnsi"/>
          <w:sz w:val="22"/>
        </w:rPr>
        <w:t>Inform stakeholders about the quality and viability of various career pathways.</w:t>
      </w:r>
      <w:bookmarkStart w:id="0" w:name="_GoBack"/>
      <w:bookmarkEnd w:id="0"/>
    </w:p>
    <w:p w14:paraId="3EF48A15" w14:textId="466213AE" w:rsidR="00E86E7B" w:rsidRDefault="00E86E7B" w:rsidP="00E86E7B">
      <w:pPr>
        <w:pStyle w:val="ListParagraph"/>
        <w:tabs>
          <w:tab w:val="left" w:pos="21219"/>
        </w:tabs>
        <w:spacing w:before="0" w:after="0"/>
        <w:rPr>
          <w:rFonts w:asciiTheme="minorHAnsi" w:eastAsiaTheme="minorHAnsi" w:hAnsiTheme="minorHAnsi" w:cstheme="minorHAnsi"/>
          <w:sz w:val="22"/>
        </w:rPr>
      </w:pPr>
    </w:p>
    <w:p w14:paraId="3B99E210" w14:textId="77777777" w:rsidR="00E86E7B" w:rsidRPr="00324993" w:rsidRDefault="00E86E7B" w:rsidP="00E86E7B">
      <w:pPr>
        <w:pStyle w:val="ListParagraph"/>
        <w:tabs>
          <w:tab w:val="left" w:pos="21219"/>
        </w:tabs>
        <w:spacing w:before="0" w:after="0"/>
        <w:rPr>
          <w:rFonts w:asciiTheme="minorHAnsi" w:hAnsiTheme="minorHAnsi" w:cstheme="minorHAnsi"/>
          <w:sz w:val="22"/>
        </w:rPr>
      </w:pPr>
    </w:p>
    <w:p w14:paraId="7A605756" w14:textId="77777777" w:rsidR="00324993" w:rsidRPr="00324993" w:rsidRDefault="00324993" w:rsidP="00324993">
      <w:pPr>
        <w:tabs>
          <w:tab w:val="left" w:pos="21219"/>
        </w:tabs>
      </w:pPr>
      <w:r w:rsidRPr="00324993">
        <w:t xml:space="preserve">To obtain wage data, the Executive Office of Education (EOE) initiates a merge process with the Department of Unemployment Assistance (DUA) through a secure exchange. The result is a data file with a unique identifier for each successfully matched student, quarterly earnings, and the North American Industry Classification System (NAICS) code assigned to each employer of record. Name, date of birth, and other identifiers </w:t>
      </w:r>
      <w:proofErr w:type="gramStart"/>
      <w:r w:rsidRPr="00324993">
        <w:t>are removed</w:t>
      </w:r>
      <w:proofErr w:type="gramEnd"/>
      <w:r w:rsidRPr="00324993">
        <w:t xml:space="preserve"> to maintain student privacy.</w:t>
      </w:r>
      <w:r w:rsidRPr="00324993">
        <w:tab/>
      </w:r>
    </w:p>
    <w:p w14:paraId="3BD62F8F" w14:textId="1AB56727" w:rsidR="00D34620" w:rsidRPr="00324993" w:rsidRDefault="005B2804" w:rsidP="00C07D6F">
      <w:pPr>
        <w:pStyle w:val="Heading2"/>
        <w:tabs>
          <w:tab w:val="left" w:pos="8265"/>
        </w:tabs>
        <w:rPr>
          <w:i/>
          <w:sz w:val="24"/>
        </w:rPr>
      </w:pPr>
      <w:r w:rsidRPr="00324993">
        <w:rPr>
          <w:i/>
          <w:sz w:val="24"/>
        </w:rPr>
        <w:t xml:space="preserve">General </w:t>
      </w:r>
      <w:r w:rsidR="009A607E" w:rsidRPr="00324993">
        <w:rPr>
          <w:i/>
          <w:sz w:val="24"/>
        </w:rPr>
        <w:t>Definitions</w:t>
      </w:r>
    </w:p>
    <w:p w14:paraId="3BD62F90" w14:textId="77777777" w:rsidR="008D556F" w:rsidRPr="008D556F" w:rsidRDefault="008D556F">
      <w:r>
        <w:rPr>
          <w:b/>
        </w:rPr>
        <w:t xml:space="preserve">Graduation Year </w:t>
      </w:r>
      <w:r w:rsidRPr="008D556F">
        <w:rPr>
          <w:b/>
        </w:rPr>
        <w:t>–</w:t>
      </w:r>
      <w:r>
        <w:rPr>
          <w:b/>
        </w:rPr>
        <w:t xml:space="preserve"> </w:t>
      </w:r>
      <w:r>
        <w:t xml:space="preserve">calendar year in which a student </w:t>
      </w:r>
      <w:proofErr w:type="gramStart"/>
      <w:r>
        <w:t>was reported</w:t>
      </w:r>
      <w:proofErr w:type="gramEnd"/>
      <w:r>
        <w:t xml:space="preserve"> as a high school graduate. </w:t>
      </w:r>
      <w:r w:rsidRPr="008D556F">
        <w:t xml:space="preserve">For example, if a student was reported as a graduate in </w:t>
      </w:r>
      <w:r w:rsidR="00DE3D6B">
        <w:t xml:space="preserve">SIMS </w:t>
      </w:r>
      <w:r w:rsidRPr="008D556F">
        <w:t xml:space="preserve">October 2012 (beginning of SY2013), the student is included in the </w:t>
      </w:r>
      <w:r w:rsidRPr="008D556F">
        <w:rPr>
          <w:i/>
        </w:rPr>
        <w:t>Graduation Year</w:t>
      </w:r>
      <w:r w:rsidRPr="008D556F">
        <w:t xml:space="preserve"> of 2012</w:t>
      </w:r>
      <w:r w:rsidR="00C114FE">
        <w:t>.</w:t>
      </w:r>
      <w:r w:rsidRPr="008D556F">
        <w:t xml:space="preserve">  </w:t>
      </w:r>
    </w:p>
    <w:p w14:paraId="3BD62F91" w14:textId="77777777" w:rsidR="009A607E" w:rsidRDefault="009A607E">
      <w:r w:rsidRPr="009A607E">
        <w:rPr>
          <w:b/>
        </w:rPr>
        <w:t>Number of Graduates</w:t>
      </w:r>
      <w:r>
        <w:rPr>
          <w:b/>
        </w:rPr>
        <w:t xml:space="preserve"> – </w:t>
      </w:r>
      <w:r w:rsidRPr="009A607E">
        <w:t>number of students</w:t>
      </w:r>
      <w:r>
        <w:rPr>
          <w:b/>
        </w:rPr>
        <w:t xml:space="preserve"> </w:t>
      </w:r>
      <w:r>
        <w:t xml:space="preserve">who </w:t>
      </w:r>
      <w:proofErr w:type="gramStart"/>
      <w:r>
        <w:t>were reported</w:t>
      </w:r>
      <w:proofErr w:type="gramEnd"/>
      <w:r>
        <w:t xml:space="preserve"> as high school graduate</w:t>
      </w:r>
      <w:r w:rsidR="007E63E6">
        <w:t>s</w:t>
      </w:r>
      <w:r>
        <w:t xml:space="preserve"> during the selected calendar year. </w:t>
      </w:r>
      <w:r w:rsidR="004D12EF">
        <w:t xml:space="preserve"> </w:t>
      </w:r>
    </w:p>
    <w:p w14:paraId="3BD62F92" w14:textId="77777777" w:rsidR="009A607E" w:rsidRDefault="009A607E">
      <w:r w:rsidRPr="004D12EF">
        <w:rPr>
          <w:b/>
        </w:rPr>
        <w:t>Enrolled in Postsecondary</w:t>
      </w:r>
      <w:r>
        <w:t xml:space="preserve"> – number of stu</w:t>
      </w:r>
      <w:r w:rsidR="006033DC">
        <w:t>dents with any level of postsecondary enrollment during each calendar year</w:t>
      </w:r>
      <w:r w:rsidR="004D12EF">
        <w:t>.</w:t>
      </w:r>
    </w:p>
    <w:p w14:paraId="3BD62F93" w14:textId="77777777" w:rsidR="00B57939" w:rsidRDefault="004D12EF">
      <w:r w:rsidRPr="004D12EF">
        <w:rPr>
          <w:b/>
        </w:rPr>
        <w:t>Postsecondary School Type</w:t>
      </w:r>
      <w:r>
        <w:t xml:space="preserve"> –</w:t>
      </w:r>
      <w:r w:rsidR="00B57939">
        <w:t>number of students enrolled at each school type during each calendar year. Note: for this calculation, if a student enrolled at more than one school</w:t>
      </w:r>
      <w:r w:rsidR="007A05AB">
        <w:t xml:space="preserve"> type</w:t>
      </w:r>
      <w:r w:rsidR="00B57939">
        <w:t xml:space="preserve"> in a year, the latest school of record for that year </w:t>
      </w:r>
      <w:r w:rsidR="00DE3D6B">
        <w:t xml:space="preserve">is </w:t>
      </w:r>
      <w:r w:rsidR="00B57939">
        <w:t>used.</w:t>
      </w:r>
    </w:p>
    <w:p w14:paraId="3BD62F94" w14:textId="77777777" w:rsidR="00B57939" w:rsidRDefault="00B57939">
      <w:r>
        <w:rPr>
          <w:b/>
        </w:rPr>
        <w:t xml:space="preserve">Missing/Unknown – </w:t>
      </w:r>
      <w:r w:rsidRPr="00B57939">
        <w:t>number of</w:t>
      </w:r>
      <w:r>
        <w:rPr>
          <w:b/>
        </w:rPr>
        <w:t xml:space="preserve"> </w:t>
      </w:r>
      <w:r>
        <w:t xml:space="preserve">students not found in wage or postsecondary records during each year. </w:t>
      </w:r>
    </w:p>
    <w:p w14:paraId="3BD62F95" w14:textId="77777777" w:rsidR="00B50DDD" w:rsidRPr="00B50DDD" w:rsidRDefault="00B57939">
      <w:r>
        <w:rPr>
          <w:b/>
        </w:rPr>
        <w:t>Employed O</w:t>
      </w:r>
      <w:r w:rsidRPr="00B57939">
        <w:rPr>
          <w:b/>
        </w:rPr>
        <w:t>nly</w:t>
      </w:r>
      <w:r>
        <w:rPr>
          <w:b/>
        </w:rPr>
        <w:t xml:space="preserve"> – </w:t>
      </w:r>
      <w:r w:rsidRPr="00B57939">
        <w:t>number</w:t>
      </w:r>
      <w:r>
        <w:rPr>
          <w:b/>
        </w:rPr>
        <w:t xml:space="preserve"> </w:t>
      </w:r>
      <w:r w:rsidRPr="00B57939">
        <w:t>of students</w:t>
      </w:r>
      <w:r w:rsidR="006033DC">
        <w:t xml:space="preserve"> who worked, but </w:t>
      </w:r>
      <w:proofErr w:type="gramStart"/>
      <w:r w:rsidR="00DE3D6B">
        <w:t xml:space="preserve">were </w:t>
      </w:r>
      <w:r w:rsidR="006033DC">
        <w:t>not found</w:t>
      </w:r>
      <w:proofErr w:type="gramEnd"/>
      <w:r w:rsidR="006033DC">
        <w:t xml:space="preserve"> in postsecondary enrollment records during each year.</w:t>
      </w:r>
    </w:p>
    <w:p w14:paraId="3BD62F96" w14:textId="77777777" w:rsidR="009A607E" w:rsidRDefault="00A62EB9">
      <w:r>
        <w:rPr>
          <w:b/>
        </w:rPr>
        <w:lastRenderedPageBreak/>
        <w:t xml:space="preserve">Average Annual Earnings by Industry – </w:t>
      </w:r>
      <w:r w:rsidR="00A16047">
        <w:t xml:space="preserve">number of students working </w:t>
      </w:r>
      <w:r w:rsidR="00A16047" w:rsidRPr="00A16047">
        <w:rPr>
          <w:i/>
        </w:rPr>
        <w:t>primarily</w:t>
      </w:r>
      <w:r w:rsidR="00A16047">
        <w:t xml:space="preserve"> in each industry during each year</w:t>
      </w:r>
      <w:r>
        <w:t xml:space="preserve">. If a student </w:t>
      </w:r>
      <w:proofErr w:type="gramStart"/>
      <w:r>
        <w:t>was employed</w:t>
      </w:r>
      <w:proofErr w:type="gramEnd"/>
      <w:r>
        <w:t xml:space="preserve"> in more than one industry in the same year, the industry in which the student earned the most </w:t>
      </w:r>
      <w:r w:rsidR="00DE3D6B">
        <w:t xml:space="preserve">is </w:t>
      </w:r>
      <w:r>
        <w:t xml:space="preserve">used. For example, if a student earned $5,000 in </w:t>
      </w:r>
      <w:r w:rsidRPr="00A62EB9">
        <w:rPr>
          <w:i/>
        </w:rPr>
        <w:t>22 Utilities</w:t>
      </w:r>
      <w:r>
        <w:t xml:space="preserve"> and $10,000 in </w:t>
      </w:r>
      <w:r>
        <w:rPr>
          <w:i/>
        </w:rPr>
        <w:t xml:space="preserve">52 Finance and Insurance </w:t>
      </w:r>
      <w:r>
        <w:t>in the same calendar year</w:t>
      </w:r>
      <w:r>
        <w:rPr>
          <w:i/>
        </w:rPr>
        <w:t xml:space="preserve">, </w:t>
      </w:r>
      <w:r w:rsidR="007245CC">
        <w:t xml:space="preserve">only the student’s </w:t>
      </w:r>
      <w:r w:rsidR="007245CC" w:rsidRPr="007245CC">
        <w:rPr>
          <w:i/>
        </w:rPr>
        <w:t>52 Finance and Insurance</w:t>
      </w:r>
      <w:r w:rsidR="007245CC">
        <w:t xml:space="preserve"> information </w:t>
      </w:r>
      <w:proofErr w:type="gramStart"/>
      <w:r w:rsidR="007245CC">
        <w:t>will be used</w:t>
      </w:r>
      <w:proofErr w:type="gramEnd"/>
      <w:r w:rsidR="007245CC">
        <w:t xml:space="preserve"> in the industry subtotals. However, the student’s full annual earnings will be included in the </w:t>
      </w:r>
      <w:r w:rsidR="007245CC">
        <w:rPr>
          <w:i/>
        </w:rPr>
        <w:t>All Students</w:t>
      </w:r>
      <w:r w:rsidR="007245CC">
        <w:t xml:space="preserve"> row ($15,000). Note: the sum of the </w:t>
      </w:r>
      <w:r w:rsidR="007245CC">
        <w:rPr>
          <w:i/>
        </w:rPr>
        <w:t># Employed</w:t>
      </w:r>
      <w:r w:rsidR="007245CC">
        <w:t xml:space="preserve"> in each industry subtotal will not always equal the number in the </w:t>
      </w:r>
      <w:r w:rsidR="007245CC">
        <w:rPr>
          <w:i/>
        </w:rPr>
        <w:t>All Students</w:t>
      </w:r>
      <w:r w:rsidR="00A16047">
        <w:t xml:space="preserve"> row due to omitted </w:t>
      </w:r>
      <w:r w:rsidR="007245CC">
        <w:t xml:space="preserve">NAICS </w:t>
      </w:r>
      <w:r w:rsidR="00A16047">
        <w:t xml:space="preserve">assignments </w:t>
      </w:r>
      <w:r w:rsidR="007245CC">
        <w:t xml:space="preserve">of a small percentage of employers. Also, </w:t>
      </w:r>
      <w:r w:rsidR="007245CC">
        <w:rPr>
          <w:i/>
        </w:rPr>
        <w:t>21 Mining, Quarrying, and Oil and Gas Extraction</w:t>
      </w:r>
      <w:r w:rsidR="007245CC">
        <w:t xml:space="preserve"> </w:t>
      </w:r>
      <w:proofErr w:type="gramStart"/>
      <w:r w:rsidR="007245CC">
        <w:t>was excluded</w:t>
      </w:r>
      <w:proofErr w:type="gramEnd"/>
      <w:r w:rsidR="007245CC">
        <w:t xml:space="preserve"> from the total due to small statewide counts. </w:t>
      </w:r>
    </w:p>
    <w:p w14:paraId="39FBA0B2" w14:textId="5C39DAE4" w:rsidR="005B2804" w:rsidRDefault="00B50DDD" w:rsidP="005B2804">
      <w:pPr>
        <w:rPr>
          <w:i/>
        </w:rPr>
      </w:pPr>
      <w:r w:rsidRPr="00B50DDD">
        <w:rPr>
          <w:b/>
        </w:rPr>
        <w:t>North American Industry Classification System</w:t>
      </w:r>
      <w:r>
        <w:t xml:space="preserve"> – the federal government organizes business establishment</w:t>
      </w:r>
      <w:r w:rsidR="00A16047">
        <w:t xml:space="preserve">s into </w:t>
      </w:r>
      <w:proofErr w:type="gramStart"/>
      <w:r w:rsidR="00A16047">
        <w:t>2</w:t>
      </w:r>
      <w:proofErr w:type="gramEnd"/>
      <w:r w:rsidR="00A16047">
        <w:t xml:space="preserve"> through 6-digit</w:t>
      </w:r>
      <w:r>
        <w:t xml:space="preserve"> codes using this system according to</w:t>
      </w:r>
      <w:r w:rsidR="00A16047">
        <w:t>, among other factors,</w:t>
      </w:r>
      <w:r>
        <w:t xml:space="preserve"> the goods and services they produce. </w:t>
      </w:r>
      <w:r w:rsidR="00A16047">
        <w:t>S</w:t>
      </w:r>
      <w:r w:rsidR="00A16047" w:rsidRPr="00A16047">
        <w:t xml:space="preserve">ee pages 13-20 of DESE’s </w:t>
      </w:r>
      <w:hyperlink r:id="rId11" w:history="1">
        <w:r w:rsidR="00A16047" w:rsidRPr="00A16047">
          <w:rPr>
            <w:rStyle w:val="Hyperlink"/>
            <w:i/>
          </w:rPr>
          <w:t>A Primer about Labor Market Information</w:t>
        </w:r>
      </w:hyperlink>
      <w:r w:rsidR="00011D2B">
        <w:t xml:space="preserve"> f</w:t>
      </w:r>
      <w:r w:rsidR="00D2710A">
        <w:t>or</w:t>
      </w:r>
      <w:r w:rsidR="00A16047">
        <w:t xml:space="preserve"> a more detailed description of NAICS and its industry </w:t>
      </w:r>
      <w:r w:rsidR="00D2710A">
        <w:t>definitions</w:t>
      </w:r>
      <w:r w:rsidR="00D2710A">
        <w:rPr>
          <w:i/>
        </w:rPr>
        <w:t>.</w:t>
      </w:r>
    </w:p>
    <w:p w14:paraId="7979FD92" w14:textId="62CFB8D6" w:rsidR="005B2804" w:rsidRDefault="005B2804" w:rsidP="005B2804">
      <w:r>
        <w:rPr>
          <w:b/>
        </w:rPr>
        <w:t>Student Groups</w:t>
      </w:r>
      <w:r>
        <w:t xml:space="preserve"> – students are considered Economically Disadvantaged, Students with Disabilities, English Learners, or High Needs (any of the above) if they were reported as such</w:t>
      </w:r>
      <w:r w:rsidR="00A141BA">
        <w:t xml:space="preserve"> </w:t>
      </w:r>
      <w:r>
        <w:t>from their first 9</w:t>
      </w:r>
      <w:r w:rsidRPr="005B2804">
        <w:rPr>
          <w:vertAlign w:val="superscript"/>
        </w:rPr>
        <w:t>th</w:t>
      </w:r>
      <w:r>
        <w:t xml:space="preserve"> grade year to their graduation year</w:t>
      </w:r>
      <w:r w:rsidR="00A141BA">
        <w:t xml:space="preserve"> in any SIMS collection period</w:t>
      </w:r>
      <w:r>
        <w:t>.</w:t>
      </w:r>
      <w:r w:rsidR="00A141BA">
        <w:t xml:space="preserve"> Race and gender </w:t>
      </w:r>
      <w:proofErr w:type="gramStart"/>
      <w:r w:rsidR="00A141BA">
        <w:t>are based</w:t>
      </w:r>
      <w:proofErr w:type="gramEnd"/>
      <w:r w:rsidR="00A141BA">
        <w:t xml:space="preserve"> on the last student record submitted in SIMS.</w:t>
      </w:r>
    </w:p>
    <w:p w14:paraId="3BD62F98" w14:textId="674AE1A8" w:rsidR="00D2710A" w:rsidRPr="00E86E7B" w:rsidRDefault="00D2710A" w:rsidP="00E86E7B">
      <w:pPr>
        <w:spacing w:after="0"/>
      </w:pPr>
    </w:p>
    <w:sectPr w:rsidR="00D2710A" w:rsidRPr="00E86E7B" w:rsidSect="00405ECA">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14F03E" w14:textId="77777777" w:rsidR="00C561BA" w:rsidRDefault="00C561BA" w:rsidP="00C07D6F">
      <w:pPr>
        <w:spacing w:after="0" w:line="240" w:lineRule="auto"/>
      </w:pPr>
      <w:r>
        <w:separator/>
      </w:r>
    </w:p>
  </w:endnote>
  <w:endnote w:type="continuationSeparator" w:id="0">
    <w:p w14:paraId="6E134880" w14:textId="77777777" w:rsidR="00C561BA" w:rsidRDefault="00C561BA" w:rsidP="00C07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157F7" w14:textId="77777777" w:rsidR="00C561BA" w:rsidRDefault="00C561BA" w:rsidP="00C07D6F">
      <w:pPr>
        <w:spacing w:after="0" w:line="240" w:lineRule="auto"/>
      </w:pPr>
      <w:r>
        <w:separator/>
      </w:r>
    </w:p>
  </w:footnote>
  <w:footnote w:type="continuationSeparator" w:id="0">
    <w:p w14:paraId="107985DB" w14:textId="77777777" w:rsidR="00C561BA" w:rsidRDefault="00C561BA" w:rsidP="00C07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62F9D" w14:textId="7861568D" w:rsidR="00DE3D6B" w:rsidRDefault="00DE3D6B" w:rsidP="00C07D6F">
    <w:pPr>
      <w:pStyle w:val="Header"/>
      <w:pBdr>
        <w:bottom w:val="single" w:sz="4" w:space="1" w:color="BFBFBF" w:themeColor="background1" w:themeShade="BF"/>
      </w:pBdr>
    </w:pPr>
    <w:r w:rsidRPr="00C07D6F">
      <w:t>Edwin Analytics: Report Descriptions</w:t>
    </w:r>
    <w:r w:rsidR="00E86E7B">
      <w:tab/>
    </w:r>
    <w:r w:rsidR="00E86E7B">
      <w:tab/>
    </w:r>
    <w:r w:rsidRPr="00C07D6F">
      <w:rPr>
        <w:noProof/>
        <w:lang w:eastAsia="zh-CN"/>
      </w:rPr>
      <w:drawing>
        <wp:inline distT="0" distB="0" distL="0" distR="0" wp14:anchorId="3BD62F9E" wp14:editId="6286E89B">
          <wp:extent cx="338950" cy="210527"/>
          <wp:effectExtent l="0" t="0" r="4445" b="0"/>
          <wp:docPr id="1" name="Picture 0" descr="Edwin Analyti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win1.gif"/>
                  <pic:cNvPicPr/>
                </pic:nvPicPr>
                <pic:blipFill>
                  <a:blip r:embed="rId1"/>
                  <a:stretch>
                    <a:fillRect/>
                  </a:stretch>
                </pic:blipFill>
                <pic:spPr>
                  <a:xfrm>
                    <a:off x="0" y="0"/>
                    <a:ext cx="338950" cy="2105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868C7"/>
    <w:multiLevelType w:val="hybridMultilevel"/>
    <w:tmpl w:val="F350C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20404"/>
    <w:multiLevelType w:val="hybridMultilevel"/>
    <w:tmpl w:val="73C252F8"/>
    <w:lvl w:ilvl="0" w:tplc="E3E6764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4E7938"/>
    <w:multiLevelType w:val="hybridMultilevel"/>
    <w:tmpl w:val="57001BCE"/>
    <w:lvl w:ilvl="0" w:tplc="04090001">
      <w:start w:val="1"/>
      <w:numFmt w:val="bullet"/>
      <w:lvlText w:val=""/>
      <w:lvlJc w:val="left"/>
      <w:pPr>
        <w:ind w:left="1095" w:hanging="360"/>
      </w:pPr>
      <w:rPr>
        <w:rFonts w:ascii="Symbol" w:hAnsi="Symbol" w:hint="default"/>
      </w:rPr>
    </w:lvl>
    <w:lvl w:ilvl="1" w:tplc="04090003">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3" w15:restartNumberingAfterBreak="0">
    <w:nsid w:val="325B1025"/>
    <w:multiLevelType w:val="hybridMultilevel"/>
    <w:tmpl w:val="10585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90493B"/>
    <w:multiLevelType w:val="hybridMultilevel"/>
    <w:tmpl w:val="29389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146157"/>
    <w:multiLevelType w:val="hybridMultilevel"/>
    <w:tmpl w:val="6090000E"/>
    <w:lvl w:ilvl="0" w:tplc="E3E6764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35A"/>
    <w:rsid w:val="00011D2B"/>
    <w:rsid w:val="00013B70"/>
    <w:rsid w:val="000554E4"/>
    <w:rsid w:val="000D4EFA"/>
    <w:rsid w:val="001204A9"/>
    <w:rsid w:val="00144BFE"/>
    <w:rsid w:val="001A3276"/>
    <w:rsid w:val="001C5613"/>
    <w:rsid w:val="00272FC5"/>
    <w:rsid w:val="002748E4"/>
    <w:rsid w:val="002E3F8D"/>
    <w:rsid w:val="002F2107"/>
    <w:rsid w:val="00320441"/>
    <w:rsid w:val="003228AB"/>
    <w:rsid w:val="00324993"/>
    <w:rsid w:val="00341D2B"/>
    <w:rsid w:val="0038566C"/>
    <w:rsid w:val="003B7694"/>
    <w:rsid w:val="003D0AD0"/>
    <w:rsid w:val="003E6F88"/>
    <w:rsid w:val="00405ECA"/>
    <w:rsid w:val="00444397"/>
    <w:rsid w:val="004641FA"/>
    <w:rsid w:val="004944B6"/>
    <w:rsid w:val="004D12EF"/>
    <w:rsid w:val="004D68D4"/>
    <w:rsid w:val="00512DD3"/>
    <w:rsid w:val="005A0D6E"/>
    <w:rsid w:val="005B2804"/>
    <w:rsid w:val="005B382F"/>
    <w:rsid w:val="005B5F3D"/>
    <w:rsid w:val="005C34BA"/>
    <w:rsid w:val="005E4037"/>
    <w:rsid w:val="006033DC"/>
    <w:rsid w:val="00610110"/>
    <w:rsid w:val="006320A3"/>
    <w:rsid w:val="00637C8E"/>
    <w:rsid w:val="00657710"/>
    <w:rsid w:val="006B6567"/>
    <w:rsid w:val="006D5C2D"/>
    <w:rsid w:val="00701C56"/>
    <w:rsid w:val="007219EB"/>
    <w:rsid w:val="007245CC"/>
    <w:rsid w:val="00754903"/>
    <w:rsid w:val="00774B20"/>
    <w:rsid w:val="00780B87"/>
    <w:rsid w:val="007A05AB"/>
    <w:rsid w:val="007D5464"/>
    <w:rsid w:val="007E2DA4"/>
    <w:rsid w:val="007E4149"/>
    <w:rsid w:val="007E63E6"/>
    <w:rsid w:val="00807AEC"/>
    <w:rsid w:val="00860CB3"/>
    <w:rsid w:val="008640E7"/>
    <w:rsid w:val="00882AEA"/>
    <w:rsid w:val="008A78BF"/>
    <w:rsid w:val="008B42BC"/>
    <w:rsid w:val="008D1989"/>
    <w:rsid w:val="008D556F"/>
    <w:rsid w:val="009059D5"/>
    <w:rsid w:val="00947155"/>
    <w:rsid w:val="00953C38"/>
    <w:rsid w:val="00967A5E"/>
    <w:rsid w:val="009A4D41"/>
    <w:rsid w:val="009A607E"/>
    <w:rsid w:val="009C093A"/>
    <w:rsid w:val="009C451C"/>
    <w:rsid w:val="009E5E42"/>
    <w:rsid w:val="00A141BA"/>
    <w:rsid w:val="00A16047"/>
    <w:rsid w:val="00A62EB9"/>
    <w:rsid w:val="00A66785"/>
    <w:rsid w:val="00AA19E4"/>
    <w:rsid w:val="00AB6F17"/>
    <w:rsid w:val="00AC60B8"/>
    <w:rsid w:val="00B1047D"/>
    <w:rsid w:val="00B27D04"/>
    <w:rsid w:val="00B50DDD"/>
    <w:rsid w:val="00B5516B"/>
    <w:rsid w:val="00B57939"/>
    <w:rsid w:val="00B57DDF"/>
    <w:rsid w:val="00B81ECC"/>
    <w:rsid w:val="00BC0BE9"/>
    <w:rsid w:val="00C06513"/>
    <w:rsid w:val="00C07D6F"/>
    <w:rsid w:val="00C114FE"/>
    <w:rsid w:val="00C3601B"/>
    <w:rsid w:val="00C4539C"/>
    <w:rsid w:val="00C561BA"/>
    <w:rsid w:val="00C6050D"/>
    <w:rsid w:val="00C93CCA"/>
    <w:rsid w:val="00D03E9B"/>
    <w:rsid w:val="00D2710A"/>
    <w:rsid w:val="00D2735A"/>
    <w:rsid w:val="00D34620"/>
    <w:rsid w:val="00D45C4C"/>
    <w:rsid w:val="00D76D68"/>
    <w:rsid w:val="00DA05B7"/>
    <w:rsid w:val="00DE3D6B"/>
    <w:rsid w:val="00E74132"/>
    <w:rsid w:val="00E86E7B"/>
    <w:rsid w:val="00E93F64"/>
    <w:rsid w:val="00EE1C18"/>
    <w:rsid w:val="00F07605"/>
    <w:rsid w:val="00F71FCE"/>
    <w:rsid w:val="00F814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D62F8E"/>
  <w15:docId w15:val="{916F03E0-F735-46E3-AF51-4428631E7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ECA"/>
  </w:style>
  <w:style w:type="paragraph" w:styleId="Heading2">
    <w:name w:val="heading 2"/>
    <w:basedOn w:val="Normal"/>
    <w:next w:val="Normal"/>
    <w:link w:val="Heading2Char"/>
    <w:uiPriority w:val="9"/>
    <w:unhideWhenUsed/>
    <w:qFormat/>
    <w:rsid w:val="00C07D6F"/>
    <w:pPr>
      <w:keepNext/>
      <w:keepLines/>
      <w:spacing w:before="200" w:after="12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710A"/>
    <w:rPr>
      <w:color w:val="0000FF" w:themeColor="hyperlink"/>
      <w:u w:val="single"/>
    </w:rPr>
  </w:style>
  <w:style w:type="paragraph" w:styleId="Header">
    <w:name w:val="header"/>
    <w:basedOn w:val="Normal"/>
    <w:link w:val="HeaderChar"/>
    <w:uiPriority w:val="99"/>
    <w:unhideWhenUsed/>
    <w:rsid w:val="00C07D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D6F"/>
  </w:style>
  <w:style w:type="paragraph" w:styleId="Footer">
    <w:name w:val="footer"/>
    <w:basedOn w:val="Normal"/>
    <w:link w:val="FooterChar"/>
    <w:uiPriority w:val="99"/>
    <w:unhideWhenUsed/>
    <w:rsid w:val="00C07D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D6F"/>
  </w:style>
  <w:style w:type="paragraph" w:styleId="BalloonText">
    <w:name w:val="Balloon Text"/>
    <w:basedOn w:val="Normal"/>
    <w:link w:val="BalloonTextChar"/>
    <w:uiPriority w:val="99"/>
    <w:semiHidden/>
    <w:unhideWhenUsed/>
    <w:rsid w:val="00C07D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D6F"/>
    <w:rPr>
      <w:rFonts w:ascii="Tahoma" w:hAnsi="Tahoma" w:cs="Tahoma"/>
      <w:sz w:val="16"/>
      <w:szCs w:val="16"/>
    </w:rPr>
  </w:style>
  <w:style w:type="character" w:customStyle="1" w:styleId="Heading2Char">
    <w:name w:val="Heading 2 Char"/>
    <w:basedOn w:val="DefaultParagraphFont"/>
    <w:link w:val="Heading2"/>
    <w:uiPriority w:val="9"/>
    <w:rsid w:val="00C07D6F"/>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DE3D6B"/>
    <w:rPr>
      <w:sz w:val="16"/>
      <w:szCs w:val="16"/>
    </w:rPr>
  </w:style>
  <w:style w:type="paragraph" w:styleId="CommentText">
    <w:name w:val="annotation text"/>
    <w:basedOn w:val="Normal"/>
    <w:link w:val="CommentTextChar"/>
    <w:uiPriority w:val="99"/>
    <w:semiHidden/>
    <w:unhideWhenUsed/>
    <w:rsid w:val="00DE3D6B"/>
    <w:pPr>
      <w:spacing w:line="240" w:lineRule="auto"/>
    </w:pPr>
    <w:rPr>
      <w:sz w:val="20"/>
      <w:szCs w:val="20"/>
    </w:rPr>
  </w:style>
  <w:style w:type="character" w:customStyle="1" w:styleId="CommentTextChar">
    <w:name w:val="Comment Text Char"/>
    <w:basedOn w:val="DefaultParagraphFont"/>
    <w:link w:val="CommentText"/>
    <w:uiPriority w:val="99"/>
    <w:semiHidden/>
    <w:rsid w:val="00DE3D6B"/>
    <w:rPr>
      <w:sz w:val="20"/>
      <w:szCs w:val="20"/>
    </w:rPr>
  </w:style>
  <w:style w:type="paragraph" w:styleId="CommentSubject">
    <w:name w:val="annotation subject"/>
    <w:basedOn w:val="CommentText"/>
    <w:next w:val="CommentText"/>
    <w:link w:val="CommentSubjectChar"/>
    <w:uiPriority w:val="99"/>
    <w:semiHidden/>
    <w:unhideWhenUsed/>
    <w:rsid w:val="00DE3D6B"/>
    <w:rPr>
      <w:b/>
      <w:bCs/>
    </w:rPr>
  </w:style>
  <w:style w:type="character" w:customStyle="1" w:styleId="CommentSubjectChar">
    <w:name w:val="Comment Subject Char"/>
    <w:basedOn w:val="CommentTextChar"/>
    <w:link w:val="CommentSubject"/>
    <w:uiPriority w:val="99"/>
    <w:semiHidden/>
    <w:rsid w:val="00DE3D6B"/>
    <w:rPr>
      <w:b/>
      <w:bCs/>
      <w:sz w:val="20"/>
      <w:szCs w:val="20"/>
    </w:rPr>
  </w:style>
  <w:style w:type="paragraph" w:styleId="ListParagraph">
    <w:name w:val="List Paragraph"/>
    <w:basedOn w:val="Normal"/>
    <w:link w:val="ListParagraphChar"/>
    <w:uiPriority w:val="34"/>
    <w:qFormat/>
    <w:rsid w:val="005B2804"/>
    <w:pPr>
      <w:spacing w:before="120" w:after="12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5B2804"/>
    <w:rPr>
      <w:rFonts w:ascii="Times New Roman" w:eastAsia="Times New Roman" w:hAnsi="Times New Roman" w:cs="Times New Roman"/>
      <w:sz w:val="24"/>
      <w:szCs w:val="24"/>
    </w:rPr>
  </w:style>
  <w:style w:type="character" w:customStyle="1" w:styleId="textitem">
    <w:name w:val="textitem"/>
    <w:basedOn w:val="DefaultParagraphFont"/>
    <w:rsid w:val="003249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66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e.mass.edu/connect/cde/primer-labormarket.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DESE-231-46531</_dlc_DocId>
    <_dlc_DocIdUrl xmlns="733efe1c-5bbe-4968-87dc-d400e65c879f">
      <Url>https://sharepoint.doemass.org/ese/webteam/cps/_layouts/DocIdRedir.aspx?ID=DESE-231-46531</Url>
      <Description>DESE-231-46531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43B3F49-E6AF-4B9E-9DE6-483C05EB0B1F}">
  <ds:schemaRefs>
    <ds:schemaRef ds:uri="http://schemas.microsoft.com/sharepoint/v3/contenttype/forms"/>
  </ds:schemaRefs>
</ds:datastoreItem>
</file>

<file path=customXml/itemProps2.xml><?xml version="1.0" encoding="utf-8"?>
<ds:datastoreItem xmlns:ds="http://schemas.openxmlformats.org/officeDocument/2006/customXml" ds:itemID="{420F5A60-3BE2-47C7-930D-CEA4F7D8191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C144F56A-B11F-4C6F-B42E-EBB259DED0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7BE06D-99FA-4031-BD0B-235126F0316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More Workfore Information</dc:title>
  <dc:creator>DESE</dc:creator>
  <cp:lastModifiedBy>Zou, Dong (EOE)</cp:lastModifiedBy>
  <cp:revision>4</cp:revision>
  <dcterms:created xsi:type="dcterms:W3CDTF">2018-11-07T14:06:00Z</dcterms:created>
  <dcterms:modified xsi:type="dcterms:W3CDTF">2018-11-07T21:42:00Z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7 2018</vt:lpwstr>
  </property>
</Properties>
</file>