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D16BE1">
              <w:rPr>
                <w:noProof/>
                <w:sz w:val="22"/>
              </w:rPr>
              <w:pict>
                <v:oval id="_x0000_s1030" alt="Circle" style="position:absolute;left:0;text-align:left;margin-left:-15.05pt;margin-top:493pt;width:129.6pt;height:129.6pt;z-index:251656192;mso-position-horizontal-relative:text;mso-position-vertical-relative:text" o:allowincell="f"/>
              </w:pict>
            </w:r>
            <w:r w:rsidR="00D16BE1">
              <w:rPr>
                <w:noProof/>
                <w:sz w:val="22"/>
              </w:rPr>
              <w:pict>
                <v:oval id="_x0000_s1032" alt="Circle" style="position:absolute;left:0;text-align:left;margin-left:-.6pt;margin-top:508pt;width:100.8pt;height:100.8pt;z-index:251658240;mso-position-horizontal-relative:text;mso-position-vertical-relative:text" o:allowincell="f" filled="f"/>
              </w:pict>
            </w:r>
            <w:r w:rsidR="00D16BE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81355885"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p w:rsidR="00496C0A" w:rsidRDefault="00496C0A" w:rsidP="00496C0A">
            <w:pPr>
              <w:jc w:val="center"/>
              <w:rPr>
                <w:b/>
                <w:sz w:val="32"/>
              </w:rPr>
            </w:pPr>
            <w:r>
              <w:rPr>
                <w:b/>
                <w:sz w:val="32"/>
              </w:rPr>
              <w:t>Central Berkshire Regional School District</w:t>
            </w:r>
          </w:p>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496C0A" w:rsidRDefault="00644554" w:rsidP="00644554">
            <w:pPr>
              <w:jc w:val="center"/>
              <w:rPr>
                <w:b/>
                <w:sz w:val="24"/>
              </w:rPr>
            </w:pPr>
            <w:r>
              <w:rPr>
                <w:b/>
                <w:sz w:val="24"/>
              </w:rPr>
              <w:t xml:space="preserve">Dates of Onsite Visit: </w:t>
            </w:r>
            <w:r w:rsidR="00496C0A">
              <w:rPr>
                <w:b/>
                <w:sz w:val="24"/>
              </w:rPr>
              <w:t>March 11-14, 2014</w:t>
            </w:r>
          </w:p>
          <w:p w:rsidR="00644554" w:rsidRDefault="00644554" w:rsidP="00644554">
            <w:pPr>
              <w:jc w:val="center"/>
              <w:rPr>
                <w:b/>
                <w:sz w:val="24"/>
              </w:rPr>
            </w:pPr>
            <w:r>
              <w:rPr>
                <w:b/>
                <w:sz w:val="24"/>
              </w:rPr>
              <w:t xml:space="preserve">Date of Draft Report: </w:t>
            </w:r>
            <w:r w:rsidR="00496C0A">
              <w:rPr>
                <w:b/>
                <w:sz w:val="24"/>
              </w:rPr>
              <w:t>September 11, 2014</w:t>
            </w:r>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496C0A">
                  <w:rPr>
                    <w:b/>
                    <w:sz w:val="24"/>
                  </w:rPr>
                  <w:t>November 17, 2014</w:t>
                </w:r>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r w:rsidR="00496C0A" w:rsidRPr="00496C0A">
                  <w:rPr>
                    <w:b/>
                    <w:sz w:val="24"/>
                  </w:rPr>
                  <w:t>December 19</w:t>
                </w:r>
                <w:r w:rsidR="008579D9" w:rsidRPr="00496C0A">
                  <w:rPr>
                    <w:b/>
                    <w:sz w:val="24"/>
                  </w:rPr>
                  <w:t>, 2014</w:t>
                </w:r>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496C0A" w:rsidRDefault="00496C0A" w:rsidP="00496C0A">
            <w:pPr>
              <w:jc w:val="center"/>
              <w:rPr>
                <w:b/>
                <w:sz w:val="24"/>
              </w:rPr>
            </w:pPr>
            <w:r>
              <w:rPr>
                <w:b/>
                <w:sz w:val="24"/>
              </w:rPr>
              <w:t>Marc Oldenburg, Chair</w:t>
            </w:r>
          </w:p>
          <w:p w:rsidR="00496C0A" w:rsidRDefault="00496C0A" w:rsidP="00496C0A">
            <w:pPr>
              <w:jc w:val="center"/>
              <w:rPr>
                <w:b/>
                <w:sz w:val="24"/>
              </w:rPr>
            </w:pPr>
            <w:r>
              <w:rPr>
                <w:b/>
                <w:sz w:val="24"/>
              </w:rPr>
              <w:t>Tom Hidalgo, Participant</w:t>
            </w:r>
          </w:p>
          <w:p w:rsidR="00496C0A" w:rsidRDefault="00496C0A" w:rsidP="00496C0A">
            <w:pPr>
              <w:jc w:val="center"/>
              <w:rPr>
                <w:b/>
                <w:sz w:val="24"/>
                <w:highlight w:val="yellow"/>
              </w:rPr>
            </w:pPr>
            <w:r>
              <w:rPr>
                <w:b/>
                <w:sz w:val="24"/>
              </w:rPr>
              <w:t>Lisa Sandler, CVTE</w:t>
            </w: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496C0A">
                <w:pPr>
                  <w:jc w:val="center"/>
                  <w:rPr>
                    <w:b/>
                    <w:sz w:val="24"/>
                    <w:highlight w:val="yellow"/>
                  </w:rPr>
                </w:pPr>
              </w:p>
              <w:p w:rsidR="001C4A35" w:rsidRPr="004D14DE" w:rsidRDefault="00D16BE1"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D22F87" w:rsidRDefault="00496C0A" w:rsidP="00D22F87">
          <w:pPr>
            <w:jc w:val="center"/>
            <w:rPr>
              <w:b/>
              <w:sz w:val="32"/>
            </w:rPr>
          </w:pPr>
          <w:r w:rsidRPr="00496C0A">
            <w:rPr>
              <w:b/>
              <w:sz w:val="32"/>
            </w:rPr>
            <w:t>Central Berkshire Regional School District</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D16BE1"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D16BE1" w:rsidP="001870C4">
      <w:pPr>
        <w:pStyle w:val="TOC1"/>
        <w:rPr>
          <w:rFonts w:ascii="Calibri" w:hAnsi="Calibri"/>
        </w:rPr>
      </w:pPr>
      <w:r w:rsidRPr="00D16BE1">
        <w:fldChar w:fldCharType="begin"/>
      </w:r>
      <w:r w:rsidR="008219B9" w:rsidRPr="00F917FE">
        <w:instrText xml:space="preserve"> TOC \f \h \z </w:instrText>
      </w:r>
      <w:r w:rsidRPr="00D16BE1">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240917">
          <w:rPr>
            <w:webHidden/>
          </w:rPr>
          <w:t>3</w:t>
        </w:r>
        <w:r>
          <w:rPr>
            <w:webHidden/>
          </w:rPr>
          <w:fldChar w:fldCharType="end"/>
        </w:r>
      </w:hyperlink>
    </w:p>
    <w:p w:rsidR="008219B9" w:rsidRDefault="00D16BE1"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240917">
          <w:rPr>
            <w:webHidden/>
          </w:rPr>
          <w:t>4</w:t>
        </w:r>
        <w:r>
          <w:rPr>
            <w:webHidden/>
          </w:rPr>
          <w:fldChar w:fldCharType="end"/>
        </w:r>
      </w:hyperlink>
    </w:p>
    <w:p w:rsidR="008219B9" w:rsidRDefault="00D16BE1"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240917">
          <w:rPr>
            <w:webHidden/>
          </w:rPr>
          <w:t>7</w:t>
        </w:r>
        <w:r>
          <w:rPr>
            <w:webHidden/>
          </w:rPr>
          <w:fldChar w:fldCharType="end"/>
        </w:r>
      </w:hyperlink>
    </w:p>
    <w:p w:rsidR="008219B9" w:rsidRDefault="00D16BE1"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240917">
          <w:rPr>
            <w:webHidden/>
          </w:rPr>
          <w:t>10</w:t>
        </w:r>
        <w:r>
          <w:rPr>
            <w:webHidden/>
          </w:rPr>
          <w:fldChar w:fldCharType="end"/>
        </w:r>
      </w:hyperlink>
    </w:p>
    <w:p w:rsidR="008219B9" w:rsidRDefault="00D16BE1"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240917">
          <w:rPr>
            <w:webHidden/>
          </w:rPr>
          <w:t>11</w:t>
        </w:r>
        <w:r>
          <w:rPr>
            <w:webHidden/>
          </w:rPr>
          <w:fldChar w:fldCharType="end"/>
        </w:r>
      </w:hyperlink>
    </w:p>
    <w:p w:rsidR="008219B9" w:rsidRDefault="00D16BE1"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D22F87" w:rsidRDefault="00496C0A" w:rsidP="00D22F87">
          <w:pPr>
            <w:jc w:val="center"/>
            <w:rPr>
              <w:b/>
              <w:sz w:val="32"/>
            </w:rPr>
          </w:pPr>
          <w:r w:rsidRPr="00496C0A">
            <w:rPr>
              <w:b/>
              <w:sz w:val="32"/>
            </w:rPr>
            <w:t>Central Berkshire Regional School District</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D16BE1"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D16BE1"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lastRenderedPageBreak/>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D16BE1"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D16BE1"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w:t>
      </w:r>
      <w:r>
        <w:rPr>
          <w:sz w:val="22"/>
        </w:rPr>
        <w:lastRenderedPageBreak/>
        <w:t xml:space="preserve">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D16BE1">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D16BE1">
        <w:rPr>
          <w:b/>
          <w:sz w:val="22"/>
        </w:rPr>
        <w:fldChar w:fldCharType="end"/>
      </w:r>
    </w:p>
    <w:p w:rsidR="008219B9" w:rsidRDefault="008219B9" w:rsidP="008219B9">
      <w:pPr>
        <w:rPr>
          <w:sz w:val="22"/>
        </w:rPr>
      </w:pPr>
    </w:p>
    <w:p w:rsidR="008219B9" w:rsidRDefault="00496C0A" w:rsidP="008219B9">
      <w:pPr>
        <w:rPr>
          <w:sz w:val="22"/>
        </w:rPr>
      </w:pPr>
      <w:r>
        <w:rPr>
          <w:sz w:val="22"/>
        </w:rPr>
        <w:t xml:space="preserve">A three-member Massachusetts Department of Elementary and Secondary Education team visited Central Berkshire Regional School District during the week of April 10, 2014,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496C0A" w:rsidRDefault="00496C0A" w:rsidP="00496C0A">
      <w:pPr>
        <w:numPr>
          <w:ilvl w:val="0"/>
          <w:numId w:val="2"/>
        </w:numPr>
        <w:tabs>
          <w:tab w:val="left" w:pos="-1440"/>
        </w:tabs>
        <w:rPr>
          <w:sz w:val="22"/>
        </w:rPr>
      </w:pPr>
      <w:r>
        <w:rPr>
          <w:sz w:val="22"/>
        </w:rPr>
        <w:t>Interviews of seven administrative staff.</w:t>
      </w:r>
    </w:p>
    <w:p w:rsidR="00496C0A" w:rsidRDefault="00496C0A" w:rsidP="00496C0A">
      <w:pPr>
        <w:numPr>
          <w:ilvl w:val="0"/>
          <w:numId w:val="3"/>
        </w:numPr>
        <w:tabs>
          <w:tab w:val="left" w:pos="-1440"/>
        </w:tabs>
        <w:rPr>
          <w:sz w:val="22"/>
        </w:rPr>
      </w:pPr>
      <w:r>
        <w:rPr>
          <w:sz w:val="22"/>
        </w:rPr>
        <w:t>Interviews of 37 teaching and support services staff across all levels.</w:t>
      </w:r>
    </w:p>
    <w:p w:rsidR="00496C0A" w:rsidRDefault="00496C0A" w:rsidP="00496C0A">
      <w:pPr>
        <w:numPr>
          <w:ilvl w:val="0"/>
          <w:numId w:val="4"/>
        </w:numPr>
        <w:tabs>
          <w:tab w:val="left" w:pos="-1440"/>
        </w:tabs>
        <w:rPr>
          <w:sz w:val="22"/>
        </w:rPr>
      </w:pPr>
      <w:r>
        <w:rPr>
          <w:sz w:val="22"/>
        </w:rPr>
        <w:t>Interviews of one parent advisory council (PAC) representative.</w:t>
      </w:r>
    </w:p>
    <w:p w:rsidR="00496C0A" w:rsidRDefault="00496C0A" w:rsidP="00496C0A">
      <w:pPr>
        <w:numPr>
          <w:ilvl w:val="0"/>
          <w:numId w:val="4"/>
        </w:numPr>
        <w:tabs>
          <w:tab w:val="left" w:pos="-1440"/>
        </w:tabs>
        <w:rPr>
          <w:sz w:val="22"/>
        </w:rPr>
      </w:pPr>
      <w:r>
        <w:rPr>
          <w:sz w:val="22"/>
        </w:rPr>
        <w:t>Telephone interviews as requested by persons from the general public.</w:t>
      </w:r>
    </w:p>
    <w:p w:rsidR="00496C0A" w:rsidRDefault="00496C0A" w:rsidP="00496C0A">
      <w:pPr>
        <w:numPr>
          <w:ilvl w:val="0"/>
          <w:numId w:val="5"/>
        </w:numPr>
        <w:tabs>
          <w:tab w:val="left" w:pos="-1440"/>
        </w:tabs>
        <w:rPr>
          <w:sz w:val="22"/>
        </w:rPr>
      </w:pPr>
      <w:r>
        <w:rPr>
          <w:sz w:val="22"/>
        </w:rPr>
        <w:t>Student record reviews: Samples of 37 special education student records and four English learner education student records were selected by the Department.  These student records were first examined by local staff, whose comments were then verified by the onsite team using standard Department record review procedures.</w:t>
      </w:r>
    </w:p>
    <w:p w:rsidR="00496C0A" w:rsidRDefault="00496C0A" w:rsidP="00496C0A">
      <w:pPr>
        <w:numPr>
          <w:ilvl w:val="0"/>
          <w:numId w:val="6"/>
        </w:numPr>
        <w:tabs>
          <w:tab w:val="left" w:pos="-1440"/>
        </w:tabs>
        <w:rPr>
          <w:sz w:val="22"/>
        </w:rPr>
      </w:pPr>
      <w:r>
        <w:rPr>
          <w:sz w:val="22"/>
        </w:rPr>
        <w:t>Surveys of parents of students with disabilities: Fifty parents of students with disabilities were sent surveys that solicited information about their experiences with the district’s implementation of special education programs, related services and procedural requirements. No parent surveys were returned to the Department of Elementary and Secondary Education for review.</w:t>
      </w:r>
    </w:p>
    <w:p w:rsidR="00496C0A" w:rsidRDefault="00496C0A" w:rsidP="00496C0A">
      <w:pPr>
        <w:numPr>
          <w:ilvl w:val="0"/>
          <w:numId w:val="6"/>
        </w:numPr>
        <w:tabs>
          <w:tab w:val="left" w:pos="-1440"/>
        </w:tabs>
        <w:rPr>
          <w:sz w:val="22"/>
        </w:rPr>
      </w:pPr>
      <w:r>
        <w:rPr>
          <w:sz w:val="22"/>
        </w:rPr>
        <w:t>Surveys of parents of ELE students: Four parents of ELE students were sent surveys that solicited information about their experiences with the district’s implementation of English learner education programs, services, and procedural requirements. No parent surveys were returned to the Department of Elementary and Secondary Education for review.</w:t>
      </w:r>
    </w:p>
    <w:p w:rsidR="00496C0A" w:rsidRDefault="00496C0A" w:rsidP="00496C0A">
      <w:pPr>
        <w:numPr>
          <w:ilvl w:val="0"/>
          <w:numId w:val="6"/>
        </w:numPr>
        <w:tabs>
          <w:tab w:val="left" w:pos="-1440"/>
        </w:tabs>
        <w:rPr>
          <w:sz w:val="22"/>
        </w:rPr>
      </w:pPr>
      <w:r>
        <w:rPr>
          <w:sz w:val="22"/>
        </w:rPr>
        <w:t>Observation of classrooms and other facilities.  A sample of 13 instructional classrooms and other school facilities used in the delivery of programs and services were visited to examine general levels of compliance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496C0A" w:rsidRPr="00496C0A">
            <w:rPr>
              <w:b/>
              <w:sz w:val="32"/>
            </w:rPr>
            <w:t>Central Berkshire Regional School District</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496C0A" w:rsidP="009A4159">
            <w:pPr>
              <w:jc w:val="center"/>
              <w:rPr>
                <w:sz w:val="22"/>
              </w:rPr>
            </w:pPr>
            <w:r>
              <w:rPr>
                <w:sz w:val="22"/>
              </w:rPr>
              <w:t>ELE 5</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D16BE1"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D16BE1">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D16BE1">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A83F66" w:rsidRDefault="00A83F66"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A83F66">
            <w:pPr>
              <w:ind w:left="360"/>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6C0A"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16BE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6C0A"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22F8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D22F8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22F8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D22F87">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6C0A" w:rsidP="00F230E8">
            <w:pPr>
              <w:rPr>
                <w:b/>
                <w:sz w:val="22"/>
              </w:rPr>
            </w:pPr>
            <w:r>
              <w:rPr>
                <w:b/>
                <w:sz w:val="22"/>
              </w:rPr>
              <w:t>No</w:t>
            </w:r>
          </w:p>
        </w:tc>
      </w:tr>
      <w:tr w:rsidR="008219B9" w:rsidTr="00D22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496C0A" w:rsidRDefault="00496C0A"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D22F8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16BE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D22F8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22F87">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D22F87">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496C0A">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6C0A"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D082F" w:rsidTr="00494FB3">
        <w:tc>
          <w:tcPr>
            <w:tcW w:w="9270" w:type="dxa"/>
          </w:tcPr>
          <w:p w:rsidR="008D082F" w:rsidRDefault="008D082F" w:rsidP="00494FB3">
            <w:pPr>
              <w:rPr>
                <w:b/>
                <w:sz w:val="22"/>
              </w:rPr>
            </w:pPr>
          </w:p>
          <w:p w:rsidR="00D22F87" w:rsidRDefault="00D22F87" w:rsidP="00494FB3">
            <w:pPr>
              <w:rPr>
                <w:b/>
                <w:sz w:val="22"/>
              </w:rPr>
            </w:pPr>
          </w:p>
          <w:p w:rsidR="00D22F87" w:rsidRDefault="00D22F87" w:rsidP="00494FB3">
            <w:pPr>
              <w:rPr>
                <w:b/>
                <w:sz w:val="22"/>
              </w:rPr>
            </w:pPr>
          </w:p>
        </w:tc>
      </w:tr>
      <w:tr w:rsidR="008D082F" w:rsidTr="00494FB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A83F66" w:rsidRDefault="00A83F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16BE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496C0A">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6C0A" w:rsidP="00F230E8">
            <w:pPr>
              <w:rPr>
                <w:b/>
                <w:sz w:val="22"/>
              </w:rPr>
            </w:pPr>
            <w:r>
              <w:rPr>
                <w:b/>
                <w:sz w:val="22"/>
              </w:rPr>
              <w:t>Yes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83F66" w:rsidRDefault="00A83F66"/>
          <w:tbl>
            <w:tblPr>
              <w:tblW w:w="9270" w:type="dxa"/>
              <w:tblInd w:w="108" w:type="dxa"/>
              <w:tblLayout w:type="fixed"/>
              <w:tblLook w:val="0000"/>
            </w:tblPr>
            <w:tblGrid>
              <w:gridCol w:w="9270"/>
            </w:tblGrid>
            <w:tr w:rsidR="00496C0A" w:rsidTr="00A83F66">
              <w:tc>
                <w:tcPr>
                  <w:tcW w:w="9270" w:type="dxa"/>
                </w:tcPr>
                <w:p w:rsidR="00496C0A" w:rsidRDefault="00496C0A" w:rsidP="007E36AD">
                  <w:pPr>
                    <w:rPr>
                      <w:b/>
                      <w:sz w:val="22"/>
                    </w:rPr>
                  </w:pPr>
                  <w:r>
                    <w:rPr>
                      <w:b/>
                      <w:sz w:val="22"/>
                    </w:rPr>
                    <w:t>Department of Elementary and Secondary Education Comments:</w:t>
                  </w:r>
                </w:p>
              </w:tc>
            </w:tr>
            <w:tr w:rsidR="00496C0A" w:rsidTr="00A83F66">
              <w:tc>
                <w:tcPr>
                  <w:tcW w:w="9270" w:type="dxa"/>
                </w:tcPr>
                <w:p w:rsidR="00496C0A" w:rsidRDefault="00496C0A" w:rsidP="007E36AD">
                  <w:r>
                    <w:rPr>
                      <w:i/>
                      <w:sz w:val="22"/>
                      <w:szCs w:val="22"/>
                    </w:rPr>
                    <w:t>District documentation does not include “SEI Program Description Forms” that specify the number of ESL instruction hours that all ELLs at all proficiency levels receive. Therefore, there is no indication showing that the district meets the guidelines. Please see the “</w:t>
                  </w:r>
                  <w:r w:rsidRPr="002572C2">
                    <w:rPr>
                      <w:i/>
                      <w:sz w:val="22"/>
                    </w:rPr>
                    <w:t>Transitional Guidance on Identification, Assessment, Placement, and Reclassification of English Language Learners</w:t>
                  </w:r>
                  <w:r>
                    <w:rPr>
                      <w:i/>
                      <w:sz w:val="22"/>
                    </w:rPr>
                    <w:t xml:space="preserve"> August 2013”document as found at </w:t>
                  </w:r>
                  <w:hyperlink r:id="rId19" w:history="1">
                    <w:r w:rsidRPr="00EC0A1A">
                      <w:rPr>
                        <w:rStyle w:val="Hyperlink"/>
                        <w:i/>
                        <w:sz w:val="22"/>
                      </w:rPr>
                      <w:t>http://www.doe.mass.edu/ell/guidance_laws.html</w:t>
                    </w:r>
                  </w:hyperlink>
                  <w:r>
                    <w:t>.</w:t>
                  </w:r>
                </w:p>
                <w:p w:rsidR="00496C0A" w:rsidRDefault="00496C0A" w:rsidP="007E36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496C0A" w:rsidRDefault="00496C0A" w:rsidP="007E36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Since the district did not submit the ESL curriculum used for direct ESL instruction, there is no evidence showing that the district had an ESL curriculum or a plan </w:t>
                  </w:r>
                  <w:r>
                    <w:rPr>
                      <w:i/>
                      <w:sz w:val="22"/>
                      <w:szCs w:val="22"/>
                    </w:rPr>
                    <w:t>to develop one that is aligned to the Massachusetts Curriculum Frameworks and integrates components of the WIDA ELD standards frameworks.</w:t>
                  </w:r>
                  <w:r w:rsidRPr="00EC30D7">
                    <w:rPr>
                      <w:i/>
                      <w:sz w:val="22"/>
                      <w:szCs w:val="22"/>
                    </w:rPr>
                    <w:t xml:space="preserve"> (See the Department’s WIDA ELD Standards update from at</w:t>
                  </w:r>
                  <w:r>
                    <w:rPr>
                      <w:i/>
                    </w:rPr>
                    <w:t xml:space="preserve"> </w:t>
                  </w:r>
                  <w:hyperlink r:id="rId20" w:history="1">
                    <w:r w:rsidRPr="00B60418">
                      <w:rPr>
                        <w:rStyle w:val="Hyperlink"/>
                        <w:i/>
                      </w:rPr>
                      <w:t>http://www.doe.mass.edu/ell/wida.html</w:t>
                    </w:r>
                  </w:hyperlink>
                  <w:proofErr w:type="gramStart"/>
                  <w:r>
                    <w:rPr>
                      <w:i/>
                    </w:rPr>
                    <w:t xml:space="preserve"> </w:t>
                  </w:r>
                  <w:proofErr w:type="gramEnd"/>
                  <w:r>
                    <w:rPr>
                      <w:i/>
                    </w:rPr>
                    <w:t xml:space="preserve"> ).</w:t>
                  </w:r>
                </w:p>
              </w:tc>
            </w:tr>
          </w:tbl>
          <w:p w:rsidR="00D22F87" w:rsidRDefault="00D22F87" w:rsidP="00000DC6">
            <w:pPr>
              <w:widowControl w:val="0"/>
              <w:tabs>
                <w:tab w:val="left" w:pos="834"/>
              </w:tabs>
              <w:rPr>
                <w:b/>
                <w:sz w:val="22"/>
              </w:rPr>
            </w:pP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Pr="00A213E2" w:rsidRDefault="00365BA4" w:rsidP="00A81E0B">
            <w:pPr>
              <w:rPr>
                <w:i/>
                <w:sz w:val="22"/>
                <w:szCs w:val="22"/>
              </w:rPr>
            </w:pPr>
          </w:p>
        </w:tc>
      </w:tr>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D16BE1"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267DFB">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267DFB">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496C0A" w:rsidP="00F230E8">
            <w:pPr>
              <w:rPr>
                <w:b/>
                <w:sz w:val="22"/>
              </w:rPr>
            </w:pPr>
            <w:r>
              <w:rPr>
                <w:b/>
                <w:sz w:val="22"/>
              </w:rPr>
              <w:t>No</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22F87" w:rsidRDefault="00D22F87" w:rsidP="00D22F87">
            <w:pPr>
              <w:rPr>
                <w:b/>
                <w:sz w:val="22"/>
              </w:rPr>
            </w:pPr>
          </w:p>
          <w:p w:rsidR="00A83F66" w:rsidRDefault="00A83F66" w:rsidP="00D22F87">
            <w:pPr>
              <w:rPr>
                <w:b/>
                <w:sz w:val="22"/>
              </w:rPr>
            </w:pPr>
          </w:p>
          <w:p w:rsidR="00A83F66" w:rsidRDefault="00A83F66" w:rsidP="00D22F87">
            <w:pPr>
              <w:rPr>
                <w:b/>
                <w:sz w:val="22"/>
              </w:rPr>
            </w:pPr>
          </w:p>
          <w:p w:rsidR="00A83F66" w:rsidRDefault="00A83F66" w:rsidP="00D22F87">
            <w:pPr>
              <w:rPr>
                <w:b/>
                <w:sz w:val="22"/>
              </w:rPr>
            </w:pPr>
          </w:p>
        </w:tc>
      </w:tr>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DE1846">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496C0A" w:rsidP="00F230E8">
            <w:pPr>
              <w:rPr>
                <w:b/>
                <w:sz w:val="22"/>
              </w:rPr>
            </w:pPr>
            <w:r>
              <w:rPr>
                <w:b/>
                <w:sz w:val="22"/>
              </w:rPr>
              <w:t>No</w:t>
            </w:r>
          </w:p>
        </w:tc>
      </w:tr>
    </w:tbl>
    <w:p w:rsidR="00A641AF" w:rsidRDefault="00A641AF" w:rsidP="008219B9">
      <w:pPr>
        <w:rPr>
          <w:b/>
          <w:sz w:val="22"/>
        </w:rPr>
      </w:pPr>
    </w:p>
    <w:p w:rsidR="00A83F66" w:rsidRDefault="00A83F66" w:rsidP="008219B9">
      <w:pPr>
        <w:rPr>
          <w:b/>
          <w:sz w:val="22"/>
        </w:rPr>
      </w:pPr>
    </w:p>
    <w:p w:rsidR="00A83F66" w:rsidRPr="00A641AF" w:rsidRDefault="00A83F66" w:rsidP="008219B9">
      <w:pPr>
        <w:rPr>
          <w:b/>
          <w:sz w:val="22"/>
        </w:rPr>
      </w:pPr>
    </w:p>
    <w:p w:rsidR="00A83F66" w:rsidRDefault="00A83F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6C0A" w:rsidP="00F230E8">
            <w:pPr>
              <w:rPr>
                <w:b/>
                <w:sz w:val="22"/>
              </w:rPr>
            </w:pPr>
            <w:r>
              <w:rPr>
                <w:b/>
                <w:sz w:val="22"/>
              </w:rPr>
              <w:t>No</w:t>
            </w:r>
          </w:p>
        </w:tc>
      </w:tr>
    </w:tbl>
    <w:p w:rsidR="00D22F87" w:rsidRDefault="00D22F87" w:rsidP="008219B9">
      <w:pPr>
        <w:rPr>
          <w:sz w:val="22"/>
        </w:rPr>
      </w:pPr>
    </w:p>
    <w:p w:rsidR="00A83F66" w:rsidRDefault="00A83F66" w:rsidP="008219B9">
      <w:pPr>
        <w:rPr>
          <w:sz w:val="22"/>
        </w:rPr>
      </w:pPr>
    </w:p>
    <w:p w:rsidR="00A83F66" w:rsidRDefault="00A83F6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16BE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496C0A" w:rsidP="00F230E8">
            <w:pPr>
              <w:rPr>
                <w:b/>
                <w:bCs/>
                <w:sz w:val="22"/>
              </w:rPr>
            </w:pPr>
            <w:r>
              <w:rPr>
                <w:b/>
                <w:bCs/>
                <w:sz w:val="22"/>
              </w:rPr>
              <w:t>No</w:t>
            </w:r>
          </w:p>
        </w:tc>
      </w:tr>
    </w:tbl>
    <w:p w:rsidR="004D394A" w:rsidRDefault="004D394A" w:rsidP="008219B9">
      <w:pPr>
        <w:rPr>
          <w:sz w:val="22"/>
        </w:rPr>
      </w:pPr>
    </w:p>
    <w:p w:rsidR="00D22F87" w:rsidRDefault="00D22F87" w:rsidP="008219B9">
      <w:pPr>
        <w:rPr>
          <w:sz w:val="22"/>
        </w:rPr>
      </w:pPr>
    </w:p>
    <w:p w:rsidR="00A83F66" w:rsidRDefault="00A83F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16BE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496C0A"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A83F66" w:rsidRDefault="00A83F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496C0A"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A83F66" w:rsidRDefault="00A83F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D16BE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496C0A">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496C0A" w:rsidP="00F230E8">
            <w:pPr>
              <w:rPr>
                <w:b/>
                <w:sz w:val="22"/>
              </w:rPr>
            </w:pPr>
            <w:r>
              <w:rPr>
                <w:b/>
                <w:sz w:val="22"/>
              </w:rPr>
              <w:t>No</w:t>
            </w:r>
          </w:p>
        </w:tc>
      </w:tr>
    </w:tbl>
    <w:p w:rsidR="008219B9" w:rsidRDefault="008219B9" w:rsidP="008219B9">
      <w:pPr>
        <w:rPr>
          <w:sz w:val="22"/>
        </w:rPr>
      </w:pPr>
    </w:p>
    <w:p w:rsidR="00A83F66" w:rsidRDefault="00A83F66" w:rsidP="008219B9">
      <w:pPr>
        <w:rPr>
          <w:sz w:val="22"/>
        </w:rPr>
      </w:pPr>
    </w:p>
    <w:p w:rsidR="00A83F66" w:rsidRDefault="00A83F66" w:rsidP="008219B9">
      <w:pPr>
        <w:rPr>
          <w:sz w:val="22"/>
        </w:rPr>
      </w:pPr>
    </w:p>
    <w:p w:rsidR="00A83F66" w:rsidRDefault="00A83F6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A83F66">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D16BE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A83F66">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A83F66">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A83F66">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496C0A">
              <w:rPr>
                <w:b/>
                <w:sz w:val="22"/>
              </w:rPr>
              <w:t xml:space="preserve">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496C0A"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A83F66" w:rsidRDefault="00A83F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 xml:space="preserve">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496C0A">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496C0A" w:rsidP="00F230E8">
            <w:pPr>
              <w:pStyle w:val="Heading5"/>
              <w:rPr>
                <w:bCs/>
              </w:rPr>
            </w:pPr>
            <w:r>
              <w:rPr>
                <w:bCs/>
              </w:rPr>
              <w:t>No</w:t>
            </w:r>
          </w:p>
        </w:tc>
      </w:tr>
    </w:tbl>
    <w:p w:rsidR="00A641AF" w:rsidRDefault="00A641AF" w:rsidP="00A641AF">
      <w:pPr>
        <w:rPr>
          <w:b/>
          <w:sz w:val="22"/>
        </w:rPr>
      </w:pP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tc>
      </w:tr>
    </w:tbl>
    <w:p w:rsidR="00A83F66" w:rsidRDefault="00A83F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A83F66">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D16BE1"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A83F66">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A83F66">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A83F66">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496C0A">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496C0A" w:rsidP="00F230E8">
            <w:pPr>
              <w:pStyle w:val="Heading5"/>
              <w:rPr>
                <w:bCs/>
              </w:rPr>
            </w:pPr>
            <w:r>
              <w:rPr>
                <w:bCs/>
              </w:rPr>
              <w:t>No</w:t>
            </w:r>
          </w:p>
        </w:tc>
      </w:tr>
    </w:tbl>
    <w:p w:rsidR="008219B9" w:rsidRDefault="008219B9" w:rsidP="008219B9">
      <w:pPr>
        <w:rPr>
          <w:sz w:val="22"/>
        </w:rPr>
      </w:pPr>
    </w:p>
    <w:p w:rsidR="00A83F66" w:rsidRDefault="00A83F6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6C0A" w:rsidP="00F230E8">
            <w:pPr>
              <w:rPr>
                <w:b/>
                <w:sz w:val="22"/>
              </w:rPr>
            </w:pPr>
            <w:r>
              <w:rPr>
                <w:b/>
                <w:sz w:val="22"/>
              </w:rPr>
              <w:t>No</w:t>
            </w:r>
          </w:p>
        </w:tc>
      </w:tr>
    </w:tbl>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A641AF" w:rsidRDefault="00A641AF" w:rsidP="00A641AF">
      <w:pPr>
        <w:rPr>
          <w:b/>
          <w:sz w:val="22"/>
        </w:rPr>
      </w:pPr>
    </w:p>
    <w:tbl>
      <w:tblPr>
        <w:tblW w:w="9270" w:type="dxa"/>
        <w:tblInd w:w="108" w:type="dxa"/>
        <w:tblLayout w:type="fixed"/>
        <w:tblLook w:val="0000"/>
      </w:tblPr>
      <w:tblGrid>
        <w:gridCol w:w="1530"/>
        <w:gridCol w:w="3870"/>
        <w:gridCol w:w="2880"/>
        <w:gridCol w:w="990"/>
      </w:tblGrid>
      <w:tr w:rsidR="00334061" w:rsidTr="00A641AF">
        <w:tc>
          <w:tcPr>
            <w:tcW w:w="9270" w:type="dxa"/>
            <w:gridSpan w:val="4"/>
          </w:tcPr>
          <w:p w:rsidR="002342C0" w:rsidRPr="002342C0" w:rsidRDefault="002342C0" w:rsidP="002342C0"/>
        </w:tc>
      </w:tr>
      <w:tr w:rsidR="008219B9" w:rsidTr="00A641A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A641A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641A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A641A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496C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6C0A"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D16BE1"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D16BE1"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D16BE1" w:rsidP="00FD5A89">
            <w:pPr>
              <w:rPr>
                <w:sz w:val="22"/>
              </w:rPr>
            </w:pPr>
            <w:sdt>
              <w:sdtPr>
                <w:rPr>
                  <w:sz w:val="22"/>
                </w:rPr>
                <w:id w:val="451058574"/>
                <w:placeholder>
                  <w:docPart w:val="BDEC353C21574C96992C7623C211CA0F"/>
                </w:placeholder>
                <w:text/>
              </w:sdtPr>
              <w:sdtContent>
                <w:r w:rsidR="00496C0A" w:rsidRPr="00496C0A">
                  <w:rPr>
                    <w:sz w:val="22"/>
                  </w:rPr>
                  <w:t>Central Berkshire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496C0A" w:rsidP="00942D7F">
                <w:pPr>
                  <w:rPr>
                    <w:sz w:val="22"/>
                    <w:highlight w:val="lightGray"/>
                  </w:rPr>
                </w:pPr>
                <w:r w:rsidRPr="00496C0A">
                  <w:rPr>
                    <w:sz w:val="22"/>
                  </w:rPr>
                  <w:t>November 17</w:t>
                </w:r>
                <w:r w:rsidR="00945315" w:rsidRPr="00496C0A">
                  <w:rPr>
                    <w:sz w:val="22"/>
                  </w:rPr>
                  <w:t>,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496C0A" w:rsidP="00942D7F">
                <w:pPr>
                  <w:rPr>
                    <w:sz w:val="22"/>
                    <w:highlight w:val="lightGray"/>
                  </w:rPr>
                </w:pPr>
                <w:r w:rsidRPr="00496C0A">
                  <w:rPr>
                    <w:sz w:val="22"/>
                  </w:rPr>
                  <w:t>MO/MLP/SH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744" w:rsidRDefault="00B92744">
      <w:r>
        <w:separator/>
      </w:r>
    </w:p>
  </w:endnote>
  <w:endnote w:type="continuationSeparator" w:id="0">
    <w:p w:rsidR="00B92744" w:rsidRDefault="00B927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7" w:rsidRDefault="00D16BE1">
    <w:pPr>
      <w:pStyle w:val="Footer"/>
      <w:framePr w:wrap="around" w:vAnchor="text" w:hAnchor="margin" w:xAlign="right" w:y="1"/>
      <w:rPr>
        <w:rStyle w:val="PageNumber"/>
      </w:rPr>
    </w:pPr>
    <w:r>
      <w:rPr>
        <w:rStyle w:val="PageNumber"/>
      </w:rPr>
      <w:fldChar w:fldCharType="begin"/>
    </w:r>
    <w:r w:rsidR="00D22F87">
      <w:rPr>
        <w:rStyle w:val="PageNumber"/>
      </w:rPr>
      <w:instrText xml:space="preserve">PAGE  </w:instrText>
    </w:r>
    <w:r>
      <w:rPr>
        <w:rStyle w:val="PageNumber"/>
      </w:rPr>
      <w:fldChar w:fldCharType="separate"/>
    </w:r>
    <w:r w:rsidR="00D22F87">
      <w:rPr>
        <w:rStyle w:val="PageNumber"/>
        <w:noProof/>
      </w:rPr>
      <w:t>47</w:t>
    </w:r>
    <w:r>
      <w:rPr>
        <w:rStyle w:val="PageNumber"/>
      </w:rPr>
      <w:fldChar w:fldCharType="end"/>
    </w:r>
  </w:p>
  <w:p w:rsidR="00D22F87" w:rsidRDefault="00D22F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7" w:rsidRDefault="00D22F87">
    <w:pPr>
      <w:pStyle w:val="Footer"/>
      <w:pBdr>
        <w:top w:val="single" w:sz="4" w:space="1" w:color="auto"/>
      </w:pBdr>
      <w:tabs>
        <w:tab w:val="clear" w:pos="8640"/>
      </w:tabs>
      <w:ind w:right="360"/>
      <w:jc w:val="center"/>
    </w:pPr>
  </w:p>
  <w:p w:rsidR="00D22F87" w:rsidRDefault="00D22F87">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D22F87" w:rsidRDefault="00D16BE1" w:rsidP="001C4A35">
    <w:pPr>
      <w:pStyle w:val="Footer"/>
      <w:tabs>
        <w:tab w:val="clear" w:pos="8640"/>
      </w:tabs>
      <w:ind w:right="360"/>
      <w:jc w:val="center"/>
    </w:pPr>
    <w:sdt>
      <w:sdtPr>
        <w:id w:val="451058542"/>
        <w:placeholder>
          <w:docPart w:val="185BDD41F50B421CBAD74516D85FF6B2"/>
        </w:placeholder>
        <w:text/>
      </w:sdtPr>
      <w:sdtContent>
        <w:r w:rsidR="00496C0A" w:rsidRPr="00496C0A">
          <w:t>Central Berkshire Regional School District</w:t>
        </w:r>
      </w:sdtContent>
    </w:sdt>
    <w:r w:rsidR="00D22F87">
      <w:t xml:space="preserve"> Coordinated Program Review Report for English Learner Education</w:t>
    </w:r>
  </w:p>
  <w:p w:rsidR="00D22F87" w:rsidRPr="00000DC6" w:rsidRDefault="00D22F87"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00496C0A" w:rsidRPr="00496C0A">
          <w:t>November 17, 2014</w:t>
        </w:r>
      </w:sdtContent>
    </w:sdt>
  </w:p>
  <w:p w:rsidR="00D22F87" w:rsidRDefault="00D22F87">
    <w:pPr>
      <w:pStyle w:val="Footer"/>
      <w:tabs>
        <w:tab w:val="clear" w:pos="8640"/>
      </w:tabs>
      <w:ind w:right="360"/>
      <w:jc w:val="center"/>
    </w:pPr>
    <w:r>
      <w:t xml:space="preserve">Page </w:t>
    </w:r>
    <w:fldSimple w:instr=" PAGE ">
      <w:r w:rsidR="00A83F66">
        <w:rPr>
          <w:noProof/>
        </w:rPr>
        <w:t>4</w:t>
      </w:r>
    </w:fldSimple>
    <w:r>
      <w:t xml:space="preserve"> of </w:t>
    </w:r>
    <w:fldSimple w:instr=" NUMPAGES ">
      <w:r w:rsidR="00A83F66">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7" w:rsidRDefault="00D16BE1">
    <w:pPr>
      <w:pStyle w:val="Footer"/>
      <w:framePr w:wrap="around" w:vAnchor="text" w:hAnchor="margin" w:xAlign="right" w:y="1"/>
      <w:rPr>
        <w:rStyle w:val="PageNumber"/>
      </w:rPr>
    </w:pPr>
    <w:r>
      <w:rPr>
        <w:rStyle w:val="PageNumber"/>
      </w:rPr>
      <w:fldChar w:fldCharType="begin"/>
    </w:r>
    <w:r w:rsidR="00D22F87">
      <w:rPr>
        <w:rStyle w:val="PageNumber"/>
      </w:rPr>
      <w:instrText xml:space="preserve">PAGE  </w:instrText>
    </w:r>
    <w:r>
      <w:rPr>
        <w:rStyle w:val="PageNumber"/>
      </w:rPr>
      <w:fldChar w:fldCharType="end"/>
    </w:r>
  </w:p>
  <w:p w:rsidR="00D22F87" w:rsidRDefault="00D22F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744" w:rsidRDefault="00B92744">
      <w:r>
        <w:separator/>
      </w:r>
    </w:p>
  </w:footnote>
  <w:footnote w:type="continuationSeparator" w:id="0">
    <w:p w:rsidR="00B92744" w:rsidRDefault="00B92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7" w:rsidRDefault="00D22F87">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2C0"/>
    <w:rsid w:val="00236E43"/>
    <w:rsid w:val="00240917"/>
    <w:rsid w:val="00252C32"/>
    <w:rsid w:val="0026504F"/>
    <w:rsid w:val="002652D4"/>
    <w:rsid w:val="002672A7"/>
    <w:rsid w:val="00267DFB"/>
    <w:rsid w:val="00272D81"/>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97025"/>
    <w:rsid w:val="003A79CA"/>
    <w:rsid w:val="003B263F"/>
    <w:rsid w:val="003B689B"/>
    <w:rsid w:val="003C18EC"/>
    <w:rsid w:val="003C2546"/>
    <w:rsid w:val="003C62F5"/>
    <w:rsid w:val="003D58EA"/>
    <w:rsid w:val="003E0682"/>
    <w:rsid w:val="003E35B2"/>
    <w:rsid w:val="003E5681"/>
    <w:rsid w:val="003E5872"/>
    <w:rsid w:val="003E5A7E"/>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96C0A"/>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7632A"/>
    <w:rsid w:val="00682209"/>
    <w:rsid w:val="00682651"/>
    <w:rsid w:val="00696D2D"/>
    <w:rsid w:val="00697264"/>
    <w:rsid w:val="006B7ABE"/>
    <w:rsid w:val="006C132A"/>
    <w:rsid w:val="006F40F4"/>
    <w:rsid w:val="00722B34"/>
    <w:rsid w:val="00726D5C"/>
    <w:rsid w:val="00731376"/>
    <w:rsid w:val="00740DBA"/>
    <w:rsid w:val="007411BF"/>
    <w:rsid w:val="007456ED"/>
    <w:rsid w:val="00745A0D"/>
    <w:rsid w:val="00761044"/>
    <w:rsid w:val="0076262B"/>
    <w:rsid w:val="00762968"/>
    <w:rsid w:val="00762BBB"/>
    <w:rsid w:val="007725EE"/>
    <w:rsid w:val="0078479F"/>
    <w:rsid w:val="00792E9B"/>
    <w:rsid w:val="0079671E"/>
    <w:rsid w:val="00796EA1"/>
    <w:rsid w:val="007A4C91"/>
    <w:rsid w:val="007A6417"/>
    <w:rsid w:val="007B7A01"/>
    <w:rsid w:val="007C280B"/>
    <w:rsid w:val="007C2963"/>
    <w:rsid w:val="007C5AB7"/>
    <w:rsid w:val="007D5361"/>
    <w:rsid w:val="007E16E0"/>
    <w:rsid w:val="007F19B6"/>
    <w:rsid w:val="007F6FE0"/>
    <w:rsid w:val="00800573"/>
    <w:rsid w:val="00803DE8"/>
    <w:rsid w:val="008128C3"/>
    <w:rsid w:val="00820428"/>
    <w:rsid w:val="008219B9"/>
    <w:rsid w:val="00827987"/>
    <w:rsid w:val="00842B09"/>
    <w:rsid w:val="008569B7"/>
    <w:rsid w:val="008579D9"/>
    <w:rsid w:val="00872B8D"/>
    <w:rsid w:val="00872D70"/>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3F66"/>
    <w:rsid w:val="00A85367"/>
    <w:rsid w:val="00A87EBB"/>
    <w:rsid w:val="00AA3B71"/>
    <w:rsid w:val="00AB23AB"/>
    <w:rsid w:val="00AB3842"/>
    <w:rsid w:val="00AB5561"/>
    <w:rsid w:val="00AC046D"/>
    <w:rsid w:val="00AD0F25"/>
    <w:rsid w:val="00AF0755"/>
    <w:rsid w:val="00AF1425"/>
    <w:rsid w:val="00AF39B8"/>
    <w:rsid w:val="00AF4E81"/>
    <w:rsid w:val="00B032BC"/>
    <w:rsid w:val="00B12D41"/>
    <w:rsid w:val="00B232A3"/>
    <w:rsid w:val="00B2785D"/>
    <w:rsid w:val="00B4300E"/>
    <w:rsid w:val="00B513A8"/>
    <w:rsid w:val="00B6357C"/>
    <w:rsid w:val="00B67626"/>
    <w:rsid w:val="00B75789"/>
    <w:rsid w:val="00B869BF"/>
    <w:rsid w:val="00B92744"/>
    <w:rsid w:val="00B9759D"/>
    <w:rsid w:val="00BB232F"/>
    <w:rsid w:val="00BB70C4"/>
    <w:rsid w:val="00BC54D4"/>
    <w:rsid w:val="00BC605D"/>
    <w:rsid w:val="00BC6372"/>
    <w:rsid w:val="00BD2007"/>
    <w:rsid w:val="00BD3D07"/>
    <w:rsid w:val="00BD70A8"/>
    <w:rsid w:val="00BE3CAE"/>
    <w:rsid w:val="00BE743D"/>
    <w:rsid w:val="00BE749E"/>
    <w:rsid w:val="00BF0131"/>
    <w:rsid w:val="00BF0903"/>
    <w:rsid w:val="00BF54B1"/>
    <w:rsid w:val="00C00C5C"/>
    <w:rsid w:val="00C05F33"/>
    <w:rsid w:val="00C27D32"/>
    <w:rsid w:val="00C3414F"/>
    <w:rsid w:val="00C36578"/>
    <w:rsid w:val="00C50ABD"/>
    <w:rsid w:val="00C54DED"/>
    <w:rsid w:val="00C552EC"/>
    <w:rsid w:val="00C5773D"/>
    <w:rsid w:val="00C613A6"/>
    <w:rsid w:val="00C63C5E"/>
    <w:rsid w:val="00C64FF7"/>
    <w:rsid w:val="00C70076"/>
    <w:rsid w:val="00C727C1"/>
    <w:rsid w:val="00C90ED4"/>
    <w:rsid w:val="00C92A7D"/>
    <w:rsid w:val="00C94A6C"/>
    <w:rsid w:val="00CA0009"/>
    <w:rsid w:val="00CA38D6"/>
    <w:rsid w:val="00CA62FE"/>
    <w:rsid w:val="00CD7D1F"/>
    <w:rsid w:val="00CE3A8D"/>
    <w:rsid w:val="00CF01E6"/>
    <w:rsid w:val="00CF19A2"/>
    <w:rsid w:val="00CF2EE5"/>
    <w:rsid w:val="00D0452E"/>
    <w:rsid w:val="00D13029"/>
    <w:rsid w:val="00D16BE1"/>
    <w:rsid w:val="00D20537"/>
    <w:rsid w:val="00D22F87"/>
    <w:rsid w:val="00D25174"/>
    <w:rsid w:val="00D262BD"/>
    <w:rsid w:val="00D278B4"/>
    <w:rsid w:val="00D42C9F"/>
    <w:rsid w:val="00D47C4C"/>
    <w:rsid w:val="00D71133"/>
    <w:rsid w:val="00D85BEA"/>
    <w:rsid w:val="00D946DD"/>
    <w:rsid w:val="00D96CBF"/>
    <w:rsid w:val="00DB7ADF"/>
    <w:rsid w:val="00DD5E1C"/>
    <w:rsid w:val="00DD6302"/>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6900"/>
    <w:rsid w:val="00EB28A1"/>
    <w:rsid w:val="00EB4525"/>
    <w:rsid w:val="00EC4322"/>
    <w:rsid w:val="00EC741E"/>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wid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A57A3"/>
    <w:rsid w:val="001A5E0E"/>
    <w:rsid w:val="001C3678"/>
    <w:rsid w:val="00322B8E"/>
    <w:rsid w:val="003B0CE5"/>
    <w:rsid w:val="00416197"/>
    <w:rsid w:val="005637C3"/>
    <w:rsid w:val="005D58E3"/>
    <w:rsid w:val="00856DD4"/>
    <w:rsid w:val="008F028B"/>
    <w:rsid w:val="00957FDF"/>
    <w:rsid w:val="009802DA"/>
    <w:rsid w:val="009D2701"/>
    <w:rsid w:val="009F154F"/>
    <w:rsid w:val="00B50C17"/>
    <w:rsid w:val="00B82122"/>
    <w:rsid w:val="00D61280"/>
    <w:rsid w:val="00DA552A"/>
    <w:rsid w:val="00F27675"/>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DESE-231-12641</_dlc_DocId>
    <_dlc_DocIdUrl xmlns="733efe1c-5bbe-4968-87dc-d400e65c879f">
      <Url>https://sharepoint.doemass.org/ese/webteam/cps/_layouts/DocIdRedir.aspx?ID=DESE-231-12641</Url>
      <Description>DESE-231-12641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FB980-9F6A-482E-B3E0-17E7261155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2F4F243-5EED-40B2-809A-89DB07E69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139E-A82C-4B82-8A4A-8174BD33BB78}">
  <ds:schemaRefs>
    <ds:schemaRef ds:uri="http://schemas.microsoft.com/sharepoint/events"/>
  </ds:schemaRefs>
</ds:datastoreItem>
</file>

<file path=customXml/itemProps4.xml><?xml version="1.0" encoding="utf-8"?>
<ds:datastoreItem xmlns:ds="http://schemas.openxmlformats.org/officeDocument/2006/customXml" ds:itemID="{BE605319-72EB-4DD0-920F-CEFDB33641D1}">
  <ds:schemaRefs>
    <ds:schemaRef ds:uri="http://schemas.microsoft.com/sharepoint/v3/contenttype/forms"/>
  </ds:schemaRefs>
</ds:datastoreItem>
</file>

<file path=customXml/itemProps5.xml><?xml version="1.0" encoding="utf-8"?>
<ds:datastoreItem xmlns:ds="http://schemas.openxmlformats.org/officeDocument/2006/customXml" ds:itemID="{F3F83346-6A09-485A-8C52-3A04FB8B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5363</Words>
  <Characters>31241</Characters>
  <Application>Microsoft Office Word</Application>
  <DocSecurity>0</DocSecurity>
  <Lines>1107</Lines>
  <Paragraphs>410</Paragraphs>
  <ScaleCrop>false</ScaleCrop>
  <HeadingPairs>
    <vt:vector size="2" baseType="variant">
      <vt:variant>
        <vt:lpstr>Title</vt:lpstr>
      </vt:variant>
      <vt:variant>
        <vt:i4>1</vt:i4>
      </vt:variant>
    </vt:vector>
  </HeadingPairs>
  <TitlesOfParts>
    <vt:vector size="1" baseType="lpstr">
      <vt:lpstr>Central Berkshire Regional CPR Final Report 2013-14</vt:lpstr>
    </vt:vector>
  </TitlesOfParts>
  <Company/>
  <LinksUpToDate>false</LinksUpToDate>
  <CharactersWithSpaces>36526</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Berkshire Regional CPR Final Report 2013-14</dc:title>
  <dc:subject/>
  <dc:creator>ESE</dc:creator>
  <cp:keywords/>
  <cp:lastModifiedBy>dzou</cp:lastModifiedBy>
  <cp:revision>8</cp:revision>
  <cp:lastPrinted>2014-11-17T20:59:00Z</cp:lastPrinted>
  <dcterms:created xsi:type="dcterms:W3CDTF">2014-11-17T20:59:00Z</dcterms:created>
  <dcterms:modified xsi:type="dcterms:W3CDTF">2014-12-29T15:58:00Z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2014</vt:lpwstr>
  </property>
</Properties>
</file>