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62DA" w14:textId="128F8DAC" w:rsidR="00A9204E" w:rsidRPr="00CF0FCC" w:rsidRDefault="00B845EA" w:rsidP="00CF0FCC">
      <w:pPr>
        <w:pStyle w:val="NoSpacing"/>
        <w:ind w:left="0"/>
        <w:contextualSpacing/>
        <w:rPr>
          <w:b/>
          <w:bCs/>
        </w:rPr>
      </w:pPr>
      <w:r w:rsidRPr="00CF0FCC">
        <w:rPr>
          <w:b/>
          <w:bCs/>
        </w:rPr>
        <w:t>Unpacking Academic Language Chart</w:t>
      </w:r>
    </w:p>
    <w:p w14:paraId="283AB8CE" w14:textId="77777777" w:rsidR="00B845EA" w:rsidRDefault="00B845EA" w:rsidP="00CF0FCC">
      <w:pPr>
        <w:pStyle w:val="NoSpacing"/>
        <w:contextualSpacing/>
      </w:pPr>
    </w:p>
    <w:p w14:paraId="0B991C30" w14:textId="017AAEEB" w:rsidR="00BB1CC8" w:rsidRPr="005F4B54" w:rsidRDefault="00B845EA" w:rsidP="001A2806">
      <w:pPr>
        <w:spacing w:line="240" w:lineRule="auto"/>
        <w:ind w:left="0" w:right="504"/>
        <w:contextualSpacing/>
        <w:jc w:val="left"/>
      </w:pPr>
      <w:r w:rsidRPr="00DD013B">
        <w:t xml:space="preserve">This </w:t>
      </w:r>
      <w:r w:rsidR="005F4B54">
        <w:t>tool</w:t>
      </w:r>
      <w:r w:rsidRPr="00DD013B">
        <w:t xml:space="preserve"> </w:t>
      </w:r>
      <w:r>
        <w:t>helps e</w:t>
      </w:r>
      <w:r w:rsidRPr="00DD013B">
        <w:t xml:space="preserve">ducators consider the </w:t>
      </w:r>
      <w:hyperlink r:id="rId11" w:history="1">
        <w:r>
          <w:rPr>
            <w:rStyle w:val="Hyperlink"/>
          </w:rPr>
          <w:t xml:space="preserve">WIDA English Language Development Standards Framework, 2020 </w:t>
        </w:r>
        <w:r w:rsidR="001A2806">
          <w:rPr>
            <w:rStyle w:val="Hyperlink"/>
          </w:rPr>
          <w:t>e</w:t>
        </w:r>
        <w:r>
          <w:rPr>
            <w:rStyle w:val="Hyperlink"/>
          </w:rPr>
          <w:t>dition</w:t>
        </w:r>
      </w:hyperlink>
      <w:r w:rsidRPr="008105A0">
        <w:t xml:space="preserve"> at</w:t>
      </w:r>
      <w:r w:rsidRPr="00DD013B">
        <w:t xml:space="preserve"> the unit and lesson levels. </w:t>
      </w:r>
      <w:r>
        <w:t xml:space="preserve">It </w:t>
      </w:r>
      <w:r w:rsidR="00BB1CC8">
        <w:t>is based on the 2020 Edition’s dimensions of language use</w:t>
      </w:r>
      <w:r w:rsidR="00BB1CC8">
        <w:rPr>
          <w:rStyle w:val="FootnoteReference"/>
        </w:rPr>
        <w:footnoteReference w:id="1"/>
      </w:r>
      <w:r w:rsidR="005F4B54">
        <w:t xml:space="preserve">. These dimensions are one way to conceptualize the way students use language in sociocultural contexts, or how students make language choices to express themselves in various contexts, and for different purposes and audiences. The tool </w:t>
      </w:r>
      <w:r>
        <w:t xml:space="preserve">prompts educators to think about what language students will be expected to interpret and express at their </w:t>
      </w:r>
      <w:proofErr w:type="gramStart"/>
      <w:r>
        <w:t>particular English</w:t>
      </w:r>
      <w:proofErr w:type="gramEnd"/>
      <w:r>
        <w:t xml:space="preserve"> language proficiency levels as educators </w:t>
      </w:r>
      <w:r w:rsidRPr="00DD013B">
        <w:t xml:space="preserve">choose standards-based contexts, topics, themes, and texts for </w:t>
      </w:r>
      <w:r>
        <w:t>curriculum development</w:t>
      </w:r>
      <w:r w:rsidRPr="008105A0">
        <w:t xml:space="preserve">. </w:t>
      </w:r>
      <w:r w:rsidR="00BB1CC8">
        <w:t>During this process, i</w:t>
      </w:r>
      <w:r w:rsidRPr="008105A0">
        <w:t xml:space="preserve">t is important for educators to continuously calibrate their expectations using the </w:t>
      </w:r>
      <w:hyperlink r:id="rId12" w:history="1">
        <w:r w:rsidR="00BB1CC8">
          <w:rPr>
            <w:rStyle w:val="Hyperlink"/>
          </w:rPr>
          <w:t>WIDA Proficiency Level Descriptors</w:t>
        </w:r>
      </w:hyperlink>
      <w:r w:rsidRPr="008105A0">
        <w:t xml:space="preserve"> </w:t>
      </w:r>
      <w:r w:rsidR="00BB1CC8">
        <w:t>within their grade level cluster and</w:t>
      </w:r>
      <w:r w:rsidRPr="00DD013B">
        <w:t xml:space="preserve"> multiple data points derived from current student work.</w:t>
      </w:r>
    </w:p>
    <w:p w14:paraId="49174D92" w14:textId="77777777" w:rsidR="00CF0FCC" w:rsidRDefault="00CF0FCC" w:rsidP="001A2806">
      <w:pPr>
        <w:spacing w:line="240" w:lineRule="auto"/>
        <w:ind w:left="0" w:right="504"/>
        <w:contextualSpacing/>
        <w:jc w:val="left"/>
      </w:pPr>
    </w:p>
    <w:p w14:paraId="15A8F208" w14:textId="799E6DCA" w:rsidR="00BB1CC8" w:rsidRDefault="00B845EA" w:rsidP="001A2806">
      <w:pPr>
        <w:spacing w:line="240" w:lineRule="auto"/>
        <w:ind w:left="0" w:right="504"/>
        <w:contextualSpacing/>
        <w:jc w:val="left"/>
      </w:pPr>
      <w:r w:rsidRPr="00DD013B">
        <w:t>The</w:t>
      </w:r>
      <w:r w:rsidR="00BB1CC8">
        <w:t xml:space="preserve"> </w:t>
      </w:r>
      <w:r w:rsidR="00BB1CC8" w:rsidRPr="005F4B54">
        <w:rPr>
          <w:i/>
          <w:iCs/>
        </w:rPr>
        <w:t>Unpacking Academic Language Chart</w:t>
      </w:r>
      <w:r w:rsidR="00BB1CC8">
        <w:t xml:space="preserve"> </w:t>
      </w:r>
      <w:r w:rsidRPr="00DD013B">
        <w:t>can be useful at different points throughout the unit development process</w:t>
      </w:r>
      <w:r w:rsidR="00BB1CC8">
        <w:t>, for example:</w:t>
      </w:r>
    </w:p>
    <w:p w14:paraId="4DE6DFEF" w14:textId="77777777" w:rsidR="00080C20" w:rsidRPr="00080C20" w:rsidRDefault="00080C20" w:rsidP="001A2806">
      <w:pPr>
        <w:spacing w:line="240" w:lineRule="auto"/>
        <w:ind w:left="0" w:right="504"/>
        <w:contextualSpacing/>
        <w:jc w:val="left"/>
        <w:rPr>
          <w:i/>
          <w:sz w:val="10"/>
          <w:szCs w:val="10"/>
        </w:rPr>
      </w:pPr>
    </w:p>
    <w:p w14:paraId="1155778B" w14:textId="2D29AFEA" w:rsidR="00BB1CC8" w:rsidRDefault="00BB1CC8" w:rsidP="001A2806">
      <w:pPr>
        <w:pStyle w:val="ListParagraph"/>
        <w:numPr>
          <w:ilvl w:val="0"/>
          <w:numId w:val="1"/>
        </w:numPr>
        <w:spacing w:line="240" w:lineRule="auto"/>
        <w:ind w:left="720" w:right="504"/>
        <w:contextualSpacing/>
        <w:jc w:val="left"/>
      </w:pPr>
      <w:r>
        <w:t>In Stage 1, educators can use this chart a</w:t>
      </w:r>
      <w:r w:rsidRPr="00DD013B">
        <w:t>s F</w:t>
      </w:r>
      <w:r>
        <w:t xml:space="preserve">ocus Language Goals (FLGs) are </w:t>
      </w:r>
      <w:r w:rsidRPr="00DD013B">
        <w:t xml:space="preserve">designed using the </w:t>
      </w:r>
      <w:hyperlink r:id="rId13" w:history="1">
        <w:r w:rsidRPr="00BB1CC8">
          <w:rPr>
            <w:rStyle w:val="Hyperlink"/>
          </w:rPr>
          <w:t>Collaboration Tool</w:t>
        </w:r>
      </w:hyperlink>
      <w:r>
        <w:t xml:space="preserve">; this tool can help them identify </w:t>
      </w:r>
      <w:r w:rsidR="00B845EA" w:rsidRPr="00DD013B">
        <w:t>academic language embedded in FLGs to determine the linguistic and conceptual knowledge and skills driving the unit</w:t>
      </w:r>
      <w:r>
        <w:t>, and</w:t>
      </w:r>
    </w:p>
    <w:p w14:paraId="334E608D" w14:textId="77777777" w:rsidR="00080C20" w:rsidRPr="00080C20" w:rsidRDefault="00080C20" w:rsidP="001A2806">
      <w:pPr>
        <w:spacing w:line="240" w:lineRule="auto"/>
        <w:ind w:left="360" w:right="504"/>
        <w:contextualSpacing/>
        <w:jc w:val="left"/>
        <w:rPr>
          <w:sz w:val="10"/>
          <w:szCs w:val="10"/>
        </w:rPr>
      </w:pPr>
    </w:p>
    <w:p w14:paraId="47115E0E" w14:textId="6E94E2C0" w:rsidR="005F4B54" w:rsidRDefault="00BB1CC8" w:rsidP="001A2806">
      <w:pPr>
        <w:pStyle w:val="ListParagraph"/>
        <w:numPr>
          <w:ilvl w:val="0"/>
          <w:numId w:val="1"/>
        </w:numPr>
        <w:spacing w:line="240" w:lineRule="auto"/>
        <w:ind w:left="720" w:right="504"/>
        <w:contextualSpacing/>
        <w:jc w:val="left"/>
      </w:pPr>
      <w:r>
        <w:t>During Stage 3 development, w</w:t>
      </w:r>
      <w:r w:rsidR="00B845EA" w:rsidRPr="00DD013B">
        <w:t>hen considering the progression of language instruction</w:t>
      </w:r>
      <w:r>
        <w:t xml:space="preserve"> for the unit and planning/ sequencing how students will learn about and engage with target academic language in</w:t>
      </w:r>
      <w:r w:rsidR="00B845EA" w:rsidRPr="00DD013B">
        <w:t xml:space="preserve"> each lesson.</w:t>
      </w:r>
    </w:p>
    <w:p w14:paraId="60CBDC94" w14:textId="77777777" w:rsidR="009A248F" w:rsidRDefault="009A248F" w:rsidP="009A248F">
      <w:pPr>
        <w:spacing w:line="240" w:lineRule="auto"/>
        <w:ind w:left="0" w:right="504"/>
        <w:contextualSpacing/>
        <w:jc w:val="left"/>
      </w:pPr>
    </w:p>
    <w:p w14:paraId="359991C3" w14:textId="0A9515C2" w:rsidR="00080C20" w:rsidRDefault="00DD3738" w:rsidP="009A248F">
      <w:pPr>
        <w:spacing w:line="240" w:lineRule="auto"/>
        <w:ind w:left="0" w:right="504"/>
        <w:contextualSpacing/>
        <w:jc w:val="left"/>
      </w:pPr>
      <w:r>
        <w:t>Tool c</w:t>
      </w:r>
      <w:r w:rsidR="00CF0FCC">
        <w:t>omponents:</w:t>
      </w:r>
      <w:r w:rsidR="009A248F" w:rsidRPr="009A248F">
        <w:rPr>
          <w:noProof/>
        </w:rPr>
        <w:t xml:space="preserve"> </w:t>
      </w:r>
    </w:p>
    <w:p w14:paraId="16EC3F59" w14:textId="25AF289C" w:rsidR="00DD3738" w:rsidRDefault="00DD3738" w:rsidP="00DD3738">
      <w:pPr>
        <w:ind w:left="0" w:right="504"/>
        <w:contextualSpacing/>
        <w:jc w:val="left"/>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5"/>
        <w:gridCol w:w="7645"/>
      </w:tblGrid>
      <w:tr w:rsidR="009A248F" w14:paraId="4F9650E9" w14:textId="77777777" w:rsidTr="001A2806">
        <w:tc>
          <w:tcPr>
            <w:tcW w:w="6025" w:type="dxa"/>
          </w:tcPr>
          <w:p w14:paraId="3C888B94" w14:textId="77777777" w:rsidR="009A248F" w:rsidRDefault="009A248F" w:rsidP="009A248F">
            <w:pPr>
              <w:pStyle w:val="ListParagraph"/>
              <w:numPr>
                <w:ilvl w:val="0"/>
                <w:numId w:val="7"/>
              </w:numPr>
              <w:ind w:left="360" w:right="504"/>
              <w:contextualSpacing/>
              <w:jc w:val="left"/>
            </w:pPr>
            <w:r>
              <w:t xml:space="preserve">The first few columns describe each dimension and provide sample language features to illustrate them. </w:t>
            </w:r>
          </w:p>
          <w:p w14:paraId="3628CEE5" w14:textId="77777777" w:rsidR="009A248F" w:rsidRDefault="009A248F" w:rsidP="00DD3738">
            <w:pPr>
              <w:ind w:left="0" w:right="504"/>
              <w:contextualSpacing/>
              <w:jc w:val="left"/>
              <w:rPr>
                <w:sz w:val="10"/>
                <w:szCs w:val="10"/>
              </w:rPr>
            </w:pPr>
          </w:p>
        </w:tc>
        <w:tc>
          <w:tcPr>
            <w:tcW w:w="7645" w:type="dxa"/>
          </w:tcPr>
          <w:p w14:paraId="6722EF66" w14:textId="77777777" w:rsidR="009A248F" w:rsidRDefault="009A248F" w:rsidP="009A248F">
            <w:pPr>
              <w:ind w:left="0" w:right="504"/>
              <w:contextualSpacing/>
              <w:jc w:val="center"/>
              <w:rPr>
                <w:sz w:val="10"/>
                <w:szCs w:val="10"/>
              </w:rPr>
            </w:pPr>
            <w:r>
              <w:rPr>
                <w:noProof/>
              </w:rPr>
              <w:drawing>
                <wp:inline distT="0" distB="0" distL="0" distR="0" wp14:anchorId="23612273" wp14:editId="0FBD4C79">
                  <wp:extent cx="3802380" cy="732365"/>
                  <wp:effectExtent l="0" t="0" r="7620" b="0"/>
                  <wp:docPr id="1" name="Picture 1" descr="snapshot of the unpacking academic language tool discourse 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napshot of the unpacking academic language tool discourse dimension"/>
                          <pic:cNvPicPr/>
                        </pic:nvPicPr>
                        <pic:blipFill rotWithShape="1">
                          <a:blip r:embed="rId14">
                            <a:extLst>
                              <a:ext uri="{28A0092B-C50C-407E-A947-70E740481C1C}">
                                <a14:useLocalDpi xmlns:a14="http://schemas.microsoft.com/office/drawing/2010/main" val="0"/>
                              </a:ext>
                            </a:extLst>
                          </a:blip>
                          <a:srcRect l="19713" t="28118" r="47745" b="60296"/>
                          <a:stretch/>
                        </pic:blipFill>
                        <pic:spPr bwMode="auto">
                          <a:xfrm>
                            <a:off x="0" y="0"/>
                            <a:ext cx="3824410" cy="736608"/>
                          </a:xfrm>
                          <a:prstGeom prst="rect">
                            <a:avLst/>
                          </a:prstGeom>
                          <a:ln>
                            <a:noFill/>
                          </a:ln>
                          <a:extLst>
                            <a:ext uri="{53640926-AAD7-44D8-BBD7-CCE9431645EC}">
                              <a14:shadowObscured xmlns:a14="http://schemas.microsoft.com/office/drawing/2010/main"/>
                            </a:ext>
                          </a:extLst>
                        </pic:spPr>
                      </pic:pic>
                    </a:graphicData>
                  </a:graphic>
                </wp:inline>
              </w:drawing>
            </w:r>
          </w:p>
          <w:p w14:paraId="2D46176E" w14:textId="77777777" w:rsidR="009A248F" w:rsidRDefault="009A248F" w:rsidP="009A248F">
            <w:pPr>
              <w:ind w:left="0" w:right="504"/>
              <w:contextualSpacing/>
              <w:jc w:val="left"/>
              <w:rPr>
                <w:sz w:val="10"/>
                <w:szCs w:val="10"/>
              </w:rPr>
            </w:pPr>
          </w:p>
          <w:p w14:paraId="5695E59B" w14:textId="7BCAC720" w:rsidR="001A2806" w:rsidRDefault="001A2806" w:rsidP="009A248F">
            <w:pPr>
              <w:ind w:left="0" w:right="504"/>
              <w:contextualSpacing/>
              <w:jc w:val="left"/>
              <w:rPr>
                <w:sz w:val="10"/>
                <w:szCs w:val="10"/>
              </w:rPr>
            </w:pPr>
          </w:p>
        </w:tc>
      </w:tr>
      <w:tr w:rsidR="009A248F" w14:paraId="3228F320" w14:textId="77777777" w:rsidTr="001A2806">
        <w:tc>
          <w:tcPr>
            <w:tcW w:w="6025" w:type="dxa"/>
          </w:tcPr>
          <w:p w14:paraId="32C3E901" w14:textId="397D702A" w:rsidR="009A248F" w:rsidRDefault="009A248F" w:rsidP="009A248F">
            <w:pPr>
              <w:pStyle w:val="ListParagraph"/>
              <w:numPr>
                <w:ilvl w:val="0"/>
                <w:numId w:val="7"/>
              </w:numPr>
              <w:ind w:left="360" w:right="504"/>
              <w:contextualSpacing/>
              <w:jc w:val="left"/>
            </w:pPr>
            <w:r>
              <w:t xml:space="preserve">The last few columns provide space for educators to think through the language students will encounter throughout a unit or lesson and make decisions about what language features will be prioritized during instruction based on students’ current English language proficiency levels. </w:t>
            </w:r>
          </w:p>
        </w:tc>
        <w:tc>
          <w:tcPr>
            <w:tcW w:w="7645" w:type="dxa"/>
          </w:tcPr>
          <w:p w14:paraId="20CEA1FC" w14:textId="70434AA1" w:rsidR="009A248F" w:rsidRDefault="009A248F" w:rsidP="009A248F">
            <w:pPr>
              <w:ind w:left="0" w:right="504"/>
              <w:contextualSpacing/>
              <w:jc w:val="center"/>
              <w:rPr>
                <w:noProof/>
              </w:rPr>
            </w:pPr>
            <w:r>
              <w:rPr>
                <w:noProof/>
              </w:rPr>
              <w:drawing>
                <wp:inline distT="0" distB="0" distL="0" distR="0" wp14:anchorId="376AE851" wp14:editId="02246533">
                  <wp:extent cx="3383984" cy="777240"/>
                  <wp:effectExtent l="0" t="0" r="6985" b="3810"/>
                  <wp:docPr id="2" name="Picture 2" descr="Image of section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section of chart"/>
                          <pic:cNvPicPr/>
                        </pic:nvPicPr>
                        <pic:blipFill rotWithShape="1">
                          <a:blip r:embed="rId14">
                            <a:extLst>
                              <a:ext uri="{28A0092B-C50C-407E-A947-70E740481C1C}">
                                <a14:useLocalDpi xmlns:a14="http://schemas.microsoft.com/office/drawing/2010/main" val="0"/>
                              </a:ext>
                            </a:extLst>
                          </a:blip>
                          <a:srcRect l="52019" t="28205" r="20876" b="60286"/>
                          <a:stretch/>
                        </pic:blipFill>
                        <pic:spPr bwMode="auto">
                          <a:xfrm>
                            <a:off x="0" y="0"/>
                            <a:ext cx="3453429" cy="793190"/>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6092FBF2" wp14:editId="1B38F677">
                      <wp:extent cx="4724400" cy="407670"/>
                      <wp:effectExtent l="0" t="95250" r="0" b="0"/>
                      <wp:docPr id="6" name="Speech Bubble: Rectangle 6" descr="educator tip: use the WIDA proficiency level descriptors to make informed decisions about where students are and what language to teach next"/>
                      <wp:cNvGraphicFramePr/>
                      <a:graphic xmlns:a="http://schemas.openxmlformats.org/drawingml/2006/main">
                        <a:graphicData uri="http://schemas.microsoft.com/office/word/2010/wordprocessingShape">
                          <wps:wsp>
                            <wps:cNvSpPr/>
                            <wps:spPr>
                              <a:xfrm>
                                <a:off x="4579620" y="1805940"/>
                                <a:ext cx="4724400" cy="407670"/>
                              </a:xfrm>
                              <a:prstGeom prst="wedgeRectCallout">
                                <a:avLst>
                                  <a:gd name="adj1" fmla="val -3529"/>
                                  <a:gd name="adj2" fmla="val -69612"/>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DE641" w14:textId="77777777" w:rsidR="009A248F" w:rsidRPr="00097206" w:rsidRDefault="009A248F" w:rsidP="009A248F">
                                  <w:pPr>
                                    <w:spacing w:line="240" w:lineRule="auto"/>
                                    <w:ind w:left="0" w:right="0"/>
                                    <w:contextualSpacing/>
                                    <w:jc w:val="center"/>
                                    <w:rPr>
                                      <w:rFonts w:ascii="Arial" w:hAnsi="Arial" w:cs="Arial"/>
                                      <w:color w:val="000000" w:themeColor="text1"/>
                                      <w:sz w:val="20"/>
                                      <w:szCs w:val="20"/>
                                    </w:rPr>
                                  </w:pPr>
                                  <w:r w:rsidRPr="00097206">
                                    <w:rPr>
                                      <w:rFonts w:ascii="Arial" w:hAnsi="Arial" w:cs="Arial"/>
                                      <w:b/>
                                      <w:bCs/>
                                      <w:color w:val="000000" w:themeColor="text1"/>
                                      <w:sz w:val="20"/>
                                      <w:szCs w:val="20"/>
                                    </w:rPr>
                                    <w:t>Educator tip:</w:t>
                                  </w:r>
                                  <w:r w:rsidRPr="00097206">
                                    <w:rPr>
                                      <w:rFonts w:ascii="Arial" w:hAnsi="Arial" w:cs="Arial"/>
                                      <w:color w:val="000000" w:themeColor="text1"/>
                                      <w:sz w:val="20"/>
                                      <w:szCs w:val="20"/>
                                    </w:rPr>
                                    <w:t xml:space="preserve"> Use the WIDA Proficiency Level Descriptors to make informed decisions about where students are and what language to teach next </w:t>
                                  </w:r>
                                </w:p>
                                <w:p w14:paraId="78D72214" w14:textId="77777777" w:rsidR="009A248F" w:rsidRPr="00DD3738" w:rsidRDefault="009A248F" w:rsidP="009A248F">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092FB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alt="educator tip: use the WIDA proficiency level descriptors to make informed decisions about where students are and what language to teach next" style="width:372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" adj="10038,-4236" fillcolor="#f4b083 [1941]" stroked="f" strokeweight="1pt">
                      <v:textbox>
                        <w:txbxContent>
                          <w:p w14:paraId="41DDE641" w14:textId="77777777" w:rsidR="009A248F" w:rsidRPr="00097206" w:rsidRDefault="009A248F" w:rsidP="009A248F">
                            <w:pPr>
                              <w:spacing w:line="240" w:lineRule="auto"/>
                              <w:ind w:left="0" w:right="0"/>
                              <w:contextualSpacing/>
                              <w:jc w:val="center"/>
                              <w:rPr>
                                <w:rFonts w:ascii="Arial" w:hAnsi="Arial" w:cs="Arial"/>
                                <w:color w:val="000000" w:themeColor="text1"/>
                                <w:sz w:val="20"/>
                                <w:szCs w:val="20"/>
                              </w:rPr>
                            </w:pPr>
                            <w:r w:rsidRPr="00097206">
                              <w:rPr>
                                <w:rFonts w:ascii="Arial" w:hAnsi="Arial" w:cs="Arial"/>
                                <w:b/>
                                <w:bCs/>
                                <w:color w:val="000000" w:themeColor="text1"/>
                                <w:sz w:val="20"/>
                                <w:szCs w:val="20"/>
                              </w:rPr>
                              <w:t>Educator tip:</w:t>
                            </w:r>
                            <w:r w:rsidRPr="00097206">
                              <w:rPr>
                                <w:rFonts w:ascii="Arial" w:hAnsi="Arial" w:cs="Arial"/>
                                <w:color w:val="000000" w:themeColor="text1"/>
                                <w:sz w:val="20"/>
                                <w:szCs w:val="20"/>
                              </w:rPr>
                              <w:t xml:space="preserve"> Use the WIDA Proficiency Level Descriptors to make informed decisions about where students are and what language to teach next </w:t>
                            </w:r>
                          </w:p>
                          <w:p w14:paraId="78D72214" w14:textId="77777777" w:rsidR="009A248F" w:rsidRPr="00DD3738" w:rsidRDefault="009A248F" w:rsidP="009A248F">
                            <w:pPr>
                              <w:ind w:left="0"/>
                              <w:jc w:val="center"/>
                              <w:rPr>
                                <w:color w:val="000000" w:themeColor="text1"/>
                              </w:rPr>
                            </w:pPr>
                          </w:p>
                        </w:txbxContent>
                      </v:textbox>
                      <w10:anchorlock/>
                    </v:shape>
                  </w:pict>
                </mc:Fallback>
              </mc:AlternateContent>
            </w:r>
          </w:p>
        </w:tc>
      </w:tr>
    </w:tbl>
    <w:p w14:paraId="555B76E5" w14:textId="30ED1F6F" w:rsidR="001A2806" w:rsidRDefault="001A2806" w:rsidP="001A2806">
      <w:pPr>
        <w:spacing w:line="240" w:lineRule="auto"/>
        <w:ind w:left="0" w:right="0"/>
        <w:contextualSpacing/>
        <w:jc w:val="center"/>
        <w:rPr>
          <w:rFonts w:ascii="Arial" w:hAnsi="Arial" w:cs="Arial"/>
          <w:b/>
          <w:bCs/>
          <w:sz w:val="20"/>
          <w:szCs w:val="20"/>
        </w:rPr>
      </w:pPr>
      <w:r>
        <w:rPr>
          <w:rFonts w:ascii="Arial" w:hAnsi="Arial" w:cs="Arial"/>
          <w:b/>
          <w:bCs/>
          <w:sz w:val="20"/>
          <w:szCs w:val="20"/>
        </w:rPr>
        <w:lastRenderedPageBreak/>
        <w:t xml:space="preserve">Unpacking Academic Language Chart </w:t>
      </w:r>
    </w:p>
    <w:p w14:paraId="13DBC2EA" w14:textId="77777777" w:rsidR="001A2806" w:rsidRDefault="001A2806" w:rsidP="001A2806">
      <w:pPr>
        <w:spacing w:line="240" w:lineRule="auto"/>
        <w:ind w:left="0" w:right="0"/>
        <w:contextualSpacing/>
        <w:jc w:val="center"/>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1525"/>
        <w:gridCol w:w="2520"/>
        <w:gridCol w:w="3420"/>
        <w:gridCol w:w="1980"/>
        <w:gridCol w:w="2250"/>
        <w:gridCol w:w="1975"/>
      </w:tblGrid>
      <w:tr w:rsidR="005F4B54" w:rsidRPr="00CF0FCC" w14:paraId="7901B053" w14:textId="77777777" w:rsidTr="001A2806">
        <w:tc>
          <w:tcPr>
            <w:tcW w:w="1525" w:type="dxa"/>
            <w:tcBorders>
              <w:top w:val="single" w:sz="4" w:space="0" w:color="auto"/>
            </w:tcBorders>
          </w:tcPr>
          <w:p w14:paraId="48944DBD" w14:textId="77777777" w:rsidR="005F4B54" w:rsidRPr="00CF0FCC" w:rsidRDefault="005F4B54" w:rsidP="001A2806">
            <w:pPr>
              <w:spacing w:line="240" w:lineRule="auto"/>
              <w:ind w:left="0" w:right="0"/>
              <w:jc w:val="left"/>
              <w:rPr>
                <w:rFonts w:ascii="Arial" w:hAnsi="Arial" w:cs="Arial"/>
                <w:sz w:val="20"/>
                <w:szCs w:val="20"/>
              </w:rPr>
            </w:pPr>
          </w:p>
        </w:tc>
        <w:tc>
          <w:tcPr>
            <w:tcW w:w="2520" w:type="dxa"/>
            <w:tcBorders>
              <w:top w:val="single" w:sz="4" w:space="0" w:color="auto"/>
            </w:tcBorders>
          </w:tcPr>
          <w:p w14:paraId="7C771E74" w14:textId="06DEA14E" w:rsidR="005F4B54" w:rsidRPr="00CF0FCC" w:rsidRDefault="005F4B54" w:rsidP="00CF0FCC">
            <w:pPr>
              <w:spacing w:line="240" w:lineRule="auto"/>
              <w:ind w:left="0" w:right="0"/>
              <w:contextualSpacing/>
              <w:jc w:val="center"/>
              <w:rPr>
                <w:rFonts w:ascii="Arial" w:hAnsi="Arial" w:cs="Arial"/>
                <w:b/>
                <w:bCs/>
                <w:sz w:val="20"/>
                <w:szCs w:val="20"/>
              </w:rPr>
            </w:pPr>
            <w:r w:rsidRPr="00CF0FCC">
              <w:rPr>
                <w:rFonts w:ascii="Arial" w:hAnsi="Arial" w:cs="Arial"/>
                <w:b/>
                <w:bCs/>
                <w:sz w:val="20"/>
                <w:szCs w:val="20"/>
              </w:rPr>
              <w:t>Performance Criteria</w:t>
            </w:r>
          </w:p>
        </w:tc>
        <w:tc>
          <w:tcPr>
            <w:tcW w:w="3420" w:type="dxa"/>
            <w:tcBorders>
              <w:top w:val="single" w:sz="4" w:space="0" w:color="auto"/>
            </w:tcBorders>
          </w:tcPr>
          <w:p w14:paraId="00D84BB8" w14:textId="12AE4E8E" w:rsidR="005F4B54" w:rsidRPr="00CF0FCC" w:rsidRDefault="005F4B54" w:rsidP="00CF0FCC">
            <w:pPr>
              <w:spacing w:line="240" w:lineRule="auto"/>
              <w:ind w:left="0" w:right="0"/>
              <w:contextualSpacing/>
              <w:jc w:val="center"/>
              <w:rPr>
                <w:rFonts w:ascii="Arial" w:hAnsi="Arial" w:cs="Arial"/>
                <w:b/>
                <w:bCs/>
                <w:sz w:val="20"/>
                <w:szCs w:val="20"/>
              </w:rPr>
            </w:pPr>
            <w:r w:rsidRPr="00CF0FCC">
              <w:rPr>
                <w:rFonts w:ascii="Arial" w:hAnsi="Arial" w:cs="Arial"/>
                <w:b/>
                <w:bCs/>
                <w:sz w:val="20"/>
                <w:szCs w:val="20"/>
              </w:rPr>
              <w:t>Sample Features</w:t>
            </w:r>
          </w:p>
        </w:tc>
        <w:tc>
          <w:tcPr>
            <w:tcW w:w="1980" w:type="dxa"/>
            <w:tcBorders>
              <w:top w:val="single" w:sz="4" w:space="0" w:color="auto"/>
            </w:tcBorders>
          </w:tcPr>
          <w:p w14:paraId="04DD83D3" w14:textId="70EF692C" w:rsidR="005F4B54" w:rsidRPr="00CF0FCC" w:rsidRDefault="005F4B54" w:rsidP="00CF0FCC">
            <w:pPr>
              <w:spacing w:line="240" w:lineRule="auto"/>
              <w:ind w:left="0" w:right="0"/>
              <w:contextualSpacing/>
              <w:jc w:val="center"/>
              <w:rPr>
                <w:rFonts w:ascii="Arial" w:hAnsi="Arial" w:cs="Arial"/>
                <w:b/>
                <w:bCs/>
                <w:sz w:val="20"/>
                <w:szCs w:val="20"/>
              </w:rPr>
            </w:pPr>
            <w:r w:rsidRPr="00CF0FCC">
              <w:rPr>
                <w:rFonts w:ascii="Arial" w:hAnsi="Arial" w:cs="Arial"/>
                <w:b/>
                <w:bCs/>
                <w:sz w:val="20"/>
                <w:szCs w:val="20"/>
              </w:rPr>
              <w:t>What Students Can ALREADY Do</w:t>
            </w:r>
          </w:p>
        </w:tc>
        <w:tc>
          <w:tcPr>
            <w:tcW w:w="2250" w:type="dxa"/>
            <w:tcBorders>
              <w:top w:val="single" w:sz="4" w:space="0" w:color="auto"/>
            </w:tcBorders>
          </w:tcPr>
          <w:p w14:paraId="4116EF0D" w14:textId="7B1736EE" w:rsidR="005F4B54" w:rsidRPr="00CF0FCC" w:rsidRDefault="005F4B54" w:rsidP="00CF0FCC">
            <w:pPr>
              <w:spacing w:line="240" w:lineRule="auto"/>
              <w:ind w:left="0" w:right="0"/>
              <w:contextualSpacing/>
              <w:jc w:val="center"/>
              <w:rPr>
                <w:rFonts w:ascii="Arial" w:hAnsi="Arial" w:cs="Arial"/>
                <w:b/>
                <w:bCs/>
                <w:sz w:val="20"/>
                <w:szCs w:val="20"/>
              </w:rPr>
            </w:pPr>
            <w:r w:rsidRPr="00CF0FCC">
              <w:rPr>
                <w:rFonts w:ascii="Arial" w:hAnsi="Arial" w:cs="Arial"/>
                <w:b/>
                <w:bCs/>
                <w:sz w:val="20"/>
                <w:szCs w:val="20"/>
              </w:rPr>
              <w:t>What Students Are Ready to Learn NOW</w:t>
            </w:r>
          </w:p>
        </w:tc>
        <w:tc>
          <w:tcPr>
            <w:tcW w:w="1975" w:type="dxa"/>
            <w:tcBorders>
              <w:top w:val="single" w:sz="4" w:space="0" w:color="auto"/>
            </w:tcBorders>
          </w:tcPr>
          <w:p w14:paraId="27DD89F1" w14:textId="57C9B5F2" w:rsidR="005F4B54" w:rsidRPr="00CF0FCC" w:rsidRDefault="005F4B54" w:rsidP="00CF0FCC">
            <w:pPr>
              <w:spacing w:line="240" w:lineRule="auto"/>
              <w:ind w:left="0" w:right="0"/>
              <w:contextualSpacing/>
              <w:jc w:val="center"/>
              <w:rPr>
                <w:rFonts w:ascii="Arial" w:hAnsi="Arial" w:cs="Arial"/>
                <w:b/>
                <w:bCs/>
                <w:sz w:val="20"/>
                <w:szCs w:val="20"/>
              </w:rPr>
            </w:pPr>
            <w:r w:rsidRPr="00CF0FCC">
              <w:rPr>
                <w:rFonts w:ascii="Arial" w:hAnsi="Arial" w:cs="Arial"/>
                <w:b/>
                <w:bCs/>
                <w:sz w:val="20"/>
                <w:szCs w:val="20"/>
              </w:rPr>
              <w:t>What Students Will Learn LATER</w:t>
            </w:r>
          </w:p>
        </w:tc>
      </w:tr>
      <w:tr w:rsidR="005260C1" w:rsidRPr="00CF0FCC" w14:paraId="7C8C7A51" w14:textId="77777777" w:rsidTr="001A2806">
        <w:tc>
          <w:tcPr>
            <w:tcW w:w="1525" w:type="dxa"/>
            <w:vMerge w:val="restart"/>
            <w:shd w:val="clear" w:color="auto" w:fill="FFF2CC" w:themeFill="accent4" w:themeFillTint="33"/>
          </w:tcPr>
          <w:p w14:paraId="7A00A8B4" w14:textId="23FA4970" w:rsidR="005260C1" w:rsidRPr="00CF0FCC" w:rsidRDefault="005260C1" w:rsidP="00147D4E">
            <w:pPr>
              <w:spacing w:line="240" w:lineRule="auto"/>
              <w:ind w:left="0" w:right="0"/>
              <w:contextualSpacing/>
              <w:jc w:val="left"/>
              <w:rPr>
                <w:rFonts w:ascii="Arial" w:hAnsi="Arial" w:cs="Arial"/>
                <w:b/>
                <w:bCs/>
                <w:sz w:val="20"/>
                <w:szCs w:val="20"/>
              </w:rPr>
            </w:pPr>
            <w:r w:rsidRPr="00CF0FCC">
              <w:rPr>
                <w:rFonts w:ascii="Arial" w:hAnsi="Arial" w:cs="Arial"/>
                <w:b/>
                <w:bCs/>
                <w:sz w:val="20"/>
                <w:szCs w:val="20"/>
              </w:rPr>
              <w:t>Discourse Dimension</w:t>
            </w:r>
          </w:p>
        </w:tc>
        <w:tc>
          <w:tcPr>
            <w:tcW w:w="2520" w:type="dxa"/>
            <w:shd w:val="clear" w:color="auto" w:fill="FFF2CC" w:themeFill="accent4" w:themeFillTint="33"/>
          </w:tcPr>
          <w:p w14:paraId="0655081E" w14:textId="2A092514" w:rsidR="005260C1" w:rsidRPr="00CF0FCC" w:rsidRDefault="005260C1" w:rsidP="00097206">
            <w:pPr>
              <w:spacing w:line="240" w:lineRule="auto"/>
              <w:ind w:left="0" w:right="0"/>
              <w:contextualSpacing/>
              <w:jc w:val="left"/>
              <w:rPr>
                <w:rFonts w:ascii="Arial" w:hAnsi="Arial" w:cs="Arial"/>
                <w:sz w:val="20"/>
                <w:szCs w:val="20"/>
              </w:rPr>
            </w:pPr>
            <w:r w:rsidRPr="00097206">
              <w:rPr>
                <w:rFonts w:ascii="Arial" w:hAnsi="Arial" w:cs="Arial"/>
                <w:b/>
                <w:bCs/>
                <w:sz w:val="20"/>
                <w:szCs w:val="20"/>
              </w:rPr>
              <w:t>Organization</w:t>
            </w:r>
            <w:r w:rsidR="00097206">
              <w:rPr>
                <w:rFonts w:ascii="Arial" w:hAnsi="Arial" w:cs="Arial"/>
                <w:b/>
                <w:bCs/>
                <w:sz w:val="20"/>
                <w:szCs w:val="20"/>
              </w:rPr>
              <w:t xml:space="preserve">: </w:t>
            </w:r>
            <w:r w:rsidRPr="00CF0FCC">
              <w:rPr>
                <w:rFonts w:ascii="Arial" w:hAnsi="Arial" w:cs="Arial"/>
                <w:i/>
                <w:iCs/>
                <w:sz w:val="20"/>
                <w:szCs w:val="20"/>
              </w:rPr>
              <w:t>how ideas are organized for a specific purpose</w:t>
            </w:r>
          </w:p>
        </w:tc>
        <w:tc>
          <w:tcPr>
            <w:tcW w:w="3420" w:type="dxa"/>
            <w:shd w:val="clear" w:color="auto" w:fill="FFF2CC" w:themeFill="accent4" w:themeFillTint="33"/>
          </w:tcPr>
          <w:p w14:paraId="118A6A3D" w14:textId="3C409D6B" w:rsidR="005260C1" w:rsidRPr="00CF0FCC" w:rsidRDefault="005260C1" w:rsidP="00170BD2">
            <w:pPr>
              <w:spacing w:line="240" w:lineRule="auto"/>
              <w:ind w:left="0" w:right="0"/>
              <w:contextualSpacing/>
              <w:jc w:val="left"/>
              <w:rPr>
                <w:rFonts w:ascii="Arial" w:hAnsi="Arial" w:cs="Arial"/>
                <w:sz w:val="20"/>
                <w:szCs w:val="20"/>
              </w:rPr>
            </w:pPr>
            <w:r w:rsidRPr="00CF0FCC">
              <w:rPr>
                <w:rFonts w:ascii="Arial" w:hAnsi="Arial" w:cs="Arial"/>
                <w:sz w:val="20"/>
                <w:szCs w:val="20"/>
              </w:rPr>
              <w:t>Organization patterns/structures</w:t>
            </w:r>
            <w:r w:rsidR="00170BD2" w:rsidRPr="00CF0FCC">
              <w:rPr>
                <w:rFonts w:ascii="Arial" w:hAnsi="Arial" w:cs="Arial"/>
                <w:sz w:val="20"/>
                <w:szCs w:val="20"/>
              </w:rPr>
              <w:t xml:space="preserve"> (i</w:t>
            </w:r>
            <w:r w:rsidRPr="00CF0FCC">
              <w:rPr>
                <w:rFonts w:ascii="Arial" w:hAnsi="Arial" w:cs="Arial"/>
                <w:sz w:val="20"/>
                <w:szCs w:val="20"/>
              </w:rPr>
              <w:t>ntroduction, body, and conclusion</w:t>
            </w:r>
            <w:r w:rsidR="00170BD2" w:rsidRPr="00CF0FCC">
              <w:rPr>
                <w:rFonts w:ascii="Arial" w:hAnsi="Arial" w:cs="Arial"/>
                <w:sz w:val="20"/>
                <w:szCs w:val="20"/>
              </w:rPr>
              <w:t>; c</w:t>
            </w:r>
            <w:r w:rsidRPr="00CF0FCC">
              <w:rPr>
                <w:rFonts w:ascii="Arial" w:hAnsi="Arial" w:cs="Arial"/>
                <w:sz w:val="20"/>
                <w:szCs w:val="20"/>
              </w:rPr>
              <w:t>laim, evidence reasoning</w:t>
            </w:r>
            <w:r w:rsidR="00170BD2" w:rsidRPr="00CF0FCC">
              <w:rPr>
                <w:rFonts w:ascii="Arial" w:hAnsi="Arial" w:cs="Arial"/>
                <w:sz w:val="20"/>
                <w:szCs w:val="20"/>
              </w:rPr>
              <w:t>, etc.)</w:t>
            </w:r>
          </w:p>
          <w:p w14:paraId="07250ACB" w14:textId="07B9BC24" w:rsidR="005260C1" w:rsidRPr="00CF0FCC" w:rsidRDefault="005260C1" w:rsidP="005F4B54">
            <w:pPr>
              <w:spacing w:line="240" w:lineRule="auto"/>
              <w:ind w:left="0" w:right="0"/>
              <w:contextualSpacing/>
              <w:jc w:val="left"/>
              <w:rPr>
                <w:rFonts w:ascii="Arial" w:hAnsi="Arial" w:cs="Arial"/>
                <w:sz w:val="20"/>
                <w:szCs w:val="20"/>
              </w:rPr>
            </w:pPr>
          </w:p>
        </w:tc>
        <w:tc>
          <w:tcPr>
            <w:tcW w:w="1980" w:type="dxa"/>
            <w:shd w:val="clear" w:color="auto" w:fill="FFF2CC" w:themeFill="accent4" w:themeFillTint="33"/>
          </w:tcPr>
          <w:p w14:paraId="331BC173"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2250" w:type="dxa"/>
            <w:shd w:val="clear" w:color="auto" w:fill="FFF2CC" w:themeFill="accent4" w:themeFillTint="33"/>
          </w:tcPr>
          <w:p w14:paraId="4AD918FE"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1975" w:type="dxa"/>
            <w:shd w:val="clear" w:color="auto" w:fill="FFF2CC" w:themeFill="accent4" w:themeFillTint="33"/>
          </w:tcPr>
          <w:p w14:paraId="05A0954E" w14:textId="77777777" w:rsidR="005260C1" w:rsidRPr="00CF0FCC" w:rsidRDefault="005260C1" w:rsidP="005F4B54">
            <w:pPr>
              <w:spacing w:line="240" w:lineRule="auto"/>
              <w:ind w:left="0" w:right="0"/>
              <w:contextualSpacing/>
              <w:jc w:val="left"/>
              <w:rPr>
                <w:rFonts w:ascii="Arial" w:hAnsi="Arial" w:cs="Arial"/>
                <w:sz w:val="20"/>
                <w:szCs w:val="20"/>
              </w:rPr>
            </w:pPr>
          </w:p>
        </w:tc>
      </w:tr>
      <w:tr w:rsidR="005260C1" w:rsidRPr="00CF0FCC" w14:paraId="1549F9DA" w14:textId="77777777" w:rsidTr="001A2806">
        <w:tc>
          <w:tcPr>
            <w:tcW w:w="1525" w:type="dxa"/>
            <w:vMerge/>
            <w:shd w:val="clear" w:color="auto" w:fill="FFF2CC" w:themeFill="accent4" w:themeFillTint="33"/>
          </w:tcPr>
          <w:p w14:paraId="4547B84F" w14:textId="77777777" w:rsidR="005260C1" w:rsidRPr="00CF0FCC" w:rsidRDefault="005260C1" w:rsidP="005F4B54">
            <w:pPr>
              <w:spacing w:line="240" w:lineRule="auto"/>
              <w:ind w:left="0" w:right="0"/>
              <w:contextualSpacing/>
              <w:jc w:val="center"/>
              <w:rPr>
                <w:rFonts w:ascii="Arial" w:hAnsi="Arial" w:cs="Arial"/>
                <w:sz w:val="20"/>
                <w:szCs w:val="20"/>
              </w:rPr>
            </w:pPr>
          </w:p>
        </w:tc>
        <w:tc>
          <w:tcPr>
            <w:tcW w:w="2520" w:type="dxa"/>
            <w:shd w:val="clear" w:color="auto" w:fill="FFF2CC" w:themeFill="accent4" w:themeFillTint="33"/>
          </w:tcPr>
          <w:p w14:paraId="6B7695E0" w14:textId="5EA8869B" w:rsidR="005260C1" w:rsidRPr="00CF0FCC" w:rsidRDefault="005260C1" w:rsidP="00097206">
            <w:pPr>
              <w:spacing w:line="240" w:lineRule="auto"/>
              <w:ind w:left="0" w:right="0"/>
              <w:contextualSpacing/>
              <w:jc w:val="left"/>
              <w:rPr>
                <w:rFonts w:ascii="Arial" w:hAnsi="Arial" w:cs="Arial"/>
                <w:i/>
                <w:iCs/>
                <w:sz w:val="20"/>
                <w:szCs w:val="20"/>
              </w:rPr>
            </w:pPr>
            <w:r w:rsidRPr="00097206">
              <w:rPr>
                <w:rFonts w:ascii="Arial" w:hAnsi="Arial" w:cs="Arial"/>
                <w:b/>
                <w:bCs/>
                <w:sz w:val="20"/>
                <w:szCs w:val="20"/>
              </w:rPr>
              <w:t>Cohesion</w:t>
            </w:r>
            <w:r w:rsidR="00097206">
              <w:rPr>
                <w:rFonts w:ascii="Arial" w:hAnsi="Arial" w:cs="Arial"/>
                <w:b/>
                <w:bCs/>
                <w:sz w:val="20"/>
                <w:szCs w:val="20"/>
              </w:rPr>
              <w:t xml:space="preserve">: </w:t>
            </w:r>
            <w:r w:rsidRPr="00CF0FCC">
              <w:rPr>
                <w:rFonts w:ascii="Arial" w:hAnsi="Arial" w:cs="Arial"/>
                <w:i/>
                <w:iCs/>
                <w:sz w:val="20"/>
                <w:szCs w:val="20"/>
              </w:rPr>
              <w:t>how ideas are connected in and across sentences and oral or written discourse</w:t>
            </w:r>
          </w:p>
        </w:tc>
        <w:tc>
          <w:tcPr>
            <w:tcW w:w="3420" w:type="dxa"/>
            <w:shd w:val="clear" w:color="auto" w:fill="FFF2CC" w:themeFill="accent4" w:themeFillTint="33"/>
          </w:tcPr>
          <w:p w14:paraId="6782C4BE" w14:textId="0346A14A" w:rsidR="005260C1" w:rsidRPr="00CF0FCC" w:rsidRDefault="00B7597A" w:rsidP="00147D4E">
            <w:pPr>
              <w:spacing w:line="240" w:lineRule="auto"/>
              <w:ind w:left="0" w:right="0"/>
              <w:contextualSpacing/>
              <w:jc w:val="left"/>
              <w:rPr>
                <w:rFonts w:ascii="Arial" w:hAnsi="Arial" w:cs="Arial"/>
                <w:sz w:val="20"/>
                <w:szCs w:val="20"/>
              </w:rPr>
            </w:pPr>
            <w:hyperlink r:id="rId15" w:history="1">
              <w:r w:rsidR="005260C1" w:rsidRPr="00CF0FCC">
                <w:rPr>
                  <w:rStyle w:val="Hyperlink"/>
                  <w:rFonts w:ascii="Arial" w:hAnsi="Arial" w:cs="Arial"/>
                  <w:sz w:val="20"/>
                  <w:szCs w:val="20"/>
                </w:rPr>
                <w:t>Cohesive devices</w:t>
              </w:r>
            </w:hyperlink>
            <w:r w:rsidR="005260C1" w:rsidRPr="00CF0FCC">
              <w:rPr>
                <w:rFonts w:ascii="Arial" w:hAnsi="Arial" w:cs="Arial"/>
                <w:sz w:val="20"/>
                <w:szCs w:val="20"/>
              </w:rPr>
              <w:t xml:space="preserve">: </w:t>
            </w:r>
          </w:p>
          <w:p w14:paraId="646FA38C" w14:textId="755F63C0" w:rsidR="005260C1" w:rsidRPr="00CF0FCC" w:rsidRDefault="005260C1" w:rsidP="00DC4A21">
            <w:pPr>
              <w:pStyle w:val="ListParagraph"/>
              <w:numPr>
                <w:ilvl w:val="0"/>
                <w:numId w:val="2"/>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Repeated words</w:t>
            </w:r>
          </w:p>
          <w:p w14:paraId="0204DB52" w14:textId="52572768" w:rsidR="005260C1" w:rsidRPr="00CF0FCC" w:rsidRDefault="005260C1" w:rsidP="00DC4A21">
            <w:pPr>
              <w:pStyle w:val="ListParagraph"/>
              <w:numPr>
                <w:ilvl w:val="0"/>
                <w:numId w:val="2"/>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 xml:space="preserve">Synonyms </w:t>
            </w:r>
          </w:p>
          <w:p w14:paraId="748F9825" w14:textId="311701A0" w:rsidR="005260C1" w:rsidRPr="00CF0FCC" w:rsidRDefault="005260C1" w:rsidP="00DC4A21">
            <w:pPr>
              <w:pStyle w:val="ListParagraph"/>
              <w:numPr>
                <w:ilvl w:val="0"/>
                <w:numId w:val="2"/>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Pronoun substitutions</w:t>
            </w:r>
          </w:p>
          <w:p w14:paraId="5AA631DD" w14:textId="2DD7CD58" w:rsidR="005260C1" w:rsidRPr="00CF0FCC" w:rsidRDefault="005260C1" w:rsidP="00DC4A21">
            <w:pPr>
              <w:pStyle w:val="ListParagraph"/>
              <w:numPr>
                <w:ilvl w:val="0"/>
                <w:numId w:val="2"/>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Connectors</w:t>
            </w:r>
          </w:p>
          <w:p w14:paraId="3F6090C9"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1980" w:type="dxa"/>
            <w:shd w:val="clear" w:color="auto" w:fill="FFF2CC" w:themeFill="accent4" w:themeFillTint="33"/>
          </w:tcPr>
          <w:p w14:paraId="769F43C3"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2250" w:type="dxa"/>
            <w:shd w:val="clear" w:color="auto" w:fill="FFF2CC" w:themeFill="accent4" w:themeFillTint="33"/>
          </w:tcPr>
          <w:p w14:paraId="56F77A63"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1975" w:type="dxa"/>
            <w:shd w:val="clear" w:color="auto" w:fill="FFF2CC" w:themeFill="accent4" w:themeFillTint="33"/>
          </w:tcPr>
          <w:p w14:paraId="6F1F0D31" w14:textId="77777777" w:rsidR="005260C1" w:rsidRPr="00CF0FCC" w:rsidRDefault="005260C1" w:rsidP="005F4B54">
            <w:pPr>
              <w:spacing w:line="240" w:lineRule="auto"/>
              <w:ind w:left="0" w:right="0"/>
              <w:contextualSpacing/>
              <w:jc w:val="left"/>
              <w:rPr>
                <w:rFonts w:ascii="Arial" w:hAnsi="Arial" w:cs="Arial"/>
                <w:sz w:val="20"/>
                <w:szCs w:val="20"/>
              </w:rPr>
            </w:pPr>
          </w:p>
        </w:tc>
      </w:tr>
      <w:tr w:rsidR="005260C1" w:rsidRPr="00CF0FCC" w14:paraId="5FB8909C" w14:textId="77777777" w:rsidTr="001A2806">
        <w:tc>
          <w:tcPr>
            <w:tcW w:w="1525" w:type="dxa"/>
            <w:vMerge/>
            <w:shd w:val="clear" w:color="auto" w:fill="FFF2CC" w:themeFill="accent4" w:themeFillTint="33"/>
          </w:tcPr>
          <w:p w14:paraId="43FC3676" w14:textId="77777777" w:rsidR="005260C1" w:rsidRPr="00CF0FCC" w:rsidRDefault="005260C1" w:rsidP="005F4B54">
            <w:pPr>
              <w:spacing w:line="240" w:lineRule="auto"/>
              <w:ind w:left="0" w:right="0"/>
              <w:contextualSpacing/>
              <w:jc w:val="center"/>
              <w:rPr>
                <w:rFonts w:ascii="Arial" w:hAnsi="Arial" w:cs="Arial"/>
                <w:sz w:val="20"/>
                <w:szCs w:val="20"/>
              </w:rPr>
            </w:pPr>
          </w:p>
        </w:tc>
        <w:tc>
          <w:tcPr>
            <w:tcW w:w="2520" w:type="dxa"/>
            <w:shd w:val="clear" w:color="auto" w:fill="FFF2CC" w:themeFill="accent4" w:themeFillTint="33"/>
          </w:tcPr>
          <w:p w14:paraId="3DC22AAE" w14:textId="34DAA3B9" w:rsidR="005260C1" w:rsidRPr="00CF0FCC" w:rsidRDefault="005260C1" w:rsidP="00097206">
            <w:pPr>
              <w:spacing w:line="240" w:lineRule="auto"/>
              <w:ind w:left="0" w:right="0"/>
              <w:contextualSpacing/>
              <w:jc w:val="left"/>
              <w:rPr>
                <w:rFonts w:ascii="Arial" w:hAnsi="Arial" w:cs="Arial"/>
                <w:i/>
                <w:iCs/>
                <w:sz w:val="20"/>
                <w:szCs w:val="20"/>
              </w:rPr>
            </w:pPr>
            <w:r w:rsidRPr="00097206">
              <w:rPr>
                <w:rFonts w:ascii="Arial" w:hAnsi="Arial" w:cs="Arial"/>
                <w:b/>
                <w:bCs/>
                <w:sz w:val="20"/>
                <w:szCs w:val="20"/>
              </w:rPr>
              <w:t>Density</w:t>
            </w:r>
            <w:r w:rsidR="00097206">
              <w:rPr>
                <w:rFonts w:ascii="Arial" w:hAnsi="Arial" w:cs="Arial"/>
                <w:b/>
                <w:bCs/>
                <w:sz w:val="20"/>
                <w:szCs w:val="20"/>
              </w:rPr>
              <w:t xml:space="preserve">: </w:t>
            </w:r>
            <w:r w:rsidRPr="00CF0FCC">
              <w:rPr>
                <w:rFonts w:ascii="Arial" w:hAnsi="Arial" w:cs="Arial"/>
                <w:i/>
                <w:iCs/>
                <w:sz w:val="20"/>
                <w:szCs w:val="20"/>
              </w:rPr>
              <w:t xml:space="preserve">how information is packed or expanded </w:t>
            </w:r>
          </w:p>
        </w:tc>
        <w:tc>
          <w:tcPr>
            <w:tcW w:w="3420" w:type="dxa"/>
            <w:shd w:val="clear" w:color="auto" w:fill="FFF2CC" w:themeFill="accent4" w:themeFillTint="33"/>
          </w:tcPr>
          <w:p w14:paraId="1D7A9717" w14:textId="77777777" w:rsidR="005260C1" w:rsidRPr="00CF0FCC" w:rsidRDefault="005260C1" w:rsidP="005F4B54">
            <w:pPr>
              <w:spacing w:line="240" w:lineRule="auto"/>
              <w:ind w:left="0" w:right="0"/>
              <w:contextualSpacing/>
              <w:jc w:val="left"/>
              <w:rPr>
                <w:rFonts w:ascii="Arial" w:hAnsi="Arial" w:cs="Arial"/>
                <w:sz w:val="20"/>
                <w:szCs w:val="20"/>
              </w:rPr>
            </w:pPr>
            <w:r w:rsidRPr="00CF0FCC">
              <w:rPr>
                <w:rFonts w:ascii="Arial" w:hAnsi="Arial" w:cs="Arial"/>
                <w:sz w:val="20"/>
                <w:szCs w:val="20"/>
              </w:rPr>
              <w:t>Noun groups packed with:</w:t>
            </w:r>
          </w:p>
          <w:p w14:paraId="7BBE3CAB" w14:textId="77777777" w:rsidR="005260C1" w:rsidRPr="00CF0FCC" w:rsidRDefault="005260C1" w:rsidP="00DC4A21">
            <w:pPr>
              <w:pStyle w:val="ListParagraph"/>
              <w:numPr>
                <w:ilvl w:val="0"/>
                <w:numId w:val="3"/>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Adjectives and modifiers</w:t>
            </w:r>
          </w:p>
          <w:p w14:paraId="0910F98D" w14:textId="77777777" w:rsidR="005260C1" w:rsidRPr="00CF0FCC" w:rsidRDefault="005260C1" w:rsidP="00DC4A21">
            <w:pPr>
              <w:pStyle w:val="ListParagraph"/>
              <w:numPr>
                <w:ilvl w:val="0"/>
                <w:numId w:val="3"/>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Prepositional phrases</w:t>
            </w:r>
          </w:p>
          <w:p w14:paraId="6B7FB6D9" w14:textId="77777777" w:rsidR="005260C1" w:rsidRPr="00CF0FCC" w:rsidRDefault="00B7597A" w:rsidP="00DC4A21">
            <w:pPr>
              <w:pStyle w:val="ListParagraph"/>
              <w:numPr>
                <w:ilvl w:val="0"/>
                <w:numId w:val="3"/>
              </w:numPr>
              <w:spacing w:line="240" w:lineRule="auto"/>
              <w:ind w:left="173" w:right="0" w:hanging="173"/>
              <w:contextualSpacing/>
              <w:jc w:val="left"/>
              <w:rPr>
                <w:rFonts w:ascii="Arial" w:hAnsi="Arial" w:cs="Arial"/>
                <w:sz w:val="20"/>
                <w:szCs w:val="20"/>
              </w:rPr>
            </w:pPr>
            <w:hyperlink r:id="rId16" w:anchor=":~:text=In%20English%20grammar%2C%20nominalization%20is,It%20is%20also%20called%20nouning." w:history="1">
              <w:r w:rsidR="005260C1" w:rsidRPr="00CF0FCC">
                <w:rPr>
                  <w:rStyle w:val="Hyperlink"/>
                  <w:rFonts w:ascii="Arial" w:hAnsi="Arial" w:cs="Arial"/>
                  <w:sz w:val="20"/>
                  <w:szCs w:val="20"/>
                </w:rPr>
                <w:t>Nominalization</w:t>
              </w:r>
            </w:hyperlink>
          </w:p>
          <w:p w14:paraId="5CEC1892" w14:textId="5581B168" w:rsidR="005260C1" w:rsidRPr="00CF0FCC" w:rsidRDefault="005260C1" w:rsidP="005260C1">
            <w:pPr>
              <w:spacing w:line="240" w:lineRule="auto"/>
              <w:ind w:left="0" w:right="0"/>
              <w:contextualSpacing/>
              <w:jc w:val="left"/>
              <w:rPr>
                <w:rFonts w:ascii="Arial" w:hAnsi="Arial" w:cs="Arial"/>
                <w:sz w:val="20"/>
                <w:szCs w:val="20"/>
              </w:rPr>
            </w:pPr>
          </w:p>
        </w:tc>
        <w:tc>
          <w:tcPr>
            <w:tcW w:w="1980" w:type="dxa"/>
            <w:shd w:val="clear" w:color="auto" w:fill="FFF2CC" w:themeFill="accent4" w:themeFillTint="33"/>
          </w:tcPr>
          <w:p w14:paraId="68777E31"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2250" w:type="dxa"/>
            <w:shd w:val="clear" w:color="auto" w:fill="FFF2CC" w:themeFill="accent4" w:themeFillTint="33"/>
          </w:tcPr>
          <w:p w14:paraId="4B30FFE2" w14:textId="77777777" w:rsidR="005260C1" w:rsidRPr="00CF0FCC" w:rsidRDefault="005260C1" w:rsidP="005F4B54">
            <w:pPr>
              <w:spacing w:line="240" w:lineRule="auto"/>
              <w:ind w:left="0" w:right="0"/>
              <w:contextualSpacing/>
              <w:jc w:val="left"/>
              <w:rPr>
                <w:rFonts w:ascii="Arial" w:hAnsi="Arial" w:cs="Arial"/>
                <w:sz w:val="20"/>
                <w:szCs w:val="20"/>
              </w:rPr>
            </w:pPr>
          </w:p>
        </w:tc>
        <w:tc>
          <w:tcPr>
            <w:tcW w:w="1975" w:type="dxa"/>
            <w:shd w:val="clear" w:color="auto" w:fill="FFF2CC" w:themeFill="accent4" w:themeFillTint="33"/>
          </w:tcPr>
          <w:p w14:paraId="31D55206" w14:textId="77777777" w:rsidR="005260C1" w:rsidRPr="00CF0FCC" w:rsidRDefault="005260C1" w:rsidP="005F4B54">
            <w:pPr>
              <w:spacing w:line="240" w:lineRule="auto"/>
              <w:ind w:left="0" w:right="0"/>
              <w:contextualSpacing/>
              <w:jc w:val="left"/>
              <w:rPr>
                <w:rFonts w:ascii="Arial" w:hAnsi="Arial" w:cs="Arial"/>
                <w:sz w:val="20"/>
                <w:szCs w:val="20"/>
              </w:rPr>
            </w:pPr>
          </w:p>
        </w:tc>
      </w:tr>
      <w:tr w:rsidR="005F4B54" w:rsidRPr="00CF0FCC" w14:paraId="55E34257" w14:textId="77777777" w:rsidTr="001A2806">
        <w:tc>
          <w:tcPr>
            <w:tcW w:w="1525" w:type="dxa"/>
            <w:shd w:val="clear" w:color="auto" w:fill="E2EFD9" w:themeFill="accent6" w:themeFillTint="33"/>
          </w:tcPr>
          <w:p w14:paraId="76388A0F" w14:textId="53EDEC61" w:rsidR="00170BD2" w:rsidRPr="00CF0FCC" w:rsidRDefault="005F4B54" w:rsidP="00147D4E">
            <w:pPr>
              <w:spacing w:line="240" w:lineRule="auto"/>
              <w:ind w:left="0" w:right="0"/>
              <w:contextualSpacing/>
              <w:jc w:val="left"/>
              <w:rPr>
                <w:rFonts w:ascii="Arial" w:hAnsi="Arial" w:cs="Arial"/>
                <w:b/>
                <w:bCs/>
                <w:sz w:val="20"/>
                <w:szCs w:val="20"/>
              </w:rPr>
            </w:pPr>
            <w:r w:rsidRPr="00CF0FCC">
              <w:rPr>
                <w:rFonts w:ascii="Arial" w:hAnsi="Arial" w:cs="Arial"/>
                <w:b/>
                <w:bCs/>
                <w:sz w:val="20"/>
                <w:szCs w:val="20"/>
              </w:rPr>
              <w:t>Sentence</w:t>
            </w:r>
            <w:r w:rsidRPr="00CF0FCC">
              <w:rPr>
                <w:rFonts w:ascii="Arial" w:hAnsi="Arial" w:cs="Arial"/>
                <w:sz w:val="20"/>
                <w:szCs w:val="20"/>
              </w:rPr>
              <w:t xml:space="preserve"> </w:t>
            </w:r>
            <w:r w:rsidRPr="00CF0FCC">
              <w:rPr>
                <w:rFonts w:ascii="Arial" w:hAnsi="Arial" w:cs="Arial"/>
                <w:b/>
                <w:bCs/>
                <w:sz w:val="20"/>
                <w:szCs w:val="20"/>
              </w:rPr>
              <w:t>Dimension</w:t>
            </w:r>
          </w:p>
        </w:tc>
        <w:tc>
          <w:tcPr>
            <w:tcW w:w="2520" w:type="dxa"/>
            <w:shd w:val="clear" w:color="auto" w:fill="E2EFD9" w:themeFill="accent6" w:themeFillTint="33"/>
          </w:tcPr>
          <w:p w14:paraId="72155FA0" w14:textId="1ED4EBD9" w:rsidR="00170BD2" w:rsidRPr="00CF0FCC" w:rsidRDefault="00170BD2" w:rsidP="00097206">
            <w:pPr>
              <w:spacing w:line="240" w:lineRule="auto"/>
              <w:ind w:left="0" w:right="0"/>
              <w:contextualSpacing/>
              <w:jc w:val="left"/>
              <w:rPr>
                <w:rFonts w:ascii="Arial" w:hAnsi="Arial" w:cs="Arial"/>
                <w:i/>
                <w:iCs/>
                <w:sz w:val="20"/>
                <w:szCs w:val="20"/>
              </w:rPr>
            </w:pPr>
            <w:r w:rsidRPr="00097206">
              <w:rPr>
                <w:rFonts w:ascii="Arial" w:hAnsi="Arial" w:cs="Arial"/>
                <w:b/>
                <w:bCs/>
                <w:sz w:val="20"/>
                <w:szCs w:val="20"/>
              </w:rPr>
              <w:t>Grammatical complexity</w:t>
            </w:r>
            <w:r w:rsidR="00097206">
              <w:rPr>
                <w:rFonts w:ascii="Arial" w:hAnsi="Arial" w:cs="Arial"/>
                <w:b/>
                <w:bCs/>
                <w:sz w:val="20"/>
                <w:szCs w:val="20"/>
              </w:rPr>
              <w:t xml:space="preserve">: </w:t>
            </w:r>
            <w:r w:rsidRPr="00CF0FCC">
              <w:rPr>
                <w:rFonts w:ascii="Arial" w:hAnsi="Arial" w:cs="Arial"/>
                <w:i/>
                <w:iCs/>
                <w:sz w:val="20"/>
                <w:szCs w:val="20"/>
              </w:rPr>
              <w:t>how ideas are expressed through different types of clauses and sentences</w:t>
            </w:r>
          </w:p>
        </w:tc>
        <w:tc>
          <w:tcPr>
            <w:tcW w:w="3420" w:type="dxa"/>
            <w:shd w:val="clear" w:color="auto" w:fill="E2EFD9" w:themeFill="accent6" w:themeFillTint="33"/>
          </w:tcPr>
          <w:p w14:paraId="489CC681" w14:textId="22944503" w:rsidR="00170BD2" w:rsidRPr="00CF0FCC" w:rsidRDefault="00170BD2" w:rsidP="00DC4A21">
            <w:pPr>
              <w:pStyle w:val="ListParagraph"/>
              <w:numPr>
                <w:ilvl w:val="0"/>
                <w:numId w:val="4"/>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Sentence types (simple, complex, compound)</w:t>
            </w:r>
          </w:p>
          <w:p w14:paraId="2D284461" w14:textId="5B6C7213" w:rsidR="00170BD2" w:rsidRPr="00CF0FCC" w:rsidRDefault="00170BD2" w:rsidP="00DC4A21">
            <w:pPr>
              <w:pStyle w:val="ListParagraph"/>
              <w:numPr>
                <w:ilvl w:val="0"/>
                <w:numId w:val="4"/>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 xml:space="preserve">Clauses (dependent and independent) </w:t>
            </w:r>
          </w:p>
          <w:p w14:paraId="4178265E" w14:textId="21F108EB" w:rsidR="00170BD2" w:rsidRPr="00CF0FCC" w:rsidRDefault="00170BD2" w:rsidP="00DC4A21">
            <w:pPr>
              <w:pStyle w:val="ListParagraph"/>
              <w:numPr>
                <w:ilvl w:val="0"/>
                <w:numId w:val="4"/>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Conventions and mechanics</w:t>
            </w:r>
          </w:p>
          <w:p w14:paraId="390278D5" w14:textId="525700DA" w:rsidR="005F4B54" w:rsidRPr="00CF0FCC" w:rsidRDefault="005F4B54" w:rsidP="00170BD2">
            <w:pPr>
              <w:spacing w:line="240" w:lineRule="auto"/>
              <w:ind w:left="0" w:right="0"/>
              <w:contextualSpacing/>
              <w:jc w:val="left"/>
              <w:rPr>
                <w:rFonts w:ascii="Arial" w:hAnsi="Arial" w:cs="Arial"/>
                <w:sz w:val="20"/>
                <w:szCs w:val="20"/>
              </w:rPr>
            </w:pPr>
          </w:p>
        </w:tc>
        <w:tc>
          <w:tcPr>
            <w:tcW w:w="1980" w:type="dxa"/>
            <w:shd w:val="clear" w:color="auto" w:fill="E2EFD9" w:themeFill="accent6" w:themeFillTint="33"/>
          </w:tcPr>
          <w:p w14:paraId="2EE25906" w14:textId="77777777" w:rsidR="005F4B54" w:rsidRPr="00CF0FCC" w:rsidRDefault="005F4B54" w:rsidP="005F4B54">
            <w:pPr>
              <w:spacing w:line="240" w:lineRule="auto"/>
              <w:ind w:left="0" w:right="0"/>
              <w:contextualSpacing/>
              <w:jc w:val="left"/>
              <w:rPr>
                <w:rFonts w:ascii="Arial" w:hAnsi="Arial" w:cs="Arial"/>
                <w:sz w:val="20"/>
                <w:szCs w:val="20"/>
              </w:rPr>
            </w:pPr>
          </w:p>
        </w:tc>
        <w:tc>
          <w:tcPr>
            <w:tcW w:w="2250" w:type="dxa"/>
            <w:shd w:val="clear" w:color="auto" w:fill="E2EFD9" w:themeFill="accent6" w:themeFillTint="33"/>
          </w:tcPr>
          <w:p w14:paraId="3C7E0642" w14:textId="77777777" w:rsidR="005F4B54" w:rsidRPr="00CF0FCC" w:rsidRDefault="005F4B54" w:rsidP="005F4B54">
            <w:pPr>
              <w:spacing w:line="240" w:lineRule="auto"/>
              <w:ind w:left="0" w:right="0"/>
              <w:contextualSpacing/>
              <w:jc w:val="left"/>
              <w:rPr>
                <w:rFonts w:ascii="Arial" w:hAnsi="Arial" w:cs="Arial"/>
                <w:sz w:val="20"/>
                <w:szCs w:val="20"/>
              </w:rPr>
            </w:pPr>
          </w:p>
        </w:tc>
        <w:tc>
          <w:tcPr>
            <w:tcW w:w="1975" w:type="dxa"/>
            <w:shd w:val="clear" w:color="auto" w:fill="E2EFD9" w:themeFill="accent6" w:themeFillTint="33"/>
          </w:tcPr>
          <w:p w14:paraId="49C2EBF7" w14:textId="77777777" w:rsidR="005F4B54" w:rsidRPr="00CF0FCC" w:rsidRDefault="005F4B54" w:rsidP="005F4B54">
            <w:pPr>
              <w:spacing w:line="240" w:lineRule="auto"/>
              <w:ind w:left="0" w:right="0"/>
              <w:contextualSpacing/>
              <w:jc w:val="left"/>
              <w:rPr>
                <w:rFonts w:ascii="Arial" w:hAnsi="Arial" w:cs="Arial"/>
                <w:sz w:val="20"/>
                <w:szCs w:val="20"/>
              </w:rPr>
            </w:pPr>
          </w:p>
        </w:tc>
      </w:tr>
      <w:tr w:rsidR="005F4B54" w:rsidRPr="00CF0FCC" w14:paraId="0B5E98C0" w14:textId="77777777" w:rsidTr="001A2806">
        <w:tc>
          <w:tcPr>
            <w:tcW w:w="1525" w:type="dxa"/>
            <w:shd w:val="clear" w:color="auto" w:fill="DEEAF6" w:themeFill="accent1" w:themeFillTint="33"/>
          </w:tcPr>
          <w:p w14:paraId="3BF4EFE2" w14:textId="0782A7C3" w:rsidR="005F4B54" w:rsidRPr="00CF0FCC" w:rsidRDefault="005F4B54" w:rsidP="00147D4E">
            <w:pPr>
              <w:spacing w:line="240" w:lineRule="auto"/>
              <w:ind w:left="0" w:right="0"/>
              <w:contextualSpacing/>
              <w:jc w:val="left"/>
              <w:rPr>
                <w:rFonts w:ascii="Arial" w:hAnsi="Arial" w:cs="Arial"/>
                <w:b/>
                <w:bCs/>
                <w:sz w:val="20"/>
                <w:szCs w:val="20"/>
              </w:rPr>
            </w:pPr>
            <w:r w:rsidRPr="00CF0FCC">
              <w:rPr>
                <w:rFonts w:ascii="Arial" w:hAnsi="Arial" w:cs="Arial"/>
                <w:b/>
                <w:bCs/>
                <w:sz w:val="20"/>
                <w:szCs w:val="20"/>
              </w:rPr>
              <w:t>Word/Phrase Dimension</w:t>
            </w:r>
          </w:p>
        </w:tc>
        <w:tc>
          <w:tcPr>
            <w:tcW w:w="2520" w:type="dxa"/>
            <w:shd w:val="clear" w:color="auto" w:fill="DEEAF6" w:themeFill="accent1" w:themeFillTint="33"/>
          </w:tcPr>
          <w:p w14:paraId="3EA37403" w14:textId="3F00BEC2" w:rsidR="00170BD2" w:rsidRPr="00CF0FCC" w:rsidRDefault="00170BD2" w:rsidP="00097206">
            <w:pPr>
              <w:spacing w:line="240" w:lineRule="auto"/>
              <w:ind w:left="0" w:right="0"/>
              <w:contextualSpacing/>
              <w:jc w:val="left"/>
              <w:rPr>
                <w:rFonts w:ascii="Arial" w:hAnsi="Arial" w:cs="Arial"/>
                <w:i/>
                <w:iCs/>
                <w:sz w:val="20"/>
                <w:szCs w:val="20"/>
              </w:rPr>
            </w:pPr>
            <w:r w:rsidRPr="00097206">
              <w:rPr>
                <w:rFonts w:ascii="Arial" w:hAnsi="Arial" w:cs="Arial"/>
                <w:b/>
                <w:bCs/>
                <w:sz w:val="20"/>
                <w:szCs w:val="20"/>
              </w:rPr>
              <w:t>Precision</w:t>
            </w:r>
            <w:r w:rsidR="00097206">
              <w:rPr>
                <w:rFonts w:ascii="Arial" w:hAnsi="Arial" w:cs="Arial"/>
                <w:b/>
                <w:bCs/>
                <w:sz w:val="20"/>
                <w:szCs w:val="20"/>
              </w:rPr>
              <w:t xml:space="preserve">: </w:t>
            </w:r>
            <w:r w:rsidRPr="00CF0FCC">
              <w:rPr>
                <w:rFonts w:ascii="Arial" w:hAnsi="Arial" w:cs="Arial"/>
                <w:i/>
                <w:iCs/>
                <w:sz w:val="20"/>
                <w:szCs w:val="20"/>
              </w:rPr>
              <w:t>how language is used to convey specific meaning</w:t>
            </w:r>
          </w:p>
        </w:tc>
        <w:tc>
          <w:tcPr>
            <w:tcW w:w="3420" w:type="dxa"/>
            <w:shd w:val="clear" w:color="auto" w:fill="DEEAF6" w:themeFill="accent1" w:themeFillTint="33"/>
          </w:tcPr>
          <w:p w14:paraId="741A0FCA" w14:textId="19881AF5" w:rsidR="00170BD2" w:rsidRPr="00CF0FCC" w:rsidRDefault="00C60959" w:rsidP="00DC4A21">
            <w:pPr>
              <w:pStyle w:val="ListParagraph"/>
              <w:numPr>
                <w:ilvl w:val="0"/>
                <w:numId w:val="6"/>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Every day</w:t>
            </w:r>
            <w:r w:rsidR="00170BD2" w:rsidRPr="00CF0FCC">
              <w:rPr>
                <w:rFonts w:ascii="Arial" w:hAnsi="Arial" w:cs="Arial"/>
                <w:sz w:val="20"/>
                <w:szCs w:val="20"/>
              </w:rPr>
              <w:t>, cross-disciplinary, and technical language</w:t>
            </w:r>
            <w:r w:rsidR="00170BD2" w:rsidRPr="00CF0FCC">
              <w:rPr>
                <w:rStyle w:val="FootnoteReference"/>
                <w:rFonts w:ascii="Arial" w:hAnsi="Arial" w:cs="Arial"/>
                <w:sz w:val="20"/>
                <w:szCs w:val="20"/>
              </w:rPr>
              <w:footnoteReference w:id="2"/>
            </w:r>
            <w:r w:rsidR="00170BD2" w:rsidRPr="00CF0FCC">
              <w:rPr>
                <w:rFonts w:ascii="Arial" w:hAnsi="Arial" w:cs="Arial"/>
                <w:sz w:val="20"/>
                <w:szCs w:val="20"/>
              </w:rPr>
              <w:t xml:space="preserve"> (verb types, adverbs, abstract nouns, etc.)</w:t>
            </w:r>
          </w:p>
          <w:p w14:paraId="6CE872A7" w14:textId="63ADD75A" w:rsidR="00170BD2" w:rsidRPr="00CF0FCC" w:rsidRDefault="00170BD2" w:rsidP="00DC4A21">
            <w:pPr>
              <w:pStyle w:val="ListParagraph"/>
              <w:numPr>
                <w:ilvl w:val="0"/>
                <w:numId w:val="5"/>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Multiple meanings of words and phrases</w:t>
            </w:r>
          </w:p>
          <w:p w14:paraId="1F2B8505" w14:textId="257A6EEB" w:rsidR="00170BD2" w:rsidRPr="00CF0FCC" w:rsidRDefault="00170BD2" w:rsidP="00DC4A21">
            <w:pPr>
              <w:pStyle w:val="ListParagraph"/>
              <w:numPr>
                <w:ilvl w:val="0"/>
                <w:numId w:val="5"/>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Idiomatic expressions</w:t>
            </w:r>
          </w:p>
          <w:p w14:paraId="64FDFDD8" w14:textId="285F0711" w:rsidR="00170BD2" w:rsidRPr="00CF0FCC" w:rsidRDefault="00170BD2" w:rsidP="00DC4A21">
            <w:pPr>
              <w:pStyle w:val="ListParagraph"/>
              <w:numPr>
                <w:ilvl w:val="0"/>
                <w:numId w:val="5"/>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Shades of meaning</w:t>
            </w:r>
          </w:p>
          <w:p w14:paraId="609EF18A" w14:textId="2E244A4B" w:rsidR="00170BD2" w:rsidRPr="00CF0FCC" w:rsidRDefault="00170BD2" w:rsidP="00DC4A21">
            <w:pPr>
              <w:pStyle w:val="ListParagraph"/>
              <w:numPr>
                <w:ilvl w:val="0"/>
                <w:numId w:val="5"/>
              </w:numPr>
              <w:spacing w:line="240" w:lineRule="auto"/>
              <w:ind w:left="173" w:right="0" w:hanging="173"/>
              <w:contextualSpacing/>
              <w:jc w:val="left"/>
              <w:rPr>
                <w:rFonts w:ascii="Arial" w:hAnsi="Arial" w:cs="Arial"/>
                <w:sz w:val="20"/>
                <w:szCs w:val="20"/>
              </w:rPr>
            </w:pPr>
            <w:r w:rsidRPr="00CF0FCC">
              <w:rPr>
                <w:rFonts w:ascii="Arial" w:hAnsi="Arial" w:cs="Arial"/>
                <w:sz w:val="20"/>
                <w:szCs w:val="20"/>
              </w:rPr>
              <w:t xml:space="preserve">Collocations </w:t>
            </w:r>
          </w:p>
          <w:p w14:paraId="1FA678CC" w14:textId="53B2CA1C" w:rsidR="00170BD2" w:rsidRPr="00CF0FCC" w:rsidRDefault="00170BD2" w:rsidP="00170BD2">
            <w:pPr>
              <w:spacing w:line="240" w:lineRule="auto"/>
              <w:ind w:left="0" w:right="0"/>
              <w:contextualSpacing/>
              <w:jc w:val="left"/>
              <w:rPr>
                <w:rFonts w:ascii="Arial" w:hAnsi="Arial" w:cs="Arial"/>
                <w:sz w:val="20"/>
                <w:szCs w:val="20"/>
              </w:rPr>
            </w:pPr>
          </w:p>
        </w:tc>
        <w:tc>
          <w:tcPr>
            <w:tcW w:w="1980" w:type="dxa"/>
            <w:shd w:val="clear" w:color="auto" w:fill="DEEAF6" w:themeFill="accent1" w:themeFillTint="33"/>
          </w:tcPr>
          <w:p w14:paraId="5074FE8E" w14:textId="77777777" w:rsidR="005F4B54" w:rsidRPr="00CF0FCC" w:rsidRDefault="005F4B54" w:rsidP="005F4B54">
            <w:pPr>
              <w:spacing w:line="240" w:lineRule="auto"/>
              <w:ind w:left="0" w:right="0"/>
              <w:contextualSpacing/>
              <w:jc w:val="left"/>
              <w:rPr>
                <w:rFonts w:ascii="Arial" w:hAnsi="Arial" w:cs="Arial"/>
                <w:sz w:val="20"/>
                <w:szCs w:val="20"/>
              </w:rPr>
            </w:pPr>
          </w:p>
        </w:tc>
        <w:tc>
          <w:tcPr>
            <w:tcW w:w="2250" w:type="dxa"/>
            <w:shd w:val="clear" w:color="auto" w:fill="DEEAF6" w:themeFill="accent1" w:themeFillTint="33"/>
          </w:tcPr>
          <w:p w14:paraId="33565C43" w14:textId="77777777" w:rsidR="005F4B54" w:rsidRPr="00CF0FCC" w:rsidRDefault="005F4B54" w:rsidP="005F4B54">
            <w:pPr>
              <w:spacing w:line="240" w:lineRule="auto"/>
              <w:ind w:left="0" w:right="0"/>
              <w:contextualSpacing/>
              <w:jc w:val="left"/>
              <w:rPr>
                <w:rFonts w:ascii="Arial" w:hAnsi="Arial" w:cs="Arial"/>
                <w:sz w:val="20"/>
                <w:szCs w:val="20"/>
              </w:rPr>
            </w:pPr>
          </w:p>
        </w:tc>
        <w:tc>
          <w:tcPr>
            <w:tcW w:w="1975" w:type="dxa"/>
            <w:shd w:val="clear" w:color="auto" w:fill="DEEAF6" w:themeFill="accent1" w:themeFillTint="33"/>
          </w:tcPr>
          <w:p w14:paraId="131E458B" w14:textId="77777777" w:rsidR="005F4B54" w:rsidRPr="00CF0FCC" w:rsidRDefault="005F4B54" w:rsidP="005F4B54">
            <w:pPr>
              <w:spacing w:line="240" w:lineRule="auto"/>
              <w:ind w:left="0" w:right="0"/>
              <w:contextualSpacing/>
              <w:jc w:val="left"/>
              <w:rPr>
                <w:rFonts w:ascii="Arial" w:hAnsi="Arial" w:cs="Arial"/>
                <w:sz w:val="20"/>
                <w:szCs w:val="20"/>
              </w:rPr>
            </w:pPr>
          </w:p>
        </w:tc>
      </w:tr>
    </w:tbl>
    <w:p w14:paraId="34AE8422" w14:textId="4AB7A359" w:rsidR="00B845EA" w:rsidRDefault="00B845EA" w:rsidP="00BB3D67">
      <w:pPr>
        <w:spacing w:after="240"/>
        <w:ind w:left="0" w:right="690"/>
        <w:rPr>
          <w:rFonts w:cstheme="minorHAnsi"/>
          <w:b/>
        </w:rPr>
      </w:pPr>
    </w:p>
    <w:p w14:paraId="020265FA" w14:textId="7DC6AB58" w:rsidR="00BB3D67" w:rsidRDefault="00BB3D67" w:rsidP="001A2806">
      <w:pPr>
        <w:spacing w:line="240" w:lineRule="auto"/>
        <w:ind w:left="0" w:right="691"/>
        <w:contextualSpacing/>
        <w:jc w:val="left"/>
        <w:rPr>
          <w:rFonts w:cstheme="minorHAnsi"/>
          <w:b/>
        </w:rPr>
      </w:pPr>
      <w:r w:rsidRPr="001A2806">
        <w:rPr>
          <w:rFonts w:cstheme="minorHAnsi"/>
          <w:b/>
        </w:rPr>
        <w:lastRenderedPageBreak/>
        <w:t xml:space="preserve">Additional </w:t>
      </w:r>
      <w:r w:rsidR="00947378" w:rsidRPr="001A2806">
        <w:rPr>
          <w:rFonts w:cstheme="minorHAnsi"/>
          <w:b/>
        </w:rPr>
        <w:t>Resources to Su</w:t>
      </w:r>
      <w:r w:rsidRPr="001A2806">
        <w:rPr>
          <w:rFonts w:cstheme="minorHAnsi"/>
          <w:b/>
        </w:rPr>
        <w:t xml:space="preserve">pport Unpacking Academic Language </w:t>
      </w:r>
    </w:p>
    <w:p w14:paraId="49A84F3F" w14:textId="49889C50" w:rsidR="001A2806" w:rsidRPr="001A2806" w:rsidRDefault="001A2806" w:rsidP="001A2806">
      <w:pPr>
        <w:spacing w:line="240" w:lineRule="auto"/>
        <w:ind w:left="0" w:right="691"/>
        <w:contextualSpacing/>
        <w:jc w:val="left"/>
        <w:rPr>
          <w:rFonts w:cstheme="minorHAnsi"/>
          <w:b/>
        </w:rPr>
      </w:pPr>
    </w:p>
    <w:p w14:paraId="090803CC" w14:textId="18E177AA" w:rsidR="00947378" w:rsidRDefault="009B2BBA" w:rsidP="001A2806">
      <w:pPr>
        <w:pStyle w:val="ListParagraph"/>
        <w:numPr>
          <w:ilvl w:val="0"/>
          <w:numId w:val="11"/>
        </w:numPr>
        <w:spacing w:line="240" w:lineRule="auto"/>
        <w:ind w:right="691"/>
        <w:contextualSpacing/>
        <w:jc w:val="left"/>
        <w:rPr>
          <w:rFonts w:cstheme="minorHAnsi"/>
          <w:bCs/>
        </w:rPr>
      </w:pPr>
      <w:r w:rsidRPr="009B2BBA">
        <w:rPr>
          <w:rFonts w:cstheme="minorHAnsi"/>
          <w:bCs/>
        </w:rPr>
        <w:t>Resources f</w:t>
      </w:r>
      <w:r w:rsidR="00947378" w:rsidRPr="009B2BBA">
        <w:rPr>
          <w:rFonts w:cstheme="minorHAnsi"/>
          <w:bCs/>
        </w:rPr>
        <w:t xml:space="preserve">rom </w:t>
      </w:r>
      <w:r w:rsidRPr="009B2BBA">
        <w:rPr>
          <w:rFonts w:cstheme="minorHAnsi"/>
          <w:bCs/>
        </w:rPr>
        <w:t xml:space="preserve">the </w:t>
      </w:r>
      <w:hyperlink r:id="rId17" w:history="1">
        <w:r w:rsidR="00947378" w:rsidRPr="009B2BBA">
          <w:rPr>
            <w:rStyle w:val="Hyperlink"/>
            <w:rFonts w:cstheme="minorHAnsi"/>
            <w:bCs/>
          </w:rPr>
          <w:t xml:space="preserve">WIDA </w:t>
        </w:r>
        <w:r w:rsidRPr="009B2BBA">
          <w:rPr>
            <w:rStyle w:val="Hyperlink"/>
            <w:rFonts w:cstheme="minorHAnsi"/>
            <w:bCs/>
          </w:rPr>
          <w:t xml:space="preserve">English Language Development Standards Framework, </w:t>
        </w:r>
        <w:r w:rsidR="00947378" w:rsidRPr="009B2BBA">
          <w:rPr>
            <w:rStyle w:val="Hyperlink"/>
            <w:rFonts w:cstheme="minorHAnsi"/>
            <w:bCs/>
          </w:rPr>
          <w:t>2020</w:t>
        </w:r>
        <w:r w:rsidRPr="009B2BBA">
          <w:rPr>
            <w:rStyle w:val="Hyperlink"/>
            <w:rFonts w:cstheme="minorHAnsi"/>
            <w:bCs/>
          </w:rPr>
          <w:t xml:space="preserve"> Edition</w:t>
        </w:r>
      </w:hyperlink>
      <w:r w:rsidR="00947378" w:rsidRPr="009B2BBA">
        <w:rPr>
          <w:rFonts w:cstheme="minorHAnsi"/>
          <w:bCs/>
        </w:rPr>
        <w:t>:</w:t>
      </w:r>
    </w:p>
    <w:p w14:paraId="1CB87CFE" w14:textId="77777777" w:rsidR="001A2806" w:rsidRPr="009B2BBA" w:rsidRDefault="001A2806" w:rsidP="001A2806">
      <w:pPr>
        <w:pStyle w:val="ListParagraph"/>
        <w:spacing w:line="240" w:lineRule="auto"/>
        <w:ind w:left="360" w:right="691" w:firstLine="0"/>
        <w:contextualSpacing/>
        <w:jc w:val="left"/>
        <w:rPr>
          <w:rFonts w:cstheme="minorHAnsi"/>
          <w:bCs/>
        </w:rPr>
      </w:pPr>
    </w:p>
    <w:p w14:paraId="1EB23C4E" w14:textId="6C9FD3A5" w:rsidR="00BB3D67" w:rsidRDefault="00EC2B33" w:rsidP="001A2806">
      <w:pPr>
        <w:pStyle w:val="ListParagraph"/>
        <w:numPr>
          <w:ilvl w:val="0"/>
          <w:numId w:val="8"/>
        </w:numPr>
        <w:spacing w:line="240" w:lineRule="auto"/>
        <w:ind w:right="691"/>
        <w:contextualSpacing/>
        <w:jc w:val="left"/>
        <w:rPr>
          <w:rFonts w:cstheme="minorHAnsi"/>
          <w:bCs/>
        </w:rPr>
      </w:pPr>
      <w:r>
        <w:rPr>
          <w:rFonts w:cstheme="minorHAnsi"/>
          <w:bCs/>
        </w:rPr>
        <w:t xml:space="preserve">For educators wanting to learn more about each dimension of language use, see </w:t>
      </w:r>
      <w:r w:rsidR="00BB3D67" w:rsidRPr="00BD2BB0">
        <w:rPr>
          <w:rFonts w:cstheme="minorHAnsi"/>
          <w:bCs/>
          <w:i/>
          <w:iCs/>
        </w:rPr>
        <w:t xml:space="preserve">Section 2 </w:t>
      </w:r>
      <w:r w:rsidR="00BB3D67" w:rsidRPr="00BB3D67">
        <w:rPr>
          <w:rFonts w:cstheme="minorHAnsi"/>
          <w:bCs/>
        </w:rPr>
        <w:t xml:space="preserve">(pages 31-33). </w:t>
      </w:r>
    </w:p>
    <w:p w14:paraId="4A8743B2" w14:textId="77777777" w:rsidR="001A2806" w:rsidRDefault="001A2806" w:rsidP="001A2806">
      <w:pPr>
        <w:pStyle w:val="ListParagraph"/>
        <w:spacing w:line="240" w:lineRule="auto"/>
        <w:ind w:left="720" w:right="691" w:firstLine="0"/>
        <w:contextualSpacing/>
        <w:jc w:val="left"/>
        <w:rPr>
          <w:rFonts w:cstheme="minorHAnsi"/>
          <w:bCs/>
        </w:rPr>
      </w:pPr>
    </w:p>
    <w:p w14:paraId="05CE5D2B" w14:textId="423CED17" w:rsidR="00BB3D67" w:rsidRDefault="00EC2B33" w:rsidP="001A2806">
      <w:pPr>
        <w:pStyle w:val="ListParagraph"/>
        <w:numPr>
          <w:ilvl w:val="0"/>
          <w:numId w:val="8"/>
        </w:numPr>
        <w:spacing w:line="240" w:lineRule="auto"/>
        <w:ind w:right="691"/>
        <w:contextualSpacing/>
        <w:jc w:val="left"/>
        <w:rPr>
          <w:rFonts w:cstheme="minorHAnsi"/>
          <w:bCs/>
        </w:rPr>
      </w:pPr>
      <w:r>
        <w:rPr>
          <w:rFonts w:cstheme="minorHAnsi"/>
          <w:bCs/>
        </w:rPr>
        <w:t xml:space="preserve">To learn more about expectations of how students can interpret and express language at different English language proficiency levels, see the </w:t>
      </w:r>
      <w:r w:rsidR="00BB3D67" w:rsidRPr="00BD2BB0">
        <w:rPr>
          <w:rFonts w:cstheme="minorHAnsi"/>
          <w:bCs/>
          <w:i/>
          <w:iCs/>
        </w:rPr>
        <w:t>Proficiency Levels Descriptors</w:t>
      </w:r>
      <w:r w:rsidR="00BB3D67">
        <w:rPr>
          <w:rFonts w:cstheme="minorHAnsi"/>
          <w:bCs/>
        </w:rPr>
        <w:t xml:space="preserve"> within </w:t>
      </w:r>
      <w:r w:rsidR="00BB3D67" w:rsidRPr="00BD2BB0">
        <w:rPr>
          <w:rFonts w:cstheme="minorHAnsi"/>
          <w:bCs/>
          <w:i/>
          <w:iCs/>
        </w:rPr>
        <w:t xml:space="preserve">Grade Level Cluster </w:t>
      </w:r>
      <w:r w:rsidR="00BD2BB0" w:rsidRPr="00BD2BB0">
        <w:rPr>
          <w:rFonts w:cstheme="minorHAnsi"/>
          <w:bCs/>
          <w:i/>
          <w:iCs/>
        </w:rPr>
        <w:t>M</w:t>
      </w:r>
      <w:r w:rsidRPr="00BD2BB0">
        <w:rPr>
          <w:rFonts w:cstheme="minorHAnsi"/>
          <w:bCs/>
          <w:i/>
          <w:iCs/>
        </w:rPr>
        <w:t>aterials</w:t>
      </w:r>
      <w:r>
        <w:rPr>
          <w:rFonts w:cstheme="minorHAnsi"/>
          <w:bCs/>
        </w:rPr>
        <w:t xml:space="preserve"> </w:t>
      </w:r>
      <w:r w:rsidR="00BB3D67">
        <w:rPr>
          <w:rFonts w:cstheme="minorHAnsi"/>
          <w:bCs/>
        </w:rPr>
        <w:t>(</w:t>
      </w:r>
      <w:r>
        <w:rPr>
          <w:rFonts w:cstheme="minorHAnsi"/>
          <w:bCs/>
        </w:rPr>
        <w:t xml:space="preserve">separated by grade bands: </w:t>
      </w:r>
      <w:r w:rsidR="00BB3D67">
        <w:rPr>
          <w:rFonts w:cstheme="minorHAnsi"/>
          <w:bCs/>
        </w:rPr>
        <w:t>K, 1, 2-3, 4-5, 6-8 and 9-12)</w:t>
      </w:r>
      <w:r>
        <w:rPr>
          <w:rFonts w:cstheme="minorHAnsi"/>
          <w:bCs/>
        </w:rPr>
        <w:t>.</w:t>
      </w:r>
    </w:p>
    <w:p w14:paraId="366054A3" w14:textId="77777777" w:rsidR="001A2806" w:rsidRPr="001A2806" w:rsidRDefault="001A2806" w:rsidP="001A2806">
      <w:pPr>
        <w:spacing w:line="240" w:lineRule="auto"/>
        <w:ind w:left="0" w:right="691"/>
        <w:contextualSpacing/>
        <w:jc w:val="left"/>
        <w:rPr>
          <w:rFonts w:cstheme="minorHAnsi"/>
          <w:bCs/>
        </w:rPr>
      </w:pPr>
    </w:p>
    <w:p w14:paraId="3485E2E6" w14:textId="2ED6CC30" w:rsidR="00EC2B33" w:rsidRDefault="00EC2B33" w:rsidP="001A2806">
      <w:pPr>
        <w:pStyle w:val="ListParagraph"/>
        <w:numPr>
          <w:ilvl w:val="0"/>
          <w:numId w:val="8"/>
        </w:numPr>
        <w:spacing w:line="240" w:lineRule="auto"/>
        <w:ind w:right="691"/>
        <w:contextualSpacing/>
        <w:jc w:val="left"/>
        <w:rPr>
          <w:rFonts w:cstheme="minorHAnsi"/>
          <w:bCs/>
        </w:rPr>
      </w:pPr>
      <w:r>
        <w:rPr>
          <w:rFonts w:cstheme="minorHAnsi"/>
          <w:bCs/>
        </w:rPr>
        <w:t xml:space="preserve">To learn more about specific language features connected to ways students use language in school, see the </w:t>
      </w:r>
      <w:r w:rsidR="00BB3D67">
        <w:rPr>
          <w:rFonts w:cstheme="minorHAnsi"/>
          <w:bCs/>
        </w:rPr>
        <w:t xml:space="preserve">Grade Level Cluster </w:t>
      </w:r>
      <w:r w:rsidR="00BD2BB0">
        <w:rPr>
          <w:rFonts w:cstheme="minorHAnsi"/>
          <w:bCs/>
        </w:rPr>
        <w:t>M</w:t>
      </w:r>
      <w:r w:rsidR="00BB3D67">
        <w:rPr>
          <w:rFonts w:cstheme="minorHAnsi"/>
          <w:bCs/>
        </w:rPr>
        <w:t xml:space="preserve">aterials in </w:t>
      </w:r>
      <w:r w:rsidR="00BB3D67" w:rsidRPr="00BD2BB0">
        <w:rPr>
          <w:rFonts w:cstheme="minorHAnsi"/>
          <w:bCs/>
          <w:i/>
          <w:iCs/>
        </w:rPr>
        <w:t>Section 3</w:t>
      </w:r>
      <w:r>
        <w:rPr>
          <w:rFonts w:cstheme="minorHAnsi"/>
          <w:bCs/>
        </w:rPr>
        <w:t xml:space="preserve">. These sample features in the 2020 Edition are organized by </w:t>
      </w:r>
      <w:r w:rsidR="00BB3D67">
        <w:rPr>
          <w:rFonts w:cstheme="minorHAnsi"/>
          <w:bCs/>
        </w:rPr>
        <w:t>Key Language Uses of Language</w:t>
      </w:r>
      <w:r>
        <w:rPr>
          <w:rFonts w:cstheme="minorHAnsi"/>
          <w:bCs/>
        </w:rPr>
        <w:t xml:space="preserve"> (KLUs)</w:t>
      </w:r>
      <w:r w:rsidR="00BB3D67">
        <w:rPr>
          <w:rFonts w:cstheme="minorHAnsi"/>
          <w:bCs/>
        </w:rPr>
        <w:t xml:space="preserve">, or prominent ways language is used in school across content areas. </w:t>
      </w:r>
      <w:r>
        <w:rPr>
          <w:rFonts w:cstheme="minorHAnsi"/>
          <w:bCs/>
        </w:rPr>
        <w:t xml:space="preserve">In addition, educators can learn more about the language their students will need to learn to succeed in school tasks in </w:t>
      </w:r>
      <w:r w:rsidRPr="00BD2BB0">
        <w:rPr>
          <w:rFonts w:cstheme="minorHAnsi"/>
          <w:bCs/>
          <w:i/>
          <w:iCs/>
        </w:rPr>
        <w:t>Section 4: Resources</w:t>
      </w:r>
      <w:r>
        <w:rPr>
          <w:rFonts w:cstheme="minorHAnsi"/>
          <w:bCs/>
        </w:rPr>
        <w:t xml:space="preserve"> - which includes </w:t>
      </w:r>
      <w:r w:rsidRPr="00EC2B33">
        <w:rPr>
          <w:rFonts w:cstheme="minorHAnsi"/>
          <w:bCs/>
          <w:i/>
          <w:iCs/>
        </w:rPr>
        <w:t>Common Linguistic and Organizational Features of Key Language Uses</w:t>
      </w:r>
      <w:r w:rsidRPr="00EC2B33">
        <w:rPr>
          <w:rFonts w:cstheme="minorHAnsi"/>
          <w:bCs/>
        </w:rPr>
        <w:t xml:space="preserve"> across content areas (p. 220-221) and </w:t>
      </w:r>
      <w:r w:rsidRPr="00EC2B33">
        <w:rPr>
          <w:rFonts w:cstheme="minorHAnsi"/>
          <w:bCs/>
          <w:i/>
          <w:iCs/>
        </w:rPr>
        <w:t xml:space="preserve">Unique Linguistic and Organizational Features of Key Language Uses </w:t>
      </w:r>
      <w:r w:rsidRPr="00EC2B33">
        <w:rPr>
          <w:rFonts w:cstheme="minorHAnsi"/>
          <w:bCs/>
        </w:rPr>
        <w:t>(p. 222- 233)</w:t>
      </w:r>
      <w:r w:rsidR="001A2806">
        <w:rPr>
          <w:rFonts w:cstheme="minorHAnsi"/>
          <w:bCs/>
        </w:rPr>
        <w:t>.</w:t>
      </w:r>
    </w:p>
    <w:p w14:paraId="767AEC0B" w14:textId="77777777" w:rsidR="001A2806" w:rsidRPr="001A2806" w:rsidRDefault="001A2806" w:rsidP="001A2806">
      <w:pPr>
        <w:pStyle w:val="ListParagraph"/>
        <w:rPr>
          <w:rFonts w:cstheme="minorHAnsi"/>
          <w:bCs/>
        </w:rPr>
      </w:pPr>
    </w:p>
    <w:p w14:paraId="01640E08" w14:textId="77777777" w:rsidR="001A2806" w:rsidRPr="001A2806" w:rsidRDefault="001A2806" w:rsidP="001A2806">
      <w:pPr>
        <w:spacing w:line="240" w:lineRule="auto"/>
        <w:ind w:left="0" w:right="691"/>
        <w:contextualSpacing/>
        <w:jc w:val="left"/>
        <w:rPr>
          <w:rFonts w:cstheme="minorHAnsi"/>
          <w:bCs/>
        </w:rPr>
      </w:pPr>
    </w:p>
    <w:p w14:paraId="046A086F" w14:textId="4A9046F4" w:rsidR="009B2BBA" w:rsidRPr="009B2BBA" w:rsidRDefault="009B2BBA" w:rsidP="001A2806">
      <w:pPr>
        <w:pStyle w:val="ListParagraph"/>
        <w:numPr>
          <w:ilvl w:val="0"/>
          <w:numId w:val="11"/>
        </w:numPr>
        <w:spacing w:line="240" w:lineRule="auto"/>
        <w:ind w:right="691"/>
        <w:contextualSpacing/>
        <w:jc w:val="left"/>
        <w:rPr>
          <w:rFonts w:cstheme="minorHAnsi"/>
          <w:bCs/>
        </w:rPr>
      </w:pPr>
      <w:r>
        <w:rPr>
          <w:rFonts w:cstheme="minorHAnsi"/>
          <w:bCs/>
        </w:rPr>
        <w:t>Other r</w:t>
      </w:r>
      <w:r w:rsidRPr="009B2BBA">
        <w:rPr>
          <w:rFonts w:cstheme="minorHAnsi"/>
          <w:bCs/>
        </w:rPr>
        <w:t xml:space="preserve">esources: </w:t>
      </w:r>
      <w:r>
        <w:rPr>
          <w:rFonts w:cstheme="minorHAnsi"/>
          <w:bCs/>
        </w:rPr>
        <w:t xml:space="preserve"> </w:t>
      </w:r>
      <w:r w:rsidRPr="009B2BBA">
        <w:rPr>
          <w:rFonts w:cstheme="minorHAnsi"/>
          <w:bCs/>
        </w:rPr>
        <w:t xml:space="preserve">The </w:t>
      </w:r>
      <w:hyperlink r:id="rId18" w:history="1">
        <w:r w:rsidRPr="009B2BBA">
          <w:rPr>
            <w:rStyle w:val="Hyperlink"/>
            <w:rFonts w:cstheme="minorHAnsi"/>
            <w:bCs/>
            <w:i/>
            <w:iCs/>
          </w:rPr>
          <w:t>English Language Proficiency (ELP) Standards with Correspondences to K–12 Practices and Common Core State Standards</w:t>
        </w:r>
      </w:hyperlink>
      <w:r w:rsidRPr="009B2BBA">
        <w:rPr>
          <w:rFonts w:cstheme="minorHAnsi"/>
          <w:bCs/>
        </w:rPr>
        <w:t xml:space="preserve"> </w:t>
      </w:r>
      <w:r>
        <w:rPr>
          <w:rFonts w:cstheme="minorHAnsi"/>
          <w:bCs/>
        </w:rPr>
        <w:t xml:space="preserve">from the Council of Chief State School Officers </w:t>
      </w:r>
      <w:r w:rsidRPr="009B2BBA">
        <w:rPr>
          <w:rFonts w:cstheme="minorHAnsi"/>
          <w:bCs/>
        </w:rPr>
        <w:t xml:space="preserve">describe what English language learners can do with language in relation to academic practices outlined in content area standards. It presents how English learners at five English language proficiency levels may use language to speak, read, write, and listen based on their grade level. Educators (content area, grade level, special education, bilingual, ESL teachers, etc.) can use this resource alongside the WIDA Proficiency Level Descriptors to choose specific language to teach and practice with students.  </w:t>
      </w:r>
    </w:p>
    <w:p w14:paraId="374253D0" w14:textId="40E16EFB" w:rsidR="00947378" w:rsidRPr="009B2BBA" w:rsidRDefault="00947378" w:rsidP="009B2BBA">
      <w:pPr>
        <w:pStyle w:val="ListParagraph"/>
        <w:spacing w:after="240"/>
        <w:ind w:left="360" w:right="690" w:firstLine="0"/>
        <w:jc w:val="left"/>
        <w:rPr>
          <w:rFonts w:cstheme="minorHAnsi"/>
          <w:bCs/>
        </w:rPr>
      </w:pPr>
    </w:p>
    <w:sectPr w:rsidR="00947378" w:rsidRPr="009B2BBA" w:rsidSect="00BB3D67">
      <w:footerReference w:type="default" r:id="rId19"/>
      <w:pgSz w:w="15840" w:h="12240" w:orient="landscape"/>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0539" w14:textId="77777777" w:rsidR="007A7DFF" w:rsidRDefault="007A7DFF" w:rsidP="00BB1CC8">
      <w:pPr>
        <w:spacing w:line="240" w:lineRule="auto"/>
      </w:pPr>
      <w:r>
        <w:separator/>
      </w:r>
    </w:p>
  </w:endnote>
  <w:endnote w:type="continuationSeparator" w:id="0">
    <w:p w14:paraId="138DAB22" w14:textId="77777777" w:rsidR="007A7DFF" w:rsidRDefault="007A7DFF" w:rsidP="00BB1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5825"/>
      <w:docPartObj>
        <w:docPartGallery w:val="Page Numbers (Bottom of Page)"/>
        <w:docPartUnique/>
      </w:docPartObj>
    </w:sdtPr>
    <w:sdtEndPr>
      <w:rPr>
        <w:noProof/>
      </w:rPr>
    </w:sdtEndPr>
    <w:sdtContent>
      <w:p w14:paraId="5A7E3316" w14:textId="1ACC7E7C" w:rsidR="00EC2B33" w:rsidRDefault="00EC2B33" w:rsidP="001A2806">
        <w:pPr>
          <w:pStyle w:val="Footer"/>
          <w:spacing w:line="240" w:lineRule="auto"/>
          <w:ind w:left="0" w:right="0"/>
          <w:contextualSpacing/>
          <w:jc w:val="right"/>
        </w:pPr>
        <w:r>
          <w:fldChar w:fldCharType="begin"/>
        </w:r>
        <w:r>
          <w:instrText xml:space="preserve"> PAGE   \* MERGEFORMAT </w:instrText>
        </w:r>
        <w:r>
          <w:fldChar w:fldCharType="separate"/>
        </w:r>
        <w:r>
          <w:rPr>
            <w:noProof/>
          </w:rPr>
          <w:t>2</w:t>
        </w:r>
        <w:r>
          <w:rPr>
            <w:noProof/>
          </w:rPr>
          <w:fldChar w:fldCharType="end"/>
        </w:r>
      </w:p>
    </w:sdtContent>
  </w:sdt>
  <w:p w14:paraId="76463C95" w14:textId="77777777" w:rsidR="00EC2B33" w:rsidRDefault="00EC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4F12" w14:textId="77777777" w:rsidR="007A7DFF" w:rsidRDefault="007A7DFF" w:rsidP="00BB1CC8">
      <w:pPr>
        <w:spacing w:line="240" w:lineRule="auto"/>
      </w:pPr>
      <w:r>
        <w:separator/>
      </w:r>
    </w:p>
  </w:footnote>
  <w:footnote w:type="continuationSeparator" w:id="0">
    <w:p w14:paraId="6269040C" w14:textId="77777777" w:rsidR="007A7DFF" w:rsidRDefault="007A7DFF" w:rsidP="00BB1CC8">
      <w:pPr>
        <w:spacing w:line="240" w:lineRule="auto"/>
      </w:pPr>
      <w:r>
        <w:continuationSeparator/>
      </w:r>
    </w:p>
  </w:footnote>
  <w:footnote w:id="1">
    <w:p w14:paraId="0A501766" w14:textId="58D4A6ED" w:rsidR="00BB1CC8" w:rsidRPr="009A248F" w:rsidRDefault="00BB1CC8" w:rsidP="00CF0FCC">
      <w:pPr>
        <w:pStyle w:val="FootnoteText"/>
        <w:ind w:left="0" w:right="0"/>
        <w:jc w:val="left"/>
        <w:rPr>
          <w:sz w:val="18"/>
          <w:szCs w:val="18"/>
        </w:rPr>
      </w:pPr>
      <w:r w:rsidRPr="009A248F">
        <w:rPr>
          <w:rStyle w:val="FootnoteReference"/>
          <w:sz w:val="18"/>
          <w:szCs w:val="18"/>
        </w:rPr>
        <w:footnoteRef/>
      </w:r>
      <w:r w:rsidRPr="009A248F">
        <w:rPr>
          <w:sz w:val="18"/>
          <w:szCs w:val="18"/>
        </w:rPr>
        <w:t xml:space="preserve">  WIDA ELD Standards Framework, 2020 Edition Section 2, p. </w:t>
      </w:r>
      <w:r w:rsidR="005F4B54" w:rsidRPr="009A248F">
        <w:rPr>
          <w:sz w:val="18"/>
          <w:szCs w:val="18"/>
        </w:rPr>
        <w:t>31 - 33.</w:t>
      </w:r>
    </w:p>
  </w:footnote>
  <w:footnote w:id="2">
    <w:p w14:paraId="7F531946" w14:textId="70D13976" w:rsidR="00170BD2" w:rsidRPr="001A2806" w:rsidRDefault="00170BD2" w:rsidP="00CF0FCC">
      <w:pPr>
        <w:pStyle w:val="FootnoteText"/>
        <w:ind w:left="0" w:right="0"/>
        <w:jc w:val="left"/>
        <w:rPr>
          <w:sz w:val="18"/>
          <w:szCs w:val="18"/>
        </w:rPr>
      </w:pPr>
      <w:r w:rsidRPr="001A2806">
        <w:rPr>
          <w:rStyle w:val="FootnoteReference"/>
          <w:sz w:val="18"/>
          <w:szCs w:val="18"/>
        </w:rPr>
        <w:footnoteRef/>
      </w:r>
      <w:r w:rsidRPr="001A2806">
        <w:rPr>
          <w:sz w:val="18"/>
          <w:szCs w:val="18"/>
        </w:rPr>
        <w:t xml:space="preserve"> For a quick definition of each one of these, see WIDA ELD Standards Framework, 2020 Edition p. 32</w:t>
      </w:r>
      <w:r w:rsidR="001A2806" w:rsidRPr="001A280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5D"/>
    <w:multiLevelType w:val="hybridMultilevel"/>
    <w:tmpl w:val="26640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7306D"/>
    <w:multiLevelType w:val="hybridMultilevel"/>
    <w:tmpl w:val="FD9CE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77C57A8"/>
    <w:multiLevelType w:val="hybridMultilevel"/>
    <w:tmpl w:val="0C767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6E1E76"/>
    <w:multiLevelType w:val="hybridMultilevel"/>
    <w:tmpl w:val="754C4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E63CE"/>
    <w:multiLevelType w:val="hybridMultilevel"/>
    <w:tmpl w:val="7DD6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7B1D"/>
    <w:multiLevelType w:val="hybridMultilevel"/>
    <w:tmpl w:val="4942C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105E17"/>
    <w:multiLevelType w:val="hybridMultilevel"/>
    <w:tmpl w:val="B6927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133EA0"/>
    <w:multiLevelType w:val="hybridMultilevel"/>
    <w:tmpl w:val="75E2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05D7C"/>
    <w:multiLevelType w:val="hybridMultilevel"/>
    <w:tmpl w:val="5456C5E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9" w15:restartNumberingAfterBreak="0">
    <w:nsid w:val="5768068A"/>
    <w:multiLevelType w:val="hybridMultilevel"/>
    <w:tmpl w:val="F7A87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602D0A"/>
    <w:multiLevelType w:val="hybridMultilevel"/>
    <w:tmpl w:val="3C086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2695003">
    <w:abstractNumId w:val="6"/>
  </w:num>
  <w:num w:numId="2" w16cid:durableId="1981612358">
    <w:abstractNumId w:val="9"/>
  </w:num>
  <w:num w:numId="3" w16cid:durableId="90006224">
    <w:abstractNumId w:val="0"/>
  </w:num>
  <w:num w:numId="4" w16cid:durableId="1921330263">
    <w:abstractNumId w:val="10"/>
  </w:num>
  <w:num w:numId="5" w16cid:durableId="3020571">
    <w:abstractNumId w:val="3"/>
  </w:num>
  <w:num w:numId="6" w16cid:durableId="70739744">
    <w:abstractNumId w:val="8"/>
  </w:num>
  <w:num w:numId="7" w16cid:durableId="929580589">
    <w:abstractNumId w:val="4"/>
  </w:num>
  <w:num w:numId="8" w16cid:durableId="254902161">
    <w:abstractNumId w:val="7"/>
  </w:num>
  <w:num w:numId="9" w16cid:durableId="1902787769">
    <w:abstractNumId w:val="2"/>
  </w:num>
  <w:num w:numId="10" w16cid:durableId="2082360622">
    <w:abstractNumId w:val="1"/>
  </w:num>
  <w:num w:numId="11" w16cid:durableId="187310946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EA"/>
    <w:rsid w:val="00080C20"/>
    <w:rsid w:val="00097206"/>
    <w:rsid w:val="00147D4E"/>
    <w:rsid w:val="00170BD2"/>
    <w:rsid w:val="001A2806"/>
    <w:rsid w:val="0037645C"/>
    <w:rsid w:val="005260C1"/>
    <w:rsid w:val="005F4B54"/>
    <w:rsid w:val="00645252"/>
    <w:rsid w:val="006D3D74"/>
    <w:rsid w:val="007A7DFF"/>
    <w:rsid w:val="0083569A"/>
    <w:rsid w:val="00947378"/>
    <w:rsid w:val="009A248F"/>
    <w:rsid w:val="009B2BBA"/>
    <w:rsid w:val="00A9204E"/>
    <w:rsid w:val="00B7597A"/>
    <w:rsid w:val="00B845EA"/>
    <w:rsid w:val="00BB1CC8"/>
    <w:rsid w:val="00BB3D67"/>
    <w:rsid w:val="00BD2BB0"/>
    <w:rsid w:val="00C60959"/>
    <w:rsid w:val="00CF0FCC"/>
    <w:rsid w:val="00D971CB"/>
    <w:rsid w:val="00DC4A21"/>
    <w:rsid w:val="00DD3738"/>
    <w:rsid w:val="00EC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D049"/>
  <w15:chartTrackingRefBased/>
  <w15:docId w15:val="{2EB5922C-2167-45AC-9FE7-DA0FE09F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45EA"/>
    <w:pPr>
      <w:spacing w:line="276" w:lineRule="auto"/>
      <w:ind w:left="1138" w:right="1397"/>
      <w:jc w:val="both"/>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138"/>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link w:val="ListParagraphChar"/>
    <w:uiPriority w:val="34"/>
    <w:qFormat/>
    <w:rsid w:val="00B845EA"/>
    <w:pPr>
      <w:ind w:left="1860" w:hanging="360"/>
    </w:pPr>
  </w:style>
  <w:style w:type="paragraph" w:styleId="NoSpacing">
    <w:name w:val="No Spacing"/>
    <w:link w:val="NoSpacingChar"/>
    <w:uiPriority w:val="1"/>
    <w:qFormat/>
    <w:rsid w:val="00B845EA"/>
    <w:pPr>
      <w:spacing w:line="276" w:lineRule="auto"/>
      <w:ind w:left="1138" w:right="1397"/>
      <w:jc w:val="both"/>
    </w:pPr>
  </w:style>
  <w:style w:type="character" w:customStyle="1" w:styleId="NoSpacingChar">
    <w:name w:val="No Spacing Char"/>
    <w:basedOn w:val="DefaultParagraphFont"/>
    <w:link w:val="NoSpacing"/>
    <w:uiPriority w:val="1"/>
    <w:rsid w:val="00B845EA"/>
  </w:style>
  <w:style w:type="character" w:customStyle="1" w:styleId="ListParagraphChar">
    <w:name w:val="List Paragraph Char"/>
    <w:basedOn w:val="DefaultParagraphFont"/>
    <w:link w:val="ListParagraph"/>
    <w:uiPriority w:val="34"/>
    <w:locked/>
    <w:rsid w:val="00B845EA"/>
    <w:rPr>
      <w:rFonts w:ascii="Calibri" w:eastAsia="Calibri" w:hAnsi="Calibri" w:cs="Calibri"/>
    </w:rPr>
  </w:style>
  <w:style w:type="character" w:styleId="UnresolvedMention">
    <w:name w:val="Unresolved Mention"/>
    <w:basedOn w:val="DefaultParagraphFont"/>
    <w:uiPriority w:val="99"/>
    <w:semiHidden/>
    <w:unhideWhenUsed/>
    <w:rsid w:val="00BB1CC8"/>
    <w:rPr>
      <w:color w:val="605E5C"/>
      <w:shd w:val="clear" w:color="auto" w:fill="E1DFDD"/>
    </w:rPr>
  </w:style>
  <w:style w:type="character" w:styleId="FootnoteReference">
    <w:name w:val="footnote reference"/>
    <w:basedOn w:val="DefaultParagraphFont"/>
    <w:uiPriority w:val="99"/>
    <w:semiHidden/>
    <w:unhideWhenUsed/>
    <w:rsid w:val="00BB1CC8"/>
    <w:rPr>
      <w:vertAlign w:val="superscript"/>
    </w:rPr>
  </w:style>
  <w:style w:type="table" w:styleId="TableGrid">
    <w:name w:val="Table Grid"/>
    <w:basedOn w:val="TableNormal"/>
    <w:uiPriority w:val="39"/>
    <w:rsid w:val="005F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instruction/collaboration-tool.docx" TargetMode="External"/><Relationship Id="rId18" Type="http://schemas.openxmlformats.org/officeDocument/2006/relationships/hyperlink" Target="https://ccsso.org/sites/default/files/2017-11/Final%204_30%20ELPA21%20Standards%281%29.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da.wisc.edu/sites/default/files/resource/WIDA-ELD-Standards-Framework-2020.pdf" TargetMode="External"/><Relationship Id="rId17" Type="http://schemas.openxmlformats.org/officeDocument/2006/relationships/hyperlink" Target="https://wida.wisc.edu/teach/standards/eld" TargetMode="External"/><Relationship Id="rId2" Type="http://schemas.openxmlformats.org/officeDocument/2006/relationships/customXml" Target="../customXml/item2.xml"/><Relationship Id="rId16" Type="http://schemas.openxmlformats.org/officeDocument/2006/relationships/hyperlink" Target="https://www.thoughtco.com/nominalization-in-grammar-16914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da.wisc.edu/teach/standards/eld" TargetMode="External"/><Relationship Id="rId5" Type="http://schemas.openxmlformats.org/officeDocument/2006/relationships/numbering" Target="numbering.xml"/><Relationship Id="rId15" Type="http://schemas.openxmlformats.org/officeDocument/2006/relationships/hyperlink" Target="https://www.youtube.com/watch?v=CQBcWXO_oVQ"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Local\Microsoft\Office\16.0\DTS\en-US%7b50DFB014-351D-417E-B349-743D16B1ED56%7d\%7b2D575940-72DC-4C94-B2D3-9C04DC044A8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E1295EF1-26A0-4E43-8858-747F7ACDB8AC}">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{2D575940-72DC-4C94-B2D3-9C04DC044A81}tf02786999_win32.dotx</Template>
  <TotalTime>5</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Sena-Martin</dc:creator>
  <cp:keywords/>
  <dc:description/>
  <cp:lastModifiedBy>Gentile, Diana (DESE)</cp:lastModifiedBy>
  <cp:revision>3</cp:revision>
  <dcterms:created xsi:type="dcterms:W3CDTF">2021-11-07T04:06:00Z</dcterms:created>
  <dcterms:modified xsi:type="dcterms:W3CDTF">2022-09-22T21:25:00Z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