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FBDC" w14:textId="31263B18" w:rsidR="00C47680" w:rsidRPr="00C47680" w:rsidRDefault="00C47680" w:rsidP="00C47680">
      <w:pPr>
        <w:pStyle w:val="Header"/>
        <w:rPr>
          <w:b/>
          <w:bCs/>
        </w:rPr>
      </w:pPr>
      <w:bookmarkStart w:id="0" w:name="_GoBack"/>
      <w:bookmarkEnd w:id="0"/>
      <w:r w:rsidRPr="00C47680">
        <w:rPr>
          <w:b/>
          <w:bCs/>
        </w:rPr>
        <w:t>English Learner Parent Advisory Council (ELPAC) Leadership Convening</w:t>
      </w:r>
    </w:p>
    <w:p w14:paraId="5D0407E1" w14:textId="22B5D7E5" w:rsidR="00C47680" w:rsidRPr="00C47680" w:rsidRDefault="00C47680" w:rsidP="00C47680">
      <w:pPr>
        <w:pStyle w:val="Header"/>
        <w:rPr>
          <w:b/>
          <w:bCs/>
        </w:rPr>
      </w:pPr>
      <w:r w:rsidRPr="00C47680">
        <w:rPr>
          <w:b/>
          <w:bCs/>
        </w:rPr>
        <w:t>Day 1: Parents Rights and Opportunities</w:t>
      </w:r>
    </w:p>
    <w:p w14:paraId="35282D4E" w14:textId="2F10AC0F" w:rsidR="00C47680" w:rsidRPr="00C47680" w:rsidRDefault="00C47680" w:rsidP="00C47680">
      <w:pPr>
        <w:pStyle w:val="Header"/>
        <w:rPr>
          <w:b/>
          <w:bCs/>
        </w:rPr>
      </w:pPr>
      <w:r w:rsidRPr="00C47680">
        <w:rPr>
          <w:b/>
          <w:bCs/>
        </w:rPr>
        <w:t>Agenda</w:t>
      </w:r>
    </w:p>
    <w:p w14:paraId="15109B89" w14:textId="77777777" w:rsidR="00A51F03" w:rsidRDefault="00A51F03" w:rsidP="00A51F03">
      <w:pPr>
        <w:tabs>
          <w:tab w:val="num" w:pos="720"/>
        </w:tabs>
        <w:ind w:left="720" w:hanging="360"/>
      </w:pPr>
    </w:p>
    <w:p w14:paraId="0990418F" w14:textId="792BE6C9" w:rsidR="00A9204E" w:rsidRDefault="00A9204E">
      <w:pPr>
        <w:rPr>
          <w:rFonts w:eastAsiaTheme="minorEastAsia" w:cstheme="minorHAnsi"/>
          <w:b/>
          <w:bCs/>
          <w:color w:val="002060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</w:tblGrid>
      <w:tr w:rsidR="00C47680" w14:paraId="0A83D202" w14:textId="77777777" w:rsidTr="0035398B">
        <w:tc>
          <w:tcPr>
            <w:tcW w:w="8275" w:type="dxa"/>
            <w:shd w:val="clear" w:color="auto" w:fill="D9E2F3" w:themeFill="accent5" w:themeFillTint="33"/>
          </w:tcPr>
          <w:p w14:paraId="4BA4C0C3" w14:textId="387DDAF7" w:rsidR="00C47680" w:rsidRPr="00DB0638" w:rsidRDefault="00C47680">
            <w:pPr>
              <w:rPr>
                <w:b/>
                <w:bCs/>
              </w:rPr>
            </w:pPr>
            <w:r>
              <w:rPr>
                <w:b/>
                <w:bCs/>
              </w:rPr>
              <w:t>Presentations and Panels</w:t>
            </w:r>
          </w:p>
        </w:tc>
      </w:tr>
      <w:tr w:rsidR="00C47680" w14:paraId="3713772D" w14:textId="77777777" w:rsidTr="00DB0638">
        <w:tc>
          <w:tcPr>
            <w:tcW w:w="8275" w:type="dxa"/>
          </w:tcPr>
          <w:p w14:paraId="129E8F39" w14:textId="77777777" w:rsidR="00C47680" w:rsidRPr="00A51F03" w:rsidRDefault="00C47680" w:rsidP="00DB0638">
            <w:pPr>
              <w:rPr>
                <w:rFonts w:cstheme="minorHAnsi"/>
                <w:color w:val="E38526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Welcome, Logistics, &amp; Data</w:t>
            </w: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 </w:t>
            </w:r>
          </w:p>
          <w:p w14:paraId="1F37B47A" w14:textId="77777777" w:rsidR="00C47680" w:rsidRDefault="00C47680"/>
        </w:tc>
      </w:tr>
      <w:tr w:rsidR="00C47680" w14:paraId="168B39DA" w14:textId="77777777" w:rsidTr="00DB0638">
        <w:tc>
          <w:tcPr>
            <w:tcW w:w="8275" w:type="dxa"/>
          </w:tcPr>
          <w:p w14:paraId="682FDCCB" w14:textId="77777777" w:rsidR="00C47680" w:rsidRPr="00A51F03" w:rsidRDefault="00C47680" w:rsidP="00DB0638">
            <w:pPr>
              <w:rPr>
                <w:rFonts w:cstheme="minorHAnsi"/>
                <w:color w:val="E38526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Keynote:</w:t>
            </w: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 FAMILIES IN MULTILINGUAL CONTEXTS: Building Together a Bright and Joyful Future for Our Children, Dr. Maria Serpa, Professor Emerita, Lesley University</w:t>
            </w: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 xml:space="preserve">  </w:t>
            </w:r>
          </w:p>
          <w:p w14:paraId="3CC96DEF" w14:textId="77777777" w:rsidR="00C47680" w:rsidRDefault="00C47680"/>
        </w:tc>
      </w:tr>
      <w:tr w:rsidR="00C47680" w14:paraId="08E89CB5" w14:textId="77777777" w:rsidTr="00DB0638">
        <w:tc>
          <w:tcPr>
            <w:tcW w:w="8275" w:type="dxa"/>
          </w:tcPr>
          <w:p w14:paraId="739BAFE8" w14:textId="77777777" w:rsidR="00C47680" w:rsidRPr="00A51F03" w:rsidRDefault="00C47680" w:rsidP="00DB0638">
            <w:pPr>
              <w:rPr>
                <w:rFonts w:cstheme="minorHAnsi"/>
                <w:color w:val="E38526"/>
              </w:rPr>
            </w:pPr>
            <w:r>
              <w:rPr>
                <w:rFonts w:eastAsiaTheme="minorEastAsia" w:cstheme="minorHAnsi"/>
                <w:b/>
                <w:bCs/>
                <w:color w:val="00040C"/>
                <w:kern w:val="24"/>
              </w:rPr>
              <w:t xml:space="preserve">Presentation: </w:t>
            </w:r>
            <w:r w:rsidRPr="00A51F03">
              <w:rPr>
                <w:rFonts w:eastAsiaTheme="minorEastAsia" w:cstheme="minorHAnsi"/>
                <w:color w:val="00040C"/>
                <w:kern w:val="24"/>
              </w:rPr>
              <w:t>Prenatal through Grade 12 Family Engagement Framework: Diverse Family Communities, Olga Lopez, Family Engagement Specialist</w:t>
            </w:r>
          </w:p>
          <w:p w14:paraId="3BA6CBE3" w14:textId="77777777" w:rsidR="00C47680" w:rsidRDefault="00C47680"/>
        </w:tc>
      </w:tr>
      <w:tr w:rsidR="00C47680" w14:paraId="78FEE7AE" w14:textId="77777777" w:rsidTr="00C47680">
        <w:tc>
          <w:tcPr>
            <w:tcW w:w="8275" w:type="dxa"/>
          </w:tcPr>
          <w:p w14:paraId="6AB3B9E4" w14:textId="28F9135E" w:rsidR="00C47680" w:rsidRDefault="00C47680" w:rsidP="00364D5F">
            <w:pPr>
              <w:rPr>
                <w:rFonts w:eastAsiaTheme="minorEastAsia" w:cstheme="minorHAnsi"/>
                <w:b/>
                <w:bCs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District ELPACs Panel</w:t>
            </w:r>
            <w:r>
              <w:rPr>
                <w:rFonts w:eastAsiaTheme="minorEastAsia" w:cstheme="minorHAnsi"/>
                <w:b/>
                <w:bCs/>
                <w:color w:val="00040C"/>
                <w:kern w:val="24"/>
              </w:rPr>
              <w:t xml:space="preserve">: </w:t>
            </w:r>
            <w:r w:rsidRPr="00C47680">
              <w:rPr>
                <w:rFonts w:eastAsiaTheme="minorEastAsia" w:cstheme="minorHAnsi"/>
                <w:color w:val="00040C"/>
                <w:kern w:val="24"/>
              </w:rPr>
              <w:t>Shrewsbury, Nantucket, and Boston</w:t>
            </w:r>
          </w:p>
          <w:p w14:paraId="0BEF5E3C" w14:textId="77777777" w:rsidR="00C47680" w:rsidRPr="00A51F03" w:rsidRDefault="00C47680" w:rsidP="00364D5F">
            <w:pPr>
              <w:rPr>
                <w:rFonts w:eastAsiaTheme="minorEastAsia" w:cstheme="minorHAnsi"/>
                <w:color w:val="00040C"/>
                <w:kern w:val="24"/>
              </w:rPr>
            </w:pPr>
          </w:p>
        </w:tc>
      </w:tr>
      <w:tr w:rsidR="00C47680" w14:paraId="7284BC80" w14:textId="77777777" w:rsidTr="007C5732">
        <w:tc>
          <w:tcPr>
            <w:tcW w:w="8275" w:type="dxa"/>
            <w:shd w:val="clear" w:color="auto" w:fill="D9E2F3" w:themeFill="accent5" w:themeFillTint="33"/>
          </w:tcPr>
          <w:p w14:paraId="04067C5D" w14:textId="77777777" w:rsidR="00C47680" w:rsidRDefault="00C47680" w:rsidP="00DB0638">
            <w:pPr>
              <w:rPr>
                <w:rFonts w:eastAsiaTheme="minorEastAsia" w:cstheme="minorHAnsi"/>
                <w:b/>
                <w:bCs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b/>
                <w:bCs/>
                <w:color w:val="00040C"/>
                <w:kern w:val="24"/>
              </w:rPr>
              <w:t>Breakout Sessions</w:t>
            </w:r>
          </w:p>
          <w:p w14:paraId="019955FF" w14:textId="77777777" w:rsidR="00C47680" w:rsidRDefault="00C47680"/>
        </w:tc>
      </w:tr>
      <w:tr w:rsidR="00C47680" w:rsidRPr="00DA41D7" w14:paraId="14F74F96" w14:textId="77777777" w:rsidTr="00DB0638">
        <w:tc>
          <w:tcPr>
            <w:tcW w:w="8275" w:type="dxa"/>
          </w:tcPr>
          <w:p w14:paraId="6897724D" w14:textId="77777777" w:rsidR="00C47680" w:rsidRDefault="00C47680" w:rsidP="00DB0638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1.FAMILIES IN MULTILINGUAL CONTEXTS: </w:t>
            </w:r>
          </w:p>
          <w:p w14:paraId="34F63CF2" w14:textId="658CE0C2" w:rsidR="00C47680" w:rsidRDefault="00C47680" w:rsidP="00DB0638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Building Together a Bright and Joyful Future for Our Children </w:t>
            </w:r>
          </w:p>
          <w:p w14:paraId="3994A01C" w14:textId="7CADDCA2" w:rsidR="00C47680" w:rsidRPr="005A1BB7" w:rsidRDefault="00C47680" w:rsidP="00DB0638">
            <w:pPr>
              <w:rPr>
                <w:rFonts w:eastAsiaTheme="minorEastAsia" w:cstheme="minorHAnsi"/>
                <w:i/>
                <w:iCs/>
                <w:color w:val="00040C"/>
                <w:kern w:val="24"/>
                <w:lang w:val="pt-BR"/>
              </w:rPr>
            </w:pPr>
            <w:r w:rsidRPr="005A1BB7">
              <w:rPr>
                <w:rFonts w:eastAsiaTheme="minorEastAsia" w:cstheme="minorHAnsi"/>
                <w:i/>
                <w:iCs/>
                <w:color w:val="00040C"/>
                <w:kern w:val="24"/>
                <w:lang w:val="pt-BR"/>
              </w:rPr>
              <w:t xml:space="preserve">Dr. Maria Serpa, Professor Emerita, Lesley University  </w:t>
            </w:r>
          </w:p>
          <w:p w14:paraId="660CD293" w14:textId="77777777" w:rsidR="00C47680" w:rsidRPr="005A1BB7" w:rsidRDefault="00C47680">
            <w:pPr>
              <w:rPr>
                <w:lang w:val="pt-BR"/>
              </w:rPr>
            </w:pPr>
          </w:p>
        </w:tc>
      </w:tr>
      <w:tr w:rsidR="00C47680" w14:paraId="2477764E" w14:textId="77777777" w:rsidTr="00DB0638">
        <w:tc>
          <w:tcPr>
            <w:tcW w:w="8275" w:type="dxa"/>
          </w:tcPr>
          <w:p w14:paraId="35B1E048" w14:textId="77777777" w:rsidR="00C47680" w:rsidRDefault="00C47680" w:rsidP="00DB0638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2.Parents Rights in School </w:t>
            </w:r>
          </w:p>
          <w:p w14:paraId="175F32DB" w14:textId="57C82EA2" w:rsidR="00C47680" w:rsidRPr="00A51F03" w:rsidRDefault="00C47680" w:rsidP="00DB0638">
            <w:pPr>
              <w:rPr>
                <w:rFonts w:eastAsiaTheme="minorEastAsia" w:cstheme="minorHAnsi"/>
                <w:i/>
                <w:iCs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i/>
                <w:iCs/>
                <w:color w:val="00040C"/>
                <w:kern w:val="24"/>
              </w:rPr>
              <w:t xml:space="preserve">Tere Ramos, Advocacy Lawyer </w:t>
            </w:r>
          </w:p>
          <w:p w14:paraId="2B7AE387" w14:textId="77777777" w:rsidR="00C47680" w:rsidRDefault="00C47680"/>
        </w:tc>
      </w:tr>
      <w:tr w:rsidR="00C47680" w14:paraId="1F374C9F" w14:textId="77777777" w:rsidTr="00DB0638">
        <w:tc>
          <w:tcPr>
            <w:tcW w:w="8275" w:type="dxa"/>
          </w:tcPr>
          <w:p w14:paraId="386BCF03" w14:textId="77777777" w:rsidR="00C47680" w:rsidRDefault="00C47680" w:rsidP="00DB0638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3.Introduction to ELPAC Training Modules </w:t>
            </w:r>
          </w:p>
          <w:p w14:paraId="597C30A0" w14:textId="103ABCDB" w:rsidR="00C47680" w:rsidRPr="00A51F03" w:rsidRDefault="00C47680" w:rsidP="00DB0638">
            <w:pPr>
              <w:rPr>
                <w:rFonts w:eastAsiaTheme="minorEastAsia" w:cstheme="minorHAnsi"/>
                <w:i/>
                <w:iCs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i/>
                <w:iCs/>
                <w:color w:val="00040C"/>
                <w:kern w:val="24"/>
              </w:rPr>
              <w:t xml:space="preserve">David Valade, Office of Language Acquisition </w:t>
            </w:r>
          </w:p>
          <w:p w14:paraId="725E1ACE" w14:textId="77777777" w:rsidR="00C47680" w:rsidRDefault="00C47680"/>
        </w:tc>
      </w:tr>
      <w:tr w:rsidR="00C47680" w14:paraId="78EA4148" w14:textId="77777777" w:rsidTr="00DB0638">
        <w:tc>
          <w:tcPr>
            <w:tcW w:w="8275" w:type="dxa"/>
          </w:tcPr>
          <w:p w14:paraId="08F5E34E" w14:textId="77777777" w:rsidR="00C47680" w:rsidRDefault="00C47680" w:rsidP="00DB0638">
            <w:pPr>
              <w:rPr>
                <w:rFonts w:eastAsiaTheme="minorEastAsia" w:cstheme="minorHAnsi"/>
                <w:color w:val="00040C"/>
                <w:kern w:val="24"/>
              </w:rPr>
            </w:pPr>
            <w:r w:rsidRPr="00A51F03">
              <w:rPr>
                <w:rFonts w:eastAsiaTheme="minorEastAsia" w:cstheme="minorHAnsi"/>
                <w:color w:val="00040C"/>
                <w:kern w:val="24"/>
              </w:rPr>
              <w:t xml:space="preserve">4. Family Engagement Framework – Support Resources  </w:t>
            </w:r>
          </w:p>
          <w:p w14:paraId="279B4541" w14:textId="3D1926E5" w:rsidR="00C47680" w:rsidRPr="00420640" w:rsidRDefault="00C47680" w:rsidP="00DB0638">
            <w:pPr>
              <w:rPr>
                <w:rFonts w:cstheme="minorHAnsi"/>
                <w:i/>
                <w:iCs/>
                <w:color w:val="E38526"/>
              </w:rPr>
            </w:pPr>
            <w:r w:rsidRPr="00420640">
              <w:rPr>
                <w:rFonts w:eastAsiaTheme="minorEastAsia" w:cstheme="minorHAnsi"/>
                <w:i/>
                <w:iCs/>
                <w:color w:val="00040C"/>
                <w:kern w:val="24"/>
              </w:rPr>
              <w:t>Olga Lopez, Family Engagement Specialist</w:t>
            </w:r>
          </w:p>
          <w:p w14:paraId="7793B741" w14:textId="77777777" w:rsidR="00C47680" w:rsidRPr="00A51F03" w:rsidRDefault="00C47680" w:rsidP="00DB0638">
            <w:pPr>
              <w:ind w:left="720"/>
              <w:rPr>
                <w:rFonts w:eastAsiaTheme="minorEastAsia" w:cstheme="minorHAnsi"/>
                <w:color w:val="00040C"/>
                <w:kern w:val="24"/>
              </w:rPr>
            </w:pPr>
          </w:p>
        </w:tc>
      </w:tr>
    </w:tbl>
    <w:p w14:paraId="2441A3C8" w14:textId="77777777" w:rsidR="00DB0638" w:rsidRDefault="00DB0638"/>
    <w:sectPr w:rsidR="00DB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B4076" w14:textId="77777777" w:rsidR="001D69A1" w:rsidRDefault="001D69A1" w:rsidP="00A51F03">
      <w:r>
        <w:separator/>
      </w:r>
    </w:p>
  </w:endnote>
  <w:endnote w:type="continuationSeparator" w:id="0">
    <w:p w14:paraId="483FAB2F" w14:textId="77777777" w:rsidR="001D69A1" w:rsidRDefault="001D69A1" w:rsidP="00A5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C179A" w14:textId="77777777" w:rsidR="001D69A1" w:rsidRDefault="001D69A1" w:rsidP="00A51F03">
      <w:r>
        <w:separator/>
      </w:r>
    </w:p>
  </w:footnote>
  <w:footnote w:type="continuationSeparator" w:id="0">
    <w:p w14:paraId="2A2120EA" w14:textId="77777777" w:rsidR="001D69A1" w:rsidRDefault="001D69A1" w:rsidP="00A5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EE3FA0"/>
    <w:multiLevelType w:val="hybridMultilevel"/>
    <w:tmpl w:val="523C24A2"/>
    <w:lvl w:ilvl="0" w:tplc="A3D6B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E1A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A28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A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E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6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8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89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4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03"/>
    <w:rsid w:val="00136BDE"/>
    <w:rsid w:val="00176434"/>
    <w:rsid w:val="001D69A1"/>
    <w:rsid w:val="00253031"/>
    <w:rsid w:val="00345BF7"/>
    <w:rsid w:val="0035398B"/>
    <w:rsid w:val="003B459D"/>
    <w:rsid w:val="00420640"/>
    <w:rsid w:val="004528B4"/>
    <w:rsid w:val="004A6C45"/>
    <w:rsid w:val="005A1BB7"/>
    <w:rsid w:val="00645252"/>
    <w:rsid w:val="006D3D74"/>
    <w:rsid w:val="007846EF"/>
    <w:rsid w:val="007C5732"/>
    <w:rsid w:val="007F1331"/>
    <w:rsid w:val="0083569A"/>
    <w:rsid w:val="008A0C9B"/>
    <w:rsid w:val="008A265D"/>
    <w:rsid w:val="00963D4C"/>
    <w:rsid w:val="00A51F03"/>
    <w:rsid w:val="00A9204E"/>
    <w:rsid w:val="00A97B1F"/>
    <w:rsid w:val="00B05729"/>
    <w:rsid w:val="00B537A6"/>
    <w:rsid w:val="00BC1F5B"/>
    <w:rsid w:val="00C47680"/>
    <w:rsid w:val="00CA0390"/>
    <w:rsid w:val="00CC0657"/>
    <w:rsid w:val="00CD6AA9"/>
    <w:rsid w:val="00D6029A"/>
    <w:rsid w:val="00DA41D7"/>
    <w:rsid w:val="00DB0638"/>
    <w:rsid w:val="00DC4DE3"/>
    <w:rsid w:val="00DE5895"/>
    <w:rsid w:val="00F60CD4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28FBB"/>
  <w15:chartTrackingRefBased/>
  <w15:docId w15:val="{B7C48202-825C-42D2-8335-57D86BA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A51F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v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DESE-231-69119</_dlc_DocId>
    <_dlc_DocIdUrl xmlns="733efe1c-5bbe-4968-87dc-d400e65c879f">
      <Url>https://sharepoint.doemass.org/ese/webteam/cps/_layouts/DocIdRedir.aspx?ID=DESE-231-69119</Url>
      <Description>DESE-231-69119</Description>
    </_dlc_DocIdUrl>
  </documentManagement>
</p:properties>
</file>

<file path=customXml/itemProps1.xml><?xml version="1.0" encoding="utf-8"?>
<ds:datastoreItem xmlns:ds="http://schemas.openxmlformats.org/officeDocument/2006/customXml" ds:itemID="{CA7672BC-3791-4BB3-BE6A-AE58E34B7E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DE797C-9407-486A-935B-2B8B8C17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F11EA-B6A1-4C16-9D4C-D872A990F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 Agenda: Parents Rights and Opportunities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ELPAC Leadership Convening — Day 1 Agenda: Parents Rights and Opportunities</dc:title>
  <dc:subject/>
  <dc:creator>DESE</dc:creator>
  <cp:keywords/>
  <dc:description/>
  <cp:lastModifiedBy>Zou, Dong (EOE)</cp:lastModifiedBy>
  <cp:revision>8</cp:revision>
  <dcterms:created xsi:type="dcterms:W3CDTF">2021-03-18T15:08:00Z</dcterms:created>
  <dcterms:modified xsi:type="dcterms:W3CDTF">2021-03-18T17:50:00Z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2021</vt:lpwstr>
  </property>
</Properties>
</file>