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115FB" w14:textId="02F0C9C1" w:rsidR="00EC1E75" w:rsidRPr="0079539E" w:rsidRDefault="00EC1E75" w:rsidP="00E65710">
      <w:pPr>
        <w:pStyle w:val="Heading1"/>
        <w:spacing w:before="0" w:line="240" w:lineRule="auto"/>
        <w:ind w:left="900" w:right="150"/>
        <w:rPr>
          <w:b/>
          <w:color w:val="A10067"/>
        </w:rPr>
      </w:pPr>
      <w:bookmarkStart w:id="0" w:name="_Hlk536775907"/>
      <w:r w:rsidRPr="0079539E">
        <w:rPr>
          <w:b/>
          <w:color w:val="A10067"/>
        </w:rPr>
        <w:t>Spotlight on Collaboration and Co-Teaching</w:t>
      </w:r>
    </w:p>
    <w:p w14:paraId="72FEE0CA" w14:textId="3702A7E9" w:rsidR="00EC1E75" w:rsidRDefault="00EC1E75" w:rsidP="00E65710">
      <w:pPr>
        <w:pStyle w:val="Heading1"/>
        <w:spacing w:before="0" w:line="240" w:lineRule="auto"/>
        <w:ind w:left="900" w:right="150"/>
        <w:rPr>
          <w:color w:val="A10067"/>
        </w:rPr>
      </w:pPr>
    </w:p>
    <w:p w14:paraId="2B2A096D" w14:textId="16524AA1" w:rsidR="00772430" w:rsidRPr="00802080" w:rsidRDefault="00E65710" w:rsidP="00E65710">
      <w:pPr>
        <w:pStyle w:val="Heading1"/>
        <w:spacing w:before="0" w:line="240" w:lineRule="auto"/>
        <w:ind w:left="900" w:right="150"/>
        <w:rPr>
          <w:color w:val="A10067"/>
          <w:sz w:val="36"/>
          <w:szCs w:val="36"/>
        </w:rPr>
      </w:pPr>
      <w:r w:rsidRPr="00802080">
        <w:rPr>
          <w:color w:val="A10067"/>
          <w:sz w:val="36"/>
          <w:szCs w:val="36"/>
        </w:rPr>
        <w:t>1:</w:t>
      </w:r>
      <w:r w:rsidRPr="00802080">
        <w:rPr>
          <w:color w:val="A10067"/>
          <w:sz w:val="36"/>
          <w:szCs w:val="36"/>
        </w:rPr>
        <w:tab/>
        <w:t>Using the Collaboration Tool Designed for Massachusetts Teachers of E</w:t>
      </w:r>
      <w:r w:rsidR="006C0688">
        <w:rPr>
          <w:color w:val="A10067"/>
          <w:sz w:val="36"/>
          <w:szCs w:val="36"/>
        </w:rPr>
        <w:t>L</w:t>
      </w:r>
      <w:r w:rsidRPr="00802080">
        <w:rPr>
          <w:color w:val="A10067"/>
          <w:sz w:val="36"/>
          <w:szCs w:val="36"/>
        </w:rPr>
        <w:t>s</w:t>
      </w:r>
    </w:p>
    <w:p w14:paraId="385EE482" w14:textId="1DB471BD" w:rsidR="00E92A5C" w:rsidRDefault="00772430" w:rsidP="00E65710">
      <w:pPr>
        <w:spacing w:after="240" w:line="240" w:lineRule="auto"/>
        <w:ind w:left="900" w:right="690"/>
        <w:rPr>
          <w:rFonts w:eastAsia="Times New Roman"/>
          <w:color w:val="000000"/>
        </w:rPr>
      </w:pPr>
      <w:r>
        <w:rPr>
          <w:noProof/>
        </w:rPr>
        <w:drawing>
          <wp:inline distT="0" distB="0" distL="0" distR="0" wp14:anchorId="2E7C2BDD" wp14:editId="67D8DC3A">
            <wp:extent cx="3768090" cy="45085"/>
            <wp:effectExtent l="0" t="0" r="0" b="0"/>
            <wp:docPr id="14" name="Picture 14" descr="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8090" cy="45085"/>
                    </a:xfrm>
                    <a:prstGeom prst="rect">
                      <a:avLst/>
                    </a:prstGeom>
                    <a:noFill/>
                  </pic:spPr>
                </pic:pic>
              </a:graphicData>
            </a:graphic>
          </wp:inline>
        </w:drawing>
      </w:r>
    </w:p>
    <w:p w14:paraId="40D50E56" w14:textId="77777777" w:rsidR="00E65710" w:rsidRPr="00474C6C" w:rsidRDefault="00E65710" w:rsidP="00E65710">
      <w:pPr>
        <w:pStyle w:val="ListParagraph"/>
        <w:spacing w:line="240" w:lineRule="auto"/>
        <w:ind w:left="900" w:right="1050" w:firstLine="0"/>
        <w:rPr>
          <w:b/>
          <w:color w:val="A10067"/>
          <w:sz w:val="20"/>
          <w:szCs w:val="20"/>
        </w:rPr>
      </w:pPr>
    </w:p>
    <w:p w14:paraId="23356AE0" w14:textId="2598B0AB" w:rsidR="00E65710" w:rsidRPr="009B1198" w:rsidRDefault="00E65710" w:rsidP="00474C6C">
      <w:pPr>
        <w:ind w:left="900" w:right="330"/>
        <w:rPr>
          <w:rFonts w:asciiTheme="minorHAnsi" w:hAnsiTheme="minorHAnsi" w:cstheme="minorHAnsi"/>
          <w:color w:val="222222"/>
        </w:rPr>
      </w:pPr>
      <w:r w:rsidRPr="009B1198">
        <w:rPr>
          <w:rFonts w:asciiTheme="minorHAnsi" w:hAnsiTheme="minorHAnsi" w:cstheme="minorHAnsi"/>
          <w:color w:val="000000"/>
          <w:shd w:val="clear" w:color="auto" w:fill="FFFFFF"/>
        </w:rPr>
        <w:t xml:space="preserve">The </w:t>
      </w:r>
      <w:hyperlink r:id="rId13" w:history="1">
        <w:r w:rsidRPr="009B1198">
          <w:rPr>
            <w:rStyle w:val="Hyperlink"/>
            <w:rFonts w:asciiTheme="minorHAnsi" w:hAnsiTheme="minorHAnsi" w:cstheme="minorHAnsi"/>
            <w:b/>
            <w:bCs/>
          </w:rPr>
          <w:t>Collaboration Tool</w:t>
        </w:r>
      </w:hyperlink>
      <w:r w:rsidRPr="009B1198">
        <w:rPr>
          <w:rFonts w:asciiTheme="minorHAnsi" w:hAnsiTheme="minorHAnsi" w:cstheme="minorHAnsi"/>
          <w:b/>
          <w:bCs/>
        </w:rPr>
        <w:t xml:space="preserve"> </w:t>
      </w:r>
      <w:r w:rsidRPr="009B1198">
        <w:rPr>
          <w:rFonts w:asciiTheme="minorHAnsi" w:hAnsiTheme="minorHAnsi" w:cstheme="minorHAnsi"/>
          <w:color w:val="000000"/>
          <w:shd w:val="clear" w:color="auto" w:fill="FFFFFF"/>
        </w:rPr>
        <w:t xml:space="preserve">is a multi-layered, multi-purpose tool designed to help curriculum writers operationalize </w:t>
      </w:r>
      <w:hyperlink r:id="rId14" w:history="1">
        <w:r w:rsidRPr="00593007">
          <w:rPr>
            <w:rStyle w:val="Hyperlink"/>
            <w:rFonts w:asciiTheme="minorHAnsi" w:hAnsiTheme="minorHAnsi" w:cstheme="minorHAnsi"/>
            <w:shd w:val="clear" w:color="auto" w:fill="FFFFFF"/>
          </w:rPr>
          <w:t>WIDA Standards</w:t>
        </w:r>
      </w:hyperlink>
      <w:r w:rsidRPr="009B1198">
        <w:rPr>
          <w:rFonts w:asciiTheme="minorHAnsi" w:hAnsiTheme="minorHAnsi" w:cstheme="minorHAnsi"/>
          <w:color w:val="000000"/>
          <w:shd w:val="clear" w:color="auto" w:fill="FFFFFF"/>
        </w:rPr>
        <w:t xml:space="preserve"> in conjunction with the Massachusetts Curriculum </w:t>
      </w:r>
      <w:hyperlink r:id="rId15" w:history="1">
        <w:r w:rsidRPr="009B1198">
          <w:rPr>
            <w:rStyle w:val="Hyperlink"/>
            <w:rFonts w:asciiTheme="minorHAnsi" w:hAnsiTheme="minorHAnsi" w:cstheme="minorHAnsi"/>
            <w:shd w:val="clear" w:color="auto" w:fill="FFFFFF"/>
          </w:rPr>
          <w:t>Frameworks</w:t>
        </w:r>
      </w:hyperlink>
      <w:r w:rsidRPr="009B1198">
        <w:rPr>
          <w:rFonts w:asciiTheme="minorHAnsi" w:hAnsiTheme="minorHAnsi" w:cstheme="minorHAnsi"/>
          <w:color w:val="000000"/>
          <w:shd w:val="clear" w:color="auto" w:fill="FFFFFF"/>
        </w:rPr>
        <w:t xml:space="preserve">. The goal of the Collaboration Tool is to support curricular planning with the intentional, simultaneous development of language and the analytical practices embedded in the Frameworks. It highlights the need for collaboration between language and content educators and helps teachers prioritize and strategically plan around key uses of academic language in the context of key academic practices common across content area Frameworks. The Collaboration Tool and related processes are planning resources that, among other uses, can help educators prepare to create clear, standards-based language learning goals for developing curricula using the ESL unit template. </w:t>
      </w:r>
      <w:r w:rsidRPr="009B1198">
        <w:rPr>
          <w:rFonts w:asciiTheme="minorHAnsi" w:hAnsiTheme="minorHAnsi" w:cstheme="minorHAnsi"/>
        </w:rPr>
        <w:t xml:space="preserve">For more information, please visit the </w:t>
      </w:r>
      <w:hyperlink r:id="rId16" w:tgtFrame="_blank" w:history="1">
        <w:r w:rsidRPr="009B1198">
          <w:rPr>
            <w:rStyle w:val="Hyperlink"/>
            <w:rFonts w:asciiTheme="minorHAnsi" w:hAnsiTheme="minorHAnsi" w:cstheme="minorHAnsi"/>
          </w:rPr>
          <w:t>Massachusetts Next Generation ESL: Project page</w:t>
        </w:r>
      </w:hyperlink>
      <w:r w:rsidRPr="009B1198">
        <w:rPr>
          <w:rFonts w:asciiTheme="minorHAnsi" w:hAnsiTheme="minorHAnsi" w:cstheme="minorHAnsi"/>
        </w:rPr>
        <w:t xml:space="preserve">. </w:t>
      </w:r>
    </w:p>
    <w:p w14:paraId="5351D04A" w14:textId="77777777" w:rsidR="00E65710" w:rsidRPr="009B1198" w:rsidRDefault="00E65710" w:rsidP="00474C6C">
      <w:pPr>
        <w:ind w:left="900" w:right="330"/>
        <w:rPr>
          <w:rFonts w:asciiTheme="minorHAnsi" w:hAnsiTheme="minorHAnsi" w:cstheme="minorHAnsi"/>
        </w:rPr>
      </w:pPr>
    </w:p>
    <w:p w14:paraId="04B09A93" w14:textId="77777777" w:rsidR="00E65710" w:rsidRPr="009B1198" w:rsidRDefault="00E65710" w:rsidP="00474C6C">
      <w:pPr>
        <w:ind w:left="900" w:right="330"/>
        <w:rPr>
          <w:rFonts w:asciiTheme="minorHAnsi" w:hAnsiTheme="minorHAnsi" w:cstheme="minorHAnsi"/>
        </w:rPr>
      </w:pPr>
      <w:r w:rsidRPr="009B1198">
        <w:rPr>
          <w:rFonts w:asciiTheme="minorHAnsi" w:hAnsiTheme="minorHAnsi" w:cstheme="minorHAnsi"/>
        </w:rPr>
        <w:t xml:space="preserve">The </w:t>
      </w:r>
      <w:hyperlink r:id="rId17" w:history="1">
        <w:r w:rsidRPr="009B1198">
          <w:rPr>
            <w:rStyle w:val="Hyperlink"/>
            <w:rFonts w:asciiTheme="minorHAnsi" w:hAnsiTheme="minorHAnsi" w:cstheme="minorHAnsi"/>
          </w:rPr>
          <w:t>Interactive Guide</w:t>
        </w:r>
      </w:hyperlink>
      <w:r w:rsidRPr="009B1198">
        <w:rPr>
          <w:rFonts w:asciiTheme="minorHAnsi" w:hAnsiTheme="minorHAnsi" w:cstheme="minorHAnsi"/>
        </w:rPr>
        <w:t xml:space="preserve"> to the Collaboration Tool will walk you through how the Collaboration Tool can be used in curriculum development, starting with Focus Language Goals.</w:t>
      </w:r>
    </w:p>
    <w:p w14:paraId="0626BE44" w14:textId="77777777" w:rsidR="00E65710" w:rsidRPr="009B1198" w:rsidRDefault="00E65710" w:rsidP="00474C6C">
      <w:pPr>
        <w:ind w:left="900" w:right="330"/>
        <w:rPr>
          <w:rFonts w:asciiTheme="minorHAnsi" w:hAnsiTheme="minorHAnsi" w:cstheme="minorHAnsi"/>
        </w:rPr>
      </w:pPr>
    </w:p>
    <w:p w14:paraId="5BD926FF" w14:textId="5435BAAC" w:rsidR="00E65710" w:rsidRPr="009B1198" w:rsidRDefault="00E65710" w:rsidP="00815F12">
      <w:pPr>
        <w:ind w:left="900" w:right="330"/>
        <w:rPr>
          <w:rFonts w:asciiTheme="minorHAnsi" w:hAnsiTheme="minorHAnsi" w:cstheme="minorHAnsi"/>
          <w:b/>
          <w:i/>
        </w:rPr>
      </w:pPr>
      <w:bookmarkStart w:id="1" w:name="_GoBack"/>
      <w:r w:rsidRPr="009B1198">
        <w:rPr>
          <w:rFonts w:asciiTheme="minorHAnsi" w:hAnsiTheme="minorHAnsi" w:cstheme="minorHAnsi"/>
          <w:noProof/>
        </w:rPr>
        <w:drawing>
          <wp:anchor distT="0" distB="0" distL="114300" distR="114300" simplePos="0" relativeHeight="251659264" behindDoc="1" locked="1" layoutInCell="1" allowOverlap="1" wp14:anchorId="5BA49706" wp14:editId="5A44C605">
            <wp:simplePos x="0" y="0"/>
            <wp:positionH relativeFrom="column">
              <wp:posOffset>619125</wp:posOffset>
            </wp:positionH>
            <wp:positionV relativeFrom="paragraph">
              <wp:posOffset>54610</wp:posOffset>
            </wp:positionV>
            <wp:extent cx="1636395" cy="840740"/>
            <wp:effectExtent l="0" t="0" r="1905" b="0"/>
            <wp:wrapTight wrapText="bothSides">
              <wp:wrapPolygon edited="0">
                <wp:start x="0" y="0"/>
                <wp:lineTo x="0" y="21045"/>
                <wp:lineTo x="21374" y="21045"/>
                <wp:lineTo x="21374" y="0"/>
                <wp:lineTo x="0" y="0"/>
              </wp:wrapPolygon>
            </wp:wrapTight>
            <wp:docPr id="2" name="Picture 2" descr="Video still, two children at a whiteboar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6395" cy="840740"/>
                    </a:xfrm>
                    <a:prstGeom prst="rect">
                      <a:avLst/>
                    </a:prstGeom>
                  </pic:spPr>
                </pic:pic>
              </a:graphicData>
            </a:graphic>
            <wp14:sizeRelH relativeFrom="margin">
              <wp14:pctWidth>0</wp14:pctWidth>
            </wp14:sizeRelH>
            <wp14:sizeRelV relativeFrom="margin">
              <wp14:pctHeight>0</wp14:pctHeight>
            </wp14:sizeRelV>
          </wp:anchor>
        </w:drawing>
      </w:r>
      <w:bookmarkEnd w:id="1"/>
    </w:p>
    <w:p w14:paraId="2E3CBC4D" w14:textId="77777777" w:rsidR="00964EBC" w:rsidRDefault="00E65710" w:rsidP="00D9074A">
      <w:pPr>
        <w:ind w:right="330"/>
        <w:rPr>
          <w:rFonts w:asciiTheme="minorHAnsi" w:hAnsiTheme="minorHAnsi" w:cstheme="minorHAnsi"/>
        </w:rPr>
      </w:pPr>
      <w:r w:rsidRPr="009B1198">
        <w:rPr>
          <w:rFonts w:asciiTheme="minorHAnsi" w:hAnsiTheme="minorHAnsi" w:cstheme="minorHAnsi"/>
          <w:b/>
          <w:i/>
        </w:rPr>
        <w:t xml:space="preserve">See It in Practice: </w:t>
      </w:r>
      <w:r w:rsidRPr="009B1198">
        <w:rPr>
          <w:rFonts w:asciiTheme="minorHAnsi" w:hAnsiTheme="minorHAnsi" w:cstheme="minorHAnsi"/>
        </w:rPr>
        <w:t xml:space="preserve">This </w:t>
      </w:r>
      <w:hyperlink r:id="rId20" w:history="1">
        <w:r w:rsidRPr="009B1198">
          <w:rPr>
            <w:rStyle w:val="Hyperlink"/>
            <w:rFonts w:asciiTheme="minorHAnsi" w:hAnsiTheme="minorHAnsi" w:cstheme="minorHAnsi"/>
          </w:rPr>
          <w:t>video</w:t>
        </w:r>
      </w:hyperlink>
      <w:r w:rsidRPr="009B1198">
        <w:rPr>
          <w:rFonts w:asciiTheme="minorHAnsi" w:hAnsiTheme="minorHAnsi" w:cstheme="minorHAnsi"/>
        </w:rPr>
        <w:t xml:space="preserve"> features educators in Burlington showing collaboration and co-teaching in action in an elementary classroom. Educators used the Collaboration Tool to support this work.</w:t>
      </w:r>
      <w:bookmarkStart w:id="2" w:name="_Hlk536776016"/>
      <w:bookmarkEnd w:id="0"/>
    </w:p>
    <w:p w14:paraId="6073A09E" w14:textId="19B42002" w:rsidR="00D9074A" w:rsidRDefault="00E65710" w:rsidP="00D9074A">
      <w:pPr>
        <w:ind w:right="330"/>
        <w:rPr>
          <w:color w:val="A10067"/>
          <w:sz w:val="36"/>
          <w:szCs w:val="36"/>
        </w:rPr>
      </w:pPr>
      <w:r w:rsidRPr="004E0FE2">
        <w:rPr>
          <w:color w:val="A10067"/>
          <w:sz w:val="36"/>
          <w:szCs w:val="36"/>
        </w:rPr>
        <w:tab/>
      </w:r>
    </w:p>
    <w:p w14:paraId="5D3C0A96" w14:textId="77777777" w:rsidR="00D9074A" w:rsidRDefault="00D9074A" w:rsidP="00D9074A">
      <w:pPr>
        <w:ind w:right="330"/>
        <w:rPr>
          <w:color w:val="A10067"/>
          <w:sz w:val="36"/>
          <w:szCs w:val="36"/>
        </w:rPr>
      </w:pPr>
    </w:p>
    <w:p w14:paraId="35DE0AAB" w14:textId="77777777" w:rsidR="00D9074A" w:rsidRDefault="00D9074A" w:rsidP="00D9074A">
      <w:pPr>
        <w:ind w:right="330"/>
        <w:rPr>
          <w:color w:val="A10067"/>
          <w:sz w:val="36"/>
          <w:szCs w:val="36"/>
        </w:rPr>
      </w:pPr>
    </w:p>
    <w:p w14:paraId="5BF38862" w14:textId="77777777" w:rsidR="00D9074A" w:rsidRDefault="00D9074A" w:rsidP="00D9074A">
      <w:pPr>
        <w:ind w:right="330"/>
        <w:rPr>
          <w:color w:val="A10067"/>
          <w:sz w:val="36"/>
          <w:szCs w:val="36"/>
        </w:rPr>
      </w:pPr>
    </w:p>
    <w:p w14:paraId="036AE730" w14:textId="05ABEC77" w:rsidR="00815F12" w:rsidRDefault="00815F12">
      <w:pPr>
        <w:rPr>
          <w:color w:val="A10067"/>
          <w:sz w:val="36"/>
          <w:szCs w:val="36"/>
        </w:rPr>
      </w:pPr>
      <w:r>
        <w:rPr>
          <w:color w:val="A10067"/>
          <w:sz w:val="36"/>
          <w:szCs w:val="36"/>
        </w:rPr>
        <w:br w:type="page"/>
      </w:r>
    </w:p>
    <w:p w14:paraId="2F9B41C9" w14:textId="08703B14" w:rsidR="00815F12" w:rsidRDefault="00815F12">
      <w:pPr>
        <w:rPr>
          <w:color w:val="A10067"/>
          <w:sz w:val="36"/>
          <w:szCs w:val="36"/>
        </w:rPr>
      </w:pPr>
      <w:r>
        <w:rPr>
          <w:color w:val="A10067"/>
          <w:sz w:val="36"/>
          <w:szCs w:val="36"/>
        </w:rPr>
        <w:lastRenderedPageBreak/>
        <w:br w:type="page"/>
      </w:r>
    </w:p>
    <w:p w14:paraId="751C99F2" w14:textId="6069743E" w:rsidR="00E65710" w:rsidRPr="004E0FE2" w:rsidRDefault="00D9074A" w:rsidP="00D9074A">
      <w:pPr>
        <w:ind w:left="900" w:right="330"/>
        <w:rPr>
          <w:color w:val="A10067"/>
          <w:sz w:val="36"/>
          <w:szCs w:val="36"/>
        </w:rPr>
      </w:pPr>
      <w:r>
        <w:rPr>
          <w:color w:val="A10067"/>
          <w:sz w:val="36"/>
          <w:szCs w:val="36"/>
        </w:rPr>
        <w:lastRenderedPageBreak/>
        <w:t>2:</w:t>
      </w:r>
      <w:r>
        <w:rPr>
          <w:color w:val="A10067"/>
          <w:sz w:val="36"/>
          <w:szCs w:val="36"/>
        </w:rPr>
        <w:tab/>
      </w:r>
      <w:r w:rsidR="00E65710" w:rsidRPr="004E0FE2">
        <w:rPr>
          <w:color w:val="A10067"/>
          <w:sz w:val="36"/>
          <w:szCs w:val="36"/>
        </w:rPr>
        <w:t>Strategies for Collaboration and Co-Teaching</w:t>
      </w:r>
    </w:p>
    <w:p w14:paraId="654ABDB1" w14:textId="77777777" w:rsidR="00E65710" w:rsidRDefault="00E65710" w:rsidP="00E65710">
      <w:pPr>
        <w:spacing w:after="240" w:line="240" w:lineRule="auto"/>
        <w:ind w:left="900" w:right="690"/>
        <w:rPr>
          <w:rFonts w:eastAsia="Times New Roman"/>
          <w:color w:val="000000"/>
        </w:rPr>
      </w:pPr>
      <w:r>
        <w:rPr>
          <w:noProof/>
          <w:color w:val="A10067"/>
          <w:sz w:val="24"/>
          <w:szCs w:val="24"/>
        </w:rPr>
        <w:drawing>
          <wp:inline distT="0" distB="0" distL="0" distR="0" wp14:anchorId="7F5C14FA" wp14:editId="01E4D872">
            <wp:extent cx="3035935" cy="36830"/>
            <wp:effectExtent l="0" t="0" r="0" b="1270"/>
            <wp:docPr id="5" name="Picture 5"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935" cy="36830"/>
                    </a:xfrm>
                    <a:prstGeom prst="rect">
                      <a:avLst/>
                    </a:prstGeom>
                    <a:noFill/>
                  </pic:spPr>
                </pic:pic>
              </a:graphicData>
            </a:graphic>
          </wp:inline>
        </w:drawing>
      </w:r>
    </w:p>
    <w:p w14:paraId="04F108CC" w14:textId="0A1722C9" w:rsidR="00E65710" w:rsidRPr="00474C6C" w:rsidRDefault="00E65710" w:rsidP="007D4399">
      <w:pPr>
        <w:spacing w:before="120" w:line="240" w:lineRule="auto"/>
        <w:ind w:left="1440" w:right="0" w:hanging="540"/>
        <w:jc w:val="left"/>
        <w:rPr>
          <w:color w:val="000000"/>
          <w:sz w:val="20"/>
          <w:szCs w:val="20"/>
        </w:rPr>
      </w:pPr>
    </w:p>
    <w:p w14:paraId="356F9EB4" w14:textId="787B3DCF" w:rsidR="00712ECD" w:rsidRPr="009B1198" w:rsidRDefault="00712ECD" w:rsidP="004B1BBA">
      <w:pPr>
        <w:spacing w:after="240"/>
        <w:ind w:left="900" w:right="330"/>
        <w:rPr>
          <w:rFonts w:asciiTheme="minorHAnsi" w:hAnsiTheme="minorHAnsi" w:cstheme="minorHAnsi"/>
        </w:rPr>
      </w:pPr>
      <w:r w:rsidRPr="009B1198">
        <w:rPr>
          <w:rFonts w:asciiTheme="minorHAnsi" w:hAnsiTheme="minorHAnsi" w:cstheme="minorHAnsi"/>
        </w:rPr>
        <w:t xml:space="preserve">Andrea </w:t>
      </w:r>
      <w:proofErr w:type="spellStart"/>
      <w:r w:rsidRPr="009B1198">
        <w:rPr>
          <w:rFonts w:asciiTheme="minorHAnsi" w:hAnsiTheme="minorHAnsi" w:cstheme="minorHAnsi"/>
        </w:rPr>
        <w:t>Honigsfeld</w:t>
      </w:r>
      <w:proofErr w:type="spellEnd"/>
      <w:r w:rsidRPr="009B1198">
        <w:rPr>
          <w:rFonts w:asciiTheme="minorHAnsi" w:hAnsiTheme="minorHAnsi" w:cstheme="minorHAnsi"/>
        </w:rPr>
        <w:t xml:space="preserve"> and Maria Dove’s website </w:t>
      </w:r>
      <w:hyperlink r:id="rId21" w:history="1">
        <w:r w:rsidRPr="009B1198">
          <w:rPr>
            <w:rStyle w:val="Hyperlink"/>
            <w:rFonts w:asciiTheme="minorHAnsi" w:hAnsiTheme="minorHAnsi" w:cstheme="minorHAnsi"/>
          </w:rPr>
          <w:t>Collaboration and Co-Teaching: Strategies for English Learners</w:t>
        </w:r>
      </w:hyperlink>
      <w:r w:rsidRPr="009B1198">
        <w:rPr>
          <w:rFonts w:asciiTheme="minorHAnsi" w:hAnsiTheme="minorHAnsi" w:cstheme="minorHAnsi"/>
        </w:rPr>
        <w:t xml:space="preserve"> compiles resources around instructional collaborative activities and co-teaching models. The website contains short downloadable articles, videos, and a blog. A sampling of additional resources</w:t>
      </w:r>
      <w:r>
        <w:rPr>
          <w:rFonts w:asciiTheme="minorHAnsi" w:hAnsiTheme="minorHAnsi" w:cstheme="minorHAnsi"/>
        </w:rPr>
        <w:t xml:space="preserve"> </w:t>
      </w:r>
      <w:proofErr w:type="gramStart"/>
      <w:r w:rsidRPr="009B1198">
        <w:rPr>
          <w:rFonts w:asciiTheme="minorHAnsi" w:hAnsiTheme="minorHAnsi" w:cstheme="minorHAnsi"/>
        </w:rPr>
        <w:t>include</w:t>
      </w:r>
      <w:proofErr w:type="gramEnd"/>
      <w:r w:rsidRPr="009B1198">
        <w:rPr>
          <w:rFonts w:asciiTheme="minorHAnsi" w:hAnsiTheme="minorHAnsi" w:cstheme="minorHAnsi"/>
        </w:rPr>
        <w:t>:</w:t>
      </w:r>
    </w:p>
    <w:p w14:paraId="349E277A" w14:textId="6532E786" w:rsidR="00E65710" w:rsidRPr="003C2C24" w:rsidRDefault="00712ECD" w:rsidP="00D9074A">
      <w:pPr>
        <w:spacing w:before="120" w:line="240" w:lineRule="auto"/>
        <w:ind w:left="1260" w:right="0" w:hanging="180"/>
        <w:jc w:val="left"/>
        <w:rPr>
          <w:b/>
          <w:i/>
          <w:color w:val="000000"/>
        </w:rPr>
      </w:pPr>
      <w:r w:rsidRPr="003C2C24">
        <w:rPr>
          <w:b/>
          <w:i/>
          <w:color w:val="000000"/>
        </w:rPr>
        <w:t>Key Collaborative Practices</w:t>
      </w:r>
    </w:p>
    <w:tbl>
      <w:tblPr>
        <w:tblStyle w:val="TableGrid"/>
        <w:tblW w:w="9815"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4145"/>
        <w:gridCol w:w="5670"/>
      </w:tblGrid>
      <w:tr w:rsidR="003C2C24" w:rsidRPr="00712ECD" w14:paraId="619EC076" w14:textId="77777777" w:rsidTr="00AF29BC">
        <w:trPr>
          <w:tblHeader/>
        </w:trPr>
        <w:tc>
          <w:tcPr>
            <w:tcW w:w="4145" w:type="dxa"/>
          </w:tcPr>
          <w:p w14:paraId="3494EABD" w14:textId="6E5A0318" w:rsidR="003C2C24" w:rsidRPr="00712ECD" w:rsidRDefault="003C2C24" w:rsidP="00412A83">
            <w:pPr>
              <w:pStyle w:val="ListParagraph"/>
              <w:numPr>
                <w:ilvl w:val="0"/>
                <w:numId w:val="2"/>
              </w:numPr>
              <w:spacing w:line="240" w:lineRule="auto"/>
              <w:ind w:left="345" w:firstLine="0"/>
              <w:rPr>
                <w:color w:val="000000"/>
              </w:rPr>
            </w:pPr>
            <w:r w:rsidRPr="00712ECD">
              <w:rPr>
                <w:color w:val="000000"/>
              </w:rPr>
              <w:t>Joint Planning</w:t>
            </w:r>
          </w:p>
        </w:tc>
        <w:tc>
          <w:tcPr>
            <w:tcW w:w="5670" w:type="dxa"/>
          </w:tcPr>
          <w:p w14:paraId="4FFE15FF" w14:textId="3DBAC5E7" w:rsidR="003C2C24" w:rsidRPr="00712ECD" w:rsidRDefault="003C2C24" w:rsidP="00412A83">
            <w:pPr>
              <w:pStyle w:val="ListParagraph"/>
              <w:numPr>
                <w:ilvl w:val="0"/>
                <w:numId w:val="2"/>
              </w:numPr>
              <w:spacing w:line="240" w:lineRule="auto"/>
              <w:ind w:left="705" w:right="616"/>
              <w:jc w:val="left"/>
              <w:rPr>
                <w:color w:val="000000"/>
              </w:rPr>
            </w:pPr>
            <w:r>
              <w:rPr>
                <w:color w:val="000000"/>
              </w:rPr>
              <w:t>Co-developing instructional materials</w:t>
            </w:r>
          </w:p>
        </w:tc>
      </w:tr>
      <w:tr w:rsidR="003C2C24" w:rsidRPr="00712ECD" w14:paraId="0227FFA9" w14:textId="77777777" w:rsidTr="00AF29BC">
        <w:trPr>
          <w:tblHeader/>
        </w:trPr>
        <w:tc>
          <w:tcPr>
            <w:tcW w:w="4145" w:type="dxa"/>
          </w:tcPr>
          <w:p w14:paraId="2175CF53" w14:textId="182C6C85" w:rsidR="003C2C24" w:rsidRPr="00712ECD" w:rsidRDefault="003C2C24" w:rsidP="00412A83">
            <w:pPr>
              <w:pStyle w:val="ListParagraph"/>
              <w:numPr>
                <w:ilvl w:val="0"/>
                <w:numId w:val="2"/>
              </w:numPr>
              <w:spacing w:line="240" w:lineRule="auto"/>
              <w:ind w:left="705" w:right="75"/>
              <w:rPr>
                <w:color w:val="000000"/>
              </w:rPr>
            </w:pPr>
            <w:r>
              <w:rPr>
                <w:color w:val="000000"/>
              </w:rPr>
              <w:t>Curriculum mapping and alignment</w:t>
            </w:r>
          </w:p>
        </w:tc>
        <w:tc>
          <w:tcPr>
            <w:tcW w:w="5670" w:type="dxa"/>
          </w:tcPr>
          <w:p w14:paraId="628E24D6" w14:textId="3D6888E9" w:rsidR="003C2C24" w:rsidRDefault="003C2C24" w:rsidP="00412A83">
            <w:pPr>
              <w:pStyle w:val="ListParagraph"/>
              <w:numPr>
                <w:ilvl w:val="0"/>
                <w:numId w:val="2"/>
              </w:numPr>
              <w:spacing w:line="240" w:lineRule="auto"/>
              <w:ind w:left="705" w:right="960"/>
              <w:jc w:val="left"/>
              <w:rPr>
                <w:color w:val="000000"/>
              </w:rPr>
            </w:pPr>
            <w:r>
              <w:rPr>
                <w:color w:val="000000"/>
              </w:rPr>
              <w:t>Collaborative assessment of student</w:t>
            </w:r>
            <w:r w:rsidR="00F169B6">
              <w:rPr>
                <w:color w:val="000000"/>
              </w:rPr>
              <w:t xml:space="preserve"> </w:t>
            </w:r>
            <w:r>
              <w:rPr>
                <w:color w:val="000000"/>
              </w:rPr>
              <w:t>work</w:t>
            </w:r>
          </w:p>
        </w:tc>
      </w:tr>
      <w:tr w:rsidR="003C2C24" w:rsidRPr="00712ECD" w14:paraId="526EDC63" w14:textId="77777777" w:rsidTr="00AF29BC">
        <w:trPr>
          <w:tblHeader/>
        </w:trPr>
        <w:tc>
          <w:tcPr>
            <w:tcW w:w="4145" w:type="dxa"/>
          </w:tcPr>
          <w:p w14:paraId="028F82FD" w14:textId="050DC362" w:rsidR="003C2C24" w:rsidRPr="00712ECD" w:rsidRDefault="003C2C24" w:rsidP="00412A83">
            <w:pPr>
              <w:pStyle w:val="ListParagraph"/>
              <w:numPr>
                <w:ilvl w:val="0"/>
                <w:numId w:val="2"/>
              </w:numPr>
              <w:spacing w:line="240" w:lineRule="auto"/>
              <w:ind w:left="705"/>
              <w:rPr>
                <w:color w:val="000000"/>
              </w:rPr>
            </w:pPr>
            <w:r>
              <w:rPr>
                <w:color w:val="000000"/>
              </w:rPr>
              <w:t>Parallel teaching</w:t>
            </w:r>
          </w:p>
        </w:tc>
        <w:tc>
          <w:tcPr>
            <w:tcW w:w="5670" w:type="dxa"/>
          </w:tcPr>
          <w:p w14:paraId="71A7EE53" w14:textId="455129ED" w:rsidR="003C2C24" w:rsidRDefault="003C2C24" w:rsidP="00412A83">
            <w:pPr>
              <w:pStyle w:val="ListParagraph"/>
              <w:numPr>
                <w:ilvl w:val="0"/>
                <w:numId w:val="2"/>
              </w:numPr>
              <w:spacing w:line="240" w:lineRule="auto"/>
              <w:ind w:left="705"/>
              <w:jc w:val="left"/>
              <w:rPr>
                <w:color w:val="000000"/>
              </w:rPr>
            </w:pPr>
            <w:r>
              <w:rPr>
                <w:color w:val="000000"/>
              </w:rPr>
              <w:t>Co-teaching</w:t>
            </w:r>
          </w:p>
        </w:tc>
      </w:tr>
    </w:tbl>
    <w:p w14:paraId="54BF368F" w14:textId="77777777" w:rsidR="003C2C24" w:rsidRDefault="003C2C24" w:rsidP="00712ECD">
      <w:pPr>
        <w:ind w:right="150"/>
        <w:rPr>
          <w:color w:val="000000"/>
        </w:rPr>
      </w:pPr>
    </w:p>
    <w:p w14:paraId="0E6D77FA" w14:textId="77777777" w:rsidR="003C2C24" w:rsidRPr="003C2C24" w:rsidRDefault="003C2C24" w:rsidP="00474C6C">
      <w:pPr>
        <w:ind w:left="1080" w:right="150"/>
        <w:rPr>
          <w:b/>
          <w:i/>
          <w:color w:val="000000"/>
        </w:rPr>
      </w:pPr>
      <w:r w:rsidRPr="003C2C24">
        <w:rPr>
          <w:b/>
          <w:i/>
          <w:color w:val="000000"/>
        </w:rPr>
        <w:t>Co-Teaching Models</w:t>
      </w:r>
    </w:p>
    <w:p w14:paraId="4DE9FFD6" w14:textId="77777777" w:rsidR="00EC138C" w:rsidRDefault="003C2C24" w:rsidP="00412A83">
      <w:pPr>
        <w:pStyle w:val="ListParagraph"/>
        <w:numPr>
          <w:ilvl w:val="0"/>
          <w:numId w:val="3"/>
        </w:numPr>
        <w:spacing w:line="240" w:lineRule="auto"/>
        <w:ind w:left="1530" w:right="690"/>
        <w:contextualSpacing/>
        <w:jc w:val="left"/>
        <w:rPr>
          <w:rFonts w:asciiTheme="minorHAnsi" w:hAnsiTheme="minorHAnsi" w:cstheme="minorHAnsi"/>
        </w:rPr>
      </w:pPr>
      <w:r w:rsidRPr="009B1198">
        <w:rPr>
          <w:rFonts w:asciiTheme="minorHAnsi" w:hAnsiTheme="minorHAnsi" w:cstheme="minorHAnsi"/>
        </w:rPr>
        <w:t>One student group: One lead teacher and another teacher teaching on purpose</w:t>
      </w:r>
    </w:p>
    <w:p w14:paraId="586BD1A9" w14:textId="77777777" w:rsidR="00EC138C" w:rsidRDefault="003C2C24" w:rsidP="00412A83">
      <w:pPr>
        <w:pStyle w:val="ListParagraph"/>
        <w:numPr>
          <w:ilvl w:val="0"/>
          <w:numId w:val="3"/>
        </w:numPr>
        <w:spacing w:line="240" w:lineRule="auto"/>
        <w:ind w:left="1530" w:right="690"/>
        <w:contextualSpacing/>
        <w:jc w:val="left"/>
        <w:rPr>
          <w:rFonts w:asciiTheme="minorHAnsi" w:hAnsiTheme="minorHAnsi" w:cstheme="minorHAnsi"/>
        </w:rPr>
      </w:pPr>
      <w:r w:rsidRPr="00EC138C">
        <w:rPr>
          <w:rFonts w:asciiTheme="minorHAnsi" w:hAnsiTheme="minorHAnsi" w:cstheme="minorHAnsi"/>
        </w:rPr>
        <w:t>One student group: Two teachers teach the same content</w:t>
      </w:r>
    </w:p>
    <w:p w14:paraId="172DA5DE" w14:textId="77777777" w:rsidR="00EC138C" w:rsidRDefault="003C2C24" w:rsidP="00412A83">
      <w:pPr>
        <w:pStyle w:val="ListParagraph"/>
        <w:numPr>
          <w:ilvl w:val="0"/>
          <w:numId w:val="3"/>
        </w:numPr>
        <w:spacing w:line="240" w:lineRule="auto"/>
        <w:ind w:left="1530" w:right="690"/>
        <w:contextualSpacing/>
        <w:jc w:val="left"/>
        <w:rPr>
          <w:rFonts w:asciiTheme="minorHAnsi" w:hAnsiTheme="minorHAnsi" w:cstheme="minorHAnsi"/>
        </w:rPr>
      </w:pPr>
      <w:r w:rsidRPr="00EC138C">
        <w:rPr>
          <w:rFonts w:asciiTheme="minorHAnsi" w:hAnsiTheme="minorHAnsi" w:cstheme="minorHAnsi"/>
        </w:rPr>
        <w:t>One student group: One teacher teaches, one assesses</w:t>
      </w:r>
    </w:p>
    <w:p w14:paraId="0C87D81D" w14:textId="77777777" w:rsidR="00EC138C" w:rsidRDefault="003C2C24" w:rsidP="00412A83">
      <w:pPr>
        <w:pStyle w:val="ListParagraph"/>
        <w:numPr>
          <w:ilvl w:val="0"/>
          <w:numId w:val="3"/>
        </w:numPr>
        <w:spacing w:line="240" w:lineRule="auto"/>
        <w:ind w:left="1530" w:right="690"/>
        <w:contextualSpacing/>
        <w:jc w:val="left"/>
        <w:rPr>
          <w:rFonts w:asciiTheme="minorHAnsi" w:hAnsiTheme="minorHAnsi" w:cstheme="minorHAnsi"/>
        </w:rPr>
      </w:pPr>
      <w:r w:rsidRPr="00EC138C">
        <w:rPr>
          <w:rFonts w:asciiTheme="minorHAnsi" w:hAnsiTheme="minorHAnsi" w:cstheme="minorHAnsi"/>
        </w:rPr>
        <w:t>Two student groups: Two teachers teach the same content</w:t>
      </w:r>
    </w:p>
    <w:p w14:paraId="5E348B08" w14:textId="77777777" w:rsidR="00EC138C" w:rsidRDefault="003C2C24" w:rsidP="00412A83">
      <w:pPr>
        <w:pStyle w:val="ListParagraph"/>
        <w:numPr>
          <w:ilvl w:val="0"/>
          <w:numId w:val="3"/>
        </w:numPr>
        <w:spacing w:line="240" w:lineRule="auto"/>
        <w:ind w:left="1530" w:right="690"/>
        <w:contextualSpacing/>
        <w:jc w:val="left"/>
        <w:rPr>
          <w:rFonts w:asciiTheme="minorHAnsi" w:hAnsiTheme="minorHAnsi" w:cstheme="minorHAnsi"/>
        </w:rPr>
      </w:pPr>
      <w:r w:rsidRPr="00EC138C">
        <w:rPr>
          <w:rFonts w:asciiTheme="minorHAnsi" w:hAnsiTheme="minorHAnsi" w:cstheme="minorHAnsi"/>
        </w:rPr>
        <w:t>Two student groups: One teacher pre-teaches, one teaches alternative information</w:t>
      </w:r>
    </w:p>
    <w:p w14:paraId="3D5A1CED" w14:textId="77777777" w:rsidR="00D9074A" w:rsidRDefault="003C2C24" w:rsidP="00D9074A">
      <w:pPr>
        <w:pStyle w:val="ListParagraph"/>
        <w:numPr>
          <w:ilvl w:val="0"/>
          <w:numId w:val="3"/>
        </w:numPr>
        <w:spacing w:line="240" w:lineRule="auto"/>
        <w:ind w:left="1530" w:right="690"/>
        <w:contextualSpacing/>
        <w:jc w:val="left"/>
        <w:rPr>
          <w:rFonts w:asciiTheme="minorHAnsi" w:hAnsiTheme="minorHAnsi" w:cstheme="minorHAnsi"/>
        </w:rPr>
      </w:pPr>
      <w:r w:rsidRPr="00EC138C">
        <w:rPr>
          <w:rFonts w:asciiTheme="minorHAnsi" w:hAnsiTheme="minorHAnsi" w:cstheme="minorHAnsi"/>
        </w:rPr>
        <w:t xml:space="preserve">Two student groups: One teacher reteaches, one </w:t>
      </w:r>
      <w:proofErr w:type="gramStart"/>
      <w:r w:rsidRPr="00EC138C">
        <w:rPr>
          <w:rFonts w:asciiTheme="minorHAnsi" w:hAnsiTheme="minorHAnsi" w:cstheme="minorHAnsi"/>
        </w:rPr>
        <w:t>teachers</w:t>
      </w:r>
      <w:proofErr w:type="gramEnd"/>
      <w:r w:rsidRPr="00EC138C">
        <w:rPr>
          <w:rFonts w:asciiTheme="minorHAnsi" w:hAnsiTheme="minorHAnsi" w:cstheme="minorHAnsi"/>
        </w:rPr>
        <w:t xml:space="preserve"> alternative information</w:t>
      </w:r>
    </w:p>
    <w:p w14:paraId="109BB1F9" w14:textId="451491F4" w:rsidR="00F169B6" w:rsidRDefault="003C2C24" w:rsidP="00D9074A">
      <w:pPr>
        <w:pStyle w:val="ListParagraph"/>
        <w:numPr>
          <w:ilvl w:val="0"/>
          <w:numId w:val="3"/>
        </w:numPr>
        <w:spacing w:line="240" w:lineRule="auto"/>
        <w:ind w:left="1530" w:right="690"/>
        <w:contextualSpacing/>
        <w:jc w:val="left"/>
        <w:rPr>
          <w:rFonts w:asciiTheme="minorHAnsi" w:hAnsiTheme="minorHAnsi" w:cstheme="minorHAnsi"/>
        </w:rPr>
      </w:pPr>
      <w:r w:rsidRPr="00D9074A">
        <w:rPr>
          <w:rFonts w:asciiTheme="minorHAnsi" w:hAnsiTheme="minorHAnsi" w:cstheme="minorHAnsi"/>
        </w:rPr>
        <w:t>Multiple student groups: Two teachers monitor and teach</w:t>
      </w:r>
      <w:bookmarkEnd w:id="2"/>
    </w:p>
    <w:p w14:paraId="41302006" w14:textId="44D28031" w:rsidR="00D9074A" w:rsidRDefault="00D9074A">
      <w:pPr>
        <w:rPr>
          <w:rFonts w:asciiTheme="minorHAnsi" w:hAnsiTheme="minorHAnsi" w:cstheme="minorHAnsi"/>
        </w:rPr>
      </w:pPr>
      <w:r>
        <w:rPr>
          <w:rFonts w:asciiTheme="minorHAnsi" w:hAnsiTheme="minorHAnsi" w:cstheme="minorHAnsi"/>
        </w:rPr>
        <w:br w:type="page"/>
      </w:r>
    </w:p>
    <w:p w14:paraId="5065ED93" w14:textId="63B0CC55" w:rsidR="00EC138C" w:rsidRPr="00802080" w:rsidRDefault="00EC138C" w:rsidP="00EC138C">
      <w:pPr>
        <w:pStyle w:val="Heading1"/>
        <w:spacing w:before="0" w:line="240" w:lineRule="auto"/>
        <w:ind w:left="900" w:right="150"/>
        <w:rPr>
          <w:color w:val="A10067"/>
          <w:sz w:val="36"/>
          <w:szCs w:val="36"/>
        </w:rPr>
      </w:pPr>
      <w:bookmarkStart w:id="3" w:name="_Hlk536776097"/>
      <w:r w:rsidRPr="00802080">
        <w:rPr>
          <w:color w:val="A10067"/>
          <w:sz w:val="36"/>
          <w:szCs w:val="36"/>
        </w:rPr>
        <w:lastRenderedPageBreak/>
        <w:t>3:</w:t>
      </w:r>
      <w:r w:rsidRPr="00802080">
        <w:rPr>
          <w:color w:val="A10067"/>
          <w:sz w:val="36"/>
          <w:szCs w:val="36"/>
        </w:rPr>
        <w:tab/>
        <w:t>Dig Deeper</w:t>
      </w:r>
    </w:p>
    <w:p w14:paraId="71580B19" w14:textId="1F932E33" w:rsidR="00EC138C" w:rsidRDefault="00EC138C" w:rsidP="003E5D4B">
      <w:pPr>
        <w:spacing w:after="240" w:line="240" w:lineRule="auto"/>
        <w:ind w:left="900" w:right="690"/>
        <w:rPr>
          <w:rFonts w:eastAsia="Times New Roman"/>
          <w:color w:val="000000"/>
        </w:rPr>
      </w:pPr>
      <w:r>
        <w:rPr>
          <w:noProof/>
          <w:color w:val="A10067"/>
          <w:sz w:val="24"/>
          <w:szCs w:val="24"/>
        </w:rPr>
        <w:drawing>
          <wp:inline distT="0" distB="0" distL="0" distR="0" wp14:anchorId="59AEB119" wp14:editId="661DFFA8">
            <wp:extent cx="3035935" cy="36830"/>
            <wp:effectExtent l="0" t="0" r="0" b="1270"/>
            <wp:docPr id="6" name="Picture 6"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935" cy="36830"/>
                    </a:xfrm>
                    <a:prstGeom prst="rect">
                      <a:avLst/>
                    </a:prstGeom>
                    <a:noFill/>
                  </pic:spPr>
                </pic:pic>
              </a:graphicData>
            </a:graphic>
          </wp:inline>
        </w:drawing>
      </w:r>
    </w:p>
    <w:p w14:paraId="6C60114C" w14:textId="77777777" w:rsidR="003E5D4B" w:rsidRPr="00F169B6" w:rsidRDefault="003E5D4B" w:rsidP="003E5D4B">
      <w:pPr>
        <w:spacing w:line="240" w:lineRule="auto"/>
        <w:ind w:left="900" w:right="690"/>
        <w:rPr>
          <w:rFonts w:eastAsia="Times New Roman"/>
          <w:color w:val="000000"/>
          <w:sz w:val="20"/>
          <w:szCs w:val="20"/>
        </w:rPr>
      </w:pPr>
    </w:p>
    <w:p w14:paraId="70B20647" w14:textId="0652F025" w:rsidR="00EC138C" w:rsidRDefault="00EC138C" w:rsidP="002147C6">
      <w:pPr>
        <w:pStyle w:val="ListParagraph"/>
        <w:numPr>
          <w:ilvl w:val="0"/>
          <w:numId w:val="4"/>
        </w:numPr>
        <w:spacing w:line="240" w:lineRule="auto"/>
        <w:ind w:left="1440" w:right="690"/>
        <w:contextualSpacing/>
        <w:rPr>
          <w:rFonts w:asciiTheme="minorHAnsi" w:hAnsiTheme="minorHAnsi" w:cstheme="minorHAnsi"/>
        </w:rPr>
      </w:pPr>
      <w:r w:rsidRPr="009B1198">
        <w:rPr>
          <w:rFonts w:asciiTheme="minorHAnsi" w:hAnsiTheme="minorHAnsi" w:cstheme="minorHAnsi"/>
        </w:rPr>
        <w:t xml:space="preserve">The </w:t>
      </w:r>
      <w:hyperlink r:id="rId22" w:history="1">
        <w:r w:rsidRPr="009B1198">
          <w:rPr>
            <w:rStyle w:val="Hyperlink"/>
            <w:rFonts w:asciiTheme="minorHAnsi" w:hAnsiTheme="minorHAnsi" w:cstheme="minorHAnsi"/>
          </w:rPr>
          <w:t>Academy for Urban School Leadership (AUSD) Special Education</w:t>
        </w:r>
      </w:hyperlink>
      <w:r w:rsidRPr="009B1198">
        <w:rPr>
          <w:rFonts w:asciiTheme="minorHAnsi" w:hAnsiTheme="minorHAnsi" w:cstheme="minorHAnsi"/>
        </w:rPr>
        <w:t xml:space="preserve"> webpage offers protocols, templates, and other resources for co-planning and co-teaching from including: a Co-Teaching Checklist, Co-Teaching Expectations, And Co-Teaching Observation Guide and Debriefing Guide, and more.</w:t>
      </w:r>
    </w:p>
    <w:p w14:paraId="36D37EF4" w14:textId="77777777" w:rsidR="00EF2CAF" w:rsidRPr="00EF2CAF" w:rsidRDefault="00EF2CAF" w:rsidP="00EF2CAF">
      <w:pPr>
        <w:pStyle w:val="ListParagraph"/>
        <w:spacing w:line="240" w:lineRule="auto"/>
        <w:ind w:left="1440" w:right="690" w:firstLine="0"/>
        <w:contextualSpacing/>
        <w:rPr>
          <w:rFonts w:asciiTheme="minorHAnsi" w:hAnsiTheme="minorHAnsi" w:cstheme="minorHAnsi"/>
          <w:sz w:val="16"/>
          <w:szCs w:val="16"/>
        </w:rPr>
      </w:pPr>
    </w:p>
    <w:p w14:paraId="78A7BD76" w14:textId="6ABA235D" w:rsidR="00EC138C" w:rsidRDefault="00EC138C" w:rsidP="002147C6">
      <w:pPr>
        <w:pStyle w:val="ListParagraph"/>
        <w:numPr>
          <w:ilvl w:val="0"/>
          <w:numId w:val="4"/>
        </w:numPr>
        <w:spacing w:line="240" w:lineRule="auto"/>
        <w:ind w:left="1440" w:right="690"/>
        <w:contextualSpacing/>
        <w:rPr>
          <w:rFonts w:asciiTheme="minorHAnsi" w:hAnsiTheme="minorHAnsi" w:cstheme="minorHAnsi"/>
        </w:rPr>
      </w:pPr>
      <w:r w:rsidRPr="009B1198">
        <w:rPr>
          <w:rFonts w:asciiTheme="minorHAnsi" w:hAnsiTheme="minorHAnsi" w:cstheme="minorHAnsi"/>
        </w:rPr>
        <w:t xml:space="preserve">Dove, M. &amp; </w:t>
      </w:r>
      <w:proofErr w:type="spellStart"/>
      <w:r w:rsidRPr="009B1198">
        <w:rPr>
          <w:rFonts w:asciiTheme="minorHAnsi" w:hAnsiTheme="minorHAnsi" w:cstheme="minorHAnsi"/>
        </w:rPr>
        <w:t>Honingsfeld</w:t>
      </w:r>
      <w:proofErr w:type="spellEnd"/>
      <w:r w:rsidRPr="009B1198">
        <w:rPr>
          <w:rFonts w:asciiTheme="minorHAnsi" w:hAnsiTheme="minorHAnsi" w:cstheme="minorHAnsi"/>
        </w:rPr>
        <w:t>, M. (2017) Co-Teaching for English Learners: A Guide to Collaborative Planning, Instruction, Assessment, and Reflection. Thousand Oaks, CA: Corwin.</w:t>
      </w:r>
    </w:p>
    <w:p w14:paraId="01EBA6FE" w14:textId="77777777" w:rsidR="00EF2CAF" w:rsidRPr="00EF2CAF" w:rsidRDefault="00EF2CAF" w:rsidP="00EF2CAF">
      <w:pPr>
        <w:pStyle w:val="ListParagraph"/>
        <w:spacing w:line="240" w:lineRule="auto"/>
        <w:ind w:left="1440" w:right="690" w:firstLine="0"/>
        <w:contextualSpacing/>
        <w:rPr>
          <w:rFonts w:asciiTheme="minorHAnsi" w:hAnsiTheme="minorHAnsi" w:cstheme="minorHAnsi"/>
          <w:sz w:val="16"/>
          <w:szCs w:val="16"/>
        </w:rPr>
      </w:pPr>
    </w:p>
    <w:p w14:paraId="561C58D1" w14:textId="0DBC0D3A" w:rsidR="00EC138C" w:rsidRDefault="00EC138C" w:rsidP="002147C6">
      <w:pPr>
        <w:pStyle w:val="ListParagraph"/>
        <w:numPr>
          <w:ilvl w:val="0"/>
          <w:numId w:val="4"/>
        </w:numPr>
        <w:spacing w:line="240" w:lineRule="auto"/>
        <w:ind w:left="1440" w:right="690"/>
        <w:contextualSpacing/>
        <w:rPr>
          <w:rFonts w:asciiTheme="minorHAnsi" w:hAnsiTheme="minorHAnsi" w:cstheme="minorHAnsi"/>
        </w:rPr>
      </w:pPr>
      <w:r w:rsidRPr="009B1198">
        <w:rPr>
          <w:rFonts w:asciiTheme="minorHAnsi" w:hAnsiTheme="minorHAnsi" w:cstheme="minorHAnsi"/>
        </w:rPr>
        <w:t xml:space="preserve">Dove, M. &amp; </w:t>
      </w:r>
      <w:proofErr w:type="spellStart"/>
      <w:r w:rsidRPr="009B1198">
        <w:rPr>
          <w:rFonts w:asciiTheme="minorHAnsi" w:hAnsiTheme="minorHAnsi" w:cstheme="minorHAnsi"/>
        </w:rPr>
        <w:t>Honingsfeld</w:t>
      </w:r>
      <w:proofErr w:type="spellEnd"/>
      <w:r w:rsidRPr="009B1198">
        <w:rPr>
          <w:rFonts w:asciiTheme="minorHAnsi" w:hAnsiTheme="minorHAnsi" w:cstheme="minorHAnsi"/>
        </w:rPr>
        <w:t xml:space="preserve">, M. (2012). </w:t>
      </w:r>
      <w:hyperlink r:id="rId23" w:history="1">
        <w:r w:rsidRPr="009B1198">
          <w:rPr>
            <w:rStyle w:val="Hyperlink"/>
            <w:rFonts w:asciiTheme="minorHAnsi" w:hAnsiTheme="minorHAnsi" w:cstheme="minorHAnsi"/>
          </w:rPr>
          <w:t>Collaborative Practices to Support All Students</w:t>
        </w:r>
      </w:hyperlink>
      <w:r w:rsidRPr="009B1198">
        <w:rPr>
          <w:rFonts w:asciiTheme="minorHAnsi" w:hAnsiTheme="minorHAnsi" w:cstheme="minorHAnsi"/>
        </w:rPr>
        <w:t xml:space="preserve">. </w:t>
      </w:r>
      <w:r w:rsidRPr="009B1198">
        <w:rPr>
          <w:rFonts w:asciiTheme="minorHAnsi" w:hAnsiTheme="minorHAnsi" w:cstheme="minorHAnsi"/>
          <w:i/>
          <w:iCs/>
        </w:rPr>
        <w:t>Principal Leadership</w:t>
      </w:r>
      <w:r w:rsidRPr="009B1198">
        <w:rPr>
          <w:rFonts w:asciiTheme="minorHAnsi" w:hAnsiTheme="minorHAnsi" w:cstheme="minorHAnsi"/>
        </w:rPr>
        <w:t xml:space="preserve">, </w:t>
      </w:r>
      <w:r w:rsidRPr="009B1198">
        <w:rPr>
          <w:rFonts w:asciiTheme="minorHAnsi" w:hAnsiTheme="minorHAnsi" w:cstheme="minorHAnsi"/>
          <w:i/>
          <w:iCs/>
        </w:rPr>
        <w:t>12</w:t>
      </w:r>
      <w:r w:rsidRPr="009B1198">
        <w:rPr>
          <w:rFonts w:asciiTheme="minorHAnsi" w:hAnsiTheme="minorHAnsi" w:cstheme="minorHAnsi"/>
        </w:rPr>
        <w:t>(6), 40-44.This article presents seven English as a second language (ESL) co-teaching models and explores other possibilities of collaboration between general education classroom teachers, content area teachers, and ESL specialists in the K‐12 context.</w:t>
      </w:r>
    </w:p>
    <w:p w14:paraId="02541E39" w14:textId="77777777" w:rsidR="00EF2CAF" w:rsidRPr="00EF2CAF" w:rsidRDefault="00EF2CAF" w:rsidP="00EF2CAF">
      <w:pPr>
        <w:pStyle w:val="ListParagraph"/>
        <w:spacing w:line="240" w:lineRule="auto"/>
        <w:ind w:left="1440" w:right="690" w:firstLine="0"/>
        <w:contextualSpacing/>
        <w:rPr>
          <w:rFonts w:asciiTheme="minorHAnsi" w:hAnsiTheme="minorHAnsi" w:cstheme="minorHAnsi"/>
          <w:sz w:val="16"/>
          <w:szCs w:val="16"/>
        </w:rPr>
      </w:pPr>
    </w:p>
    <w:p w14:paraId="18883AFF" w14:textId="5251500D" w:rsidR="00EC138C" w:rsidRPr="00EF2CAF" w:rsidRDefault="00EC138C" w:rsidP="002147C6">
      <w:pPr>
        <w:pStyle w:val="ListParagraph"/>
        <w:numPr>
          <w:ilvl w:val="0"/>
          <w:numId w:val="4"/>
        </w:numPr>
        <w:spacing w:line="240" w:lineRule="auto"/>
        <w:ind w:left="1440" w:right="690"/>
        <w:contextualSpacing/>
        <w:rPr>
          <w:rStyle w:val="Hyperlink"/>
          <w:rFonts w:asciiTheme="minorHAnsi" w:hAnsiTheme="minorHAnsi" w:cstheme="minorHAnsi"/>
          <w:color w:val="auto"/>
          <w:u w:val="none"/>
        </w:rPr>
      </w:pPr>
      <w:r w:rsidRPr="009B1198">
        <w:rPr>
          <w:rFonts w:asciiTheme="minorHAnsi" w:hAnsiTheme="minorHAnsi" w:cstheme="minorHAnsi"/>
        </w:rPr>
        <w:t xml:space="preserve">Dove, M., &amp; </w:t>
      </w:r>
      <w:proofErr w:type="spellStart"/>
      <w:r w:rsidRPr="009B1198">
        <w:rPr>
          <w:rFonts w:asciiTheme="minorHAnsi" w:hAnsiTheme="minorHAnsi" w:cstheme="minorHAnsi"/>
        </w:rPr>
        <w:t>Honigsfeld</w:t>
      </w:r>
      <w:proofErr w:type="spellEnd"/>
      <w:r w:rsidRPr="009B1198">
        <w:rPr>
          <w:rFonts w:asciiTheme="minorHAnsi" w:hAnsiTheme="minorHAnsi" w:cstheme="minorHAnsi"/>
        </w:rPr>
        <w:t xml:space="preserve">, A. (2010). </w:t>
      </w:r>
      <w:hyperlink r:id="rId24" w:history="1">
        <w:r w:rsidRPr="009B1198">
          <w:rPr>
            <w:rStyle w:val="Hyperlink"/>
            <w:rFonts w:asciiTheme="minorHAnsi" w:hAnsiTheme="minorHAnsi" w:cstheme="minorHAnsi"/>
          </w:rPr>
          <w:t>ESL Co-teaching and Collaboration: Opportunities to Develop Teacher Leadership and Enhance Student Learning</w:t>
        </w:r>
      </w:hyperlink>
    </w:p>
    <w:p w14:paraId="1478E435" w14:textId="77777777" w:rsidR="00EF2CAF" w:rsidRPr="00EF2CAF" w:rsidRDefault="00EF2CAF" w:rsidP="00EF2CAF">
      <w:pPr>
        <w:pStyle w:val="ListParagraph"/>
        <w:spacing w:line="240" w:lineRule="auto"/>
        <w:ind w:left="1440" w:right="690" w:firstLine="0"/>
        <w:contextualSpacing/>
        <w:rPr>
          <w:rFonts w:asciiTheme="minorHAnsi" w:hAnsiTheme="minorHAnsi" w:cstheme="minorHAnsi"/>
          <w:sz w:val="16"/>
          <w:szCs w:val="16"/>
        </w:rPr>
      </w:pPr>
    </w:p>
    <w:p w14:paraId="3D4BFFC9" w14:textId="1E1C82B1" w:rsidR="00EC138C" w:rsidRDefault="00EC138C" w:rsidP="002147C6">
      <w:pPr>
        <w:pStyle w:val="ListParagraph"/>
        <w:numPr>
          <w:ilvl w:val="0"/>
          <w:numId w:val="4"/>
        </w:numPr>
        <w:spacing w:line="240" w:lineRule="auto"/>
        <w:ind w:left="1440" w:right="690"/>
        <w:contextualSpacing/>
        <w:rPr>
          <w:rFonts w:asciiTheme="minorHAnsi" w:hAnsiTheme="minorHAnsi" w:cstheme="minorHAnsi"/>
        </w:rPr>
      </w:pPr>
      <w:r w:rsidRPr="009B1198">
        <w:rPr>
          <w:rFonts w:asciiTheme="minorHAnsi" w:hAnsiTheme="minorHAnsi" w:cstheme="minorHAnsi"/>
        </w:rPr>
        <w:t xml:space="preserve">Dove, M., &amp; </w:t>
      </w:r>
      <w:proofErr w:type="spellStart"/>
      <w:r w:rsidRPr="009B1198">
        <w:rPr>
          <w:rFonts w:asciiTheme="minorHAnsi" w:hAnsiTheme="minorHAnsi" w:cstheme="minorHAnsi"/>
        </w:rPr>
        <w:t>Honigsfeld</w:t>
      </w:r>
      <w:proofErr w:type="spellEnd"/>
      <w:r w:rsidRPr="009B1198">
        <w:rPr>
          <w:rFonts w:asciiTheme="minorHAnsi" w:hAnsiTheme="minorHAnsi" w:cstheme="minorHAnsi"/>
        </w:rPr>
        <w:t xml:space="preserve">, A (2008). </w:t>
      </w:r>
      <w:hyperlink r:id="rId25" w:history="1">
        <w:r w:rsidRPr="009B1198">
          <w:rPr>
            <w:rStyle w:val="Hyperlink"/>
            <w:rFonts w:asciiTheme="minorHAnsi" w:hAnsiTheme="minorHAnsi" w:cstheme="minorHAnsi"/>
          </w:rPr>
          <w:t>Co-teaching in the ESL Classroom</w:t>
        </w:r>
      </w:hyperlink>
      <w:r w:rsidRPr="009B1198">
        <w:rPr>
          <w:rFonts w:asciiTheme="minorHAnsi" w:hAnsiTheme="minorHAnsi" w:cstheme="minorHAnsi"/>
        </w:rPr>
        <w:t xml:space="preserve">. </w:t>
      </w:r>
      <w:r w:rsidRPr="009B1198">
        <w:rPr>
          <w:rFonts w:asciiTheme="minorHAnsi" w:hAnsiTheme="minorHAnsi" w:cstheme="minorHAnsi"/>
          <w:i/>
          <w:iCs/>
        </w:rPr>
        <w:t>Delta Kappa Gamma Bulletin</w:t>
      </w:r>
      <w:r w:rsidRPr="009B1198">
        <w:rPr>
          <w:rFonts w:asciiTheme="minorHAnsi" w:hAnsiTheme="minorHAnsi" w:cstheme="minorHAnsi"/>
        </w:rPr>
        <w:t xml:space="preserve">, </w:t>
      </w:r>
      <w:r w:rsidRPr="009B1198">
        <w:rPr>
          <w:rFonts w:asciiTheme="minorHAnsi" w:hAnsiTheme="minorHAnsi" w:cstheme="minorHAnsi"/>
          <w:i/>
          <w:iCs/>
        </w:rPr>
        <w:t>74</w:t>
      </w:r>
      <w:r w:rsidRPr="009B1198">
        <w:rPr>
          <w:rFonts w:asciiTheme="minorHAnsi" w:hAnsiTheme="minorHAnsi" w:cstheme="minorHAnsi"/>
        </w:rPr>
        <w:t>(2), 8. The authors explore the transferability of co-teaching models and techniques from the field of Special Education to that of Teaching English to Speakers of Other Languages (TESOL).</w:t>
      </w:r>
    </w:p>
    <w:p w14:paraId="46CE786C" w14:textId="77777777" w:rsidR="00EF2CAF" w:rsidRPr="00EF2CAF" w:rsidRDefault="00EF2CAF" w:rsidP="00EF2CAF">
      <w:pPr>
        <w:pStyle w:val="ListParagraph"/>
        <w:spacing w:line="240" w:lineRule="auto"/>
        <w:ind w:left="1440" w:right="690" w:firstLine="0"/>
        <w:contextualSpacing/>
        <w:rPr>
          <w:rFonts w:asciiTheme="minorHAnsi" w:hAnsiTheme="minorHAnsi" w:cstheme="minorHAnsi"/>
          <w:sz w:val="16"/>
          <w:szCs w:val="16"/>
        </w:rPr>
      </w:pPr>
    </w:p>
    <w:p w14:paraId="27A08FDF" w14:textId="5586CE55" w:rsidR="00EC138C" w:rsidRDefault="00EC138C" w:rsidP="002147C6">
      <w:pPr>
        <w:pStyle w:val="ListParagraph"/>
        <w:numPr>
          <w:ilvl w:val="0"/>
          <w:numId w:val="4"/>
        </w:numPr>
        <w:spacing w:line="240" w:lineRule="auto"/>
        <w:ind w:left="1440" w:right="690"/>
        <w:contextualSpacing/>
        <w:rPr>
          <w:rFonts w:asciiTheme="minorHAnsi" w:hAnsiTheme="minorHAnsi" w:cstheme="minorHAnsi"/>
        </w:rPr>
      </w:pPr>
      <w:r w:rsidRPr="009B1198">
        <w:rPr>
          <w:rFonts w:asciiTheme="minorHAnsi" w:hAnsiTheme="minorHAnsi" w:cstheme="minorHAnsi"/>
        </w:rPr>
        <w:t xml:space="preserve">Education Resource Strategies (2017) </w:t>
      </w:r>
      <w:hyperlink r:id="rId26" w:history="1">
        <w:r w:rsidRPr="009B1198">
          <w:rPr>
            <w:rStyle w:val="Hyperlink"/>
            <w:rFonts w:asciiTheme="minorHAnsi" w:hAnsiTheme="minorHAnsi" w:cstheme="minorHAnsi"/>
          </w:rPr>
          <w:t>School Scheduling Tools</w:t>
        </w:r>
      </w:hyperlink>
      <w:r w:rsidRPr="009B1198">
        <w:rPr>
          <w:rFonts w:asciiTheme="minorHAnsi" w:hAnsiTheme="minorHAnsi" w:cstheme="minorHAnsi"/>
        </w:rPr>
        <w:t xml:space="preserve">. </w:t>
      </w:r>
    </w:p>
    <w:p w14:paraId="2FA666F3" w14:textId="77777777" w:rsidR="00EF2CAF" w:rsidRPr="00EF2CAF" w:rsidRDefault="00EF2CAF" w:rsidP="00EF2CAF">
      <w:pPr>
        <w:pStyle w:val="ListParagraph"/>
        <w:spacing w:line="240" w:lineRule="auto"/>
        <w:ind w:left="1440" w:right="690" w:firstLine="0"/>
        <w:contextualSpacing/>
        <w:rPr>
          <w:rFonts w:asciiTheme="minorHAnsi" w:hAnsiTheme="minorHAnsi" w:cstheme="minorHAnsi"/>
          <w:sz w:val="16"/>
          <w:szCs w:val="16"/>
        </w:rPr>
      </w:pPr>
    </w:p>
    <w:p w14:paraId="55BC2D49" w14:textId="117745B7" w:rsidR="00EC138C" w:rsidRDefault="00EC138C" w:rsidP="002147C6">
      <w:pPr>
        <w:pStyle w:val="ListParagraph"/>
        <w:numPr>
          <w:ilvl w:val="0"/>
          <w:numId w:val="4"/>
        </w:numPr>
        <w:spacing w:line="240" w:lineRule="auto"/>
        <w:ind w:left="1440" w:right="690"/>
        <w:contextualSpacing/>
        <w:rPr>
          <w:rFonts w:asciiTheme="minorHAnsi" w:hAnsiTheme="minorHAnsi" w:cstheme="minorHAnsi"/>
        </w:rPr>
      </w:pPr>
      <w:r w:rsidRPr="009B1198">
        <w:rPr>
          <w:rFonts w:asciiTheme="minorHAnsi" w:hAnsiTheme="minorHAnsi" w:cstheme="minorHAnsi"/>
        </w:rPr>
        <w:t xml:space="preserve">Kusuma-Powell, O., &amp; Powell, W. </w:t>
      </w:r>
      <w:hyperlink r:id="rId27" w:history="1">
        <w:r w:rsidRPr="009B1198">
          <w:rPr>
            <w:rStyle w:val="Hyperlink"/>
            <w:rFonts w:asciiTheme="minorHAnsi" w:hAnsiTheme="minorHAnsi" w:cstheme="minorHAnsi"/>
          </w:rPr>
          <w:t>Co-Teaching: Making It Work</w:t>
        </w:r>
      </w:hyperlink>
      <w:r w:rsidRPr="009B1198">
        <w:rPr>
          <w:rFonts w:asciiTheme="minorHAnsi" w:hAnsiTheme="minorHAnsi" w:cstheme="minorHAnsi"/>
        </w:rPr>
        <w:t>. Education Leadership December 2015/January 2016, Vol. 73 No. 4. Alexandria, VA: ASCD.</w:t>
      </w:r>
    </w:p>
    <w:p w14:paraId="27BA29EA" w14:textId="77777777" w:rsidR="00EF2CAF" w:rsidRPr="00EF2CAF" w:rsidRDefault="00EF2CAF" w:rsidP="00EF2CAF">
      <w:pPr>
        <w:pStyle w:val="ListParagraph"/>
        <w:spacing w:line="240" w:lineRule="auto"/>
        <w:ind w:left="1440" w:right="690" w:firstLine="0"/>
        <w:contextualSpacing/>
        <w:rPr>
          <w:rFonts w:asciiTheme="minorHAnsi" w:hAnsiTheme="minorHAnsi" w:cstheme="minorHAnsi"/>
          <w:sz w:val="16"/>
          <w:szCs w:val="16"/>
        </w:rPr>
      </w:pPr>
    </w:p>
    <w:p w14:paraId="2F222A1A" w14:textId="39104DBC" w:rsidR="00EC138C" w:rsidRDefault="00EC138C" w:rsidP="002147C6">
      <w:pPr>
        <w:pStyle w:val="ListParagraph"/>
        <w:numPr>
          <w:ilvl w:val="0"/>
          <w:numId w:val="4"/>
        </w:numPr>
        <w:spacing w:line="240" w:lineRule="auto"/>
        <w:ind w:left="1440" w:right="690"/>
        <w:contextualSpacing/>
        <w:rPr>
          <w:rFonts w:asciiTheme="minorHAnsi" w:hAnsiTheme="minorHAnsi" w:cstheme="minorHAnsi"/>
        </w:rPr>
      </w:pPr>
      <w:proofErr w:type="spellStart"/>
      <w:r w:rsidRPr="009B1198">
        <w:rPr>
          <w:rFonts w:asciiTheme="minorHAnsi" w:hAnsiTheme="minorHAnsi" w:cstheme="minorHAnsi"/>
        </w:rPr>
        <w:t>Rettigg</w:t>
      </w:r>
      <w:proofErr w:type="spellEnd"/>
      <w:r w:rsidRPr="009B1198">
        <w:rPr>
          <w:rFonts w:asciiTheme="minorHAnsi" w:hAnsiTheme="minorHAnsi" w:cstheme="minorHAnsi"/>
        </w:rPr>
        <w:t xml:space="preserve">, M. </w:t>
      </w:r>
      <w:hyperlink r:id="rId28" w:history="1">
        <w:r w:rsidRPr="009B1198">
          <w:rPr>
            <w:rStyle w:val="Hyperlink"/>
            <w:rFonts w:asciiTheme="minorHAnsi" w:hAnsiTheme="minorHAnsi" w:cstheme="minorHAnsi"/>
          </w:rPr>
          <w:t>Elementary School Scheduling: Enhancing Instruction for Student Achievement</w:t>
        </w:r>
      </w:hyperlink>
      <w:r w:rsidRPr="009B1198">
        <w:rPr>
          <w:rFonts w:asciiTheme="minorHAnsi" w:hAnsiTheme="minorHAnsi" w:cstheme="minorHAnsi"/>
        </w:rPr>
        <w:t xml:space="preserve">. School Scheduling Associates. </w:t>
      </w:r>
    </w:p>
    <w:p w14:paraId="4182E583" w14:textId="77777777" w:rsidR="00EF2CAF" w:rsidRPr="00EF2CAF" w:rsidRDefault="00EF2CAF" w:rsidP="00EF2CAF">
      <w:pPr>
        <w:pStyle w:val="ListParagraph"/>
        <w:spacing w:line="240" w:lineRule="auto"/>
        <w:ind w:left="1440" w:right="690" w:firstLine="0"/>
        <w:contextualSpacing/>
        <w:rPr>
          <w:rFonts w:asciiTheme="minorHAnsi" w:hAnsiTheme="minorHAnsi" w:cstheme="minorHAnsi"/>
          <w:sz w:val="16"/>
          <w:szCs w:val="16"/>
        </w:rPr>
      </w:pPr>
    </w:p>
    <w:p w14:paraId="4CB60674" w14:textId="7458F1F1" w:rsidR="00EC138C" w:rsidRDefault="00EC138C" w:rsidP="00EF2CAF">
      <w:pPr>
        <w:pStyle w:val="ListParagraph"/>
        <w:numPr>
          <w:ilvl w:val="0"/>
          <w:numId w:val="4"/>
        </w:numPr>
        <w:spacing w:line="240" w:lineRule="auto"/>
        <w:ind w:left="1440" w:right="690"/>
        <w:contextualSpacing/>
        <w:rPr>
          <w:rFonts w:asciiTheme="minorHAnsi" w:hAnsiTheme="minorHAnsi" w:cstheme="minorHAnsi"/>
        </w:rPr>
      </w:pPr>
      <w:r w:rsidRPr="009B1198">
        <w:rPr>
          <w:rFonts w:asciiTheme="minorHAnsi" w:hAnsiTheme="minorHAnsi" w:cstheme="minorHAnsi"/>
          <w:lang w:val="fr-FR"/>
        </w:rPr>
        <w:t xml:space="preserve">Rosenberg, D., </w:t>
      </w:r>
      <w:proofErr w:type="spellStart"/>
      <w:r w:rsidRPr="009B1198">
        <w:rPr>
          <w:rFonts w:asciiTheme="minorHAnsi" w:hAnsiTheme="minorHAnsi" w:cstheme="minorHAnsi"/>
          <w:lang w:val="fr-FR"/>
        </w:rPr>
        <w:t>Daigneau</w:t>
      </w:r>
      <w:proofErr w:type="spellEnd"/>
      <w:r w:rsidRPr="009B1198">
        <w:rPr>
          <w:rFonts w:asciiTheme="minorHAnsi" w:hAnsiTheme="minorHAnsi" w:cstheme="minorHAnsi"/>
          <w:lang w:val="fr-FR"/>
        </w:rPr>
        <w:t>, R., &amp; Galvez, M. (2018).</w:t>
      </w:r>
      <w:hyperlink r:id="rId29" w:history="1">
        <w:r w:rsidRPr="009B1198">
          <w:rPr>
            <w:rStyle w:val="Hyperlink"/>
            <w:rFonts w:asciiTheme="minorHAnsi" w:hAnsiTheme="minorHAnsi" w:cstheme="minorHAnsi"/>
          </w:rPr>
          <w:t>Finding Time for Collaborative Planning</w:t>
        </w:r>
      </w:hyperlink>
      <w:r w:rsidRPr="009B1198">
        <w:rPr>
          <w:rStyle w:val="Hyperlink"/>
          <w:rFonts w:asciiTheme="minorHAnsi" w:hAnsiTheme="minorHAnsi" w:cstheme="minorHAnsi"/>
        </w:rPr>
        <w:t>.</w:t>
      </w:r>
      <w:r w:rsidRPr="009B1198">
        <w:rPr>
          <w:rFonts w:asciiTheme="minorHAnsi" w:hAnsiTheme="minorHAnsi" w:cstheme="minorHAnsi"/>
          <w:b/>
        </w:rPr>
        <w:t xml:space="preserve"> </w:t>
      </w:r>
      <w:r w:rsidRPr="009B1198">
        <w:rPr>
          <w:rFonts w:asciiTheme="minorHAnsi" w:hAnsiTheme="minorHAnsi" w:cstheme="minorHAnsi"/>
        </w:rPr>
        <w:t>This article provides detailed descriptions and examples of six strategies for finding sufficient time for collaboration.</w:t>
      </w:r>
    </w:p>
    <w:p w14:paraId="1346939A" w14:textId="77777777" w:rsidR="00EF2CAF" w:rsidRPr="00EF2CAF" w:rsidRDefault="00EF2CAF" w:rsidP="00EF2CAF">
      <w:pPr>
        <w:pStyle w:val="ListParagraph"/>
        <w:spacing w:line="240" w:lineRule="auto"/>
        <w:ind w:left="1440" w:right="690" w:firstLine="0"/>
        <w:contextualSpacing/>
        <w:rPr>
          <w:rFonts w:asciiTheme="minorHAnsi" w:hAnsiTheme="minorHAnsi" w:cstheme="minorHAnsi"/>
          <w:sz w:val="16"/>
          <w:szCs w:val="16"/>
        </w:rPr>
      </w:pPr>
    </w:p>
    <w:p w14:paraId="7E227644" w14:textId="77777777" w:rsidR="00EC138C" w:rsidRPr="009B1198" w:rsidRDefault="00EC138C" w:rsidP="002147C6">
      <w:pPr>
        <w:pStyle w:val="ListParagraph"/>
        <w:numPr>
          <w:ilvl w:val="1"/>
          <w:numId w:val="4"/>
        </w:numPr>
        <w:spacing w:line="240" w:lineRule="auto"/>
        <w:ind w:left="1800" w:right="690"/>
        <w:contextualSpacing/>
        <w:rPr>
          <w:rFonts w:asciiTheme="minorHAnsi" w:hAnsiTheme="minorHAnsi" w:cstheme="minorHAnsi"/>
        </w:rPr>
      </w:pPr>
      <w:r w:rsidRPr="009B1198">
        <w:rPr>
          <w:rFonts w:asciiTheme="minorHAnsi" w:hAnsiTheme="minorHAnsi" w:cstheme="minorHAnsi"/>
          <w:b/>
        </w:rPr>
        <w:t>Back-to-back:</w:t>
      </w:r>
      <w:r w:rsidRPr="009B1198">
        <w:rPr>
          <w:rFonts w:asciiTheme="minorHAnsi" w:hAnsiTheme="minorHAnsi" w:cstheme="minorHAnsi"/>
        </w:rPr>
        <w:t xml:space="preserve"> Stacking two blocks of planning time together</w:t>
      </w:r>
    </w:p>
    <w:p w14:paraId="2FD633CA" w14:textId="3BD53D50" w:rsidR="00EC138C" w:rsidRPr="009B1198" w:rsidRDefault="00EC138C" w:rsidP="002147C6">
      <w:pPr>
        <w:pStyle w:val="ListParagraph"/>
        <w:numPr>
          <w:ilvl w:val="1"/>
          <w:numId w:val="4"/>
        </w:numPr>
        <w:spacing w:line="240" w:lineRule="auto"/>
        <w:ind w:left="1800" w:right="690"/>
        <w:contextualSpacing/>
        <w:rPr>
          <w:rFonts w:asciiTheme="minorHAnsi" w:hAnsiTheme="minorHAnsi" w:cstheme="minorHAnsi"/>
        </w:rPr>
      </w:pPr>
      <w:r w:rsidRPr="009B1198">
        <w:rPr>
          <w:rFonts w:asciiTheme="minorHAnsi" w:hAnsiTheme="minorHAnsi" w:cstheme="minorHAnsi"/>
          <w:b/>
        </w:rPr>
        <w:t>Banking time:</w:t>
      </w:r>
      <w:r w:rsidRPr="009B1198">
        <w:rPr>
          <w:rFonts w:asciiTheme="minorHAnsi" w:hAnsiTheme="minorHAnsi" w:cstheme="minorHAnsi"/>
        </w:rPr>
        <w:t xml:space="preserve"> Reducing planning time on a few days to increase time on another day</w:t>
      </w:r>
    </w:p>
    <w:p w14:paraId="478DA82B" w14:textId="77777777" w:rsidR="00EC138C" w:rsidRPr="009B1198" w:rsidRDefault="00EC138C" w:rsidP="002147C6">
      <w:pPr>
        <w:pStyle w:val="ListParagraph"/>
        <w:numPr>
          <w:ilvl w:val="1"/>
          <w:numId w:val="4"/>
        </w:numPr>
        <w:spacing w:line="240" w:lineRule="auto"/>
        <w:ind w:left="1800" w:right="690"/>
        <w:contextualSpacing/>
        <w:rPr>
          <w:rFonts w:asciiTheme="minorHAnsi" w:hAnsiTheme="minorHAnsi" w:cstheme="minorHAnsi"/>
        </w:rPr>
      </w:pPr>
      <w:r w:rsidRPr="009B1198">
        <w:rPr>
          <w:rFonts w:asciiTheme="minorHAnsi" w:hAnsiTheme="minorHAnsi" w:cstheme="minorHAnsi"/>
          <w:b/>
        </w:rPr>
        <w:t>Beginning and End of Day:</w:t>
      </w:r>
      <w:r w:rsidRPr="009B1198">
        <w:rPr>
          <w:rFonts w:asciiTheme="minorHAnsi" w:hAnsiTheme="minorHAnsi" w:cstheme="minorHAnsi"/>
        </w:rPr>
        <w:t xml:space="preserve"> Reorganizing time that teachers have at the beginning and end of the day into more planning time</w:t>
      </w:r>
    </w:p>
    <w:p w14:paraId="20796705" w14:textId="77777777" w:rsidR="00EC138C" w:rsidRPr="009B1198" w:rsidRDefault="00EC138C" w:rsidP="002147C6">
      <w:pPr>
        <w:pStyle w:val="ListParagraph"/>
        <w:numPr>
          <w:ilvl w:val="1"/>
          <w:numId w:val="4"/>
        </w:numPr>
        <w:spacing w:line="240" w:lineRule="auto"/>
        <w:ind w:left="1800" w:right="690"/>
        <w:contextualSpacing/>
        <w:rPr>
          <w:rFonts w:asciiTheme="minorHAnsi" w:hAnsiTheme="minorHAnsi" w:cstheme="minorHAnsi"/>
        </w:rPr>
      </w:pPr>
      <w:r w:rsidRPr="009B1198">
        <w:rPr>
          <w:rFonts w:asciiTheme="minorHAnsi" w:hAnsiTheme="minorHAnsi" w:cstheme="minorHAnsi"/>
          <w:b/>
        </w:rPr>
        <w:t>Recess and Lunch:</w:t>
      </w:r>
      <w:r w:rsidRPr="009B1198">
        <w:rPr>
          <w:rFonts w:asciiTheme="minorHAnsi" w:hAnsiTheme="minorHAnsi" w:cstheme="minorHAnsi"/>
        </w:rPr>
        <w:t xml:space="preserve"> Scheduling noninstructional blocks like recess and lunch next to planning time, and cover those activities with other adults</w:t>
      </w:r>
    </w:p>
    <w:p w14:paraId="6C71E5C8" w14:textId="77777777" w:rsidR="00EC138C" w:rsidRPr="009B1198" w:rsidRDefault="00EC138C" w:rsidP="002147C6">
      <w:pPr>
        <w:pStyle w:val="ListParagraph"/>
        <w:numPr>
          <w:ilvl w:val="1"/>
          <w:numId w:val="4"/>
        </w:numPr>
        <w:spacing w:line="240" w:lineRule="auto"/>
        <w:ind w:left="1800" w:right="690"/>
        <w:contextualSpacing/>
        <w:rPr>
          <w:rFonts w:asciiTheme="minorHAnsi" w:hAnsiTheme="minorHAnsi" w:cstheme="minorHAnsi"/>
        </w:rPr>
      </w:pPr>
      <w:r w:rsidRPr="009B1198">
        <w:rPr>
          <w:rFonts w:asciiTheme="minorHAnsi" w:hAnsiTheme="minorHAnsi" w:cstheme="minorHAnsi"/>
          <w:b/>
        </w:rPr>
        <w:t>Larger Specials:</w:t>
      </w:r>
      <w:r w:rsidRPr="009B1198">
        <w:rPr>
          <w:rFonts w:asciiTheme="minorHAnsi" w:hAnsiTheme="minorHAnsi" w:cstheme="minorHAnsi"/>
        </w:rPr>
        <w:t xml:space="preserve"> Creating larger specials classes so that fewer specials classes can cover more core teachers’ time</w:t>
      </w:r>
    </w:p>
    <w:p w14:paraId="688927FC" w14:textId="6186ECBC" w:rsidR="00EC138C" w:rsidRDefault="00EC138C" w:rsidP="002147C6">
      <w:pPr>
        <w:pStyle w:val="ListParagraph"/>
        <w:numPr>
          <w:ilvl w:val="1"/>
          <w:numId w:val="4"/>
        </w:numPr>
        <w:spacing w:line="240" w:lineRule="auto"/>
        <w:ind w:left="1800" w:right="690"/>
        <w:contextualSpacing/>
        <w:rPr>
          <w:rFonts w:asciiTheme="minorHAnsi" w:hAnsiTheme="minorHAnsi" w:cstheme="minorHAnsi"/>
        </w:rPr>
      </w:pPr>
      <w:r w:rsidRPr="009B1198">
        <w:rPr>
          <w:rFonts w:asciiTheme="minorHAnsi" w:hAnsiTheme="minorHAnsi" w:cstheme="minorHAnsi"/>
          <w:b/>
        </w:rPr>
        <w:t xml:space="preserve">Enrichment Periods: </w:t>
      </w:r>
      <w:r w:rsidRPr="009B1198">
        <w:rPr>
          <w:rFonts w:asciiTheme="minorHAnsi" w:hAnsiTheme="minorHAnsi" w:cstheme="minorHAnsi"/>
        </w:rPr>
        <w:t>Creating enrichment or intervention periods, covered by other adults, to allow teachers to plan</w:t>
      </w:r>
    </w:p>
    <w:p w14:paraId="1034D3E6" w14:textId="77777777" w:rsidR="001A6819" w:rsidRPr="00EF2CAF" w:rsidRDefault="001A6819" w:rsidP="001A6819">
      <w:pPr>
        <w:pStyle w:val="ListParagraph"/>
        <w:spacing w:line="240" w:lineRule="auto"/>
        <w:ind w:left="1620" w:right="690" w:firstLine="0"/>
        <w:contextualSpacing/>
        <w:rPr>
          <w:rFonts w:asciiTheme="minorHAnsi" w:hAnsiTheme="minorHAnsi" w:cstheme="minorHAnsi"/>
          <w:sz w:val="16"/>
          <w:szCs w:val="16"/>
        </w:rPr>
      </w:pPr>
    </w:p>
    <w:p w14:paraId="70CFD1F9" w14:textId="77777777" w:rsidR="00EC138C" w:rsidRPr="009B1198" w:rsidRDefault="00EC138C" w:rsidP="002147C6">
      <w:pPr>
        <w:pStyle w:val="ListParagraph"/>
        <w:numPr>
          <w:ilvl w:val="0"/>
          <w:numId w:val="4"/>
        </w:numPr>
        <w:spacing w:line="240" w:lineRule="auto"/>
        <w:ind w:left="1440" w:right="690"/>
        <w:contextualSpacing/>
        <w:rPr>
          <w:rFonts w:asciiTheme="minorHAnsi" w:hAnsiTheme="minorHAnsi" w:cstheme="minorHAnsi"/>
        </w:rPr>
      </w:pPr>
      <w:r w:rsidRPr="009B1198">
        <w:rPr>
          <w:rFonts w:asciiTheme="minorHAnsi" w:hAnsiTheme="minorHAnsi" w:cstheme="minorHAnsi"/>
        </w:rPr>
        <w:t xml:space="preserve">State of New Jersey Department of Education. </w:t>
      </w:r>
      <w:hyperlink r:id="rId30" w:history="1">
        <w:r w:rsidRPr="009B1198">
          <w:rPr>
            <w:rStyle w:val="Hyperlink"/>
            <w:rFonts w:asciiTheme="minorHAnsi" w:hAnsiTheme="minorHAnsi" w:cstheme="minorHAnsi"/>
          </w:rPr>
          <w:t>Collaborative Teams Toolkit</w:t>
        </w:r>
      </w:hyperlink>
      <w:r w:rsidRPr="009B1198">
        <w:rPr>
          <w:rFonts w:asciiTheme="minorHAnsi" w:hAnsiTheme="minorHAnsi" w:cstheme="minorHAnsi"/>
        </w:rPr>
        <w:t>. (2015).</w:t>
      </w:r>
    </w:p>
    <w:p w14:paraId="55E148F9" w14:textId="336D05B4" w:rsidR="00474C6C" w:rsidRPr="00802080" w:rsidRDefault="003E5D4B" w:rsidP="00474C6C">
      <w:pPr>
        <w:pStyle w:val="Heading1"/>
        <w:spacing w:before="0" w:line="240" w:lineRule="auto"/>
        <w:ind w:left="900" w:right="150"/>
        <w:rPr>
          <w:color w:val="A10067"/>
          <w:sz w:val="36"/>
          <w:szCs w:val="36"/>
        </w:rPr>
      </w:pPr>
      <w:bookmarkStart w:id="4" w:name="_Hlk536776185"/>
      <w:bookmarkEnd w:id="3"/>
      <w:r w:rsidRPr="00802080">
        <w:rPr>
          <w:color w:val="A10067"/>
          <w:sz w:val="36"/>
          <w:szCs w:val="36"/>
        </w:rPr>
        <w:lastRenderedPageBreak/>
        <w:t>4</w:t>
      </w:r>
      <w:r w:rsidR="00474C6C" w:rsidRPr="00802080">
        <w:rPr>
          <w:color w:val="A10067"/>
          <w:sz w:val="36"/>
          <w:szCs w:val="36"/>
        </w:rPr>
        <w:t>:</w:t>
      </w:r>
      <w:r w:rsidR="00474C6C" w:rsidRPr="00802080">
        <w:rPr>
          <w:color w:val="A10067"/>
          <w:sz w:val="36"/>
          <w:szCs w:val="36"/>
        </w:rPr>
        <w:tab/>
      </w:r>
      <w:r w:rsidRPr="00802080">
        <w:rPr>
          <w:color w:val="A10067"/>
          <w:sz w:val="36"/>
          <w:szCs w:val="36"/>
        </w:rPr>
        <w:t>Scenario</w:t>
      </w:r>
    </w:p>
    <w:p w14:paraId="3EB95345" w14:textId="77777777" w:rsidR="00474C6C" w:rsidRDefault="00474C6C" w:rsidP="00F169B6">
      <w:pPr>
        <w:spacing w:after="240" w:line="240" w:lineRule="auto"/>
        <w:ind w:left="900" w:right="690"/>
        <w:rPr>
          <w:rFonts w:eastAsia="Times New Roman"/>
          <w:color w:val="000000"/>
        </w:rPr>
      </w:pPr>
      <w:r>
        <w:rPr>
          <w:noProof/>
          <w:color w:val="A10067"/>
          <w:sz w:val="24"/>
          <w:szCs w:val="24"/>
        </w:rPr>
        <w:drawing>
          <wp:inline distT="0" distB="0" distL="0" distR="0" wp14:anchorId="66BC5D99" wp14:editId="20FCA3C5">
            <wp:extent cx="3035935" cy="36830"/>
            <wp:effectExtent l="0" t="0" r="0" b="1270"/>
            <wp:docPr id="7" name="Picture 7"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935" cy="36830"/>
                    </a:xfrm>
                    <a:prstGeom prst="rect">
                      <a:avLst/>
                    </a:prstGeom>
                    <a:noFill/>
                  </pic:spPr>
                </pic:pic>
              </a:graphicData>
            </a:graphic>
          </wp:inline>
        </w:drawing>
      </w:r>
    </w:p>
    <w:p w14:paraId="7FEE6CA1" w14:textId="15630336" w:rsidR="003E5D4B" w:rsidRPr="009B1198" w:rsidRDefault="003E5D4B" w:rsidP="00EF2CAF">
      <w:pPr>
        <w:spacing w:after="240"/>
        <w:ind w:left="900" w:right="330"/>
        <w:rPr>
          <w:rFonts w:asciiTheme="minorHAnsi" w:hAnsiTheme="minorHAnsi" w:cstheme="minorHAnsi"/>
          <w:i/>
        </w:rPr>
      </w:pPr>
      <w:r w:rsidRPr="009B1198">
        <w:rPr>
          <w:rFonts w:asciiTheme="minorHAnsi" w:hAnsiTheme="minorHAnsi" w:cstheme="minorHAnsi"/>
          <w:i/>
        </w:rPr>
        <w:t>The following scenario highlight</w:t>
      </w:r>
      <w:r>
        <w:rPr>
          <w:rFonts w:asciiTheme="minorHAnsi" w:hAnsiTheme="minorHAnsi" w:cstheme="minorHAnsi"/>
          <w:i/>
        </w:rPr>
        <w:t>s</w:t>
      </w:r>
      <w:r w:rsidRPr="009B1198">
        <w:rPr>
          <w:rFonts w:asciiTheme="minorHAnsi" w:hAnsiTheme="minorHAnsi" w:cstheme="minorHAnsi"/>
          <w:i/>
        </w:rPr>
        <w:t xml:space="preserve"> practices and approaches presented in the </w:t>
      </w:r>
      <w:r>
        <w:rPr>
          <w:rFonts w:asciiTheme="minorHAnsi" w:hAnsiTheme="minorHAnsi" w:cstheme="minorHAnsi"/>
          <w:i/>
        </w:rPr>
        <w:t>Department’s</w:t>
      </w:r>
      <w:r w:rsidRPr="009B1198">
        <w:rPr>
          <w:rFonts w:asciiTheme="minorHAnsi" w:hAnsiTheme="minorHAnsi" w:cstheme="minorHAnsi"/>
          <w:i/>
        </w:rPr>
        <w:t xml:space="preserve"> </w:t>
      </w:r>
      <w:r>
        <w:rPr>
          <w:rFonts w:asciiTheme="minorHAnsi" w:hAnsiTheme="minorHAnsi" w:cstheme="minorHAnsi"/>
          <w:i/>
        </w:rPr>
        <w:t xml:space="preserve">Guidance for </w:t>
      </w:r>
      <w:r w:rsidRPr="00491163">
        <w:rPr>
          <w:rFonts w:asciiTheme="minorHAnsi" w:hAnsiTheme="minorHAnsi" w:cstheme="minorHAnsi"/>
          <w:i/>
          <w:w w:val="95"/>
        </w:rPr>
        <w:t>Sheltered English Immersion Programs</w:t>
      </w:r>
      <w:r w:rsidRPr="009B1198">
        <w:rPr>
          <w:rFonts w:asciiTheme="minorHAnsi" w:hAnsiTheme="minorHAnsi" w:cstheme="minorHAnsi"/>
          <w:i/>
        </w:rPr>
        <w:t>. Given the great diversity of Massachusetts districts and their community characteristics, we can realistically expect that there will also be diverse approaches to SEI Program implementation.</w:t>
      </w:r>
    </w:p>
    <w:p w14:paraId="08A00977" w14:textId="77777777" w:rsidR="003E5D4B" w:rsidRPr="009B1198" w:rsidRDefault="003E5D4B" w:rsidP="00EF2CAF">
      <w:pPr>
        <w:spacing w:after="240"/>
        <w:ind w:left="900" w:right="330"/>
        <w:rPr>
          <w:rFonts w:asciiTheme="minorHAnsi" w:hAnsiTheme="minorHAnsi" w:cstheme="minorHAnsi"/>
          <w:i/>
        </w:rPr>
      </w:pPr>
      <w:r w:rsidRPr="009B1198">
        <w:rPr>
          <w:rFonts w:asciiTheme="minorHAnsi" w:hAnsiTheme="minorHAnsi" w:cstheme="minorHAnsi"/>
          <w:i/>
        </w:rPr>
        <w:t xml:space="preserve">We do not intend for the scenario to represent full implementation of all ideas proposed in the Guidance, but rather present them as snapshots of what districts and schools can do to put into practice recommendations from the Guidance. As such, we have based the scenario on a mix of what is currently happening in districts in Massachusetts, other states, and national trends in effective English learner education. We also hope that the scenario </w:t>
      </w:r>
      <w:proofErr w:type="gramStart"/>
      <w:r w:rsidRPr="009B1198">
        <w:rPr>
          <w:rFonts w:asciiTheme="minorHAnsi" w:hAnsiTheme="minorHAnsi" w:cstheme="minorHAnsi"/>
          <w:i/>
        </w:rPr>
        <w:t>serve</w:t>
      </w:r>
      <w:proofErr w:type="gramEnd"/>
      <w:r w:rsidRPr="009B1198">
        <w:rPr>
          <w:rFonts w:asciiTheme="minorHAnsi" w:hAnsiTheme="minorHAnsi" w:cstheme="minorHAnsi"/>
          <w:i/>
        </w:rPr>
        <w:t xml:space="preserve"> to model and inspire practitioners throughout Massachusetts to plan, act, document, and iterate their own cycles of learning.</w:t>
      </w:r>
    </w:p>
    <w:p w14:paraId="208D6C7F" w14:textId="77777777" w:rsidR="003E5D4B" w:rsidRPr="004E0FE2" w:rsidRDefault="003E5D4B" w:rsidP="003E5D4B">
      <w:pPr>
        <w:pStyle w:val="NoSpacing"/>
        <w:ind w:left="900" w:right="330"/>
        <w:rPr>
          <w:rFonts w:cstheme="minorHAnsi"/>
          <w:b/>
          <w:color w:val="A10067"/>
          <w:sz w:val="28"/>
          <w:szCs w:val="28"/>
        </w:rPr>
      </w:pPr>
      <w:bookmarkStart w:id="5" w:name="_Toc519517541"/>
      <w:bookmarkStart w:id="6" w:name="_Toc520214723"/>
      <w:r w:rsidRPr="004E0FE2">
        <w:rPr>
          <w:rFonts w:cstheme="minorHAnsi"/>
          <w:b/>
          <w:color w:val="A10067"/>
          <w:sz w:val="28"/>
          <w:szCs w:val="28"/>
        </w:rPr>
        <w:t>Scenario: SEI Content Area and ESL Teacher Collaboration</w:t>
      </w:r>
      <w:bookmarkEnd w:id="5"/>
      <w:bookmarkEnd w:id="6"/>
    </w:p>
    <w:p w14:paraId="6C8812E2" w14:textId="77777777" w:rsidR="003E5D4B" w:rsidRPr="004E0FE2" w:rsidRDefault="003E5D4B" w:rsidP="00EF2CAF">
      <w:pPr>
        <w:spacing w:after="240"/>
        <w:ind w:left="900" w:right="330"/>
        <w:rPr>
          <w:rFonts w:asciiTheme="minorHAnsi" w:hAnsiTheme="minorHAnsi" w:cstheme="minorHAnsi"/>
          <w:b/>
          <w:color w:val="A10067"/>
          <w:sz w:val="25"/>
          <w:szCs w:val="25"/>
        </w:rPr>
      </w:pPr>
      <w:r w:rsidRPr="004E0FE2">
        <w:rPr>
          <w:rFonts w:asciiTheme="minorHAnsi" w:hAnsiTheme="minorHAnsi" w:cstheme="minorHAnsi"/>
          <w:b/>
          <w:color w:val="A10067"/>
          <w:sz w:val="25"/>
          <w:szCs w:val="25"/>
        </w:rPr>
        <w:t>Setting: Elementary School, Mid-incidence</w:t>
      </w:r>
    </w:p>
    <w:p w14:paraId="09A67080" w14:textId="77777777" w:rsidR="003E5D4B" w:rsidRPr="009B1198" w:rsidRDefault="003E5D4B" w:rsidP="00EF2CAF">
      <w:pPr>
        <w:spacing w:after="240"/>
        <w:ind w:left="900" w:right="330"/>
        <w:rPr>
          <w:rFonts w:asciiTheme="minorHAnsi" w:hAnsiTheme="minorHAnsi" w:cstheme="minorHAnsi"/>
        </w:rPr>
      </w:pPr>
      <w:r w:rsidRPr="009B1198">
        <w:rPr>
          <w:rFonts w:asciiTheme="minorHAnsi" w:hAnsiTheme="minorHAnsi" w:cstheme="minorHAnsi"/>
        </w:rPr>
        <w:t>The push towards more teacher collaboration at District E. began with educators at a couple of elementary schools. Small clusters of general education teachers began experimenting with ESL teachers, co-teaching in classes that integrated English learners (ELs) at WIDA levels 2-4</w:t>
      </w:r>
      <w:r w:rsidRPr="009B1198">
        <w:rPr>
          <w:rStyle w:val="FootnoteReference"/>
          <w:rFonts w:asciiTheme="minorHAnsi" w:hAnsiTheme="minorHAnsi" w:cstheme="minorHAnsi"/>
        </w:rPr>
        <w:footnoteReference w:id="1"/>
      </w:r>
      <w:r w:rsidRPr="009B1198">
        <w:rPr>
          <w:rFonts w:asciiTheme="minorHAnsi" w:hAnsiTheme="minorHAnsi" w:cstheme="minorHAnsi"/>
        </w:rPr>
        <w:t xml:space="preserve"> as well as proficient English speakers. The ESL and content teachers co-taught during the general education classroom using a variety of arrangements, while the ESL teachers continued to meet with ELs at different times for ESL. Previous professional development led to these early experiments aimed at promoting language development alongside content learning. Sheltered content area teachers referenced strategies and best practices learned in </w:t>
      </w:r>
      <w:hyperlink r:id="rId31" w:history="1">
        <w:r w:rsidRPr="009B1198">
          <w:rPr>
            <w:rStyle w:val="Hyperlink"/>
            <w:rFonts w:asciiTheme="minorHAnsi" w:hAnsiTheme="minorHAnsi" w:cstheme="minorHAnsi"/>
          </w:rPr>
          <w:t>SEI Endorsement</w:t>
        </w:r>
      </w:hyperlink>
      <w:r w:rsidRPr="009B1198">
        <w:rPr>
          <w:rFonts w:asciiTheme="minorHAnsi" w:hAnsiTheme="minorHAnsi" w:cstheme="minorHAnsi"/>
        </w:rPr>
        <w:t xml:space="preserve"> courses as requiring regular, intentional opportunities to collaborate with other teachers working with ELs, such as ESL and special education teachers. Similarly, ESL teachers attending Next Generation ESL professional development brought back ideas for using resources such as the </w:t>
      </w:r>
      <w:hyperlink r:id="rId32" w:history="1">
        <w:r w:rsidRPr="009B1198">
          <w:rPr>
            <w:rStyle w:val="Hyperlink"/>
            <w:rFonts w:asciiTheme="minorHAnsi" w:hAnsiTheme="minorHAnsi" w:cstheme="minorHAnsi"/>
          </w:rPr>
          <w:t>Collaboration Tool</w:t>
        </w:r>
      </w:hyperlink>
      <w:r w:rsidRPr="009B1198">
        <w:rPr>
          <w:rFonts w:asciiTheme="minorHAnsi" w:hAnsiTheme="minorHAnsi" w:cstheme="minorHAnsi"/>
        </w:rPr>
        <w:t xml:space="preserve"> to plan instruction with general education and special education teachers. Together they used the Tool to develop district-based ESL curricula that prepared students to become proficient in English while also engaging with language needed to successfully engage with content area standards.</w:t>
      </w:r>
    </w:p>
    <w:p w14:paraId="1DC4B384" w14:textId="77777777" w:rsidR="003E5D4B" w:rsidRDefault="003E5D4B" w:rsidP="003E5D4B">
      <w:pPr>
        <w:ind w:left="900" w:right="330"/>
        <w:rPr>
          <w:rFonts w:asciiTheme="minorHAnsi" w:hAnsiTheme="minorHAnsi" w:cstheme="minorHAnsi"/>
        </w:rPr>
      </w:pPr>
      <w:r w:rsidRPr="009B1198">
        <w:rPr>
          <w:rFonts w:asciiTheme="minorHAnsi" w:hAnsiTheme="minorHAnsi" w:cstheme="minorHAnsi"/>
        </w:rPr>
        <w:t xml:space="preserve">In response, principals at Elementary U. and R. Elementary supported teacher efforts by realigning schedules so ESL and general education teachers at one or two grade levels could teach together during one English Language Arts period of the day. At their annual evaluations, these teachers could point to </w:t>
      </w:r>
      <w:hyperlink r:id="rId33" w:history="1">
        <w:r w:rsidRPr="009B1198">
          <w:rPr>
            <w:rStyle w:val="Hyperlink"/>
            <w:rFonts w:asciiTheme="minorHAnsi" w:hAnsiTheme="minorHAnsi" w:cstheme="minorHAnsi"/>
          </w:rPr>
          <w:t>ACCESS 2.0</w:t>
        </w:r>
      </w:hyperlink>
      <w:r w:rsidRPr="009B1198">
        <w:rPr>
          <w:rFonts w:asciiTheme="minorHAnsi" w:hAnsiTheme="minorHAnsi" w:cstheme="minorHAnsi"/>
        </w:rPr>
        <w:t xml:space="preserve"> and English Language Arts (ELA) test scores to show EL student improvement, but they reported needing more time to co-plan lessons and access additional professional development </w:t>
      </w:r>
      <w:bookmarkEnd w:id="4"/>
      <w:r w:rsidRPr="009B1198">
        <w:rPr>
          <w:rFonts w:asciiTheme="minorHAnsi" w:hAnsiTheme="minorHAnsi" w:cstheme="minorHAnsi"/>
        </w:rPr>
        <w:t xml:space="preserve">on co-teaching to maximize learning time. Early that summer, at the annual Principals’ Retreat, several other principals echoed similar sentiments among teachers in the district. </w:t>
      </w:r>
    </w:p>
    <w:p w14:paraId="4A4CB6B8" w14:textId="77777777" w:rsidR="003E5D4B" w:rsidRPr="009B1198" w:rsidRDefault="003E5D4B" w:rsidP="00EF2CAF">
      <w:pPr>
        <w:spacing w:after="240"/>
        <w:ind w:left="900" w:right="330"/>
        <w:rPr>
          <w:rFonts w:asciiTheme="minorHAnsi" w:hAnsiTheme="minorHAnsi" w:cstheme="minorHAnsi"/>
        </w:rPr>
      </w:pPr>
      <w:r w:rsidRPr="009B1198">
        <w:rPr>
          <w:rFonts w:asciiTheme="minorHAnsi" w:hAnsiTheme="minorHAnsi" w:cstheme="minorHAnsi"/>
        </w:rPr>
        <w:lastRenderedPageBreak/>
        <w:t>Conversations at the retreat led to additional discussions with the ELA and English Learner Education Curriculum Directors, who supported the idea of focusing teacher professional development the following year on collaborative practices for co-teaching in these areas at the elementary level. They considered this an opportunity to pilot the initiative, learn about the process, and potentially move towards scaling it to include middle and high school teachers in a year’s time.</w:t>
      </w:r>
    </w:p>
    <w:p w14:paraId="3D996023" w14:textId="7553E7E7" w:rsidR="003E5D4B" w:rsidRPr="009B1198" w:rsidRDefault="003E5D4B" w:rsidP="00EF2CAF">
      <w:pPr>
        <w:spacing w:after="240"/>
        <w:ind w:left="900" w:right="330"/>
        <w:rPr>
          <w:rFonts w:asciiTheme="minorHAnsi" w:hAnsiTheme="minorHAnsi" w:cstheme="minorHAnsi"/>
        </w:rPr>
      </w:pPr>
      <w:r w:rsidRPr="009B1198">
        <w:rPr>
          <w:rFonts w:asciiTheme="minorHAnsi" w:hAnsiTheme="minorHAnsi" w:cstheme="minorHAnsi"/>
        </w:rPr>
        <w:t>Principals began by gathering information from their teachers about ways to modify the schedule to include common teaching and planning time. By the end of the summer a couple of elementary schools had committed to trying out a new schedule that would stack planning times on Thursdays to allow for a double common planning time for co-teaching ELA and ESL teachers and having paraprofessionals cover recess and lunch to offset lost planning time on Fridays.</w:t>
      </w:r>
      <w:r w:rsidRPr="009B1198">
        <w:rPr>
          <w:rStyle w:val="FootnoteReference"/>
          <w:rFonts w:asciiTheme="minorHAnsi" w:hAnsiTheme="minorHAnsi" w:cstheme="minorHAnsi"/>
        </w:rPr>
        <w:footnoteReference w:id="2"/>
      </w:r>
      <w:r w:rsidRPr="009B1198">
        <w:rPr>
          <w:rFonts w:asciiTheme="minorHAnsi" w:hAnsiTheme="minorHAnsi" w:cstheme="minorHAnsi"/>
        </w:rPr>
        <w:t xml:space="preserve"> The schools modified schedules so ESL teachers could co-teach with at least one ELA teacher. Because the schools did not have enough ESL teachers to assign one per grade, this meant prioritizing co-planning opportunities at grades with the largest number of ELs. For example, at Elementary U. the largest number of ELs the following school year were in Kindergarten and second grade. Thus, the school modified the schedule so that the second</w:t>
      </w:r>
      <w:r w:rsidR="00EF2CAF">
        <w:rPr>
          <w:rFonts w:asciiTheme="minorHAnsi" w:hAnsiTheme="minorHAnsi" w:cstheme="minorHAnsi"/>
        </w:rPr>
        <w:t>-</w:t>
      </w:r>
      <w:r w:rsidRPr="009B1198">
        <w:rPr>
          <w:rFonts w:asciiTheme="minorHAnsi" w:hAnsiTheme="minorHAnsi" w:cstheme="minorHAnsi"/>
        </w:rPr>
        <w:t>grade teacher and one of the ESL teachers would co-teach during the ELA period and share planning periods. The ESL teacher kept her separate time for ESL with second graders at another time of the day. Based on these considerations, Elementary U. planned the schedule for second grade as follows:</w:t>
      </w:r>
    </w:p>
    <w:p w14:paraId="495FA7FC" w14:textId="77777777" w:rsidR="003E5D4B" w:rsidRPr="003E5D4B" w:rsidRDefault="003E5D4B" w:rsidP="003E5D4B">
      <w:pPr>
        <w:spacing w:line="240" w:lineRule="auto"/>
        <w:ind w:left="900" w:right="0"/>
        <w:jc w:val="left"/>
        <w:rPr>
          <w:rFonts w:eastAsia="Times New Roman"/>
          <w:i/>
        </w:rPr>
      </w:pPr>
      <w:r w:rsidRPr="003E5D4B">
        <w:rPr>
          <w:rFonts w:eastAsia="Times New Roman"/>
          <w:i/>
        </w:rPr>
        <w:t>Figure X: Elementary U. Modified Second Grade Schedule</w:t>
      </w:r>
    </w:p>
    <w:p w14:paraId="75BC4011" w14:textId="77777777" w:rsidR="003E5D4B" w:rsidRPr="003E5D4B" w:rsidRDefault="003E5D4B" w:rsidP="003E5D4B">
      <w:pPr>
        <w:spacing w:line="240" w:lineRule="auto"/>
        <w:ind w:left="0" w:right="0"/>
        <w:jc w:val="left"/>
        <w:rPr>
          <w:rFonts w:eastAsia="Times New Roman"/>
        </w:rPr>
      </w:pPr>
    </w:p>
    <w:tbl>
      <w:tblPr>
        <w:tblStyle w:val="TableGrid3"/>
        <w:tblW w:w="9585" w:type="dxa"/>
        <w:tblInd w:w="850" w:type="dxa"/>
        <w:tblLook w:val="04A0" w:firstRow="1" w:lastRow="0" w:firstColumn="1" w:lastColumn="0" w:noHBand="0" w:noVBand="1"/>
        <w:tblDescription w:val="Schedule"/>
      </w:tblPr>
      <w:tblGrid>
        <w:gridCol w:w="1615"/>
        <w:gridCol w:w="1580"/>
        <w:gridCol w:w="1530"/>
        <w:gridCol w:w="1620"/>
        <w:gridCol w:w="1530"/>
        <w:gridCol w:w="1710"/>
      </w:tblGrid>
      <w:tr w:rsidR="003E5D4B" w:rsidRPr="003E5D4B" w14:paraId="65D2F2F8" w14:textId="77777777" w:rsidTr="00AF29BC">
        <w:trPr>
          <w:tblHeader/>
        </w:trPr>
        <w:tc>
          <w:tcPr>
            <w:tcW w:w="1615" w:type="dxa"/>
          </w:tcPr>
          <w:p w14:paraId="51F2BDFE" w14:textId="77777777" w:rsidR="003E5D4B" w:rsidRPr="003E5D4B" w:rsidRDefault="003E5D4B" w:rsidP="003E5D4B">
            <w:pPr>
              <w:jc w:val="center"/>
              <w:rPr>
                <w:rFonts w:eastAsia="Times New Roman"/>
                <w:b/>
                <w:sz w:val="22"/>
                <w:szCs w:val="22"/>
              </w:rPr>
            </w:pPr>
            <w:r w:rsidRPr="003E5D4B">
              <w:rPr>
                <w:rFonts w:eastAsia="Times New Roman"/>
                <w:b/>
                <w:sz w:val="22"/>
                <w:szCs w:val="22"/>
              </w:rPr>
              <w:t>50 min periods</w:t>
            </w:r>
          </w:p>
        </w:tc>
        <w:tc>
          <w:tcPr>
            <w:tcW w:w="1580" w:type="dxa"/>
          </w:tcPr>
          <w:p w14:paraId="686F8FD0" w14:textId="77777777" w:rsidR="003E5D4B" w:rsidRPr="003E5D4B" w:rsidRDefault="003E5D4B" w:rsidP="003E5D4B">
            <w:pPr>
              <w:jc w:val="center"/>
              <w:rPr>
                <w:rFonts w:eastAsia="Times New Roman"/>
                <w:b/>
                <w:sz w:val="22"/>
                <w:szCs w:val="22"/>
              </w:rPr>
            </w:pPr>
            <w:r w:rsidRPr="003E5D4B">
              <w:rPr>
                <w:rFonts w:eastAsia="Times New Roman"/>
                <w:b/>
                <w:sz w:val="22"/>
                <w:szCs w:val="22"/>
              </w:rPr>
              <w:t>Monday</w:t>
            </w:r>
          </w:p>
        </w:tc>
        <w:tc>
          <w:tcPr>
            <w:tcW w:w="1530" w:type="dxa"/>
          </w:tcPr>
          <w:p w14:paraId="1AED16E6" w14:textId="77777777" w:rsidR="003E5D4B" w:rsidRPr="003E5D4B" w:rsidRDefault="003E5D4B" w:rsidP="003E5D4B">
            <w:pPr>
              <w:jc w:val="center"/>
              <w:rPr>
                <w:rFonts w:eastAsia="Times New Roman"/>
                <w:b/>
                <w:sz w:val="22"/>
                <w:szCs w:val="22"/>
              </w:rPr>
            </w:pPr>
            <w:r w:rsidRPr="003E5D4B">
              <w:rPr>
                <w:rFonts w:eastAsia="Times New Roman"/>
                <w:b/>
                <w:sz w:val="22"/>
                <w:szCs w:val="22"/>
              </w:rPr>
              <w:t>Tuesday</w:t>
            </w:r>
          </w:p>
        </w:tc>
        <w:tc>
          <w:tcPr>
            <w:tcW w:w="1620" w:type="dxa"/>
          </w:tcPr>
          <w:p w14:paraId="14944475" w14:textId="77777777" w:rsidR="003E5D4B" w:rsidRPr="003E5D4B" w:rsidRDefault="003E5D4B" w:rsidP="003E5D4B">
            <w:pPr>
              <w:jc w:val="center"/>
              <w:rPr>
                <w:rFonts w:eastAsia="Times New Roman"/>
                <w:b/>
                <w:sz w:val="22"/>
                <w:szCs w:val="22"/>
              </w:rPr>
            </w:pPr>
            <w:r w:rsidRPr="003E5D4B">
              <w:rPr>
                <w:rFonts w:eastAsia="Times New Roman"/>
                <w:b/>
                <w:sz w:val="22"/>
                <w:szCs w:val="22"/>
              </w:rPr>
              <w:t>Wednesday</w:t>
            </w:r>
          </w:p>
        </w:tc>
        <w:tc>
          <w:tcPr>
            <w:tcW w:w="1530" w:type="dxa"/>
          </w:tcPr>
          <w:p w14:paraId="1712FA3F" w14:textId="77777777" w:rsidR="003E5D4B" w:rsidRPr="003E5D4B" w:rsidRDefault="003E5D4B" w:rsidP="003E5D4B">
            <w:pPr>
              <w:jc w:val="center"/>
              <w:rPr>
                <w:rFonts w:eastAsia="Times New Roman"/>
                <w:b/>
                <w:sz w:val="22"/>
                <w:szCs w:val="22"/>
              </w:rPr>
            </w:pPr>
            <w:r w:rsidRPr="003E5D4B">
              <w:rPr>
                <w:rFonts w:eastAsia="Times New Roman"/>
                <w:b/>
                <w:sz w:val="22"/>
                <w:szCs w:val="22"/>
              </w:rPr>
              <w:t>Thursday</w:t>
            </w:r>
          </w:p>
        </w:tc>
        <w:tc>
          <w:tcPr>
            <w:tcW w:w="1710" w:type="dxa"/>
          </w:tcPr>
          <w:p w14:paraId="4E171023" w14:textId="77777777" w:rsidR="003E5D4B" w:rsidRPr="003E5D4B" w:rsidRDefault="003E5D4B" w:rsidP="003E5D4B">
            <w:pPr>
              <w:jc w:val="center"/>
              <w:rPr>
                <w:rFonts w:eastAsia="Times New Roman"/>
                <w:b/>
                <w:sz w:val="22"/>
                <w:szCs w:val="22"/>
              </w:rPr>
            </w:pPr>
            <w:r w:rsidRPr="003E5D4B">
              <w:rPr>
                <w:rFonts w:eastAsia="Times New Roman"/>
                <w:b/>
                <w:sz w:val="22"/>
                <w:szCs w:val="22"/>
              </w:rPr>
              <w:t>Friday</w:t>
            </w:r>
          </w:p>
        </w:tc>
      </w:tr>
      <w:tr w:rsidR="003E5D4B" w:rsidRPr="003E5D4B" w14:paraId="1083F75E" w14:textId="77777777" w:rsidTr="00AF29BC">
        <w:trPr>
          <w:tblHeader/>
        </w:trPr>
        <w:tc>
          <w:tcPr>
            <w:tcW w:w="1615" w:type="dxa"/>
          </w:tcPr>
          <w:p w14:paraId="68BFEF48" w14:textId="77777777" w:rsidR="003E5D4B" w:rsidRPr="003E5D4B" w:rsidRDefault="003E5D4B" w:rsidP="003E5D4B">
            <w:pPr>
              <w:rPr>
                <w:rFonts w:eastAsia="Times New Roman"/>
                <w:sz w:val="22"/>
                <w:szCs w:val="22"/>
              </w:rPr>
            </w:pPr>
            <w:r w:rsidRPr="003E5D4B">
              <w:rPr>
                <w:rFonts w:eastAsia="Times New Roman"/>
                <w:sz w:val="22"/>
                <w:szCs w:val="22"/>
              </w:rPr>
              <w:t>8:15 – 9:05</w:t>
            </w:r>
          </w:p>
        </w:tc>
        <w:tc>
          <w:tcPr>
            <w:tcW w:w="1580" w:type="dxa"/>
          </w:tcPr>
          <w:p w14:paraId="264B792C"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c>
          <w:tcPr>
            <w:tcW w:w="1530" w:type="dxa"/>
          </w:tcPr>
          <w:p w14:paraId="3874428F"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c>
          <w:tcPr>
            <w:tcW w:w="1620" w:type="dxa"/>
          </w:tcPr>
          <w:p w14:paraId="5F2A3CEB"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c>
          <w:tcPr>
            <w:tcW w:w="1530" w:type="dxa"/>
          </w:tcPr>
          <w:p w14:paraId="726FDC75"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c>
          <w:tcPr>
            <w:tcW w:w="1710" w:type="dxa"/>
          </w:tcPr>
          <w:p w14:paraId="48697395"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r>
      <w:tr w:rsidR="003E5D4B" w:rsidRPr="003E5D4B" w14:paraId="03516B4B" w14:textId="77777777" w:rsidTr="00AF29BC">
        <w:trPr>
          <w:tblHeader/>
        </w:trPr>
        <w:tc>
          <w:tcPr>
            <w:tcW w:w="1615" w:type="dxa"/>
          </w:tcPr>
          <w:p w14:paraId="31B59BA1" w14:textId="77777777" w:rsidR="003E5D4B" w:rsidRPr="003E5D4B" w:rsidRDefault="003E5D4B" w:rsidP="003E5D4B">
            <w:pPr>
              <w:rPr>
                <w:rFonts w:eastAsia="Times New Roman"/>
                <w:sz w:val="22"/>
                <w:szCs w:val="22"/>
              </w:rPr>
            </w:pPr>
            <w:r w:rsidRPr="003E5D4B">
              <w:rPr>
                <w:rFonts w:eastAsia="Times New Roman"/>
                <w:sz w:val="22"/>
                <w:szCs w:val="22"/>
              </w:rPr>
              <w:t>9:05 – 9:55</w:t>
            </w:r>
          </w:p>
        </w:tc>
        <w:tc>
          <w:tcPr>
            <w:tcW w:w="1580" w:type="dxa"/>
          </w:tcPr>
          <w:p w14:paraId="1F203819"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c>
          <w:tcPr>
            <w:tcW w:w="1530" w:type="dxa"/>
          </w:tcPr>
          <w:p w14:paraId="3214CAEF"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c>
          <w:tcPr>
            <w:tcW w:w="1620" w:type="dxa"/>
          </w:tcPr>
          <w:p w14:paraId="62BA00F9"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c>
          <w:tcPr>
            <w:tcW w:w="1530" w:type="dxa"/>
          </w:tcPr>
          <w:p w14:paraId="14C43B9C"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c>
          <w:tcPr>
            <w:tcW w:w="1710" w:type="dxa"/>
          </w:tcPr>
          <w:p w14:paraId="472F7968" w14:textId="77777777" w:rsidR="003E5D4B" w:rsidRPr="003E5D4B" w:rsidRDefault="003E5D4B" w:rsidP="003E5D4B">
            <w:pPr>
              <w:jc w:val="center"/>
              <w:rPr>
                <w:rFonts w:eastAsia="Times New Roman"/>
                <w:sz w:val="22"/>
                <w:szCs w:val="22"/>
              </w:rPr>
            </w:pPr>
            <w:r w:rsidRPr="003E5D4B">
              <w:rPr>
                <w:rFonts w:eastAsia="Times New Roman"/>
                <w:sz w:val="22"/>
                <w:szCs w:val="22"/>
              </w:rPr>
              <w:t>Math</w:t>
            </w:r>
          </w:p>
        </w:tc>
      </w:tr>
      <w:tr w:rsidR="003E5D4B" w:rsidRPr="003E5D4B" w14:paraId="46DB9A6D" w14:textId="77777777" w:rsidTr="00AF29BC">
        <w:trPr>
          <w:tblHeader/>
        </w:trPr>
        <w:tc>
          <w:tcPr>
            <w:tcW w:w="1615" w:type="dxa"/>
          </w:tcPr>
          <w:p w14:paraId="658DCDEC" w14:textId="77777777" w:rsidR="003E5D4B" w:rsidRPr="003E5D4B" w:rsidRDefault="003E5D4B" w:rsidP="003E5D4B">
            <w:pPr>
              <w:rPr>
                <w:rFonts w:eastAsia="Times New Roman"/>
                <w:sz w:val="22"/>
                <w:szCs w:val="22"/>
              </w:rPr>
            </w:pPr>
            <w:r w:rsidRPr="003E5D4B">
              <w:rPr>
                <w:rFonts w:eastAsia="Times New Roman"/>
                <w:sz w:val="22"/>
                <w:szCs w:val="22"/>
              </w:rPr>
              <w:t>9:55 – 10: 45</w:t>
            </w:r>
          </w:p>
        </w:tc>
        <w:tc>
          <w:tcPr>
            <w:tcW w:w="1580" w:type="dxa"/>
          </w:tcPr>
          <w:p w14:paraId="0C21C0FD" w14:textId="77777777" w:rsidR="003E5D4B" w:rsidRPr="003E5D4B" w:rsidRDefault="003E5D4B" w:rsidP="003E5D4B">
            <w:pPr>
              <w:jc w:val="center"/>
              <w:rPr>
                <w:rFonts w:eastAsia="Times New Roman"/>
                <w:sz w:val="22"/>
                <w:szCs w:val="22"/>
              </w:rPr>
            </w:pPr>
            <w:r w:rsidRPr="003E5D4B">
              <w:rPr>
                <w:rFonts w:eastAsia="Times New Roman"/>
                <w:sz w:val="22"/>
                <w:szCs w:val="22"/>
              </w:rPr>
              <w:t>ELA/R</w:t>
            </w:r>
          </w:p>
          <w:p w14:paraId="05F563C2" w14:textId="77777777" w:rsidR="003E5D4B" w:rsidRPr="003E5D4B" w:rsidRDefault="003E5D4B" w:rsidP="003E5D4B">
            <w:pPr>
              <w:jc w:val="center"/>
              <w:rPr>
                <w:rFonts w:eastAsia="Times New Roman"/>
                <w:sz w:val="22"/>
                <w:szCs w:val="22"/>
              </w:rPr>
            </w:pPr>
            <w:r w:rsidRPr="003E5D4B">
              <w:rPr>
                <w:rFonts w:eastAsia="Times New Roman"/>
                <w:sz w:val="22"/>
                <w:szCs w:val="22"/>
              </w:rPr>
              <w:t>(Co-teaching)</w:t>
            </w:r>
          </w:p>
        </w:tc>
        <w:tc>
          <w:tcPr>
            <w:tcW w:w="1530" w:type="dxa"/>
          </w:tcPr>
          <w:p w14:paraId="3200C5A5" w14:textId="77777777" w:rsidR="003E5D4B" w:rsidRPr="003E5D4B" w:rsidRDefault="003E5D4B" w:rsidP="003E5D4B">
            <w:pPr>
              <w:jc w:val="center"/>
              <w:rPr>
                <w:rFonts w:eastAsia="Times New Roman"/>
                <w:sz w:val="22"/>
                <w:szCs w:val="22"/>
              </w:rPr>
            </w:pPr>
            <w:r w:rsidRPr="003E5D4B">
              <w:rPr>
                <w:rFonts w:eastAsia="Times New Roman"/>
                <w:sz w:val="22"/>
                <w:szCs w:val="22"/>
              </w:rPr>
              <w:t>ELA/R</w:t>
            </w:r>
          </w:p>
          <w:p w14:paraId="62AB1F4F" w14:textId="77777777" w:rsidR="003E5D4B" w:rsidRPr="003E5D4B" w:rsidRDefault="003E5D4B" w:rsidP="003E5D4B">
            <w:pPr>
              <w:jc w:val="center"/>
              <w:rPr>
                <w:rFonts w:eastAsia="Times New Roman"/>
                <w:sz w:val="22"/>
                <w:szCs w:val="22"/>
              </w:rPr>
            </w:pPr>
            <w:r w:rsidRPr="003E5D4B">
              <w:rPr>
                <w:rFonts w:eastAsia="Times New Roman"/>
                <w:sz w:val="22"/>
                <w:szCs w:val="22"/>
              </w:rPr>
              <w:t>(Co-teaching)</w:t>
            </w:r>
          </w:p>
        </w:tc>
        <w:tc>
          <w:tcPr>
            <w:tcW w:w="1620" w:type="dxa"/>
          </w:tcPr>
          <w:p w14:paraId="59DD07C5" w14:textId="77777777" w:rsidR="003E5D4B" w:rsidRPr="003E5D4B" w:rsidRDefault="003E5D4B" w:rsidP="003E5D4B">
            <w:pPr>
              <w:jc w:val="center"/>
              <w:rPr>
                <w:rFonts w:eastAsia="Times New Roman"/>
                <w:sz w:val="22"/>
                <w:szCs w:val="22"/>
              </w:rPr>
            </w:pPr>
            <w:r w:rsidRPr="003E5D4B">
              <w:rPr>
                <w:rFonts w:eastAsia="Times New Roman"/>
                <w:sz w:val="22"/>
                <w:szCs w:val="22"/>
              </w:rPr>
              <w:t>ELA/R</w:t>
            </w:r>
          </w:p>
          <w:p w14:paraId="0F7FE3E4" w14:textId="77777777" w:rsidR="003E5D4B" w:rsidRPr="003E5D4B" w:rsidRDefault="003E5D4B" w:rsidP="003E5D4B">
            <w:pPr>
              <w:jc w:val="center"/>
              <w:rPr>
                <w:rFonts w:eastAsia="Times New Roman"/>
                <w:sz w:val="22"/>
                <w:szCs w:val="22"/>
              </w:rPr>
            </w:pPr>
            <w:r w:rsidRPr="003E5D4B">
              <w:rPr>
                <w:rFonts w:eastAsia="Times New Roman"/>
                <w:sz w:val="22"/>
                <w:szCs w:val="22"/>
              </w:rPr>
              <w:t>(Co-teaching)</w:t>
            </w:r>
          </w:p>
        </w:tc>
        <w:tc>
          <w:tcPr>
            <w:tcW w:w="1530" w:type="dxa"/>
          </w:tcPr>
          <w:p w14:paraId="385654B5" w14:textId="77777777" w:rsidR="003E5D4B" w:rsidRPr="003E5D4B" w:rsidRDefault="003E5D4B" w:rsidP="003E5D4B">
            <w:pPr>
              <w:jc w:val="center"/>
              <w:rPr>
                <w:rFonts w:eastAsia="Times New Roman"/>
                <w:sz w:val="22"/>
                <w:szCs w:val="22"/>
              </w:rPr>
            </w:pPr>
            <w:r w:rsidRPr="003E5D4B">
              <w:rPr>
                <w:rFonts w:eastAsia="Times New Roman"/>
                <w:sz w:val="22"/>
                <w:szCs w:val="22"/>
              </w:rPr>
              <w:t>ELA/R</w:t>
            </w:r>
          </w:p>
          <w:p w14:paraId="62FC640A" w14:textId="77777777" w:rsidR="003E5D4B" w:rsidRPr="003E5D4B" w:rsidRDefault="003E5D4B" w:rsidP="003E5D4B">
            <w:pPr>
              <w:jc w:val="center"/>
              <w:rPr>
                <w:rFonts w:eastAsia="Times New Roman"/>
                <w:sz w:val="22"/>
                <w:szCs w:val="22"/>
              </w:rPr>
            </w:pPr>
            <w:r w:rsidRPr="003E5D4B">
              <w:rPr>
                <w:rFonts w:eastAsia="Times New Roman"/>
                <w:sz w:val="22"/>
                <w:szCs w:val="22"/>
              </w:rPr>
              <w:t>(Co-teaching)</w:t>
            </w:r>
          </w:p>
        </w:tc>
        <w:tc>
          <w:tcPr>
            <w:tcW w:w="1710" w:type="dxa"/>
          </w:tcPr>
          <w:p w14:paraId="0796CDFF" w14:textId="77777777" w:rsidR="003E5D4B" w:rsidRPr="003E5D4B" w:rsidRDefault="003E5D4B" w:rsidP="003E5D4B">
            <w:pPr>
              <w:jc w:val="center"/>
              <w:rPr>
                <w:rFonts w:eastAsia="Times New Roman"/>
                <w:sz w:val="22"/>
                <w:szCs w:val="22"/>
              </w:rPr>
            </w:pPr>
            <w:r w:rsidRPr="003E5D4B">
              <w:rPr>
                <w:rFonts w:eastAsia="Times New Roman"/>
                <w:sz w:val="22"/>
                <w:szCs w:val="22"/>
              </w:rPr>
              <w:t>ELA/R</w:t>
            </w:r>
          </w:p>
          <w:p w14:paraId="3F695480" w14:textId="77777777" w:rsidR="003E5D4B" w:rsidRPr="003E5D4B" w:rsidRDefault="003E5D4B" w:rsidP="003E5D4B">
            <w:pPr>
              <w:jc w:val="center"/>
              <w:rPr>
                <w:rFonts w:eastAsia="Times New Roman"/>
                <w:sz w:val="22"/>
                <w:szCs w:val="22"/>
              </w:rPr>
            </w:pPr>
            <w:r w:rsidRPr="003E5D4B">
              <w:rPr>
                <w:rFonts w:eastAsia="Times New Roman"/>
                <w:sz w:val="22"/>
                <w:szCs w:val="22"/>
              </w:rPr>
              <w:t>(Co-teaching)</w:t>
            </w:r>
          </w:p>
        </w:tc>
      </w:tr>
      <w:tr w:rsidR="003E5D4B" w:rsidRPr="003E5D4B" w14:paraId="542CEF57" w14:textId="77777777" w:rsidTr="00AF29BC">
        <w:trPr>
          <w:tblHeader/>
        </w:trPr>
        <w:tc>
          <w:tcPr>
            <w:tcW w:w="1615" w:type="dxa"/>
          </w:tcPr>
          <w:p w14:paraId="71C01EF6" w14:textId="77777777" w:rsidR="003E5D4B" w:rsidRPr="003E5D4B" w:rsidRDefault="003E5D4B" w:rsidP="003E5D4B">
            <w:pPr>
              <w:rPr>
                <w:rFonts w:eastAsia="Times New Roman"/>
                <w:sz w:val="22"/>
                <w:szCs w:val="22"/>
              </w:rPr>
            </w:pPr>
            <w:r w:rsidRPr="003E5D4B">
              <w:rPr>
                <w:rFonts w:eastAsia="Times New Roman"/>
                <w:sz w:val="22"/>
                <w:szCs w:val="22"/>
              </w:rPr>
              <w:t>10:45 – 11:35</w:t>
            </w:r>
          </w:p>
        </w:tc>
        <w:tc>
          <w:tcPr>
            <w:tcW w:w="1580" w:type="dxa"/>
          </w:tcPr>
          <w:p w14:paraId="7270BBA0"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ELA/R Centers or</w:t>
            </w:r>
          </w:p>
          <w:p w14:paraId="69DAD77E"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ESL (ELs)</w:t>
            </w:r>
          </w:p>
        </w:tc>
        <w:tc>
          <w:tcPr>
            <w:tcW w:w="1530" w:type="dxa"/>
          </w:tcPr>
          <w:p w14:paraId="0B89EC0C"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ELA/R Centers or</w:t>
            </w:r>
          </w:p>
          <w:p w14:paraId="453131B8"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ESL (ELs)</w:t>
            </w:r>
          </w:p>
        </w:tc>
        <w:tc>
          <w:tcPr>
            <w:tcW w:w="1620" w:type="dxa"/>
          </w:tcPr>
          <w:p w14:paraId="0B4D43E0"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ELA/R Centers or</w:t>
            </w:r>
          </w:p>
          <w:p w14:paraId="2E31AEA9"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ESL (ELs)</w:t>
            </w:r>
          </w:p>
        </w:tc>
        <w:tc>
          <w:tcPr>
            <w:tcW w:w="1530" w:type="dxa"/>
          </w:tcPr>
          <w:p w14:paraId="43064B68"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ELA/R Centers or</w:t>
            </w:r>
          </w:p>
          <w:p w14:paraId="6387AF98"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ESL (ELs)</w:t>
            </w:r>
          </w:p>
        </w:tc>
        <w:tc>
          <w:tcPr>
            <w:tcW w:w="1710" w:type="dxa"/>
          </w:tcPr>
          <w:p w14:paraId="676839C0"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ELA/R Centers or</w:t>
            </w:r>
          </w:p>
          <w:p w14:paraId="247C6B4B" w14:textId="77777777" w:rsidR="003E5D4B" w:rsidRPr="003E5D4B" w:rsidRDefault="003E5D4B" w:rsidP="003E5D4B">
            <w:pPr>
              <w:jc w:val="center"/>
              <w:rPr>
                <w:rFonts w:eastAsia="Times New Roman"/>
                <w:sz w:val="22"/>
                <w:szCs w:val="22"/>
                <w:lang w:val="pt-BR"/>
              </w:rPr>
            </w:pPr>
            <w:r w:rsidRPr="003E5D4B">
              <w:rPr>
                <w:rFonts w:eastAsia="Times New Roman"/>
                <w:sz w:val="22"/>
                <w:szCs w:val="22"/>
                <w:lang w:val="pt-BR"/>
              </w:rPr>
              <w:t>ESL (ELs)</w:t>
            </w:r>
          </w:p>
        </w:tc>
      </w:tr>
      <w:tr w:rsidR="003E5D4B" w:rsidRPr="003E5D4B" w14:paraId="4E9D07C8" w14:textId="77777777" w:rsidTr="00AF29BC">
        <w:trPr>
          <w:tblHeader/>
        </w:trPr>
        <w:tc>
          <w:tcPr>
            <w:tcW w:w="1615" w:type="dxa"/>
          </w:tcPr>
          <w:p w14:paraId="5AE6C74D" w14:textId="77777777" w:rsidR="003E5D4B" w:rsidRPr="003E5D4B" w:rsidRDefault="003E5D4B" w:rsidP="003E5D4B">
            <w:pPr>
              <w:rPr>
                <w:rFonts w:eastAsia="Times New Roman"/>
                <w:sz w:val="22"/>
                <w:szCs w:val="22"/>
              </w:rPr>
            </w:pPr>
            <w:r w:rsidRPr="003E5D4B">
              <w:rPr>
                <w:rFonts w:eastAsia="Times New Roman"/>
                <w:sz w:val="22"/>
                <w:szCs w:val="22"/>
              </w:rPr>
              <w:t>11:35 – 12:10</w:t>
            </w:r>
          </w:p>
        </w:tc>
        <w:tc>
          <w:tcPr>
            <w:tcW w:w="7970" w:type="dxa"/>
            <w:gridSpan w:val="5"/>
            <w:shd w:val="clear" w:color="auto" w:fill="F2F2F2"/>
          </w:tcPr>
          <w:p w14:paraId="6278C7FC" w14:textId="77777777" w:rsidR="003E5D4B" w:rsidRPr="003E5D4B" w:rsidRDefault="003E5D4B" w:rsidP="003E5D4B">
            <w:pPr>
              <w:jc w:val="center"/>
              <w:rPr>
                <w:rFonts w:eastAsia="Times New Roman"/>
                <w:sz w:val="22"/>
                <w:szCs w:val="22"/>
              </w:rPr>
            </w:pPr>
            <w:r w:rsidRPr="003E5D4B">
              <w:rPr>
                <w:rFonts w:eastAsia="Times New Roman"/>
                <w:sz w:val="22"/>
                <w:szCs w:val="22"/>
              </w:rPr>
              <w:t>Recess &amp; Lunch</w:t>
            </w:r>
          </w:p>
        </w:tc>
      </w:tr>
      <w:tr w:rsidR="003E5D4B" w:rsidRPr="003E5D4B" w14:paraId="1FADD14F" w14:textId="77777777" w:rsidTr="00AF29BC">
        <w:trPr>
          <w:tblHeader/>
        </w:trPr>
        <w:tc>
          <w:tcPr>
            <w:tcW w:w="1615" w:type="dxa"/>
          </w:tcPr>
          <w:p w14:paraId="79405972" w14:textId="77777777" w:rsidR="003E5D4B" w:rsidRPr="003E5D4B" w:rsidRDefault="003E5D4B" w:rsidP="003E5D4B">
            <w:pPr>
              <w:rPr>
                <w:rFonts w:eastAsia="Times New Roman"/>
                <w:sz w:val="22"/>
                <w:szCs w:val="22"/>
              </w:rPr>
            </w:pPr>
            <w:r w:rsidRPr="003E5D4B">
              <w:rPr>
                <w:rFonts w:eastAsia="Times New Roman"/>
                <w:sz w:val="22"/>
                <w:szCs w:val="22"/>
              </w:rPr>
              <w:t>12:10 – 1:00</w:t>
            </w:r>
          </w:p>
        </w:tc>
        <w:tc>
          <w:tcPr>
            <w:tcW w:w="1580" w:type="dxa"/>
          </w:tcPr>
          <w:p w14:paraId="34B469CB" w14:textId="77777777" w:rsidR="003E5D4B" w:rsidRPr="003E5D4B" w:rsidRDefault="003E5D4B" w:rsidP="003E5D4B">
            <w:pPr>
              <w:jc w:val="center"/>
              <w:rPr>
                <w:rFonts w:eastAsia="Times New Roman"/>
                <w:sz w:val="22"/>
                <w:szCs w:val="22"/>
              </w:rPr>
            </w:pPr>
            <w:r w:rsidRPr="003E5D4B">
              <w:rPr>
                <w:rFonts w:eastAsia="Times New Roman"/>
                <w:sz w:val="22"/>
                <w:szCs w:val="22"/>
              </w:rPr>
              <w:t>Intervention</w:t>
            </w:r>
          </w:p>
        </w:tc>
        <w:tc>
          <w:tcPr>
            <w:tcW w:w="1530" w:type="dxa"/>
          </w:tcPr>
          <w:p w14:paraId="084B627F" w14:textId="77777777" w:rsidR="003E5D4B" w:rsidRPr="003E5D4B" w:rsidRDefault="003E5D4B" w:rsidP="003E5D4B">
            <w:pPr>
              <w:jc w:val="center"/>
              <w:rPr>
                <w:rFonts w:eastAsia="Times New Roman"/>
                <w:sz w:val="22"/>
                <w:szCs w:val="22"/>
              </w:rPr>
            </w:pPr>
            <w:r w:rsidRPr="003E5D4B">
              <w:rPr>
                <w:rFonts w:eastAsia="Times New Roman"/>
                <w:sz w:val="22"/>
                <w:szCs w:val="22"/>
              </w:rPr>
              <w:t>Intervention</w:t>
            </w:r>
          </w:p>
        </w:tc>
        <w:tc>
          <w:tcPr>
            <w:tcW w:w="1620" w:type="dxa"/>
          </w:tcPr>
          <w:p w14:paraId="4F0E5C21" w14:textId="77777777" w:rsidR="003E5D4B" w:rsidRPr="003E5D4B" w:rsidRDefault="003E5D4B" w:rsidP="003E5D4B">
            <w:pPr>
              <w:jc w:val="center"/>
              <w:rPr>
                <w:rFonts w:eastAsia="Times New Roman"/>
                <w:sz w:val="22"/>
                <w:szCs w:val="22"/>
              </w:rPr>
            </w:pPr>
            <w:r w:rsidRPr="003E5D4B">
              <w:rPr>
                <w:rFonts w:eastAsia="Times New Roman"/>
                <w:sz w:val="22"/>
                <w:szCs w:val="22"/>
              </w:rPr>
              <w:t>Intervention</w:t>
            </w:r>
          </w:p>
        </w:tc>
        <w:tc>
          <w:tcPr>
            <w:tcW w:w="1530" w:type="dxa"/>
          </w:tcPr>
          <w:p w14:paraId="74F14E74" w14:textId="77777777" w:rsidR="003E5D4B" w:rsidRPr="003E5D4B" w:rsidRDefault="003E5D4B" w:rsidP="003E5D4B">
            <w:pPr>
              <w:jc w:val="center"/>
              <w:rPr>
                <w:rFonts w:eastAsia="Times New Roman"/>
                <w:sz w:val="22"/>
                <w:szCs w:val="22"/>
              </w:rPr>
            </w:pPr>
            <w:r w:rsidRPr="003E5D4B">
              <w:rPr>
                <w:rFonts w:eastAsia="Times New Roman"/>
                <w:sz w:val="22"/>
                <w:szCs w:val="22"/>
              </w:rPr>
              <w:t>Intervention</w:t>
            </w:r>
          </w:p>
        </w:tc>
        <w:tc>
          <w:tcPr>
            <w:tcW w:w="1710" w:type="dxa"/>
          </w:tcPr>
          <w:p w14:paraId="685BAAA1" w14:textId="77777777" w:rsidR="003E5D4B" w:rsidRPr="003E5D4B" w:rsidRDefault="003E5D4B" w:rsidP="003E5D4B">
            <w:pPr>
              <w:jc w:val="center"/>
              <w:rPr>
                <w:rFonts w:eastAsia="Times New Roman"/>
                <w:sz w:val="22"/>
                <w:szCs w:val="22"/>
              </w:rPr>
            </w:pPr>
            <w:r w:rsidRPr="003E5D4B">
              <w:rPr>
                <w:rFonts w:eastAsia="Times New Roman"/>
                <w:sz w:val="22"/>
                <w:szCs w:val="22"/>
              </w:rPr>
              <w:t>Intervention</w:t>
            </w:r>
          </w:p>
        </w:tc>
      </w:tr>
      <w:tr w:rsidR="003E5D4B" w:rsidRPr="003E5D4B" w14:paraId="3F50BCD9" w14:textId="77777777" w:rsidTr="00AF29BC">
        <w:trPr>
          <w:tblHeader/>
        </w:trPr>
        <w:tc>
          <w:tcPr>
            <w:tcW w:w="1615" w:type="dxa"/>
          </w:tcPr>
          <w:p w14:paraId="6A438FF9" w14:textId="77777777" w:rsidR="003E5D4B" w:rsidRPr="003E5D4B" w:rsidRDefault="003E5D4B" w:rsidP="003E5D4B">
            <w:pPr>
              <w:rPr>
                <w:rFonts w:eastAsia="Times New Roman"/>
                <w:sz w:val="22"/>
                <w:szCs w:val="22"/>
              </w:rPr>
            </w:pPr>
            <w:r w:rsidRPr="003E5D4B">
              <w:rPr>
                <w:rFonts w:eastAsia="Times New Roman"/>
                <w:sz w:val="22"/>
                <w:szCs w:val="22"/>
              </w:rPr>
              <w:t>1:00 – 1:50</w:t>
            </w:r>
          </w:p>
        </w:tc>
        <w:tc>
          <w:tcPr>
            <w:tcW w:w="1580" w:type="dxa"/>
            <w:shd w:val="clear" w:color="auto" w:fill="D9E2F3"/>
          </w:tcPr>
          <w:p w14:paraId="3CF74037" w14:textId="77777777" w:rsidR="003E5D4B" w:rsidRPr="003E5D4B" w:rsidRDefault="003E5D4B" w:rsidP="003E5D4B">
            <w:pPr>
              <w:jc w:val="center"/>
              <w:rPr>
                <w:rFonts w:eastAsia="Times New Roman"/>
                <w:sz w:val="22"/>
                <w:szCs w:val="22"/>
              </w:rPr>
            </w:pPr>
            <w:r w:rsidRPr="003E5D4B">
              <w:rPr>
                <w:rFonts w:eastAsia="Times New Roman"/>
                <w:sz w:val="22"/>
                <w:szCs w:val="22"/>
              </w:rPr>
              <w:t>Specials/Plan</w:t>
            </w:r>
          </w:p>
        </w:tc>
        <w:tc>
          <w:tcPr>
            <w:tcW w:w="1530" w:type="dxa"/>
            <w:shd w:val="clear" w:color="auto" w:fill="D9E2F3"/>
          </w:tcPr>
          <w:p w14:paraId="74674203" w14:textId="77777777" w:rsidR="003E5D4B" w:rsidRPr="003E5D4B" w:rsidRDefault="003E5D4B" w:rsidP="003E5D4B">
            <w:pPr>
              <w:jc w:val="center"/>
              <w:rPr>
                <w:rFonts w:eastAsia="Times New Roman"/>
                <w:sz w:val="22"/>
                <w:szCs w:val="22"/>
              </w:rPr>
            </w:pPr>
            <w:r w:rsidRPr="003E5D4B">
              <w:rPr>
                <w:rFonts w:eastAsia="Times New Roman"/>
                <w:sz w:val="22"/>
                <w:szCs w:val="22"/>
              </w:rPr>
              <w:t>Specials/Plan</w:t>
            </w:r>
          </w:p>
        </w:tc>
        <w:tc>
          <w:tcPr>
            <w:tcW w:w="1620" w:type="dxa"/>
            <w:shd w:val="clear" w:color="auto" w:fill="D9E2F3"/>
          </w:tcPr>
          <w:p w14:paraId="385C6A98" w14:textId="77777777" w:rsidR="003E5D4B" w:rsidRPr="003E5D4B" w:rsidRDefault="003E5D4B" w:rsidP="003E5D4B">
            <w:pPr>
              <w:jc w:val="center"/>
              <w:rPr>
                <w:rFonts w:eastAsia="Times New Roman"/>
                <w:sz w:val="22"/>
                <w:szCs w:val="22"/>
              </w:rPr>
            </w:pPr>
            <w:r w:rsidRPr="003E5D4B">
              <w:rPr>
                <w:rFonts w:eastAsia="Times New Roman"/>
                <w:sz w:val="22"/>
                <w:szCs w:val="22"/>
              </w:rPr>
              <w:t>Specials/Plan</w:t>
            </w:r>
          </w:p>
        </w:tc>
        <w:tc>
          <w:tcPr>
            <w:tcW w:w="1530" w:type="dxa"/>
            <w:vMerge w:val="restart"/>
            <w:shd w:val="clear" w:color="auto" w:fill="D9E2F3"/>
          </w:tcPr>
          <w:p w14:paraId="4C722CA6" w14:textId="77777777" w:rsidR="003E5D4B" w:rsidRPr="003E5D4B" w:rsidRDefault="003E5D4B" w:rsidP="003E5D4B">
            <w:pPr>
              <w:jc w:val="center"/>
              <w:rPr>
                <w:rFonts w:eastAsia="Times New Roman"/>
                <w:sz w:val="22"/>
                <w:szCs w:val="22"/>
              </w:rPr>
            </w:pPr>
            <w:r w:rsidRPr="003E5D4B">
              <w:rPr>
                <w:rFonts w:eastAsia="Times New Roman"/>
                <w:sz w:val="22"/>
                <w:szCs w:val="22"/>
              </w:rPr>
              <w:t>Specials/Plan</w:t>
            </w:r>
          </w:p>
          <w:p w14:paraId="5327B791" w14:textId="77777777" w:rsidR="003E5D4B" w:rsidRPr="003E5D4B" w:rsidRDefault="003E5D4B" w:rsidP="003E5D4B">
            <w:pPr>
              <w:rPr>
                <w:rFonts w:eastAsia="Times New Roman"/>
                <w:sz w:val="22"/>
                <w:szCs w:val="22"/>
              </w:rPr>
            </w:pPr>
          </w:p>
        </w:tc>
        <w:tc>
          <w:tcPr>
            <w:tcW w:w="1710" w:type="dxa"/>
          </w:tcPr>
          <w:p w14:paraId="35BA18A8" w14:textId="77777777" w:rsidR="003E5D4B" w:rsidRPr="003E5D4B" w:rsidRDefault="003E5D4B" w:rsidP="003E5D4B">
            <w:pPr>
              <w:jc w:val="center"/>
              <w:rPr>
                <w:rFonts w:eastAsia="Times New Roman"/>
                <w:sz w:val="22"/>
                <w:szCs w:val="22"/>
              </w:rPr>
            </w:pPr>
            <w:r w:rsidRPr="003E5D4B">
              <w:rPr>
                <w:rFonts w:eastAsia="Times New Roman"/>
                <w:sz w:val="22"/>
                <w:szCs w:val="22"/>
              </w:rPr>
              <w:t>Science/Social Studies</w:t>
            </w:r>
          </w:p>
        </w:tc>
      </w:tr>
      <w:tr w:rsidR="003E5D4B" w:rsidRPr="003E5D4B" w14:paraId="324F69ED" w14:textId="77777777" w:rsidTr="00AF29BC">
        <w:trPr>
          <w:tblHeader/>
        </w:trPr>
        <w:tc>
          <w:tcPr>
            <w:tcW w:w="1615" w:type="dxa"/>
          </w:tcPr>
          <w:p w14:paraId="1769A62E" w14:textId="77777777" w:rsidR="003E5D4B" w:rsidRPr="003E5D4B" w:rsidRDefault="003E5D4B" w:rsidP="003E5D4B">
            <w:pPr>
              <w:rPr>
                <w:rFonts w:eastAsia="Times New Roman"/>
                <w:sz w:val="22"/>
                <w:szCs w:val="22"/>
              </w:rPr>
            </w:pPr>
            <w:r w:rsidRPr="003E5D4B">
              <w:rPr>
                <w:rFonts w:eastAsia="Times New Roman"/>
                <w:sz w:val="22"/>
                <w:szCs w:val="22"/>
              </w:rPr>
              <w:t>1:50 – 2:40</w:t>
            </w:r>
          </w:p>
        </w:tc>
        <w:tc>
          <w:tcPr>
            <w:tcW w:w="1580" w:type="dxa"/>
          </w:tcPr>
          <w:p w14:paraId="4B18E1EA" w14:textId="77777777" w:rsidR="003E5D4B" w:rsidRPr="003E5D4B" w:rsidRDefault="003E5D4B" w:rsidP="003E5D4B">
            <w:pPr>
              <w:jc w:val="center"/>
              <w:rPr>
                <w:rFonts w:eastAsia="Times New Roman"/>
                <w:sz w:val="22"/>
                <w:szCs w:val="22"/>
              </w:rPr>
            </w:pPr>
            <w:r w:rsidRPr="003E5D4B">
              <w:rPr>
                <w:rFonts w:eastAsia="Times New Roman"/>
                <w:sz w:val="22"/>
                <w:szCs w:val="22"/>
              </w:rPr>
              <w:t>Science</w:t>
            </w:r>
          </w:p>
        </w:tc>
        <w:tc>
          <w:tcPr>
            <w:tcW w:w="1530" w:type="dxa"/>
          </w:tcPr>
          <w:p w14:paraId="149FB87C" w14:textId="77777777" w:rsidR="003E5D4B" w:rsidRPr="003E5D4B" w:rsidRDefault="003E5D4B" w:rsidP="003E5D4B">
            <w:pPr>
              <w:jc w:val="center"/>
              <w:rPr>
                <w:rFonts w:eastAsia="Times New Roman"/>
                <w:sz w:val="22"/>
                <w:szCs w:val="22"/>
              </w:rPr>
            </w:pPr>
            <w:r w:rsidRPr="003E5D4B">
              <w:rPr>
                <w:rFonts w:eastAsia="Times New Roman"/>
                <w:sz w:val="22"/>
                <w:szCs w:val="22"/>
              </w:rPr>
              <w:t>Open Circle</w:t>
            </w:r>
          </w:p>
        </w:tc>
        <w:tc>
          <w:tcPr>
            <w:tcW w:w="1620" w:type="dxa"/>
          </w:tcPr>
          <w:p w14:paraId="4E7524CB" w14:textId="77777777" w:rsidR="003E5D4B" w:rsidRPr="003E5D4B" w:rsidRDefault="003E5D4B" w:rsidP="003E5D4B">
            <w:pPr>
              <w:jc w:val="center"/>
              <w:rPr>
                <w:rFonts w:eastAsia="Times New Roman"/>
                <w:sz w:val="22"/>
                <w:szCs w:val="22"/>
              </w:rPr>
            </w:pPr>
            <w:r w:rsidRPr="003E5D4B">
              <w:rPr>
                <w:rFonts w:eastAsia="Times New Roman"/>
                <w:sz w:val="22"/>
                <w:szCs w:val="22"/>
              </w:rPr>
              <w:t>Social Studies</w:t>
            </w:r>
          </w:p>
        </w:tc>
        <w:tc>
          <w:tcPr>
            <w:tcW w:w="1530" w:type="dxa"/>
            <w:vMerge/>
            <w:shd w:val="clear" w:color="auto" w:fill="D9E2F3"/>
          </w:tcPr>
          <w:p w14:paraId="7F115EFA" w14:textId="77777777" w:rsidR="003E5D4B" w:rsidRPr="003E5D4B" w:rsidRDefault="003E5D4B" w:rsidP="003E5D4B">
            <w:pPr>
              <w:jc w:val="center"/>
              <w:rPr>
                <w:rFonts w:eastAsia="Times New Roman"/>
                <w:sz w:val="22"/>
                <w:szCs w:val="22"/>
              </w:rPr>
            </w:pPr>
          </w:p>
        </w:tc>
        <w:tc>
          <w:tcPr>
            <w:tcW w:w="1710" w:type="dxa"/>
          </w:tcPr>
          <w:p w14:paraId="587597DA" w14:textId="77777777" w:rsidR="003E5D4B" w:rsidRPr="003E5D4B" w:rsidRDefault="003E5D4B" w:rsidP="003E5D4B">
            <w:pPr>
              <w:jc w:val="center"/>
              <w:rPr>
                <w:rFonts w:eastAsia="Times New Roman"/>
                <w:sz w:val="22"/>
                <w:szCs w:val="22"/>
              </w:rPr>
            </w:pPr>
            <w:r w:rsidRPr="003E5D4B">
              <w:rPr>
                <w:rFonts w:eastAsia="Times New Roman"/>
                <w:sz w:val="22"/>
                <w:szCs w:val="22"/>
              </w:rPr>
              <w:t>Open Circle</w:t>
            </w:r>
          </w:p>
        </w:tc>
      </w:tr>
    </w:tbl>
    <w:p w14:paraId="4BB095E9" w14:textId="77777777" w:rsidR="003E5D4B" w:rsidRDefault="003E5D4B" w:rsidP="003E5D4B">
      <w:pPr>
        <w:ind w:left="900" w:right="330"/>
        <w:rPr>
          <w:color w:val="000000"/>
        </w:rPr>
      </w:pPr>
    </w:p>
    <w:p w14:paraId="30F38AF4" w14:textId="77777777" w:rsidR="002147C6" w:rsidRDefault="003E5D4B" w:rsidP="00EF2CAF">
      <w:pPr>
        <w:spacing w:after="240"/>
        <w:ind w:left="900" w:right="330"/>
        <w:rPr>
          <w:rFonts w:asciiTheme="minorHAnsi" w:hAnsiTheme="minorHAnsi" w:cstheme="minorHAnsi"/>
        </w:rPr>
      </w:pPr>
      <w:r w:rsidRPr="009B1198">
        <w:rPr>
          <w:rFonts w:asciiTheme="minorHAnsi" w:hAnsiTheme="minorHAnsi" w:cstheme="minorHAnsi"/>
        </w:rPr>
        <w:t xml:space="preserve">Curriculum directors also reached out to teachers with co-teaching experience to invite them to co-plan and deliver professional development that could serve as a foundation for other interested teachers. </w:t>
      </w:r>
    </w:p>
    <w:p w14:paraId="6CF64C12" w14:textId="4BB9C626" w:rsidR="003E5D4B" w:rsidRDefault="003E5D4B" w:rsidP="00EF2CAF">
      <w:pPr>
        <w:spacing w:after="240"/>
        <w:ind w:left="900" w:right="330"/>
        <w:rPr>
          <w:rFonts w:asciiTheme="minorHAnsi" w:hAnsiTheme="minorHAnsi" w:cstheme="minorHAnsi"/>
        </w:rPr>
      </w:pPr>
      <w:r w:rsidRPr="009B1198">
        <w:rPr>
          <w:rFonts w:asciiTheme="minorHAnsi" w:hAnsiTheme="minorHAnsi" w:cstheme="minorHAnsi"/>
        </w:rPr>
        <w:lastRenderedPageBreak/>
        <w:t xml:space="preserve">After some research, the school leadership team decided to offer a two-day fall institute focused on co-teaching and other collaborative practices for ESL and ELA teachers at the beginning of the next school year. </w:t>
      </w:r>
    </w:p>
    <w:p w14:paraId="0624C5B8" w14:textId="77777777" w:rsidR="003E5D4B" w:rsidRPr="009B1198" w:rsidRDefault="003E5D4B" w:rsidP="00EF2CAF">
      <w:pPr>
        <w:spacing w:after="240"/>
        <w:ind w:left="900" w:right="330"/>
        <w:rPr>
          <w:rFonts w:asciiTheme="minorHAnsi" w:hAnsiTheme="minorHAnsi" w:cstheme="minorHAnsi"/>
        </w:rPr>
      </w:pPr>
      <w:r w:rsidRPr="009B1198">
        <w:rPr>
          <w:rFonts w:asciiTheme="minorHAnsi" w:hAnsiTheme="minorHAnsi" w:cstheme="minorHAnsi"/>
        </w:rPr>
        <w:t xml:space="preserve">The workshops would provide opportunities for additional teachers to learn about effective co-teaching models; co-planning protocols; the Massachusetts </w:t>
      </w:r>
      <w:hyperlink r:id="rId34" w:history="1">
        <w:r w:rsidRPr="009B1198">
          <w:rPr>
            <w:rStyle w:val="Hyperlink"/>
            <w:rFonts w:asciiTheme="minorHAnsi" w:hAnsiTheme="minorHAnsi" w:cstheme="minorHAnsi"/>
          </w:rPr>
          <w:t>Collaboration Tool</w:t>
        </w:r>
      </w:hyperlink>
      <w:r w:rsidRPr="009B1198">
        <w:rPr>
          <w:rFonts w:asciiTheme="minorHAnsi" w:hAnsiTheme="minorHAnsi" w:cstheme="minorHAnsi"/>
        </w:rPr>
        <w:t>; ways to review, analyze and assess student work for language and content learning; methods for analyzing tasks and activities in the current ELA and ESL curricula to identify embedded language functions and demands; best practices for reflecting on delivered lessons; and time to develop some co-taught lessons for the next school year.</w:t>
      </w:r>
      <w:r w:rsidRPr="009B1198">
        <w:rPr>
          <w:rStyle w:val="FootnoteReference"/>
          <w:rFonts w:asciiTheme="minorHAnsi" w:hAnsiTheme="minorHAnsi" w:cstheme="minorHAnsi"/>
        </w:rPr>
        <w:footnoteReference w:id="3"/>
      </w:r>
      <w:r w:rsidRPr="009B1198">
        <w:rPr>
          <w:rFonts w:asciiTheme="minorHAnsi" w:hAnsiTheme="minorHAnsi" w:cstheme="minorHAnsi"/>
        </w:rPr>
        <w:t xml:space="preserve"> The institute was open to any interested teacher across the district with hopes of gathering additional support for collaboration in other schools. Teachers who had committed to co-teaching the following year would also gather throughout the year during quarterly professional development days to reflect and share their learning, discuss recurring issues, and strategize ways to address student work and progress. </w:t>
      </w:r>
    </w:p>
    <w:p w14:paraId="6E5312CA" w14:textId="46BBFE7F" w:rsidR="00EC1E75" w:rsidRPr="00EC1E75" w:rsidRDefault="003E5D4B" w:rsidP="004B1BBA">
      <w:pPr>
        <w:ind w:left="900" w:right="330"/>
        <w:rPr>
          <w:color w:val="000000"/>
        </w:rPr>
      </w:pPr>
      <w:r w:rsidRPr="009B1198">
        <w:rPr>
          <w:rFonts w:asciiTheme="minorHAnsi" w:hAnsiTheme="minorHAnsi" w:cstheme="minorHAnsi"/>
        </w:rPr>
        <w:t>If these early steps prove to be successful, several other elementary schools will begin adopting similar formats. Principals, teachers and curriculum directors anticipate needing to reevaluate and revise the plan in the future, but acknowledge that this is a place to start. Curriculum directors would like to scale it up to the middle and high schools in the district eventually, adapting the model to fit the different structure of secondary schools.</w:t>
      </w:r>
    </w:p>
    <w:sectPr w:rsidR="00EC1E75" w:rsidRPr="00EC1E75" w:rsidSect="00EE3A9A">
      <w:footerReference w:type="default" r:id="rId35"/>
      <w:type w:val="continuous"/>
      <w:pgSz w:w="12240" w:h="15840"/>
      <w:pgMar w:top="1500" w:right="1350" w:bottom="920" w:left="660" w:header="0" w:footer="7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59EF" w14:textId="77777777" w:rsidR="007022F1" w:rsidRDefault="007022F1">
      <w:r>
        <w:separator/>
      </w:r>
    </w:p>
  </w:endnote>
  <w:endnote w:type="continuationSeparator" w:id="0">
    <w:p w14:paraId="7C47AD31" w14:textId="77777777" w:rsidR="007022F1" w:rsidRDefault="0070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364459"/>
      <w:docPartObj>
        <w:docPartGallery w:val="Page Numbers (Bottom of Page)"/>
        <w:docPartUnique/>
      </w:docPartObj>
    </w:sdtPr>
    <w:sdtEndPr>
      <w:rPr>
        <w:b/>
        <w:noProof/>
        <w:color w:val="A10067"/>
      </w:rPr>
    </w:sdtEndPr>
    <w:sdtContent>
      <w:p w14:paraId="4A05185D" w14:textId="3E64073F" w:rsidR="00EE3A9A" w:rsidRPr="00EE3A9A" w:rsidRDefault="00EE3A9A">
        <w:pPr>
          <w:pStyle w:val="Footer"/>
          <w:rPr>
            <w:b/>
            <w:color w:val="A10067"/>
          </w:rPr>
        </w:pPr>
        <w:r w:rsidRPr="00EE3A9A">
          <w:rPr>
            <w:b/>
            <w:color w:val="A10067"/>
          </w:rPr>
          <w:fldChar w:fldCharType="begin"/>
        </w:r>
        <w:r w:rsidRPr="00EE3A9A">
          <w:rPr>
            <w:b/>
            <w:color w:val="A10067"/>
          </w:rPr>
          <w:instrText xml:space="preserve"> PAGE   \* MERGEFORMAT </w:instrText>
        </w:r>
        <w:r w:rsidRPr="00EE3A9A">
          <w:rPr>
            <w:b/>
            <w:color w:val="A10067"/>
          </w:rPr>
          <w:fldChar w:fldCharType="separate"/>
        </w:r>
        <w:r w:rsidR="00815F12">
          <w:rPr>
            <w:b/>
            <w:noProof/>
            <w:color w:val="A10067"/>
          </w:rPr>
          <w:t>7</w:t>
        </w:r>
        <w:r w:rsidRPr="00EE3A9A">
          <w:rPr>
            <w:b/>
            <w:noProof/>
            <w:color w:val="A10067"/>
          </w:rPr>
          <w:fldChar w:fldCharType="end"/>
        </w:r>
      </w:p>
    </w:sdtContent>
  </w:sdt>
  <w:p w14:paraId="15A27962" w14:textId="14526384" w:rsidR="00E92A5C" w:rsidRDefault="00E92A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76778" w14:textId="77777777" w:rsidR="007022F1" w:rsidRDefault="007022F1">
      <w:r>
        <w:separator/>
      </w:r>
    </w:p>
  </w:footnote>
  <w:footnote w:type="continuationSeparator" w:id="0">
    <w:p w14:paraId="0352C597" w14:textId="77777777" w:rsidR="007022F1" w:rsidRDefault="007022F1">
      <w:r>
        <w:continuationSeparator/>
      </w:r>
    </w:p>
  </w:footnote>
  <w:footnote w:id="1">
    <w:p w14:paraId="52C93FB4" w14:textId="77777777" w:rsidR="003E5D4B" w:rsidRPr="003E5D4B" w:rsidRDefault="003E5D4B" w:rsidP="003E5D4B">
      <w:pPr>
        <w:pStyle w:val="FootnoteText"/>
        <w:ind w:left="900" w:right="1590"/>
        <w:rPr>
          <w:rFonts w:ascii="Calibri" w:hAnsi="Calibri" w:cs="Calibri"/>
          <w:sz w:val="16"/>
          <w:szCs w:val="16"/>
        </w:rPr>
      </w:pPr>
      <w:r w:rsidRPr="003E5D4B">
        <w:rPr>
          <w:rStyle w:val="FootnoteReference"/>
          <w:rFonts w:ascii="Calibri" w:hAnsi="Calibri" w:cs="Calibri"/>
          <w:sz w:val="16"/>
          <w:szCs w:val="16"/>
        </w:rPr>
        <w:footnoteRef/>
      </w:r>
      <w:r w:rsidRPr="003E5D4B">
        <w:rPr>
          <w:rFonts w:ascii="Calibri" w:hAnsi="Calibri" w:cs="Calibri"/>
          <w:sz w:val="16"/>
          <w:szCs w:val="16"/>
        </w:rPr>
        <w:t xml:space="preserve"> “WIDA level” refers to the student’s English Proficiency Level as measured by the annual ACCESS test.</w:t>
      </w:r>
    </w:p>
  </w:footnote>
  <w:footnote w:id="2">
    <w:p w14:paraId="400A06CA" w14:textId="77777777" w:rsidR="003E5D4B" w:rsidRPr="003E5D4B" w:rsidRDefault="003E5D4B" w:rsidP="003E5D4B">
      <w:pPr>
        <w:pStyle w:val="FootnoteText"/>
        <w:ind w:left="900" w:right="1590"/>
        <w:rPr>
          <w:rFonts w:ascii="Calibri" w:hAnsi="Calibri" w:cs="Calibri"/>
          <w:sz w:val="16"/>
          <w:szCs w:val="16"/>
        </w:rPr>
      </w:pPr>
      <w:r w:rsidRPr="003E5D4B">
        <w:rPr>
          <w:rStyle w:val="FootnoteReference"/>
          <w:rFonts w:ascii="Calibri" w:hAnsi="Calibri" w:cs="Calibri"/>
          <w:sz w:val="16"/>
          <w:szCs w:val="16"/>
        </w:rPr>
        <w:footnoteRef/>
      </w:r>
      <w:r w:rsidRPr="003E5D4B">
        <w:rPr>
          <w:rFonts w:ascii="Calibri" w:hAnsi="Calibri" w:cs="Calibri"/>
          <w:sz w:val="16"/>
          <w:szCs w:val="16"/>
        </w:rPr>
        <w:t xml:space="preserve"> Adapted from Rosenberg, D., </w:t>
      </w:r>
      <w:proofErr w:type="spellStart"/>
      <w:r w:rsidRPr="003E5D4B">
        <w:rPr>
          <w:rFonts w:ascii="Calibri" w:hAnsi="Calibri" w:cs="Calibri"/>
          <w:sz w:val="16"/>
          <w:szCs w:val="16"/>
        </w:rPr>
        <w:t>Daigneau</w:t>
      </w:r>
      <w:proofErr w:type="spellEnd"/>
      <w:r w:rsidRPr="003E5D4B">
        <w:rPr>
          <w:rFonts w:ascii="Calibri" w:hAnsi="Calibri" w:cs="Calibri"/>
          <w:sz w:val="16"/>
          <w:szCs w:val="16"/>
        </w:rPr>
        <w:t xml:space="preserve">, R., &amp; Galvez, M. (2018) </w:t>
      </w:r>
      <w:hyperlink r:id="rId1" w:history="1">
        <w:r w:rsidRPr="003E5D4B">
          <w:rPr>
            <w:rStyle w:val="Hyperlink"/>
            <w:rFonts w:ascii="Calibri" w:hAnsi="Calibri" w:cs="Calibri"/>
            <w:sz w:val="16"/>
            <w:szCs w:val="16"/>
          </w:rPr>
          <w:t>Finding Time for Collaborative Planning</w:t>
        </w:r>
      </w:hyperlink>
      <w:r w:rsidRPr="003E5D4B">
        <w:rPr>
          <w:rFonts w:ascii="Calibri" w:hAnsi="Calibri" w:cs="Calibri"/>
          <w:sz w:val="16"/>
          <w:szCs w:val="16"/>
        </w:rPr>
        <w:t>. Education Resource Strategies. (Strategy #1, Sample Elementary schedule, p. 5)</w:t>
      </w:r>
    </w:p>
  </w:footnote>
  <w:footnote w:id="3">
    <w:p w14:paraId="69D55BBB" w14:textId="77777777" w:rsidR="003E5D4B" w:rsidRPr="001A6819" w:rsidRDefault="003E5D4B" w:rsidP="001A6819">
      <w:pPr>
        <w:ind w:left="900" w:right="1590"/>
        <w:rPr>
          <w:sz w:val="16"/>
          <w:szCs w:val="16"/>
        </w:rPr>
      </w:pPr>
      <w:r w:rsidRPr="001A6819">
        <w:rPr>
          <w:rStyle w:val="FootnoteReference"/>
          <w:sz w:val="16"/>
          <w:szCs w:val="16"/>
        </w:rPr>
        <w:footnoteRef/>
      </w:r>
      <w:r w:rsidRPr="001A6819">
        <w:rPr>
          <w:sz w:val="16"/>
          <w:szCs w:val="16"/>
        </w:rPr>
        <w:t xml:space="preserve"> Santos, M., Darling-Hammond, L. &amp; Cheuk, T. </w:t>
      </w:r>
      <w:hyperlink r:id="rId2" w:history="1">
        <w:r w:rsidRPr="001A6819">
          <w:rPr>
            <w:rStyle w:val="Hyperlink"/>
            <w:sz w:val="16"/>
            <w:szCs w:val="16"/>
          </w:rPr>
          <w:t>Teacher Development to Support English Language Learners in the Context of Common Core State Standards</w:t>
        </w:r>
      </w:hyperlink>
      <w:r w:rsidRPr="001A6819">
        <w:rPr>
          <w:sz w:val="16"/>
          <w:szCs w:val="16"/>
        </w:rPr>
        <w:t xml:space="preserve">. Understanding Language Initiative, Stanford University School of Education.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31394"/>
    <w:multiLevelType w:val="hybridMultilevel"/>
    <w:tmpl w:val="5EAA1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1E7FA7"/>
    <w:multiLevelType w:val="hybridMultilevel"/>
    <w:tmpl w:val="735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820A7"/>
    <w:multiLevelType w:val="hybridMultilevel"/>
    <w:tmpl w:val="B7C6995E"/>
    <w:lvl w:ilvl="0" w:tplc="FACADF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06C3EE6"/>
    <w:multiLevelType w:val="hybridMultilevel"/>
    <w:tmpl w:val="8A58FB28"/>
    <w:lvl w:ilvl="0" w:tplc="0409000F">
      <w:start w:val="1"/>
      <w:numFmt w:val="decimal"/>
      <w:lvlText w:val="%1."/>
      <w:lvlJc w:val="left"/>
      <w:pPr>
        <w:ind w:left="1800" w:hanging="360"/>
      </w:pPr>
    </w:lvl>
    <w:lvl w:ilvl="1" w:tplc="04090003">
      <w:start w:val="1"/>
      <w:numFmt w:val="bullet"/>
      <w:lvlText w:val="o"/>
      <w:lvlJc w:val="left"/>
      <w:pPr>
        <w:ind w:left="2376" w:hanging="360"/>
      </w:pPr>
      <w:rPr>
        <w:rFonts w:ascii="Courier New" w:hAnsi="Courier New" w:cs="Times New Roman"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Times New Roman"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Times New Roman" w:hint="default"/>
      </w:rPr>
    </w:lvl>
    <w:lvl w:ilvl="8" w:tplc="04090005">
      <w:start w:val="1"/>
      <w:numFmt w:val="bullet"/>
      <w:lvlText w:val=""/>
      <w:lvlJc w:val="left"/>
      <w:pPr>
        <w:ind w:left="7416"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C7"/>
    <w:rsid w:val="00000E88"/>
    <w:rsid w:val="00003ED4"/>
    <w:rsid w:val="00004F21"/>
    <w:rsid w:val="00015B16"/>
    <w:rsid w:val="00022DE5"/>
    <w:rsid w:val="00034EDD"/>
    <w:rsid w:val="0003576D"/>
    <w:rsid w:val="00037BB6"/>
    <w:rsid w:val="00050511"/>
    <w:rsid w:val="0005152F"/>
    <w:rsid w:val="00052FC5"/>
    <w:rsid w:val="00056D4E"/>
    <w:rsid w:val="0007074B"/>
    <w:rsid w:val="000800CC"/>
    <w:rsid w:val="00090C11"/>
    <w:rsid w:val="00090C48"/>
    <w:rsid w:val="000A12C2"/>
    <w:rsid w:val="000A4685"/>
    <w:rsid w:val="000B5889"/>
    <w:rsid w:val="000B5D50"/>
    <w:rsid w:val="000C56DB"/>
    <w:rsid w:val="000D0D9A"/>
    <w:rsid w:val="000D5414"/>
    <w:rsid w:val="000E2F87"/>
    <w:rsid w:val="0010320F"/>
    <w:rsid w:val="00104704"/>
    <w:rsid w:val="00107138"/>
    <w:rsid w:val="0012039A"/>
    <w:rsid w:val="0013118A"/>
    <w:rsid w:val="00136524"/>
    <w:rsid w:val="00137303"/>
    <w:rsid w:val="00143C9B"/>
    <w:rsid w:val="00156922"/>
    <w:rsid w:val="00157846"/>
    <w:rsid w:val="001704CB"/>
    <w:rsid w:val="00176194"/>
    <w:rsid w:val="001773F8"/>
    <w:rsid w:val="00177A41"/>
    <w:rsid w:val="00193A3E"/>
    <w:rsid w:val="001A4277"/>
    <w:rsid w:val="001A6819"/>
    <w:rsid w:val="001B0CA7"/>
    <w:rsid w:val="001D0887"/>
    <w:rsid w:val="001D4582"/>
    <w:rsid w:val="001D5033"/>
    <w:rsid w:val="001E256F"/>
    <w:rsid w:val="001F2F2A"/>
    <w:rsid w:val="001F3950"/>
    <w:rsid w:val="00212113"/>
    <w:rsid w:val="002123E5"/>
    <w:rsid w:val="00212DB8"/>
    <w:rsid w:val="002147C6"/>
    <w:rsid w:val="00217E2E"/>
    <w:rsid w:val="0022538F"/>
    <w:rsid w:val="0024002B"/>
    <w:rsid w:val="00242446"/>
    <w:rsid w:val="00245CE2"/>
    <w:rsid w:val="0026053B"/>
    <w:rsid w:val="002608F1"/>
    <w:rsid w:val="00294EB3"/>
    <w:rsid w:val="002B0F67"/>
    <w:rsid w:val="002B141B"/>
    <w:rsid w:val="002C5CF3"/>
    <w:rsid w:val="002C7661"/>
    <w:rsid w:val="002D0118"/>
    <w:rsid w:val="002D336D"/>
    <w:rsid w:val="002D3BB6"/>
    <w:rsid w:val="002D6255"/>
    <w:rsid w:val="002E4CBD"/>
    <w:rsid w:val="002F0A18"/>
    <w:rsid w:val="002F2941"/>
    <w:rsid w:val="00303019"/>
    <w:rsid w:val="0030613F"/>
    <w:rsid w:val="0030684F"/>
    <w:rsid w:val="00311546"/>
    <w:rsid w:val="00320710"/>
    <w:rsid w:val="00344614"/>
    <w:rsid w:val="003455DF"/>
    <w:rsid w:val="00361F27"/>
    <w:rsid w:val="00370178"/>
    <w:rsid w:val="003731C5"/>
    <w:rsid w:val="003738AE"/>
    <w:rsid w:val="00383D9D"/>
    <w:rsid w:val="00387545"/>
    <w:rsid w:val="0039450C"/>
    <w:rsid w:val="003C2C24"/>
    <w:rsid w:val="003C4B5A"/>
    <w:rsid w:val="003D2C51"/>
    <w:rsid w:val="003E1695"/>
    <w:rsid w:val="003E1E3A"/>
    <w:rsid w:val="003E5D4B"/>
    <w:rsid w:val="003F043C"/>
    <w:rsid w:val="003F1AE6"/>
    <w:rsid w:val="003F5286"/>
    <w:rsid w:val="003F53E8"/>
    <w:rsid w:val="00402F66"/>
    <w:rsid w:val="00403D5E"/>
    <w:rsid w:val="004052EA"/>
    <w:rsid w:val="00410160"/>
    <w:rsid w:val="00412A83"/>
    <w:rsid w:val="00432A17"/>
    <w:rsid w:val="00433A3B"/>
    <w:rsid w:val="00446E9B"/>
    <w:rsid w:val="00454F9C"/>
    <w:rsid w:val="00456D16"/>
    <w:rsid w:val="004620AE"/>
    <w:rsid w:val="00474C6C"/>
    <w:rsid w:val="004812A3"/>
    <w:rsid w:val="00485698"/>
    <w:rsid w:val="0049306E"/>
    <w:rsid w:val="004A0791"/>
    <w:rsid w:val="004B1BBA"/>
    <w:rsid w:val="004B65D0"/>
    <w:rsid w:val="004C1E05"/>
    <w:rsid w:val="004E01D3"/>
    <w:rsid w:val="004E0396"/>
    <w:rsid w:val="004E0FE2"/>
    <w:rsid w:val="004E10E0"/>
    <w:rsid w:val="004F0CD2"/>
    <w:rsid w:val="004F1427"/>
    <w:rsid w:val="004F2457"/>
    <w:rsid w:val="004F43F7"/>
    <w:rsid w:val="00517938"/>
    <w:rsid w:val="005306C0"/>
    <w:rsid w:val="005346C8"/>
    <w:rsid w:val="005447FF"/>
    <w:rsid w:val="005525B2"/>
    <w:rsid w:val="0056293C"/>
    <w:rsid w:val="005679E4"/>
    <w:rsid w:val="00570ECD"/>
    <w:rsid w:val="00571AA3"/>
    <w:rsid w:val="00577BD1"/>
    <w:rsid w:val="00584F58"/>
    <w:rsid w:val="00594400"/>
    <w:rsid w:val="005971E1"/>
    <w:rsid w:val="005A3051"/>
    <w:rsid w:val="005A5E19"/>
    <w:rsid w:val="005B18A0"/>
    <w:rsid w:val="005B4619"/>
    <w:rsid w:val="005C050F"/>
    <w:rsid w:val="005C554C"/>
    <w:rsid w:val="005C5BE7"/>
    <w:rsid w:val="005D2758"/>
    <w:rsid w:val="005D348E"/>
    <w:rsid w:val="005D41A3"/>
    <w:rsid w:val="005E08E9"/>
    <w:rsid w:val="005F419F"/>
    <w:rsid w:val="006035C5"/>
    <w:rsid w:val="006160B0"/>
    <w:rsid w:val="00626F8F"/>
    <w:rsid w:val="00631925"/>
    <w:rsid w:val="00636A14"/>
    <w:rsid w:val="0064259B"/>
    <w:rsid w:val="00642DCA"/>
    <w:rsid w:val="00643F06"/>
    <w:rsid w:val="0067761D"/>
    <w:rsid w:val="006871F0"/>
    <w:rsid w:val="0068737A"/>
    <w:rsid w:val="00694991"/>
    <w:rsid w:val="006C0688"/>
    <w:rsid w:val="006E14ED"/>
    <w:rsid w:val="006E23E8"/>
    <w:rsid w:val="006F7FAA"/>
    <w:rsid w:val="007022F1"/>
    <w:rsid w:val="0070687E"/>
    <w:rsid w:val="007126FE"/>
    <w:rsid w:val="00712ECD"/>
    <w:rsid w:val="00715498"/>
    <w:rsid w:val="00721FC5"/>
    <w:rsid w:val="00724F3C"/>
    <w:rsid w:val="007303C0"/>
    <w:rsid w:val="00734464"/>
    <w:rsid w:val="0074165C"/>
    <w:rsid w:val="00747E81"/>
    <w:rsid w:val="0075796C"/>
    <w:rsid w:val="00762F88"/>
    <w:rsid w:val="00771D42"/>
    <w:rsid w:val="00772430"/>
    <w:rsid w:val="00784AAD"/>
    <w:rsid w:val="007934BF"/>
    <w:rsid w:val="0079539E"/>
    <w:rsid w:val="007A4ACF"/>
    <w:rsid w:val="007B2E96"/>
    <w:rsid w:val="007B539B"/>
    <w:rsid w:val="007C2A78"/>
    <w:rsid w:val="007C6ACE"/>
    <w:rsid w:val="007D3276"/>
    <w:rsid w:val="007D4399"/>
    <w:rsid w:val="007D64C6"/>
    <w:rsid w:val="00802080"/>
    <w:rsid w:val="008028C7"/>
    <w:rsid w:val="00810902"/>
    <w:rsid w:val="00811E68"/>
    <w:rsid w:val="00815F12"/>
    <w:rsid w:val="008258AC"/>
    <w:rsid w:val="0082606A"/>
    <w:rsid w:val="0085001D"/>
    <w:rsid w:val="00855DCF"/>
    <w:rsid w:val="00872007"/>
    <w:rsid w:val="0087570D"/>
    <w:rsid w:val="008874A6"/>
    <w:rsid w:val="00891D24"/>
    <w:rsid w:val="008970E2"/>
    <w:rsid w:val="008A075E"/>
    <w:rsid w:val="008B3292"/>
    <w:rsid w:val="008B40EB"/>
    <w:rsid w:val="008C123B"/>
    <w:rsid w:val="008C3163"/>
    <w:rsid w:val="008D0C1B"/>
    <w:rsid w:val="008D40B7"/>
    <w:rsid w:val="008E021E"/>
    <w:rsid w:val="008E275E"/>
    <w:rsid w:val="008E2774"/>
    <w:rsid w:val="008E7074"/>
    <w:rsid w:val="008E78D0"/>
    <w:rsid w:val="008F1062"/>
    <w:rsid w:val="008F19D5"/>
    <w:rsid w:val="008F6986"/>
    <w:rsid w:val="00905E8E"/>
    <w:rsid w:val="00930D36"/>
    <w:rsid w:val="00941D38"/>
    <w:rsid w:val="00944FDE"/>
    <w:rsid w:val="00964EBC"/>
    <w:rsid w:val="0096690B"/>
    <w:rsid w:val="00967FB5"/>
    <w:rsid w:val="009715AE"/>
    <w:rsid w:val="00974721"/>
    <w:rsid w:val="00980DD1"/>
    <w:rsid w:val="009833FD"/>
    <w:rsid w:val="009868AE"/>
    <w:rsid w:val="009A02C1"/>
    <w:rsid w:val="009A1EBC"/>
    <w:rsid w:val="009A26A2"/>
    <w:rsid w:val="009A3C81"/>
    <w:rsid w:val="009A75A2"/>
    <w:rsid w:val="009B2AED"/>
    <w:rsid w:val="009B2D39"/>
    <w:rsid w:val="009C2246"/>
    <w:rsid w:val="009C37C2"/>
    <w:rsid w:val="009C7A37"/>
    <w:rsid w:val="009D3ECC"/>
    <w:rsid w:val="009F4E19"/>
    <w:rsid w:val="009F7CD0"/>
    <w:rsid w:val="00A01FE4"/>
    <w:rsid w:val="00A03D9A"/>
    <w:rsid w:val="00A171CF"/>
    <w:rsid w:val="00A21DF8"/>
    <w:rsid w:val="00A2588B"/>
    <w:rsid w:val="00A5067E"/>
    <w:rsid w:val="00A53D8A"/>
    <w:rsid w:val="00A55304"/>
    <w:rsid w:val="00A55F86"/>
    <w:rsid w:val="00A645AE"/>
    <w:rsid w:val="00A706BA"/>
    <w:rsid w:val="00A727A0"/>
    <w:rsid w:val="00A76D68"/>
    <w:rsid w:val="00A85941"/>
    <w:rsid w:val="00A93D7E"/>
    <w:rsid w:val="00AB64A0"/>
    <w:rsid w:val="00AC77E8"/>
    <w:rsid w:val="00AD29BD"/>
    <w:rsid w:val="00AD465E"/>
    <w:rsid w:val="00AE0DF1"/>
    <w:rsid w:val="00AF049E"/>
    <w:rsid w:val="00AF29BC"/>
    <w:rsid w:val="00AF3CA2"/>
    <w:rsid w:val="00AF484E"/>
    <w:rsid w:val="00B00101"/>
    <w:rsid w:val="00B01758"/>
    <w:rsid w:val="00B04740"/>
    <w:rsid w:val="00B05384"/>
    <w:rsid w:val="00B0720A"/>
    <w:rsid w:val="00B15C2A"/>
    <w:rsid w:val="00B27034"/>
    <w:rsid w:val="00B44EC2"/>
    <w:rsid w:val="00B61313"/>
    <w:rsid w:val="00B637AD"/>
    <w:rsid w:val="00B66E31"/>
    <w:rsid w:val="00B70965"/>
    <w:rsid w:val="00B74DC7"/>
    <w:rsid w:val="00B7714A"/>
    <w:rsid w:val="00B86222"/>
    <w:rsid w:val="00B865B6"/>
    <w:rsid w:val="00B91755"/>
    <w:rsid w:val="00B963F0"/>
    <w:rsid w:val="00BB73CD"/>
    <w:rsid w:val="00BB7567"/>
    <w:rsid w:val="00BC029C"/>
    <w:rsid w:val="00BD183B"/>
    <w:rsid w:val="00BD197C"/>
    <w:rsid w:val="00BD3752"/>
    <w:rsid w:val="00BD427E"/>
    <w:rsid w:val="00BD596E"/>
    <w:rsid w:val="00BE2547"/>
    <w:rsid w:val="00BE53A0"/>
    <w:rsid w:val="00BE6BB8"/>
    <w:rsid w:val="00BE74C4"/>
    <w:rsid w:val="00BF0517"/>
    <w:rsid w:val="00BF3DD0"/>
    <w:rsid w:val="00C25298"/>
    <w:rsid w:val="00C257A6"/>
    <w:rsid w:val="00C2682A"/>
    <w:rsid w:val="00C31A1B"/>
    <w:rsid w:val="00C31B0A"/>
    <w:rsid w:val="00C31BD0"/>
    <w:rsid w:val="00C31F64"/>
    <w:rsid w:val="00C33D86"/>
    <w:rsid w:val="00C434B7"/>
    <w:rsid w:val="00C453BB"/>
    <w:rsid w:val="00C50A83"/>
    <w:rsid w:val="00C561F6"/>
    <w:rsid w:val="00C60952"/>
    <w:rsid w:val="00C60E44"/>
    <w:rsid w:val="00C91A4D"/>
    <w:rsid w:val="00C96D9C"/>
    <w:rsid w:val="00C96DAB"/>
    <w:rsid w:val="00C97F51"/>
    <w:rsid w:val="00CA407B"/>
    <w:rsid w:val="00CB1876"/>
    <w:rsid w:val="00CC67BB"/>
    <w:rsid w:val="00CE0711"/>
    <w:rsid w:val="00CE33E5"/>
    <w:rsid w:val="00CF2A8E"/>
    <w:rsid w:val="00D051AA"/>
    <w:rsid w:val="00D06972"/>
    <w:rsid w:val="00D13D02"/>
    <w:rsid w:val="00D15F9F"/>
    <w:rsid w:val="00D34864"/>
    <w:rsid w:val="00D3589A"/>
    <w:rsid w:val="00D524EE"/>
    <w:rsid w:val="00D558D0"/>
    <w:rsid w:val="00D61B3A"/>
    <w:rsid w:val="00D70C43"/>
    <w:rsid w:val="00D9074A"/>
    <w:rsid w:val="00D90A1F"/>
    <w:rsid w:val="00DA0957"/>
    <w:rsid w:val="00DA3DDD"/>
    <w:rsid w:val="00DA64D2"/>
    <w:rsid w:val="00DC4ACB"/>
    <w:rsid w:val="00DC5045"/>
    <w:rsid w:val="00DC613F"/>
    <w:rsid w:val="00DE3061"/>
    <w:rsid w:val="00DE364B"/>
    <w:rsid w:val="00DF0286"/>
    <w:rsid w:val="00DF3E50"/>
    <w:rsid w:val="00E067EC"/>
    <w:rsid w:val="00E257E9"/>
    <w:rsid w:val="00E30EC7"/>
    <w:rsid w:val="00E31331"/>
    <w:rsid w:val="00E46EF8"/>
    <w:rsid w:val="00E56991"/>
    <w:rsid w:val="00E616AA"/>
    <w:rsid w:val="00E618C8"/>
    <w:rsid w:val="00E65710"/>
    <w:rsid w:val="00E720D1"/>
    <w:rsid w:val="00E74038"/>
    <w:rsid w:val="00E80A2D"/>
    <w:rsid w:val="00E9020C"/>
    <w:rsid w:val="00E92A5C"/>
    <w:rsid w:val="00E97A42"/>
    <w:rsid w:val="00EA3726"/>
    <w:rsid w:val="00EA41E1"/>
    <w:rsid w:val="00EC138C"/>
    <w:rsid w:val="00EC1E75"/>
    <w:rsid w:val="00EC39F0"/>
    <w:rsid w:val="00ED58CE"/>
    <w:rsid w:val="00ED5A68"/>
    <w:rsid w:val="00EE2B3F"/>
    <w:rsid w:val="00EE3A9A"/>
    <w:rsid w:val="00EF2CAF"/>
    <w:rsid w:val="00F05032"/>
    <w:rsid w:val="00F169B6"/>
    <w:rsid w:val="00F2224B"/>
    <w:rsid w:val="00F26681"/>
    <w:rsid w:val="00F33831"/>
    <w:rsid w:val="00F34335"/>
    <w:rsid w:val="00F346B7"/>
    <w:rsid w:val="00F45246"/>
    <w:rsid w:val="00F46726"/>
    <w:rsid w:val="00F700C0"/>
    <w:rsid w:val="00F738DC"/>
    <w:rsid w:val="00F90F17"/>
    <w:rsid w:val="00F9257C"/>
    <w:rsid w:val="00FB04CC"/>
    <w:rsid w:val="00FB72EC"/>
    <w:rsid w:val="00FC20C7"/>
    <w:rsid w:val="00FC39C1"/>
    <w:rsid w:val="00FE62C6"/>
    <w:rsid w:val="00FF5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28280"/>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74C6C"/>
    <w:rPr>
      <w:rFonts w:ascii="Calibri" w:eastAsia="Calibri" w:hAnsi="Calibri" w:cs="Calibri"/>
    </w:rPr>
  </w:style>
  <w:style w:type="paragraph" w:styleId="Heading1">
    <w:name w:val="heading 1"/>
    <w:basedOn w:val="Normal"/>
    <w:link w:val="Heading1Char"/>
    <w:qFormat/>
    <w:pPr>
      <w:spacing w:before="10"/>
      <w:ind w:left="739"/>
      <w:outlineLvl w:val="0"/>
    </w:pPr>
    <w:rPr>
      <w:sz w:val="40"/>
      <w:szCs w:val="40"/>
    </w:rPr>
  </w:style>
  <w:style w:type="paragraph" w:styleId="Heading2">
    <w:name w:val="heading 2"/>
    <w:basedOn w:val="Normal"/>
    <w:link w:val="Heading2Char"/>
    <w:qFormat/>
    <w:pPr>
      <w:spacing w:before="20"/>
      <w:ind w:left="3104"/>
      <w:outlineLvl w:val="1"/>
    </w:pPr>
    <w:rPr>
      <w:b/>
      <w:bCs/>
      <w:sz w:val="32"/>
      <w:szCs w:val="32"/>
    </w:rPr>
  </w:style>
  <w:style w:type="paragraph" w:styleId="Heading3">
    <w:name w:val="heading 3"/>
    <w:basedOn w:val="Normal"/>
    <w:link w:val="Heading3Char"/>
    <w:qFormat/>
    <w:pPr>
      <w:spacing w:before="44"/>
      <w:ind w:left="1140"/>
      <w:outlineLvl w:val="2"/>
    </w:pPr>
    <w:rPr>
      <w:b/>
      <w:bCs/>
      <w:sz w:val="28"/>
      <w:szCs w:val="28"/>
    </w:rPr>
  </w:style>
  <w:style w:type="paragraph" w:styleId="Heading4">
    <w:name w:val="heading 4"/>
    <w:basedOn w:val="Normal"/>
    <w:link w:val="Heading4Char"/>
    <w:qFormat/>
    <w:pPr>
      <w:ind w:left="1140"/>
      <w:outlineLvl w:val="3"/>
    </w:pPr>
    <w:rPr>
      <w:b/>
      <w:bCs/>
      <w:sz w:val="24"/>
      <w:szCs w:val="24"/>
    </w:rPr>
  </w:style>
  <w:style w:type="paragraph" w:styleId="Heading5">
    <w:name w:val="heading 5"/>
    <w:basedOn w:val="Normal"/>
    <w:next w:val="Normal"/>
    <w:link w:val="Heading5Char"/>
    <w:rsid w:val="00E92A5C"/>
    <w:pPr>
      <w:keepNext/>
      <w:keepLines/>
      <w:spacing w:before="220" w:after="40" w:line="240" w:lineRule="auto"/>
      <w:ind w:left="0" w:right="0"/>
      <w:jc w:val="left"/>
      <w:outlineLvl w:val="4"/>
    </w:pPr>
    <w:rPr>
      <w:rFonts w:ascii="Times New Roman" w:eastAsia="Times New Roman" w:hAnsi="Times New Roman" w:cs="Times New Roman"/>
      <w:b/>
      <w:color w:val="000000"/>
    </w:rPr>
  </w:style>
  <w:style w:type="paragraph" w:styleId="Heading6">
    <w:name w:val="heading 6"/>
    <w:basedOn w:val="Normal"/>
    <w:next w:val="Normal"/>
    <w:link w:val="Heading6Char"/>
    <w:rsid w:val="00E92A5C"/>
    <w:pPr>
      <w:keepNext/>
      <w:keepLines/>
      <w:spacing w:before="200" w:after="40" w:line="240" w:lineRule="auto"/>
      <w:ind w:left="0" w:right="0"/>
      <w:jc w:val="left"/>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iPriority w:val="99"/>
    <w:unhideWhenUsed/>
    <w:rsid w:val="00DA64D2"/>
    <w:pPr>
      <w:tabs>
        <w:tab w:val="center" w:pos="4680"/>
        <w:tab w:val="right" w:pos="9360"/>
      </w:tabs>
    </w:pPr>
  </w:style>
  <w:style w:type="character" w:customStyle="1" w:styleId="FooterChar">
    <w:name w:val="Footer Char"/>
    <w:basedOn w:val="DefaultParagraphFont"/>
    <w:link w:val="Footer"/>
    <w:uiPriority w:val="99"/>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rsid w:val="00C96D9C"/>
    <w:rPr>
      <w:rFonts w:ascii="Calibri" w:eastAsia="Calibri" w:hAnsi="Calibri" w:cs="Calibri"/>
      <w:b/>
      <w:bCs/>
      <w:sz w:val="28"/>
      <w:szCs w:val="28"/>
    </w:rPr>
  </w:style>
  <w:style w:type="table" w:styleId="TableGrid">
    <w:name w:val="Table Grid"/>
    <w:basedOn w:val="TableNormal"/>
    <w:uiPriority w:val="5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346C8"/>
    <w:pPr>
      <w:spacing w:after="100"/>
    </w:p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1F27"/>
    <w:rPr>
      <w:color w:val="605E5C"/>
      <w:shd w:val="clear" w:color="auto" w:fill="E1DFDD"/>
    </w:rPr>
  </w:style>
  <w:style w:type="character" w:customStyle="1" w:styleId="Heading1Char">
    <w:name w:val="Heading 1 Char"/>
    <w:basedOn w:val="DefaultParagraphFont"/>
    <w:link w:val="Heading1"/>
    <w:rsid w:val="00E92A5C"/>
    <w:rPr>
      <w:rFonts w:ascii="Calibri" w:eastAsia="Calibri" w:hAnsi="Calibri" w:cs="Calibri"/>
      <w:sz w:val="40"/>
      <w:szCs w:val="40"/>
    </w:rPr>
  </w:style>
  <w:style w:type="character" w:customStyle="1" w:styleId="Heading5Char">
    <w:name w:val="Heading 5 Char"/>
    <w:basedOn w:val="DefaultParagraphFont"/>
    <w:link w:val="Heading5"/>
    <w:rsid w:val="00E92A5C"/>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E92A5C"/>
    <w:rPr>
      <w:rFonts w:ascii="Times New Roman" w:eastAsia="Times New Roman" w:hAnsi="Times New Roman" w:cs="Times New Roman"/>
      <w:b/>
      <w:color w:val="000000"/>
      <w:sz w:val="20"/>
      <w:szCs w:val="20"/>
    </w:rPr>
  </w:style>
  <w:style w:type="numbering" w:customStyle="1" w:styleId="NoList1">
    <w:name w:val="No List1"/>
    <w:next w:val="NoList"/>
    <w:uiPriority w:val="99"/>
    <w:semiHidden/>
    <w:unhideWhenUsed/>
    <w:rsid w:val="00E92A5C"/>
  </w:style>
  <w:style w:type="character" w:customStyle="1" w:styleId="Heading4Char">
    <w:name w:val="Heading 4 Char"/>
    <w:basedOn w:val="DefaultParagraphFont"/>
    <w:link w:val="Heading4"/>
    <w:rsid w:val="00E92A5C"/>
    <w:rPr>
      <w:rFonts w:ascii="Calibri" w:eastAsia="Calibri" w:hAnsi="Calibri" w:cs="Calibri"/>
      <w:b/>
      <w:bCs/>
      <w:sz w:val="24"/>
      <w:szCs w:val="24"/>
    </w:rPr>
  </w:style>
  <w:style w:type="paragraph" w:styleId="Title">
    <w:name w:val="Title"/>
    <w:basedOn w:val="Normal"/>
    <w:next w:val="Normal"/>
    <w:link w:val="TitleChar"/>
    <w:rsid w:val="00E92A5C"/>
    <w:pPr>
      <w:keepNext/>
      <w:keepLines/>
      <w:spacing w:before="480" w:after="120" w:line="240" w:lineRule="auto"/>
      <w:ind w:left="0" w:right="0"/>
      <w:jc w:val="left"/>
    </w:pPr>
    <w:rPr>
      <w:rFonts w:ascii="Times New Roman" w:eastAsia="Times New Roman" w:hAnsi="Times New Roman" w:cs="Times New Roman"/>
      <w:b/>
      <w:color w:val="000000"/>
      <w:sz w:val="72"/>
      <w:szCs w:val="72"/>
    </w:rPr>
  </w:style>
  <w:style w:type="character" w:customStyle="1" w:styleId="TitleChar">
    <w:name w:val="Title Char"/>
    <w:basedOn w:val="DefaultParagraphFont"/>
    <w:link w:val="Title"/>
    <w:rsid w:val="00E92A5C"/>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E92A5C"/>
    <w:pPr>
      <w:keepNext/>
      <w:keepLines/>
      <w:spacing w:before="360" w:after="80" w:line="240" w:lineRule="auto"/>
      <w:ind w:left="0" w:right="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E92A5C"/>
    <w:rPr>
      <w:rFonts w:ascii="Georgia" w:eastAsia="Georgia" w:hAnsi="Georgia" w:cs="Georgia"/>
      <w:i/>
      <w:color w:val="666666"/>
      <w:sz w:val="48"/>
      <w:szCs w:val="48"/>
    </w:rPr>
  </w:style>
  <w:style w:type="paragraph" w:styleId="NormalWeb">
    <w:name w:val="Normal (Web)"/>
    <w:basedOn w:val="Normal"/>
    <w:uiPriority w:val="99"/>
    <w:unhideWhenUsed/>
    <w:rsid w:val="00E92A5C"/>
    <w:pPr>
      <w:spacing w:before="100" w:beforeAutospacing="1" w:after="100" w:afterAutospacing="1" w:line="240" w:lineRule="auto"/>
      <w:ind w:left="0" w:right="0"/>
      <w:jc w:val="left"/>
    </w:pPr>
    <w:rPr>
      <w:rFonts w:ascii="Times" w:eastAsia="Times New Roman" w:hAnsi="Times" w:cs="Times New Roman"/>
      <w:sz w:val="20"/>
      <w:szCs w:val="20"/>
    </w:rPr>
  </w:style>
  <w:style w:type="character" w:styleId="CommentReference">
    <w:name w:val="annotation reference"/>
    <w:basedOn w:val="DefaultParagraphFont"/>
    <w:uiPriority w:val="99"/>
    <w:semiHidden/>
    <w:unhideWhenUsed/>
    <w:rsid w:val="00E92A5C"/>
    <w:rPr>
      <w:sz w:val="16"/>
      <w:szCs w:val="16"/>
    </w:rPr>
  </w:style>
  <w:style w:type="paragraph" w:styleId="CommentText">
    <w:name w:val="annotation text"/>
    <w:basedOn w:val="Normal"/>
    <w:link w:val="CommentTextChar"/>
    <w:uiPriority w:val="99"/>
    <w:semiHidden/>
    <w:unhideWhenUsed/>
    <w:rsid w:val="00E92A5C"/>
    <w:pPr>
      <w:spacing w:line="240" w:lineRule="auto"/>
      <w:ind w:left="0" w:right="0"/>
      <w:jc w:val="left"/>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E92A5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92A5C"/>
    <w:rPr>
      <w:b/>
      <w:bCs/>
    </w:rPr>
  </w:style>
  <w:style w:type="character" w:customStyle="1" w:styleId="CommentSubjectChar">
    <w:name w:val="Comment Subject Char"/>
    <w:basedOn w:val="CommentTextChar"/>
    <w:link w:val="CommentSubject"/>
    <w:uiPriority w:val="99"/>
    <w:semiHidden/>
    <w:rsid w:val="00E92A5C"/>
    <w:rPr>
      <w:rFonts w:ascii="Times New Roman" w:eastAsia="Times New Roman" w:hAnsi="Times New Roman" w:cs="Times New Roman"/>
      <w:b/>
      <w:bCs/>
      <w:color w:val="000000"/>
      <w:sz w:val="20"/>
      <w:szCs w:val="20"/>
    </w:rPr>
  </w:style>
  <w:style w:type="table" w:customStyle="1" w:styleId="TableGrid3">
    <w:name w:val="Table Grid3"/>
    <w:basedOn w:val="TableNormal"/>
    <w:next w:val="TableGrid"/>
    <w:uiPriority w:val="39"/>
    <w:rsid w:val="003E5D4B"/>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da.wisc.edu/sites/default/files/Website/State%20Pages/Massachusetts/MA_Collaboration_Tool.pdf" TargetMode="External"/><Relationship Id="rId18" Type="http://schemas.openxmlformats.org/officeDocument/2006/relationships/hyperlink" Target="https://www.youtube.com/watch?v=a7UUhx4tS1Q&amp;feature=youtu.be" TargetMode="External"/><Relationship Id="rId26" Type="http://schemas.openxmlformats.org/officeDocument/2006/relationships/hyperlink" Target="https://www.erstrategies.org/tap/school_scheduling_tools" TargetMode="External"/><Relationship Id="rId3" Type="http://schemas.openxmlformats.org/officeDocument/2006/relationships/customXml" Target="../customXml/item3.xml"/><Relationship Id="rId21" Type="http://schemas.openxmlformats.org/officeDocument/2006/relationships/hyperlink" Target="http://coteachingforells.weebly.com" TargetMode="External"/><Relationship Id="rId34" Type="http://schemas.openxmlformats.org/officeDocument/2006/relationships/hyperlink" Target="https://wida.wisc.edu/sites/default/files/Website/State%20Pages/Massachusetts/MA_Collaboration_Tool.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ida.wisc.edu/sites/default/files/Website/State%20Pages/Massachusetts/MA_Collaboration_Tool_GUIDE.pdf" TargetMode="External"/><Relationship Id="rId25" Type="http://schemas.openxmlformats.org/officeDocument/2006/relationships/hyperlink" Target="http://coteachingforells.weebly.com/uploads/8/0/6/6/8066516/2008_dkg_article_co-teaching_copy.pdf" TargetMode="External"/><Relationship Id="rId33" Type="http://schemas.openxmlformats.org/officeDocument/2006/relationships/hyperlink" Target="http://www.doe.mass.edu/mcas/access/" TargetMode="External"/><Relationship Id="rId2" Type="http://schemas.openxmlformats.org/officeDocument/2006/relationships/customXml" Target="../customXml/item2.xml"/><Relationship Id="rId16" Type="http://schemas.openxmlformats.org/officeDocument/2006/relationships/hyperlink" Target="http://www.doe.mass.edu/ele/instruction/" TargetMode="External"/><Relationship Id="rId20" Type="http://schemas.openxmlformats.org/officeDocument/2006/relationships/hyperlink" Target="https://www.youtube.com/watch?v=a7UUhx4tS1Q&amp;feature=youtu.be" TargetMode="External"/><Relationship Id="rId29" Type="http://schemas.openxmlformats.org/officeDocument/2006/relationships/hyperlink" Target="https://www.erstrategies.org/cms/files/3876-finding-time-for-collaborative-plannin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oteachingforells.weebly.com/uploads/8/0/6/6/8066516/2010_tj_dove_honigsfield_copy.pdf" TargetMode="External"/><Relationship Id="rId32" Type="http://schemas.openxmlformats.org/officeDocument/2006/relationships/hyperlink" Target="https://wida.wisc.edu/sites/default/files/Website/State%20Pages/Massachusetts/MA_Collaboration_Tool.pdf"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frameworks/" TargetMode="External"/><Relationship Id="rId23" Type="http://schemas.openxmlformats.org/officeDocument/2006/relationships/hyperlink" Target="http://coteachingforells.weebly.com/uploads/8/0/6/6/8066516/collaborative_practices_to_support_all_studentss.pdf" TargetMode="External"/><Relationship Id="rId28" Type="http://schemas.openxmlformats.org/officeDocument/2006/relationships/hyperlink" Target="http://www.state.nj.us/education/AchieveNJ/teams/strat11/JMUElementaryschoolscheduling.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hyperlink" Target="http://www.doe.mass.edu/retel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ida.wisc.edu/teach/standards" TargetMode="External"/><Relationship Id="rId22" Type="http://schemas.openxmlformats.org/officeDocument/2006/relationships/hyperlink" Target="https://sites.google.com/a/auslchicago.org/specialeducation/co-teaching" TargetMode="External"/><Relationship Id="rId27" Type="http://schemas.openxmlformats.org/officeDocument/2006/relationships/hyperlink" Target="http://www.nextfrontierinclusion.org/wp-content/uploads/2015/12/Co-Teaching-Making-It-Work.pdf" TargetMode="External"/><Relationship Id="rId30" Type="http://schemas.openxmlformats.org/officeDocument/2006/relationships/hyperlink" Target="http://www.state.nj.us/education/AchieveNJ/teams/"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ll.stanford.edu/sites/default/files/pdf/academic-papers/10-Santos%20LDH%20Teacher%20Development%20FINAL.pdf" TargetMode="External"/><Relationship Id="rId1" Type="http://schemas.openxmlformats.org/officeDocument/2006/relationships/hyperlink" Target="https://www.erstrategies.org/tap/finding_time_for_collaborative_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DESE-231-56864</_dlc_DocId>
    <_dlc_DocIdUrl xmlns="733efe1c-5bbe-4968-87dc-d400e65c879f">
      <Url>https://sharepoint.doemass.org/ese/webteam/cps/_layouts/DocIdRedir.aspx?ID=DESE-231-56864</Url>
      <Description>DESE-231-56864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305B-545E-4068-A6A4-5DD8ABDF2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4.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5.xml><?xml version="1.0" encoding="utf-8"?>
<ds:datastoreItem xmlns:ds="http://schemas.openxmlformats.org/officeDocument/2006/customXml" ds:itemID="{581904BA-AD74-4F94-8173-8B36AC15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2032</Words>
  <Characters>12014</Characters>
  <Application>Microsoft Office Word</Application>
  <DocSecurity>0</DocSecurity>
  <Lines>286</Lines>
  <Paragraphs>149</Paragraphs>
  <ScaleCrop>false</ScaleCrop>
  <HeadingPairs>
    <vt:vector size="2" baseType="variant">
      <vt:variant>
        <vt:lpstr>Title</vt:lpstr>
      </vt:variant>
      <vt:variant>
        <vt:i4>1</vt:i4>
      </vt:variant>
    </vt:vector>
  </HeadingPairs>
  <TitlesOfParts>
    <vt:vector size="1" baseType="lpstr">
      <vt:lpstr>Appendix E - Spotlight on Collaboration</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Spotlight on Collaboration</dc:title>
  <dc:creator>DESE</dc:creator>
  <cp:lastModifiedBy>Zou, Dong (EOE)</cp:lastModifiedBy>
  <cp:revision>4</cp:revision>
  <cp:lastPrinted>2018-12-10T18:39:00Z</cp:lastPrinted>
  <dcterms:created xsi:type="dcterms:W3CDTF">2019-12-15T21:10:00Z</dcterms:created>
  <dcterms:modified xsi:type="dcterms:W3CDTF">2019-12-16T21:28:00Z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2019</vt:lpwstr>
  </property>
</Properties>
</file>