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36E6DBDF" w:rsidR="00A45965" w:rsidRDefault="00BB5AB1" w:rsidP="000B2F32">
      <w:pPr>
        <w:pStyle w:val="Heading1"/>
        <w:jc w:val="center"/>
      </w:pPr>
      <w:bookmarkStart w:id="0" w:name="_o0xvwbipy4rb" w:colFirst="0" w:colLast="0"/>
      <w:bookmarkEnd w:id="0"/>
      <w:r>
        <w:t>DLBE Enrollment</w:t>
      </w:r>
    </w:p>
    <w:p w14:paraId="00000002" w14:textId="77777777" w:rsidR="00A45965" w:rsidRPr="000B2F32" w:rsidRDefault="00BB5AB1">
      <w:pPr>
        <w:pStyle w:val="Subtitle"/>
        <w:spacing w:before="200" w:after="0"/>
        <w:jc w:val="center"/>
        <w:rPr>
          <w:iCs/>
          <w:color w:val="000000"/>
          <w:sz w:val="24"/>
          <w:szCs w:val="24"/>
        </w:rPr>
      </w:pPr>
      <w:bookmarkStart w:id="1" w:name="_za7c6e67zmrg" w:colFirst="0" w:colLast="0"/>
      <w:bookmarkEnd w:id="1"/>
      <w:r w:rsidRPr="000B2F32">
        <w:rPr>
          <w:iCs/>
          <w:color w:val="000000"/>
          <w:sz w:val="24"/>
          <w:szCs w:val="24"/>
        </w:rPr>
        <w:t xml:space="preserve">DESE Quick Reference Guide </w:t>
      </w:r>
    </w:p>
    <w:p w14:paraId="00000003" w14:textId="77777777" w:rsidR="00A45965" w:rsidRDefault="00BB5AB1">
      <w:pPr>
        <w:spacing w:before="200"/>
        <w:rPr>
          <w:sz w:val="24"/>
          <w:szCs w:val="24"/>
        </w:rPr>
      </w:pPr>
      <w:r>
        <w:rPr>
          <w:sz w:val="24"/>
          <w:szCs w:val="24"/>
        </w:rPr>
        <w:t xml:space="preserve">Students typically enter Dual Language Bilingual Education (DLBE) programs at the Kindergarten or 1st grade level. However, allowing new students to enroll at upper grade levels can extend the benefits of DLBE to more students as well as mitigate the negative programmatic and financial effects of occasional attrition. Districts must carefully consider the entry criteria and their readiness to support new students entering after grade 1. Using an entry assessment protocol in both program languages to identify students at grade 2 and up as potential candidates is best practice. </w:t>
      </w:r>
    </w:p>
    <w:p w14:paraId="00000004" w14:textId="3B9C03F1" w:rsidR="00A45965" w:rsidRPr="008A167D" w:rsidRDefault="002C2410" w:rsidP="008A167D">
      <w:pPr>
        <w:pStyle w:val="Heading2"/>
        <w:rPr>
          <w:sz w:val="28"/>
          <w:szCs w:val="28"/>
        </w:rPr>
      </w:pPr>
      <w:r w:rsidRPr="008A167D">
        <w:rPr>
          <w:sz w:val="28"/>
          <w:szCs w:val="28"/>
        </w:rPr>
        <w:t>Entry Assessments in English and Partner Language for New Students</w:t>
      </w:r>
      <w:r w:rsidR="00BB5AB1" w:rsidRPr="008A167D">
        <w:rPr>
          <w:sz w:val="28"/>
          <w:szCs w:val="28"/>
        </w:rPr>
        <w:t xml:space="preserve"> </w:t>
      </w:r>
    </w:p>
    <w:p w14:paraId="00000005" w14:textId="77777777" w:rsidR="00A45965" w:rsidRDefault="00BB5AB1">
      <w:pPr>
        <w:numPr>
          <w:ilvl w:val="0"/>
          <w:numId w:val="2"/>
        </w:numPr>
        <w:pBdr>
          <w:top w:val="nil"/>
          <w:left w:val="nil"/>
          <w:bottom w:val="nil"/>
          <w:right w:val="nil"/>
          <w:between w:val="nil"/>
        </w:pBdr>
        <w:spacing w:before="200"/>
        <w:ind w:left="270" w:hanging="270"/>
        <w:rPr>
          <w:sz w:val="24"/>
          <w:szCs w:val="24"/>
        </w:rPr>
      </w:pPr>
      <w:r>
        <w:rPr>
          <w:sz w:val="24"/>
          <w:szCs w:val="24"/>
        </w:rPr>
        <w:t xml:space="preserve">Elementary (K-1): requires only Oral Language Assessment. </w:t>
      </w:r>
    </w:p>
    <w:p w14:paraId="00000006" w14:textId="77777777" w:rsidR="00A45965" w:rsidRDefault="00BB5AB1">
      <w:pPr>
        <w:numPr>
          <w:ilvl w:val="0"/>
          <w:numId w:val="2"/>
        </w:numPr>
        <w:pBdr>
          <w:top w:val="nil"/>
          <w:left w:val="nil"/>
          <w:bottom w:val="nil"/>
          <w:right w:val="nil"/>
          <w:between w:val="nil"/>
        </w:pBdr>
        <w:spacing w:before="200"/>
        <w:ind w:left="270" w:hanging="270"/>
        <w:rPr>
          <w:sz w:val="24"/>
          <w:szCs w:val="24"/>
        </w:rPr>
      </w:pPr>
      <w:r>
        <w:rPr>
          <w:sz w:val="24"/>
          <w:szCs w:val="24"/>
        </w:rPr>
        <w:t xml:space="preserve">Elementary (2-5), Middle School (6-8), and High School (9-12): require Oral Language Assessment, Reading Assessment, and Writing Assessment. </w:t>
      </w:r>
    </w:p>
    <w:p w14:paraId="00000007" w14:textId="77777777" w:rsidR="00A45965" w:rsidRDefault="00BB5AB1">
      <w:pPr>
        <w:spacing w:before="200"/>
        <w:rPr>
          <w:sz w:val="24"/>
          <w:szCs w:val="24"/>
        </w:rPr>
      </w:pPr>
      <w:r>
        <w:rPr>
          <w:sz w:val="24"/>
          <w:szCs w:val="24"/>
        </w:rPr>
        <w:t xml:space="preserve">Please note the following: </w:t>
      </w:r>
    </w:p>
    <w:p w14:paraId="00000008" w14:textId="77777777" w:rsidR="00A45965" w:rsidRDefault="00BB5AB1">
      <w:pPr>
        <w:numPr>
          <w:ilvl w:val="0"/>
          <w:numId w:val="2"/>
        </w:numPr>
        <w:spacing w:before="200"/>
        <w:ind w:left="270" w:hanging="270"/>
        <w:rPr>
          <w:sz w:val="24"/>
          <w:szCs w:val="24"/>
        </w:rPr>
      </w:pPr>
      <w:r>
        <w:rPr>
          <w:sz w:val="24"/>
          <w:szCs w:val="24"/>
        </w:rPr>
        <w:t>In grades K-1, oral proficiency assessments are not eligibility criteria. Instead, these scores should be used to inform instruction and to distinguish the student populations to be served.</w:t>
      </w:r>
    </w:p>
    <w:p w14:paraId="00000009" w14:textId="77777777" w:rsidR="00A45965" w:rsidRDefault="00BB5AB1">
      <w:pPr>
        <w:numPr>
          <w:ilvl w:val="0"/>
          <w:numId w:val="2"/>
        </w:numPr>
        <w:spacing w:before="200"/>
        <w:ind w:left="270" w:hanging="270"/>
        <w:rPr>
          <w:sz w:val="24"/>
          <w:szCs w:val="24"/>
        </w:rPr>
      </w:pPr>
      <w:r>
        <w:rPr>
          <w:sz w:val="24"/>
          <w:szCs w:val="24"/>
        </w:rPr>
        <w:t xml:space="preserve">After grade 1, district teams can determine which oral and literacy proficiency scores in each language qualify for eligibility in order to ensure student success in the program. </w:t>
      </w:r>
    </w:p>
    <w:p w14:paraId="0000000A" w14:textId="77777777" w:rsidR="00A45965" w:rsidRDefault="00BB5AB1">
      <w:pPr>
        <w:numPr>
          <w:ilvl w:val="0"/>
          <w:numId w:val="2"/>
        </w:numPr>
        <w:pBdr>
          <w:top w:val="nil"/>
          <w:left w:val="nil"/>
          <w:bottom w:val="nil"/>
          <w:right w:val="nil"/>
          <w:between w:val="nil"/>
        </w:pBdr>
        <w:spacing w:before="200"/>
        <w:ind w:left="270" w:hanging="270"/>
        <w:rPr>
          <w:sz w:val="24"/>
          <w:szCs w:val="24"/>
        </w:rPr>
      </w:pPr>
      <w:r>
        <w:rPr>
          <w:sz w:val="24"/>
          <w:szCs w:val="24"/>
        </w:rPr>
        <w:t xml:space="preserve">These scores should be used holistically and flexibly, in conjunction with student/family interviews and previous school records (if available). </w:t>
      </w:r>
    </w:p>
    <w:p w14:paraId="0000000B" w14:textId="77777777" w:rsidR="00A45965" w:rsidRDefault="00BB5AB1">
      <w:pPr>
        <w:numPr>
          <w:ilvl w:val="0"/>
          <w:numId w:val="2"/>
        </w:numPr>
        <w:pBdr>
          <w:top w:val="nil"/>
          <w:left w:val="nil"/>
          <w:bottom w:val="nil"/>
          <w:right w:val="nil"/>
          <w:between w:val="nil"/>
        </w:pBdr>
        <w:spacing w:before="200"/>
        <w:ind w:left="270" w:hanging="270"/>
        <w:rPr>
          <w:sz w:val="24"/>
          <w:szCs w:val="24"/>
        </w:rPr>
      </w:pPr>
      <w:r>
        <w:rPr>
          <w:sz w:val="24"/>
          <w:szCs w:val="24"/>
        </w:rPr>
        <w:t xml:space="preserve">Districts should also remember that students from a variety of backgrounds, including those with disabilities, can be successful in DLBE with the right supports. </w:t>
      </w:r>
    </w:p>
    <w:p w14:paraId="0000000C" w14:textId="77777777" w:rsidR="00A45965" w:rsidRDefault="00BB5AB1">
      <w:pPr>
        <w:numPr>
          <w:ilvl w:val="0"/>
          <w:numId w:val="2"/>
        </w:numPr>
        <w:pBdr>
          <w:top w:val="nil"/>
          <w:left w:val="nil"/>
          <w:bottom w:val="nil"/>
          <w:right w:val="nil"/>
          <w:between w:val="nil"/>
        </w:pBdr>
        <w:spacing w:before="200"/>
        <w:ind w:left="270" w:hanging="270"/>
        <w:rPr>
          <w:sz w:val="24"/>
          <w:szCs w:val="24"/>
        </w:rPr>
      </w:pPr>
      <w:r>
        <w:rPr>
          <w:sz w:val="24"/>
          <w:szCs w:val="24"/>
        </w:rPr>
        <w:t>Priority for enrollment should be reserved  for students designated as English Learners across the grade levels.</w:t>
      </w:r>
    </w:p>
    <w:p w14:paraId="0000000D" w14:textId="77777777" w:rsidR="00A45965" w:rsidRDefault="00BB5AB1">
      <w:pPr>
        <w:pBdr>
          <w:top w:val="nil"/>
          <w:left w:val="nil"/>
          <w:bottom w:val="nil"/>
          <w:right w:val="nil"/>
          <w:between w:val="nil"/>
        </w:pBdr>
        <w:spacing w:before="200"/>
        <w:rPr>
          <w:sz w:val="24"/>
          <w:szCs w:val="24"/>
        </w:rPr>
      </w:pPr>
      <w:r>
        <w:br w:type="page"/>
      </w:r>
    </w:p>
    <w:p w14:paraId="0000000E" w14:textId="77777777" w:rsidR="00A45965" w:rsidRPr="008A167D" w:rsidRDefault="00BB5AB1" w:rsidP="008A167D">
      <w:pPr>
        <w:pStyle w:val="Heading2"/>
        <w:rPr>
          <w:sz w:val="28"/>
          <w:szCs w:val="28"/>
        </w:rPr>
      </w:pPr>
      <w:r w:rsidRPr="008A167D">
        <w:rPr>
          <w:sz w:val="28"/>
          <w:szCs w:val="28"/>
        </w:rPr>
        <w:lastRenderedPageBreak/>
        <w:t>CONSIDERATIONS FOR LATE DLBE ENROLLMENT BY STUDENT PROFILE</w:t>
      </w:r>
    </w:p>
    <w:p w14:paraId="0000000F" w14:textId="77777777" w:rsidR="00A45965" w:rsidRDefault="00A45965">
      <w:pPr>
        <w:numPr>
          <w:ilvl w:val="0"/>
          <w:numId w:val="2"/>
        </w:numPr>
        <w:pBdr>
          <w:top w:val="nil"/>
          <w:left w:val="nil"/>
          <w:bottom w:val="nil"/>
          <w:right w:val="nil"/>
          <w:between w:val="nil"/>
        </w:pBdr>
        <w:spacing w:before="200"/>
        <w:ind w:left="270" w:hanging="270"/>
        <w:rPr>
          <w:sz w:val="24"/>
          <w:szCs w:val="24"/>
        </w:rPr>
      </w:pPr>
      <w:hyperlink r:id="rId7">
        <w:r>
          <w:rPr>
            <w:color w:val="1155CC"/>
            <w:sz w:val="24"/>
            <w:szCs w:val="24"/>
            <w:u w:val="single"/>
          </w:rPr>
          <w:t>Newcomer</w:t>
        </w:r>
      </w:hyperlink>
      <w:r w:rsidR="00BB5AB1">
        <w:rPr>
          <w:sz w:val="24"/>
          <w:szCs w:val="24"/>
        </w:rPr>
        <w:t xml:space="preserve"> Considerations: </w:t>
      </w:r>
    </w:p>
    <w:p w14:paraId="00000010" w14:textId="77777777" w:rsidR="00A45965" w:rsidRDefault="00BB5AB1">
      <w:pPr>
        <w:numPr>
          <w:ilvl w:val="1"/>
          <w:numId w:val="1"/>
        </w:numPr>
        <w:pBdr>
          <w:top w:val="nil"/>
          <w:left w:val="nil"/>
          <w:bottom w:val="nil"/>
          <w:right w:val="nil"/>
          <w:between w:val="nil"/>
        </w:pBdr>
        <w:spacing w:before="200"/>
        <w:ind w:left="540" w:hanging="270"/>
        <w:rPr>
          <w:sz w:val="24"/>
          <w:szCs w:val="24"/>
        </w:rPr>
      </w:pPr>
      <w:r>
        <w:rPr>
          <w:sz w:val="24"/>
          <w:szCs w:val="24"/>
        </w:rPr>
        <w:t xml:space="preserve">Elementary (2-5): Intensive ESL supports, particularly for grades 3-5 </w:t>
      </w:r>
    </w:p>
    <w:p w14:paraId="00000011" w14:textId="77777777" w:rsidR="00A45965" w:rsidRDefault="00BB5AB1">
      <w:pPr>
        <w:numPr>
          <w:ilvl w:val="1"/>
          <w:numId w:val="1"/>
        </w:numPr>
        <w:pBdr>
          <w:top w:val="nil"/>
          <w:left w:val="nil"/>
          <w:bottom w:val="nil"/>
          <w:right w:val="nil"/>
          <w:between w:val="nil"/>
        </w:pBdr>
        <w:spacing w:before="200"/>
        <w:ind w:left="540" w:hanging="270"/>
        <w:rPr>
          <w:sz w:val="24"/>
          <w:szCs w:val="24"/>
        </w:rPr>
      </w:pPr>
      <w:r>
        <w:rPr>
          <w:sz w:val="24"/>
          <w:szCs w:val="24"/>
        </w:rPr>
        <w:t>Middle School (6-8) and High School (9-12): Intensive ESL supports and English language demands for content classes</w:t>
      </w:r>
    </w:p>
    <w:p w14:paraId="00000012" w14:textId="77777777" w:rsidR="00A45965" w:rsidRDefault="00A45965">
      <w:pPr>
        <w:numPr>
          <w:ilvl w:val="0"/>
          <w:numId w:val="2"/>
        </w:numPr>
        <w:pBdr>
          <w:top w:val="nil"/>
          <w:left w:val="nil"/>
          <w:bottom w:val="nil"/>
          <w:right w:val="nil"/>
          <w:between w:val="nil"/>
        </w:pBdr>
        <w:spacing w:before="200"/>
        <w:ind w:left="270" w:hanging="270"/>
        <w:rPr>
          <w:sz w:val="24"/>
          <w:szCs w:val="24"/>
        </w:rPr>
      </w:pPr>
      <w:hyperlink r:id="rId8">
        <w:r>
          <w:rPr>
            <w:color w:val="1155CC"/>
            <w:sz w:val="24"/>
            <w:szCs w:val="24"/>
            <w:u w:val="single"/>
          </w:rPr>
          <w:t>Students with Limited or Interrupted Formal Education (SLIFE)</w:t>
        </w:r>
      </w:hyperlink>
      <w:r w:rsidR="00BB5AB1">
        <w:rPr>
          <w:sz w:val="24"/>
          <w:szCs w:val="24"/>
        </w:rPr>
        <w:t xml:space="preserve"> Considerations: </w:t>
      </w:r>
    </w:p>
    <w:p w14:paraId="00000013" w14:textId="77777777" w:rsidR="00A45965" w:rsidRDefault="00BB5AB1">
      <w:pPr>
        <w:numPr>
          <w:ilvl w:val="1"/>
          <w:numId w:val="1"/>
        </w:numPr>
        <w:pBdr>
          <w:top w:val="nil"/>
          <w:left w:val="nil"/>
          <w:bottom w:val="nil"/>
          <w:right w:val="nil"/>
          <w:between w:val="nil"/>
        </w:pBdr>
        <w:spacing w:before="200"/>
        <w:ind w:left="540" w:hanging="270"/>
        <w:rPr>
          <w:sz w:val="24"/>
          <w:szCs w:val="24"/>
        </w:rPr>
      </w:pPr>
      <w:r>
        <w:rPr>
          <w:sz w:val="24"/>
          <w:szCs w:val="24"/>
        </w:rPr>
        <w:t>Elementary (2-5): Intensive ESL supports and foundational skill supports in home language</w:t>
      </w:r>
    </w:p>
    <w:p w14:paraId="00000014" w14:textId="77777777" w:rsidR="00A45965" w:rsidRDefault="00BB5AB1">
      <w:pPr>
        <w:numPr>
          <w:ilvl w:val="1"/>
          <w:numId w:val="1"/>
        </w:numPr>
        <w:pBdr>
          <w:top w:val="nil"/>
          <w:left w:val="nil"/>
          <w:bottom w:val="nil"/>
          <w:right w:val="nil"/>
          <w:between w:val="nil"/>
        </w:pBdr>
        <w:spacing w:before="200"/>
        <w:ind w:left="540" w:hanging="270"/>
        <w:rPr>
          <w:sz w:val="24"/>
          <w:szCs w:val="24"/>
        </w:rPr>
      </w:pPr>
      <w:r>
        <w:rPr>
          <w:sz w:val="24"/>
          <w:szCs w:val="24"/>
        </w:rPr>
        <w:t>Middle School (6-8) and High School (9-12): Same as Elementary and possible participation in DLBE and/or foundational classes designed for SLIFE</w:t>
      </w:r>
    </w:p>
    <w:p w14:paraId="00000015" w14:textId="77777777" w:rsidR="00A45965" w:rsidRDefault="00A45965">
      <w:pPr>
        <w:numPr>
          <w:ilvl w:val="0"/>
          <w:numId w:val="2"/>
        </w:numPr>
        <w:pBdr>
          <w:top w:val="nil"/>
          <w:left w:val="nil"/>
          <w:bottom w:val="nil"/>
          <w:right w:val="nil"/>
          <w:between w:val="nil"/>
        </w:pBdr>
        <w:spacing w:before="200"/>
        <w:ind w:left="270" w:hanging="270"/>
        <w:rPr>
          <w:sz w:val="24"/>
          <w:szCs w:val="24"/>
        </w:rPr>
      </w:pPr>
      <w:hyperlink r:id="rId9">
        <w:r>
          <w:rPr>
            <w:color w:val="1155CC"/>
            <w:sz w:val="24"/>
            <w:szCs w:val="24"/>
            <w:u w:val="single"/>
          </w:rPr>
          <w:t>Heritage Learners</w:t>
        </w:r>
      </w:hyperlink>
      <w:r w:rsidR="00BB5AB1">
        <w:rPr>
          <w:sz w:val="24"/>
          <w:szCs w:val="24"/>
        </w:rPr>
        <w:t xml:space="preserve"> Considerations: </w:t>
      </w:r>
    </w:p>
    <w:p w14:paraId="00000016" w14:textId="77777777" w:rsidR="00A45965" w:rsidRDefault="00BB5AB1">
      <w:pPr>
        <w:numPr>
          <w:ilvl w:val="1"/>
          <w:numId w:val="1"/>
        </w:numPr>
        <w:pBdr>
          <w:top w:val="nil"/>
          <w:left w:val="nil"/>
          <w:bottom w:val="nil"/>
          <w:right w:val="nil"/>
          <w:between w:val="nil"/>
        </w:pBdr>
        <w:spacing w:before="200"/>
        <w:ind w:left="540" w:hanging="270"/>
        <w:rPr>
          <w:sz w:val="24"/>
          <w:szCs w:val="24"/>
        </w:rPr>
      </w:pPr>
      <w:r>
        <w:rPr>
          <w:sz w:val="24"/>
          <w:szCs w:val="24"/>
        </w:rPr>
        <w:t xml:space="preserve">Elementary (2-5): Intensive target language support with further considerations (level of English literacy and level of support in content classes taught in the target language) </w:t>
      </w:r>
    </w:p>
    <w:p w14:paraId="00000017" w14:textId="77777777" w:rsidR="00A45965" w:rsidRDefault="00BB5AB1">
      <w:pPr>
        <w:numPr>
          <w:ilvl w:val="1"/>
          <w:numId w:val="1"/>
        </w:numPr>
        <w:pBdr>
          <w:top w:val="nil"/>
          <w:left w:val="nil"/>
          <w:bottom w:val="nil"/>
          <w:right w:val="nil"/>
          <w:between w:val="nil"/>
        </w:pBdr>
        <w:spacing w:before="200"/>
        <w:ind w:left="540" w:hanging="270"/>
        <w:rPr>
          <w:sz w:val="24"/>
          <w:szCs w:val="24"/>
        </w:rPr>
      </w:pPr>
      <w:r>
        <w:rPr>
          <w:sz w:val="24"/>
          <w:szCs w:val="24"/>
        </w:rPr>
        <w:t xml:space="preserve">Middle School (6-8) and High School (9-12): Intensive target language support that take into account student motivation and requirements (English proficiency at or above grade level and orally highly proficient in the target language) </w:t>
      </w:r>
    </w:p>
    <w:p w14:paraId="00000018" w14:textId="77777777" w:rsidR="00A45965" w:rsidRDefault="00BB5AB1">
      <w:pPr>
        <w:numPr>
          <w:ilvl w:val="0"/>
          <w:numId w:val="2"/>
        </w:numPr>
        <w:pBdr>
          <w:top w:val="nil"/>
          <w:left w:val="nil"/>
          <w:bottom w:val="nil"/>
          <w:right w:val="nil"/>
          <w:between w:val="nil"/>
        </w:pBdr>
        <w:spacing w:before="200"/>
        <w:ind w:left="270" w:hanging="270"/>
        <w:rPr>
          <w:sz w:val="24"/>
          <w:szCs w:val="24"/>
        </w:rPr>
      </w:pPr>
      <w:r>
        <w:rPr>
          <w:sz w:val="24"/>
          <w:szCs w:val="24"/>
        </w:rPr>
        <w:t xml:space="preserve">Non-English Learner Non-Heritage Learner (English Monolingual Background) Considerations: </w:t>
      </w:r>
    </w:p>
    <w:p w14:paraId="00000019" w14:textId="77777777" w:rsidR="00A45965" w:rsidRDefault="00BB5AB1">
      <w:pPr>
        <w:numPr>
          <w:ilvl w:val="1"/>
          <w:numId w:val="1"/>
        </w:numPr>
        <w:pBdr>
          <w:top w:val="nil"/>
          <w:left w:val="nil"/>
          <w:bottom w:val="nil"/>
          <w:right w:val="nil"/>
          <w:between w:val="nil"/>
        </w:pBdr>
        <w:spacing w:before="200"/>
        <w:ind w:left="540" w:hanging="270"/>
        <w:rPr>
          <w:sz w:val="24"/>
          <w:szCs w:val="24"/>
        </w:rPr>
      </w:pPr>
      <w:r>
        <w:rPr>
          <w:sz w:val="24"/>
          <w:szCs w:val="24"/>
        </w:rPr>
        <w:t>Elementary (2-5): Appropriate only for enrollment in grade 2 and involves intensive target language support</w:t>
      </w:r>
    </w:p>
    <w:p w14:paraId="0000001A" w14:textId="77777777" w:rsidR="00A45965" w:rsidRDefault="00BB5AB1">
      <w:pPr>
        <w:numPr>
          <w:ilvl w:val="1"/>
          <w:numId w:val="1"/>
        </w:numPr>
        <w:pBdr>
          <w:top w:val="nil"/>
          <w:left w:val="nil"/>
          <w:bottom w:val="nil"/>
          <w:right w:val="nil"/>
          <w:between w:val="nil"/>
        </w:pBdr>
        <w:spacing w:before="200"/>
        <w:ind w:left="540" w:hanging="270"/>
        <w:rPr>
          <w:sz w:val="24"/>
          <w:szCs w:val="24"/>
        </w:rPr>
      </w:pPr>
      <w:r>
        <w:rPr>
          <w:sz w:val="24"/>
          <w:szCs w:val="24"/>
        </w:rPr>
        <w:t xml:space="preserve">Middle School (6-8) and High School (9-12): Not appropriate for enrollment </w:t>
      </w:r>
    </w:p>
    <w:p w14:paraId="0000001B" w14:textId="77777777" w:rsidR="00A45965" w:rsidRDefault="00A45965">
      <w:pPr>
        <w:pBdr>
          <w:top w:val="nil"/>
          <w:left w:val="nil"/>
          <w:bottom w:val="nil"/>
          <w:right w:val="nil"/>
          <w:between w:val="nil"/>
        </w:pBdr>
        <w:spacing w:before="200"/>
        <w:rPr>
          <w:sz w:val="24"/>
          <w:szCs w:val="24"/>
        </w:rPr>
      </w:pPr>
    </w:p>
    <w:sectPr w:rsidR="00A4596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83441" w14:textId="77777777" w:rsidR="00EF5F97" w:rsidRDefault="00EF5F97" w:rsidP="00183C58">
      <w:pPr>
        <w:spacing w:line="240" w:lineRule="auto"/>
      </w:pPr>
      <w:r>
        <w:separator/>
      </w:r>
    </w:p>
  </w:endnote>
  <w:endnote w:type="continuationSeparator" w:id="0">
    <w:p w14:paraId="2B2EE3BC" w14:textId="77777777" w:rsidR="00EF5F97" w:rsidRDefault="00EF5F97" w:rsidP="00183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A652" w14:textId="77777777" w:rsidR="00183C58" w:rsidRDefault="00183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66DB" w14:textId="77777777" w:rsidR="00183C58" w:rsidRDefault="00183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3737" w14:textId="77777777" w:rsidR="00183C58" w:rsidRDefault="00183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ECE2" w14:textId="77777777" w:rsidR="00EF5F97" w:rsidRDefault="00EF5F97" w:rsidP="00183C58">
      <w:pPr>
        <w:spacing w:line="240" w:lineRule="auto"/>
      </w:pPr>
      <w:r>
        <w:separator/>
      </w:r>
    </w:p>
  </w:footnote>
  <w:footnote w:type="continuationSeparator" w:id="0">
    <w:p w14:paraId="2F7D3C1F" w14:textId="77777777" w:rsidR="00EF5F97" w:rsidRDefault="00EF5F97" w:rsidP="00183C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BC52" w14:textId="77777777" w:rsidR="00183C58" w:rsidRDefault="00183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F546" w14:textId="77777777" w:rsidR="00183C58" w:rsidRDefault="00183C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C90F" w14:textId="77777777" w:rsidR="00183C58" w:rsidRDefault="00183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66BA0"/>
    <w:multiLevelType w:val="multilevel"/>
    <w:tmpl w:val="4DFC3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E4E54ED"/>
    <w:multiLevelType w:val="multilevel"/>
    <w:tmpl w:val="84A634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68109926">
    <w:abstractNumId w:val="1"/>
  </w:num>
  <w:num w:numId="2" w16cid:durableId="701323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965"/>
    <w:rsid w:val="000958B1"/>
    <w:rsid w:val="000B2F32"/>
    <w:rsid w:val="00112D53"/>
    <w:rsid w:val="00183C58"/>
    <w:rsid w:val="002C2410"/>
    <w:rsid w:val="007E5C45"/>
    <w:rsid w:val="008A167D"/>
    <w:rsid w:val="009F321A"/>
    <w:rsid w:val="00A4202C"/>
    <w:rsid w:val="00A45965"/>
    <w:rsid w:val="00BB5AB1"/>
    <w:rsid w:val="00CC0C4A"/>
    <w:rsid w:val="00EF5F9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65610"/>
  <w15:docId w15:val="{2B423ABE-E208-3B47-9763-E060A95C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83C58"/>
    <w:pPr>
      <w:tabs>
        <w:tab w:val="center" w:pos="4680"/>
        <w:tab w:val="right" w:pos="9360"/>
      </w:tabs>
      <w:spacing w:line="240" w:lineRule="auto"/>
    </w:pPr>
  </w:style>
  <w:style w:type="character" w:customStyle="1" w:styleId="HeaderChar">
    <w:name w:val="Header Char"/>
    <w:basedOn w:val="DefaultParagraphFont"/>
    <w:link w:val="Header"/>
    <w:uiPriority w:val="99"/>
    <w:rsid w:val="00183C58"/>
  </w:style>
  <w:style w:type="paragraph" w:styleId="Footer">
    <w:name w:val="footer"/>
    <w:basedOn w:val="Normal"/>
    <w:link w:val="FooterChar"/>
    <w:uiPriority w:val="99"/>
    <w:unhideWhenUsed/>
    <w:rsid w:val="00183C58"/>
    <w:pPr>
      <w:tabs>
        <w:tab w:val="center" w:pos="4680"/>
        <w:tab w:val="right" w:pos="9360"/>
      </w:tabs>
      <w:spacing w:line="240" w:lineRule="auto"/>
    </w:pPr>
  </w:style>
  <w:style w:type="character" w:customStyle="1" w:styleId="FooterChar">
    <w:name w:val="Footer Char"/>
    <w:basedOn w:val="DefaultParagraphFont"/>
    <w:link w:val="Footer"/>
    <w:uiPriority w:val="99"/>
    <w:rsid w:val="00183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oe.mass.edu/ele/slife/default.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doe.mass.edu/ele/resources/immigrant-refugee.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oe.mass.edu/worldlanguages/framework/qrg-heritage.doc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2606</Characters>
  <Application>Microsoft Office Word</Application>
  <DocSecurity>0</DocSecurity>
  <Lines>50</Lines>
  <Paragraphs>25</Paragraphs>
  <ScaleCrop>false</ScaleCrop>
  <HeadingPairs>
    <vt:vector size="2" baseType="variant">
      <vt:variant>
        <vt:lpstr>Title</vt:lpstr>
      </vt:variant>
      <vt:variant>
        <vt:i4>1</vt:i4>
      </vt:variant>
    </vt:vector>
  </HeadingPairs>
  <TitlesOfParts>
    <vt:vector size="1" baseType="lpstr">
      <vt:lpstr>QRG - DLBE Enrollment</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QRG - DLBE Enrollment</dc:title>
  <dc:creator>DESE</dc:creator>
  <cp:lastModifiedBy>Zou, Dong (EOE)</cp:lastModifiedBy>
  <cp:revision>4</cp:revision>
  <dcterms:created xsi:type="dcterms:W3CDTF">2025-11-25T16:13:00Z</dcterms:created>
  <dcterms:modified xsi:type="dcterms:W3CDTF">2025-12-01T16:55:00Z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 2025 12:00AM</vt:lpwstr>
  </property>
</Properties>
</file>