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CB8C" w14:textId="77777777" w:rsidR="00202B8A" w:rsidRDefault="00E12D77">
      <w:pPr>
        <w:pStyle w:val="Title"/>
      </w:pPr>
      <w:bookmarkStart w:id="0" w:name="Step_1:_SLIFE_Pre-Screener"/>
      <w:bookmarkEnd w:id="0"/>
      <w:r>
        <w:rPr>
          <w:color w:val="1F487C"/>
        </w:rPr>
        <w:t>Step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1: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SLIFE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Pre-</w:t>
      </w:r>
      <w:r>
        <w:rPr>
          <w:color w:val="1F487C"/>
          <w:spacing w:val="-2"/>
        </w:rPr>
        <w:t>Screener</w:t>
      </w:r>
    </w:p>
    <w:p w14:paraId="648DCB8D" w14:textId="77777777" w:rsidR="00202B8A" w:rsidRDefault="00E12D77">
      <w:pPr>
        <w:pStyle w:val="BodyText"/>
        <w:spacing w:before="47" w:line="276" w:lineRule="auto"/>
        <w:ind w:left="120" w:right="614"/>
      </w:pPr>
      <w:r>
        <w:rPr>
          <w:b/>
        </w:rPr>
        <w:t>Directions:</w:t>
      </w:r>
      <w:r>
        <w:rPr>
          <w:b/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SLIFE</w:t>
      </w:r>
      <w:r>
        <w:rPr>
          <w:spacing w:val="-3"/>
        </w:rPr>
        <w:t xml:space="preserve"> </w:t>
      </w:r>
      <w:r>
        <w:t>pre-screener</w:t>
      </w:r>
      <w:r>
        <w:rPr>
          <w:spacing w:val="-5"/>
        </w:rPr>
        <w:t xml:space="preserve"> </w:t>
      </w:r>
      <w:r>
        <w:t>(if administered) in the SLIFE Success Portfolio.</w:t>
      </w:r>
    </w:p>
    <w:p w14:paraId="648DCB8E" w14:textId="77777777" w:rsidR="00202B8A" w:rsidRDefault="00202B8A">
      <w:pPr>
        <w:pStyle w:val="BodyText"/>
        <w:spacing w:before="10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4071"/>
        <w:gridCol w:w="4935"/>
      </w:tblGrid>
      <w:tr w:rsidR="00202B8A" w14:paraId="648DCB92" w14:textId="77777777">
        <w:trPr>
          <w:trHeight w:val="446"/>
        </w:trPr>
        <w:tc>
          <w:tcPr>
            <w:tcW w:w="341" w:type="dxa"/>
            <w:tcBorders>
              <w:top w:val="nil"/>
              <w:bottom w:val="nil"/>
              <w:right w:val="nil"/>
            </w:tcBorders>
            <w:shd w:val="clear" w:color="auto" w:fill="316DA2"/>
          </w:tcPr>
          <w:p w14:paraId="648DCB8F" w14:textId="77777777" w:rsidR="00202B8A" w:rsidRDefault="00202B8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648DCB90" w14:textId="77777777" w:rsidR="00202B8A" w:rsidRDefault="00E12D77">
            <w:pPr>
              <w:pStyle w:val="TableParagraph"/>
              <w:spacing w:before="69"/>
              <w:ind w:left="479"/>
              <w:rPr>
                <w:b/>
              </w:rPr>
            </w:pPr>
            <w:r>
              <w:rPr>
                <w:b/>
                <w:color w:val="FFFFFF"/>
              </w:rPr>
              <w:t>Criteria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SLIFE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classification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316DA2"/>
          </w:tcPr>
          <w:p w14:paraId="648DCB91" w14:textId="77777777" w:rsidR="00202B8A" w:rsidRDefault="00E12D77">
            <w:pPr>
              <w:pStyle w:val="TableParagraph"/>
              <w:spacing w:before="69"/>
              <w:ind w:left="0" w:right="2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</w:t>
            </w:r>
          </w:p>
        </w:tc>
      </w:tr>
      <w:tr w:rsidR="00202B8A" w14:paraId="648DCB96" w14:textId="77777777">
        <w:trPr>
          <w:trHeight w:val="419"/>
        </w:trPr>
        <w:tc>
          <w:tcPr>
            <w:tcW w:w="341" w:type="dxa"/>
            <w:shd w:val="clear" w:color="auto" w:fill="E8EAF3"/>
          </w:tcPr>
          <w:p w14:paraId="648DCB93" w14:textId="77777777" w:rsidR="00202B8A" w:rsidRDefault="00E12D77">
            <w:pPr>
              <w:pStyle w:val="TableParagraph"/>
              <w:spacing w:before="52"/>
              <w:ind w:lef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71" w:type="dxa"/>
            <w:shd w:val="clear" w:color="auto" w:fill="E8EAF3"/>
          </w:tcPr>
          <w:p w14:paraId="648DCB94" w14:textId="77777777" w:rsidR="00202B8A" w:rsidRDefault="00E12D77">
            <w:pPr>
              <w:pStyle w:val="TableParagraph"/>
              <w:spacing w:before="52"/>
              <w:ind w:left="7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learner.</w:t>
            </w:r>
          </w:p>
        </w:tc>
        <w:tc>
          <w:tcPr>
            <w:tcW w:w="4935" w:type="dxa"/>
            <w:tcBorders>
              <w:top w:val="nil"/>
            </w:tcBorders>
            <w:shd w:val="clear" w:color="auto" w:fill="E8EAF3"/>
          </w:tcPr>
          <w:p w14:paraId="648DCB95" w14:textId="77777777" w:rsidR="00202B8A" w:rsidRDefault="00E12D77">
            <w:pPr>
              <w:pStyle w:val="TableParagraph"/>
              <w:tabs>
                <w:tab w:val="left" w:pos="1105"/>
              </w:tabs>
              <w:spacing w:before="52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Cambria Math" w:hAnsi="Cambria Math"/>
                <w:spacing w:val="-5"/>
              </w:rPr>
              <w:t>◻</w:t>
            </w:r>
            <w:r>
              <w:rPr>
                <w:spacing w:val="-5"/>
              </w:rPr>
              <w:t>No</w:t>
            </w:r>
          </w:p>
        </w:tc>
      </w:tr>
      <w:tr w:rsidR="00202B8A" w14:paraId="648DCB9A" w14:textId="77777777">
        <w:trPr>
          <w:trHeight w:val="428"/>
        </w:trPr>
        <w:tc>
          <w:tcPr>
            <w:tcW w:w="341" w:type="dxa"/>
          </w:tcPr>
          <w:p w14:paraId="648DCB97" w14:textId="77777777" w:rsidR="00202B8A" w:rsidRDefault="00E12D77">
            <w:pPr>
              <w:pStyle w:val="TableParagraph"/>
              <w:spacing w:before="61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071" w:type="dxa"/>
          </w:tcPr>
          <w:p w14:paraId="648DCB98" w14:textId="77777777" w:rsidR="00202B8A" w:rsidRDefault="00E12D77">
            <w:pPr>
              <w:pStyle w:val="TableParagraph"/>
              <w:spacing w:before="61"/>
              <w:ind w:left="7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old.</w:t>
            </w:r>
          </w:p>
        </w:tc>
        <w:tc>
          <w:tcPr>
            <w:tcW w:w="4935" w:type="dxa"/>
          </w:tcPr>
          <w:p w14:paraId="648DCB99" w14:textId="77777777" w:rsidR="00202B8A" w:rsidRDefault="00E12D77">
            <w:pPr>
              <w:pStyle w:val="TableParagraph"/>
              <w:tabs>
                <w:tab w:val="left" w:pos="1105"/>
                <w:tab w:val="left" w:pos="3836"/>
              </w:tabs>
              <w:spacing w:before="61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Cambria Math" w:hAnsi="Cambria Math"/>
              </w:rPr>
              <w:t xml:space="preserve">◻ </w:t>
            </w:r>
            <w:r>
              <w:t>No</w:t>
            </w:r>
            <w:r>
              <w:rPr>
                <w:spacing w:val="49"/>
              </w:rPr>
              <w:t xml:space="preserve"> 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age: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2B8A" w14:paraId="648DCBA1" w14:textId="77777777">
        <w:trPr>
          <w:trHeight w:val="2401"/>
        </w:trPr>
        <w:tc>
          <w:tcPr>
            <w:tcW w:w="341" w:type="dxa"/>
            <w:shd w:val="clear" w:color="auto" w:fill="E8EAF3"/>
          </w:tcPr>
          <w:p w14:paraId="648DCB9B" w14:textId="77777777" w:rsidR="00202B8A" w:rsidRDefault="00202B8A">
            <w:pPr>
              <w:pStyle w:val="TableParagraph"/>
              <w:spacing w:before="126"/>
              <w:ind w:left="0"/>
            </w:pPr>
          </w:p>
          <w:p w14:paraId="648DCB9C" w14:textId="77777777" w:rsidR="00202B8A" w:rsidRDefault="00E12D77">
            <w:pPr>
              <w:pStyle w:val="TableParagraph"/>
              <w:spacing w:before="0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071" w:type="dxa"/>
            <w:shd w:val="clear" w:color="auto" w:fill="E8EAF3"/>
          </w:tcPr>
          <w:p w14:paraId="648DCB9D" w14:textId="77777777" w:rsidR="00202B8A" w:rsidRDefault="00E12D77">
            <w:pPr>
              <w:pStyle w:val="TableParagraph"/>
              <w:spacing w:line="276" w:lineRule="auto"/>
              <w:ind w:left="71" w:right="9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U.S. after Grade 2 or exited the U.S. for 6 months or</w:t>
            </w:r>
            <w:r>
              <w:rPr>
                <w:spacing w:val="-2"/>
              </w:rPr>
              <w:t xml:space="preserve"> </w:t>
            </w:r>
            <w:r>
              <w:t>more and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not attend</w:t>
            </w:r>
            <w:r>
              <w:rPr>
                <w:spacing w:val="-1"/>
              </w:rPr>
              <w:t xml:space="preserve"> </w:t>
            </w:r>
            <w:r>
              <w:t>school during this time.</w:t>
            </w:r>
          </w:p>
        </w:tc>
        <w:tc>
          <w:tcPr>
            <w:tcW w:w="4935" w:type="dxa"/>
            <w:shd w:val="clear" w:color="auto" w:fill="E8EAF3"/>
          </w:tcPr>
          <w:p w14:paraId="648DCB9E" w14:textId="77777777" w:rsidR="00202B8A" w:rsidRDefault="00E12D77">
            <w:pPr>
              <w:pStyle w:val="TableParagraph"/>
              <w:tabs>
                <w:tab w:val="left" w:pos="1105"/>
              </w:tabs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Cambria Math" w:hAnsi="Cambria Math"/>
              </w:rPr>
              <w:t xml:space="preserve">◻ </w:t>
            </w:r>
            <w:r>
              <w:rPr>
                <w:spacing w:val="-5"/>
              </w:rPr>
              <w:t>No</w:t>
            </w:r>
          </w:p>
          <w:p w14:paraId="648DCB9F" w14:textId="77777777" w:rsidR="00202B8A" w:rsidRDefault="00E12D77">
            <w:pPr>
              <w:pStyle w:val="TableParagraph"/>
              <w:tabs>
                <w:tab w:val="left" w:pos="4728"/>
              </w:tabs>
              <w:spacing w:before="161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entered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U.S.: </w:t>
            </w:r>
            <w:r>
              <w:rPr>
                <w:u w:val="single"/>
              </w:rPr>
              <w:tab/>
            </w:r>
          </w:p>
          <w:p w14:paraId="52FC57D4" w14:textId="4179E6C7" w:rsidR="00202B8A" w:rsidRDefault="00E12D77">
            <w:pPr>
              <w:pStyle w:val="TableParagraph"/>
              <w:tabs>
                <w:tab w:val="left" w:pos="4813"/>
              </w:tabs>
              <w:spacing w:before="101" w:line="276" w:lineRule="auto"/>
              <w:ind w:right="104"/>
              <w:rPr>
                <w:u w:val="single"/>
              </w:rPr>
            </w:pPr>
            <w:r>
              <w:t xml:space="preserve">Periods when the student exited the U.S. for 6 months or more: </w:t>
            </w:r>
            <w:r>
              <w:rPr>
                <w:u w:val="single"/>
              </w:rPr>
              <w:tab/>
            </w:r>
          </w:p>
          <w:p w14:paraId="1447E7B6" w14:textId="77777777" w:rsidR="00512A18" w:rsidRDefault="00512A18">
            <w:pPr>
              <w:pStyle w:val="TableParagraph"/>
              <w:tabs>
                <w:tab w:val="left" w:pos="4813"/>
              </w:tabs>
              <w:spacing w:before="101" w:line="276" w:lineRule="auto"/>
              <w:ind w:right="104"/>
              <w:rPr>
                <w:u w:val="single"/>
              </w:rPr>
            </w:pPr>
            <w:r>
              <w:rPr>
                <w:u w:val="single"/>
              </w:rPr>
              <w:t>___________________________________________</w:t>
            </w:r>
          </w:p>
          <w:p w14:paraId="648DCBA0" w14:textId="7B150EC0" w:rsidR="00AB155D" w:rsidRDefault="00E12D77">
            <w:pPr>
              <w:pStyle w:val="TableParagraph"/>
              <w:tabs>
                <w:tab w:val="left" w:pos="4813"/>
              </w:tabs>
              <w:spacing w:before="101" w:line="276" w:lineRule="auto"/>
              <w:ind w:right="104"/>
            </w:pPr>
            <w:r>
              <w:t>___________________________________________</w:t>
            </w:r>
          </w:p>
        </w:tc>
      </w:tr>
      <w:tr w:rsidR="00202B8A" w14:paraId="648DCBAF" w14:textId="77777777">
        <w:trPr>
          <w:trHeight w:val="4444"/>
        </w:trPr>
        <w:tc>
          <w:tcPr>
            <w:tcW w:w="341" w:type="dxa"/>
          </w:tcPr>
          <w:p w14:paraId="648DCBA2" w14:textId="77777777" w:rsidR="00202B8A" w:rsidRDefault="00E12D77">
            <w:pPr>
              <w:pStyle w:val="TableParagraph"/>
              <w:spacing w:before="61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071" w:type="dxa"/>
          </w:tcPr>
          <w:p w14:paraId="648DCBA3" w14:textId="77777777" w:rsidR="00202B8A" w:rsidRDefault="00E12D77">
            <w:pPr>
              <w:pStyle w:val="TableParagraph"/>
              <w:spacing w:before="61" w:line="273" w:lineRule="auto"/>
              <w:ind w:left="71"/>
              <w:rPr>
                <w:b/>
              </w:rPr>
            </w:pPr>
            <w:r>
              <w:t>Prior exposure to formal schooling is characterized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b/>
              </w:rPr>
              <w:t>:</w:t>
            </w:r>
          </w:p>
          <w:p w14:paraId="648DCBA4" w14:textId="77777777" w:rsidR="00202B8A" w:rsidRDefault="00E12D7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25"/>
              <w:ind w:left="430" w:hanging="359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schooling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648DCBA5" w14:textId="77777777" w:rsidR="00202B8A" w:rsidRDefault="00E12D77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161" w:line="273" w:lineRule="auto"/>
              <w:ind w:right="628"/>
            </w:pPr>
            <w:r>
              <w:t>significant</w:t>
            </w:r>
            <w:r>
              <w:rPr>
                <w:spacing w:val="-13"/>
              </w:rPr>
              <w:t xml:space="preserve"> </w:t>
            </w:r>
            <w:r>
              <w:t>interruptions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formal schooling OR</w:t>
            </w:r>
          </w:p>
          <w:p w14:paraId="648DCBA6" w14:textId="77777777" w:rsidR="00202B8A" w:rsidRDefault="00E12D77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124" w:line="276" w:lineRule="auto"/>
              <w:ind w:right="80"/>
              <w:rPr>
                <w:i/>
              </w:rPr>
            </w:pPr>
            <w:r>
              <w:t>consistent,</w:t>
            </w:r>
            <w:r>
              <w:rPr>
                <w:spacing w:val="-10"/>
              </w:rPr>
              <w:t xml:space="preserve"> </w:t>
            </w:r>
            <w:r>
              <w:t>but</w:t>
            </w:r>
            <w:r>
              <w:rPr>
                <w:spacing w:val="-9"/>
              </w:rPr>
              <w:t xml:space="preserve"> </w:t>
            </w:r>
            <w:r>
              <w:t>limited</w:t>
            </w:r>
            <w:r>
              <w:rPr>
                <w:spacing w:val="-11"/>
              </w:rPr>
              <w:t xml:space="preserve"> </w:t>
            </w:r>
            <w:r>
              <w:t>formal</w:t>
            </w:r>
            <w:r>
              <w:rPr>
                <w:spacing w:val="-10"/>
              </w:rPr>
              <w:t xml:space="preserve"> </w:t>
            </w:r>
            <w:r>
              <w:t xml:space="preserve">schooling (e.g., </w:t>
            </w:r>
            <w:r>
              <w:rPr>
                <w:i/>
              </w:rPr>
              <w:t>school days were significantly shorter, or compulsory schooling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ended at Grade 6)</w:t>
            </w:r>
          </w:p>
        </w:tc>
        <w:tc>
          <w:tcPr>
            <w:tcW w:w="4935" w:type="dxa"/>
          </w:tcPr>
          <w:p w14:paraId="648DCBA7" w14:textId="77777777" w:rsidR="00202B8A" w:rsidRDefault="00E12D77">
            <w:pPr>
              <w:pStyle w:val="TableParagraph"/>
              <w:tabs>
                <w:tab w:val="left" w:pos="4738"/>
              </w:tabs>
              <w:spacing w:before="1" w:line="276" w:lineRule="auto"/>
              <w:ind w:right="179"/>
            </w:pPr>
            <w:r>
              <w:rPr>
                <w:b/>
              </w:rPr>
              <w:t>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academic records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review, </w:t>
            </w:r>
            <w:r>
              <w:t xml:space="preserve">what number of years and grade levels has the student attended school? </w:t>
            </w:r>
            <w:r>
              <w:rPr>
                <w:u w:val="single"/>
              </w:rPr>
              <w:tab/>
            </w:r>
          </w:p>
          <w:p w14:paraId="648DCBA8" w14:textId="77777777" w:rsidR="00202B8A" w:rsidRDefault="00202B8A">
            <w:pPr>
              <w:pStyle w:val="TableParagraph"/>
              <w:spacing w:before="9" w:after="1"/>
              <w:ind w:left="0"/>
              <w:rPr>
                <w:sz w:val="19"/>
              </w:rPr>
            </w:pPr>
          </w:p>
          <w:p w14:paraId="648DCBA9" w14:textId="71E3E0BF" w:rsidR="00202B8A" w:rsidRDefault="00202B8A">
            <w:pPr>
              <w:pStyle w:val="TableParagraph"/>
              <w:spacing w:before="0" w:line="20" w:lineRule="exact"/>
              <w:rPr>
                <w:sz w:val="2"/>
              </w:rPr>
            </w:pPr>
          </w:p>
          <w:p w14:paraId="648DCBAA" w14:textId="77777777" w:rsidR="00202B8A" w:rsidRDefault="00E12D77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45" w:line="276" w:lineRule="auto"/>
              <w:ind w:right="83" w:hanging="360"/>
            </w:pPr>
            <w:r>
              <w:t>When school records are incomplete, “</w:t>
            </w:r>
            <w:r>
              <w:rPr>
                <w:color w:val="0000FF"/>
                <w:u w:val="single" w:color="0000FF"/>
              </w:rPr>
              <w:t>Step 2: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SLIFE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Interview</w:t>
            </w:r>
            <w:r>
              <w:t>”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learn more information about previous schooling.</w:t>
            </w:r>
          </w:p>
          <w:p w14:paraId="648DCBAB" w14:textId="77777777" w:rsidR="00202B8A" w:rsidRDefault="00E12D77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0" w:line="276" w:lineRule="auto"/>
              <w:ind w:right="291" w:hanging="360"/>
            </w:pPr>
            <w:r>
              <w:t xml:space="preserve">See also the </w:t>
            </w:r>
            <w:r>
              <w:rPr>
                <w:color w:val="0000FF"/>
                <w:u w:val="single" w:color="0000FF"/>
              </w:rPr>
              <w:t>Educational Background Review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chart</w:t>
            </w:r>
            <w:r>
              <w:rPr>
                <w:color w:val="0000FF"/>
                <w:spacing w:val="-5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page—it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6"/>
              </w:rPr>
              <w:t xml:space="preserve"> </w:t>
            </w:r>
            <w:r>
              <w:t>notetaking on each year the student has attended school.</w:t>
            </w:r>
          </w:p>
          <w:p w14:paraId="648DCBAC" w14:textId="77777777" w:rsidR="00202B8A" w:rsidRDefault="00202B8A">
            <w:pPr>
              <w:pStyle w:val="TableParagraph"/>
              <w:spacing w:before="41"/>
              <w:ind w:left="0"/>
            </w:pPr>
          </w:p>
          <w:p w14:paraId="648DCBAD" w14:textId="77777777" w:rsidR="00202B8A" w:rsidRDefault="00E12D77">
            <w:pPr>
              <w:pStyle w:val="TableParagraph"/>
              <w:spacing w:before="0" w:line="276" w:lineRule="auto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appear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gaps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formal </w:t>
            </w:r>
            <w:r>
              <w:rPr>
                <w:spacing w:val="-2"/>
              </w:rPr>
              <w:t>education?</w:t>
            </w:r>
          </w:p>
          <w:p w14:paraId="648DCBAE" w14:textId="77777777" w:rsidR="00202B8A" w:rsidRDefault="00E12D77">
            <w:pPr>
              <w:pStyle w:val="TableParagraph"/>
              <w:tabs>
                <w:tab w:val="left" w:pos="1057"/>
                <w:tab w:val="left" w:pos="1796"/>
              </w:tabs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t>Cannot</w:t>
            </w:r>
            <w:r>
              <w:rPr>
                <w:spacing w:val="-4"/>
              </w:rPr>
              <w:t xml:space="preserve"> </w:t>
            </w:r>
            <w:r>
              <w:t>yet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determine.</w:t>
            </w:r>
          </w:p>
        </w:tc>
      </w:tr>
      <w:tr w:rsidR="00202B8A" w14:paraId="648DCBB4" w14:textId="77777777">
        <w:trPr>
          <w:trHeight w:val="2591"/>
        </w:trPr>
        <w:tc>
          <w:tcPr>
            <w:tcW w:w="341" w:type="dxa"/>
            <w:shd w:val="clear" w:color="auto" w:fill="E8EAF3"/>
          </w:tcPr>
          <w:p w14:paraId="648DCBB0" w14:textId="77777777" w:rsidR="00202B8A" w:rsidRDefault="00E12D77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071" w:type="dxa"/>
            <w:shd w:val="clear" w:color="auto" w:fill="E8EAF3"/>
          </w:tcPr>
          <w:p w14:paraId="648DCBB1" w14:textId="77777777" w:rsidR="00202B8A" w:rsidRDefault="00E12D77">
            <w:pPr>
              <w:pStyle w:val="TableParagraph"/>
              <w:spacing w:line="276" w:lineRule="auto"/>
              <w:ind w:left="71" w:right="97"/>
            </w:pPr>
            <w:r>
              <w:rPr>
                <w:b/>
              </w:rPr>
              <w:t>Based on the initial academic records review,</w:t>
            </w:r>
            <w:r>
              <w:rPr>
                <w:b/>
                <w:spacing w:val="-4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appear</w:t>
            </w:r>
            <w:r>
              <w:rPr>
                <w:spacing w:val="-2"/>
              </w:rPr>
              <w:t xml:space="preserve"> </w:t>
            </w:r>
            <w:r>
              <w:t>that,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limited or interrupted formal education, the student may need accelerated and intensive instruction in foundational numeracy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t>literacy,</w:t>
            </w:r>
            <w:r>
              <w:rPr>
                <w:spacing w:val="-8"/>
              </w:rPr>
              <w:t xml:space="preserve"> </w:t>
            </w:r>
            <w:r>
              <w:t>beyond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 xml:space="preserve">an English learner education program usually </w:t>
            </w:r>
            <w:r>
              <w:rPr>
                <w:spacing w:val="-2"/>
              </w:rPr>
              <w:t>provides?</w:t>
            </w:r>
          </w:p>
        </w:tc>
        <w:tc>
          <w:tcPr>
            <w:tcW w:w="4935" w:type="dxa"/>
            <w:shd w:val="clear" w:color="auto" w:fill="E8EAF3"/>
          </w:tcPr>
          <w:p w14:paraId="648DCBB2" w14:textId="77777777" w:rsidR="00202B8A" w:rsidRDefault="00E12D77">
            <w:pPr>
              <w:pStyle w:val="TableParagraph"/>
              <w:spacing w:line="276" w:lineRule="auto"/>
              <w:ind w:right="104"/>
            </w:pPr>
            <w:r>
              <w:t>The initial registration information and initial academic records preliminarily indicate that the student</w:t>
            </w:r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may</w:t>
            </w:r>
            <w:r>
              <w:rPr>
                <w:b/>
                <w:i/>
                <w:spacing w:val="-6"/>
              </w:rPr>
              <w:t xml:space="preserve"> </w:t>
            </w:r>
            <w:r>
              <w:t>benefit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enhanced supports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interrupted formal education.</w:t>
            </w:r>
          </w:p>
          <w:p w14:paraId="648DCBB3" w14:textId="77777777" w:rsidR="00202B8A" w:rsidRDefault="00E12D77">
            <w:pPr>
              <w:pStyle w:val="TableParagraph"/>
              <w:tabs>
                <w:tab w:val="left" w:pos="1056"/>
                <w:tab w:val="left" w:pos="1846"/>
              </w:tabs>
              <w:spacing w:before="61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Cambria Math" w:hAnsi="Cambria Math"/>
              </w:rPr>
              <w:t xml:space="preserve">◻ 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t>Cannot</w:t>
            </w:r>
            <w:r>
              <w:rPr>
                <w:spacing w:val="-4"/>
              </w:rPr>
              <w:t xml:space="preserve"> </w:t>
            </w:r>
            <w:r>
              <w:t>yet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determine.</w:t>
            </w:r>
          </w:p>
        </w:tc>
      </w:tr>
    </w:tbl>
    <w:p w14:paraId="648DCBB5" w14:textId="77777777" w:rsidR="00202B8A" w:rsidRDefault="00E12D77">
      <w:pPr>
        <w:spacing w:before="249"/>
        <w:ind w:left="120"/>
        <w:rPr>
          <w:i/>
        </w:rPr>
      </w:pPr>
      <w:r>
        <w:rPr>
          <w:i/>
        </w:rPr>
        <w:t>Additional</w:t>
      </w:r>
      <w:r>
        <w:rPr>
          <w:i/>
          <w:spacing w:val="-6"/>
        </w:rPr>
        <w:t xml:space="preserve"> </w:t>
      </w:r>
      <w:r>
        <w:rPr>
          <w:i/>
        </w:rPr>
        <w:t>notes</w:t>
      </w:r>
      <w:r>
        <w:rPr>
          <w:i/>
          <w:spacing w:val="-4"/>
        </w:rPr>
        <w:t xml:space="preserve"> </w:t>
      </w:r>
      <w:r>
        <w:rPr>
          <w:i/>
        </w:rPr>
        <w:t>about</w:t>
      </w:r>
      <w:r>
        <w:rPr>
          <w:i/>
          <w:spacing w:val="-4"/>
        </w:rPr>
        <w:t xml:space="preserve"> </w:t>
      </w:r>
      <w:r>
        <w:rPr>
          <w:i/>
        </w:rPr>
        <w:t>transcript</w:t>
      </w:r>
      <w:r>
        <w:rPr>
          <w:i/>
          <w:spacing w:val="-7"/>
        </w:rPr>
        <w:t xml:space="preserve"> </w:t>
      </w:r>
      <w:r>
        <w:rPr>
          <w:i/>
        </w:rPr>
        <w:t>review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interview</w:t>
      </w:r>
      <w:r>
        <w:rPr>
          <w:i/>
          <w:spacing w:val="-4"/>
        </w:rPr>
        <w:t xml:space="preserve"> </w:t>
      </w:r>
      <w:r>
        <w:rPr>
          <w:i/>
        </w:rPr>
        <w:t>about</w:t>
      </w:r>
      <w:r>
        <w:rPr>
          <w:i/>
          <w:spacing w:val="-4"/>
        </w:rPr>
        <w:t xml:space="preserve"> </w:t>
      </w:r>
      <w:r>
        <w:rPr>
          <w:i/>
        </w:rPr>
        <w:t>academic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background.</w:t>
      </w:r>
    </w:p>
    <w:sectPr w:rsidR="00202B8A">
      <w:footerReference w:type="default" r:id="rId7"/>
      <w:type w:val="continuous"/>
      <w:pgSz w:w="12240" w:h="15840"/>
      <w:pgMar w:top="1420" w:right="134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CBC3" w14:textId="77777777" w:rsidR="00E12D77" w:rsidRDefault="00E12D77">
      <w:r>
        <w:separator/>
      </w:r>
    </w:p>
  </w:endnote>
  <w:endnote w:type="continuationSeparator" w:id="0">
    <w:p w14:paraId="648DCBC5" w14:textId="77777777" w:rsidR="00E12D77" w:rsidRDefault="00E1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CBBE" w14:textId="77777777" w:rsidR="00202B8A" w:rsidRDefault="00E12D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648DCBBF" wp14:editId="648DCBC0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DCBC1" w14:textId="77777777" w:rsidR="00202B8A" w:rsidRDefault="00E12D7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DCB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648DCBC1" w14:textId="77777777" w:rsidR="00202B8A" w:rsidRDefault="00E12D7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CBBF" w14:textId="77777777" w:rsidR="00E12D77" w:rsidRDefault="00E12D77">
      <w:r>
        <w:separator/>
      </w:r>
    </w:p>
  </w:footnote>
  <w:footnote w:type="continuationSeparator" w:id="0">
    <w:p w14:paraId="648DCBC1" w14:textId="77777777" w:rsidR="00E12D77" w:rsidRDefault="00E1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6187A"/>
    <w:multiLevelType w:val="hybridMultilevel"/>
    <w:tmpl w:val="879E58F0"/>
    <w:lvl w:ilvl="0" w:tplc="5C220A8A">
      <w:numFmt w:val="bullet"/>
      <w:lvlText w:val="●"/>
      <w:lvlJc w:val="left"/>
      <w:pPr>
        <w:ind w:left="4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EC4726"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2" w:tplc="D276B63C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3" w:tplc="C6E00028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4" w:tplc="630C187E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5" w:tplc="F844F044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6" w:tplc="035429EE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7" w:tplc="FD98514C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8" w:tplc="59C688C2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C625D8E"/>
    <w:multiLevelType w:val="hybridMultilevel"/>
    <w:tmpl w:val="A580AF06"/>
    <w:lvl w:ilvl="0" w:tplc="15B40F20">
      <w:numFmt w:val="bullet"/>
      <w:lvlText w:val=""/>
      <w:lvlJc w:val="left"/>
      <w:pPr>
        <w:ind w:left="4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3A487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2" w:tplc="69F424A8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3" w:tplc="9020857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 w:tplc="71A4345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5" w:tplc="A260E078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6" w:tplc="F2AC4EA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7" w:tplc="E1C4C20C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8" w:tplc="B8866DA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num w:numId="1" w16cid:durableId="1315377216">
    <w:abstractNumId w:val="0"/>
  </w:num>
  <w:num w:numId="2" w16cid:durableId="186798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A"/>
    <w:rsid w:val="00202B8A"/>
    <w:rsid w:val="002C3D77"/>
    <w:rsid w:val="00306D91"/>
    <w:rsid w:val="00396B75"/>
    <w:rsid w:val="00512A18"/>
    <w:rsid w:val="00571C70"/>
    <w:rsid w:val="00AB155D"/>
    <w:rsid w:val="00B45793"/>
    <w:rsid w:val="00DF4EC1"/>
    <w:rsid w:val="00E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DCB8C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70"/>
    </w:pPr>
  </w:style>
  <w:style w:type="paragraph" w:styleId="Header">
    <w:name w:val="header"/>
    <w:basedOn w:val="Normal"/>
    <w:link w:val="HeaderChar"/>
    <w:uiPriority w:val="99"/>
    <w:unhideWhenUsed/>
    <w:rsid w:val="0030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6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1756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Slife Pre-Screener</dc:title>
  <dc:subject/>
  <dc:creator>DESE</dc:creator>
  <cp:keywords/>
  <cp:lastModifiedBy>Zou, Dong (EOE)</cp:lastModifiedBy>
  <cp:revision>8</cp:revision>
  <dcterms:created xsi:type="dcterms:W3CDTF">2024-08-01T03:50:00Z</dcterms:created>
  <dcterms:modified xsi:type="dcterms:W3CDTF">2024-08-02T17:59:00Z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