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A" w:rsidRPr="00041249" w:rsidRDefault="00041249" w:rsidP="00DA350A">
      <w:pPr>
        <w:spacing w:after="0"/>
        <w:rPr>
          <w:b/>
        </w:rPr>
      </w:pPr>
      <w:r w:rsidRPr="00041249">
        <w:rPr>
          <w:b/>
        </w:rPr>
        <w:t>What is</w:t>
      </w:r>
      <w:r w:rsidR="000B077C">
        <w:rPr>
          <w:b/>
        </w:rPr>
        <w:t xml:space="preserve"> the Every Student Succeeds Act</w:t>
      </w:r>
      <w:r w:rsidRPr="00041249">
        <w:rPr>
          <w:b/>
        </w:rPr>
        <w:t xml:space="preserve"> </w:t>
      </w:r>
      <w:r w:rsidR="000B077C">
        <w:rPr>
          <w:b/>
        </w:rPr>
        <w:t>(</w:t>
      </w:r>
      <w:r w:rsidRPr="00041249">
        <w:rPr>
          <w:b/>
        </w:rPr>
        <w:t>ESSA</w:t>
      </w:r>
      <w:r w:rsidR="000B077C">
        <w:rPr>
          <w:b/>
        </w:rPr>
        <w:t>)</w:t>
      </w:r>
      <w:r w:rsidRPr="00041249">
        <w:rPr>
          <w:b/>
        </w:rPr>
        <w:t>?</w:t>
      </w:r>
    </w:p>
    <w:p w:rsidR="00041249" w:rsidRPr="00FA31B3" w:rsidRDefault="000B077C" w:rsidP="006828DC">
      <w:pPr>
        <w:rPr>
          <w:sz w:val="20"/>
        </w:rPr>
      </w:pPr>
      <w:r w:rsidRPr="00FA31B3">
        <w:rPr>
          <w:sz w:val="20"/>
        </w:rPr>
        <w:t xml:space="preserve">ESSA is a reauthorization of the federal Elementary and Secondary Education Act of 1965, which was last reauthorized in 2001 as the No Child Left </w:t>
      </w:r>
      <w:proofErr w:type="gramStart"/>
      <w:r w:rsidRPr="00FA31B3">
        <w:rPr>
          <w:sz w:val="20"/>
        </w:rPr>
        <w:t>Behind</w:t>
      </w:r>
      <w:proofErr w:type="gramEnd"/>
      <w:r w:rsidRPr="00FA31B3">
        <w:rPr>
          <w:sz w:val="20"/>
        </w:rPr>
        <w:t xml:space="preserve"> Act. ESSA</w:t>
      </w:r>
      <w:r w:rsidR="00411CB4">
        <w:rPr>
          <w:sz w:val="20"/>
        </w:rPr>
        <w:t xml:space="preserve"> </w:t>
      </w:r>
      <w:r w:rsidRPr="00FA31B3">
        <w:rPr>
          <w:sz w:val="20"/>
        </w:rPr>
        <w:t xml:space="preserve">maintains the original law’s intent of advancing equity and opportunity for all students, with a particular focus on </w:t>
      </w:r>
      <w:r w:rsidR="00057D4F" w:rsidRPr="00FA31B3">
        <w:rPr>
          <w:sz w:val="20"/>
        </w:rPr>
        <w:t xml:space="preserve">disadvantaged and </w:t>
      </w:r>
      <w:r w:rsidR="00E94069" w:rsidRPr="00FA31B3">
        <w:rPr>
          <w:sz w:val="20"/>
        </w:rPr>
        <w:t xml:space="preserve">other </w:t>
      </w:r>
      <w:r w:rsidR="00057D4F" w:rsidRPr="00FA31B3">
        <w:rPr>
          <w:sz w:val="20"/>
        </w:rPr>
        <w:t xml:space="preserve">high need students. </w:t>
      </w:r>
      <w:r w:rsidR="00E94069" w:rsidRPr="00FA31B3">
        <w:rPr>
          <w:sz w:val="20"/>
        </w:rPr>
        <w:t xml:space="preserve">The law </w:t>
      </w:r>
      <w:r w:rsidRPr="00FA31B3">
        <w:rPr>
          <w:sz w:val="20"/>
        </w:rPr>
        <w:t xml:space="preserve">consists of </w:t>
      </w:r>
      <w:r w:rsidR="00E94069" w:rsidRPr="00FA31B3">
        <w:rPr>
          <w:sz w:val="20"/>
        </w:rPr>
        <w:t>a number of</w:t>
      </w:r>
      <w:r w:rsidRPr="00FA31B3">
        <w:rPr>
          <w:sz w:val="20"/>
        </w:rPr>
        <w:t xml:space="preserve"> programs, the majority of which provide funding to states and local school districts to support education in preschool through grade 12. </w:t>
      </w:r>
      <w:r w:rsidR="008172C7" w:rsidRPr="00FA31B3">
        <w:rPr>
          <w:sz w:val="20"/>
        </w:rPr>
        <w:t>ESSA</w:t>
      </w:r>
      <w:r w:rsidR="0067371D" w:rsidRPr="0067371D">
        <w:rPr>
          <w:sz w:val="20"/>
        </w:rPr>
        <w:t xml:space="preserve"> </w:t>
      </w:r>
      <w:r w:rsidR="0067371D" w:rsidRPr="00FA31B3">
        <w:rPr>
          <w:sz w:val="20"/>
        </w:rPr>
        <w:t>was signed into law by President Obama in December 2015</w:t>
      </w:r>
      <w:r w:rsidR="0067371D">
        <w:rPr>
          <w:sz w:val="20"/>
        </w:rPr>
        <w:t xml:space="preserve"> and</w:t>
      </w:r>
      <w:r w:rsidR="002D6992" w:rsidRPr="00FA31B3">
        <w:rPr>
          <w:sz w:val="20"/>
        </w:rPr>
        <w:t xml:space="preserve"> </w:t>
      </w:r>
      <w:r w:rsidR="0067371D">
        <w:rPr>
          <w:sz w:val="20"/>
        </w:rPr>
        <w:t xml:space="preserve">most of its provisions </w:t>
      </w:r>
      <w:r w:rsidR="002D6992" w:rsidRPr="00FA31B3">
        <w:rPr>
          <w:sz w:val="20"/>
        </w:rPr>
        <w:t xml:space="preserve">will take effect at the beginning </w:t>
      </w:r>
      <w:r w:rsidR="008172C7" w:rsidRPr="00FA31B3">
        <w:rPr>
          <w:sz w:val="20"/>
        </w:rPr>
        <w:t>of</w:t>
      </w:r>
      <w:r w:rsidR="002D6992" w:rsidRPr="00FA31B3">
        <w:rPr>
          <w:sz w:val="20"/>
        </w:rPr>
        <w:t xml:space="preserve"> the 2017-18 school </w:t>
      </w:r>
      <w:proofErr w:type="gramStart"/>
      <w:r w:rsidR="002D6992" w:rsidRPr="00FA31B3">
        <w:rPr>
          <w:sz w:val="20"/>
        </w:rPr>
        <w:t>year</w:t>
      </w:r>
      <w:proofErr w:type="gramEnd"/>
      <w:r w:rsidR="002D6992" w:rsidRPr="00FA31B3">
        <w:rPr>
          <w:sz w:val="20"/>
        </w:rPr>
        <w:t>.</w:t>
      </w:r>
    </w:p>
    <w:p w:rsidR="00FB462F" w:rsidRDefault="00FB462F" w:rsidP="00DA350A">
      <w:pPr>
        <w:spacing w:after="0"/>
        <w:rPr>
          <w:b/>
        </w:rPr>
      </w:pPr>
      <w:r w:rsidRPr="00FB462F">
        <w:rPr>
          <w:b/>
        </w:rPr>
        <w:t xml:space="preserve">What </w:t>
      </w:r>
      <w:r w:rsidR="00855061">
        <w:rPr>
          <w:b/>
        </w:rPr>
        <w:t>does ESSA require?</w:t>
      </w:r>
    </w:p>
    <w:p w:rsidR="00855061" w:rsidRPr="00FA31B3" w:rsidRDefault="00855061" w:rsidP="00DA350A">
      <w:pPr>
        <w:spacing w:after="0"/>
        <w:rPr>
          <w:sz w:val="20"/>
        </w:rPr>
      </w:pPr>
      <w:r w:rsidRPr="00FA31B3">
        <w:rPr>
          <w:sz w:val="20"/>
        </w:rPr>
        <w:t>Accountability and support for struggling schools are at the core of ESSA. Key requirements include:</w:t>
      </w:r>
    </w:p>
    <w:p w:rsidR="00FB462F" w:rsidRPr="00FA31B3" w:rsidRDefault="00FB462F" w:rsidP="00F67EA0">
      <w:pPr>
        <w:pStyle w:val="ListParagraph"/>
        <w:numPr>
          <w:ilvl w:val="0"/>
          <w:numId w:val="17"/>
        </w:numPr>
        <w:spacing w:after="0"/>
        <w:rPr>
          <w:sz w:val="20"/>
        </w:rPr>
      </w:pPr>
      <w:r w:rsidRPr="00FA31B3">
        <w:rPr>
          <w:sz w:val="20"/>
        </w:rPr>
        <w:t xml:space="preserve">High academic standards </w:t>
      </w:r>
      <w:r w:rsidR="00210D81" w:rsidRPr="00FA31B3">
        <w:rPr>
          <w:sz w:val="20"/>
        </w:rPr>
        <w:t>to</w:t>
      </w:r>
      <w:r w:rsidRPr="00FA31B3">
        <w:rPr>
          <w:sz w:val="20"/>
        </w:rPr>
        <w:t xml:space="preserve"> help prepare all students for </w:t>
      </w:r>
      <w:r w:rsidR="00C0192B" w:rsidRPr="00FA31B3">
        <w:rPr>
          <w:sz w:val="20"/>
        </w:rPr>
        <w:t xml:space="preserve">success in </w:t>
      </w:r>
      <w:r w:rsidRPr="00FA31B3">
        <w:rPr>
          <w:sz w:val="20"/>
        </w:rPr>
        <w:t>college and careers</w:t>
      </w:r>
    </w:p>
    <w:p w:rsidR="00C0192B" w:rsidRPr="00FA31B3" w:rsidRDefault="00C0192B" w:rsidP="00F67EA0">
      <w:pPr>
        <w:pStyle w:val="ListParagraph"/>
        <w:numPr>
          <w:ilvl w:val="0"/>
          <w:numId w:val="17"/>
        </w:numPr>
        <w:spacing w:after="0"/>
        <w:rPr>
          <w:sz w:val="20"/>
        </w:rPr>
      </w:pPr>
      <w:r w:rsidRPr="00FA31B3">
        <w:rPr>
          <w:sz w:val="20"/>
        </w:rPr>
        <w:t xml:space="preserve">Annual assessments in grades 3-8 and high school that measure students’ progress toward </w:t>
      </w:r>
      <w:r w:rsidR="008172C7" w:rsidRPr="00FA31B3">
        <w:rPr>
          <w:sz w:val="20"/>
        </w:rPr>
        <w:t xml:space="preserve">reaching </w:t>
      </w:r>
      <w:r w:rsidRPr="00FA31B3">
        <w:rPr>
          <w:sz w:val="20"/>
        </w:rPr>
        <w:t xml:space="preserve">the </w:t>
      </w:r>
      <w:r w:rsidR="008172C7" w:rsidRPr="00FA31B3">
        <w:rPr>
          <w:sz w:val="20"/>
        </w:rPr>
        <w:t xml:space="preserve">state’s </w:t>
      </w:r>
      <w:r w:rsidRPr="00FA31B3">
        <w:rPr>
          <w:sz w:val="20"/>
        </w:rPr>
        <w:t>academic standards</w:t>
      </w:r>
    </w:p>
    <w:p w:rsidR="00C0192B" w:rsidRPr="00FA31B3" w:rsidRDefault="00C0192B" w:rsidP="00F67EA0">
      <w:pPr>
        <w:pStyle w:val="ListParagraph"/>
        <w:numPr>
          <w:ilvl w:val="0"/>
          <w:numId w:val="17"/>
        </w:numPr>
        <w:spacing w:after="0"/>
        <w:rPr>
          <w:sz w:val="20"/>
        </w:rPr>
      </w:pPr>
      <w:r w:rsidRPr="00FA31B3">
        <w:rPr>
          <w:sz w:val="20"/>
        </w:rPr>
        <w:t>Long-term goals and interim measures of progress for improving outcomes for all students in all public schools</w:t>
      </w:r>
    </w:p>
    <w:p w:rsidR="00C0192B" w:rsidRPr="00FA31B3" w:rsidRDefault="00C0192B" w:rsidP="00F67EA0">
      <w:pPr>
        <w:pStyle w:val="ListParagraph"/>
        <w:numPr>
          <w:ilvl w:val="0"/>
          <w:numId w:val="17"/>
        </w:numPr>
        <w:spacing w:after="0"/>
        <w:rPr>
          <w:sz w:val="20"/>
        </w:rPr>
      </w:pPr>
      <w:r w:rsidRPr="00FA31B3">
        <w:rPr>
          <w:sz w:val="20"/>
        </w:rPr>
        <w:t>Accountability, interventions, and supports for struggling schools</w:t>
      </w:r>
    </w:p>
    <w:p w:rsidR="00C0192B" w:rsidRPr="00FA31B3" w:rsidRDefault="00C0192B" w:rsidP="00F67EA0">
      <w:pPr>
        <w:pStyle w:val="ListParagraph"/>
        <w:numPr>
          <w:ilvl w:val="0"/>
          <w:numId w:val="17"/>
        </w:numPr>
        <w:contextualSpacing w:val="0"/>
        <w:rPr>
          <w:sz w:val="20"/>
        </w:rPr>
      </w:pPr>
      <w:r w:rsidRPr="00FA31B3">
        <w:rPr>
          <w:sz w:val="20"/>
        </w:rPr>
        <w:t>Public reporting o</w:t>
      </w:r>
      <w:r w:rsidR="002D6992" w:rsidRPr="00FA31B3">
        <w:rPr>
          <w:sz w:val="20"/>
        </w:rPr>
        <w:t>n</w:t>
      </w:r>
      <w:r w:rsidRPr="00FA31B3">
        <w:rPr>
          <w:sz w:val="20"/>
        </w:rPr>
        <w:t xml:space="preserve"> student and school performance, the professional qualificat</w:t>
      </w:r>
      <w:r w:rsidR="002D6992" w:rsidRPr="00FA31B3">
        <w:rPr>
          <w:sz w:val="20"/>
        </w:rPr>
        <w:t>ions of educators, and district</w:t>
      </w:r>
      <w:r w:rsidRPr="00FA31B3">
        <w:rPr>
          <w:sz w:val="20"/>
        </w:rPr>
        <w:t xml:space="preserve"> and school</w:t>
      </w:r>
      <w:r w:rsidR="002D6992" w:rsidRPr="00FA31B3">
        <w:rPr>
          <w:sz w:val="20"/>
        </w:rPr>
        <w:t xml:space="preserve"> </w:t>
      </w:r>
      <w:r w:rsidRPr="00FA31B3">
        <w:rPr>
          <w:sz w:val="20"/>
        </w:rPr>
        <w:t>spending</w:t>
      </w:r>
    </w:p>
    <w:p w:rsidR="002D6992" w:rsidRDefault="002D6992" w:rsidP="00DA350A">
      <w:pPr>
        <w:spacing w:after="0"/>
        <w:rPr>
          <w:b/>
        </w:rPr>
      </w:pPr>
      <w:r>
        <w:rPr>
          <w:b/>
        </w:rPr>
        <w:t>Will ESSA change the core work of Massachusetts public schools?</w:t>
      </w:r>
    </w:p>
    <w:p w:rsidR="002D6992" w:rsidRPr="00FA31B3" w:rsidRDefault="00801B8F" w:rsidP="00AF31B5">
      <w:pPr>
        <w:spacing w:after="60"/>
        <w:rPr>
          <w:sz w:val="20"/>
          <w:szCs w:val="20"/>
        </w:rPr>
      </w:pPr>
      <w:r w:rsidRPr="00FA31B3">
        <w:rPr>
          <w:sz w:val="20"/>
          <w:szCs w:val="20"/>
        </w:rPr>
        <w:t>Overall</w:t>
      </w:r>
      <w:r w:rsidR="002D6992" w:rsidRPr="00FA31B3">
        <w:rPr>
          <w:sz w:val="20"/>
          <w:szCs w:val="20"/>
        </w:rPr>
        <w:t xml:space="preserve"> the law aligns well with </w:t>
      </w:r>
      <w:r w:rsidR="0067371D">
        <w:rPr>
          <w:sz w:val="20"/>
          <w:szCs w:val="20"/>
        </w:rPr>
        <w:t xml:space="preserve">districts’ </w:t>
      </w:r>
      <w:r w:rsidR="002D6992" w:rsidRPr="00FA31B3">
        <w:rPr>
          <w:sz w:val="20"/>
          <w:szCs w:val="20"/>
        </w:rPr>
        <w:t>ongoing work and the Massachusetts Department of Elementary and Secondary Education</w:t>
      </w:r>
      <w:r w:rsidR="0067371D">
        <w:rPr>
          <w:sz w:val="20"/>
          <w:szCs w:val="20"/>
        </w:rPr>
        <w:t>’s</w:t>
      </w:r>
      <w:r w:rsidR="002D6992" w:rsidRPr="00FA31B3">
        <w:rPr>
          <w:sz w:val="20"/>
          <w:szCs w:val="20"/>
        </w:rPr>
        <w:t xml:space="preserve"> </w:t>
      </w:r>
      <w:r w:rsidR="0067371D">
        <w:rPr>
          <w:sz w:val="20"/>
          <w:szCs w:val="20"/>
        </w:rPr>
        <w:t>strategic plan</w:t>
      </w:r>
      <w:r w:rsidR="002D6992" w:rsidRPr="00FA31B3">
        <w:rPr>
          <w:sz w:val="20"/>
          <w:szCs w:val="20"/>
        </w:rPr>
        <w:t xml:space="preserve"> to help improve educational outcomes for students in our state’s public schools. Under that plan, the goal of Massachusetts</w:t>
      </w:r>
      <w:r w:rsidR="0067371D">
        <w:rPr>
          <w:sz w:val="20"/>
          <w:szCs w:val="20"/>
        </w:rPr>
        <w:t>’</w:t>
      </w:r>
      <w:r w:rsidR="002D6992" w:rsidRPr="00FA31B3">
        <w:rPr>
          <w:sz w:val="20"/>
          <w:szCs w:val="20"/>
        </w:rPr>
        <w:t xml:space="preserve"> public PK-12 education system is to </w:t>
      </w:r>
      <w:r w:rsidR="002D6992" w:rsidRPr="00FA31B3">
        <w:rPr>
          <w:b/>
          <w:sz w:val="20"/>
          <w:szCs w:val="20"/>
        </w:rPr>
        <w:t>prepare all students for success after high school</w:t>
      </w:r>
      <w:r w:rsidR="002D6992" w:rsidRPr="00FA31B3">
        <w:rPr>
          <w:sz w:val="20"/>
          <w:szCs w:val="20"/>
        </w:rPr>
        <w:t xml:space="preserve">. The state has identified five </w:t>
      </w:r>
      <w:r w:rsidR="00415A36">
        <w:rPr>
          <w:sz w:val="20"/>
          <w:szCs w:val="20"/>
        </w:rPr>
        <w:t>primary</w:t>
      </w:r>
      <w:r w:rsidR="002D6992" w:rsidRPr="00FA31B3">
        <w:rPr>
          <w:sz w:val="20"/>
          <w:szCs w:val="20"/>
        </w:rPr>
        <w:t xml:space="preserve"> strategies to accelerate the pace of school improvement towards this goal:</w:t>
      </w:r>
    </w:p>
    <w:p w:rsidR="002D6992" w:rsidRPr="00FA31B3" w:rsidRDefault="002D6992" w:rsidP="00596EB0">
      <w:pPr>
        <w:pStyle w:val="ListParagraph"/>
        <w:numPr>
          <w:ilvl w:val="0"/>
          <w:numId w:val="9"/>
        </w:numPr>
        <w:spacing w:after="0"/>
        <w:rPr>
          <w:i/>
          <w:sz w:val="20"/>
          <w:szCs w:val="20"/>
        </w:rPr>
      </w:pPr>
      <w:r w:rsidRPr="00FA31B3">
        <w:rPr>
          <w:i/>
          <w:sz w:val="20"/>
          <w:szCs w:val="20"/>
        </w:rPr>
        <w:t>Strengthen standards, curriculum, instruction, and assessment</w:t>
      </w:r>
    </w:p>
    <w:p w:rsidR="002D6992" w:rsidRPr="00FA31B3" w:rsidRDefault="002D6992" w:rsidP="00596EB0">
      <w:pPr>
        <w:pStyle w:val="ListParagraph"/>
        <w:numPr>
          <w:ilvl w:val="0"/>
          <w:numId w:val="9"/>
        </w:numPr>
        <w:spacing w:after="0"/>
        <w:rPr>
          <w:i/>
          <w:sz w:val="20"/>
          <w:szCs w:val="20"/>
        </w:rPr>
      </w:pPr>
      <w:r w:rsidRPr="00FA31B3">
        <w:rPr>
          <w:i/>
          <w:sz w:val="20"/>
          <w:szCs w:val="20"/>
        </w:rPr>
        <w:t>Promote educator development</w:t>
      </w:r>
    </w:p>
    <w:p w:rsidR="002D6992" w:rsidRPr="00FA31B3" w:rsidRDefault="002D6992" w:rsidP="00596EB0">
      <w:pPr>
        <w:pStyle w:val="ListParagraph"/>
        <w:numPr>
          <w:ilvl w:val="0"/>
          <w:numId w:val="9"/>
        </w:numPr>
        <w:spacing w:after="0"/>
        <w:rPr>
          <w:i/>
          <w:sz w:val="20"/>
          <w:szCs w:val="20"/>
        </w:rPr>
      </w:pPr>
      <w:r w:rsidRPr="00FA31B3">
        <w:rPr>
          <w:i/>
          <w:sz w:val="20"/>
          <w:szCs w:val="20"/>
        </w:rPr>
        <w:t>Turn around the lowest performing districts and schools</w:t>
      </w:r>
    </w:p>
    <w:p w:rsidR="002D6992" w:rsidRPr="00FA31B3" w:rsidRDefault="002D6992" w:rsidP="00596EB0">
      <w:pPr>
        <w:pStyle w:val="ListParagraph"/>
        <w:numPr>
          <w:ilvl w:val="0"/>
          <w:numId w:val="9"/>
        </w:numPr>
        <w:spacing w:after="0"/>
        <w:rPr>
          <w:i/>
          <w:sz w:val="20"/>
          <w:szCs w:val="20"/>
        </w:rPr>
      </w:pPr>
      <w:r w:rsidRPr="00FA31B3">
        <w:rPr>
          <w:i/>
          <w:sz w:val="20"/>
          <w:szCs w:val="20"/>
        </w:rPr>
        <w:t>Use technology and data to support teaching and learning</w:t>
      </w:r>
    </w:p>
    <w:p w:rsidR="002D6992" w:rsidRPr="00FA31B3" w:rsidRDefault="002D6992" w:rsidP="00596EB0">
      <w:pPr>
        <w:pStyle w:val="ListParagraph"/>
        <w:numPr>
          <w:ilvl w:val="0"/>
          <w:numId w:val="9"/>
        </w:numPr>
        <w:spacing w:after="120"/>
        <w:contextualSpacing w:val="0"/>
        <w:rPr>
          <w:i/>
          <w:sz w:val="20"/>
          <w:szCs w:val="20"/>
        </w:rPr>
      </w:pPr>
      <w:r w:rsidRPr="00FA31B3">
        <w:rPr>
          <w:i/>
          <w:sz w:val="20"/>
          <w:szCs w:val="20"/>
        </w:rPr>
        <w:t>Support social</w:t>
      </w:r>
      <w:r w:rsidR="00F7173D">
        <w:rPr>
          <w:i/>
          <w:sz w:val="20"/>
          <w:szCs w:val="20"/>
        </w:rPr>
        <w:t>-</w:t>
      </w:r>
      <w:r w:rsidRPr="00FA31B3">
        <w:rPr>
          <w:i/>
          <w:sz w:val="20"/>
          <w:szCs w:val="20"/>
        </w:rPr>
        <w:t>emotional</w:t>
      </w:r>
      <w:r w:rsidR="00F7173D">
        <w:rPr>
          <w:i/>
          <w:sz w:val="20"/>
          <w:szCs w:val="20"/>
        </w:rPr>
        <w:t xml:space="preserve"> learning</w:t>
      </w:r>
      <w:r w:rsidRPr="00FA31B3">
        <w:rPr>
          <w:i/>
          <w:sz w:val="20"/>
          <w:szCs w:val="20"/>
        </w:rPr>
        <w:t>, health</w:t>
      </w:r>
      <w:r w:rsidR="00F7173D">
        <w:rPr>
          <w:i/>
          <w:sz w:val="20"/>
          <w:szCs w:val="20"/>
        </w:rPr>
        <w:t>, and safety</w:t>
      </w:r>
    </w:p>
    <w:p w:rsidR="00801B8F" w:rsidRPr="00FA31B3" w:rsidRDefault="00801B8F" w:rsidP="006828DC">
      <w:pPr>
        <w:rPr>
          <w:sz w:val="20"/>
          <w:szCs w:val="20"/>
        </w:rPr>
      </w:pPr>
      <w:r w:rsidRPr="00FA31B3">
        <w:rPr>
          <w:sz w:val="20"/>
          <w:szCs w:val="20"/>
        </w:rPr>
        <w:t>While ESSA will not bring major changes to the core work of our public schools, it does provide the opportunity to reflect on and improve certain areas.</w:t>
      </w:r>
    </w:p>
    <w:p w:rsidR="00041249" w:rsidRDefault="00041249" w:rsidP="00DA350A">
      <w:pPr>
        <w:spacing w:after="0"/>
        <w:rPr>
          <w:b/>
        </w:rPr>
      </w:pPr>
      <w:r w:rsidRPr="00041249">
        <w:rPr>
          <w:b/>
        </w:rPr>
        <w:t>What opportunities does ESSA provide Massachusetts?</w:t>
      </w:r>
    </w:p>
    <w:p w:rsidR="002D6992" w:rsidRPr="00FA31B3" w:rsidRDefault="00801B8F" w:rsidP="00DA350A">
      <w:pPr>
        <w:spacing w:after="0"/>
        <w:rPr>
          <w:sz w:val="20"/>
        </w:rPr>
      </w:pPr>
      <w:r w:rsidRPr="00FA31B3">
        <w:rPr>
          <w:sz w:val="20"/>
        </w:rPr>
        <w:t>Massachusetts has identified the following key opportunities under the law:</w:t>
      </w:r>
    </w:p>
    <w:p w:rsidR="00041249" w:rsidRPr="00FA31B3" w:rsidRDefault="00E5723A" w:rsidP="00F67EA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0"/>
        </w:rPr>
      </w:pPr>
      <w:r w:rsidRPr="00FA31B3">
        <w:rPr>
          <w:rFonts w:ascii="Calibri" w:hAnsi="Calibri"/>
          <w:sz w:val="20"/>
        </w:rPr>
        <w:t>The opportunity to r</w:t>
      </w:r>
      <w:r w:rsidR="00041249" w:rsidRPr="00FA31B3">
        <w:rPr>
          <w:rFonts w:ascii="Calibri" w:hAnsi="Calibri"/>
          <w:sz w:val="20"/>
        </w:rPr>
        <w:t xml:space="preserve">econsider the design of </w:t>
      </w:r>
      <w:r w:rsidR="00FB462F" w:rsidRPr="00FA31B3">
        <w:rPr>
          <w:rFonts w:ascii="Calibri" w:hAnsi="Calibri"/>
          <w:sz w:val="20"/>
        </w:rPr>
        <w:t>the state’s</w:t>
      </w:r>
      <w:r w:rsidR="00041249" w:rsidRPr="00FA31B3">
        <w:rPr>
          <w:rFonts w:ascii="Calibri" w:hAnsi="Calibri"/>
          <w:sz w:val="20"/>
        </w:rPr>
        <w:t xml:space="preserve"> school &amp; district accou</w:t>
      </w:r>
      <w:r w:rsidRPr="00FA31B3">
        <w:rPr>
          <w:rFonts w:ascii="Calibri" w:hAnsi="Calibri"/>
          <w:sz w:val="20"/>
        </w:rPr>
        <w:t xml:space="preserve">ntability and assistance system, including </w:t>
      </w:r>
      <w:r w:rsidR="00041249" w:rsidRPr="00FA31B3">
        <w:rPr>
          <w:rFonts w:ascii="Calibri" w:hAnsi="Calibri"/>
          <w:sz w:val="20"/>
        </w:rPr>
        <w:t>support for low performing schools</w:t>
      </w:r>
    </w:p>
    <w:p w:rsidR="00041249" w:rsidRPr="00FA31B3" w:rsidRDefault="00041249" w:rsidP="00F67EA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0"/>
        </w:rPr>
      </w:pPr>
      <w:r w:rsidRPr="00FA31B3">
        <w:rPr>
          <w:rFonts w:ascii="Calibri" w:hAnsi="Calibri"/>
          <w:sz w:val="20"/>
        </w:rPr>
        <w:t xml:space="preserve">The opportunity for the state and </w:t>
      </w:r>
      <w:r w:rsidR="00801B8F" w:rsidRPr="00FA31B3">
        <w:rPr>
          <w:rFonts w:ascii="Calibri" w:hAnsi="Calibri"/>
          <w:sz w:val="20"/>
        </w:rPr>
        <w:t xml:space="preserve">school </w:t>
      </w:r>
      <w:r w:rsidRPr="00FA31B3">
        <w:rPr>
          <w:rFonts w:ascii="Calibri" w:hAnsi="Calibri"/>
          <w:sz w:val="20"/>
        </w:rPr>
        <w:t>districts to plan more strategically for the use of federal funds, and to provide more transparency around school level funding</w:t>
      </w:r>
    </w:p>
    <w:p w:rsidR="00041249" w:rsidRPr="00FA31B3" w:rsidRDefault="00041249" w:rsidP="00F67EA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0"/>
        </w:rPr>
      </w:pPr>
      <w:r w:rsidRPr="00FA31B3">
        <w:rPr>
          <w:rFonts w:ascii="Calibri" w:hAnsi="Calibri"/>
          <w:sz w:val="20"/>
        </w:rPr>
        <w:t>The opportunity to direct more attention to students’ learning experiences, and their access to effective educators</w:t>
      </w:r>
    </w:p>
    <w:p w:rsidR="00041249" w:rsidRPr="00FA31B3" w:rsidRDefault="00801B8F" w:rsidP="00F67EA0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sz w:val="20"/>
        </w:rPr>
      </w:pPr>
      <w:r w:rsidRPr="00FA31B3">
        <w:rPr>
          <w:rFonts w:ascii="Calibri" w:hAnsi="Calibri"/>
          <w:sz w:val="20"/>
        </w:rPr>
        <w:t>The opportunity to advance student access to a well-rounded curriculum, improve school conditions for student learning, and improve the use of technology in order to improve students’ academic achievement and digital literacy</w:t>
      </w:r>
    </w:p>
    <w:p w:rsidR="00041249" w:rsidRPr="00041249" w:rsidRDefault="00041249" w:rsidP="00DA350A">
      <w:pPr>
        <w:spacing w:after="0"/>
        <w:rPr>
          <w:b/>
        </w:rPr>
      </w:pPr>
      <w:r w:rsidRPr="00041249">
        <w:rPr>
          <w:b/>
        </w:rPr>
        <w:t xml:space="preserve">What is the Massachusetts Department of Elementary and Secondary Education </w:t>
      </w:r>
      <w:r w:rsidR="00E5723A">
        <w:rPr>
          <w:b/>
        </w:rPr>
        <w:t>(ESE) doing</w:t>
      </w:r>
      <w:r w:rsidRPr="00041249">
        <w:rPr>
          <w:b/>
        </w:rPr>
        <w:t xml:space="preserve"> to prepare for the new law?</w:t>
      </w:r>
    </w:p>
    <w:p w:rsidR="00934C8F" w:rsidRPr="00FA31B3" w:rsidRDefault="00E5723A" w:rsidP="00596EB0">
      <w:pPr>
        <w:spacing w:after="120"/>
        <w:rPr>
          <w:sz w:val="20"/>
        </w:rPr>
      </w:pPr>
      <w:r w:rsidRPr="00FA31B3">
        <w:rPr>
          <w:sz w:val="20"/>
        </w:rPr>
        <w:t>ESE</w:t>
      </w:r>
      <w:r w:rsidR="00934C8F" w:rsidRPr="00FA31B3">
        <w:rPr>
          <w:sz w:val="20"/>
        </w:rPr>
        <w:t xml:space="preserve"> is using the 2016 calendar year to plan for its transition to the requirements of </w:t>
      </w:r>
      <w:r w:rsidRPr="00FA31B3">
        <w:rPr>
          <w:sz w:val="20"/>
        </w:rPr>
        <w:t>ESSA</w:t>
      </w:r>
      <w:r w:rsidR="00934C8F" w:rsidRPr="00FA31B3">
        <w:rPr>
          <w:sz w:val="20"/>
        </w:rPr>
        <w:t xml:space="preserve">, and to begin preparing a consolidated state plan that </w:t>
      </w:r>
      <w:r w:rsidR="008406BA" w:rsidRPr="00FA31B3">
        <w:rPr>
          <w:sz w:val="20"/>
        </w:rPr>
        <w:t>we expect to submit</w:t>
      </w:r>
      <w:r w:rsidR="00934C8F" w:rsidRPr="00FA31B3">
        <w:rPr>
          <w:sz w:val="20"/>
        </w:rPr>
        <w:t xml:space="preserve"> to the U.S. Department of Education in March 2017. With a few exceptions, ESSA will first take effect at the beginning of the 2017-18 school </w:t>
      </w:r>
      <w:proofErr w:type="gramStart"/>
      <w:r w:rsidR="00934C8F" w:rsidRPr="00FA31B3">
        <w:rPr>
          <w:sz w:val="20"/>
        </w:rPr>
        <w:t>year</w:t>
      </w:r>
      <w:proofErr w:type="gramEnd"/>
      <w:r w:rsidR="00934C8F" w:rsidRPr="00FA31B3">
        <w:rPr>
          <w:sz w:val="20"/>
        </w:rPr>
        <w:t>.</w:t>
      </w:r>
      <w:r w:rsidR="00596EB0" w:rsidRPr="00FA31B3">
        <w:rPr>
          <w:sz w:val="20"/>
        </w:rPr>
        <w:t xml:space="preserve"> </w:t>
      </w:r>
      <w:r w:rsidR="00934C8F" w:rsidRPr="00FA31B3">
        <w:rPr>
          <w:sz w:val="20"/>
        </w:rPr>
        <w:t xml:space="preserve">For Massachusetts schools and districts, the most </w:t>
      </w:r>
      <w:r w:rsidR="00934C8F" w:rsidRPr="00FA31B3">
        <w:rPr>
          <w:sz w:val="20"/>
        </w:rPr>
        <w:lastRenderedPageBreak/>
        <w:t>notable changes under the law will relate to the design of the state’s school and district accountability and assistance system</w:t>
      </w:r>
      <w:r w:rsidR="00F7173D">
        <w:rPr>
          <w:sz w:val="20"/>
        </w:rPr>
        <w:t>;</w:t>
      </w:r>
      <w:r w:rsidR="008406BA" w:rsidRPr="00FA31B3">
        <w:rPr>
          <w:sz w:val="20"/>
        </w:rPr>
        <w:t xml:space="preserve"> </w:t>
      </w:r>
      <w:r w:rsidR="00934C8F" w:rsidRPr="00FA31B3">
        <w:rPr>
          <w:sz w:val="20"/>
        </w:rPr>
        <w:t>ESE began its transition to ESS</w:t>
      </w:r>
      <w:r w:rsidR="008406BA" w:rsidRPr="00FA31B3">
        <w:rPr>
          <w:sz w:val="20"/>
        </w:rPr>
        <w:t xml:space="preserve">A by focusing on changes to the current </w:t>
      </w:r>
      <w:r w:rsidR="00934C8F" w:rsidRPr="00FA31B3">
        <w:rPr>
          <w:sz w:val="20"/>
        </w:rPr>
        <w:t>system. The work has been organized into four phases:</w:t>
      </w:r>
    </w:p>
    <w:p w:rsidR="00934C8F" w:rsidRPr="00AF31B5" w:rsidRDefault="00934C8F" w:rsidP="00105A4F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AF31B5">
        <w:rPr>
          <w:i/>
          <w:sz w:val="20"/>
        </w:rPr>
        <w:t>Listening (Spring 2016):</w:t>
      </w:r>
      <w:r w:rsidRPr="00AF31B5">
        <w:rPr>
          <w:sz w:val="20"/>
        </w:rPr>
        <w:t xml:space="preserve"> Asking a broad range of stakeholders for their thoughts about the purpose and design of the state’s </w:t>
      </w:r>
      <w:r w:rsidR="008406BA" w:rsidRPr="00AF31B5">
        <w:rPr>
          <w:sz w:val="20"/>
        </w:rPr>
        <w:t xml:space="preserve">school and district </w:t>
      </w:r>
      <w:r w:rsidRPr="00AF31B5">
        <w:rPr>
          <w:sz w:val="20"/>
        </w:rPr>
        <w:t>accountability and assistance system</w:t>
      </w:r>
    </w:p>
    <w:p w:rsidR="00934C8F" w:rsidRPr="00AF31B5" w:rsidRDefault="00934C8F" w:rsidP="00105A4F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AF31B5">
        <w:rPr>
          <w:i/>
          <w:sz w:val="20"/>
        </w:rPr>
        <w:t>Modeling (Summer/Fall 2016):</w:t>
      </w:r>
      <w:r w:rsidRPr="00AF31B5">
        <w:rPr>
          <w:sz w:val="20"/>
        </w:rPr>
        <w:t xml:space="preserve"> Developing specific proposals based on the feedback we heard in the listening phase</w:t>
      </w:r>
    </w:p>
    <w:p w:rsidR="00934C8F" w:rsidRPr="00AF31B5" w:rsidRDefault="00934C8F" w:rsidP="00105A4F">
      <w:pPr>
        <w:pStyle w:val="ListParagraph"/>
        <w:numPr>
          <w:ilvl w:val="0"/>
          <w:numId w:val="11"/>
        </w:numPr>
        <w:spacing w:after="0"/>
        <w:rPr>
          <w:sz w:val="20"/>
        </w:rPr>
      </w:pPr>
      <w:r w:rsidRPr="00AF31B5">
        <w:rPr>
          <w:i/>
          <w:sz w:val="20"/>
        </w:rPr>
        <w:t>Listening (Fall 2016):</w:t>
      </w:r>
      <w:r w:rsidRPr="00AF31B5">
        <w:rPr>
          <w:sz w:val="20"/>
        </w:rPr>
        <w:t xml:space="preserve"> Sharing our draft proposals with stakeh</w:t>
      </w:r>
      <w:r w:rsidR="008406BA" w:rsidRPr="00AF31B5">
        <w:rPr>
          <w:sz w:val="20"/>
        </w:rPr>
        <w:t>olders to gain further feedback</w:t>
      </w:r>
    </w:p>
    <w:p w:rsidR="00934C8F" w:rsidRPr="00AF31B5" w:rsidRDefault="00934C8F" w:rsidP="006828DC">
      <w:pPr>
        <w:pStyle w:val="ListParagraph"/>
        <w:numPr>
          <w:ilvl w:val="0"/>
          <w:numId w:val="11"/>
        </w:numPr>
        <w:contextualSpacing w:val="0"/>
        <w:rPr>
          <w:sz w:val="20"/>
        </w:rPr>
      </w:pPr>
      <w:r w:rsidRPr="00AF31B5">
        <w:rPr>
          <w:i/>
          <w:sz w:val="20"/>
        </w:rPr>
        <w:t>Revising (Winter 2016-17):</w:t>
      </w:r>
      <w:r w:rsidR="008406BA" w:rsidRPr="00AF31B5">
        <w:rPr>
          <w:sz w:val="20"/>
        </w:rPr>
        <w:t xml:space="preserve"> Refining and improving</w:t>
      </w:r>
      <w:r w:rsidRPr="00AF31B5">
        <w:rPr>
          <w:sz w:val="20"/>
        </w:rPr>
        <w:t xml:space="preserve"> proposed modifications based on additional feedback from stakeholders</w:t>
      </w:r>
    </w:p>
    <w:p w:rsidR="009B7C27" w:rsidRPr="009B7C27" w:rsidRDefault="009B7C27" w:rsidP="00DA350A">
      <w:pPr>
        <w:spacing w:after="0"/>
        <w:rPr>
          <w:b/>
        </w:rPr>
      </w:pPr>
      <w:r w:rsidRPr="009B7C27">
        <w:rPr>
          <w:b/>
        </w:rPr>
        <w:t xml:space="preserve">What kinds of changes </w:t>
      </w:r>
      <w:r>
        <w:rPr>
          <w:b/>
        </w:rPr>
        <w:t xml:space="preserve">are being considered for the </w:t>
      </w:r>
      <w:r w:rsidRPr="009B7C27">
        <w:rPr>
          <w:b/>
        </w:rPr>
        <w:t>school &amp; district accountability system?</w:t>
      </w:r>
    </w:p>
    <w:p w:rsidR="009B7C27" w:rsidRPr="00FA31B3" w:rsidRDefault="009B7C27" w:rsidP="00DA350A">
      <w:pPr>
        <w:spacing w:after="0"/>
        <w:rPr>
          <w:sz w:val="20"/>
          <w:szCs w:val="20"/>
        </w:rPr>
      </w:pPr>
      <w:r w:rsidRPr="00FA31B3">
        <w:rPr>
          <w:sz w:val="20"/>
          <w:szCs w:val="20"/>
        </w:rPr>
        <w:t xml:space="preserve">We believe that our state’s accountability and assistance system should support the overarching goal of success for all students after high school, and </w:t>
      </w:r>
      <w:r w:rsidR="00160758">
        <w:rPr>
          <w:sz w:val="20"/>
          <w:szCs w:val="20"/>
        </w:rPr>
        <w:t xml:space="preserve">thus we </w:t>
      </w:r>
      <w:r w:rsidR="00105A4F" w:rsidRPr="00FA31B3">
        <w:rPr>
          <w:sz w:val="20"/>
          <w:szCs w:val="20"/>
        </w:rPr>
        <w:t>have adopted</w:t>
      </w:r>
      <w:r w:rsidRPr="00FA31B3">
        <w:rPr>
          <w:sz w:val="20"/>
          <w:szCs w:val="20"/>
        </w:rPr>
        <w:t xml:space="preserve"> these key principles </w:t>
      </w:r>
      <w:r w:rsidR="00105A4F" w:rsidRPr="00FA31B3">
        <w:rPr>
          <w:sz w:val="20"/>
          <w:szCs w:val="20"/>
        </w:rPr>
        <w:t>to help guide</w:t>
      </w:r>
      <w:r w:rsidRPr="00FA31B3">
        <w:rPr>
          <w:sz w:val="20"/>
          <w:szCs w:val="20"/>
        </w:rPr>
        <w:t xml:space="preserve"> potential changes to the system:</w:t>
      </w:r>
    </w:p>
    <w:p w:rsidR="009B7C27" w:rsidRPr="00FA31B3" w:rsidRDefault="00105A4F" w:rsidP="009B7C27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A31B3">
        <w:rPr>
          <w:sz w:val="20"/>
          <w:szCs w:val="20"/>
        </w:rPr>
        <w:t xml:space="preserve">The system </w:t>
      </w:r>
      <w:r w:rsidR="00160758">
        <w:rPr>
          <w:sz w:val="20"/>
          <w:szCs w:val="20"/>
        </w:rPr>
        <w:t>must</w:t>
      </w:r>
      <w:r w:rsidRPr="00FA31B3">
        <w:rPr>
          <w:sz w:val="20"/>
          <w:szCs w:val="20"/>
        </w:rPr>
        <w:t xml:space="preserve"> focus on</w:t>
      </w:r>
      <w:r w:rsidR="009B7C27" w:rsidRPr="00FA31B3">
        <w:rPr>
          <w:sz w:val="20"/>
          <w:szCs w:val="20"/>
        </w:rPr>
        <w:t xml:space="preserve"> closing proficiency gap</w:t>
      </w:r>
      <w:r w:rsidR="00494DDD" w:rsidRPr="00FA31B3">
        <w:rPr>
          <w:sz w:val="20"/>
          <w:szCs w:val="20"/>
        </w:rPr>
        <w:t>s</w:t>
      </w:r>
      <w:r w:rsidR="009B7C27" w:rsidRPr="00FA31B3">
        <w:rPr>
          <w:sz w:val="20"/>
          <w:szCs w:val="20"/>
        </w:rPr>
        <w:t xml:space="preserve"> </w:t>
      </w:r>
      <w:r w:rsidRPr="00FA31B3">
        <w:rPr>
          <w:sz w:val="20"/>
          <w:szCs w:val="20"/>
        </w:rPr>
        <w:t>and</w:t>
      </w:r>
      <w:r w:rsidR="009B7C27" w:rsidRPr="00FA31B3">
        <w:rPr>
          <w:sz w:val="20"/>
          <w:szCs w:val="20"/>
        </w:rPr>
        <w:t xml:space="preserve"> preparing </w:t>
      </w:r>
      <w:r w:rsidRPr="00FA31B3">
        <w:rPr>
          <w:sz w:val="20"/>
          <w:szCs w:val="20"/>
        </w:rPr>
        <w:t xml:space="preserve">all </w:t>
      </w:r>
      <w:r w:rsidR="009B7C27" w:rsidRPr="00FA31B3">
        <w:rPr>
          <w:sz w:val="20"/>
          <w:szCs w:val="20"/>
        </w:rPr>
        <w:t>students for success at the next level</w:t>
      </w:r>
    </w:p>
    <w:p w:rsidR="00105A4F" w:rsidRPr="00FA31B3" w:rsidRDefault="00105A4F" w:rsidP="00105A4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A31B3">
        <w:rPr>
          <w:sz w:val="20"/>
          <w:szCs w:val="20"/>
        </w:rPr>
        <w:t xml:space="preserve">The system must clearly identify our highest and lowest performing schools, and provide a clear signal </w:t>
      </w:r>
      <w:r w:rsidR="00494DDD" w:rsidRPr="00FA31B3">
        <w:rPr>
          <w:sz w:val="20"/>
          <w:szCs w:val="20"/>
        </w:rPr>
        <w:t xml:space="preserve">to schools </w:t>
      </w:r>
      <w:r w:rsidRPr="00FA31B3">
        <w:rPr>
          <w:sz w:val="20"/>
          <w:szCs w:val="20"/>
        </w:rPr>
        <w:t xml:space="preserve">about </w:t>
      </w:r>
      <w:r w:rsidR="00494DDD" w:rsidRPr="00FA31B3">
        <w:rPr>
          <w:sz w:val="20"/>
          <w:szCs w:val="20"/>
        </w:rPr>
        <w:t xml:space="preserve">areas </w:t>
      </w:r>
      <w:r w:rsidRPr="00FA31B3">
        <w:rPr>
          <w:sz w:val="20"/>
          <w:szCs w:val="20"/>
        </w:rPr>
        <w:t>where improvement is needed</w:t>
      </w:r>
    </w:p>
    <w:p w:rsidR="009B7C27" w:rsidRPr="00FA31B3" w:rsidRDefault="009B7C27" w:rsidP="009B7C27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A31B3">
        <w:rPr>
          <w:sz w:val="20"/>
          <w:szCs w:val="20"/>
        </w:rPr>
        <w:t xml:space="preserve">Measures </w:t>
      </w:r>
      <w:r w:rsidR="00105A4F" w:rsidRPr="00FA31B3">
        <w:rPr>
          <w:sz w:val="20"/>
          <w:szCs w:val="20"/>
        </w:rPr>
        <w:t>included must be</w:t>
      </w:r>
      <w:r w:rsidRPr="00FA31B3">
        <w:rPr>
          <w:sz w:val="20"/>
          <w:szCs w:val="20"/>
        </w:rPr>
        <w:t xml:space="preserve"> supported by research showing evidence of improved student outcomes</w:t>
      </w:r>
    </w:p>
    <w:p w:rsidR="00105A4F" w:rsidRDefault="00105A4F" w:rsidP="00FA31B3">
      <w:pPr>
        <w:pStyle w:val="ListParagraph"/>
        <w:numPr>
          <w:ilvl w:val="0"/>
          <w:numId w:val="10"/>
        </w:numPr>
        <w:spacing w:after="0"/>
        <w:contextualSpacing w:val="0"/>
        <w:rPr>
          <w:sz w:val="20"/>
          <w:szCs w:val="20"/>
        </w:rPr>
      </w:pPr>
      <w:r w:rsidRPr="00FA31B3">
        <w:rPr>
          <w:sz w:val="20"/>
          <w:szCs w:val="20"/>
        </w:rPr>
        <w:t>Measures included must be actionable at the district or school level</w:t>
      </w:r>
    </w:p>
    <w:p w:rsidR="00FA31B3" w:rsidRPr="00FA31B3" w:rsidRDefault="00FA31B3" w:rsidP="00AF31B5">
      <w:pPr>
        <w:pStyle w:val="ListParagraph"/>
        <w:numPr>
          <w:ilvl w:val="0"/>
          <w:numId w:val="10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Growth and improvement matter—the system </w:t>
      </w:r>
      <w:r w:rsidR="00160758">
        <w:rPr>
          <w:sz w:val="20"/>
          <w:szCs w:val="20"/>
        </w:rPr>
        <w:t>must</w:t>
      </w:r>
      <w:r>
        <w:rPr>
          <w:sz w:val="20"/>
          <w:szCs w:val="20"/>
        </w:rPr>
        <w:t xml:space="preserve"> measure improvement across all measures</w:t>
      </w:r>
    </w:p>
    <w:p w:rsidR="00AF31B5" w:rsidRPr="00FA31B3" w:rsidRDefault="00AF31B5" w:rsidP="00AF31B5">
      <w:pPr>
        <w:spacing w:after="120"/>
        <w:rPr>
          <w:sz w:val="20"/>
          <w:szCs w:val="20"/>
        </w:rPr>
      </w:pPr>
      <w:r w:rsidRPr="00FA31B3">
        <w:rPr>
          <w:sz w:val="20"/>
          <w:szCs w:val="20"/>
        </w:rPr>
        <w:t>The table below demonstrates measures under consideration.</w:t>
      </w:r>
    </w:p>
    <w:tbl>
      <w:tblPr>
        <w:tblW w:w="0" w:type="auto"/>
        <w:tblInd w:w="28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3600"/>
        <w:gridCol w:w="5130"/>
        <w:gridCol w:w="1170"/>
      </w:tblGrid>
      <w:tr w:rsidR="00AF31B5" w:rsidRPr="00AF31B5" w:rsidTr="00D44853">
        <w:tc>
          <w:tcPr>
            <w:tcW w:w="360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31B5">
              <w:rPr>
                <w:b/>
                <w:bCs/>
                <w:sz w:val="20"/>
                <w:szCs w:val="20"/>
              </w:rPr>
              <w:t>Criteria for success</w:t>
            </w:r>
          </w:p>
        </w:tc>
        <w:tc>
          <w:tcPr>
            <w:tcW w:w="513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31B5">
              <w:rPr>
                <w:b/>
                <w:bCs/>
                <w:sz w:val="20"/>
                <w:szCs w:val="20"/>
              </w:rPr>
              <w:t>Proposed measures</w:t>
            </w:r>
          </w:p>
        </w:tc>
        <w:tc>
          <w:tcPr>
            <w:tcW w:w="11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 </w:t>
            </w:r>
            <w:r w:rsidRPr="00AF31B5">
              <w:rPr>
                <w:b/>
                <w:bCs/>
                <w:sz w:val="20"/>
                <w:szCs w:val="20"/>
              </w:rPr>
              <w:t>span</w:t>
            </w:r>
          </w:p>
        </w:tc>
      </w:tr>
      <w:tr w:rsidR="00AF31B5" w:rsidRPr="00AF31B5" w:rsidTr="00D448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 students perform well against challenging grade-level expectations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Default="00AF31B5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Next-generation </w:t>
            </w:r>
            <w:r w:rsidRPr="00AF31B5">
              <w:rPr>
                <w:sz w:val="20"/>
                <w:szCs w:val="20"/>
              </w:rPr>
              <w:t xml:space="preserve">MCAS </w:t>
            </w:r>
            <w:r>
              <w:rPr>
                <w:sz w:val="20"/>
                <w:szCs w:val="20"/>
              </w:rPr>
              <w:t>results</w:t>
            </w:r>
            <w:r w:rsidRPr="00AF31B5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>English language arts</w:t>
            </w:r>
            <w:r w:rsidRPr="00AF31B5">
              <w:rPr>
                <w:sz w:val="20"/>
                <w:szCs w:val="20"/>
              </w:rPr>
              <w:t>, math, science</w:t>
            </w:r>
          </w:p>
          <w:p w:rsidR="00C3029B" w:rsidRPr="00AF31B5" w:rsidRDefault="00C3029B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growth on MCAS tests in ELA &amp; math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spacing w:after="0"/>
              <w:jc w:val="center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</w:t>
            </w:r>
          </w:p>
        </w:tc>
      </w:tr>
      <w:tr w:rsidR="00AF31B5" w:rsidRPr="00AF31B5" w:rsidTr="00D448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 English language learners make progress towards English proficiency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 xml:space="preserve">ACCESS </w:t>
            </w:r>
            <w:r>
              <w:rPr>
                <w:sz w:val="20"/>
                <w:szCs w:val="20"/>
              </w:rPr>
              <w:t>results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spacing w:after="0"/>
              <w:jc w:val="center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</w:t>
            </w:r>
          </w:p>
        </w:tc>
      </w:tr>
      <w:tr w:rsidR="00AF31B5" w:rsidRPr="00AF31B5" w:rsidTr="00D448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 students graduate</w:t>
            </w:r>
            <w:r>
              <w:rPr>
                <w:sz w:val="20"/>
                <w:szCs w:val="20"/>
              </w:rPr>
              <w:t xml:space="preserve"> from high school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Default="00AF31B5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4-year cohort graduation rate and </w:t>
            </w:r>
            <w:r w:rsidRPr="00AF31B5">
              <w:rPr>
                <w:sz w:val="20"/>
                <w:szCs w:val="20"/>
              </w:rPr>
              <w:t>5-year grad</w:t>
            </w:r>
            <w:r>
              <w:rPr>
                <w:sz w:val="20"/>
                <w:szCs w:val="20"/>
              </w:rPr>
              <w:t>uation</w:t>
            </w:r>
            <w:r w:rsidRPr="00AF31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plus still</w:t>
            </w:r>
            <w:r w:rsidRPr="00AF31B5">
              <w:rPr>
                <w:sz w:val="20"/>
                <w:szCs w:val="20"/>
              </w:rPr>
              <w:t xml:space="preserve"> enrolled rate</w:t>
            </w:r>
          </w:p>
          <w:p w:rsidR="00795213" w:rsidRPr="00AF31B5" w:rsidRDefault="00795213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dropout rate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spacing w:after="0"/>
              <w:jc w:val="center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High school</w:t>
            </w:r>
          </w:p>
        </w:tc>
      </w:tr>
      <w:tr w:rsidR="00AF31B5" w:rsidRPr="00AF31B5" w:rsidTr="00D448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 students attend school</w:t>
            </w:r>
            <w:r w:rsidR="005D3744">
              <w:rPr>
                <w:sz w:val="20"/>
                <w:szCs w:val="20"/>
              </w:rPr>
              <w:t xml:space="preserve"> regularly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Chronic absenteeism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spacing w:after="0"/>
              <w:jc w:val="center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</w:t>
            </w:r>
          </w:p>
        </w:tc>
      </w:tr>
      <w:tr w:rsidR="00AF31B5" w:rsidRPr="00AF31B5" w:rsidTr="00D448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 students experience a broad and challenging curriculum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Default="00AF31B5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Access to the arts</w:t>
            </w:r>
          </w:p>
          <w:p w:rsidR="00C3029B" w:rsidRPr="00AF31B5" w:rsidRDefault="00C3029B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Access to a</w:t>
            </w:r>
            <w:r>
              <w:rPr>
                <w:sz w:val="20"/>
                <w:szCs w:val="20"/>
              </w:rPr>
              <w:t xml:space="preserve"> well-rounded</w:t>
            </w:r>
            <w:r w:rsidRPr="00AF31B5">
              <w:rPr>
                <w:sz w:val="20"/>
                <w:szCs w:val="20"/>
              </w:rPr>
              <w:t xml:space="preserve"> curriculum</w:t>
            </w:r>
          </w:p>
          <w:p w:rsidR="00AF31B5" w:rsidRPr="00AF31B5" w:rsidRDefault="00AF31B5" w:rsidP="00407E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Passing all grade 9 courses</w:t>
            </w:r>
          </w:p>
          <w:p w:rsidR="00AF31B5" w:rsidRPr="00C3029B" w:rsidRDefault="00AF31B5" w:rsidP="00C30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Access to advanced coursework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486E11" w:rsidRDefault="00AF31B5" w:rsidP="00486E11">
            <w:pPr>
              <w:spacing w:after="0" w:line="240" w:lineRule="auto"/>
              <w:ind w:left="72"/>
              <w:jc w:val="center"/>
              <w:rPr>
                <w:sz w:val="20"/>
                <w:szCs w:val="20"/>
              </w:rPr>
            </w:pPr>
            <w:r w:rsidRPr="00486E11">
              <w:rPr>
                <w:sz w:val="20"/>
                <w:szCs w:val="20"/>
              </w:rPr>
              <w:t>All</w:t>
            </w:r>
          </w:p>
          <w:p w:rsidR="00AF31B5" w:rsidRPr="00486E11" w:rsidRDefault="00AF31B5" w:rsidP="00486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6E11">
              <w:rPr>
                <w:sz w:val="20"/>
                <w:szCs w:val="20"/>
              </w:rPr>
              <w:t>High school</w:t>
            </w:r>
          </w:p>
          <w:p w:rsidR="00AF31B5" w:rsidRPr="00486E11" w:rsidRDefault="00AF31B5" w:rsidP="00486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6E11">
              <w:rPr>
                <w:sz w:val="20"/>
                <w:szCs w:val="20"/>
              </w:rPr>
              <w:t>High school</w:t>
            </w:r>
          </w:p>
          <w:p w:rsidR="00AF31B5" w:rsidRPr="00486E11" w:rsidRDefault="00AD27CE" w:rsidP="00486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</w:tc>
      </w:tr>
      <w:tr w:rsidR="00AF31B5" w:rsidRPr="00AF31B5" w:rsidTr="00D448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AF31B5">
            <w:pPr>
              <w:spacing w:after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Schools support all students in attaining these goals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 w:hanging="277"/>
              <w:contextualSpacing w:val="0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School climate survey (under development and testing)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B5" w:rsidRPr="00AF31B5" w:rsidRDefault="00AF31B5" w:rsidP="00407E18">
            <w:pPr>
              <w:spacing w:after="0"/>
              <w:jc w:val="center"/>
              <w:rPr>
                <w:sz w:val="20"/>
                <w:szCs w:val="20"/>
              </w:rPr>
            </w:pPr>
            <w:r w:rsidRPr="00AF31B5">
              <w:rPr>
                <w:sz w:val="20"/>
                <w:szCs w:val="20"/>
              </w:rPr>
              <w:t>All</w:t>
            </w:r>
          </w:p>
        </w:tc>
      </w:tr>
    </w:tbl>
    <w:p w:rsidR="009B7C27" w:rsidRDefault="009B7C27" w:rsidP="00DA350A">
      <w:pPr>
        <w:spacing w:after="0"/>
      </w:pPr>
    </w:p>
    <w:p w:rsidR="00041249" w:rsidRPr="00041249" w:rsidRDefault="00041249" w:rsidP="00DA350A">
      <w:pPr>
        <w:spacing w:after="0"/>
        <w:rPr>
          <w:b/>
        </w:rPr>
      </w:pPr>
      <w:r w:rsidRPr="00041249">
        <w:rPr>
          <w:b/>
        </w:rPr>
        <w:t xml:space="preserve">How can </w:t>
      </w:r>
      <w:r>
        <w:rPr>
          <w:b/>
        </w:rPr>
        <w:t>I</w:t>
      </w:r>
      <w:r w:rsidRPr="00041249">
        <w:rPr>
          <w:b/>
        </w:rPr>
        <w:t xml:space="preserve"> help </w:t>
      </w:r>
      <w:r w:rsidR="00934C8F">
        <w:rPr>
          <w:b/>
        </w:rPr>
        <w:t xml:space="preserve">Massachusetts </w:t>
      </w:r>
      <w:r w:rsidRPr="00041249">
        <w:rPr>
          <w:b/>
        </w:rPr>
        <w:t>plan for implementation of the new law?</w:t>
      </w:r>
    </w:p>
    <w:p w:rsidR="00041249" w:rsidRDefault="00596EB0" w:rsidP="008406BA">
      <w:pPr>
        <w:spacing w:after="120"/>
        <w:rPr>
          <w:sz w:val="20"/>
        </w:rPr>
      </w:pPr>
      <w:r w:rsidRPr="00FA31B3">
        <w:rPr>
          <w:sz w:val="20"/>
        </w:rPr>
        <w:t xml:space="preserve">In spring 2016, ESE heard from approximately 2,200 groups and individuals </w:t>
      </w:r>
      <w:r w:rsidR="00833A6C">
        <w:rPr>
          <w:sz w:val="20"/>
        </w:rPr>
        <w:t xml:space="preserve">who responded to a survey </w:t>
      </w:r>
      <w:r w:rsidRPr="00FA31B3">
        <w:rPr>
          <w:sz w:val="20"/>
        </w:rPr>
        <w:t xml:space="preserve">on issues such as priorities for the </w:t>
      </w:r>
      <w:r w:rsidR="00833A6C">
        <w:rPr>
          <w:sz w:val="20"/>
        </w:rPr>
        <w:t xml:space="preserve">state’s accountability &amp; assistance </w:t>
      </w:r>
      <w:r w:rsidRPr="00FA31B3">
        <w:rPr>
          <w:sz w:val="20"/>
        </w:rPr>
        <w:t>system, specific accountability measures used, and the types of supports and assistance that schools and district should receive.</w:t>
      </w:r>
      <w:r w:rsidR="008406BA" w:rsidRPr="00FA31B3">
        <w:rPr>
          <w:sz w:val="20"/>
        </w:rPr>
        <w:t xml:space="preserve"> In spring and summer ESE staff also met with approximately 20 different stakeholder groups.</w:t>
      </w:r>
      <w:r w:rsidR="00833A6C">
        <w:rPr>
          <w:sz w:val="20"/>
        </w:rPr>
        <w:t xml:space="preserve"> </w:t>
      </w:r>
      <w:r w:rsidR="008406BA" w:rsidRPr="00FA31B3">
        <w:rPr>
          <w:sz w:val="20"/>
        </w:rPr>
        <w:t>In fall 2016</w:t>
      </w:r>
      <w:r w:rsidRPr="00FA31B3">
        <w:rPr>
          <w:sz w:val="20"/>
        </w:rPr>
        <w:t xml:space="preserve"> ESE will develop specific proposals based on the input collected during the initial listening phase and will share draft proposals with stakeholders for additional feedback. </w:t>
      </w:r>
      <w:r w:rsidR="008406BA" w:rsidRPr="00FA31B3">
        <w:rPr>
          <w:sz w:val="20"/>
        </w:rPr>
        <w:t xml:space="preserve">To have your organization added to the list of stakeholders to be notified, or to provide feedback at any time, please email </w:t>
      </w:r>
      <w:hyperlink r:id="rId7" w:history="1">
        <w:r w:rsidR="008406BA" w:rsidRPr="00FA31B3">
          <w:rPr>
            <w:rStyle w:val="Hyperlink"/>
            <w:sz w:val="20"/>
          </w:rPr>
          <w:t>essa@doe.mass.edu</w:t>
        </w:r>
      </w:hyperlink>
      <w:r w:rsidR="008406BA" w:rsidRPr="00FA31B3">
        <w:rPr>
          <w:sz w:val="20"/>
        </w:rPr>
        <w:t>.</w:t>
      </w:r>
    </w:p>
    <w:p w:rsidR="00833A6C" w:rsidRPr="00FA31B3" w:rsidRDefault="00833A6C" w:rsidP="008406BA">
      <w:pPr>
        <w:spacing w:after="120"/>
        <w:rPr>
          <w:sz w:val="20"/>
        </w:rPr>
      </w:pPr>
      <w:r w:rsidRPr="00833A6C">
        <w:rPr>
          <w:sz w:val="20"/>
        </w:rPr>
        <w:t xml:space="preserve">In November and December 2016, ESE will be hosting a series of public community forums on ESSA. To participate in a forum, please register online at </w:t>
      </w:r>
      <w:hyperlink r:id="rId8" w:history="1">
        <w:r w:rsidRPr="00C24F67">
          <w:rPr>
            <w:rStyle w:val="Hyperlink"/>
            <w:sz w:val="20"/>
          </w:rPr>
          <w:t>http://DESE.ESSA.sgizmo.com/s3</w:t>
        </w:r>
      </w:hyperlink>
      <w:r>
        <w:rPr>
          <w:sz w:val="20"/>
        </w:rPr>
        <w:t xml:space="preserve">. </w:t>
      </w:r>
    </w:p>
    <w:sectPr w:rsidR="00833A6C" w:rsidRPr="00FA31B3" w:rsidSect="00581EAA">
      <w:headerReference w:type="default" r:id="rId9"/>
      <w:footerReference w:type="default" r:id="rId10"/>
      <w:pgSz w:w="12240" w:h="15840" w:code="1"/>
      <w:pgMar w:top="720" w:right="1008" w:bottom="720" w:left="1008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52" w:rsidRDefault="00A40352" w:rsidP="00801B8F">
      <w:pPr>
        <w:spacing w:after="0" w:line="240" w:lineRule="auto"/>
      </w:pPr>
      <w:r>
        <w:separator/>
      </w:r>
    </w:p>
  </w:endnote>
  <w:endnote w:type="continuationSeparator" w:id="0">
    <w:p w:rsidR="00A40352" w:rsidRDefault="00A40352" w:rsidP="0080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20"/>
      </w:rPr>
      <w:id w:val="267792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20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tbl>
            <w:tblPr>
              <w:tblStyle w:val="TableGrid"/>
              <w:tblW w:w="10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588"/>
              <w:gridCol w:w="3870"/>
            </w:tblGrid>
            <w:tr w:rsidR="00411CB4" w:rsidRPr="00D721B4" w:rsidTr="00415A36">
              <w:tc>
                <w:tcPr>
                  <w:tcW w:w="6588" w:type="dxa"/>
                </w:tcPr>
                <w:p w:rsidR="00411CB4" w:rsidRPr="00D721B4" w:rsidRDefault="00411CB4" w:rsidP="00407E18">
                  <w:pPr>
                    <w:pStyle w:val="Foo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October 2016</w:t>
                  </w:r>
                </w:p>
              </w:tc>
              <w:tc>
                <w:tcPr>
                  <w:tcW w:w="3870" w:type="dxa"/>
                </w:tcPr>
                <w:p w:rsidR="00411CB4" w:rsidRPr="00D721B4" w:rsidRDefault="00411CB4" w:rsidP="00B926B0">
                  <w:pPr>
                    <w:pStyle w:val="Footer"/>
                    <w:jc w:val="right"/>
                    <w:rPr>
                      <w:sz w:val="18"/>
                      <w:szCs w:val="20"/>
                    </w:rPr>
                  </w:pPr>
                  <w:r w:rsidRPr="00D721B4">
                    <w:rPr>
                      <w:sz w:val="18"/>
                      <w:szCs w:val="20"/>
                    </w:rPr>
                    <w:t xml:space="preserve">Page </w:t>
                  </w:r>
                  <w:r w:rsidR="003912A4" w:rsidRPr="00D721B4">
                    <w:rPr>
                      <w:sz w:val="18"/>
                      <w:szCs w:val="20"/>
                    </w:rPr>
                    <w:fldChar w:fldCharType="begin"/>
                  </w:r>
                  <w:r w:rsidRPr="00D721B4">
                    <w:rPr>
                      <w:sz w:val="18"/>
                      <w:szCs w:val="20"/>
                    </w:rPr>
                    <w:instrText xml:space="preserve"> PAGE </w:instrText>
                  </w:r>
                  <w:r w:rsidR="003912A4" w:rsidRPr="00D721B4">
                    <w:rPr>
                      <w:sz w:val="18"/>
                      <w:szCs w:val="20"/>
                    </w:rPr>
                    <w:fldChar w:fldCharType="separate"/>
                  </w:r>
                  <w:r w:rsidR="00BC0BC7">
                    <w:rPr>
                      <w:noProof/>
                      <w:sz w:val="18"/>
                      <w:szCs w:val="20"/>
                    </w:rPr>
                    <w:t>1</w:t>
                  </w:r>
                  <w:r w:rsidR="003912A4" w:rsidRPr="00D721B4">
                    <w:rPr>
                      <w:sz w:val="18"/>
                      <w:szCs w:val="20"/>
                    </w:rPr>
                    <w:fldChar w:fldCharType="end"/>
                  </w:r>
                  <w:r w:rsidRPr="00D721B4">
                    <w:rPr>
                      <w:sz w:val="18"/>
                      <w:szCs w:val="20"/>
                    </w:rPr>
                    <w:t xml:space="preserve"> of </w:t>
                  </w:r>
                  <w:r w:rsidR="003912A4" w:rsidRPr="00D721B4">
                    <w:rPr>
                      <w:sz w:val="18"/>
                      <w:szCs w:val="20"/>
                    </w:rPr>
                    <w:fldChar w:fldCharType="begin"/>
                  </w:r>
                  <w:r w:rsidRPr="00D721B4">
                    <w:rPr>
                      <w:sz w:val="18"/>
                      <w:szCs w:val="20"/>
                    </w:rPr>
                    <w:instrText xml:space="preserve"> NUMPAGES  </w:instrText>
                  </w:r>
                  <w:r w:rsidR="003912A4" w:rsidRPr="00D721B4">
                    <w:rPr>
                      <w:sz w:val="18"/>
                      <w:szCs w:val="20"/>
                    </w:rPr>
                    <w:fldChar w:fldCharType="separate"/>
                  </w:r>
                  <w:r w:rsidR="00BC0BC7">
                    <w:rPr>
                      <w:noProof/>
                      <w:sz w:val="18"/>
                      <w:szCs w:val="20"/>
                    </w:rPr>
                    <w:t>2</w:t>
                  </w:r>
                  <w:r w:rsidR="003912A4" w:rsidRPr="00D721B4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:rsidR="00411CB4" w:rsidRPr="00415A36" w:rsidRDefault="003912A4" w:rsidP="00B926B0">
            <w:pPr>
              <w:pStyle w:val="Footer"/>
              <w:rPr>
                <w:sz w:val="12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52" w:rsidRDefault="00A40352" w:rsidP="00801B8F">
      <w:pPr>
        <w:spacing w:after="0" w:line="240" w:lineRule="auto"/>
      </w:pPr>
      <w:r>
        <w:separator/>
      </w:r>
    </w:p>
  </w:footnote>
  <w:footnote w:type="continuationSeparator" w:id="0">
    <w:p w:rsidR="00A40352" w:rsidRDefault="00A40352" w:rsidP="0080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848"/>
      <w:gridCol w:w="2592"/>
    </w:tblGrid>
    <w:tr w:rsidR="00411CB4" w:rsidTr="00881CAD">
      <w:tc>
        <w:tcPr>
          <w:tcW w:w="7848" w:type="dxa"/>
          <w:vAlign w:val="center"/>
        </w:tcPr>
        <w:p w:rsidR="00411CB4" w:rsidRPr="000B077C" w:rsidRDefault="00411CB4" w:rsidP="00881CAD">
          <w:pPr>
            <w:rPr>
              <w:b/>
              <w:color w:val="1F497D" w:themeColor="text2"/>
              <w:sz w:val="24"/>
            </w:rPr>
          </w:pPr>
          <w:r>
            <w:rPr>
              <w:b/>
              <w:color w:val="1F497D" w:themeColor="text2"/>
              <w:sz w:val="24"/>
            </w:rPr>
            <w:t>The Every Student Succeeds Act</w:t>
          </w:r>
          <w:r w:rsidRPr="000B077C">
            <w:rPr>
              <w:b/>
              <w:color w:val="1F497D" w:themeColor="text2"/>
              <w:sz w:val="24"/>
            </w:rPr>
            <w:t xml:space="preserve"> and Massachusetts Schools</w:t>
          </w:r>
        </w:p>
        <w:p w:rsidR="00411CB4" w:rsidRDefault="00411CB4" w:rsidP="00881CAD">
          <w:pPr>
            <w:rPr>
              <w:b/>
              <w:color w:val="1F497D" w:themeColor="text2"/>
              <w:sz w:val="24"/>
            </w:rPr>
          </w:pPr>
          <w:r w:rsidRPr="000B077C">
            <w:rPr>
              <w:b/>
              <w:color w:val="1F497D" w:themeColor="text2"/>
              <w:sz w:val="24"/>
            </w:rPr>
            <w:t xml:space="preserve">What does the new federal education law mean for </w:t>
          </w:r>
          <w:r>
            <w:rPr>
              <w:b/>
              <w:color w:val="1F497D" w:themeColor="text2"/>
              <w:sz w:val="24"/>
            </w:rPr>
            <w:t>the</w:t>
          </w:r>
          <w:r w:rsidRPr="000B077C">
            <w:rPr>
              <w:b/>
              <w:color w:val="1F497D" w:themeColor="text2"/>
              <w:sz w:val="24"/>
            </w:rPr>
            <w:t xml:space="preserve"> Commonwealth?</w:t>
          </w:r>
        </w:p>
      </w:tc>
      <w:tc>
        <w:tcPr>
          <w:tcW w:w="2592" w:type="dxa"/>
        </w:tcPr>
        <w:p w:rsidR="00411CB4" w:rsidRDefault="00411CB4" w:rsidP="00881CAD">
          <w:pPr>
            <w:jc w:val="right"/>
            <w:rPr>
              <w:b/>
              <w:color w:val="1F497D" w:themeColor="text2"/>
              <w:sz w:val="24"/>
            </w:rPr>
          </w:pPr>
          <w:r w:rsidRPr="00881CAD">
            <w:rPr>
              <w:b/>
              <w:noProof/>
              <w:color w:val="1F497D" w:themeColor="text2"/>
              <w:sz w:val="24"/>
            </w:rPr>
            <w:drawing>
              <wp:inline distT="0" distB="0" distL="0" distR="0">
                <wp:extent cx="1514475" cy="736527"/>
                <wp:effectExtent l="19050" t="0" r="9525" b="0"/>
                <wp:docPr id="2" name="Picture 0" descr="E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ster-Logo_695x338_color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904" cy="736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1CB4" w:rsidRPr="00411CB4" w:rsidRDefault="00411CB4" w:rsidP="00411CB4">
    <w:pPr>
      <w:pStyle w:val="Header"/>
      <w:contextualSpacing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EE4"/>
    <w:multiLevelType w:val="hybridMultilevel"/>
    <w:tmpl w:val="66B6C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3895"/>
    <w:multiLevelType w:val="hybridMultilevel"/>
    <w:tmpl w:val="ED52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16EA"/>
    <w:multiLevelType w:val="hybridMultilevel"/>
    <w:tmpl w:val="89200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76591"/>
    <w:multiLevelType w:val="hybridMultilevel"/>
    <w:tmpl w:val="8390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65DF8"/>
    <w:multiLevelType w:val="hybridMultilevel"/>
    <w:tmpl w:val="7CFE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74F7B"/>
    <w:multiLevelType w:val="hybridMultilevel"/>
    <w:tmpl w:val="E7A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02649"/>
    <w:multiLevelType w:val="hybridMultilevel"/>
    <w:tmpl w:val="11CE6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838B4"/>
    <w:multiLevelType w:val="hybridMultilevel"/>
    <w:tmpl w:val="1232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6754F"/>
    <w:multiLevelType w:val="hybridMultilevel"/>
    <w:tmpl w:val="4A4E2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5164F"/>
    <w:multiLevelType w:val="hybridMultilevel"/>
    <w:tmpl w:val="F098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D63E1A"/>
    <w:multiLevelType w:val="hybridMultilevel"/>
    <w:tmpl w:val="8D26795C"/>
    <w:lvl w:ilvl="0" w:tplc="CAF49FB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70D6D"/>
    <w:multiLevelType w:val="hybridMultilevel"/>
    <w:tmpl w:val="6F3EFB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E0E59"/>
    <w:multiLevelType w:val="hybridMultilevel"/>
    <w:tmpl w:val="30CEB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6343F"/>
    <w:multiLevelType w:val="hybridMultilevel"/>
    <w:tmpl w:val="3C723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267A"/>
    <w:multiLevelType w:val="hybridMultilevel"/>
    <w:tmpl w:val="D7B60590"/>
    <w:lvl w:ilvl="0" w:tplc="EA24E88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C2627"/>
    <w:multiLevelType w:val="hybridMultilevel"/>
    <w:tmpl w:val="A2122BB0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A350A"/>
    <w:rsid w:val="000159BA"/>
    <w:rsid w:val="00041249"/>
    <w:rsid w:val="00057D4F"/>
    <w:rsid w:val="00094149"/>
    <w:rsid w:val="000B077C"/>
    <w:rsid w:val="00105A4F"/>
    <w:rsid w:val="00160758"/>
    <w:rsid w:val="00210D81"/>
    <w:rsid w:val="002D6992"/>
    <w:rsid w:val="00303F53"/>
    <w:rsid w:val="003754B9"/>
    <w:rsid w:val="0038574A"/>
    <w:rsid w:val="00390F35"/>
    <w:rsid w:val="003912A4"/>
    <w:rsid w:val="00407E18"/>
    <w:rsid w:val="004102F0"/>
    <w:rsid w:val="00411CB4"/>
    <w:rsid w:val="00415A36"/>
    <w:rsid w:val="004657B5"/>
    <w:rsid w:val="00486E11"/>
    <w:rsid w:val="00494DDD"/>
    <w:rsid w:val="004D0B43"/>
    <w:rsid w:val="005542D2"/>
    <w:rsid w:val="00581EAA"/>
    <w:rsid w:val="00596EB0"/>
    <w:rsid w:val="005B521B"/>
    <w:rsid w:val="005D3744"/>
    <w:rsid w:val="0067371D"/>
    <w:rsid w:val="006828DC"/>
    <w:rsid w:val="00713B5C"/>
    <w:rsid w:val="007447BA"/>
    <w:rsid w:val="00795213"/>
    <w:rsid w:val="00801B8F"/>
    <w:rsid w:val="008172C7"/>
    <w:rsid w:val="008324C6"/>
    <w:rsid w:val="00833A6C"/>
    <w:rsid w:val="008406BA"/>
    <w:rsid w:val="0085386A"/>
    <w:rsid w:val="00855061"/>
    <w:rsid w:val="00881CAD"/>
    <w:rsid w:val="008A3287"/>
    <w:rsid w:val="008F1FD9"/>
    <w:rsid w:val="00931631"/>
    <w:rsid w:val="00934C8F"/>
    <w:rsid w:val="00943B8C"/>
    <w:rsid w:val="009B7C27"/>
    <w:rsid w:val="00A40352"/>
    <w:rsid w:val="00A84902"/>
    <w:rsid w:val="00AD27CE"/>
    <w:rsid w:val="00AF31B5"/>
    <w:rsid w:val="00B926B0"/>
    <w:rsid w:val="00BB6CF3"/>
    <w:rsid w:val="00BC0BC7"/>
    <w:rsid w:val="00BF6B4C"/>
    <w:rsid w:val="00C0192B"/>
    <w:rsid w:val="00C3029B"/>
    <w:rsid w:val="00C570B2"/>
    <w:rsid w:val="00D44853"/>
    <w:rsid w:val="00D721B4"/>
    <w:rsid w:val="00DA350A"/>
    <w:rsid w:val="00DA4E8A"/>
    <w:rsid w:val="00DA5B55"/>
    <w:rsid w:val="00E5723A"/>
    <w:rsid w:val="00E94069"/>
    <w:rsid w:val="00EF0EFD"/>
    <w:rsid w:val="00F2447C"/>
    <w:rsid w:val="00F67EA0"/>
    <w:rsid w:val="00F7173D"/>
    <w:rsid w:val="00FA31B3"/>
    <w:rsid w:val="00FB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8F"/>
  </w:style>
  <w:style w:type="paragraph" w:styleId="Footer">
    <w:name w:val="footer"/>
    <w:basedOn w:val="Normal"/>
    <w:link w:val="FooterChar"/>
    <w:uiPriority w:val="99"/>
    <w:unhideWhenUsed/>
    <w:rsid w:val="00801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8F"/>
  </w:style>
  <w:style w:type="character" w:styleId="Hyperlink">
    <w:name w:val="Hyperlink"/>
    <w:basedOn w:val="DefaultParagraphFont"/>
    <w:uiPriority w:val="99"/>
    <w:unhideWhenUsed/>
    <w:rsid w:val="00596E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openxmlformats.org/officeDocument/2006/relationships/customXml" Target="../customXml/item1.xml"/>
  <Relationship Id="rId14" Type="http://schemas.openxmlformats.org/officeDocument/2006/relationships/customXml" Target="../customXml/item2.xml"/>
  <Relationship Id="rId15" Type="http://schemas.openxmlformats.org/officeDocument/2006/relationships/customXml" Target="../customXml/item3.xml"/>
  <Relationship Id="rId16" Type="http://schemas.openxmlformats.org/officeDocument/2006/relationships/customXml" Target="../customXml/item4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essa@doe.mass.edu"/>
  <Relationship Id="rId8" Type="http://schemas.openxmlformats.org/officeDocument/2006/relationships/hyperlink" TargetMode="External" Target="http://DESE.ESSA.sgizmo.com/s3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DESE-231-29147</_dlc_DocId>
    <_dlc_DocIdUrl xmlns="733efe1c-5bbe-4968-87dc-d400e65c879f">
      <Url>https://sharepoint.doemass.org/ese/webteam/cps/_layouts/DocIdRedir.aspx?ID=DESE-231-29147</Url>
      <Description>DESE-231-29147</Description>
    </_dlc_DocIdUrl>
  </documentManagement>
</p:properties>
</file>

<file path=customXml/itemProps1.xml><?xml version="1.0" encoding="utf-8"?>
<ds:datastoreItem xmlns:ds="http://schemas.openxmlformats.org/officeDocument/2006/customXml" ds:itemID="{2815B162-A241-4FE7-AC0D-9C4605AEE82E}"/>
</file>

<file path=customXml/itemProps2.xml><?xml version="1.0" encoding="utf-8"?>
<ds:datastoreItem xmlns:ds="http://schemas.openxmlformats.org/officeDocument/2006/customXml" ds:itemID="{38FFD572-47C5-46FF-90C0-B3CB08D471BD}"/>
</file>

<file path=customXml/itemProps3.xml><?xml version="1.0" encoding="utf-8"?>
<ds:datastoreItem xmlns:ds="http://schemas.openxmlformats.org/officeDocument/2006/customXml" ds:itemID="{29CFB415-A793-49E5-BBE8-27CC6191F3BE}"/>
</file>

<file path=customXml/itemProps4.xml><?xml version="1.0" encoding="utf-8"?>
<ds:datastoreItem xmlns:ds="http://schemas.openxmlformats.org/officeDocument/2006/customXml" ds:itemID="{F253E9F9-0C42-40BF-A7B5-E7F4EEB18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2016-11-01T19:03:00Z</dcterms:created>
  <dc:creator>ma ese</dc:creator>
  <lastModifiedBy>ema</lastModifiedBy>
  <lastPrinted>2016-10-21T16:16:00Z</lastPrinted>
  <dcterms:modified xsi:type="dcterms:W3CDTF">2016-11-01T19:03:00Z</dcterms:modified>
  <revision>2</revision>
  <dc:title>MA ESSA Transition Overview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64bc6804-e18d-43e6-86db-f4af3b9af315</vt:lpwstr>
  </property>
</Properties>
</file>