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1CBC" w14:textId="7648AA7A" w:rsidR="00356BC6" w:rsidRDefault="00C63E7C" w:rsidP="00C004F4">
      <w:pPr>
        <w:spacing w:after="0" w:line="240" w:lineRule="auto"/>
        <w:rPr>
          <w:b/>
          <w:bCs/>
          <w:noProof/>
          <w:color w:val="1F497D" w:themeColor="text2"/>
          <w:sz w:val="32"/>
          <w:szCs w:val="32"/>
        </w:rPr>
      </w:pPr>
      <w:r>
        <w:rPr>
          <w:noProof/>
          <w:sz w:val="36"/>
          <w:szCs w:val="36"/>
        </w:rPr>
        <mc:AlternateContent>
          <mc:Choice Requires="wps">
            <w:drawing>
              <wp:anchor distT="0" distB="0" distL="114300" distR="114300" simplePos="0" relativeHeight="251671552" behindDoc="0" locked="0" layoutInCell="1" allowOverlap="1" wp14:anchorId="73C41E53" wp14:editId="5C163C9E">
                <wp:simplePos x="0" y="0"/>
                <wp:positionH relativeFrom="margin">
                  <wp:posOffset>-41910</wp:posOffset>
                </wp:positionH>
                <wp:positionV relativeFrom="paragraph">
                  <wp:posOffset>41910</wp:posOffset>
                </wp:positionV>
                <wp:extent cx="5038725" cy="704850"/>
                <wp:effectExtent l="38100" t="38100" r="104775" b="114300"/>
                <wp:wrapNone/>
                <wp:docPr id="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04850"/>
                        </a:xfrm>
                        <a:prstGeom prst="rect">
                          <a:avLst/>
                        </a:prstGeom>
                        <a:solidFill>
                          <a:schemeClr val="bg1">
                            <a:lumMod val="95000"/>
                          </a:schemeClr>
                        </a:solidFill>
                        <a:ln w="3175">
                          <a:solidFill>
                            <a:schemeClr val="tx1"/>
                          </a:solidFill>
                          <a:miter lim="800000"/>
                          <a:headEnd/>
                          <a:tailEnd/>
                        </a:ln>
                        <a:effectLst>
                          <a:outerShdw blurRad="50800" dist="38100" dir="2700000" algn="tl" rotWithShape="0">
                            <a:schemeClr val="tx1">
                              <a:alpha val="17000"/>
                            </a:schemeClr>
                          </a:outerShdw>
                        </a:effectLst>
                      </wps:spPr>
                      <wps:txbx>
                        <w:txbxContent>
                          <w:p w14:paraId="73369A03" w14:textId="20726B99" w:rsidR="00C63E7C" w:rsidRDefault="00C63E7C" w:rsidP="000304CD">
                            <w:pPr>
                              <w:spacing w:after="0" w:line="240" w:lineRule="auto"/>
                              <w:rPr>
                                <w:b/>
                                <w:color w:val="1F497D" w:themeColor="text2"/>
                                <w:sz w:val="32"/>
                                <w:szCs w:val="32"/>
                              </w:rPr>
                            </w:pPr>
                            <w:r w:rsidRPr="00442EC6">
                              <w:rPr>
                                <w:b/>
                                <w:sz w:val="10"/>
                                <w:szCs w:val="12"/>
                                <w14:shadow w14:blurRad="50800" w14:dist="50800" w14:dir="5400000" w14:sx="0" w14:sy="0" w14:kx="0" w14:ky="0" w14:algn="ctr">
                                  <w14:srgbClr w14:val="FFC000"/>
                                </w14:shadow>
                              </w:rPr>
                              <w:br/>
                            </w:r>
                            <w:r w:rsidRPr="00CE3968">
                              <w:rPr>
                                <w:b/>
                                <w:bCs/>
                                <w:noProof/>
                                <w:color w:val="1F497D" w:themeColor="text2"/>
                                <w:sz w:val="32"/>
                                <w:szCs w:val="32"/>
                              </w:rPr>
                              <w:t>Davis-Bacon</w:t>
                            </w:r>
                            <w:r w:rsidRPr="000304CD">
                              <w:rPr>
                                <w:b/>
                                <w:bCs/>
                                <w:noProof/>
                                <w:color w:val="1F497D" w:themeColor="text2"/>
                              </w:rPr>
                              <w:t xml:space="preserve"> </w:t>
                            </w:r>
                            <w:r w:rsidRPr="00CE3968">
                              <w:rPr>
                                <w:b/>
                                <w:bCs/>
                                <w:noProof/>
                                <w:color w:val="1F497D" w:themeColor="text2"/>
                                <w:sz w:val="32"/>
                                <w:szCs w:val="32"/>
                              </w:rPr>
                              <w:t xml:space="preserve">Prevailing Wage </w:t>
                            </w:r>
                            <w:r>
                              <w:rPr>
                                <w:b/>
                                <w:bCs/>
                                <w:noProof/>
                                <w:color w:val="1F497D" w:themeColor="text2"/>
                                <w:sz w:val="32"/>
                                <w:szCs w:val="32"/>
                              </w:rPr>
                              <w:t>L</w:t>
                            </w:r>
                            <w:r w:rsidRPr="00CE3968">
                              <w:rPr>
                                <w:b/>
                                <w:bCs/>
                                <w:noProof/>
                                <w:color w:val="1F497D" w:themeColor="text2"/>
                                <w:sz w:val="32"/>
                                <w:szCs w:val="32"/>
                              </w:rPr>
                              <w:t>aw</w:t>
                            </w:r>
                            <w:r>
                              <w:rPr>
                                <w:b/>
                                <w:bCs/>
                                <w:noProof/>
                                <w:color w:val="1F497D" w:themeColor="text2"/>
                                <w:sz w:val="32"/>
                                <w:szCs w:val="32"/>
                              </w:rPr>
                              <w:t xml:space="preserve"> and Federal Grants</w:t>
                            </w:r>
                            <w:r>
                              <w:rPr>
                                <w:b/>
                                <w:color w:val="1F497D" w:themeColor="text2"/>
                                <w:sz w:val="32"/>
                                <w:szCs w:val="32"/>
                              </w:rPr>
                              <w:t>:</w:t>
                            </w:r>
                          </w:p>
                          <w:p w14:paraId="3F493E70" w14:textId="10BF5CD4" w:rsidR="00C63E7C" w:rsidRDefault="00C63E7C" w:rsidP="00C63E7C">
                            <w:pPr>
                              <w:spacing w:after="0" w:line="240" w:lineRule="auto"/>
                              <w:rPr>
                                <w:b/>
                                <w:color w:val="1F497D" w:themeColor="text2"/>
                                <w:sz w:val="32"/>
                                <w:szCs w:val="32"/>
                              </w:rPr>
                            </w:pPr>
                            <w:r w:rsidRPr="009B412E">
                              <w:rPr>
                                <w:b/>
                                <w:color w:val="1F497D" w:themeColor="text2"/>
                                <w:sz w:val="32"/>
                                <w:szCs w:val="32"/>
                              </w:rPr>
                              <w:t>Quick Reference Guide</w:t>
                            </w:r>
                          </w:p>
                          <w:p w14:paraId="7A773CBB" w14:textId="77ED3124" w:rsidR="00C63E7C" w:rsidRPr="00442EC6" w:rsidRDefault="00C63E7C" w:rsidP="00C63E7C">
                            <w:pPr>
                              <w:spacing w:after="0" w:line="240" w:lineRule="auto"/>
                              <w:rPr>
                                <w:bCs/>
                                <w:szCs w:val="24"/>
                                <w14:shadow w14:blurRad="50800" w14:dist="50800" w14:dir="5400000" w14:sx="0" w14:sy="0" w14:kx="0" w14:ky="0" w14:algn="ctr">
                                  <w14:srgbClr w14:val="FFC000"/>
                                </w14:shadow>
                              </w:rPr>
                            </w:pPr>
                          </w:p>
                          <w:p w14:paraId="4B61DA3A" w14:textId="77777777" w:rsidR="00C63E7C" w:rsidRPr="00442EC6" w:rsidRDefault="00C63E7C" w:rsidP="00C63E7C">
                            <w:pPr>
                              <w:spacing w:after="0" w:line="240" w:lineRule="auto"/>
                              <w:rPr>
                                <w:b/>
                                <w:szCs w:val="24"/>
                                <w14:shadow w14:blurRad="50800" w14:dist="50800" w14:dir="5400000" w14:sx="0" w14:sy="0" w14:kx="0" w14:ky="0" w14:algn="ctr">
                                  <w14:srgbClr w14:val="FFC000"/>
                                </w14:shadow>
                              </w:rPr>
                            </w:pPr>
                          </w:p>
                          <w:p w14:paraId="03FDCC80" w14:textId="77777777" w:rsidR="00C63E7C" w:rsidRPr="00442EC6" w:rsidRDefault="00C63E7C" w:rsidP="00C63E7C">
                            <w:pPr>
                              <w:rPr>
                                <w14:shadow w14:blurRad="50800" w14:dist="50800" w14:dir="5400000" w14:sx="0" w14:sy="0" w14:kx="0" w14:ky="0" w14:algn="ctr">
                                  <w14:srgbClr w14:val="FFC000"/>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1E53" id="_x0000_t202" coordsize="21600,21600" o:spt="202" path="m,l,21600r21600,l21600,xe">
                <v:stroke joinstyle="miter"/>
                <v:path gradientshapeok="t" o:connecttype="rect"/>
              </v:shapetype>
              <v:shape id="Text Box 16" o:spid="_x0000_s1026" type="#_x0000_t202" alt="&quot;&quot;" style="position:absolute;margin-left:-3.3pt;margin-top:3.3pt;width:396.75pt;height: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" fillcolor="#f2f2f2 [3052]" strokecolor="black [3213]" strokeweight=".25pt">
                <v:shadow on="t" color="black [3213]" opacity="11141f" origin="-.5,-.5" offset=".74836mm,.74836mm"/>
                <v:textbox>
                  <w:txbxContent>
                    <w:p w14:paraId="73369A03" w14:textId="20726B99" w:rsidR="00C63E7C" w:rsidRDefault="00C63E7C" w:rsidP="000304CD">
                      <w:pPr>
                        <w:spacing w:after="0" w:line="240" w:lineRule="auto"/>
                        <w:rPr>
                          <w:b/>
                          <w:color w:val="1F497D" w:themeColor="text2"/>
                          <w:sz w:val="32"/>
                          <w:szCs w:val="32"/>
                        </w:rPr>
                      </w:pPr>
                      <w:r w:rsidRPr="00442EC6">
                        <w:rPr>
                          <w:b/>
                          <w:sz w:val="10"/>
                          <w:szCs w:val="12"/>
                          <w14:shadow w14:blurRad="50800" w14:dist="50800" w14:dir="5400000" w14:sx="0" w14:sy="0" w14:kx="0" w14:ky="0" w14:algn="ctr">
                            <w14:srgbClr w14:val="FFC000"/>
                          </w14:shadow>
                        </w:rPr>
                        <w:br/>
                      </w:r>
                      <w:r w:rsidRPr="00CE3968">
                        <w:rPr>
                          <w:b/>
                          <w:bCs/>
                          <w:noProof/>
                          <w:color w:val="1F497D" w:themeColor="text2"/>
                          <w:sz w:val="32"/>
                          <w:szCs w:val="32"/>
                        </w:rPr>
                        <w:t>Davis-Bacon</w:t>
                      </w:r>
                      <w:r w:rsidRPr="000304CD">
                        <w:rPr>
                          <w:b/>
                          <w:bCs/>
                          <w:noProof/>
                          <w:color w:val="1F497D" w:themeColor="text2"/>
                        </w:rPr>
                        <w:t xml:space="preserve"> </w:t>
                      </w:r>
                      <w:r w:rsidRPr="00CE3968">
                        <w:rPr>
                          <w:b/>
                          <w:bCs/>
                          <w:noProof/>
                          <w:color w:val="1F497D" w:themeColor="text2"/>
                          <w:sz w:val="32"/>
                          <w:szCs w:val="32"/>
                        </w:rPr>
                        <w:t xml:space="preserve">Prevailing Wage </w:t>
                      </w:r>
                      <w:r>
                        <w:rPr>
                          <w:b/>
                          <w:bCs/>
                          <w:noProof/>
                          <w:color w:val="1F497D" w:themeColor="text2"/>
                          <w:sz w:val="32"/>
                          <w:szCs w:val="32"/>
                        </w:rPr>
                        <w:t>L</w:t>
                      </w:r>
                      <w:r w:rsidRPr="00CE3968">
                        <w:rPr>
                          <w:b/>
                          <w:bCs/>
                          <w:noProof/>
                          <w:color w:val="1F497D" w:themeColor="text2"/>
                          <w:sz w:val="32"/>
                          <w:szCs w:val="32"/>
                        </w:rPr>
                        <w:t>aw</w:t>
                      </w:r>
                      <w:r>
                        <w:rPr>
                          <w:b/>
                          <w:bCs/>
                          <w:noProof/>
                          <w:color w:val="1F497D" w:themeColor="text2"/>
                          <w:sz w:val="32"/>
                          <w:szCs w:val="32"/>
                        </w:rPr>
                        <w:t xml:space="preserve"> and Federal Grants</w:t>
                      </w:r>
                      <w:r>
                        <w:rPr>
                          <w:b/>
                          <w:color w:val="1F497D" w:themeColor="text2"/>
                          <w:sz w:val="32"/>
                          <w:szCs w:val="32"/>
                        </w:rPr>
                        <w:t>:</w:t>
                      </w:r>
                    </w:p>
                    <w:p w14:paraId="3F493E70" w14:textId="10BF5CD4" w:rsidR="00C63E7C" w:rsidRDefault="00C63E7C" w:rsidP="00C63E7C">
                      <w:pPr>
                        <w:spacing w:after="0" w:line="240" w:lineRule="auto"/>
                        <w:rPr>
                          <w:b/>
                          <w:color w:val="1F497D" w:themeColor="text2"/>
                          <w:sz w:val="32"/>
                          <w:szCs w:val="32"/>
                        </w:rPr>
                      </w:pPr>
                      <w:r w:rsidRPr="009B412E">
                        <w:rPr>
                          <w:b/>
                          <w:color w:val="1F497D" w:themeColor="text2"/>
                          <w:sz w:val="32"/>
                          <w:szCs w:val="32"/>
                        </w:rPr>
                        <w:t>Quick Reference Guide</w:t>
                      </w:r>
                    </w:p>
                    <w:p w14:paraId="7A773CBB" w14:textId="77ED3124" w:rsidR="00C63E7C" w:rsidRPr="00442EC6" w:rsidRDefault="00C63E7C" w:rsidP="00C63E7C">
                      <w:pPr>
                        <w:spacing w:after="0" w:line="240" w:lineRule="auto"/>
                        <w:rPr>
                          <w:bCs/>
                          <w:szCs w:val="24"/>
                          <w14:shadow w14:blurRad="50800" w14:dist="50800" w14:dir="5400000" w14:sx="0" w14:sy="0" w14:kx="0" w14:ky="0" w14:algn="ctr">
                            <w14:srgbClr w14:val="FFC000"/>
                          </w14:shadow>
                        </w:rPr>
                      </w:pPr>
                    </w:p>
                    <w:p w14:paraId="4B61DA3A" w14:textId="77777777" w:rsidR="00C63E7C" w:rsidRPr="00442EC6" w:rsidRDefault="00C63E7C" w:rsidP="00C63E7C">
                      <w:pPr>
                        <w:spacing w:after="0" w:line="240" w:lineRule="auto"/>
                        <w:rPr>
                          <w:b/>
                          <w:szCs w:val="24"/>
                          <w14:shadow w14:blurRad="50800" w14:dist="50800" w14:dir="5400000" w14:sx="0" w14:sy="0" w14:kx="0" w14:ky="0" w14:algn="ctr">
                            <w14:srgbClr w14:val="FFC000"/>
                          </w14:shadow>
                        </w:rPr>
                      </w:pPr>
                    </w:p>
                    <w:p w14:paraId="03FDCC80" w14:textId="77777777" w:rsidR="00C63E7C" w:rsidRPr="00442EC6" w:rsidRDefault="00C63E7C" w:rsidP="00C63E7C">
                      <w:pPr>
                        <w:rPr>
                          <w14:shadow w14:blurRad="50800" w14:dist="50800" w14:dir="5400000" w14:sx="0" w14:sy="0" w14:kx="0" w14:ky="0" w14:algn="ctr">
                            <w14:srgbClr w14:val="FFC000"/>
                          </w14:shadow>
                        </w:rPr>
                      </w:pPr>
                    </w:p>
                  </w:txbxContent>
                </v:textbox>
                <w10:wrap anchorx="margin"/>
              </v:shape>
            </w:pict>
          </mc:Fallback>
        </mc:AlternateContent>
      </w:r>
      <w:r w:rsidR="00356BC6">
        <w:rPr>
          <w:noProof/>
          <w:color w:val="1F497D" w:themeColor="text2"/>
          <w:sz w:val="32"/>
          <w:szCs w:val="32"/>
        </w:rPr>
        <w:drawing>
          <wp:anchor distT="0" distB="0" distL="114300" distR="114300" simplePos="0" relativeHeight="251669504" behindDoc="0" locked="0" layoutInCell="1" allowOverlap="1" wp14:anchorId="2A5A63D4" wp14:editId="4827CDEB">
            <wp:simplePos x="0" y="0"/>
            <wp:positionH relativeFrom="margin">
              <wp:posOffset>5391150</wp:posOffset>
            </wp:positionH>
            <wp:positionV relativeFrom="paragraph">
              <wp:posOffset>9525</wp:posOffset>
            </wp:positionV>
            <wp:extent cx="1368920" cy="818257"/>
            <wp:effectExtent l="0" t="0" r="3175" b="1270"/>
            <wp:wrapNone/>
            <wp:docPr id="5" name="Picture 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457" cy="8227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F6377" w14:textId="74388755" w:rsidR="00C63E7C" w:rsidRDefault="00C63E7C" w:rsidP="00C004F4">
      <w:pPr>
        <w:spacing w:after="0" w:line="240" w:lineRule="auto"/>
        <w:rPr>
          <w:b/>
          <w:color w:val="1F497D" w:themeColor="text2"/>
          <w:sz w:val="32"/>
          <w:szCs w:val="32"/>
        </w:rPr>
      </w:pPr>
    </w:p>
    <w:p w14:paraId="159CF564" w14:textId="4A13D7C0" w:rsidR="00C63E7C" w:rsidRPr="009B412E" w:rsidRDefault="00C63E7C" w:rsidP="00C004F4">
      <w:pPr>
        <w:spacing w:after="0" w:line="240" w:lineRule="auto"/>
        <w:rPr>
          <w:b/>
          <w:color w:val="1F497D" w:themeColor="text2"/>
          <w:sz w:val="32"/>
          <w:szCs w:val="32"/>
        </w:rPr>
      </w:pPr>
    </w:p>
    <w:p w14:paraId="2ADEB4FB" w14:textId="41DC329F" w:rsidR="0042798F" w:rsidRPr="005326F9" w:rsidRDefault="0042798F" w:rsidP="0042798F">
      <w:pPr>
        <w:spacing w:after="0" w:line="240" w:lineRule="auto"/>
        <w:rPr>
          <w:b/>
          <w:sz w:val="20"/>
          <w:szCs w:val="20"/>
        </w:rPr>
      </w:pPr>
    </w:p>
    <w:p w14:paraId="6ED06C33" w14:textId="695EDB9A" w:rsidR="004B0059" w:rsidRPr="00B773DC" w:rsidRDefault="004B0059" w:rsidP="00C26368">
      <w:pPr>
        <w:spacing w:after="0" w:line="240" w:lineRule="auto"/>
        <w:rPr>
          <w:b/>
          <w:color w:val="1F497D" w:themeColor="text2"/>
          <w:sz w:val="24"/>
          <w:szCs w:val="20"/>
        </w:rPr>
      </w:pPr>
      <w:r w:rsidRPr="00B773DC">
        <w:rPr>
          <w:b/>
          <w:color w:val="1F497D" w:themeColor="text2"/>
          <w:sz w:val="24"/>
          <w:szCs w:val="20"/>
        </w:rPr>
        <w:t>Reminder: Davis-Bacon Prevailing Wage law applies to all facilities contracts more than $2,000 paid in whole or in part with federal grant dollars (except IVAQ</w:t>
      </w:r>
      <w:r w:rsidR="00EA0C63">
        <w:rPr>
          <w:b/>
          <w:color w:val="1F497D" w:themeColor="text2"/>
          <w:sz w:val="24"/>
          <w:szCs w:val="20"/>
        </w:rPr>
        <w:t xml:space="preserve"> FC 209</w:t>
      </w:r>
      <w:r w:rsidRPr="00B773DC">
        <w:rPr>
          <w:b/>
          <w:color w:val="1F497D" w:themeColor="text2"/>
          <w:sz w:val="24"/>
          <w:szCs w:val="20"/>
        </w:rPr>
        <w:t>)</w:t>
      </w:r>
    </w:p>
    <w:p w14:paraId="246945BB" w14:textId="77777777" w:rsidR="004B0059" w:rsidRPr="004B0059" w:rsidRDefault="004B0059" w:rsidP="00C26368">
      <w:pPr>
        <w:spacing w:after="0" w:line="240" w:lineRule="auto"/>
        <w:rPr>
          <w:b/>
          <w:sz w:val="12"/>
          <w:szCs w:val="12"/>
        </w:rPr>
      </w:pPr>
    </w:p>
    <w:p w14:paraId="74F2E75E" w14:textId="5F749DF6" w:rsidR="00A54CC7" w:rsidRDefault="00C26368" w:rsidP="00C26368">
      <w:pPr>
        <w:spacing w:after="0" w:line="240" w:lineRule="auto"/>
        <w:rPr>
          <w:bCs/>
        </w:rPr>
      </w:pPr>
      <w:r w:rsidRPr="00C26368">
        <w:rPr>
          <w:bCs/>
        </w:rPr>
        <w:t xml:space="preserve">The United States Department of Education recently issued </w:t>
      </w:r>
      <w:hyperlink r:id="rId13" w:history="1">
        <w:r w:rsidRPr="00C26368">
          <w:rPr>
            <w:rStyle w:val="Hyperlink"/>
            <w:rFonts w:cstheme="minorBidi"/>
            <w:bCs/>
          </w:rPr>
          <w:t>an overview</w:t>
        </w:r>
      </w:hyperlink>
      <w:r w:rsidRPr="00C26368">
        <w:rPr>
          <w:bCs/>
        </w:rPr>
        <w:t xml:space="preserve"> on state and district requirements for compliance with Davis-Bacon prevailing wage requirements for facilities projects using federal grant funds. While DESE has obtained an assurance from districts requiring compliance with Davis-Bacon as part of Capital Expenditure forms and provided </w:t>
      </w:r>
      <w:hyperlink r:id="rId14" w:history="1">
        <w:r w:rsidRPr="00C26368">
          <w:rPr>
            <w:rStyle w:val="Hyperlink"/>
            <w:rFonts w:cstheme="minorBidi"/>
            <w:bCs/>
          </w:rPr>
          <w:t>guidance</w:t>
        </w:r>
      </w:hyperlink>
      <w:r w:rsidRPr="00C26368">
        <w:rPr>
          <w:bCs/>
        </w:rPr>
        <w:t xml:space="preserve"> in conjunction with ESSER funds, </w:t>
      </w:r>
      <w:r w:rsidRPr="00D66BE3">
        <w:rPr>
          <w:bCs/>
        </w:rPr>
        <w:t xml:space="preserve">DESE </w:t>
      </w:r>
      <w:r w:rsidR="00751149" w:rsidRPr="00D66BE3">
        <w:rPr>
          <w:bCs/>
        </w:rPr>
        <w:t>may monitor</w:t>
      </w:r>
      <w:r w:rsidRPr="00D66BE3">
        <w:rPr>
          <w:bCs/>
        </w:rPr>
        <w:t xml:space="preserve"> contracts that are and have been</w:t>
      </w:r>
      <w:r w:rsidR="009A04C3" w:rsidRPr="00D66BE3">
        <w:rPr>
          <w:bCs/>
        </w:rPr>
        <w:t xml:space="preserve"> </w:t>
      </w:r>
      <w:r w:rsidRPr="00D66BE3">
        <w:rPr>
          <w:bCs/>
        </w:rPr>
        <w:t xml:space="preserve">presented </w:t>
      </w:r>
      <w:r w:rsidR="00801227" w:rsidRPr="00D66BE3">
        <w:rPr>
          <w:bCs/>
        </w:rPr>
        <w:t xml:space="preserve">as part of the </w:t>
      </w:r>
      <w:r w:rsidRPr="00D66BE3">
        <w:rPr>
          <w:bCs/>
        </w:rPr>
        <w:t xml:space="preserve"> </w:t>
      </w:r>
      <w:r w:rsidR="00801227" w:rsidRPr="00D66BE3">
        <w:rPr>
          <w:bCs/>
        </w:rPr>
        <w:t>final (</w:t>
      </w:r>
      <w:r w:rsidRPr="00D66BE3">
        <w:rPr>
          <w:bCs/>
        </w:rPr>
        <w:t>Step 2</w:t>
      </w:r>
      <w:r w:rsidR="00801227" w:rsidRPr="00D66BE3">
        <w:rPr>
          <w:bCs/>
        </w:rPr>
        <w:t>)</w:t>
      </w:r>
      <w:r w:rsidRPr="00D66BE3">
        <w:rPr>
          <w:bCs/>
        </w:rPr>
        <w:t xml:space="preserve"> approval </w:t>
      </w:r>
      <w:r w:rsidR="00801227" w:rsidRPr="00D66BE3">
        <w:rPr>
          <w:bCs/>
        </w:rPr>
        <w:t xml:space="preserve">process to ensure inclusion of Davis-Bacon </w:t>
      </w:r>
      <w:r w:rsidRPr="00D66BE3">
        <w:rPr>
          <w:bCs/>
        </w:rPr>
        <w:t>provisions</w:t>
      </w:r>
      <w:r w:rsidR="00751149" w:rsidRPr="00D66BE3">
        <w:rPr>
          <w:bCs/>
        </w:rPr>
        <w:t xml:space="preserve"> (but see note below)</w:t>
      </w:r>
      <w:r w:rsidRPr="00D66BE3">
        <w:rPr>
          <w:bCs/>
        </w:rPr>
        <w:t>.</w:t>
      </w:r>
      <w:r w:rsidRPr="00C26368">
        <w:rPr>
          <w:bCs/>
        </w:rPr>
        <w:t xml:space="preserve"> </w:t>
      </w:r>
    </w:p>
    <w:p w14:paraId="79A2C993" w14:textId="77777777" w:rsidR="00A54CC7" w:rsidRPr="00EB00A4" w:rsidRDefault="00A54CC7" w:rsidP="00C26368">
      <w:pPr>
        <w:spacing w:after="0" w:line="240" w:lineRule="auto"/>
        <w:rPr>
          <w:bCs/>
          <w:sz w:val="14"/>
          <w:szCs w:val="14"/>
        </w:rPr>
      </w:pPr>
    </w:p>
    <w:p w14:paraId="507E06B2" w14:textId="5A87B09D" w:rsidR="00DB7242" w:rsidRDefault="00A54CC7" w:rsidP="00C63E7C">
      <w:pPr>
        <w:spacing w:after="0" w:line="240" w:lineRule="auto"/>
        <w:rPr>
          <w:bCs/>
        </w:rPr>
      </w:pPr>
      <w:r>
        <w:rPr>
          <w:bCs/>
        </w:rPr>
        <w:t>DESE</w:t>
      </w:r>
      <w:r w:rsidR="00C26368" w:rsidRPr="00C26368">
        <w:rPr>
          <w:bCs/>
        </w:rPr>
        <w:t xml:space="preserve"> also reserve</w:t>
      </w:r>
      <w:r>
        <w:rPr>
          <w:bCs/>
        </w:rPr>
        <w:t>s</w:t>
      </w:r>
      <w:r w:rsidR="00C26368" w:rsidRPr="00C26368">
        <w:rPr>
          <w:bCs/>
        </w:rPr>
        <w:t xml:space="preserve"> the </w:t>
      </w:r>
      <w:r w:rsidR="00801227">
        <w:rPr>
          <w:bCs/>
        </w:rPr>
        <w:t>option</w:t>
      </w:r>
      <w:r w:rsidR="00C26368" w:rsidRPr="00C26368">
        <w:rPr>
          <w:bCs/>
        </w:rPr>
        <w:t xml:space="preserve"> to request confirmation when final documentation for facilities projects (non</w:t>
      </w:r>
      <w:r w:rsidR="00B0461F">
        <w:rPr>
          <w:bCs/>
        </w:rPr>
        <w:t>-</w:t>
      </w:r>
      <w:r w:rsidR="00C26368" w:rsidRPr="00C26368">
        <w:rPr>
          <w:bCs/>
        </w:rPr>
        <w:t>construction) is submitted. ESSER monitoring may include Davis-Bacon compliance checks as well.</w:t>
      </w:r>
      <w:r w:rsidR="005326F9">
        <w:rPr>
          <w:bCs/>
        </w:rPr>
        <w:t xml:space="preserve">  Finally, </w:t>
      </w:r>
    </w:p>
    <w:p w14:paraId="5E5BBB7D" w14:textId="78894F08" w:rsidR="000304CD" w:rsidRPr="005326F9" w:rsidRDefault="000304CD" w:rsidP="00C63E7C">
      <w:pPr>
        <w:spacing w:after="0" w:line="240" w:lineRule="auto"/>
        <w:rPr>
          <w:sz w:val="12"/>
          <w:szCs w:val="12"/>
        </w:rPr>
      </w:pPr>
    </w:p>
    <w:tbl>
      <w:tblPr>
        <w:tblStyle w:val="MediumShading1-Accent1"/>
        <w:tblW w:w="10880" w:type="dxa"/>
        <w:tblLayout w:type="fixed"/>
        <w:tblLook w:val="04A0" w:firstRow="1" w:lastRow="0" w:firstColumn="1" w:lastColumn="0" w:noHBand="0" w:noVBand="1"/>
        <w:tblCaption w:val="Table of Allowable and Unallowable Costs"/>
      </w:tblPr>
      <w:tblGrid>
        <w:gridCol w:w="10880"/>
      </w:tblGrid>
      <w:tr w:rsidR="00C63E7C" w:rsidRPr="008A468A" w14:paraId="66469A05" w14:textId="77777777" w:rsidTr="00C63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cPr>
          <w:p w14:paraId="621BF9AF" w14:textId="420213CA" w:rsidR="00C63E7C" w:rsidRPr="0092051A" w:rsidRDefault="00C63E7C" w:rsidP="000304CD">
            <w:pPr>
              <w:spacing w:before="40" w:after="40"/>
              <w:jc w:val="center"/>
              <w:rPr>
                <w:sz w:val="24"/>
                <w:szCs w:val="24"/>
              </w:rPr>
            </w:pPr>
            <w:r w:rsidRPr="00C63E7C">
              <w:rPr>
                <w:sz w:val="24"/>
                <w:szCs w:val="20"/>
              </w:rPr>
              <w:t xml:space="preserve">Please be sure to include </w:t>
            </w:r>
            <w:hyperlink r:id="rId15" w:history="1">
              <w:r w:rsidRPr="00C63E7C">
                <w:rPr>
                  <w:rStyle w:val="Hyperlink"/>
                  <w:rFonts w:cstheme="minorBidi"/>
                  <w:color w:val="FFFFFF" w:themeColor="background1"/>
                  <w:sz w:val="24"/>
                  <w:szCs w:val="20"/>
                </w:rPr>
                <w:t>federal (Davis-Bacon) contract provisions</w:t>
              </w:r>
            </w:hyperlink>
            <w:r w:rsidRPr="00C63E7C">
              <w:rPr>
                <w:sz w:val="24"/>
                <w:szCs w:val="20"/>
              </w:rPr>
              <w:t xml:space="preserve"> for prevailing wages for any contract:</w:t>
            </w:r>
          </w:p>
        </w:tc>
      </w:tr>
      <w:tr w:rsidR="00C63E7C" w:rsidRPr="008A468A" w14:paraId="63A0F194" w14:textId="77777777" w:rsidTr="00AA09B1">
        <w:trPr>
          <w:cnfStyle w:val="000000100000" w:firstRow="0" w:lastRow="0" w:firstColumn="0" w:lastColumn="0" w:oddVBand="0" w:evenVBand="0" w:oddHBand="1" w:evenHBand="0" w:firstRowFirstColumn="0" w:firstRowLastColumn="0" w:lastRowFirstColumn="0" w:lastRowLastColumn="0"/>
          <w:trHeight w:val="1627"/>
        </w:trPr>
        <w:tc>
          <w:tcPr>
            <w:cnfStyle w:val="001000000000" w:firstRow="0" w:lastRow="0" w:firstColumn="1" w:lastColumn="0" w:oddVBand="0" w:evenVBand="0" w:oddHBand="0" w:evenHBand="0" w:firstRowFirstColumn="0" w:firstRowLastColumn="0" w:lastRowFirstColumn="0" w:lastRowLastColumn="0"/>
            <w:tcW w:w="10880" w:type="dxa"/>
          </w:tcPr>
          <w:p w14:paraId="3D8F9DCA" w14:textId="77777777" w:rsidR="00C63E7C" w:rsidRPr="00B47769" w:rsidRDefault="00C63E7C" w:rsidP="00644547">
            <w:pPr>
              <w:pStyle w:val="ListParagraph"/>
              <w:spacing w:after="160" w:line="259" w:lineRule="auto"/>
              <w:ind w:left="792"/>
              <w:rPr>
                <w:rFonts w:cstheme="minorHAnsi"/>
                <w:b w:val="0"/>
                <w:bCs w:val="0"/>
                <w:sz w:val="14"/>
                <w:szCs w:val="14"/>
              </w:rPr>
            </w:pPr>
          </w:p>
          <w:p w14:paraId="3374C73F" w14:textId="77777777" w:rsidR="00C63E7C" w:rsidRPr="00C63E7C" w:rsidRDefault="00C63E7C" w:rsidP="00C63E7C">
            <w:pPr>
              <w:pStyle w:val="ListParagraph"/>
              <w:numPr>
                <w:ilvl w:val="0"/>
                <w:numId w:val="42"/>
              </w:numPr>
              <w:spacing w:after="100" w:afterAutospacing="1"/>
              <w:rPr>
                <w:b w:val="0"/>
                <w:bCs w:val="0"/>
              </w:rPr>
            </w:pPr>
            <w:r w:rsidRPr="00C63E7C">
              <w:rPr>
                <w:b w:val="0"/>
                <w:bCs w:val="0"/>
              </w:rPr>
              <w:t>For the construction, alteration, or repair (including painting and decorating) of </w:t>
            </w:r>
            <w:hyperlink r:id="rId16" w:anchor="5.2" w:tgtFrame="_blank" w:history="1">
              <w:r w:rsidRPr="00C63E7C">
                <w:rPr>
                  <w:rStyle w:val="Hyperlink"/>
                  <w:rFonts w:cstheme="minorBidi"/>
                  <w:b w:val="0"/>
                  <w:bCs w:val="0"/>
                </w:rPr>
                <w:t>public buildings or public works</w:t>
              </w:r>
            </w:hyperlink>
            <w:r w:rsidRPr="00C63E7C">
              <w:rPr>
                <w:b w:val="0"/>
                <w:bCs w:val="0"/>
              </w:rPr>
              <w:t xml:space="preserve">, </w:t>
            </w:r>
            <w:r w:rsidRPr="00C63E7C">
              <w:rPr>
                <w:b w:val="0"/>
                <w:bCs w:val="0"/>
                <w:i/>
                <w:iCs/>
              </w:rPr>
              <w:t>and</w:t>
            </w:r>
          </w:p>
          <w:p w14:paraId="17D134A1" w14:textId="77777777" w:rsidR="00C63E7C" w:rsidRPr="00C63E7C" w:rsidRDefault="00C63E7C" w:rsidP="00C63E7C">
            <w:pPr>
              <w:pStyle w:val="ListParagraph"/>
              <w:numPr>
                <w:ilvl w:val="0"/>
                <w:numId w:val="42"/>
              </w:numPr>
              <w:spacing w:before="100" w:beforeAutospacing="1" w:after="100" w:afterAutospacing="1"/>
              <w:rPr>
                <w:b w:val="0"/>
                <w:bCs w:val="0"/>
              </w:rPr>
            </w:pPr>
            <w:r w:rsidRPr="00C63E7C">
              <w:rPr>
                <w:b w:val="0"/>
                <w:bCs w:val="0"/>
              </w:rPr>
              <w:t xml:space="preserve">When the contract amounts to greater than $2,000, </w:t>
            </w:r>
            <w:r w:rsidRPr="00C63E7C">
              <w:rPr>
                <w:b w:val="0"/>
                <w:bCs w:val="0"/>
                <w:i/>
                <w:iCs/>
              </w:rPr>
              <w:t>and</w:t>
            </w:r>
          </w:p>
          <w:p w14:paraId="1835D108" w14:textId="4BF88348" w:rsidR="00C63E7C" w:rsidRPr="00C63E7C" w:rsidRDefault="00C63E7C" w:rsidP="00C63E7C">
            <w:pPr>
              <w:pStyle w:val="ListParagraph"/>
              <w:numPr>
                <w:ilvl w:val="0"/>
                <w:numId w:val="42"/>
              </w:numPr>
              <w:spacing w:before="100" w:beforeAutospacing="1" w:after="100" w:afterAutospacing="1"/>
              <w:rPr>
                <w:b w:val="0"/>
                <w:bCs w:val="0"/>
              </w:rPr>
            </w:pPr>
            <w:r w:rsidRPr="00C63E7C">
              <w:rPr>
                <w:b w:val="0"/>
                <w:bCs w:val="0"/>
              </w:rPr>
              <w:t>The contract is paid in whole or in part using federal grant funds, not including IVAQ (which are not federal education grant funds, so Davis-Bacon does not apply).</w:t>
            </w:r>
          </w:p>
        </w:tc>
      </w:tr>
      <w:tr w:rsidR="00DB7242" w:rsidRPr="008A468A" w14:paraId="66A0FE37" w14:textId="77777777" w:rsidTr="00AA09B1">
        <w:trPr>
          <w:cnfStyle w:val="000000010000" w:firstRow="0" w:lastRow="0" w:firstColumn="0" w:lastColumn="0" w:oddVBand="0" w:evenVBand="0" w:oddHBand="0" w:evenHBand="1" w:firstRowFirstColumn="0" w:firstRowLastColumn="0" w:lastRowFirstColumn="0" w:lastRowLastColumn="0"/>
          <w:trHeight w:val="169"/>
          <w:tblHeader/>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tcPr>
          <w:p w14:paraId="1C363521" w14:textId="65F2747B" w:rsidR="00DB7242" w:rsidRPr="00C63E7C" w:rsidRDefault="00CD6021" w:rsidP="000304CD">
            <w:pPr>
              <w:spacing w:before="40" w:after="40"/>
              <w:jc w:val="center"/>
              <w:rPr>
                <w:color w:val="FFFFFF" w:themeColor="background1"/>
                <w:sz w:val="24"/>
                <w:szCs w:val="24"/>
              </w:rPr>
            </w:pPr>
            <w:r w:rsidRPr="00C63E7C">
              <w:rPr>
                <w:color w:val="FFFFFF" w:themeColor="background1"/>
                <w:sz w:val="24"/>
                <w:szCs w:val="24"/>
              </w:rPr>
              <w:t>Important Reminders about Davis-Bacon and Federal Grants</w:t>
            </w:r>
          </w:p>
        </w:tc>
      </w:tr>
      <w:tr w:rsidR="0001334A" w:rsidRPr="008A468A" w14:paraId="0C138E85" w14:textId="77777777" w:rsidTr="00442EC6">
        <w:trPr>
          <w:cnfStyle w:val="000000100000" w:firstRow="0" w:lastRow="0" w:firstColumn="0" w:lastColumn="0" w:oddVBand="0" w:evenVBand="0" w:oddHBand="1"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10880" w:type="dxa"/>
          </w:tcPr>
          <w:p w14:paraId="4E669204" w14:textId="77777777" w:rsidR="00B47769" w:rsidRPr="00B47769" w:rsidRDefault="00B47769" w:rsidP="00B47769">
            <w:pPr>
              <w:pStyle w:val="ListParagraph"/>
              <w:spacing w:after="160" w:line="259" w:lineRule="auto"/>
              <w:ind w:left="792"/>
              <w:rPr>
                <w:rFonts w:cstheme="minorHAnsi"/>
                <w:b w:val="0"/>
                <w:bCs w:val="0"/>
                <w:sz w:val="14"/>
                <w:szCs w:val="14"/>
              </w:rPr>
            </w:pPr>
          </w:p>
          <w:p w14:paraId="7A21CB1B" w14:textId="71F13AB8" w:rsidR="00B47769" w:rsidRPr="00B47769" w:rsidRDefault="00B47769" w:rsidP="00B47769">
            <w:pPr>
              <w:pStyle w:val="ListParagraph"/>
              <w:numPr>
                <w:ilvl w:val="0"/>
                <w:numId w:val="35"/>
              </w:numPr>
              <w:spacing w:after="160" w:line="259" w:lineRule="auto"/>
              <w:rPr>
                <w:rFonts w:cstheme="minorHAnsi"/>
                <w:b w:val="0"/>
                <w:bCs w:val="0"/>
              </w:rPr>
            </w:pPr>
            <w:r w:rsidRPr="00B47769">
              <w:rPr>
                <w:rFonts w:cstheme="minorHAnsi"/>
                <w:b w:val="0"/>
                <w:bCs w:val="0"/>
              </w:rPr>
              <w:t>Paying prevailing wages under Massachusetts law is not sufficient.</w:t>
            </w:r>
          </w:p>
          <w:p w14:paraId="7D79B25B" w14:textId="77777777" w:rsidR="00B47769" w:rsidRPr="00B47769" w:rsidRDefault="00B47769" w:rsidP="00B47769">
            <w:pPr>
              <w:pStyle w:val="ListParagraph"/>
              <w:numPr>
                <w:ilvl w:val="0"/>
                <w:numId w:val="35"/>
              </w:numPr>
              <w:spacing w:after="160" w:line="259" w:lineRule="auto"/>
              <w:rPr>
                <w:rFonts w:cstheme="minorHAnsi"/>
                <w:b w:val="0"/>
                <w:bCs w:val="0"/>
              </w:rPr>
            </w:pPr>
            <w:r w:rsidRPr="00B47769">
              <w:rPr>
                <w:rFonts w:cstheme="minorHAnsi"/>
                <w:b w:val="0"/>
                <w:bCs w:val="0"/>
              </w:rPr>
              <w:t xml:space="preserve">Where a project receives both federal and state/local funding, the project may be subject to both Davis-Bacon prevailing wage requirements </w:t>
            </w:r>
            <w:r w:rsidRPr="00B47769">
              <w:rPr>
                <w:rFonts w:cstheme="minorHAnsi"/>
                <w:b w:val="0"/>
                <w:bCs w:val="0"/>
                <w:i/>
                <w:iCs/>
              </w:rPr>
              <w:t xml:space="preserve">and </w:t>
            </w:r>
            <w:r w:rsidRPr="00B47769">
              <w:rPr>
                <w:rFonts w:cstheme="minorHAnsi"/>
                <w:b w:val="0"/>
                <w:bCs w:val="0"/>
              </w:rPr>
              <w:t>state or local laws that similarly require payment of prevailing wage rates set by the state or locality.</w:t>
            </w:r>
          </w:p>
          <w:p w14:paraId="40BC4E76" w14:textId="77777777" w:rsidR="00B47769" w:rsidRPr="00B47769" w:rsidRDefault="00B47769" w:rsidP="00B47769">
            <w:pPr>
              <w:pStyle w:val="ListParagraph"/>
              <w:numPr>
                <w:ilvl w:val="0"/>
                <w:numId w:val="35"/>
              </w:numPr>
              <w:spacing w:after="160" w:line="259" w:lineRule="auto"/>
              <w:rPr>
                <w:rFonts w:cstheme="minorHAnsi"/>
                <w:b w:val="0"/>
                <w:bCs w:val="0"/>
              </w:rPr>
            </w:pPr>
            <w:r w:rsidRPr="00B47769">
              <w:rPr>
                <w:rFonts w:cstheme="minorHAnsi"/>
                <w:b w:val="0"/>
                <w:bCs w:val="0"/>
              </w:rPr>
              <w:t>Where both federal and state/local prevailing wage requirements apply, contractors must pay whichever rate is higher for each job classification and meet whichever requirements are more protective of workers.</w:t>
            </w:r>
          </w:p>
          <w:p w14:paraId="131AD305" w14:textId="77777777" w:rsidR="00B47769" w:rsidRPr="00B47769" w:rsidRDefault="00B47769" w:rsidP="00B47769">
            <w:pPr>
              <w:pStyle w:val="ListParagraph"/>
              <w:numPr>
                <w:ilvl w:val="0"/>
                <w:numId w:val="35"/>
              </w:numPr>
              <w:spacing w:after="160" w:line="259" w:lineRule="auto"/>
              <w:rPr>
                <w:rFonts w:cstheme="minorHAnsi"/>
                <w:b w:val="0"/>
                <w:bCs w:val="0"/>
              </w:rPr>
            </w:pPr>
            <w:r w:rsidRPr="00B47769">
              <w:rPr>
                <w:rFonts w:cstheme="minorHAnsi"/>
                <w:b w:val="0"/>
                <w:bCs w:val="0"/>
              </w:rPr>
              <w:t xml:space="preserve">Davis-Bacon prevailing wage rates are set by county and can be found on </w:t>
            </w:r>
            <w:hyperlink r:id="rId17" w:history="1">
              <w:r w:rsidRPr="00B47769">
                <w:rPr>
                  <w:rStyle w:val="Hyperlink"/>
                  <w:rFonts w:cstheme="minorHAnsi"/>
                  <w:b w:val="0"/>
                  <w:bCs w:val="0"/>
                </w:rPr>
                <w:t>https://sam.gov</w:t>
              </w:r>
            </w:hyperlink>
            <w:r w:rsidRPr="00B47769">
              <w:rPr>
                <w:rFonts w:cstheme="minorHAnsi"/>
                <w:b w:val="0"/>
                <w:bCs w:val="0"/>
              </w:rPr>
              <w:t xml:space="preserve"> (see guidance on how to find applicable federal wage rates </w:t>
            </w:r>
            <w:hyperlink r:id="rId18" w:history="1">
              <w:r w:rsidRPr="00B47769">
                <w:rPr>
                  <w:rStyle w:val="Hyperlink"/>
                  <w:rFonts w:cstheme="minorHAnsi"/>
                  <w:b w:val="0"/>
                  <w:bCs w:val="0"/>
                </w:rPr>
                <w:t>here</w:t>
              </w:r>
            </w:hyperlink>
            <w:r w:rsidRPr="00B47769">
              <w:rPr>
                <w:rFonts w:cstheme="minorHAnsi"/>
                <w:b w:val="0"/>
                <w:bCs w:val="0"/>
              </w:rPr>
              <w:t>).</w:t>
            </w:r>
          </w:p>
          <w:p w14:paraId="071E2B9B" w14:textId="77777777" w:rsidR="00B47769" w:rsidRPr="00B47769" w:rsidRDefault="00B47769" w:rsidP="00B47769">
            <w:pPr>
              <w:pStyle w:val="ListParagraph"/>
              <w:numPr>
                <w:ilvl w:val="0"/>
                <w:numId w:val="35"/>
              </w:numPr>
              <w:spacing w:after="160" w:line="259" w:lineRule="auto"/>
              <w:rPr>
                <w:rFonts w:cstheme="minorHAnsi"/>
                <w:b w:val="0"/>
                <w:bCs w:val="0"/>
              </w:rPr>
            </w:pPr>
            <w:r w:rsidRPr="00B47769">
              <w:rPr>
                <w:rFonts w:cstheme="minorHAnsi"/>
                <w:b w:val="0"/>
                <w:bCs w:val="0"/>
              </w:rPr>
              <w:t>Davis-Bacon requires that districts receive certified payroll records weekly and other monitoring of contractors/subcontractors to ensure accurate weekly payment of required wage rates and retention of those records, among other responsibilities.</w:t>
            </w:r>
          </w:p>
          <w:p w14:paraId="0DF506D3" w14:textId="436F1EB2" w:rsidR="0001334A" w:rsidRPr="00121DBD" w:rsidRDefault="0001334A" w:rsidP="00B47769">
            <w:pPr>
              <w:pStyle w:val="ListParagraph"/>
              <w:ind w:left="792"/>
              <w:rPr>
                <w:sz w:val="20"/>
                <w:szCs w:val="20"/>
              </w:rPr>
            </w:pPr>
          </w:p>
        </w:tc>
      </w:tr>
    </w:tbl>
    <w:p w14:paraId="0B6B0A8C" w14:textId="03F39CE3" w:rsidR="00485FD3" w:rsidRPr="00AA09B1" w:rsidRDefault="005326F9" w:rsidP="005326F9">
      <w:pPr>
        <w:rPr>
          <w:b/>
          <w:i/>
          <w:iCs/>
          <w:color w:val="1F497D" w:themeColor="text2"/>
          <w:sz w:val="24"/>
          <w:szCs w:val="28"/>
        </w:rPr>
      </w:pPr>
      <w:r>
        <w:rPr>
          <w:noProof/>
          <w:sz w:val="36"/>
          <w:szCs w:val="36"/>
        </w:rPr>
        <mc:AlternateContent>
          <mc:Choice Requires="wps">
            <w:drawing>
              <wp:anchor distT="0" distB="0" distL="114300" distR="114300" simplePos="0" relativeHeight="251668480" behindDoc="0" locked="0" layoutInCell="1" allowOverlap="1" wp14:anchorId="0846B973" wp14:editId="7727B5B5">
                <wp:simplePos x="0" y="0"/>
                <wp:positionH relativeFrom="margin">
                  <wp:posOffset>-22860</wp:posOffset>
                </wp:positionH>
                <wp:positionV relativeFrom="paragraph">
                  <wp:posOffset>224790</wp:posOffset>
                </wp:positionV>
                <wp:extent cx="6953250" cy="1333500"/>
                <wp:effectExtent l="38100" t="38100" r="114300" b="114300"/>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333500"/>
                        </a:xfrm>
                        <a:prstGeom prst="rect">
                          <a:avLst/>
                        </a:prstGeom>
                        <a:solidFill>
                          <a:schemeClr val="bg1">
                            <a:lumMod val="95000"/>
                          </a:schemeClr>
                        </a:solidFill>
                        <a:ln w="3175">
                          <a:solidFill>
                            <a:srgbClr val="FFC000"/>
                          </a:solidFill>
                          <a:miter lim="800000"/>
                          <a:headEnd/>
                          <a:tailEnd/>
                        </a:ln>
                        <a:effectLst>
                          <a:outerShdw blurRad="50800" dist="38100" dir="2700000" algn="tl" rotWithShape="0">
                            <a:srgbClr val="FFC000">
                              <a:alpha val="40000"/>
                            </a:srgbClr>
                          </a:outerShdw>
                        </a:effectLst>
                      </wps:spPr>
                      <wps:txbx>
                        <w:txbxContent>
                          <w:p w14:paraId="548EAECA" w14:textId="64FDB392" w:rsidR="00485FD3" w:rsidRPr="005326F9" w:rsidRDefault="00557A44" w:rsidP="0008634B">
                            <w:pPr>
                              <w:spacing w:after="0" w:line="240" w:lineRule="auto"/>
                              <w:rPr>
                                <w:b/>
                                <w:sz w:val="20"/>
                                <w14:shadow w14:blurRad="50800" w14:dist="50800" w14:dir="5400000" w14:sx="0" w14:sy="0" w14:kx="0" w14:ky="0" w14:algn="ctr">
                                  <w14:srgbClr w14:val="FFC000"/>
                                </w14:shadow>
                              </w:rPr>
                            </w:pPr>
                            <w:r w:rsidRPr="005326F9">
                              <w:rPr>
                                <w:b/>
                                <w:sz w:val="8"/>
                                <w:szCs w:val="10"/>
                                <w14:shadow w14:blurRad="50800" w14:dist="50800" w14:dir="5400000" w14:sx="0" w14:sy="0" w14:kx="0" w14:ky="0" w14:algn="ctr">
                                  <w14:srgbClr w14:val="FFC000"/>
                                </w14:shadow>
                              </w:rPr>
                              <w:br/>
                            </w:r>
                            <w:r w:rsidR="00485FD3" w:rsidRPr="005326F9">
                              <w:rPr>
                                <w:b/>
                                <w:sz w:val="20"/>
                                <w14:shadow w14:blurRad="50800" w14:dist="50800" w14:dir="5400000" w14:sx="0" w14:sy="0" w14:kx="0" w14:ky="0" w14:algn="ctr">
                                  <w14:srgbClr w14:val="FFC000"/>
                                </w14:shadow>
                              </w:rPr>
                              <w:t>U.S. Department of Labor</w:t>
                            </w:r>
                          </w:p>
                          <w:p w14:paraId="3076EF83" w14:textId="3FF5313B" w:rsidR="00C7748E" w:rsidRPr="005326F9" w:rsidRDefault="00000000" w:rsidP="00C7748E">
                            <w:pPr>
                              <w:pStyle w:val="ListParagraph"/>
                              <w:numPr>
                                <w:ilvl w:val="0"/>
                                <w:numId w:val="39"/>
                              </w:numPr>
                              <w:spacing w:line="240" w:lineRule="auto"/>
                              <w:rPr>
                                <w:bCs/>
                                <w:sz w:val="20"/>
                                <w14:shadow w14:blurRad="50800" w14:dist="50800" w14:dir="5400000" w14:sx="0" w14:sy="0" w14:kx="0" w14:ky="0" w14:algn="ctr">
                                  <w14:srgbClr w14:val="FFC000"/>
                                </w14:shadow>
                              </w:rPr>
                            </w:pPr>
                            <w:hyperlink r:id="rId19" w:history="1">
                              <w:r w:rsidR="00C7748E" w:rsidRPr="005326F9">
                                <w:rPr>
                                  <w:rStyle w:val="Hyperlink"/>
                                  <w:rFonts w:cstheme="minorBidi"/>
                                  <w:bCs/>
                                  <w:sz w:val="20"/>
                                  <w14:shadow w14:blurRad="50800" w14:dist="50800" w14:dir="5400000" w14:sx="0" w14:sy="0" w14:kx="0" w14:ky="0" w14:algn="ctr">
                                    <w14:srgbClr w14:val="FFC000"/>
                                  </w14:shadow>
                                </w:rPr>
                                <w:t>Fact Sheet #66: The Davis-Bacon and Related Acts (DBRA)</w:t>
                              </w:r>
                            </w:hyperlink>
                          </w:p>
                          <w:p w14:paraId="5DCF3554" w14:textId="6B564F8B" w:rsidR="00C7748E" w:rsidRPr="005326F9" w:rsidRDefault="00D541D9" w:rsidP="00C7748E">
                            <w:pPr>
                              <w:pStyle w:val="ListParagraph"/>
                              <w:numPr>
                                <w:ilvl w:val="0"/>
                                <w:numId w:val="39"/>
                              </w:numPr>
                              <w:spacing w:line="240" w:lineRule="auto"/>
                              <w:rPr>
                                <w:rStyle w:val="Hyperlink"/>
                                <w:rFonts w:cstheme="minorBidi"/>
                                <w:bCs/>
                                <w:sz w:val="20"/>
                                <w14:shadow w14:blurRad="50800" w14:dist="50800" w14:dir="5400000" w14:sx="0" w14:sy="0" w14:kx="0" w14:ky="0" w14:algn="ctr">
                                  <w14:srgbClr w14:val="FFC000"/>
                                </w14:shadow>
                              </w:rPr>
                            </w:pPr>
                            <w:r w:rsidRPr="005326F9">
                              <w:rPr>
                                <w:bCs/>
                                <w:sz w:val="20"/>
                                <w14:shadow w14:blurRad="50800" w14:dist="50800" w14:dir="5400000" w14:sx="0" w14:sy="0" w14:kx="0" w14:ky="0" w14:algn="ctr">
                                  <w14:srgbClr w14:val="FFC000"/>
                                </w14:shadow>
                              </w:rPr>
                              <w:fldChar w:fldCharType="begin"/>
                            </w:r>
                            <w:r w:rsidRPr="005326F9">
                              <w:rPr>
                                <w:bCs/>
                                <w:sz w:val="20"/>
                                <w14:shadow w14:blurRad="50800" w14:dist="50800" w14:dir="5400000" w14:sx="0" w14:sy="0" w14:kx="0" w14:ky="0" w14:algn="ctr">
                                  <w14:srgbClr w14:val="FFC000"/>
                                </w14:shadow>
                              </w:rPr>
                              <w:instrText xml:space="preserve"> HYPERLINK "https://www.dol.gov/agencies/whd/government-contracts" </w:instrText>
                            </w:r>
                            <w:r w:rsidRPr="005326F9">
                              <w:rPr>
                                <w:bCs/>
                                <w:sz w:val="20"/>
                                <w14:shadow w14:blurRad="50800" w14:dist="50800" w14:dir="5400000" w14:sx="0" w14:sy="0" w14:kx="0" w14:ky="0" w14:algn="ctr">
                                  <w14:srgbClr w14:val="FFC000"/>
                                </w14:shadow>
                              </w:rPr>
                            </w:r>
                            <w:r w:rsidRPr="005326F9">
                              <w:rPr>
                                <w:bCs/>
                                <w:sz w:val="20"/>
                                <w14:shadow w14:blurRad="50800" w14:dist="50800" w14:dir="5400000" w14:sx="0" w14:sy="0" w14:kx="0" w14:ky="0" w14:algn="ctr">
                                  <w14:srgbClr w14:val="FFC000"/>
                                </w14:shadow>
                              </w:rPr>
                              <w:fldChar w:fldCharType="separate"/>
                            </w:r>
                            <w:r w:rsidR="00C7748E" w:rsidRPr="005326F9">
                              <w:rPr>
                                <w:rStyle w:val="Hyperlink"/>
                                <w:rFonts w:cstheme="minorBidi"/>
                                <w:bCs/>
                                <w:sz w:val="20"/>
                                <w14:shadow w14:blurRad="50800" w14:dist="50800" w14:dir="5400000" w14:sx="0" w14:sy="0" w14:kx="0" w14:ky="0" w14:algn="ctr">
                                  <w14:srgbClr w14:val="FFC000"/>
                                </w14:shadow>
                              </w:rPr>
                              <w:t>Government Contracts Compliance Assistance | U.S. Department of Labor (dol.gov)</w:t>
                            </w:r>
                          </w:p>
                          <w:p w14:paraId="433090EE" w14:textId="5083C780" w:rsidR="00F42397" w:rsidRPr="005326F9" w:rsidRDefault="00D541D9" w:rsidP="00C7748E">
                            <w:pPr>
                              <w:pStyle w:val="ListParagraph"/>
                              <w:numPr>
                                <w:ilvl w:val="0"/>
                                <w:numId w:val="39"/>
                              </w:numPr>
                              <w:spacing w:after="0" w:line="240" w:lineRule="auto"/>
                              <w:rPr>
                                <w:rStyle w:val="Hyperlink"/>
                                <w:rFonts w:cstheme="minorBidi"/>
                                <w:bCs/>
                                <w:sz w:val="20"/>
                                <w14:shadow w14:blurRad="50800" w14:dist="50800" w14:dir="5400000" w14:sx="0" w14:sy="0" w14:kx="0" w14:ky="0" w14:algn="ctr">
                                  <w14:srgbClr w14:val="FFC000"/>
                                </w14:shadow>
                              </w:rPr>
                            </w:pPr>
                            <w:r w:rsidRPr="005326F9">
                              <w:rPr>
                                <w:bCs/>
                                <w:sz w:val="20"/>
                                <w14:shadow w14:blurRad="50800" w14:dist="50800" w14:dir="5400000" w14:sx="0" w14:sy="0" w14:kx="0" w14:ky="0" w14:algn="ctr">
                                  <w14:srgbClr w14:val="FFC000"/>
                                </w14:shadow>
                              </w:rPr>
                              <w:fldChar w:fldCharType="end"/>
                            </w:r>
                            <w:r w:rsidR="0007746A" w:rsidRPr="005326F9">
                              <w:rPr>
                                <w:bCs/>
                                <w:sz w:val="20"/>
                                <w14:shadow w14:blurRad="50800" w14:dist="50800" w14:dir="5400000" w14:sx="0" w14:sy="0" w14:kx="0" w14:ky="0" w14:algn="ctr">
                                  <w14:srgbClr w14:val="FFC000"/>
                                </w14:shadow>
                              </w:rPr>
                              <w:fldChar w:fldCharType="begin"/>
                            </w:r>
                            <w:r w:rsidR="0007746A" w:rsidRPr="005326F9">
                              <w:rPr>
                                <w:bCs/>
                                <w:sz w:val="20"/>
                                <w14:shadow w14:blurRad="50800" w14:dist="50800" w14:dir="5400000" w14:sx="0" w14:sy="0" w14:kx="0" w14:ky="0" w14:algn="ctr">
                                  <w14:srgbClr w14:val="FFC000"/>
                                </w14:shadow>
                              </w:rPr>
                              <w:instrText xml:space="preserve"> HYPERLINK "https://www.dol.gov/agencies/whd/government-contracts/prevailing-wage-resource-book" </w:instrText>
                            </w:r>
                            <w:r w:rsidR="0007746A" w:rsidRPr="005326F9">
                              <w:rPr>
                                <w:bCs/>
                                <w:sz w:val="20"/>
                                <w14:shadow w14:blurRad="50800" w14:dist="50800" w14:dir="5400000" w14:sx="0" w14:sy="0" w14:kx="0" w14:ky="0" w14:algn="ctr">
                                  <w14:srgbClr w14:val="FFC000"/>
                                </w14:shadow>
                              </w:rPr>
                            </w:r>
                            <w:r w:rsidR="0007746A" w:rsidRPr="005326F9">
                              <w:rPr>
                                <w:bCs/>
                                <w:sz w:val="20"/>
                                <w14:shadow w14:blurRad="50800" w14:dist="50800" w14:dir="5400000" w14:sx="0" w14:sy="0" w14:kx="0" w14:ky="0" w14:algn="ctr">
                                  <w14:srgbClr w14:val="FFC000"/>
                                </w14:shadow>
                              </w:rPr>
                              <w:fldChar w:fldCharType="separate"/>
                            </w:r>
                            <w:r w:rsidR="00C7748E" w:rsidRPr="005326F9">
                              <w:rPr>
                                <w:rStyle w:val="Hyperlink"/>
                                <w:rFonts w:cstheme="minorBidi"/>
                                <w:bCs/>
                                <w:sz w:val="20"/>
                                <w14:shadow w14:blurRad="50800" w14:dist="50800" w14:dir="5400000" w14:sx="0" w14:sy="0" w14:kx="0" w14:ky="0" w14:algn="ctr">
                                  <w14:srgbClr w14:val="FFC000"/>
                                </w14:shadow>
                              </w:rPr>
                              <w:t>Prevailing Wage Resource Book May 2015 | U.S. Department of Labor (dol.gov)</w:t>
                            </w:r>
                          </w:p>
                          <w:p w14:paraId="1E0AB233" w14:textId="4017534A" w:rsidR="00F42397" w:rsidRPr="005326F9" w:rsidRDefault="0007746A" w:rsidP="00F42397">
                            <w:pPr>
                              <w:spacing w:after="0" w:line="240" w:lineRule="auto"/>
                              <w:rPr>
                                <w:sz w:val="18"/>
                                <w:szCs w:val="20"/>
                                <w:u w:val="single"/>
                                <w14:shadow w14:blurRad="50800" w14:dist="50800" w14:dir="5400000" w14:sx="0" w14:sy="0" w14:kx="0" w14:ky="0" w14:algn="ctr">
                                  <w14:srgbClr w14:val="FFC000"/>
                                </w14:shadow>
                              </w:rPr>
                            </w:pPr>
                            <w:r w:rsidRPr="005326F9">
                              <w:rPr>
                                <w:bCs/>
                                <w:sz w:val="20"/>
                                <w14:shadow w14:blurRad="50800" w14:dist="50800" w14:dir="5400000" w14:sx="0" w14:sy="0" w14:kx="0" w14:ky="0" w14:algn="ctr">
                                  <w14:srgbClr w14:val="FFC000"/>
                                </w14:shadow>
                              </w:rPr>
                              <w:fldChar w:fldCharType="end"/>
                            </w:r>
                          </w:p>
                          <w:p w14:paraId="2110F799" w14:textId="4C7E22D2" w:rsidR="00F42397" w:rsidRPr="005326F9" w:rsidRDefault="00F42397" w:rsidP="00F42397">
                            <w:pPr>
                              <w:spacing w:after="0" w:line="240" w:lineRule="auto"/>
                              <w:rPr>
                                <w:b/>
                                <w:sz w:val="20"/>
                                <w14:shadow w14:blurRad="50800" w14:dist="50800" w14:dir="5400000" w14:sx="0" w14:sy="0" w14:kx="0" w14:ky="0" w14:algn="ctr">
                                  <w14:srgbClr w14:val="FFC000"/>
                                </w14:shadow>
                              </w:rPr>
                            </w:pPr>
                            <w:r w:rsidRPr="005326F9">
                              <w:rPr>
                                <w:b/>
                                <w:sz w:val="20"/>
                                <w14:shadow w14:blurRad="50800" w14:dist="50800" w14:dir="5400000" w14:sx="0" w14:sy="0" w14:kx="0" w14:ky="0" w14:algn="ctr">
                                  <w14:srgbClr w14:val="FFC000"/>
                                </w14:shadow>
                              </w:rPr>
                              <w:t>U.S. Department of Education</w:t>
                            </w:r>
                          </w:p>
                          <w:p w14:paraId="6ECCE4FC" w14:textId="3C58362D" w:rsidR="00F42397" w:rsidRPr="005326F9" w:rsidRDefault="00000000" w:rsidP="00F42397">
                            <w:pPr>
                              <w:pStyle w:val="ListParagraph"/>
                              <w:numPr>
                                <w:ilvl w:val="0"/>
                                <w:numId w:val="38"/>
                              </w:numPr>
                              <w:spacing w:after="0" w:line="240" w:lineRule="auto"/>
                              <w:rPr>
                                <w:bCs/>
                                <w:sz w:val="20"/>
                                <w14:shadow w14:blurRad="50800" w14:dist="50800" w14:dir="5400000" w14:sx="0" w14:sy="0" w14:kx="0" w14:ky="0" w14:algn="ctr">
                                  <w14:srgbClr w14:val="FFC000"/>
                                </w14:shadow>
                              </w:rPr>
                            </w:pPr>
                            <w:hyperlink r:id="rId20" w:history="1">
                              <w:r w:rsidR="00E62718" w:rsidRPr="005326F9">
                                <w:rPr>
                                  <w:rStyle w:val="Hyperlink"/>
                                  <w:rFonts w:cstheme="minorBidi"/>
                                  <w:bCs/>
                                  <w:sz w:val="20"/>
                                  <w14:shadow w14:blurRad="50800" w14:dist="50800" w14:dir="5400000" w14:sx="0" w14:sy="0" w14:kx="0" w14:ky="0" w14:algn="ctr">
                                    <w14:srgbClr w14:val="FFC000"/>
                                  </w14:shadow>
                                </w:rPr>
                                <w:t>Davis-Bacon Overview (April 26, 2023)</w:t>
                              </w:r>
                            </w:hyperlink>
                          </w:p>
                          <w:p w14:paraId="1A3785DA" w14:textId="77777777" w:rsidR="00F42397" w:rsidRPr="00442EC6" w:rsidRDefault="00F42397" w:rsidP="00F42397">
                            <w:pPr>
                              <w:spacing w:after="0" w:line="240" w:lineRule="auto"/>
                              <w:rPr>
                                <w:b/>
                                <w:szCs w:val="24"/>
                                <w14:shadow w14:blurRad="50800" w14:dist="50800" w14:dir="5400000" w14:sx="0" w14:sy="0" w14:kx="0" w14:ky="0" w14:algn="ctr">
                                  <w14:srgbClr w14:val="FFC000"/>
                                </w14:shadow>
                              </w:rPr>
                            </w:pPr>
                          </w:p>
                          <w:p w14:paraId="3623BC0D" w14:textId="22F7625B" w:rsidR="00294BC2" w:rsidRPr="00442EC6" w:rsidRDefault="00294BC2" w:rsidP="00F42397">
                            <w:pPr>
                              <w:rPr>
                                <w14:shadow w14:blurRad="50800" w14:dist="50800" w14:dir="5400000" w14:sx="0" w14:sy="0" w14:kx="0" w14:ky="0" w14:algn="ctr">
                                  <w14:srgbClr w14:val="FFC000"/>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6B973" id="_x0000_s1027" type="#_x0000_t202" alt="&quot;&quot;" style="position:absolute;margin-left:-1.8pt;margin-top:17.7pt;width:547.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" fillcolor="#f2f2f2 [3052]" strokecolor="#ffc000" strokeweight=".25pt">
                <v:shadow on="t" color="#ffc000" opacity="26214f" origin="-.5,-.5" offset=".74836mm,.74836mm"/>
                <v:textbox>
                  <w:txbxContent>
                    <w:p w14:paraId="548EAECA" w14:textId="64FDB392" w:rsidR="00485FD3" w:rsidRPr="005326F9" w:rsidRDefault="00557A44" w:rsidP="0008634B">
                      <w:pPr>
                        <w:spacing w:after="0" w:line="240" w:lineRule="auto"/>
                        <w:rPr>
                          <w:b/>
                          <w:sz w:val="20"/>
                          <w14:shadow w14:blurRad="50800" w14:dist="50800" w14:dir="5400000" w14:sx="0" w14:sy="0" w14:kx="0" w14:ky="0" w14:algn="ctr">
                            <w14:srgbClr w14:val="FFC000"/>
                          </w14:shadow>
                        </w:rPr>
                      </w:pPr>
                      <w:r w:rsidRPr="005326F9">
                        <w:rPr>
                          <w:b/>
                          <w:sz w:val="8"/>
                          <w:szCs w:val="10"/>
                          <w14:shadow w14:blurRad="50800" w14:dist="50800" w14:dir="5400000" w14:sx="0" w14:sy="0" w14:kx="0" w14:ky="0" w14:algn="ctr">
                            <w14:srgbClr w14:val="FFC000"/>
                          </w14:shadow>
                        </w:rPr>
                        <w:br/>
                      </w:r>
                      <w:r w:rsidR="00485FD3" w:rsidRPr="005326F9">
                        <w:rPr>
                          <w:b/>
                          <w:sz w:val="20"/>
                          <w14:shadow w14:blurRad="50800" w14:dist="50800" w14:dir="5400000" w14:sx="0" w14:sy="0" w14:kx="0" w14:ky="0" w14:algn="ctr">
                            <w14:srgbClr w14:val="FFC000"/>
                          </w14:shadow>
                        </w:rPr>
                        <w:t>U.S. Department of Labor</w:t>
                      </w:r>
                    </w:p>
                    <w:p w14:paraId="3076EF83" w14:textId="3FF5313B" w:rsidR="00C7748E" w:rsidRPr="005326F9" w:rsidRDefault="00000000" w:rsidP="00C7748E">
                      <w:pPr>
                        <w:pStyle w:val="ListParagraph"/>
                        <w:numPr>
                          <w:ilvl w:val="0"/>
                          <w:numId w:val="39"/>
                        </w:numPr>
                        <w:spacing w:line="240" w:lineRule="auto"/>
                        <w:rPr>
                          <w:bCs/>
                          <w:sz w:val="20"/>
                          <w14:shadow w14:blurRad="50800" w14:dist="50800" w14:dir="5400000" w14:sx="0" w14:sy="0" w14:kx="0" w14:ky="0" w14:algn="ctr">
                            <w14:srgbClr w14:val="FFC000"/>
                          </w14:shadow>
                        </w:rPr>
                      </w:pPr>
                      <w:hyperlink r:id="rId21" w:history="1">
                        <w:r w:rsidR="00C7748E" w:rsidRPr="005326F9">
                          <w:rPr>
                            <w:rStyle w:val="Hyperlink"/>
                            <w:rFonts w:cstheme="minorBidi"/>
                            <w:bCs/>
                            <w:sz w:val="20"/>
                            <w14:shadow w14:blurRad="50800" w14:dist="50800" w14:dir="5400000" w14:sx="0" w14:sy="0" w14:kx="0" w14:ky="0" w14:algn="ctr">
                              <w14:srgbClr w14:val="FFC000"/>
                            </w14:shadow>
                          </w:rPr>
                          <w:t>Fact Sheet #66: The Davis-Bacon and Related Acts (DBRA)</w:t>
                        </w:r>
                      </w:hyperlink>
                    </w:p>
                    <w:p w14:paraId="5DCF3554" w14:textId="6B564F8B" w:rsidR="00C7748E" w:rsidRPr="005326F9" w:rsidRDefault="00D541D9" w:rsidP="00C7748E">
                      <w:pPr>
                        <w:pStyle w:val="ListParagraph"/>
                        <w:numPr>
                          <w:ilvl w:val="0"/>
                          <w:numId w:val="39"/>
                        </w:numPr>
                        <w:spacing w:line="240" w:lineRule="auto"/>
                        <w:rPr>
                          <w:rStyle w:val="Hyperlink"/>
                          <w:rFonts w:cstheme="minorBidi"/>
                          <w:bCs/>
                          <w:sz w:val="20"/>
                          <w14:shadow w14:blurRad="50800" w14:dist="50800" w14:dir="5400000" w14:sx="0" w14:sy="0" w14:kx="0" w14:ky="0" w14:algn="ctr">
                            <w14:srgbClr w14:val="FFC000"/>
                          </w14:shadow>
                        </w:rPr>
                      </w:pPr>
                      <w:r w:rsidRPr="005326F9">
                        <w:rPr>
                          <w:bCs/>
                          <w:sz w:val="20"/>
                          <w14:shadow w14:blurRad="50800" w14:dist="50800" w14:dir="5400000" w14:sx="0" w14:sy="0" w14:kx="0" w14:ky="0" w14:algn="ctr">
                            <w14:srgbClr w14:val="FFC000"/>
                          </w14:shadow>
                        </w:rPr>
                        <w:fldChar w:fldCharType="begin"/>
                      </w:r>
                      <w:r w:rsidRPr="005326F9">
                        <w:rPr>
                          <w:bCs/>
                          <w:sz w:val="20"/>
                          <w14:shadow w14:blurRad="50800" w14:dist="50800" w14:dir="5400000" w14:sx="0" w14:sy="0" w14:kx="0" w14:ky="0" w14:algn="ctr">
                            <w14:srgbClr w14:val="FFC000"/>
                          </w14:shadow>
                        </w:rPr>
                        <w:instrText xml:space="preserve"> HYPERLINK "https://www.dol.gov/agencies/whd/government-contracts" </w:instrText>
                      </w:r>
                      <w:r w:rsidRPr="005326F9">
                        <w:rPr>
                          <w:bCs/>
                          <w:sz w:val="20"/>
                          <w14:shadow w14:blurRad="50800" w14:dist="50800" w14:dir="5400000" w14:sx="0" w14:sy="0" w14:kx="0" w14:ky="0" w14:algn="ctr">
                            <w14:srgbClr w14:val="FFC000"/>
                          </w14:shadow>
                        </w:rPr>
                      </w:r>
                      <w:r w:rsidRPr="005326F9">
                        <w:rPr>
                          <w:bCs/>
                          <w:sz w:val="20"/>
                          <w14:shadow w14:blurRad="50800" w14:dist="50800" w14:dir="5400000" w14:sx="0" w14:sy="0" w14:kx="0" w14:ky="0" w14:algn="ctr">
                            <w14:srgbClr w14:val="FFC000"/>
                          </w14:shadow>
                        </w:rPr>
                        <w:fldChar w:fldCharType="separate"/>
                      </w:r>
                      <w:r w:rsidR="00C7748E" w:rsidRPr="005326F9">
                        <w:rPr>
                          <w:rStyle w:val="Hyperlink"/>
                          <w:rFonts w:cstheme="minorBidi"/>
                          <w:bCs/>
                          <w:sz w:val="20"/>
                          <w14:shadow w14:blurRad="50800" w14:dist="50800" w14:dir="5400000" w14:sx="0" w14:sy="0" w14:kx="0" w14:ky="0" w14:algn="ctr">
                            <w14:srgbClr w14:val="FFC000"/>
                          </w14:shadow>
                        </w:rPr>
                        <w:t>Government Contracts Compliance Assistance | U.S. Department of Labor (dol.gov)</w:t>
                      </w:r>
                    </w:p>
                    <w:p w14:paraId="433090EE" w14:textId="5083C780" w:rsidR="00F42397" w:rsidRPr="005326F9" w:rsidRDefault="00D541D9" w:rsidP="00C7748E">
                      <w:pPr>
                        <w:pStyle w:val="ListParagraph"/>
                        <w:numPr>
                          <w:ilvl w:val="0"/>
                          <w:numId w:val="39"/>
                        </w:numPr>
                        <w:spacing w:after="0" w:line="240" w:lineRule="auto"/>
                        <w:rPr>
                          <w:rStyle w:val="Hyperlink"/>
                          <w:rFonts w:cstheme="minorBidi"/>
                          <w:bCs/>
                          <w:sz w:val="20"/>
                          <w14:shadow w14:blurRad="50800" w14:dist="50800" w14:dir="5400000" w14:sx="0" w14:sy="0" w14:kx="0" w14:ky="0" w14:algn="ctr">
                            <w14:srgbClr w14:val="FFC000"/>
                          </w14:shadow>
                        </w:rPr>
                      </w:pPr>
                      <w:r w:rsidRPr="005326F9">
                        <w:rPr>
                          <w:bCs/>
                          <w:sz w:val="20"/>
                          <w14:shadow w14:blurRad="50800" w14:dist="50800" w14:dir="5400000" w14:sx="0" w14:sy="0" w14:kx="0" w14:ky="0" w14:algn="ctr">
                            <w14:srgbClr w14:val="FFC000"/>
                          </w14:shadow>
                        </w:rPr>
                        <w:fldChar w:fldCharType="end"/>
                      </w:r>
                      <w:r w:rsidR="0007746A" w:rsidRPr="005326F9">
                        <w:rPr>
                          <w:bCs/>
                          <w:sz w:val="20"/>
                          <w14:shadow w14:blurRad="50800" w14:dist="50800" w14:dir="5400000" w14:sx="0" w14:sy="0" w14:kx="0" w14:ky="0" w14:algn="ctr">
                            <w14:srgbClr w14:val="FFC000"/>
                          </w14:shadow>
                        </w:rPr>
                        <w:fldChar w:fldCharType="begin"/>
                      </w:r>
                      <w:r w:rsidR="0007746A" w:rsidRPr="005326F9">
                        <w:rPr>
                          <w:bCs/>
                          <w:sz w:val="20"/>
                          <w14:shadow w14:blurRad="50800" w14:dist="50800" w14:dir="5400000" w14:sx="0" w14:sy="0" w14:kx="0" w14:ky="0" w14:algn="ctr">
                            <w14:srgbClr w14:val="FFC000"/>
                          </w14:shadow>
                        </w:rPr>
                        <w:instrText xml:space="preserve"> HYPERLINK "https://www.dol.gov/agencies/whd/government-contracts/prevailing-wage-resource-book" </w:instrText>
                      </w:r>
                      <w:r w:rsidR="0007746A" w:rsidRPr="005326F9">
                        <w:rPr>
                          <w:bCs/>
                          <w:sz w:val="20"/>
                          <w14:shadow w14:blurRad="50800" w14:dist="50800" w14:dir="5400000" w14:sx="0" w14:sy="0" w14:kx="0" w14:ky="0" w14:algn="ctr">
                            <w14:srgbClr w14:val="FFC000"/>
                          </w14:shadow>
                        </w:rPr>
                      </w:r>
                      <w:r w:rsidR="0007746A" w:rsidRPr="005326F9">
                        <w:rPr>
                          <w:bCs/>
                          <w:sz w:val="20"/>
                          <w14:shadow w14:blurRad="50800" w14:dist="50800" w14:dir="5400000" w14:sx="0" w14:sy="0" w14:kx="0" w14:ky="0" w14:algn="ctr">
                            <w14:srgbClr w14:val="FFC000"/>
                          </w14:shadow>
                        </w:rPr>
                        <w:fldChar w:fldCharType="separate"/>
                      </w:r>
                      <w:r w:rsidR="00C7748E" w:rsidRPr="005326F9">
                        <w:rPr>
                          <w:rStyle w:val="Hyperlink"/>
                          <w:rFonts w:cstheme="minorBidi"/>
                          <w:bCs/>
                          <w:sz w:val="20"/>
                          <w14:shadow w14:blurRad="50800" w14:dist="50800" w14:dir="5400000" w14:sx="0" w14:sy="0" w14:kx="0" w14:ky="0" w14:algn="ctr">
                            <w14:srgbClr w14:val="FFC000"/>
                          </w14:shadow>
                        </w:rPr>
                        <w:t>Prevailing Wage Resource Book May 2015 | U.S. Department of Labor (dol.gov)</w:t>
                      </w:r>
                    </w:p>
                    <w:p w14:paraId="1E0AB233" w14:textId="4017534A" w:rsidR="00F42397" w:rsidRPr="005326F9" w:rsidRDefault="0007746A" w:rsidP="00F42397">
                      <w:pPr>
                        <w:spacing w:after="0" w:line="240" w:lineRule="auto"/>
                        <w:rPr>
                          <w:sz w:val="18"/>
                          <w:szCs w:val="20"/>
                          <w:u w:val="single"/>
                          <w14:shadow w14:blurRad="50800" w14:dist="50800" w14:dir="5400000" w14:sx="0" w14:sy="0" w14:kx="0" w14:ky="0" w14:algn="ctr">
                            <w14:srgbClr w14:val="FFC000"/>
                          </w14:shadow>
                        </w:rPr>
                      </w:pPr>
                      <w:r w:rsidRPr="005326F9">
                        <w:rPr>
                          <w:bCs/>
                          <w:sz w:val="20"/>
                          <w14:shadow w14:blurRad="50800" w14:dist="50800" w14:dir="5400000" w14:sx="0" w14:sy="0" w14:kx="0" w14:ky="0" w14:algn="ctr">
                            <w14:srgbClr w14:val="FFC000"/>
                          </w14:shadow>
                        </w:rPr>
                        <w:fldChar w:fldCharType="end"/>
                      </w:r>
                    </w:p>
                    <w:p w14:paraId="2110F799" w14:textId="4C7E22D2" w:rsidR="00F42397" w:rsidRPr="005326F9" w:rsidRDefault="00F42397" w:rsidP="00F42397">
                      <w:pPr>
                        <w:spacing w:after="0" w:line="240" w:lineRule="auto"/>
                        <w:rPr>
                          <w:b/>
                          <w:sz w:val="20"/>
                          <w14:shadow w14:blurRad="50800" w14:dist="50800" w14:dir="5400000" w14:sx="0" w14:sy="0" w14:kx="0" w14:ky="0" w14:algn="ctr">
                            <w14:srgbClr w14:val="FFC000"/>
                          </w14:shadow>
                        </w:rPr>
                      </w:pPr>
                      <w:r w:rsidRPr="005326F9">
                        <w:rPr>
                          <w:b/>
                          <w:sz w:val="20"/>
                          <w14:shadow w14:blurRad="50800" w14:dist="50800" w14:dir="5400000" w14:sx="0" w14:sy="0" w14:kx="0" w14:ky="0" w14:algn="ctr">
                            <w14:srgbClr w14:val="FFC000"/>
                          </w14:shadow>
                        </w:rPr>
                        <w:t>U.S. Department of Education</w:t>
                      </w:r>
                    </w:p>
                    <w:p w14:paraId="6ECCE4FC" w14:textId="3C58362D" w:rsidR="00F42397" w:rsidRPr="005326F9" w:rsidRDefault="00000000" w:rsidP="00F42397">
                      <w:pPr>
                        <w:pStyle w:val="ListParagraph"/>
                        <w:numPr>
                          <w:ilvl w:val="0"/>
                          <w:numId w:val="38"/>
                        </w:numPr>
                        <w:spacing w:after="0" w:line="240" w:lineRule="auto"/>
                        <w:rPr>
                          <w:bCs/>
                          <w:sz w:val="20"/>
                          <w14:shadow w14:blurRad="50800" w14:dist="50800" w14:dir="5400000" w14:sx="0" w14:sy="0" w14:kx="0" w14:ky="0" w14:algn="ctr">
                            <w14:srgbClr w14:val="FFC000"/>
                          </w14:shadow>
                        </w:rPr>
                      </w:pPr>
                      <w:hyperlink r:id="rId22" w:history="1">
                        <w:r w:rsidR="00E62718" w:rsidRPr="005326F9">
                          <w:rPr>
                            <w:rStyle w:val="Hyperlink"/>
                            <w:rFonts w:cstheme="minorBidi"/>
                            <w:bCs/>
                            <w:sz w:val="20"/>
                            <w14:shadow w14:blurRad="50800" w14:dist="50800" w14:dir="5400000" w14:sx="0" w14:sy="0" w14:kx="0" w14:ky="0" w14:algn="ctr">
                              <w14:srgbClr w14:val="FFC000"/>
                            </w14:shadow>
                          </w:rPr>
                          <w:t>Davis-Bacon Overview (April 26, 2023)</w:t>
                        </w:r>
                      </w:hyperlink>
                    </w:p>
                    <w:p w14:paraId="1A3785DA" w14:textId="77777777" w:rsidR="00F42397" w:rsidRPr="00442EC6" w:rsidRDefault="00F42397" w:rsidP="00F42397">
                      <w:pPr>
                        <w:spacing w:after="0" w:line="240" w:lineRule="auto"/>
                        <w:rPr>
                          <w:b/>
                          <w:szCs w:val="24"/>
                          <w14:shadow w14:blurRad="50800" w14:dist="50800" w14:dir="5400000" w14:sx="0" w14:sy="0" w14:kx="0" w14:ky="0" w14:algn="ctr">
                            <w14:srgbClr w14:val="FFC000"/>
                          </w14:shadow>
                        </w:rPr>
                      </w:pPr>
                    </w:p>
                    <w:p w14:paraId="3623BC0D" w14:textId="22F7625B" w:rsidR="00294BC2" w:rsidRPr="00442EC6" w:rsidRDefault="00294BC2" w:rsidP="00F42397">
                      <w:pPr>
                        <w:rPr>
                          <w14:shadow w14:blurRad="50800" w14:dist="50800" w14:dir="5400000" w14:sx="0" w14:sy="0" w14:kx="0" w14:ky="0" w14:algn="ctr">
                            <w14:srgbClr w14:val="FFC000"/>
                          </w14:shadow>
                        </w:rPr>
                      </w:pPr>
                    </w:p>
                  </w:txbxContent>
                </v:textbox>
                <w10:wrap anchorx="margin"/>
              </v:shape>
            </w:pict>
          </mc:Fallback>
        </mc:AlternateContent>
      </w:r>
      <w:r w:rsidR="000A6682" w:rsidRPr="00A54CC7">
        <w:rPr>
          <w:sz w:val="2"/>
          <w:szCs w:val="2"/>
        </w:rPr>
        <w:br/>
      </w:r>
      <w:r w:rsidR="00EB00A4" w:rsidRPr="00AA09B1">
        <w:rPr>
          <w:b/>
          <w:i/>
          <w:iCs/>
          <w:color w:val="1F497D" w:themeColor="text2"/>
          <w:sz w:val="24"/>
          <w:szCs w:val="28"/>
        </w:rPr>
        <w:t xml:space="preserve">Additional </w:t>
      </w:r>
      <w:r w:rsidR="00485FD3" w:rsidRPr="00AA09B1">
        <w:rPr>
          <w:b/>
          <w:i/>
          <w:iCs/>
          <w:color w:val="1F497D" w:themeColor="text2"/>
          <w:sz w:val="24"/>
          <w:szCs w:val="28"/>
        </w:rPr>
        <w:t>Resources</w:t>
      </w:r>
    </w:p>
    <w:p w14:paraId="59E4BEBD" w14:textId="77777777" w:rsidR="008A468A" w:rsidRPr="000D4A11" w:rsidRDefault="008A468A" w:rsidP="000D4A11">
      <w:pPr>
        <w:spacing w:after="0" w:line="240" w:lineRule="auto"/>
        <w:rPr>
          <w:sz w:val="8"/>
          <w:szCs w:val="8"/>
        </w:rPr>
      </w:pPr>
    </w:p>
    <w:sectPr w:rsidR="008A468A" w:rsidRPr="000D4A11" w:rsidSect="00C81366">
      <w:headerReference w:type="default" r:id="rId23"/>
      <w:footerReference w:type="first" r:id="rId24"/>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79B4" w14:textId="77777777" w:rsidR="00C81366" w:rsidRDefault="00C81366" w:rsidP="002123C2">
      <w:pPr>
        <w:spacing w:after="0" w:line="240" w:lineRule="auto"/>
      </w:pPr>
      <w:r>
        <w:separator/>
      </w:r>
    </w:p>
  </w:endnote>
  <w:endnote w:type="continuationSeparator" w:id="0">
    <w:p w14:paraId="08EAD7E4" w14:textId="77777777" w:rsidR="00C81366" w:rsidRDefault="00C81366"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A0A" w14:textId="1D8F8CA5" w:rsidR="005326F9" w:rsidRPr="005326F9" w:rsidRDefault="005326F9" w:rsidP="005326F9">
    <w:pPr>
      <w:spacing w:after="120"/>
      <w:rPr>
        <w:i/>
        <w:iCs/>
        <w:sz w:val="18"/>
        <w:szCs w:val="18"/>
      </w:rPr>
    </w:pPr>
    <w:r w:rsidRPr="005326F9">
      <w:rPr>
        <w:b/>
        <w:bCs/>
        <w:sz w:val="18"/>
        <w:szCs w:val="18"/>
      </w:rPr>
      <w:t>Note:</w:t>
    </w:r>
    <w:r w:rsidRPr="005326F9">
      <w:rPr>
        <w:sz w:val="18"/>
        <w:szCs w:val="18"/>
      </w:rPr>
      <w:t xml:space="preserve">  </w:t>
    </w:r>
    <w:r w:rsidRPr="005326F9">
      <w:rPr>
        <w:i/>
        <w:iCs/>
        <w:sz w:val="18"/>
        <w:szCs w:val="18"/>
      </w:rPr>
      <w:t>Any documents (e.g., contracts, purchase orders, final bid documents) submitted to DESE with Requests for Final approval or as follow-up to a Capital Expenditure approval are being reviewed verify that the scope and cost of the project that was approved as part of the initial budget approval process.  Compliance with all other statutory and regulatory requirements associated with the project remain the responsibility of the district and will be reviewed as part of the monitoring/audit process.</w:t>
    </w:r>
  </w:p>
  <w:p w14:paraId="1A87895B" w14:textId="417822C3" w:rsidR="00047B9A" w:rsidRPr="00BA0F7D" w:rsidRDefault="00047B9A" w:rsidP="00047B9A">
    <w:pPr>
      <w:pStyle w:val="Footer"/>
      <w:rPr>
        <w:color w:val="17365D" w:themeColor="text2" w:themeShade="BF"/>
        <w:sz w:val="20"/>
        <w:szCs w:val="20"/>
      </w:rPr>
    </w:pPr>
    <w:r w:rsidRPr="008E1C10">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r w:rsidR="005326F9">
      <w:rPr>
        <w:rFonts w:cstheme="minorHAnsi"/>
        <w:i/>
        <w:iCs/>
        <w:color w:val="595959" w:themeColor="text1" w:themeTint="A6"/>
        <w:sz w:val="18"/>
        <w:szCs w:val="18"/>
        <w:shd w:val="clear" w:color="auto" w:fill="FFFFFF"/>
      </w:rPr>
      <w:t xml:space="preserve">                                   </w:t>
    </w:r>
    <w:r w:rsidR="005326F9" w:rsidRPr="00BA0F7D">
      <w:rPr>
        <w:color w:val="17365D" w:themeColor="text2" w:themeShade="BF"/>
        <w:sz w:val="20"/>
        <w:szCs w:val="20"/>
      </w:rPr>
      <w:t xml:space="preserve">Updated </w:t>
    </w:r>
    <w:r w:rsidR="00751149" w:rsidRPr="00BA0F7D">
      <w:rPr>
        <w:color w:val="17365D" w:themeColor="text2" w:themeShade="BF"/>
        <w:sz w:val="20"/>
        <w:szCs w:val="20"/>
      </w:rPr>
      <w:t>February 2024</w:t>
    </w:r>
  </w:p>
  <w:p w14:paraId="5F835BAD" w14:textId="77777777" w:rsidR="00047B9A" w:rsidRDefault="0004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C0AE" w14:textId="77777777" w:rsidR="00C81366" w:rsidRDefault="00C81366" w:rsidP="002123C2">
      <w:pPr>
        <w:spacing w:after="0" w:line="240" w:lineRule="auto"/>
      </w:pPr>
      <w:r>
        <w:separator/>
      </w:r>
    </w:p>
  </w:footnote>
  <w:footnote w:type="continuationSeparator" w:id="0">
    <w:p w14:paraId="7ADCE5FC" w14:textId="77777777" w:rsidR="00C81366" w:rsidRDefault="00C81366"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DDE9"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37A"/>
    <w:multiLevelType w:val="hybridMultilevel"/>
    <w:tmpl w:val="F5E6FA74"/>
    <w:lvl w:ilvl="0" w:tplc="CA7C94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12A6"/>
    <w:multiLevelType w:val="hybridMultilevel"/>
    <w:tmpl w:val="54C8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A1738"/>
    <w:multiLevelType w:val="hybridMultilevel"/>
    <w:tmpl w:val="FF282DE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C340D"/>
    <w:multiLevelType w:val="hybridMultilevel"/>
    <w:tmpl w:val="22A8F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F2AD2"/>
    <w:multiLevelType w:val="hybridMultilevel"/>
    <w:tmpl w:val="BAE2EFDE"/>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A0940"/>
    <w:multiLevelType w:val="hybridMultilevel"/>
    <w:tmpl w:val="DB4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60B28"/>
    <w:multiLevelType w:val="hybridMultilevel"/>
    <w:tmpl w:val="3C9CB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B02DC"/>
    <w:multiLevelType w:val="hybridMultilevel"/>
    <w:tmpl w:val="BAE2EF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554E6B"/>
    <w:multiLevelType w:val="hybridMultilevel"/>
    <w:tmpl w:val="70FE267C"/>
    <w:lvl w:ilvl="0" w:tplc="B0C86D8C">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69209FF"/>
    <w:multiLevelType w:val="hybridMultilevel"/>
    <w:tmpl w:val="58344768"/>
    <w:lvl w:ilvl="0" w:tplc="E90ADD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0D7E6E"/>
    <w:multiLevelType w:val="hybridMultilevel"/>
    <w:tmpl w:val="2D34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82BA6"/>
    <w:multiLevelType w:val="hybridMultilevel"/>
    <w:tmpl w:val="B27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14874"/>
    <w:multiLevelType w:val="hybridMultilevel"/>
    <w:tmpl w:val="14B82606"/>
    <w:lvl w:ilvl="0" w:tplc="093CAD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C01DB"/>
    <w:multiLevelType w:val="hybridMultilevel"/>
    <w:tmpl w:val="BAE2EFDE"/>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59333453">
    <w:abstractNumId w:val="27"/>
  </w:num>
  <w:num w:numId="2" w16cid:durableId="1990211935">
    <w:abstractNumId w:val="12"/>
  </w:num>
  <w:num w:numId="3" w16cid:durableId="1754157435">
    <w:abstractNumId w:val="10"/>
  </w:num>
  <w:num w:numId="4" w16cid:durableId="864901731">
    <w:abstractNumId w:val="26"/>
  </w:num>
  <w:num w:numId="5" w16cid:durableId="1621060676">
    <w:abstractNumId w:val="14"/>
  </w:num>
  <w:num w:numId="6" w16cid:durableId="868756979">
    <w:abstractNumId w:val="20"/>
  </w:num>
  <w:num w:numId="7" w16cid:durableId="1844663621">
    <w:abstractNumId w:val="22"/>
  </w:num>
  <w:num w:numId="8" w16cid:durableId="234558321">
    <w:abstractNumId w:val="21"/>
  </w:num>
  <w:num w:numId="9" w16cid:durableId="1357081178">
    <w:abstractNumId w:val="13"/>
  </w:num>
  <w:num w:numId="10" w16cid:durableId="1260142707">
    <w:abstractNumId w:val="29"/>
  </w:num>
  <w:num w:numId="11" w16cid:durableId="478301297">
    <w:abstractNumId w:val="30"/>
  </w:num>
  <w:num w:numId="12" w16cid:durableId="1478184485">
    <w:abstractNumId w:val="37"/>
  </w:num>
  <w:num w:numId="13" w16cid:durableId="216479696">
    <w:abstractNumId w:val="4"/>
  </w:num>
  <w:num w:numId="14" w16cid:durableId="1354189595">
    <w:abstractNumId w:val="9"/>
  </w:num>
  <w:num w:numId="15" w16cid:durableId="1988317126">
    <w:abstractNumId w:val="40"/>
  </w:num>
  <w:num w:numId="16" w16cid:durableId="877087884">
    <w:abstractNumId w:val="38"/>
  </w:num>
  <w:num w:numId="17" w16cid:durableId="2048093623">
    <w:abstractNumId w:val="15"/>
  </w:num>
  <w:num w:numId="18" w16cid:durableId="1586845461">
    <w:abstractNumId w:val="36"/>
  </w:num>
  <w:num w:numId="19" w16cid:durableId="1220484401">
    <w:abstractNumId w:val="23"/>
  </w:num>
  <w:num w:numId="20" w16cid:durableId="12807245">
    <w:abstractNumId w:val="19"/>
  </w:num>
  <w:num w:numId="21" w16cid:durableId="244726472">
    <w:abstractNumId w:val="3"/>
  </w:num>
  <w:num w:numId="22" w16cid:durableId="1789932437">
    <w:abstractNumId w:val="35"/>
  </w:num>
  <w:num w:numId="23" w16cid:durableId="1069419789">
    <w:abstractNumId w:val="39"/>
  </w:num>
  <w:num w:numId="24" w16cid:durableId="1872641556">
    <w:abstractNumId w:val="17"/>
  </w:num>
  <w:num w:numId="25" w16cid:durableId="190731902">
    <w:abstractNumId w:val="6"/>
  </w:num>
  <w:num w:numId="26" w16cid:durableId="335428761">
    <w:abstractNumId w:val="32"/>
  </w:num>
  <w:num w:numId="27" w16cid:durableId="683438707">
    <w:abstractNumId w:val="0"/>
  </w:num>
  <w:num w:numId="28" w16cid:durableId="779910320">
    <w:abstractNumId w:val="5"/>
  </w:num>
  <w:num w:numId="29" w16cid:durableId="395007078">
    <w:abstractNumId w:val="16"/>
  </w:num>
  <w:num w:numId="30" w16cid:durableId="1004481029">
    <w:abstractNumId w:val="8"/>
  </w:num>
  <w:num w:numId="31" w16cid:durableId="885871977">
    <w:abstractNumId w:val="25"/>
  </w:num>
  <w:num w:numId="32" w16cid:durableId="1767652985">
    <w:abstractNumId w:val="34"/>
  </w:num>
  <w:num w:numId="33" w16cid:durableId="1002858114">
    <w:abstractNumId w:val="33"/>
  </w:num>
  <w:num w:numId="34" w16cid:durableId="1131509652">
    <w:abstractNumId w:val="7"/>
  </w:num>
  <w:num w:numId="35" w16cid:durableId="1623265089">
    <w:abstractNumId w:val="2"/>
  </w:num>
  <w:num w:numId="36" w16cid:durableId="1098331559">
    <w:abstractNumId w:val="18"/>
  </w:num>
  <w:num w:numId="37" w16cid:durableId="1340355253">
    <w:abstractNumId w:val="1"/>
  </w:num>
  <w:num w:numId="38" w16cid:durableId="2123726620">
    <w:abstractNumId w:val="31"/>
  </w:num>
  <w:num w:numId="39" w16cid:durableId="923805276">
    <w:abstractNumId w:val="28"/>
  </w:num>
  <w:num w:numId="40" w16cid:durableId="1880507083">
    <w:abstractNumId w:val="24"/>
  </w:num>
  <w:num w:numId="41" w16cid:durableId="171534568">
    <w:abstractNumId w:val="11"/>
  </w:num>
  <w:num w:numId="42" w16cid:durableId="5563538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25F3"/>
    <w:rsid w:val="0001334A"/>
    <w:rsid w:val="0002190C"/>
    <w:rsid w:val="00027545"/>
    <w:rsid w:val="000304CD"/>
    <w:rsid w:val="00032390"/>
    <w:rsid w:val="00043D42"/>
    <w:rsid w:val="00047B9A"/>
    <w:rsid w:val="0005034B"/>
    <w:rsid w:val="00056C3B"/>
    <w:rsid w:val="00056E07"/>
    <w:rsid w:val="00056FFB"/>
    <w:rsid w:val="00076146"/>
    <w:rsid w:val="0007624F"/>
    <w:rsid w:val="0007729A"/>
    <w:rsid w:val="0007746A"/>
    <w:rsid w:val="000808F3"/>
    <w:rsid w:val="0008207E"/>
    <w:rsid w:val="00084041"/>
    <w:rsid w:val="0008634B"/>
    <w:rsid w:val="00086F4E"/>
    <w:rsid w:val="000A1148"/>
    <w:rsid w:val="000A5D6C"/>
    <w:rsid w:val="000A6682"/>
    <w:rsid w:val="000A6A4C"/>
    <w:rsid w:val="000A74D7"/>
    <w:rsid w:val="000B3059"/>
    <w:rsid w:val="000D13F0"/>
    <w:rsid w:val="000D1DAA"/>
    <w:rsid w:val="000D3FCB"/>
    <w:rsid w:val="000D4A11"/>
    <w:rsid w:val="000D4A78"/>
    <w:rsid w:val="000F210C"/>
    <w:rsid w:val="000F6169"/>
    <w:rsid w:val="000F6D88"/>
    <w:rsid w:val="000F7479"/>
    <w:rsid w:val="00104039"/>
    <w:rsid w:val="00104EA9"/>
    <w:rsid w:val="00121DBD"/>
    <w:rsid w:val="0012247C"/>
    <w:rsid w:val="001257AF"/>
    <w:rsid w:val="00137083"/>
    <w:rsid w:val="00141532"/>
    <w:rsid w:val="00142DB2"/>
    <w:rsid w:val="00144928"/>
    <w:rsid w:val="001513A6"/>
    <w:rsid w:val="001574D3"/>
    <w:rsid w:val="00161728"/>
    <w:rsid w:val="00165E28"/>
    <w:rsid w:val="00166240"/>
    <w:rsid w:val="00174313"/>
    <w:rsid w:val="00174E70"/>
    <w:rsid w:val="00175467"/>
    <w:rsid w:val="001860A8"/>
    <w:rsid w:val="00186E2D"/>
    <w:rsid w:val="001A2855"/>
    <w:rsid w:val="001A65B0"/>
    <w:rsid w:val="001B111D"/>
    <w:rsid w:val="001B5AE3"/>
    <w:rsid w:val="001B7438"/>
    <w:rsid w:val="001C5770"/>
    <w:rsid w:val="001C7875"/>
    <w:rsid w:val="001C7A2B"/>
    <w:rsid w:val="001D6DF7"/>
    <w:rsid w:val="001E3706"/>
    <w:rsid w:val="001E4A3B"/>
    <w:rsid w:val="001E7E32"/>
    <w:rsid w:val="001F0C9A"/>
    <w:rsid w:val="001F3EC7"/>
    <w:rsid w:val="00200FAC"/>
    <w:rsid w:val="0020151F"/>
    <w:rsid w:val="00205019"/>
    <w:rsid w:val="0020643D"/>
    <w:rsid w:val="002123C2"/>
    <w:rsid w:val="002251D1"/>
    <w:rsid w:val="002259FC"/>
    <w:rsid w:val="00227D1F"/>
    <w:rsid w:val="0023078B"/>
    <w:rsid w:val="00231D56"/>
    <w:rsid w:val="00231DDF"/>
    <w:rsid w:val="00242546"/>
    <w:rsid w:val="002433E6"/>
    <w:rsid w:val="0024610A"/>
    <w:rsid w:val="00247627"/>
    <w:rsid w:val="00253EA8"/>
    <w:rsid w:val="002636CA"/>
    <w:rsid w:val="00267B36"/>
    <w:rsid w:val="00270A58"/>
    <w:rsid w:val="00271597"/>
    <w:rsid w:val="0028324E"/>
    <w:rsid w:val="00294558"/>
    <w:rsid w:val="00294BC2"/>
    <w:rsid w:val="002A0D06"/>
    <w:rsid w:val="002B205C"/>
    <w:rsid w:val="002D39D2"/>
    <w:rsid w:val="002E041D"/>
    <w:rsid w:val="002E075C"/>
    <w:rsid w:val="002E6CE8"/>
    <w:rsid w:val="002F2AC5"/>
    <w:rsid w:val="002F5E9B"/>
    <w:rsid w:val="00301353"/>
    <w:rsid w:val="003049E7"/>
    <w:rsid w:val="003062C9"/>
    <w:rsid w:val="003102F2"/>
    <w:rsid w:val="003135AE"/>
    <w:rsid w:val="003178E1"/>
    <w:rsid w:val="003250D3"/>
    <w:rsid w:val="00327A5A"/>
    <w:rsid w:val="0033200D"/>
    <w:rsid w:val="00333555"/>
    <w:rsid w:val="0034241C"/>
    <w:rsid w:val="00342FD0"/>
    <w:rsid w:val="003461A7"/>
    <w:rsid w:val="003511BC"/>
    <w:rsid w:val="00356B3D"/>
    <w:rsid w:val="00356BC6"/>
    <w:rsid w:val="0036578E"/>
    <w:rsid w:val="003660A3"/>
    <w:rsid w:val="00380592"/>
    <w:rsid w:val="00382625"/>
    <w:rsid w:val="00383DBC"/>
    <w:rsid w:val="00397260"/>
    <w:rsid w:val="003A02C2"/>
    <w:rsid w:val="003A4C70"/>
    <w:rsid w:val="003A4FB0"/>
    <w:rsid w:val="003A6BCA"/>
    <w:rsid w:val="003A7938"/>
    <w:rsid w:val="003B102C"/>
    <w:rsid w:val="003B2F2B"/>
    <w:rsid w:val="003B6176"/>
    <w:rsid w:val="003D31F2"/>
    <w:rsid w:val="003F5B64"/>
    <w:rsid w:val="003F66FA"/>
    <w:rsid w:val="00400819"/>
    <w:rsid w:val="004012E0"/>
    <w:rsid w:val="004019BB"/>
    <w:rsid w:val="004075DC"/>
    <w:rsid w:val="00407BE0"/>
    <w:rsid w:val="00411DA1"/>
    <w:rsid w:val="00412815"/>
    <w:rsid w:val="0042016C"/>
    <w:rsid w:val="0042154A"/>
    <w:rsid w:val="0042470F"/>
    <w:rsid w:val="0042798F"/>
    <w:rsid w:val="004305CE"/>
    <w:rsid w:val="00432956"/>
    <w:rsid w:val="0043728A"/>
    <w:rsid w:val="00442EC6"/>
    <w:rsid w:val="00447B42"/>
    <w:rsid w:val="00451061"/>
    <w:rsid w:val="00453C71"/>
    <w:rsid w:val="00454167"/>
    <w:rsid w:val="004727F3"/>
    <w:rsid w:val="00477D32"/>
    <w:rsid w:val="00481F37"/>
    <w:rsid w:val="00482610"/>
    <w:rsid w:val="00485676"/>
    <w:rsid w:val="00485FD3"/>
    <w:rsid w:val="004A1C4F"/>
    <w:rsid w:val="004A3319"/>
    <w:rsid w:val="004A4AB3"/>
    <w:rsid w:val="004B0059"/>
    <w:rsid w:val="004B6498"/>
    <w:rsid w:val="004C3776"/>
    <w:rsid w:val="004C7ED5"/>
    <w:rsid w:val="004D1423"/>
    <w:rsid w:val="004E0E81"/>
    <w:rsid w:val="004E1065"/>
    <w:rsid w:val="004F29A0"/>
    <w:rsid w:val="00510D00"/>
    <w:rsid w:val="005206E9"/>
    <w:rsid w:val="005326F9"/>
    <w:rsid w:val="00532791"/>
    <w:rsid w:val="00533551"/>
    <w:rsid w:val="00544235"/>
    <w:rsid w:val="00546B72"/>
    <w:rsid w:val="00547070"/>
    <w:rsid w:val="00547FDF"/>
    <w:rsid w:val="00551669"/>
    <w:rsid w:val="00553323"/>
    <w:rsid w:val="00555745"/>
    <w:rsid w:val="00557A44"/>
    <w:rsid w:val="00564973"/>
    <w:rsid w:val="00570588"/>
    <w:rsid w:val="00577430"/>
    <w:rsid w:val="005857BC"/>
    <w:rsid w:val="005863A1"/>
    <w:rsid w:val="00592B55"/>
    <w:rsid w:val="0059605B"/>
    <w:rsid w:val="00596234"/>
    <w:rsid w:val="00596C87"/>
    <w:rsid w:val="005973CE"/>
    <w:rsid w:val="005B19DA"/>
    <w:rsid w:val="005C23CD"/>
    <w:rsid w:val="005C6C1D"/>
    <w:rsid w:val="005C7CC9"/>
    <w:rsid w:val="005C7D9C"/>
    <w:rsid w:val="005D29B4"/>
    <w:rsid w:val="005D31FE"/>
    <w:rsid w:val="005D7241"/>
    <w:rsid w:val="005F5ECE"/>
    <w:rsid w:val="00601532"/>
    <w:rsid w:val="00621434"/>
    <w:rsid w:val="00623E03"/>
    <w:rsid w:val="00624057"/>
    <w:rsid w:val="00631AA7"/>
    <w:rsid w:val="0063603F"/>
    <w:rsid w:val="00643D1F"/>
    <w:rsid w:val="00644547"/>
    <w:rsid w:val="00654D86"/>
    <w:rsid w:val="006819E3"/>
    <w:rsid w:val="0068601C"/>
    <w:rsid w:val="006A67EF"/>
    <w:rsid w:val="006B390A"/>
    <w:rsid w:val="006B57A1"/>
    <w:rsid w:val="006C09C0"/>
    <w:rsid w:val="006E04FA"/>
    <w:rsid w:val="006E13B5"/>
    <w:rsid w:val="006E781A"/>
    <w:rsid w:val="006F2BB5"/>
    <w:rsid w:val="007025F1"/>
    <w:rsid w:val="00704FE4"/>
    <w:rsid w:val="007131B9"/>
    <w:rsid w:val="00724350"/>
    <w:rsid w:val="00733320"/>
    <w:rsid w:val="007338F6"/>
    <w:rsid w:val="00735A72"/>
    <w:rsid w:val="00737EEC"/>
    <w:rsid w:val="00743799"/>
    <w:rsid w:val="00743F65"/>
    <w:rsid w:val="00744CE8"/>
    <w:rsid w:val="007470EB"/>
    <w:rsid w:val="00747AF9"/>
    <w:rsid w:val="00751149"/>
    <w:rsid w:val="007614D0"/>
    <w:rsid w:val="0077299D"/>
    <w:rsid w:val="00774EB2"/>
    <w:rsid w:val="00783E7A"/>
    <w:rsid w:val="00791FE7"/>
    <w:rsid w:val="007944D2"/>
    <w:rsid w:val="007A481F"/>
    <w:rsid w:val="007B2E02"/>
    <w:rsid w:val="007B48A1"/>
    <w:rsid w:val="007C559C"/>
    <w:rsid w:val="007D7A90"/>
    <w:rsid w:val="007E638A"/>
    <w:rsid w:val="007E7E52"/>
    <w:rsid w:val="00801227"/>
    <w:rsid w:val="008035AF"/>
    <w:rsid w:val="00806391"/>
    <w:rsid w:val="00811F57"/>
    <w:rsid w:val="008135CE"/>
    <w:rsid w:val="00833F0F"/>
    <w:rsid w:val="008365F1"/>
    <w:rsid w:val="00844745"/>
    <w:rsid w:val="00845120"/>
    <w:rsid w:val="008530BF"/>
    <w:rsid w:val="00870464"/>
    <w:rsid w:val="00873D07"/>
    <w:rsid w:val="0087528C"/>
    <w:rsid w:val="008A197C"/>
    <w:rsid w:val="008A316B"/>
    <w:rsid w:val="008A468A"/>
    <w:rsid w:val="008A4FB9"/>
    <w:rsid w:val="008A6BB6"/>
    <w:rsid w:val="008C0CF9"/>
    <w:rsid w:val="008D1003"/>
    <w:rsid w:val="008D5EF6"/>
    <w:rsid w:val="008D6D24"/>
    <w:rsid w:val="008D7359"/>
    <w:rsid w:val="008E0075"/>
    <w:rsid w:val="008E0131"/>
    <w:rsid w:val="008E1C10"/>
    <w:rsid w:val="008E513B"/>
    <w:rsid w:val="00900869"/>
    <w:rsid w:val="00903340"/>
    <w:rsid w:val="00907F9D"/>
    <w:rsid w:val="00910ACA"/>
    <w:rsid w:val="0092051A"/>
    <w:rsid w:val="00924583"/>
    <w:rsid w:val="00926A88"/>
    <w:rsid w:val="0093452A"/>
    <w:rsid w:val="009363EF"/>
    <w:rsid w:val="00940535"/>
    <w:rsid w:val="009421C4"/>
    <w:rsid w:val="00946496"/>
    <w:rsid w:val="009631FB"/>
    <w:rsid w:val="00965002"/>
    <w:rsid w:val="00966D4C"/>
    <w:rsid w:val="00966F5D"/>
    <w:rsid w:val="0097092F"/>
    <w:rsid w:val="00970CC1"/>
    <w:rsid w:val="00971A94"/>
    <w:rsid w:val="00972D90"/>
    <w:rsid w:val="0097445C"/>
    <w:rsid w:val="00974FEB"/>
    <w:rsid w:val="009904CF"/>
    <w:rsid w:val="0099059B"/>
    <w:rsid w:val="0099300D"/>
    <w:rsid w:val="0099504F"/>
    <w:rsid w:val="009A04C3"/>
    <w:rsid w:val="009A0CB7"/>
    <w:rsid w:val="009B412E"/>
    <w:rsid w:val="009B741F"/>
    <w:rsid w:val="009C66D1"/>
    <w:rsid w:val="009D072A"/>
    <w:rsid w:val="009D2D48"/>
    <w:rsid w:val="009D2E8C"/>
    <w:rsid w:val="009D5F80"/>
    <w:rsid w:val="009D7A8A"/>
    <w:rsid w:val="009E493C"/>
    <w:rsid w:val="009F1215"/>
    <w:rsid w:val="009F29B9"/>
    <w:rsid w:val="009F4B90"/>
    <w:rsid w:val="009F512A"/>
    <w:rsid w:val="00A16A10"/>
    <w:rsid w:val="00A225A7"/>
    <w:rsid w:val="00A26FCC"/>
    <w:rsid w:val="00A30D9E"/>
    <w:rsid w:val="00A362B4"/>
    <w:rsid w:val="00A366EB"/>
    <w:rsid w:val="00A3676A"/>
    <w:rsid w:val="00A40D48"/>
    <w:rsid w:val="00A4112A"/>
    <w:rsid w:val="00A4263C"/>
    <w:rsid w:val="00A44FFF"/>
    <w:rsid w:val="00A50D93"/>
    <w:rsid w:val="00A51EDC"/>
    <w:rsid w:val="00A54CC7"/>
    <w:rsid w:val="00A759BC"/>
    <w:rsid w:val="00A81DC5"/>
    <w:rsid w:val="00A85A2F"/>
    <w:rsid w:val="00A94E43"/>
    <w:rsid w:val="00AA09B1"/>
    <w:rsid w:val="00AA1D9B"/>
    <w:rsid w:val="00AB05E3"/>
    <w:rsid w:val="00AC17AA"/>
    <w:rsid w:val="00AC3191"/>
    <w:rsid w:val="00AD1C20"/>
    <w:rsid w:val="00AD5EB7"/>
    <w:rsid w:val="00AE772C"/>
    <w:rsid w:val="00AF11A7"/>
    <w:rsid w:val="00B00277"/>
    <w:rsid w:val="00B005F5"/>
    <w:rsid w:val="00B0461F"/>
    <w:rsid w:val="00B12A87"/>
    <w:rsid w:val="00B13EB9"/>
    <w:rsid w:val="00B15834"/>
    <w:rsid w:val="00B16149"/>
    <w:rsid w:val="00B164B3"/>
    <w:rsid w:val="00B230DE"/>
    <w:rsid w:val="00B34B51"/>
    <w:rsid w:val="00B350F6"/>
    <w:rsid w:val="00B40191"/>
    <w:rsid w:val="00B44902"/>
    <w:rsid w:val="00B4519C"/>
    <w:rsid w:val="00B47769"/>
    <w:rsid w:val="00B5042F"/>
    <w:rsid w:val="00B505C5"/>
    <w:rsid w:val="00B5196C"/>
    <w:rsid w:val="00B554F9"/>
    <w:rsid w:val="00B570C5"/>
    <w:rsid w:val="00B66A3B"/>
    <w:rsid w:val="00B73CEB"/>
    <w:rsid w:val="00B7702D"/>
    <w:rsid w:val="00B773DC"/>
    <w:rsid w:val="00B77C97"/>
    <w:rsid w:val="00B96B60"/>
    <w:rsid w:val="00BA0F7D"/>
    <w:rsid w:val="00BA2479"/>
    <w:rsid w:val="00BA5EA3"/>
    <w:rsid w:val="00BB2195"/>
    <w:rsid w:val="00BB21A0"/>
    <w:rsid w:val="00BC54D4"/>
    <w:rsid w:val="00BC58CE"/>
    <w:rsid w:val="00BD0357"/>
    <w:rsid w:val="00BD0978"/>
    <w:rsid w:val="00BD6FD3"/>
    <w:rsid w:val="00BE26C7"/>
    <w:rsid w:val="00BF2AFB"/>
    <w:rsid w:val="00BF4166"/>
    <w:rsid w:val="00C004F4"/>
    <w:rsid w:val="00C02FD1"/>
    <w:rsid w:val="00C11075"/>
    <w:rsid w:val="00C117FB"/>
    <w:rsid w:val="00C2154C"/>
    <w:rsid w:val="00C26368"/>
    <w:rsid w:val="00C26AE4"/>
    <w:rsid w:val="00C31011"/>
    <w:rsid w:val="00C56E6F"/>
    <w:rsid w:val="00C63E7C"/>
    <w:rsid w:val="00C64A67"/>
    <w:rsid w:val="00C672AE"/>
    <w:rsid w:val="00C7748E"/>
    <w:rsid w:val="00C80D4D"/>
    <w:rsid w:val="00C81366"/>
    <w:rsid w:val="00C83AE6"/>
    <w:rsid w:val="00C85DEB"/>
    <w:rsid w:val="00C91EAE"/>
    <w:rsid w:val="00C944A9"/>
    <w:rsid w:val="00C94931"/>
    <w:rsid w:val="00CA1899"/>
    <w:rsid w:val="00CA3513"/>
    <w:rsid w:val="00CA4D14"/>
    <w:rsid w:val="00CB2B87"/>
    <w:rsid w:val="00CB56EA"/>
    <w:rsid w:val="00CC71BF"/>
    <w:rsid w:val="00CD049D"/>
    <w:rsid w:val="00CD216B"/>
    <w:rsid w:val="00CD6021"/>
    <w:rsid w:val="00CE3968"/>
    <w:rsid w:val="00CE405C"/>
    <w:rsid w:val="00CE6144"/>
    <w:rsid w:val="00CE6D73"/>
    <w:rsid w:val="00CF2E63"/>
    <w:rsid w:val="00CF48CE"/>
    <w:rsid w:val="00CF4C60"/>
    <w:rsid w:val="00CF5678"/>
    <w:rsid w:val="00D0630D"/>
    <w:rsid w:val="00D10F09"/>
    <w:rsid w:val="00D130A8"/>
    <w:rsid w:val="00D16995"/>
    <w:rsid w:val="00D20433"/>
    <w:rsid w:val="00D22302"/>
    <w:rsid w:val="00D279FB"/>
    <w:rsid w:val="00D30875"/>
    <w:rsid w:val="00D44A9D"/>
    <w:rsid w:val="00D45339"/>
    <w:rsid w:val="00D462B0"/>
    <w:rsid w:val="00D50D0E"/>
    <w:rsid w:val="00D541D9"/>
    <w:rsid w:val="00D54287"/>
    <w:rsid w:val="00D659A6"/>
    <w:rsid w:val="00D66BE3"/>
    <w:rsid w:val="00D73ADB"/>
    <w:rsid w:val="00D81055"/>
    <w:rsid w:val="00D86719"/>
    <w:rsid w:val="00D905A0"/>
    <w:rsid w:val="00DA4E55"/>
    <w:rsid w:val="00DA670D"/>
    <w:rsid w:val="00DB1425"/>
    <w:rsid w:val="00DB22A8"/>
    <w:rsid w:val="00DB3F6F"/>
    <w:rsid w:val="00DB4504"/>
    <w:rsid w:val="00DB4B83"/>
    <w:rsid w:val="00DB7242"/>
    <w:rsid w:val="00DB72D3"/>
    <w:rsid w:val="00DC63FB"/>
    <w:rsid w:val="00DD1CB5"/>
    <w:rsid w:val="00DD5C54"/>
    <w:rsid w:val="00DD5E81"/>
    <w:rsid w:val="00DD7467"/>
    <w:rsid w:val="00DE2279"/>
    <w:rsid w:val="00DE35E2"/>
    <w:rsid w:val="00DE6134"/>
    <w:rsid w:val="00DF4F96"/>
    <w:rsid w:val="00DF551B"/>
    <w:rsid w:val="00E02476"/>
    <w:rsid w:val="00E250E1"/>
    <w:rsid w:val="00E26698"/>
    <w:rsid w:val="00E4096A"/>
    <w:rsid w:val="00E47503"/>
    <w:rsid w:val="00E62718"/>
    <w:rsid w:val="00E6280A"/>
    <w:rsid w:val="00E6581A"/>
    <w:rsid w:val="00E703ED"/>
    <w:rsid w:val="00E70C1D"/>
    <w:rsid w:val="00E7306A"/>
    <w:rsid w:val="00E768BF"/>
    <w:rsid w:val="00EA0C63"/>
    <w:rsid w:val="00EA2172"/>
    <w:rsid w:val="00EB00A4"/>
    <w:rsid w:val="00EB3A99"/>
    <w:rsid w:val="00EC0748"/>
    <w:rsid w:val="00EC25E8"/>
    <w:rsid w:val="00EC2EAA"/>
    <w:rsid w:val="00EC342F"/>
    <w:rsid w:val="00EC766A"/>
    <w:rsid w:val="00EC790E"/>
    <w:rsid w:val="00EC7F66"/>
    <w:rsid w:val="00ED00FB"/>
    <w:rsid w:val="00ED57EC"/>
    <w:rsid w:val="00EE3C17"/>
    <w:rsid w:val="00EE7BB0"/>
    <w:rsid w:val="00EF11BB"/>
    <w:rsid w:val="00EF550F"/>
    <w:rsid w:val="00EF56DE"/>
    <w:rsid w:val="00EF5AA2"/>
    <w:rsid w:val="00F02FD1"/>
    <w:rsid w:val="00F05108"/>
    <w:rsid w:val="00F114D6"/>
    <w:rsid w:val="00F1496E"/>
    <w:rsid w:val="00F2601C"/>
    <w:rsid w:val="00F2754F"/>
    <w:rsid w:val="00F31FB8"/>
    <w:rsid w:val="00F416E7"/>
    <w:rsid w:val="00F42397"/>
    <w:rsid w:val="00F53E9D"/>
    <w:rsid w:val="00F71E79"/>
    <w:rsid w:val="00F7421B"/>
    <w:rsid w:val="00F829BC"/>
    <w:rsid w:val="00F82D1B"/>
    <w:rsid w:val="00F95AB8"/>
    <w:rsid w:val="00FA2E43"/>
    <w:rsid w:val="00FA34A8"/>
    <w:rsid w:val="00FB0D62"/>
    <w:rsid w:val="00FB49C0"/>
    <w:rsid w:val="00FD2069"/>
    <w:rsid w:val="00FE38B4"/>
    <w:rsid w:val="00FE782F"/>
    <w:rsid w:val="00FE7B5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8490D"/>
  <w15:docId w15:val="{8D0AF6FF-B8F7-4241-BE30-856B698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C26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898">
      <w:bodyDiv w:val="1"/>
      <w:marLeft w:val="0"/>
      <w:marRight w:val="0"/>
      <w:marTop w:val="0"/>
      <w:marBottom w:val="0"/>
      <w:divBdr>
        <w:top w:val="none" w:sz="0" w:space="0" w:color="auto"/>
        <w:left w:val="none" w:sz="0" w:space="0" w:color="auto"/>
        <w:bottom w:val="none" w:sz="0" w:space="0" w:color="auto"/>
        <w:right w:val="none" w:sz="0" w:space="0" w:color="auto"/>
      </w:divBdr>
    </w:div>
    <w:div w:id="123497489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ese.ed.gov/files/2023/04/Davis-Bacon-Overview-4.26.23.pdf" TargetMode="External"/><Relationship Id="rId18" Type="http://schemas.openxmlformats.org/officeDocument/2006/relationships/hyperlink" Target="https://www.fsd.gov/gsafsd_sp?id=kb_article_view&amp;sysparm_article=KB0038670&amp;sys_kb_id=897f84621b309d5006b09796bc4bcb99&amp;spa=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l.gov/agencies/whd/fact-sheets/66-dbr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am.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29/subtitle-A/part-5" TargetMode="External"/><Relationship Id="rId20" Type="http://schemas.openxmlformats.org/officeDocument/2006/relationships/hyperlink" Target="https://oese.ed.gov/files/2023/04/Davis-Bacon-Overview-4.26.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cfr.gov/current/title-29/section-5.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dol.gov/agencies/whd/fact-sheets/66-dbr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ederalgrants/esser/using-esser-funds.docx" TargetMode="External"/><Relationship Id="rId22" Type="http://schemas.openxmlformats.org/officeDocument/2006/relationships/hyperlink" Target="https://oese.ed.gov/files/2023/04/Davis-Bacon-Overview-4.26.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DESE-231-72030</_dlc_DocId>
    <_dlc_DocIdUrl xmlns="733efe1c-5bbe-4968-87dc-d400e65c879f">
      <Url>https://sharepoint.doemass.org/ese/webteam/cps/_layouts/DocIdRedir.aspx?ID=DESE-231-72030</Url>
      <Description>DESE-231-72030</Description>
    </_dlc_DocIdUrl>
  </documentManagement>
</p:properties>
</file>

<file path=customXml/itemProps1.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2.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3.xml><?xml version="1.0" encoding="utf-8"?>
<ds:datastoreItem xmlns:ds="http://schemas.openxmlformats.org/officeDocument/2006/customXml" ds:itemID="{6A22B02F-E23D-4FCD-8061-CAC9945F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1C329-C205-4D2F-89BD-4391E53B101F}">
  <ds:schemaRefs>
    <ds:schemaRef ds:uri="http://schemas.openxmlformats.org/officeDocument/2006/bibliography"/>
  </ds:schemaRefs>
</ds:datastoreItem>
</file>

<file path=customXml/itemProps5.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Davis-Beacon and Federal Grants QRG</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Davis-Bacon and Federal Grants QRG</dc:title>
  <dc:subject/>
  <dc:creator>DESE</dc:creator>
  <cp:keywords/>
  <dc:description/>
  <cp:lastModifiedBy>Zou, Dong (EOE)</cp:lastModifiedBy>
  <cp:revision>4</cp:revision>
  <cp:lastPrinted>2018-03-08T18:31:00Z</cp:lastPrinted>
  <dcterms:created xsi:type="dcterms:W3CDTF">2024-02-27T16:05:00Z</dcterms:created>
  <dcterms:modified xsi:type="dcterms:W3CDTF">2024-02-28T16:45:00Z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