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F95DF" w14:textId="77777777" w:rsidR="00AF1E62" w:rsidRPr="00AF1E62" w:rsidRDefault="00AF1E62" w:rsidP="00BE4BE7">
      <w:pPr>
        <w:pStyle w:val="Heading1"/>
      </w:pPr>
      <w:bookmarkStart w:id="0" w:name="_GoBack"/>
      <w:bookmarkEnd w:id="0"/>
    </w:p>
    <w:p w14:paraId="6CB564A6" w14:textId="2F8118A6" w:rsidR="0007724C" w:rsidRDefault="0007724C">
      <w:pPr>
        <w:pStyle w:val="Heading2"/>
        <w:ind w:right="-90" w:hanging="90"/>
        <w:rPr>
          <w:rFonts w:ascii="Arial" w:hAnsi="Arial" w:cs="Arial"/>
        </w:rPr>
      </w:pPr>
      <w:r w:rsidRPr="00525120">
        <w:rPr>
          <w:rFonts w:ascii="Arial" w:hAnsi="Arial" w:cs="Arial"/>
        </w:rPr>
        <w:t>Massachusetts Department of</w:t>
      </w:r>
      <w:r w:rsidR="006D1CBF" w:rsidRPr="00525120">
        <w:rPr>
          <w:rFonts w:ascii="Arial" w:hAnsi="Arial" w:cs="Arial"/>
        </w:rPr>
        <w:t xml:space="preserve"> Elementary and Secondary</w:t>
      </w:r>
      <w:r w:rsidRPr="00525120">
        <w:rPr>
          <w:rFonts w:ascii="Arial" w:hAnsi="Arial" w:cs="Arial"/>
        </w:rPr>
        <w:t xml:space="preserve"> Education   </w:t>
      </w:r>
      <w:r w:rsidR="00F54D5C" w:rsidRPr="00525120">
        <w:rPr>
          <w:rFonts w:ascii="Arial" w:hAnsi="Arial" w:cs="Arial"/>
        </w:rPr>
        <w:t xml:space="preserve">     </w:t>
      </w:r>
      <w:r w:rsidRPr="00525120">
        <w:rPr>
          <w:rFonts w:ascii="Arial" w:hAnsi="Arial" w:cs="Arial"/>
        </w:rPr>
        <w:t xml:space="preserve">          </w:t>
      </w:r>
    </w:p>
    <w:p w14:paraId="05E32FF1" w14:textId="77777777" w:rsidR="0007724C" w:rsidRDefault="0007724C">
      <w:pPr>
        <w:spacing w:before="120"/>
        <w:ind w:hanging="90"/>
        <w:rPr>
          <w:rFonts w:ascii="Arial" w:hAnsi="Arial" w:cs="Arial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366643" w14:paraId="7CAA25BC" w14:textId="77777777" w:rsidTr="00366643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848D5B" w14:textId="77777777" w:rsidR="00366643" w:rsidRDefault="00366643">
            <w:pPr>
              <w:jc w:val="both"/>
              <w:rPr>
                <w:rFonts w:ascii="Arial" w:hAnsi="Arial" w:cs="Arial"/>
              </w:rPr>
            </w:pPr>
          </w:p>
          <w:p w14:paraId="070F9A96" w14:textId="4B2FDB96" w:rsidR="00366643" w:rsidRDefault="00366643" w:rsidP="00366643">
            <w:pPr>
              <w:tabs>
                <w:tab w:val="left" w:pos="133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Name of Funding Opportunity: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CRRSA Act</w:t>
            </w:r>
            <w:r w:rsidRPr="002D3A43">
              <w:rPr>
                <w:rFonts w:ascii="Calibri" w:hAnsi="Calibri" w:cs="Calibri"/>
                <w:bCs/>
                <w:sz w:val="22"/>
                <w:szCs w:val="22"/>
              </w:rPr>
              <w:t xml:space="preserve">: Emergency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Assistance for Non-public Schools </w:t>
            </w:r>
            <w:r w:rsidRPr="002D3A43">
              <w:rPr>
                <w:rFonts w:ascii="Calibri" w:hAnsi="Calibri" w:cs="Calibri"/>
                <w:bCs/>
                <w:sz w:val="22"/>
                <w:szCs w:val="22"/>
              </w:rPr>
              <w:t>(E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AN</w:t>
            </w:r>
            <w:r w:rsidRPr="002D3A43">
              <w:rPr>
                <w:rFonts w:ascii="Calibri" w:hAnsi="Calibri" w:cs="Calibri"/>
                <w:bCs/>
                <w:sz w:val="22"/>
                <w:szCs w:val="22"/>
              </w:rPr>
              <w:t>S)</w:t>
            </w:r>
            <w:r w:rsidRPr="002D3A43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</w:rPr>
              <w:tab/>
            </w:r>
          </w:p>
        </w:tc>
      </w:tr>
    </w:tbl>
    <w:p w14:paraId="267694CF" w14:textId="77777777" w:rsidR="0007724C" w:rsidRDefault="0007724C">
      <w:pPr>
        <w:jc w:val="both"/>
        <w:rPr>
          <w:rFonts w:ascii="Arial" w:hAnsi="Arial" w:cs="Arial"/>
        </w:rPr>
      </w:pPr>
    </w:p>
    <w:p w14:paraId="2E379840" w14:textId="77777777" w:rsidR="0007724C" w:rsidRDefault="0007724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7398"/>
      </w:tblGrid>
      <w:tr w:rsidR="0007724C" w14:paraId="5A204ABA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25D89AEE" w14:textId="77777777" w:rsidR="0007724C" w:rsidRPr="00D60243" w:rsidRDefault="0007724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60243">
              <w:rPr>
                <w:rFonts w:ascii="Calibri" w:hAnsi="Calibri" w:cs="Calibri"/>
                <w:b/>
                <w:sz w:val="22"/>
                <w:szCs w:val="22"/>
              </w:rPr>
              <w:t>Purpose:</w:t>
            </w:r>
          </w:p>
          <w:p w14:paraId="01BC6179" w14:textId="77777777" w:rsidR="0007724C" w:rsidRPr="00D60243" w:rsidRDefault="0007724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14:paraId="7CB97FD2" w14:textId="77777777" w:rsidR="0007724C" w:rsidRDefault="0033672C" w:rsidP="00FA6A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7B11">
              <w:rPr>
                <w:rFonts w:asciiTheme="minorHAnsi" w:hAnsiTheme="minorHAnsi" w:cstheme="minorHAnsi"/>
                <w:sz w:val="22"/>
                <w:szCs w:val="22"/>
              </w:rPr>
              <w:t xml:space="preserve">A component of the </w:t>
            </w:r>
            <w:r w:rsidR="00AB2AB3" w:rsidRPr="008A7B11">
              <w:rPr>
                <w:rFonts w:asciiTheme="minorHAnsi" w:hAnsiTheme="minorHAnsi" w:cstheme="minorHAnsi"/>
                <w:sz w:val="22"/>
                <w:szCs w:val="22"/>
              </w:rPr>
              <w:t>Coronavirus</w:t>
            </w:r>
            <w:r w:rsidRPr="008A7B11">
              <w:rPr>
                <w:rFonts w:asciiTheme="minorHAnsi" w:hAnsiTheme="minorHAnsi" w:cstheme="minorHAnsi"/>
                <w:sz w:val="22"/>
                <w:szCs w:val="22"/>
              </w:rPr>
              <w:t xml:space="preserve"> Response and </w:t>
            </w:r>
            <w:r w:rsidR="00AB2AB3" w:rsidRPr="008A7B11">
              <w:rPr>
                <w:rFonts w:asciiTheme="minorHAnsi" w:hAnsiTheme="minorHAnsi" w:cstheme="minorHAnsi"/>
                <w:sz w:val="22"/>
                <w:szCs w:val="22"/>
              </w:rPr>
              <w:t xml:space="preserve">Relief </w:t>
            </w:r>
            <w:r w:rsidRPr="008A7B11">
              <w:rPr>
                <w:rFonts w:asciiTheme="minorHAnsi" w:hAnsiTheme="minorHAnsi" w:cstheme="minorHAnsi"/>
                <w:sz w:val="22"/>
                <w:szCs w:val="22"/>
              </w:rPr>
              <w:t>Supplemental Appropriations Act</w:t>
            </w:r>
            <w:r w:rsidR="00AB2AB3" w:rsidRPr="008A7B11">
              <w:rPr>
                <w:rFonts w:asciiTheme="minorHAnsi" w:hAnsiTheme="minorHAnsi" w:cstheme="minorHAnsi"/>
                <w:sz w:val="22"/>
                <w:szCs w:val="22"/>
              </w:rPr>
              <w:t xml:space="preserve"> (C</w:t>
            </w:r>
            <w:r w:rsidRPr="008A7B1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AB2AB3" w:rsidRPr="008A7B11">
              <w:rPr>
                <w:rFonts w:asciiTheme="minorHAnsi" w:hAnsiTheme="minorHAnsi" w:cstheme="minorHAnsi"/>
                <w:sz w:val="22"/>
                <w:szCs w:val="22"/>
              </w:rPr>
              <w:t>RS</w:t>
            </w:r>
            <w:r w:rsidRPr="008A7B1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B2AB3" w:rsidRPr="008A7B1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D64175" w:rsidRPr="008A7B1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A7B11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3666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Emergency Assistance </w:t>
            </w:r>
            <w:r w:rsidR="000C6574" w:rsidRPr="00366643">
              <w:rPr>
                <w:rFonts w:asciiTheme="minorHAnsi" w:hAnsiTheme="minorHAnsi" w:cstheme="minorHAnsi"/>
                <w:b/>
                <w:sz w:val="22"/>
                <w:szCs w:val="22"/>
              </w:rPr>
              <w:t>to</w:t>
            </w:r>
            <w:r w:rsidRPr="003666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Non-</w:t>
            </w:r>
            <w:r w:rsidR="000C6574" w:rsidRPr="00366643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366643">
              <w:rPr>
                <w:rFonts w:asciiTheme="minorHAnsi" w:hAnsiTheme="minorHAnsi" w:cstheme="minorHAnsi"/>
                <w:b/>
                <w:sz w:val="22"/>
                <w:szCs w:val="22"/>
              </w:rPr>
              <w:t>ublic Schools (EANS)</w:t>
            </w:r>
            <w:r w:rsidRPr="008A7B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program was created to pr</w:t>
            </w:r>
            <w:r w:rsidR="00AB2AB3" w:rsidRPr="008A7B11">
              <w:rPr>
                <w:rFonts w:asciiTheme="minorHAnsi" w:hAnsiTheme="minorHAnsi" w:cstheme="minorHAnsi"/>
                <w:sz w:val="22"/>
                <w:szCs w:val="22"/>
              </w:rPr>
              <w:t xml:space="preserve">ovide </w:t>
            </w:r>
            <w:r w:rsidR="000C6574" w:rsidRPr="008A7B11">
              <w:rPr>
                <w:rFonts w:asciiTheme="minorHAnsi" w:hAnsiTheme="minorHAnsi" w:cstheme="minorHAnsi"/>
                <w:sz w:val="22"/>
                <w:szCs w:val="22"/>
              </w:rPr>
              <w:t>services or assistance</w:t>
            </w:r>
            <w:r w:rsidR="00AB2AB3" w:rsidRPr="008A7B11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0C6574" w:rsidRPr="008A7B11">
              <w:rPr>
                <w:rFonts w:asciiTheme="minorHAnsi" w:hAnsiTheme="minorHAnsi" w:cstheme="minorHAnsi"/>
                <w:sz w:val="22"/>
                <w:szCs w:val="22"/>
              </w:rPr>
              <w:t xml:space="preserve">non-public </w:t>
            </w:r>
            <w:r w:rsidR="00AB2AB3" w:rsidRPr="008A7B11">
              <w:rPr>
                <w:rFonts w:asciiTheme="minorHAnsi" w:hAnsiTheme="minorHAnsi" w:cstheme="minorHAnsi"/>
                <w:sz w:val="22"/>
                <w:szCs w:val="22"/>
              </w:rPr>
              <w:t>school</w:t>
            </w:r>
            <w:r w:rsidR="000C6574" w:rsidRPr="008A7B1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B2AB3" w:rsidRPr="008A7B11">
              <w:rPr>
                <w:rFonts w:asciiTheme="minorHAnsi" w:hAnsiTheme="minorHAnsi" w:cstheme="minorHAnsi"/>
                <w:sz w:val="22"/>
                <w:szCs w:val="22"/>
              </w:rPr>
              <w:t xml:space="preserve"> to address the impact the </w:t>
            </w:r>
            <w:r w:rsidR="000C6574" w:rsidRPr="008A7B1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AB2AB3" w:rsidRPr="008A7B11">
              <w:rPr>
                <w:rFonts w:asciiTheme="minorHAnsi" w:hAnsiTheme="minorHAnsi" w:cstheme="minorHAnsi"/>
                <w:sz w:val="22"/>
                <w:szCs w:val="22"/>
              </w:rPr>
              <w:t>ovel Coronavirus Disease (COVID-19) has had and continues to have</w:t>
            </w:r>
            <w:r w:rsidR="000C6574" w:rsidRPr="008A7B11">
              <w:rPr>
                <w:rFonts w:asciiTheme="minorHAnsi" w:hAnsiTheme="minorHAnsi" w:cstheme="minorHAnsi"/>
                <w:sz w:val="22"/>
                <w:szCs w:val="22"/>
              </w:rPr>
              <w:t xml:space="preserve"> on the non-public school community.</w:t>
            </w:r>
          </w:p>
          <w:p w14:paraId="32F41D99" w14:textId="28C084F5" w:rsidR="008A7B11" w:rsidRPr="008A7B11" w:rsidRDefault="008A7B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724C" w14:paraId="3802B94B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23DFB1BD" w14:textId="77777777" w:rsidR="0007724C" w:rsidRPr="00D60243" w:rsidRDefault="0007724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60243">
              <w:rPr>
                <w:rFonts w:ascii="Calibri" w:hAnsi="Calibri" w:cs="Calibri"/>
                <w:b/>
                <w:sz w:val="22"/>
                <w:szCs w:val="22"/>
              </w:rPr>
              <w:t>Priorities:</w:t>
            </w:r>
          </w:p>
          <w:p w14:paraId="57B27647" w14:textId="77777777" w:rsidR="0007724C" w:rsidRPr="002D3A43" w:rsidRDefault="000772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14:paraId="4DDA380A" w14:textId="43A34983" w:rsidR="000C6574" w:rsidRPr="008A7B11" w:rsidRDefault="006262C8" w:rsidP="008A7B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7B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</w:t>
            </w:r>
            <w:r w:rsidR="000C6574" w:rsidRPr="008A7B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non-public school receiving services or assistance</w:t>
            </w:r>
            <w:r w:rsidRPr="008A7B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C6574" w:rsidRPr="008A7B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under </w:t>
            </w:r>
            <w:r w:rsidRPr="008A7B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EANS program</w:t>
            </w:r>
            <w:r w:rsidR="000C6574" w:rsidRPr="008A7B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shall use such services or assistance to address educational disruptions resulting</w:t>
            </w:r>
            <w:r w:rsidRPr="008A7B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C6574" w:rsidRPr="008A7B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from the </w:t>
            </w:r>
            <w:r w:rsidRPr="008A7B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COVID-19 </w:t>
            </w:r>
            <w:r w:rsidR="000C6574" w:rsidRPr="008A7B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emergency for</w:t>
            </w:r>
            <w:r w:rsidRPr="008A7B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680468B3" w14:textId="77777777" w:rsidR="008A7B11" w:rsidRDefault="008A7B11" w:rsidP="008A7B1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  <w:p w14:paraId="1483FD45" w14:textId="21B2EB95" w:rsidR="000C6574" w:rsidRPr="008A7B11" w:rsidRDefault="000C6574" w:rsidP="008A7B1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8A7B11">
              <w:rPr>
                <w:rFonts w:asciiTheme="minorHAnsi" w:hAnsiTheme="minorHAnsi" w:cstheme="minorHAnsi"/>
                <w:color w:val="000000"/>
              </w:rPr>
              <w:t>(A) supplies to sanitize, disinfect, and</w:t>
            </w:r>
            <w:r w:rsidR="006262C8" w:rsidRPr="008A7B1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A7B11">
              <w:rPr>
                <w:rFonts w:asciiTheme="minorHAnsi" w:hAnsiTheme="minorHAnsi" w:cstheme="minorHAnsi"/>
                <w:color w:val="000000"/>
              </w:rPr>
              <w:t xml:space="preserve">clean school </w:t>
            </w:r>
            <w:proofErr w:type="gramStart"/>
            <w:r w:rsidRPr="008A7B11">
              <w:rPr>
                <w:rFonts w:asciiTheme="minorHAnsi" w:hAnsiTheme="minorHAnsi" w:cstheme="minorHAnsi"/>
                <w:color w:val="000000"/>
              </w:rPr>
              <w:t>facilities;</w:t>
            </w:r>
            <w:proofErr w:type="gramEnd"/>
          </w:p>
          <w:p w14:paraId="65622082" w14:textId="77777777" w:rsidR="008A7B11" w:rsidRDefault="008A7B11" w:rsidP="008A7B1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  <w:p w14:paraId="2697FB09" w14:textId="0C31965D" w:rsidR="000C6574" w:rsidRPr="008A7B11" w:rsidRDefault="000C6574" w:rsidP="008A7B1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8A7B11">
              <w:rPr>
                <w:rFonts w:asciiTheme="minorHAnsi" w:hAnsiTheme="minorHAnsi" w:cstheme="minorHAnsi"/>
                <w:color w:val="000000"/>
              </w:rPr>
              <w:t xml:space="preserve">(B) personal protective </w:t>
            </w:r>
            <w:proofErr w:type="gramStart"/>
            <w:r w:rsidRPr="008A7B11">
              <w:rPr>
                <w:rFonts w:asciiTheme="minorHAnsi" w:hAnsiTheme="minorHAnsi" w:cstheme="minorHAnsi"/>
                <w:color w:val="000000"/>
              </w:rPr>
              <w:t>equipment;</w:t>
            </w:r>
            <w:proofErr w:type="gramEnd"/>
          </w:p>
          <w:p w14:paraId="33ABFE93" w14:textId="77777777" w:rsidR="008A7B11" w:rsidRDefault="008A7B11" w:rsidP="008A7B1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  <w:p w14:paraId="56C9E997" w14:textId="00861A4F" w:rsidR="000C6574" w:rsidRPr="008A7B11" w:rsidRDefault="000C6574" w:rsidP="008A7B1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8A7B11">
              <w:rPr>
                <w:rFonts w:asciiTheme="minorHAnsi" w:hAnsiTheme="minorHAnsi" w:cstheme="minorHAnsi"/>
                <w:color w:val="000000"/>
              </w:rPr>
              <w:t xml:space="preserve">(C) improving ventilation systems, including windows or portable air purification systems to ensure healthy air in the non-public </w:t>
            </w:r>
            <w:proofErr w:type="gramStart"/>
            <w:r w:rsidRPr="008A7B11">
              <w:rPr>
                <w:rFonts w:asciiTheme="minorHAnsi" w:hAnsiTheme="minorHAnsi" w:cstheme="minorHAnsi"/>
                <w:color w:val="000000"/>
              </w:rPr>
              <w:t>school;</w:t>
            </w:r>
            <w:proofErr w:type="gramEnd"/>
          </w:p>
          <w:p w14:paraId="306B0D36" w14:textId="77777777" w:rsidR="008A7B11" w:rsidRDefault="008A7B11" w:rsidP="008A7B1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  <w:p w14:paraId="432E991E" w14:textId="685217E1" w:rsidR="000C6574" w:rsidRPr="008A7B11" w:rsidRDefault="000C6574" w:rsidP="008A7B1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8A7B11">
              <w:rPr>
                <w:rFonts w:asciiTheme="minorHAnsi" w:hAnsiTheme="minorHAnsi" w:cstheme="minorHAnsi"/>
                <w:color w:val="000000"/>
              </w:rPr>
              <w:t>(D) training and professional development</w:t>
            </w:r>
            <w:r w:rsidR="006262C8" w:rsidRPr="008A7B1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A7B11">
              <w:rPr>
                <w:rFonts w:asciiTheme="minorHAnsi" w:hAnsiTheme="minorHAnsi" w:cstheme="minorHAnsi"/>
                <w:color w:val="000000"/>
              </w:rPr>
              <w:t>for staff on sanitation, the use of personal protective equipment, and minimizing the spread of</w:t>
            </w:r>
            <w:r w:rsidR="006262C8" w:rsidRPr="008A7B1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A7B11">
              <w:rPr>
                <w:rFonts w:asciiTheme="minorHAnsi" w:hAnsiTheme="minorHAnsi" w:cstheme="minorHAnsi"/>
                <w:color w:val="000000"/>
              </w:rPr>
              <w:t xml:space="preserve">infectious </w:t>
            </w:r>
            <w:proofErr w:type="gramStart"/>
            <w:r w:rsidRPr="008A7B11">
              <w:rPr>
                <w:rFonts w:asciiTheme="minorHAnsi" w:hAnsiTheme="minorHAnsi" w:cstheme="minorHAnsi"/>
                <w:color w:val="000000"/>
              </w:rPr>
              <w:t>diseases;</w:t>
            </w:r>
            <w:proofErr w:type="gramEnd"/>
          </w:p>
          <w:p w14:paraId="49A82465" w14:textId="77777777" w:rsidR="008A7B11" w:rsidRDefault="008A7B11" w:rsidP="008A7B1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  <w:p w14:paraId="52FFA716" w14:textId="15E69328" w:rsidR="000C6574" w:rsidRPr="008A7B11" w:rsidRDefault="000C6574" w:rsidP="008A7B1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8A7B11">
              <w:rPr>
                <w:rFonts w:asciiTheme="minorHAnsi" w:hAnsiTheme="minorHAnsi" w:cstheme="minorHAnsi"/>
                <w:color w:val="000000"/>
              </w:rPr>
              <w:t>(E) physical barriers to facilitate social</w:t>
            </w:r>
            <w:r w:rsidR="006262C8" w:rsidRPr="008A7B1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gramStart"/>
            <w:r w:rsidRPr="008A7B11">
              <w:rPr>
                <w:rFonts w:asciiTheme="minorHAnsi" w:hAnsiTheme="minorHAnsi" w:cstheme="minorHAnsi"/>
                <w:color w:val="000000"/>
              </w:rPr>
              <w:t>distancing;</w:t>
            </w:r>
            <w:proofErr w:type="gramEnd"/>
          </w:p>
          <w:p w14:paraId="719388D2" w14:textId="77777777" w:rsidR="008A7B11" w:rsidRDefault="008A7B11" w:rsidP="008A7B1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  <w:p w14:paraId="744A5D93" w14:textId="52891FBD" w:rsidR="000C6574" w:rsidRPr="008A7B11" w:rsidRDefault="000C6574" w:rsidP="008A7B1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8A7B11">
              <w:rPr>
                <w:rFonts w:asciiTheme="minorHAnsi" w:hAnsiTheme="minorHAnsi" w:cstheme="minorHAnsi"/>
                <w:color w:val="000000"/>
              </w:rPr>
              <w:t>(F) other materials, supplies, or equipment</w:t>
            </w:r>
            <w:r w:rsidR="006262C8" w:rsidRPr="008A7B1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A7B11">
              <w:rPr>
                <w:rFonts w:asciiTheme="minorHAnsi" w:hAnsiTheme="minorHAnsi" w:cstheme="minorHAnsi"/>
                <w:color w:val="000000"/>
              </w:rPr>
              <w:t>to implement public health protocols, including</w:t>
            </w:r>
            <w:r w:rsidR="006262C8" w:rsidRPr="008A7B1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A7B11">
              <w:rPr>
                <w:rFonts w:asciiTheme="minorHAnsi" w:hAnsiTheme="minorHAnsi" w:cstheme="minorHAnsi"/>
                <w:color w:val="000000"/>
              </w:rPr>
              <w:t>guidelines and recommendations from the Centers for Disease Control and Prevention for the</w:t>
            </w:r>
            <w:r w:rsidR="006262C8" w:rsidRPr="008A7B1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A7B11">
              <w:rPr>
                <w:rFonts w:asciiTheme="minorHAnsi" w:hAnsiTheme="minorHAnsi" w:cstheme="minorHAnsi"/>
                <w:color w:val="000000"/>
              </w:rPr>
              <w:t>reopening and operation of school facilities to effectively maintain the health and safety of</w:t>
            </w:r>
            <w:r w:rsidR="006262C8" w:rsidRPr="008A7B1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A7B11">
              <w:rPr>
                <w:rFonts w:asciiTheme="minorHAnsi" w:hAnsiTheme="minorHAnsi" w:cstheme="minorHAnsi"/>
                <w:color w:val="000000"/>
              </w:rPr>
              <w:t>students, educators, and other staff during the qualifying emergency;</w:t>
            </w:r>
          </w:p>
          <w:p w14:paraId="2560676B" w14:textId="77777777" w:rsidR="008A7B11" w:rsidRDefault="008A7B11" w:rsidP="008A7B1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  <w:p w14:paraId="2596A736" w14:textId="43F4E776" w:rsidR="000C6574" w:rsidRPr="008A7B11" w:rsidRDefault="000C6574" w:rsidP="008A7B1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8A7B11">
              <w:rPr>
                <w:rFonts w:asciiTheme="minorHAnsi" w:hAnsiTheme="minorHAnsi" w:cstheme="minorHAnsi"/>
                <w:color w:val="000000"/>
              </w:rPr>
              <w:t>(G) expanding capacity to administer</w:t>
            </w:r>
            <w:r w:rsidR="006262C8" w:rsidRPr="008A7B1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A7B11">
              <w:rPr>
                <w:rFonts w:asciiTheme="minorHAnsi" w:hAnsiTheme="minorHAnsi" w:cstheme="minorHAnsi"/>
                <w:color w:val="000000"/>
              </w:rPr>
              <w:t>coronavirus testing to effectively monitor and</w:t>
            </w:r>
            <w:r w:rsidR="006262C8" w:rsidRPr="008A7B1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A7B11">
              <w:rPr>
                <w:rFonts w:asciiTheme="minorHAnsi" w:hAnsiTheme="minorHAnsi" w:cstheme="minorHAnsi"/>
                <w:color w:val="000000"/>
              </w:rPr>
              <w:t>suppress coronavirus, to conduct surveillance</w:t>
            </w:r>
            <w:r w:rsidR="006262C8" w:rsidRPr="008A7B1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A7B11">
              <w:rPr>
                <w:rFonts w:asciiTheme="minorHAnsi" w:hAnsiTheme="minorHAnsi" w:cstheme="minorHAnsi"/>
                <w:color w:val="000000"/>
              </w:rPr>
              <w:t>and contact tracing activities, and to support</w:t>
            </w:r>
            <w:r w:rsidR="006262C8" w:rsidRPr="008A7B1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A7B11">
              <w:rPr>
                <w:rFonts w:asciiTheme="minorHAnsi" w:hAnsiTheme="minorHAnsi" w:cstheme="minorHAnsi"/>
                <w:color w:val="000000"/>
              </w:rPr>
              <w:t>other activities related to coronavirus testing</w:t>
            </w:r>
            <w:r w:rsidR="006262C8" w:rsidRPr="008A7B1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A7B11">
              <w:rPr>
                <w:rFonts w:asciiTheme="minorHAnsi" w:hAnsiTheme="minorHAnsi" w:cstheme="minorHAnsi"/>
                <w:color w:val="000000"/>
              </w:rPr>
              <w:t>for students, teachers, and staff at the non-public school;</w:t>
            </w:r>
          </w:p>
          <w:p w14:paraId="1BEB30EC" w14:textId="77777777" w:rsidR="008A7B11" w:rsidRDefault="008A7B11" w:rsidP="008A7B1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  <w:p w14:paraId="29A14061" w14:textId="73698CCD" w:rsidR="000C6574" w:rsidRDefault="000C6574" w:rsidP="008A7B1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8A7B11">
              <w:rPr>
                <w:rFonts w:asciiTheme="minorHAnsi" w:hAnsiTheme="minorHAnsi" w:cstheme="minorHAnsi"/>
                <w:color w:val="000000"/>
              </w:rPr>
              <w:t>(H) educational technology (including</w:t>
            </w:r>
            <w:r w:rsidR="006262C8" w:rsidRPr="008A7B1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A7B11">
              <w:rPr>
                <w:rFonts w:asciiTheme="minorHAnsi" w:hAnsiTheme="minorHAnsi" w:cstheme="minorHAnsi"/>
                <w:color w:val="000000"/>
              </w:rPr>
              <w:t xml:space="preserve">hardware, software, connectivity, assistive technology, and adaptive equipment) to assist students, educators, and other staff with remote or hybrid </w:t>
            </w:r>
            <w:proofErr w:type="gramStart"/>
            <w:r w:rsidRPr="008A7B11">
              <w:rPr>
                <w:rFonts w:asciiTheme="minorHAnsi" w:hAnsiTheme="minorHAnsi" w:cstheme="minorHAnsi"/>
                <w:color w:val="000000"/>
              </w:rPr>
              <w:t>learning;</w:t>
            </w:r>
            <w:proofErr w:type="gramEnd"/>
          </w:p>
          <w:p w14:paraId="334B9BDF" w14:textId="77777777" w:rsidR="008A7B11" w:rsidRPr="008A7B11" w:rsidRDefault="008A7B11" w:rsidP="008A7B1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  <w:p w14:paraId="4246F1B0" w14:textId="58561FBB" w:rsidR="000C6574" w:rsidRPr="008A7B11" w:rsidRDefault="000C6574" w:rsidP="008A7B1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8A7B11">
              <w:rPr>
                <w:rFonts w:asciiTheme="minorHAnsi" w:hAnsiTheme="minorHAnsi" w:cstheme="minorHAnsi"/>
                <w:color w:val="000000"/>
              </w:rPr>
              <w:t xml:space="preserve">(I) redeveloping instructional plans, including curriculum development, for remote learning, hybrid learning, or to address learning </w:t>
            </w:r>
            <w:proofErr w:type="gramStart"/>
            <w:r w:rsidRPr="008A7B11">
              <w:rPr>
                <w:rFonts w:asciiTheme="minorHAnsi" w:hAnsiTheme="minorHAnsi" w:cstheme="minorHAnsi"/>
                <w:color w:val="000000"/>
              </w:rPr>
              <w:t>loss;</w:t>
            </w:r>
            <w:proofErr w:type="gramEnd"/>
          </w:p>
          <w:p w14:paraId="116D9715" w14:textId="77777777" w:rsidR="008A7B11" w:rsidRDefault="008A7B11" w:rsidP="008A7B1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  <w:p w14:paraId="6EB81323" w14:textId="76A7762D" w:rsidR="000C6574" w:rsidRPr="008A7B11" w:rsidRDefault="000C6574" w:rsidP="008A7B1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8A7B11">
              <w:rPr>
                <w:rFonts w:asciiTheme="minorHAnsi" w:hAnsiTheme="minorHAnsi" w:cstheme="minorHAnsi"/>
                <w:color w:val="000000"/>
              </w:rPr>
              <w:t>(J) leasing of sites or spaces to ensure safe</w:t>
            </w:r>
            <w:r w:rsidR="006262C8" w:rsidRPr="008A7B1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A7B11">
              <w:rPr>
                <w:rFonts w:asciiTheme="minorHAnsi" w:hAnsiTheme="minorHAnsi" w:cstheme="minorHAnsi"/>
                <w:color w:val="000000"/>
              </w:rPr>
              <w:t>social distancing to implement public health</w:t>
            </w:r>
            <w:r w:rsidR="006262C8" w:rsidRPr="008A7B1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A7B11">
              <w:rPr>
                <w:rFonts w:asciiTheme="minorHAnsi" w:hAnsiTheme="minorHAnsi" w:cstheme="minorHAnsi"/>
                <w:color w:val="000000"/>
              </w:rPr>
              <w:t xml:space="preserve">protocols, including guidelines and recommendations from the Centers for Disease Control and </w:t>
            </w:r>
            <w:proofErr w:type="gramStart"/>
            <w:r w:rsidRPr="008A7B11">
              <w:rPr>
                <w:rFonts w:asciiTheme="minorHAnsi" w:hAnsiTheme="minorHAnsi" w:cstheme="minorHAnsi"/>
                <w:color w:val="000000"/>
              </w:rPr>
              <w:t>Prevention;</w:t>
            </w:r>
            <w:proofErr w:type="gramEnd"/>
          </w:p>
          <w:p w14:paraId="0D9D1E4F" w14:textId="77777777" w:rsidR="008A7B11" w:rsidRDefault="008A7B11" w:rsidP="008A7B1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  <w:p w14:paraId="26C321FC" w14:textId="3449C87C" w:rsidR="000C6574" w:rsidRPr="008A7B11" w:rsidRDefault="000C6574" w:rsidP="008A7B1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8A7B11">
              <w:rPr>
                <w:rFonts w:asciiTheme="minorHAnsi" w:hAnsiTheme="minorHAnsi" w:cstheme="minorHAnsi"/>
                <w:color w:val="000000"/>
              </w:rPr>
              <w:t xml:space="preserve">(K) reasonable transportation </w:t>
            </w:r>
            <w:proofErr w:type="gramStart"/>
            <w:r w:rsidRPr="008A7B11">
              <w:rPr>
                <w:rFonts w:asciiTheme="minorHAnsi" w:hAnsiTheme="minorHAnsi" w:cstheme="minorHAnsi"/>
                <w:color w:val="000000"/>
              </w:rPr>
              <w:t>costs;</w:t>
            </w:r>
            <w:proofErr w:type="gramEnd"/>
          </w:p>
          <w:p w14:paraId="6DBE1DFC" w14:textId="6BBF2CBA" w:rsidR="000C6574" w:rsidRPr="008A7B11" w:rsidRDefault="000C6574" w:rsidP="008A7B1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8A7B11">
              <w:rPr>
                <w:rFonts w:asciiTheme="minorHAnsi" w:hAnsiTheme="minorHAnsi" w:cstheme="minorHAnsi"/>
                <w:color w:val="000000"/>
              </w:rPr>
              <w:lastRenderedPageBreak/>
              <w:t>(L) initiating and maintaining education</w:t>
            </w:r>
            <w:r w:rsidR="006262C8" w:rsidRPr="008A7B1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A7B11">
              <w:rPr>
                <w:rFonts w:asciiTheme="minorHAnsi" w:hAnsiTheme="minorHAnsi" w:cstheme="minorHAnsi"/>
                <w:color w:val="000000"/>
              </w:rPr>
              <w:t>and support services or assistance for remote learning, hybrid learning, or to address learning</w:t>
            </w:r>
            <w:r w:rsidR="006262C8" w:rsidRPr="008A7B1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A7B11">
              <w:rPr>
                <w:rFonts w:asciiTheme="minorHAnsi" w:hAnsiTheme="minorHAnsi" w:cstheme="minorHAnsi"/>
                <w:color w:val="000000"/>
              </w:rPr>
              <w:t>loss; or</w:t>
            </w:r>
          </w:p>
          <w:p w14:paraId="27A90F48" w14:textId="77777777" w:rsidR="008A7B11" w:rsidRDefault="008A7B11" w:rsidP="008A7B1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  <w:p w14:paraId="5E4A699B" w14:textId="5A0984A3" w:rsidR="008A7B11" w:rsidRDefault="000C6574" w:rsidP="0005602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8A7B11">
              <w:rPr>
                <w:rFonts w:asciiTheme="minorHAnsi" w:hAnsiTheme="minorHAnsi" w:cstheme="minorHAnsi"/>
                <w:color w:val="000000"/>
              </w:rPr>
              <w:t xml:space="preserve">(M) reimbursement for the </w:t>
            </w:r>
            <w:r w:rsidR="001D612C">
              <w:rPr>
                <w:rFonts w:asciiTheme="minorHAnsi" w:hAnsiTheme="minorHAnsi" w:cstheme="minorHAnsi"/>
                <w:color w:val="000000"/>
              </w:rPr>
              <w:t xml:space="preserve">necessary, reasonable, and documented </w:t>
            </w:r>
            <w:r w:rsidRPr="008A7B11">
              <w:rPr>
                <w:rFonts w:asciiTheme="minorHAnsi" w:hAnsiTheme="minorHAnsi" w:cstheme="minorHAnsi"/>
                <w:color w:val="000000"/>
              </w:rPr>
              <w:t>expenses of any</w:t>
            </w:r>
            <w:r w:rsidR="006262C8" w:rsidRPr="008A7B1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A7B11">
              <w:rPr>
                <w:rFonts w:asciiTheme="minorHAnsi" w:hAnsiTheme="minorHAnsi" w:cstheme="minorHAnsi"/>
                <w:color w:val="000000"/>
              </w:rPr>
              <w:t xml:space="preserve">services or assistance described </w:t>
            </w:r>
            <w:r w:rsidR="006262C8" w:rsidRPr="008A7B11">
              <w:rPr>
                <w:rFonts w:asciiTheme="minorHAnsi" w:hAnsiTheme="minorHAnsi" w:cstheme="minorHAnsi"/>
                <w:color w:val="000000"/>
              </w:rPr>
              <w:t>above</w:t>
            </w:r>
            <w:r w:rsidR="00C17872" w:rsidRPr="008A7B11">
              <w:rPr>
                <w:rFonts w:asciiTheme="minorHAnsi" w:hAnsiTheme="minorHAnsi" w:cstheme="minorHAnsi"/>
                <w:color w:val="000000"/>
              </w:rPr>
              <w:t xml:space="preserve"> that the non-public school incurred on or after </w:t>
            </w:r>
            <w:r w:rsidR="00C17872">
              <w:rPr>
                <w:rFonts w:asciiTheme="minorHAnsi" w:hAnsiTheme="minorHAnsi" w:cstheme="minorHAnsi"/>
                <w:color w:val="000000"/>
              </w:rPr>
              <w:t>March 13, 2020</w:t>
            </w:r>
            <w:r w:rsidR="0005602C">
              <w:rPr>
                <w:rFonts w:asciiTheme="minorHAnsi" w:hAnsiTheme="minorHAnsi" w:cstheme="minorHAnsi"/>
                <w:color w:val="000000"/>
              </w:rPr>
              <w:t>, with the following exceptions</w:t>
            </w:r>
            <w:r w:rsidR="008A7B11">
              <w:rPr>
                <w:rFonts w:asciiTheme="minorHAnsi" w:hAnsiTheme="minorHAnsi" w:cstheme="minorHAnsi"/>
                <w:color w:val="000000"/>
              </w:rPr>
              <w:t>:</w:t>
            </w:r>
          </w:p>
          <w:p w14:paraId="473F7B05" w14:textId="1E04753F" w:rsidR="00C17872" w:rsidRDefault="00C17872" w:rsidP="00C1787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Section (C)</w:t>
            </w:r>
            <w:r w:rsidR="0005602C">
              <w:rPr>
                <w:rFonts w:asciiTheme="minorHAnsi" w:hAnsiTheme="minorHAnsi" w:cstheme="minorHAnsi"/>
                <w:color w:val="000000"/>
              </w:rPr>
              <w:t xml:space="preserve"> shall not be reimbursable, </w:t>
            </w:r>
            <w:r w:rsidRPr="008A7B11">
              <w:rPr>
                <w:rFonts w:asciiTheme="minorHAnsi" w:hAnsiTheme="minorHAnsi" w:cstheme="minorHAnsi"/>
                <w:color w:val="000000"/>
              </w:rPr>
              <w:t>except that portable air purification systems shall be an allowable reimbursable expense</w:t>
            </w:r>
          </w:p>
          <w:p w14:paraId="0900664B" w14:textId="636166D1" w:rsidR="00C17872" w:rsidRDefault="00C17872" w:rsidP="00C1787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Section (D)</w:t>
            </w:r>
            <w:r w:rsidR="0005602C">
              <w:rPr>
                <w:rFonts w:asciiTheme="minorHAnsi" w:hAnsiTheme="minorHAnsi" w:cstheme="minorHAnsi"/>
                <w:color w:val="000000"/>
              </w:rPr>
              <w:t xml:space="preserve"> shall not be reimbursable</w:t>
            </w:r>
          </w:p>
          <w:p w14:paraId="76C32A00" w14:textId="143650AB" w:rsidR="00C17872" w:rsidRDefault="00C17872" w:rsidP="00C1787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Section (I)</w:t>
            </w:r>
            <w:r w:rsidR="0005602C">
              <w:rPr>
                <w:rFonts w:asciiTheme="minorHAnsi" w:hAnsiTheme="minorHAnsi" w:cstheme="minorHAnsi"/>
                <w:color w:val="000000"/>
              </w:rPr>
              <w:t xml:space="preserve"> shall not be reimbursable</w:t>
            </w:r>
          </w:p>
          <w:p w14:paraId="61593111" w14:textId="5238DDAE" w:rsidR="00C17872" w:rsidRDefault="00C17872" w:rsidP="00C1787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Section (L)</w:t>
            </w:r>
            <w:r w:rsidR="0005602C">
              <w:rPr>
                <w:rFonts w:asciiTheme="minorHAnsi" w:hAnsiTheme="minorHAnsi" w:cstheme="minorHAnsi"/>
                <w:color w:val="000000"/>
              </w:rPr>
              <w:t xml:space="preserve"> shall not be reimbursable</w:t>
            </w:r>
          </w:p>
          <w:p w14:paraId="30EB29BA" w14:textId="77777777" w:rsidR="00C17872" w:rsidRDefault="000C6574" w:rsidP="00C1787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17872">
              <w:rPr>
                <w:rFonts w:asciiTheme="minorHAnsi" w:hAnsiTheme="minorHAnsi" w:cstheme="minorHAnsi"/>
                <w:color w:val="000000"/>
              </w:rPr>
              <w:t>any non-public school that has received a</w:t>
            </w:r>
            <w:r w:rsidR="006262C8" w:rsidRPr="00C17872">
              <w:rPr>
                <w:rFonts w:asciiTheme="minorHAnsi" w:hAnsiTheme="minorHAnsi" w:cstheme="minorHAnsi"/>
                <w:color w:val="000000"/>
              </w:rPr>
              <w:t xml:space="preserve"> “Paycheck Protection Program”</w:t>
            </w:r>
            <w:r w:rsidRPr="00C17872">
              <w:rPr>
                <w:rFonts w:asciiTheme="minorHAnsi" w:hAnsiTheme="minorHAnsi" w:cstheme="minorHAnsi"/>
                <w:color w:val="000000"/>
              </w:rPr>
              <w:t xml:space="preserve"> loan guaranteed under the</w:t>
            </w:r>
            <w:r w:rsidR="006262C8" w:rsidRPr="00C17872">
              <w:rPr>
                <w:rFonts w:asciiTheme="minorHAnsi" w:hAnsiTheme="minorHAnsi" w:cstheme="minorHAnsi"/>
                <w:color w:val="000000"/>
              </w:rPr>
              <w:t xml:space="preserve"> federal</w:t>
            </w:r>
            <w:r w:rsidRPr="00C17872">
              <w:rPr>
                <w:rFonts w:asciiTheme="minorHAnsi" w:hAnsiTheme="minorHAnsi" w:cstheme="minorHAnsi"/>
                <w:color w:val="000000"/>
              </w:rPr>
              <w:t xml:space="preserve"> Small Business Act </w:t>
            </w:r>
            <w:r w:rsidR="006262C8" w:rsidRPr="00C17872">
              <w:rPr>
                <w:rFonts w:asciiTheme="minorHAnsi" w:hAnsiTheme="minorHAnsi" w:cstheme="minorHAnsi"/>
                <w:color w:val="000000"/>
              </w:rPr>
              <w:t xml:space="preserve">as of December 26, 2020 </w:t>
            </w:r>
            <w:r w:rsidR="008A7B11" w:rsidRPr="00C17872">
              <w:rPr>
                <w:rFonts w:asciiTheme="minorHAnsi" w:hAnsiTheme="minorHAnsi" w:cstheme="minorHAnsi"/>
                <w:color w:val="000000"/>
              </w:rPr>
              <w:t>shall not be eligible for reimbursements described here for any expenses reimbursed through such loan; and</w:t>
            </w:r>
          </w:p>
          <w:p w14:paraId="1555A914" w14:textId="1807C279" w:rsidR="00D64175" w:rsidRPr="00BB74DD" w:rsidRDefault="008A7B11" w:rsidP="00C1787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17872">
              <w:rPr>
                <w:rFonts w:asciiTheme="minorHAnsi" w:hAnsiTheme="minorHAnsi" w:cstheme="minorHAnsi"/>
                <w:color w:val="000000"/>
              </w:rPr>
              <w:t>any non-public school that has received a grant</w:t>
            </w:r>
            <w:r w:rsidR="006262C8" w:rsidRPr="00C17872">
              <w:rPr>
                <w:rFonts w:asciiTheme="minorHAnsi" w:hAnsiTheme="minorHAnsi" w:cstheme="minorHAnsi"/>
                <w:color w:val="000000"/>
              </w:rPr>
              <w:t xml:space="preserve"> under the MA Coronavirus Relief Health and Safety Grant Program for Nonpublic K-12 Schools</w:t>
            </w:r>
            <w:r w:rsidR="000C6574" w:rsidRPr="00C1787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262C8" w:rsidRPr="00C17872">
              <w:rPr>
                <w:rFonts w:asciiTheme="minorHAnsi" w:hAnsiTheme="minorHAnsi" w:cstheme="minorHAnsi"/>
                <w:color w:val="000000"/>
              </w:rPr>
              <w:t>program</w:t>
            </w:r>
            <w:r w:rsidRPr="00C17872">
              <w:rPr>
                <w:rFonts w:asciiTheme="minorHAnsi" w:hAnsiTheme="minorHAnsi" w:cstheme="minorHAnsi"/>
                <w:color w:val="000000"/>
              </w:rPr>
              <w:t xml:space="preserve"> funded through GEER</w:t>
            </w:r>
            <w:r w:rsidR="006262C8" w:rsidRPr="00C17872">
              <w:rPr>
                <w:rFonts w:asciiTheme="minorHAnsi" w:hAnsiTheme="minorHAnsi" w:cstheme="minorHAnsi"/>
                <w:color w:val="000000"/>
              </w:rPr>
              <w:t xml:space="preserve"> as offered </w:t>
            </w:r>
            <w:r w:rsidRPr="00C17872">
              <w:rPr>
                <w:rFonts w:asciiTheme="minorHAnsi" w:hAnsiTheme="minorHAnsi" w:cstheme="minorHAnsi"/>
                <w:color w:val="000000"/>
              </w:rPr>
              <w:t>by</w:t>
            </w:r>
            <w:r w:rsidR="006262C8" w:rsidRPr="00C17872">
              <w:rPr>
                <w:rFonts w:asciiTheme="minorHAnsi" w:hAnsiTheme="minorHAnsi" w:cstheme="minorHAnsi"/>
                <w:color w:val="000000"/>
              </w:rPr>
              <w:t xml:space="preserve"> the Commonwealth Corporation</w:t>
            </w:r>
            <w:r w:rsidR="000C6574" w:rsidRPr="00C1787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C17872">
              <w:rPr>
                <w:rFonts w:asciiTheme="minorHAnsi" w:hAnsiTheme="minorHAnsi" w:cstheme="minorHAnsi"/>
                <w:color w:val="000000"/>
              </w:rPr>
              <w:t xml:space="preserve">shall not be eligible for reimbursements </w:t>
            </w:r>
            <w:r w:rsidRPr="00BB74DD">
              <w:rPr>
                <w:rFonts w:asciiTheme="minorHAnsi" w:hAnsiTheme="minorHAnsi" w:cstheme="minorHAnsi"/>
                <w:color w:val="000000"/>
              </w:rPr>
              <w:t>described here for any expenses reimbursed through the</w:t>
            </w:r>
            <w:r w:rsidR="006262C8" w:rsidRPr="00BB74DD">
              <w:rPr>
                <w:rFonts w:asciiTheme="minorHAnsi" w:hAnsiTheme="minorHAnsi" w:cstheme="minorHAnsi"/>
                <w:color w:val="000000"/>
              </w:rPr>
              <w:t xml:space="preserve"> grant</w:t>
            </w:r>
            <w:r w:rsidR="000C6574" w:rsidRPr="00BB74DD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7CBC695B" w14:textId="102C1879" w:rsidR="00BB74DD" w:rsidRPr="00BB74DD" w:rsidRDefault="00BB74DD" w:rsidP="00BB74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6B3A6EA" w14:textId="5A366439" w:rsidR="00BB74DD" w:rsidRDefault="00BB74DD" w:rsidP="00CE01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74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 services or assistance provided, including equipment, materials, and any other items, shall be secular, neutral, and non-ideological.</w:t>
            </w:r>
            <w:r w:rsidR="00CE01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Furthermore, funds cannot be used </w:t>
            </w:r>
            <w:r w:rsidR="00CE0145" w:rsidRPr="00CE01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provide direct or indirect financial assistance to scholarship granting organizations or related entities for elementary or secondary</w:t>
            </w:r>
            <w:r w:rsidR="00CE01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E0145" w:rsidRPr="00CE01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education</w:t>
            </w:r>
            <w:r w:rsidR="00CE01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CE0145" w:rsidRPr="00CE01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 to provide or support vouchers, tuition</w:t>
            </w:r>
            <w:r w:rsidR="00CE01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E0145" w:rsidRPr="00CE01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tax credit programs, education savings accounts, scholarships, scholarship programs, or</w:t>
            </w:r>
            <w:r w:rsidR="00CE01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E0145" w:rsidRPr="00CE01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tuition-assistance programs for elementary or secondary education.</w:t>
            </w:r>
          </w:p>
          <w:p w14:paraId="086948D7" w14:textId="77777777" w:rsidR="00BF1A69" w:rsidRDefault="00BF1A69" w:rsidP="00CE01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3AFC069" w14:textId="262C5172" w:rsidR="00BF1A69" w:rsidRPr="00BB74DD" w:rsidRDefault="00BF1A69" w:rsidP="00CE01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DESE must maintain</w:t>
            </w:r>
            <w:r w:rsidRPr="00BF1A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control of funds for the services or assistance provided to a non-public school, and title to materials, equipment, and property purchased with EANS funds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0B28D1BB" w14:textId="46799CB9" w:rsidR="00D64175" w:rsidRPr="008A7B11" w:rsidRDefault="005737EF" w:rsidP="008A7B1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7B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7724C" w14:paraId="71113982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5B8B3B3A" w14:textId="77777777" w:rsidR="0007724C" w:rsidRPr="00D60243" w:rsidRDefault="0007724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6024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Eligibility:</w:t>
            </w:r>
          </w:p>
          <w:p w14:paraId="076BF6C4" w14:textId="77777777" w:rsidR="00F50EB4" w:rsidRPr="00D60243" w:rsidRDefault="00F50EB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1DCC197" w14:textId="77777777" w:rsidR="008A7B11" w:rsidRDefault="008A7B1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787C0E9" w14:textId="77777777" w:rsidR="008A7B11" w:rsidRDefault="008A7B1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B3557F7" w14:textId="77777777" w:rsidR="00BB74DD" w:rsidRDefault="00BB74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BD97750" w14:textId="77777777" w:rsidR="00BB74DD" w:rsidRDefault="00BB74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5DAA4DD" w14:textId="77777777" w:rsidR="00BB74DD" w:rsidRDefault="00BB74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24A0036" w14:textId="77777777" w:rsidR="00BB74DD" w:rsidRDefault="00BB74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9D0DBBE" w14:textId="77777777" w:rsidR="00BB74DD" w:rsidRDefault="00BB74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1797F8B" w14:textId="77777777" w:rsidR="006A5E2A" w:rsidRDefault="006A5E2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1464DF1" w14:textId="77777777" w:rsidR="006A5E2A" w:rsidRDefault="006A5E2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A7B5F6B" w14:textId="77777777" w:rsidR="006A5E2A" w:rsidRDefault="006A5E2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B666A68" w14:textId="77777777" w:rsidR="0007724C" w:rsidRPr="00D60243" w:rsidRDefault="0007724C" w:rsidP="00FA6A6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14:paraId="330CFCA3" w14:textId="22DB93AD" w:rsidR="0007724C" w:rsidRDefault="00BB74DD" w:rsidP="000A0C22">
            <w:pPr>
              <w:tabs>
                <w:tab w:val="left" w:pos="432"/>
                <w:tab w:val="left" w:pos="972"/>
                <w:tab w:val="left" w:pos="151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Non-public K-12 schools are eligible to apply if they are:</w:t>
            </w:r>
          </w:p>
          <w:p w14:paraId="1D18BC04" w14:textId="77777777" w:rsidR="00BB74DD" w:rsidRDefault="00BB74DD" w:rsidP="00BB74DD">
            <w:pPr>
              <w:pStyle w:val="ListParagraph"/>
              <w:numPr>
                <w:ilvl w:val="0"/>
                <w:numId w:val="29"/>
              </w:numPr>
              <w:tabs>
                <w:tab w:val="left" w:pos="432"/>
                <w:tab w:val="left" w:pos="972"/>
                <w:tab w:val="left" w:pos="1512"/>
              </w:tabs>
              <w:spacing w:after="0" w:line="240" w:lineRule="auto"/>
              <w:ind w:left="965"/>
              <w:jc w:val="both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Pr="00BB74DD">
              <w:rPr>
                <w:rFonts w:cs="Calibri"/>
              </w:rPr>
              <w:t xml:space="preserve"> non-public elementary or secondary school in Massachusetts</w:t>
            </w:r>
          </w:p>
          <w:p w14:paraId="578564F0" w14:textId="77777777" w:rsidR="00BB74DD" w:rsidRDefault="00BB74DD" w:rsidP="00BB74DD">
            <w:pPr>
              <w:pStyle w:val="ListParagraph"/>
              <w:numPr>
                <w:ilvl w:val="0"/>
                <w:numId w:val="29"/>
              </w:numPr>
              <w:tabs>
                <w:tab w:val="left" w:pos="432"/>
                <w:tab w:val="left" w:pos="972"/>
                <w:tab w:val="left" w:pos="1512"/>
              </w:tabs>
              <w:spacing w:after="0" w:line="240" w:lineRule="auto"/>
              <w:ind w:left="965"/>
              <w:jc w:val="both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Pr="00BB74DD">
              <w:rPr>
                <w:rFonts w:cs="Calibri"/>
              </w:rPr>
              <w:t>pproved to operate as a non-public school under Massachusetts General Law</w:t>
            </w:r>
          </w:p>
          <w:p w14:paraId="070BB9E8" w14:textId="77777777" w:rsidR="00BB74DD" w:rsidRDefault="00BB74DD" w:rsidP="00BB74DD">
            <w:pPr>
              <w:pStyle w:val="ListParagraph"/>
              <w:numPr>
                <w:ilvl w:val="0"/>
                <w:numId w:val="29"/>
              </w:numPr>
              <w:tabs>
                <w:tab w:val="left" w:pos="432"/>
                <w:tab w:val="left" w:pos="972"/>
                <w:tab w:val="left" w:pos="1512"/>
              </w:tabs>
              <w:spacing w:after="0" w:line="240" w:lineRule="auto"/>
              <w:ind w:left="965"/>
              <w:jc w:val="both"/>
              <w:rPr>
                <w:rFonts w:cs="Calibri"/>
              </w:rPr>
            </w:pPr>
            <w:r w:rsidRPr="00BB74DD">
              <w:rPr>
                <w:rFonts w:cs="Calibri"/>
              </w:rPr>
              <w:t>A non-profit entity</w:t>
            </w:r>
          </w:p>
          <w:p w14:paraId="779587D8" w14:textId="55F51E85" w:rsidR="00BB74DD" w:rsidRPr="00BB74DD" w:rsidRDefault="00130AD9" w:rsidP="00BB74DD">
            <w:pPr>
              <w:pStyle w:val="ListParagraph"/>
              <w:numPr>
                <w:ilvl w:val="0"/>
                <w:numId w:val="29"/>
              </w:numPr>
              <w:tabs>
                <w:tab w:val="left" w:pos="432"/>
                <w:tab w:val="left" w:pos="972"/>
                <w:tab w:val="left" w:pos="1512"/>
              </w:tabs>
              <w:spacing w:after="0" w:line="240" w:lineRule="auto"/>
              <w:ind w:left="965"/>
              <w:jc w:val="both"/>
              <w:rPr>
                <w:rFonts w:cs="Calibri"/>
              </w:rPr>
            </w:pPr>
            <w:r>
              <w:rPr>
                <w:rFonts w:cs="Calibri"/>
              </w:rPr>
              <w:t>Currently operating and i</w:t>
            </w:r>
            <w:r w:rsidR="00BB74DD" w:rsidRPr="00BB74DD">
              <w:rPr>
                <w:rFonts w:cs="Calibri"/>
              </w:rPr>
              <w:t>n existence prior to March 13, 2020</w:t>
            </w:r>
          </w:p>
          <w:p w14:paraId="281E2EFC" w14:textId="77777777" w:rsidR="00BB74DD" w:rsidRDefault="00BB74DD" w:rsidP="000A0C22">
            <w:pPr>
              <w:tabs>
                <w:tab w:val="left" w:pos="432"/>
                <w:tab w:val="left" w:pos="972"/>
                <w:tab w:val="left" w:pos="151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84EE8E0" w14:textId="7A33B8BC" w:rsidR="001D612C" w:rsidRDefault="001D612C" w:rsidP="006A5E2A">
            <w:pPr>
              <w:tabs>
                <w:tab w:val="left" w:pos="432"/>
                <w:tab w:val="left" w:pos="972"/>
                <w:tab w:val="left" w:pos="151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Nonpublic K-12 schools that participated in the second Paycheck Protection Program </w:t>
            </w:r>
            <w:r w:rsidR="000C52DB">
              <w:rPr>
                <w:rFonts w:ascii="Calibri" w:hAnsi="Calibri" w:cs="Calibri"/>
                <w:sz w:val="22"/>
                <w:szCs w:val="22"/>
              </w:rPr>
              <w:t xml:space="preserve">under the federal </w:t>
            </w:r>
            <w:r w:rsidR="000C52DB" w:rsidRPr="000C52DB">
              <w:rPr>
                <w:rFonts w:ascii="Calibri" w:hAnsi="Calibri" w:cs="Calibri"/>
                <w:sz w:val="22"/>
                <w:szCs w:val="22"/>
              </w:rPr>
              <w:t xml:space="preserve">Small Business Act </w:t>
            </w:r>
            <w:r>
              <w:rPr>
                <w:rFonts w:ascii="Calibri" w:hAnsi="Calibri" w:cs="Calibri"/>
                <w:sz w:val="22"/>
                <w:szCs w:val="22"/>
              </w:rPr>
              <w:t>on or after December 27, 2020 are not eligible. Furthermore, non-public K-12 schools that plan to participate in the second Paycheck Protection Program</w:t>
            </w:r>
            <w:r w:rsidR="000C52DB">
              <w:rPr>
                <w:rFonts w:ascii="Calibri" w:hAnsi="Calibri" w:cs="Calibri"/>
                <w:sz w:val="22"/>
                <w:szCs w:val="22"/>
              </w:rPr>
              <w:t xml:space="preserve"> under the federal </w:t>
            </w:r>
            <w:r w:rsidR="000C52DB" w:rsidRPr="000C52DB">
              <w:rPr>
                <w:rFonts w:ascii="Calibri" w:hAnsi="Calibri" w:cs="Calibri"/>
                <w:sz w:val="22"/>
                <w:szCs w:val="22"/>
              </w:rPr>
              <w:t>Small Business Act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on or after December 27, 2020 are not eligible.</w:t>
            </w:r>
          </w:p>
          <w:p w14:paraId="25DE8B64" w14:textId="77777777" w:rsidR="001D612C" w:rsidRDefault="001D612C" w:rsidP="006A5E2A">
            <w:pPr>
              <w:tabs>
                <w:tab w:val="left" w:pos="432"/>
                <w:tab w:val="left" w:pos="972"/>
                <w:tab w:val="left" w:pos="151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9572DC2" w14:textId="3A325761" w:rsidR="008A7B11" w:rsidRPr="00D60243" w:rsidRDefault="006A5E2A" w:rsidP="006A5E2A">
            <w:pPr>
              <w:tabs>
                <w:tab w:val="left" w:pos="432"/>
                <w:tab w:val="left" w:pos="972"/>
                <w:tab w:val="left" w:pos="151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EANS program will </w:t>
            </w:r>
            <w:r w:rsidRPr="006A5E2A">
              <w:rPr>
                <w:rFonts w:ascii="Calibri" w:hAnsi="Calibri" w:cs="Calibri"/>
                <w:sz w:val="22"/>
                <w:szCs w:val="22"/>
              </w:rPr>
              <w:t>prioritize services or assistance to non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6A5E2A">
              <w:rPr>
                <w:rFonts w:ascii="Calibri" w:hAnsi="Calibri" w:cs="Calibri"/>
                <w:sz w:val="22"/>
                <w:szCs w:val="22"/>
              </w:rPr>
              <w:t>public schools that enroll low-income students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A5E2A">
              <w:rPr>
                <w:rFonts w:ascii="Calibri" w:hAnsi="Calibri" w:cs="Calibri"/>
                <w:sz w:val="22"/>
                <w:szCs w:val="22"/>
              </w:rPr>
              <w:t>and are most impacted by the qualifying emergency.</w:t>
            </w:r>
          </w:p>
          <w:p w14:paraId="1CF71B97" w14:textId="364AB0A8" w:rsidR="00F103AF" w:rsidRDefault="00F103AF" w:rsidP="000A0C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A67E3D6" w14:textId="77777777" w:rsidR="001D612C" w:rsidRDefault="001D612C" w:rsidP="000A0C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C7073A5" w14:textId="4E02E338" w:rsidR="000A0C22" w:rsidRPr="00D60243" w:rsidRDefault="000A0C22" w:rsidP="000A0C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4C" w14:paraId="48FCF3C4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3CD835C0" w14:textId="77777777" w:rsidR="0007724C" w:rsidRPr="00D60243" w:rsidRDefault="0007724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60243">
              <w:rPr>
                <w:rFonts w:ascii="Calibri" w:hAnsi="Calibri" w:cs="Calibri"/>
                <w:b/>
                <w:sz w:val="22"/>
                <w:szCs w:val="22"/>
              </w:rPr>
              <w:t>Funding:</w:t>
            </w:r>
          </w:p>
          <w:p w14:paraId="4D92D49A" w14:textId="77777777" w:rsidR="0007724C" w:rsidRPr="00D60243" w:rsidRDefault="0007724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14:paraId="333666CF" w14:textId="77777777" w:rsidR="001D612C" w:rsidRDefault="001D612C">
            <w:pPr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896D3B">
              <w:rPr>
                <w:rFonts w:ascii="Calibri" w:hAnsi="Calibri" w:cs="Calibri"/>
                <w:sz w:val="22"/>
                <w:szCs w:val="22"/>
              </w:rPr>
              <w:t>Federal CFDA 84.425R</w:t>
            </w:r>
            <w:r w:rsidRPr="00F103AF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</w:p>
          <w:p w14:paraId="4F83D910" w14:textId="3A142E06" w:rsidR="00F103AF" w:rsidRDefault="00F103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7C74">
              <w:rPr>
                <w:rFonts w:ascii="Calibri" w:hAnsi="Calibri" w:cs="Calibri"/>
                <w:sz w:val="22"/>
                <w:szCs w:val="22"/>
              </w:rPr>
              <w:t>$24,025,048</w:t>
            </w:r>
          </w:p>
          <w:p w14:paraId="618D27C6" w14:textId="77777777" w:rsidR="00F103AF" w:rsidRDefault="00F103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A44761B" w14:textId="77777777" w:rsidR="0007724C" w:rsidRPr="00D60243" w:rsidRDefault="000A0C22" w:rsidP="001D612C">
            <w:pPr>
              <w:rPr>
                <w:rFonts w:ascii="Calibri" w:hAnsi="Calibri" w:cs="Calibri"/>
                <w:sz w:val="22"/>
                <w:szCs w:val="22"/>
              </w:rPr>
            </w:pPr>
            <w:r w:rsidRPr="00D60243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Funding is contingent upon availability. All dollar amounts listed are estimated/approximate and are subject to change. If more funding becomes </w:t>
            </w:r>
            <w:r w:rsidR="002D3A43" w:rsidRPr="00D60243">
              <w:rPr>
                <w:rFonts w:ascii="Calibri" w:hAnsi="Calibri" w:cs="Calibri"/>
                <w:sz w:val="22"/>
                <w:szCs w:val="22"/>
              </w:rPr>
              <w:t>available,</w:t>
            </w:r>
            <w:r w:rsidRPr="00D60243">
              <w:rPr>
                <w:rFonts w:ascii="Calibri" w:hAnsi="Calibri" w:cs="Calibri"/>
                <w:sz w:val="22"/>
                <w:szCs w:val="22"/>
              </w:rPr>
              <w:t xml:space="preserve"> it will be distributed under the same guidelines that appear in this RFP document.</w:t>
            </w:r>
          </w:p>
          <w:p w14:paraId="6F73CFEF" w14:textId="77777777" w:rsidR="000A0C22" w:rsidRPr="00D60243" w:rsidRDefault="000A0C2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4C" w14:paraId="18257AC0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1B04DED7" w14:textId="77777777" w:rsidR="0007724C" w:rsidRPr="00D60243" w:rsidRDefault="0007724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14:paraId="24E59F85" w14:textId="01F23AAE" w:rsidR="0007724C" w:rsidRPr="00D60243" w:rsidRDefault="000772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4C" w14:paraId="7490C04E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70E2CB86" w14:textId="66606355" w:rsidR="0007724C" w:rsidRPr="00FA6A62" w:rsidRDefault="0007724C">
            <w:pPr>
              <w:spacing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A6A62">
              <w:rPr>
                <w:rFonts w:ascii="Calibri" w:hAnsi="Calibri" w:cs="Calibri"/>
                <w:b/>
                <w:sz w:val="22"/>
                <w:szCs w:val="22"/>
              </w:rPr>
              <w:t>Project Duration</w:t>
            </w:r>
            <w:r w:rsidR="00B037F3">
              <w:rPr>
                <w:rFonts w:ascii="Calibri" w:hAnsi="Calibri" w:cs="Calibri"/>
                <w:b/>
                <w:sz w:val="22"/>
                <w:szCs w:val="22"/>
              </w:rPr>
              <w:t xml:space="preserve"> and Timeline</w:t>
            </w:r>
            <w:r w:rsidRPr="00FA6A62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14:paraId="47A6C13A" w14:textId="023F1533" w:rsidR="0007724C" w:rsidRDefault="00B414A6" w:rsidP="00F30F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A6A62">
              <w:rPr>
                <w:rFonts w:ascii="Calibri" w:hAnsi="Calibri" w:cs="Calibri"/>
                <w:sz w:val="22"/>
                <w:szCs w:val="22"/>
              </w:rPr>
              <w:t>February 22, 2021 through September 30, 202</w:t>
            </w:r>
            <w:r w:rsidR="00F30F56">
              <w:rPr>
                <w:rFonts w:ascii="Calibri" w:hAnsi="Calibri" w:cs="Calibri"/>
                <w:sz w:val="22"/>
                <w:szCs w:val="22"/>
              </w:rPr>
              <w:t>3</w:t>
            </w:r>
            <w:r w:rsidRPr="00FA6A62">
              <w:rPr>
                <w:rFonts w:ascii="Calibri" w:hAnsi="Calibri" w:cs="Calibri"/>
                <w:sz w:val="22"/>
                <w:szCs w:val="22"/>
              </w:rPr>
              <w:t>.</w:t>
            </w:r>
            <w:r w:rsidR="00F30F5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66F1D5E" w14:textId="3A02B812" w:rsidR="00B037F3" w:rsidRDefault="00B037F3" w:rsidP="006D1CB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139B562" w14:textId="77777777" w:rsidR="00B037F3" w:rsidRPr="00FA6A62" w:rsidRDefault="00B037F3" w:rsidP="00B037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6A62">
              <w:rPr>
                <w:rFonts w:asciiTheme="minorHAnsi" w:hAnsiTheme="minorHAnsi" w:cstheme="minorHAnsi"/>
                <w:sz w:val="22"/>
                <w:szCs w:val="22"/>
              </w:rPr>
              <w:t>Non-public schools that desire to participate in the program must complete and submit the EANS Application Part A by Friday, March 19, 2021 @ 11:59PM EST.</w:t>
            </w:r>
          </w:p>
          <w:p w14:paraId="2270D040" w14:textId="77777777" w:rsidR="00B037F3" w:rsidRDefault="00B037F3" w:rsidP="00B037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77494B7" w14:textId="6ED96EBF" w:rsidR="00B037F3" w:rsidRPr="00B037F3" w:rsidRDefault="00B037F3" w:rsidP="00B037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37F3">
              <w:rPr>
                <w:rFonts w:ascii="Calibri" w:hAnsi="Calibri" w:cs="Calibri"/>
                <w:sz w:val="22"/>
                <w:szCs w:val="22"/>
              </w:rPr>
              <w:t xml:space="preserve">DESE </w:t>
            </w:r>
            <w:r w:rsidR="00F30F56">
              <w:rPr>
                <w:rFonts w:ascii="Calibri" w:hAnsi="Calibri" w:cs="Calibri"/>
                <w:sz w:val="22"/>
                <w:szCs w:val="22"/>
              </w:rPr>
              <w:t xml:space="preserve">announces </w:t>
            </w:r>
            <w:r w:rsidRPr="00B037F3">
              <w:rPr>
                <w:rFonts w:ascii="Calibri" w:hAnsi="Calibri" w:cs="Calibri"/>
                <w:sz w:val="22"/>
                <w:szCs w:val="22"/>
              </w:rPr>
              <w:t>award</w:t>
            </w:r>
            <w:r w:rsidR="00F30F56">
              <w:rPr>
                <w:rFonts w:ascii="Calibri" w:hAnsi="Calibri" w:cs="Calibri"/>
                <w:sz w:val="22"/>
                <w:szCs w:val="22"/>
              </w:rPr>
              <w:t xml:space="preserve"> amounts</w:t>
            </w:r>
            <w:r w:rsidRPr="00B037F3">
              <w:rPr>
                <w:rFonts w:ascii="Calibri" w:hAnsi="Calibri" w:cs="Calibri"/>
                <w:sz w:val="22"/>
                <w:szCs w:val="22"/>
              </w:rPr>
              <w:t xml:space="preserve"> to non-public schools</w:t>
            </w:r>
            <w:r w:rsidR="00F30F56"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r w:rsidRPr="00B037F3">
              <w:rPr>
                <w:rFonts w:ascii="Calibri" w:hAnsi="Calibri" w:cs="Calibri"/>
                <w:sz w:val="22"/>
                <w:szCs w:val="22"/>
              </w:rPr>
              <w:t>April 2021</w:t>
            </w:r>
            <w:r w:rsidR="00F30F56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E7A2DE8" w14:textId="77777777" w:rsidR="00B037F3" w:rsidRPr="00B037F3" w:rsidRDefault="00B037F3" w:rsidP="00B037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719AB66" w14:textId="79CE5253" w:rsidR="00B037F3" w:rsidRPr="00B037F3" w:rsidRDefault="00B037F3" w:rsidP="00B037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37F3">
              <w:rPr>
                <w:rFonts w:ascii="Calibri" w:hAnsi="Calibri" w:cs="Calibri"/>
                <w:sz w:val="22"/>
                <w:szCs w:val="22"/>
              </w:rPr>
              <w:t>Schools submit Application Part B (budgets and other information)</w:t>
            </w:r>
            <w:r w:rsidR="00F30F56">
              <w:rPr>
                <w:rFonts w:ascii="Calibri" w:hAnsi="Calibri" w:cs="Calibri"/>
                <w:sz w:val="22"/>
                <w:szCs w:val="22"/>
              </w:rPr>
              <w:t xml:space="preserve"> o</w:t>
            </w:r>
            <w:r w:rsidRPr="00B037F3">
              <w:rPr>
                <w:rFonts w:ascii="Calibri" w:hAnsi="Calibri" w:cs="Calibri"/>
                <w:sz w:val="22"/>
                <w:szCs w:val="22"/>
              </w:rPr>
              <w:t>n a rolling basis</w:t>
            </w:r>
            <w:r w:rsidR="00F30F56">
              <w:rPr>
                <w:rFonts w:ascii="Calibri" w:hAnsi="Calibri" w:cs="Calibri"/>
                <w:sz w:val="22"/>
                <w:szCs w:val="22"/>
              </w:rPr>
              <w:t>,</w:t>
            </w:r>
            <w:r w:rsidRPr="00B037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30F56">
              <w:rPr>
                <w:rFonts w:ascii="Calibri" w:hAnsi="Calibri" w:cs="Calibri"/>
                <w:sz w:val="22"/>
                <w:szCs w:val="22"/>
              </w:rPr>
              <w:t>but</w:t>
            </w:r>
            <w:r w:rsidRPr="00B037F3">
              <w:rPr>
                <w:rFonts w:ascii="Calibri" w:hAnsi="Calibri" w:cs="Calibri"/>
                <w:sz w:val="22"/>
                <w:szCs w:val="22"/>
              </w:rPr>
              <w:t xml:space="preserve"> no later than June 30, 2020</w:t>
            </w:r>
            <w:r w:rsidR="00F30F56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ED12F64" w14:textId="77777777" w:rsidR="00B037F3" w:rsidRPr="00B037F3" w:rsidRDefault="00B037F3" w:rsidP="00B037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B22FAE" w14:textId="0FBB83C4" w:rsidR="00B037F3" w:rsidRPr="00B037F3" w:rsidRDefault="00B037F3" w:rsidP="00B037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37F3">
              <w:rPr>
                <w:rFonts w:ascii="Calibri" w:hAnsi="Calibri" w:cs="Calibri"/>
                <w:sz w:val="22"/>
                <w:szCs w:val="22"/>
              </w:rPr>
              <w:t>All funds</w:t>
            </w:r>
            <w:r w:rsidR="00F30F56">
              <w:rPr>
                <w:rFonts w:ascii="Calibri" w:hAnsi="Calibri" w:cs="Calibri"/>
                <w:sz w:val="22"/>
                <w:szCs w:val="22"/>
              </w:rPr>
              <w:t xml:space="preserve"> will be</w:t>
            </w:r>
            <w:r w:rsidRPr="00B037F3">
              <w:rPr>
                <w:rFonts w:ascii="Calibri" w:hAnsi="Calibri" w:cs="Calibri"/>
                <w:sz w:val="22"/>
                <w:szCs w:val="22"/>
              </w:rPr>
              <w:t xml:space="preserve"> obligated to </w:t>
            </w:r>
            <w:r w:rsidR="00F30F56">
              <w:rPr>
                <w:rFonts w:ascii="Calibri" w:hAnsi="Calibri" w:cs="Calibri"/>
                <w:sz w:val="22"/>
                <w:szCs w:val="22"/>
              </w:rPr>
              <w:t>awarded non-public schools o</w:t>
            </w:r>
            <w:r w:rsidRPr="00B037F3">
              <w:rPr>
                <w:rFonts w:ascii="Calibri" w:hAnsi="Calibri" w:cs="Calibri"/>
                <w:sz w:val="22"/>
                <w:szCs w:val="22"/>
              </w:rPr>
              <w:t>n a rolling basis upon receipt of Application Part B, and no later than August 22, 2021</w:t>
            </w:r>
            <w:r w:rsidR="00F30F56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8DC0AFD" w14:textId="77777777" w:rsidR="00B037F3" w:rsidRPr="00B037F3" w:rsidRDefault="00B037F3" w:rsidP="00B037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55C4D27" w14:textId="587BE956" w:rsidR="00B037F3" w:rsidRPr="00FA6A62" w:rsidRDefault="00B037F3" w:rsidP="00F30F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37F3">
              <w:rPr>
                <w:rFonts w:ascii="Calibri" w:hAnsi="Calibri" w:cs="Calibri"/>
                <w:sz w:val="22"/>
                <w:szCs w:val="22"/>
              </w:rPr>
              <w:t>Expenditures of awards</w:t>
            </w:r>
            <w:r w:rsidR="00F30F56">
              <w:rPr>
                <w:rFonts w:ascii="Calibri" w:hAnsi="Calibri" w:cs="Calibri"/>
                <w:sz w:val="22"/>
                <w:szCs w:val="22"/>
              </w:rPr>
              <w:t xml:space="preserve"> will continue </w:t>
            </w:r>
            <w:r w:rsidRPr="00B037F3">
              <w:rPr>
                <w:rFonts w:ascii="Calibri" w:hAnsi="Calibri" w:cs="Calibri"/>
                <w:sz w:val="22"/>
                <w:szCs w:val="22"/>
              </w:rPr>
              <w:t>through September 30, 2023</w:t>
            </w:r>
            <w:r w:rsidR="00F30F56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34F9720" w14:textId="77777777" w:rsidR="005A34C5" w:rsidRPr="00FA6A62" w:rsidRDefault="005A34C5" w:rsidP="006D1CB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F658448" w14:textId="44C1D4B7" w:rsidR="000A0C22" w:rsidRPr="00FA6A62" w:rsidRDefault="000A0C22" w:rsidP="006D1CB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4C" w14:paraId="2B964282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702E5DCE" w14:textId="77777777" w:rsidR="0007724C" w:rsidRPr="00FA6A62" w:rsidRDefault="0007724C">
            <w:pPr>
              <w:spacing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A6A62">
              <w:rPr>
                <w:rFonts w:ascii="Calibri" w:hAnsi="Calibri" w:cs="Calibri"/>
                <w:b/>
                <w:sz w:val="22"/>
                <w:szCs w:val="22"/>
              </w:rPr>
              <w:t>Program Unit: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14:paraId="3DD19036" w14:textId="77777777" w:rsidR="0007724C" w:rsidRPr="00FA6A62" w:rsidRDefault="00C30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10" w:history="1">
              <w:r w:rsidR="005A34C5" w:rsidRPr="00FA6A62">
                <w:rPr>
                  <w:rStyle w:val="Hyperlink"/>
                  <w:rFonts w:ascii="Calibri" w:hAnsi="Calibri" w:cs="Calibri"/>
                  <w:sz w:val="22"/>
                  <w:szCs w:val="22"/>
                </w:rPr>
                <w:t>Resource Allocation Strategy and Planning</w:t>
              </w:r>
            </w:hyperlink>
          </w:p>
        </w:tc>
      </w:tr>
      <w:tr w:rsidR="0007724C" w14:paraId="68419962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3E82355E" w14:textId="77777777" w:rsidR="0007724C" w:rsidRPr="00FA6A62" w:rsidRDefault="0007724C">
            <w:pPr>
              <w:spacing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A6A62">
              <w:rPr>
                <w:rFonts w:ascii="Calibri" w:hAnsi="Calibri" w:cs="Calibri"/>
                <w:b/>
                <w:sz w:val="22"/>
                <w:szCs w:val="22"/>
              </w:rPr>
              <w:t>Contact: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14:paraId="24461D35" w14:textId="064E62B9" w:rsidR="005A34C5" w:rsidRPr="00FA6A62" w:rsidRDefault="00C30883" w:rsidP="005A34C5">
            <w:pPr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11" w:history="1">
              <w:r w:rsidR="00F103AF" w:rsidRPr="00FA6A62">
                <w:rPr>
                  <w:rStyle w:val="Hyperlink"/>
                  <w:rFonts w:ascii="Calibri" w:hAnsi="Calibri" w:cs="Calibri"/>
                  <w:sz w:val="22"/>
                  <w:szCs w:val="22"/>
                </w:rPr>
                <w:t>EANS@mass.gov</w:t>
              </w:r>
            </w:hyperlink>
          </w:p>
          <w:p w14:paraId="30DB4DBA" w14:textId="77777777" w:rsidR="0007724C" w:rsidRPr="00FA6A62" w:rsidRDefault="000772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A6A62">
              <w:rPr>
                <w:rFonts w:ascii="Calibri" w:hAnsi="Calibri" w:cs="Calibri"/>
                <w:sz w:val="22"/>
                <w:szCs w:val="22"/>
              </w:rPr>
              <w:tab/>
            </w:r>
            <w:r w:rsidRPr="00FA6A62">
              <w:rPr>
                <w:rFonts w:ascii="Calibri" w:hAnsi="Calibri" w:cs="Calibri"/>
                <w:sz w:val="22"/>
                <w:szCs w:val="22"/>
              </w:rPr>
              <w:tab/>
            </w:r>
            <w:r w:rsidRPr="00FA6A62">
              <w:rPr>
                <w:rFonts w:ascii="Calibri" w:hAnsi="Calibri" w:cs="Calibri"/>
                <w:sz w:val="22"/>
                <w:szCs w:val="22"/>
              </w:rPr>
              <w:tab/>
              <w:t xml:space="preserve">                   </w:t>
            </w:r>
          </w:p>
        </w:tc>
      </w:tr>
      <w:tr w:rsidR="0007724C" w14:paraId="5DD21BED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37A62303" w14:textId="77777777" w:rsidR="0007724C" w:rsidRPr="00FA6A62" w:rsidRDefault="0007724C">
            <w:pPr>
              <w:spacing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A6A62">
              <w:rPr>
                <w:rFonts w:ascii="Calibri" w:hAnsi="Calibri" w:cs="Calibri"/>
                <w:b/>
                <w:sz w:val="22"/>
                <w:szCs w:val="22"/>
              </w:rPr>
              <w:t>Phone Number: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14:paraId="7B99FED5" w14:textId="77777777" w:rsidR="0007724C" w:rsidRPr="00FA6A62" w:rsidRDefault="000772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A6A62">
              <w:rPr>
                <w:rFonts w:ascii="Calibri" w:hAnsi="Calibri" w:cs="Calibri"/>
                <w:sz w:val="22"/>
                <w:szCs w:val="22"/>
              </w:rPr>
              <w:t>(781) 338-</w:t>
            </w:r>
            <w:r w:rsidR="00011582" w:rsidRPr="00FA6A62">
              <w:rPr>
                <w:rFonts w:ascii="Calibri" w:hAnsi="Calibri" w:cs="Calibri"/>
                <w:sz w:val="22"/>
                <w:szCs w:val="22"/>
              </w:rPr>
              <w:t>6230</w:t>
            </w:r>
          </w:p>
        </w:tc>
      </w:tr>
      <w:tr w:rsidR="0007724C" w14:paraId="6F736EB8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60863853" w14:textId="77777777" w:rsidR="0007724C" w:rsidRPr="00FA6A62" w:rsidRDefault="0007724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A6A62">
              <w:rPr>
                <w:rFonts w:ascii="Calibri" w:hAnsi="Calibri" w:cs="Calibri"/>
                <w:b/>
                <w:sz w:val="22"/>
                <w:szCs w:val="22"/>
              </w:rPr>
              <w:t>Date Due:</w:t>
            </w:r>
          </w:p>
          <w:p w14:paraId="182BB134" w14:textId="77777777" w:rsidR="0007724C" w:rsidRPr="00FA6A62" w:rsidRDefault="0007724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14:paraId="5F39E4B1" w14:textId="73F3F2EF" w:rsidR="005C4BF7" w:rsidRPr="00FA6A62" w:rsidRDefault="00F103AF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6A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Friday</w:t>
            </w:r>
            <w:r w:rsidR="005C4BF7" w:rsidRPr="00FA6A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FA6A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March</w:t>
            </w:r>
            <w:r w:rsidR="005C4BF7" w:rsidRPr="00FA6A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</w:t>
            </w:r>
            <w:r w:rsidR="00FA6A62" w:rsidRPr="00FA6A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5C4BF7" w:rsidRPr="00FA6A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202</w:t>
            </w:r>
            <w:r w:rsidRPr="00FA6A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285B6B" w:rsidRPr="00FA6A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 EANS Application Part A</w:t>
            </w:r>
          </w:p>
          <w:p w14:paraId="5602BACA" w14:textId="4E2E013F" w:rsidR="00285B6B" w:rsidRPr="00FA6A62" w:rsidRDefault="00B414A6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6A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June 30, 2021</w:t>
            </w:r>
            <w:r w:rsidR="00285B6B" w:rsidRPr="00FA6A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 EANS Application Part B</w:t>
            </w:r>
          </w:p>
          <w:p w14:paraId="4B073B1C" w14:textId="6B166A3C" w:rsidR="0007724C" w:rsidRPr="00FA6A62" w:rsidRDefault="0007724C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7724C" w14:paraId="5DBACE88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3A6B88F9" w14:textId="77777777" w:rsidR="0007724C" w:rsidRPr="00D60243" w:rsidRDefault="0007724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60243">
              <w:rPr>
                <w:rFonts w:ascii="Calibri" w:hAnsi="Calibri" w:cs="Calibri"/>
                <w:b/>
                <w:sz w:val="22"/>
                <w:szCs w:val="22"/>
              </w:rPr>
              <w:t>Required Forms: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14:paraId="4A72834F" w14:textId="3E1CFDFA" w:rsidR="005C4BF7" w:rsidRPr="00FA6A62" w:rsidRDefault="00C30883" w:rsidP="005C4BF7">
            <w:pPr>
              <w:pStyle w:val="BodyText"/>
              <w:numPr>
                <w:ilvl w:val="0"/>
                <w:numId w:val="24"/>
              </w:numPr>
              <w:rPr>
                <w:rFonts w:asciiTheme="minorHAnsi" w:hAnsiTheme="minorHAnsi" w:cstheme="minorHAnsi"/>
                <w:szCs w:val="22"/>
              </w:rPr>
            </w:pPr>
            <w:hyperlink r:id="rId12" w:history="1">
              <w:r w:rsidR="00DD7F21" w:rsidRPr="00FA6A62">
                <w:rPr>
                  <w:rStyle w:val="Hyperlink"/>
                  <w:rFonts w:asciiTheme="minorHAnsi" w:hAnsiTheme="minorHAnsi" w:cstheme="minorHAnsi"/>
                  <w:szCs w:val="22"/>
                </w:rPr>
                <w:t>EANS</w:t>
              </w:r>
              <w:r w:rsidR="005C4BF7" w:rsidRPr="00FA6A62">
                <w:rPr>
                  <w:rStyle w:val="Hyperlink"/>
                  <w:rFonts w:asciiTheme="minorHAnsi" w:hAnsiTheme="minorHAnsi" w:cstheme="minorHAnsi"/>
                  <w:szCs w:val="22"/>
                </w:rPr>
                <w:t xml:space="preserve"> Application </w:t>
              </w:r>
              <w:r w:rsidR="00DD7F21" w:rsidRPr="00FA6A62">
                <w:rPr>
                  <w:rStyle w:val="Hyperlink"/>
                  <w:rFonts w:asciiTheme="minorHAnsi" w:hAnsiTheme="minorHAnsi" w:cstheme="minorHAnsi"/>
                  <w:szCs w:val="22"/>
                </w:rPr>
                <w:t>Part A</w:t>
              </w:r>
            </w:hyperlink>
          </w:p>
          <w:p w14:paraId="222FE6D5" w14:textId="443E6366" w:rsidR="00DD7F21" w:rsidRPr="00FA6A62" w:rsidRDefault="00DD7F21" w:rsidP="005C4BF7">
            <w:pPr>
              <w:pStyle w:val="BodyText"/>
              <w:numPr>
                <w:ilvl w:val="0"/>
                <w:numId w:val="24"/>
              </w:numPr>
              <w:rPr>
                <w:rFonts w:asciiTheme="minorHAnsi" w:hAnsiTheme="minorHAnsi" w:cstheme="minorHAnsi"/>
                <w:szCs w:val="22"/>
              </w:rPr>
            </w:pPr>
            <w:r w:rsidRPr="00FA6A62">
              <w:rPr>
                <w:rFonts w:asciiTheme="minorHAnsi" w:hAnsiTheme="minorHAnsi" w:cstheme="minorHAnsi"/>
                <w:szCs w:val="22"/>
              </w:rPr>
              <w:t>EANS Application Part B</w:t>
            </w:r>
          </w:p>
          <w:p w14:paraId="5B7CCC69" w14:textId="5A26D685" w:rsidR="0007724C" w:rsidRPr="00FA6A62" w:rsidRDefault="0007724C" w:rsidP="00DD7F21">
            <w:pPr>
              <w:pStyle w:val="BodyText"/>
              <w:ind w:left="7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7724C" w14:paraId="13C8D143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629210F2" w14:textId="77777777" w:rsidR="0007724C" w:rsidRPr="00D60243" w:rsidRDefault="0007724C" w:rsidP="00A836DF">
            <w:pPr>
              <w:spacing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60243">
              <w:rPr>
                <w:rFonts w:ascii="Calibri" w:hAnsi="Calibri" w:cs="Calibri"/>
                <w:b/>
                <w:sz w:val="22"/>
                <w:szCs w:val="22"/>
              </w:rPr>
              <w:t>Additional Information:</w:t>
            </w:r>
          </w:p>
          <w:p w14:paraId="18A0F014" w14:textId="77777777" w:rsidR="000A0C22" w:rsidRPr="00D60243" w:rsidRDefault="000A0C22" w:rsidP="00A836DF">
            <w:pPr>
              <w:spacing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793D31" w14:textId="77777777" w:rsidR="00366643" w:rsidRDefault="00366643" w:rsidP="00A836DF">
            <w:pPr>
              <w:spacing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126F2C6" w14:textId="3FF85F9F" w:rsidR="000A0C22" w:rsidRPr="00D60243" w:rsidRDefault="000A0C22" w:rsidP="00A836DF">
            <w:pPr>
              <w:spacing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60243">
              <w:rPr>
                <w:rFonts w:ascii="Calibri" w:hAnsi="Calibri" w:cs="Calibri"/>
                <w:b/>
                <w:sz w:val="22"/>
                <w:szCs w:val="22"/>
              </w:rPr>
              <w:t xml:space="preserve">Submission Instructions: 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14:paraId="627FBE13" w14:textId="429F38CB" w:rsidR="00FA6A62" w:rsidRPr="00FA6A62" w:rsidRDefault="00C30883" w:rsidP="005C4BF7">
            <w:pPr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FA6A62" w:rsidRPr="00FA6A6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EANS program homepage – U.S. Department of Education</w:t>
              </w:r>
            </w:hyperlink>
          </w:p>
          <w:p w14:paraId="7E679782" w14:textId="3983A740" w:rsidR="00366643" w:rsidRPr="00FA6A62" w:rsidRDefault="00FA6A62" w:rsidP="005C4BF7">
            <w:pPr>
              <w:numPr>
                <w:ilvl w:val="0"/>
                <w:numId w:val="26"/>
              </w:numPr>
              <w:jc w:val="both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HYPERLINK "https://oese.ed.gov/files/2021/01/FINAL_-GEER_FactSheet_1.8.21.pdf"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A6A62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U.S. Department of Education – EANS</w:t>
            </w:r>
            <w:r w:rsidR="00366643" w:rsidRPr="00FA6A62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Fact Sheet</w:t>
            </w:r>
          </w:p>
          <w:p w14:paraId="2DABB8D4" w14:textId="1A6778AD" w:rsidR="00FA6A62" w:rsidRPr="00FA6A62" w:rsidRDefault="00FA6A62" w:rsidP="005C4BF7">
            <w:pPr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hyperlink r:id="rId14" w:history="1">
              <w:r w:rsidRPr="00FA6A6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U.S. Department of Education – EANS FAQ</w:t>
              </w:r>
            </w:hyperlink>
          </w:p>
          <w:p w14:paraId="73615EA7" w14:textId="3EDDEBFC" w:rsidR="00D313FB" w:rsidRPr="00FA6A62" w:rsidRDefault="00DD7F21" w:rsidP="005C4BF7">
            <w:pPr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6A62">
              <w:rPr>
                <w:rFonts w:asciiTheme="minorHAnsi" w:hAnsiTheme="minorHAnsi" w:cstheme="minorHAnsi"/>
                <w:sz w:val="22"/>
                <w:szCs w:val="22"/>
              </w:rPr>
              <w:t>EANS PowerPoint presentation - DESE</w:t>
            </w:r>
          </w:p>
          <w:p w14:paraId="3784C6BA" w14:textId="77777777" w:rsidR="0007724C" w:rsidRPr="00FA6A62" w:rsidRDefault="000772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7DC7D1" w14:textId="77777777" w:rsidR="00D313FB" w:rsidRPr="00FA6A62" w:rsidRDefault="00D313FB" w:rsidP="00D31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FFB311" w14:textId="55C05E54" w:rsidR="00D313FB" w:rsidRPr="00FA6A62" w:rsidRDefault="00DD7F21" w:rsidP="00D313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6A62">
              <w:rPr>
                <w:rFonts w:asciiTheme="minorHAnsi" w:hAnsiTheme="minorHAnsi" w:cstheme="minorHAnsi"/>
                <w:sz w:val="22"/>
                <w:szCs w:val="22"/>
              </w:rPr>
              <w:t xml:space="preserve">Non-public schools that desire to participate in the program </w:t>
            </w:r>
            <w:r w:rsidR="00981FD5" w:rsidRPr="00FA6A62">
              <w:rPr>
                <w:rFonts w:asciiTheme="minorHAnsi" w:hAnsiTheme="minorHAnsi" w:cstheme="minorHAnsi"/>
                <w:sz w:val="22"/>
                <w:szCs w:val="22"/>
              </w:rPr>
              <w:t>must</w:t>
            </w:r>
            <w:r w:rsidRPr="00FA6A62">
              <w:rPr>
                <w:rFonts w:asciiTheme="minorHAnsi" w:hAnsiTheme="minorHAnsi" w:cstheme="minorHAnsi"/>
                <w:sz w:val="22"/>
                <w:szCs w:val="22"/>
              </w:rPr>
              <w:t xml:space="preserve"> complete </w:t>
            </w:r>
            <w:r w:rsidR="00366643" w:rsidRPr="00FA6A62">
              <w:rPr>
                <w:rFonts w:asciiTheme="minorHAnsi" w:hAnsiTheme="minorHAnsi" w:cstheme="minorHAnsi"/>
                <w:sz w:val="22"/>
                <w:szCs w:val="22"/>
              </w:rPr>
              <w:t xml:space="preserve">and submit </w:t>
            </w:r>
            <w:r w:rsidRPr="00FA6A6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5" w:history="1">
              <w:r w:rsidRPr="00B243F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EANS Application Part A</w:t>
              </w:r>
            </w:hyperlink>
            <w:r w:rsidRPr="00FA6A62">
              <w:rPr>
                <w:rFonts w:asciiTheme="minorHAnsi" w:hAnsiTheme="minorHAnsi" w:cstheme="minorHAnsi"/>
                <w:sz w:val="22"/>
                <w:szCs w:val="22"/>
              </w:rPr>
              <w:t xml:space="preserve"> by Friday, March 1</w:t>
            </w:r>
            <w:r w:rsidR="00FA6A62" w:rsidRPr="00FA6A6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FA6A62">
              <w:rPr>
                <w:rFonts w:asciiTheme="minorHAnsi" w:hAnsiTheme="minorHAnsi" w:cstheme="minorHAnsi"/>
                <w:sz w:val="22"/>
                <w:szCs w:val="22"/>
              </w:rPr>
              <w:t>, 2021 @ 11:59PM</w:t>
            </w:r>
            <w:r w:rsidR="00981FD5" w:rsidRPr="00FA6A62">
              <w:rPr>
                <w:rFonts w:asciiTheme="minorHAnsi" w:hAnsiTheme="minorHAnsi" w:cstheme="minorHAnsi"/>
                <w:sz w:val="22"/>
                <w:szCs w:val="22"/>
              </w:rPr>
              <w:t xml:space="preserve"> EST</w:t>
            </w:r>
            <w:r w:rsidRPr="00FA6A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EB4CC30" w14:textId="77777777" w:rsidR="000A0C22" w:rsidRPr="00FA6A62" w:rsidRDefault="000A0C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4CC198" w14:textId="72975BD6" w:rsidR="00981FD5" w:rsidRPr="00FA6A62" w:rsidRDefault="00981F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6A62">
              <w:rPr>
                <w:rFonts w:asciiTheme="minorHAnsi" w:hAnsiTheme="minorHAnsi" w:cstheme="minorHAnsi"/>
                <w:sz w:val="22"/>
                <w:szCs w:val="22"/>
              </w:rPr>
              <w:t xml:space="preserve">Non-public schools will be notified of their eligibility and award amounts </w:t>
            </w:r>
            <w:r w:rsidR="00FA6A62">
              <w:rPr>
                <w:rFonts w:asciiTheme="minorHAnsi" w:hAnsiTheme="minorHAnsi" w:cstheme="minorHAnsi"/>
                <w:sz w:val="22"/>
                <w:szCs w:val="22"/>
              </w:rPr>
              <w:t>within a few weeks of the March 19, 2021 submission date.</w:t>
            </w:r>
          </w:p>
          <w:p w14:paraId="681E4DE6" w14:textId="77777777" w:rsidR="00981FD5" w:rsidRPr="00FA6A62" w:rsidRDefault="00981F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8552DE" w14:textId="0FBDD71B" w:rsidR="00981FD5" w:rsidRPr="00FA6A62" w:rsidRDefault="00981F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6A62">
              <w:rPr>
                <w:rFonts w:asciiTheme="minorHAnsi" w:hAnsiTheme="minorHAnsi" w:cstheme="minorHAnsi"/>
                <w:sz w:val="22"/>
                <w:szCs w:val="22"/>
              </w:rPr>
              <w:t xml:space="preserve">Awarded non-public schools must </w:t>
            </w:r>
            <w:r w:rsidR="00366643" w:rsidRPr="00FA6A62">
              <w:rPr>
                <w:rFonts w:asciiTheme="minorHAnsi" w:hAnsiTheme="minorHAnsi" w:cstheme="minorHAnsi"/>
                <w:sz w:val="22"/>
                <w:szCs w:val="22"/>
              </w:rPr>
              <w:t xml:space="preserve">complete and </w:t>
            </w:r>
            <w:r w:rsidRPr="00FA6A62">
              <w:rPr>
                <w:rFonts w:asciiTheme="minorHAnsi" w:hAnsiTheme="minorHAnsi" w:cstheme="minorHAnsi"/>
                <w:sz w:val="22"/>
                <w:szCs w:val="22"/>
              </w:rPr>
              <w:t xml:space="preserve">submit </w:t>
            </w:r>
            <w:r w:rsidR="00366643" w:rsidRPr="00FA6A62">
              <w:rPr>
                <w:rFonts w:asciiTheme="minorHAnsi" w:hAnsiTheme="minorHAnsi" w:cstheme="minorHAnsi"/>
                <w:sz w:val="22"/>
                <w:szCs w:val="22"/>
              </w:rPr>
              <w:t xml:space="preserve">EANS </w:t>
            </w:r>
            <w:r w:rsidRPr="00FA6A62">
              <w:rPr>
                <w:rFonts w:asciiTheme="minorHAnsi" w:hAnsiTheme="minorHAnsi" w:cstheme="minorHAnsi"/>
                <w:sz w:val="22"/>
                <w:szCs w:val="22"/>
              </w:rPr>
              <w:t xml:space="preserve">Application Part B by </w:t>
            </w:r>
            <w:r w:rsidR="00FA6A62">
              <w:rPr>
                <w:rFonts w:asciiTheme="minorHAnsi" w:hAnsiTheme="minorHAnsi" w:cstheme="minorHAnsi"/>
                <w:sz w:val="22"/>
                <w:szCs w:val="22"/>
              </w:rPr>
              <w:t>Wednesday</w:t>
            </w:r>
            <w:r w:rsidRPr="00FA6A6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A6A62">
              <w:rPr>
                <w:rFonts w:asciiTheme="minorHAnsi" w:hAnsiTheme="minorHAnsi" w:cstheme="minorHAnsi"/>
                <w:sz w:val="22"/>
                <w:szCs w:val="22"/>
              </w:rPr>
              <w:t>June</w:t>
            </w:r>
            <w:r w:rsidRPr="00FA6A62">
              <w:rPr>
                <w:rFonts w:asciiTheme="minorHAnsi" w:hAnsiTheme="minorHAnsi" w:cstheme="minorHAnsi"/>
                <w:sz w:val="22"/>
                <w:szCs w:val="22"/>
              </w:rPr>
              <w:t xml:space="preserve"> 30</w:t>
            </w:r>
            <w:r w:rsidR="00366643" w:rsidRPr="00FA6A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60676" w:rsidRPr="00FA6A62" w14:paraId="0F3625EB" w14:textId="77777777">
        <w:trPr>
          <w:gridAfter w:val="1"/>
          <w:wAfter w:w="7398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1A10BD2D" w14:textId="77777777" w:rsidR="00D60676" w:rsidRDefault="00D6067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B594F2F" w14:textId="77777777" w:rsidR="0007724C" w:rsidRDefault="0007724C">
      <w:pPr>
        <w:jc w:val="both"/>
        <w:rPr>
          <w:rFonts w:ascii="Arial" w:hAnsi="Arial" w:cs="Arial"/>
        </w:rPr>
      </w:pPr>
    </w:p>
    <w:sectPr w:rsidR="0007724C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5CAB"/>
    <w:multiLevelType w:val="hybridMultilevel"/>
    <w:tmpl w:val="C8D4F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2749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2" w15:restartNumberingAfterBreak="0">
    <w:nsid w:val="0BF55F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8904A2"/>
    <w:multiLevelType w:val="hybridMultilevel"/>
    <w:tmpl w:val="D204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615A5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5" w15:restartNumberingAfterBreak="0">
    <w:nsid w:val="127A11EB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6" w15:restartNumberingAfterBreak="0">
    <w:nsid w:val="17E31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F16F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2A734B"/>
    <w:multiLevelType w:val="hybridMultilevel"/>
    <w:tmpl w:val="9A321A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6251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E771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1276ADD"/>
    <w:multiLevelType w:val="hybridMultilevel"/>
    <w:tmpl w:val="D32252D0"/>
    <w:lvl w:ilvl="0" w:tplc="6D84B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DC9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BE9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3A9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368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5C7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665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FA5A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70AF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75626F"/>
    <w:multiLevelType w:val="hybridMultilevel"/>
    <w:tmpl w:val="34C49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9A6A3E"/>
    <w:multiLevelType w:val="hybridMultilevel"/>
    <w:tmpl w:val="28D0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F3B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3D76BE"/>
    <w:multiLevelType w:val="hybridMultilevel"/>
    <w:tmpl w:val="580AE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15938"/>
    <w:multiLevelType w:val="hybridMultilevel"/>
    <w:tmpl w:val="00004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35F25"/>
    <w:multiLevelType w:val="hybridMultilevel"/>
    <w:tmpl w:val="D59A1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577A4A"/>
    <w:multiLevelType w:val="hybridMultilevel"/>
    <w:tmpl w:val="65723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3337CB"/>
    <w:multiLevelType w:val="hybridMultilevel"/>
    <w:tmpl w:val="5E125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F02430"/>
    <w:multiLevelType w:val="hybridMultilevel"/>
    <w:tmpl w:val="19CE33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C5A2AFA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22" w15:restartNumberingAfterBreak="0">
    <w:nsid w:val="5C7D5E6E"/>
    <w:multiLevelType w:val="hybridMultilevel"/>
    <w:tmpl w:val="841E0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C5C7D"/>
    <w:multiLevelType w:val="hybridMultilevel"/>
    <w:tmpl w:val="CFAA5F6C"/>
    <w:lvl w:ilvl="0" w:tplc="1F2C579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81B91"/>
    <w:multiLevelType w:val="hybridMultilevel"/>
    <w:tmpl w:val="79E4B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EA5330"/>
    <w:multiLevelType w:val="hybridMultilevel"/>
    <w:tmpl w:val="DD301750"/>
    <w:lvl w:ilvl="0" w:tplc="1F2C579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77B65BCA"/>
    <w:multiLevelType w:val="hybridMultilevel"/>
    <w:tmpl w:val="376A2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CB12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1"/>
  </w:num>
  <w:num w:numId="5">
    <w:abstractNumId w:val="7"/>
  </w:num>
  <w:num w:numId="6">
    <w:abstractNumId w:val="27"/>
  </w:num>
  <w:num w:numId="7">
    <w:abstractNumId w:val="10"/>
  </w:num>
  <w:num w:numId="8">
    <w:abstractNumId w:val="2"/>
  </w:num>
  <w:num w:numId="9">
    <w:abstractNumId w:val="14"/>
  </w:num>
  <w:num w:numId="10">
    <w:abstractNumId w:val="6"/>
  </w:num>
  <w:num w:numId="11">
    <w:abstractNumId w:val="9"/>
  </w:num>
  <w:num w:numId="12">
    <w:abstractNumId w:val="20"/>
  </w:num>
  <w:num w:numId="13">
    <w:abstractNumId w:val="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9"/>
  </w:num>
  <w:num w:numId="17">
    <w:abstractNumId w:val="12"/>
  </w:num>
  <w:num w:numId="18">
    <w:abstractNumId w:val="17"/>
  </w:num>
  <w:num w:numId="19">
    <w:abstractNumId w:val="18"/>
  </w:num>
  <w:num w:numId="20">
    <w:abstractNumId w:val="12"/>
  </w:num>
  <w:num w:numId="21">
    <w:abstractNumId w:val="24"/>
  </w:num>
  <w:num w:numId="22">
    <w:abstractNumId w:val="15"/>
  </w:num>
  <w:num w:numId="23">
    <w:abstractNumId w:val="16"/>
  </w:num>
  <w:num w:numId="24">
    <w:abstractNumId w:val="0"/>
  </w:num>
  <w:num w:numId="25">
    <w:abstractNumId w:val="3"/>
  </w:num>
  <w:num w:numId="26">
    <w:abstractNumId w:val="13"/>
  </w:num>
  <w:num w:numId="27">
    <w:abstractNumId w:val="25"/>
  </w:num>
  <w:num w:numId="28">
    <w:abstractNumId w:val="1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A7"/>
    <w:rsid w:val="00011582"/>
    <w:rsid w:val="00031F3C"/>
    <w:rsid w:val="0005602C"/>
    <w:rsid w:val="00072C16"/>
    <w:rsid w:val="0007724C"/>
    <w:rsid w:val="000A0C22"/>
    <w:rsid w:val="000A31D6"/>
    <w:rsid w:val="000C52DB"/>
    <w:rsid w:val="000C6574"/>
    <w:rsid w:val="00130AD9"/>
    <w:rsid w:val="001373B6"/>
    <w:rsid w:val="00171704"/>
    <w:rsid w:val="001A2182"/>
    <w:rsid w:val="001D43B2"/>
    <w:rsid w:val="001D612C"/>
    <w:rsid w:val="00285B6B"/>
    <w:rsid w:val="002D3A43"/>
    <w:rsid w:val="0033672C"/>
    <w:rsid w:val="00366643"/>
    <w:rsid w:val="00386944"/>
    <w:rsid w:val="003C657C"/>
    <w:rsid w:val="004C7E93"/>
    <w:rsid w:val="00525120"/>
    <w:rsid w:val="005737EF"/>
    <w:rsid w:val="005A34C5"/>
    <w:rsid w:val="005C4BF7"/>
    <w:rsid w:val="005D0369"/>
    <w:rsid w:val="006262C8"/>
    <w:rsid w:val="00642536"/>
    <w:rsid w:val="006A5E2A"/>
    <w:rsid w:val="006D1CBF"/>
    <w:rsid w:val="006F5030"/>
    <w:rsid w:val="00701584"/>
    <w:rsid w:val="00711F8E"/>
    <w:rsid w:val="00837197"/>
    <w:rsid w:val="00846C4F"/>
    <w:rsid w:val="00896D3B"/>
    <w:rsid w:val="008A7B11"/>
    <w:rsid w:val="008D7F3A"/>
    <w:rsid w:val="00933E6B"/>
    <w:rsid w:val="00981FD5"/>
    <w:rsid w:val="009B5090"/>
    <w:rsid w:val="009B7C74"/>
    <w:rsid w:val="00A836DF"/>
    <w:rsid w:val="00AB2AB3"/>
    <w:rsid w:val="00AF1E62"/>
    <w:rsid w:val="00B037F3"/>
    <w:rsid w:val="00B1215F"/>
    <w:rsid w:val="00B243F0"/>
    <w:rsid w:val="00B414A6"/>
    <w:rsid w:val="00B6776A"/>
    <w:rsid w:val="00BA7B68"/>
    <w:rsid w:val="00BB74DD"/>
    <w:rsid w:val="00BE4BE7"/>
    <w:rsid w:val="00BF0F9E"/>
    <w:rsid w:val="00BF1A69"/>
    <w:rsid w:val="00C17872"/>
    <w:rsid w:val="00C30883"/>
    <w:rsid w:val="00C336FC"/>
    <w:rsid w:val="00C75582"/>
    <w:rsid w:val="00CA4C31"/>
    <w:rsid w:val="00CE0145"/>
    <w:rsid w:val="00D313FB"/>
    <w:rsid w:val="00D60243"/>
    <w:rsid w:val="00D60676"/>
    <w:rsid w:val="00D64175"/>
    <w:rsid w:val="00DD7F21"/>
    <w:rsid w:val="00E4074B"/>
    <w:rsid w:val="00ED28A7"/>
    <w:rsid w:val="00F103AF"/>
    <w:rsid w:val="00F30F56"/>
    <w:rsid w:val="00F50EB4"/>
    <w:rsid w:val="00F54D5C"/>
    <w:rsid w:val="00FA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37F7BB"/>
  <w15:chartTrackingRefBased/>
  <w15:docId w15:val="{4C691AC7-BFDC-4F70-821D-92BA4E0D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qFormat/>
    <w:pPr>
      <w:keepNext/>
      <w:spacing w:after="120"/>
      <w:jc w:val="both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60"/>
      <w:jc w:val="both"/>
    </w:pPr>
    <w:rPr>
      <w:sz w:val="22"/>
    </w:rPr>
  </w:style>
  <w:style w:type="paragraph" w:styleId="BalloonText">
    <w:name w:val="Balloon Text"/>
    <w:basedOn w:val="Normal"/>
    <w:semiHidden/>
    <w:rsid w:val="00AF1E6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6776A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0A0C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0C22"/>
  </w:style>
  <w:style w:type="character" w:customStyle="1" w:styleId="CommentTextChar">
    <w:name w:val="Comment Text Char"/>
    <w:basedOn w:val="DefaultParagraphFont"/>
    <w:link w:val="CommentText"/>
    <w:rsid w:val="000A0C22"/>
  </w:style>
  <w:style w:type="paragraph" w:styleId="CommentSubject">
    <w:name w:val="annotation subject"/>
    <w:basedOn w:val="CommentText"/>
    <w:next w:val="CommentText"/>
    <w:link w:val="CommentSubjectChar"/>
    <w:rsid w:val="000A0C22"/>
    <w:rPr>
      <w:b/>
      <w:bCs/>
    </w:rPr>
  </w:style>
  <w:style w:type="character" w:customStyle="1" w:styleId="CommentSubjectChar">
    <w:name w:val="Comment Subject Char"/>
    <w:link w:val="CommentSubject"/>
    <w:rsid w:val="000A0C22"/>
    <w:rPr>
      <w:b/>
      <w:bCs/>
    </w:rPr>
  </w:style>
  <w:style w:type="paragraph" w:styleId="ListParagraph">
    <w:name w:val="List Paragraph"/>
    <w:basedOn w:val="Normal"/>
    <w:uiPriority w:val="34"/>
    <w:qFormat/>
    <w:rsid w:val="00D641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711F8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11F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72C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95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16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91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918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oese.ed.gov/offices/education-stabilization-fund/emergency-assistance-non-public-schools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urvey.alchemer.com/s3/6206830/Massachusetts-EANS-Application-Part-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EANS@mass.gov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survey.alchemer.com/s3/6206830/Massachusetts-EANS-Application-Part-A" TargetMode="External"/><Relationship Id="rId10" Type="http://schemas.openxmlformats.org/officeDocument/2006/relationships/hyperlink" Target="http://www.doe.mass.edu/federalgrant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oese.ed.gov/files/2021/01/Final_EANS_FAQs_1.14.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 xmlns="733efe1c-5bbe-4968-87dc-d400e65c879f">DESE-231-68588</_dlc_DocId>
    <_dlc_DocIdUrl xmlns="733efe1c-5bbe-4968-87dc-d400e65c879f">
      <Url>https://sharepoint.doemass.org/ese/webteam/cps/_layouts/DocIdRedir.aspx?ID=DESE-231-68588</Url>
      <Description>DESE-231-68588</Description>
    </_dlc_DocIdUrl>
    <_dlc_DocIdPersistId xmlns="733efe1c-5bbe-4968-87dc-d400e65c879f">true</_dlc_DocIdPersistId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F13BE91-F10F-4FCE-A08D-A1D30BB284D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4A0B3DE-13A8-4A4B-B4AE-086526C15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3FA4A2-4DFD-4ACD-9447-066FD80871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73E43D-90B1-405F-A6F5-D1E8A06A8EF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269C29F6-A44B-48A7-B58A-41AC01E056B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EANS RFP</vt:lpstr>
    </vt:vector>
  </TitlesOfParts>
  <Company/>
  <LinksUpToDate>false</LinksUpToDate>
  <CharactersWithSpaces>7507</CharactersWithSpaces>
  <SharedDoc>false</SharedDoc>
  <HLinks>
    <vt:vector size="54" baseType="variant">
      <vt:variant>
        <vt:i4>2687100</vt:i4>
      </vt:variant>
      <vt:variant>
        <vt:i4>24</vt:i4>
      </vt:variant>
      <vt:variant>
        <vt:i4>0</vt:i4>
      </vt:variant>
      <vt:variant>
        <vt:i4>5</vt:i4>
      </vt:variant>
      <vt:variant>
        <vt:lpwstr>http://www.doe.mass.edu/news/news.aspx?id=21775</vt:lpwstr>
      </vt:variant>
      <vt:variant>
        <vt:lpwstr/>
      </vt:variant>
      <vt:variant>
        <vt:i4>2687100</vt:i4>
      </vt:variant>
      <vt:variant>
        <vt:i4>21</vt:i4>
      </vt:variant>
      <vt:variant>
        <vt:i4>0</vt:i4>
      </vt:variant>
      <vt:variant>
        <vt:i4>5</vt:i4>
      </vt:variant>
      <vt:variant>
        <vt:lpwstr>http://www.doe.mass.edu/news/news.aspx?id=21775</vt:lpwstr>
      </vt:variant>
      <vt:variant>
        <vt:lpwstr/>
      </vt:variant>
      <vt:variant>
        <vt:i4>2687100</vt:i4>
      </vt:variant>
      <vt:variant>
        <vt:i4>18</vt:i4>
      </vt:variant>
      <vt:variant>
        <vt:i4>0</vt:i4>
      </vt:variant>
      <vt:variant>
        <vt:i4>5</vt:i4>
      </vt:variant>
      <vt:variant>
        <vt:lpwstr>http://www.doe.mass.edu/news/news.aspx?id=21776</vt:lpwstr>
      </vt:variant>
      <vt:variant>
        <vt:lpwstr/>
      </vt:variant>
      <vt:variant>
        <vt:i4>6422585</vt:i4>
      </vt:variant>
      <vt:variant>
        <vt:i4>15</vt:i4>
      </vt:variant>
      <vt:variant>
        <vt:i4>0</vt:i4>
      </vt:variant>
      <vt:variant>
        <vt:i4>5</vt:i4>
      </vt:variant>
      <vt:variant>
        <vt:lpwstr>https://edgrants.eoe.mass.edu/grantium/frontOffice.jsf</vt:lpwstr>
      </vt:variant>
      <vt:variant>
        <vt:lpwstr/>
      </vt:variant>
      <vt:variant>
        <vt:i4>27</vt:i4>
      </vt:variant>
      <vt:variant>
        <vt:i4>12</vt:i4>
      </vt:variant>
      <vt:variant>
        <vt:i4>0</vt:i4>
      </vt:variant>
      <vt:variant>
        <vt:i4>5</vt:i4>
      </vt:variant>
      <vt:variant>
        <vt:lpwstr>http://www.doe.mass.edu/grants/procedure/manual.html</vt:lpwstr>
      </vt:variant>
      <vt:variant>
        <vt:lpwstr/>
      </vt:variant>
      <vt:variant>
        <vt:i4>6357003</vt:i4>
      </vt:variant>
      <vt:variant>
        <vt:i4>9</vt:i4>
      </vt:variant>
      <vt:variant>
        <vt:i4>0</vt:i4>
      </vt:variant>
      <vt:variant>
        <vt:i4>5</vt:i4>
      </vt:variant>
      <vt:variant>
        <vt:lpwstr>mailto:federalgrantprograms@doe.mass.edu</vt:lpwstr>
      </vt:variant>
      <vt:variant>
        <vt:lpwstr/>
      </vt:variant>
      <vt:variant>
        <vt:i4>7143520</vt:i4>
      </vt:variant>
      <vt:variant>
        <vt:i4>6</vt:i4>
      </vt:variant>
      <vt:variant>
        <vt:i4>0</vt:i4>
      </vt:variant>
      <vt:variant>
        <vt:i4>5</vt:i4>
      </vt:variant>
      <vt:variant>
        <vt:lpwstr>http://www.doe.mass.edu/federalgrants/</vt:lpwstr>
      </vt:variant>
      <vt:variant>
        <vt:lpwstr/>
      </vt:variant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http://www.doe.mass.edu/federalgrants/resources/equitableservices-essa/rg-eqserv.docx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http://www.doe.mass.edu/grants/awards.html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EANS RFP</dc:title>
  <dc:subject/>
  <dc:creator>DESE</dc:creator>
  <cp:keywords/>
  <cp:lastModifiedBy>Zou, Dong (EOE)</cp:lastModifiedBy>
  <cp:revision>4</cp:revision>
  <cp:lastPrinted>2009-08-14T19:15:00Z</cp:lastPrinted>
  <dcterms:created xsi:type="dcterms:W3CDTF">2021-03-01T21:18:00Z</dcterms:created>
  <dcterms:modified xsi:type="dcterms:W3CDTF">2021-03-02T15:21:00Z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 2021</vt:lpwstr>
  </property>
</Properties>
</file>