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6885B" w14:textId="6C15D794" w:rsidR="00AF7AE2" w:rsidRPr="00AF7AE2" w:rsidRDefault="009B412E" w:rsidP="00C004F4">
      <w:pPr>
        <w:spacing w:after="0" w:line="240" w:lineRule="auto"/>
        <w:rPr>
          <w:b/>
          <w:color w:val="1F497D" w:themeColor="text2"/>
          <w:sz w:val="28"/>
          <w:szCs w:val="28"/>
        </w:rPr>
      </w:pPr>
      <w:r w:rsidRPr="00AF7AE2">
        <w:rPr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C69C8C1" wp14:editId="3C04AB58">
            <wp:simplePos x="0" y="0"/>
            <wp:positionH relativeFrom="margin">
              <wp:posOffset>4874895</wp:posOffset>
            </wp:positionH>
            <wp:positionV relativeFrom="margin">
              <wp:posOffset>-53340</wp:posOffset>
            </wp:positionV>
            <wp:extent cx="1871345" cy="741680"/>
            <wp:effectExtent l="0" t="0" r="0" b="127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reative\DESE-Elem-Secondary-Education\Logo\DESE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AE2" w:rsidRPr="00AF7AE2">
        <w:rPr>
          <w:b/>
          <w:color w:val="1F497D" w:themeColor="text2"/>
          <w:sz w:val="28"/>
          <w:szCs w:val="28"/>
        </w:rPr>
        <w:t xml:space="preserve">Coronavirus Aid, Relief, and Economic Security (CARES) Act </w:t>
      </w:r>
    </w:p>
    <w:p w14:paraId="2EFAD337" w14:textId="77777777" w:rsidR="003E6857" w:rsidRDefault="00AF7AE2" w:rsidP="00C004F4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A100C9">
        <w:rPr>
          <w:b/>
          <w:color w:val="1F497D" w:themeColor="text2"/>
          <w:sz w:val="24"/>
          <w:szCs w:val="24"/>
        </w:rPr>
        <w:t>Elementary and Secondary Schools Emergency Relief (ESSER) Fund</w:t>
      </w:r>
      <w:r w:rsidR="00056E07" w:rsidRPr="00A100C9">
        <w:rPr>
          <w:b/>
          <w:color w:val="1F497D" w:themeColor="text2"/>
          <w:sz w:val="24"/>
          <w:szCs w:val="24"/>
        </w:rPr>
        <w:t>:</w:t>
      </w:r>
      <w:r w:rsidR="00972D90" w:rsidRPr="00A100C9">
        <w:rPr>
          <w:b/>
          <w:color w:val="1F497D" w:themeColor="text2"/>
          <w:sz w:val="24"/>
          <w:szCs w:val="24"/>
        </w:rPr>
        <w:t xml:space="preserve"> </w:t>
      </w:r>
    </w:p>
    <w:p w14:paraId="5DE42E39" w14:textId="6560005D" w:rsidR="00811F57" w:rsidRPr="00A100C9" w:rsidRDefault="00972D90" w:rsidP="00C004F4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A100C9">
        <w:rPr>
          <w:b/>
          <w:color w:val="1F497D" w:themeColor="text2"/>
          <w:sz w:val="24"/>
          <w:szCs w:val="24"/>
        </w:rPr>
        <w:t xml:space="preserve">Quick Reference Guide </w:t>
      </w:r>
      <w:r w:rsidR="004B0C48" w:rsidRPr="00A100C9">
        <w:rPr>
          <w:b/>
          <w:color w:val="1F497D" w:themeColor="text2"/>
          <w:sz w:val="24"/>
          <w:szCs w:val="24"/>
        </w:rPr>
        <w:t>– F</w:t>
      </w:r>
      <w:r w:rsidR="0031692E" w:rsidRPr="00A100C9">
        <w:rPr>
          <w:b/>
          <w:color w:val="1F497D" w:themeColor="text2"/>
          <w:sz w:val="24"/>
          <w:szCs w:val="24"/>
        </w:rPr>
        <w:t xml:space="preserve">und </w:t>
      </w:r>
      <w:r w:rsidR="004B0C48" w:rsidRPr="00A100C9">
        <w:rPr>
          <w:b/>
          <w:color w:val="1F497D" w:themeColor="text2"/>
          <w:sz w:val="24"/>
          <w:szCs w:val="24"/>
        </w:rPr>
        <w:t>C</w:t>
      </w:r>
      <w:r w:rsidR="0031692E" w:rsidRPr="00A100C9">
        <w:rPr>
          <w:b/>
          <w:color w:val="1F497D" w:themeColor="text2"/>
          <w:sz w:val="24"/>
          <w:szCs w:val="24"/>
        </w:rPr>
        <w:t>ode</w:t>
      </w:r>
      <w:r w:rsidR="004B0C48" w:rsidRPr="00A100C9">
        <w:rPr>
          <w:b/>
          <w:color w:val="1F497D" w:themeColor="text2"/>
          <w:sz w:val="24"/>
          <w:szCs w:val="24"/>
        </w:rPr>
        <w:t xml:space="preserve"> </w:t>
      </w:r>
      <w:r w:rsidR="00AF7AE2" w:rsidRPr="00A100C9">
        <w:rPr>
          <w:b/>
          <w:color w:val="1F497D" w:themeColor="text2"/>
          <w:sz w:val="24"/>
          <w:szCs w:val="24"/>
        </w:rPr>
        <w:t>113</w:t>
      </w:r>
    </w:p>
    <w:p w14:paraId="5E2A0F98" w14:textId="77777777" w:rsidR="00AF7AE2" w:rsidRDefault="00AF7AE2" w:rsidP="00C004F4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</w:p>
    <w:p w14:paraId="15CE2C15" w14:textId="2F4086EB" w:rsidR="00965002" w:rsidRPr="00A100C9" w:rsidRDefault="007E33E1" w:rsidP="00C004F4">
      <w:pPr>
        <w:spacing w:after="0" w:line="240" w:lineRule="auto"/>
        <w:rPr>
          <w:b/>
          <w:color w:val="E36C0A" w:themeColor="accent6" w:themeShade="BF"/>
          <w:szCs w:val="24"/>
        </w:rPr>
      </w:pPr>
      <w:bookmarkStart w:id="0" w:name="_GoBack"/>
      <w:r>
        <w:rPr>
          <w:b/>
          <w:color w:val="E36C0A" w:themeColor="accent6" w:themeShade="BF"/>
          <w:szCs w:val="24"/>
        </w:rPr>
        <w:t>The CARES Act was signed into law on March 27, 2020. It includes</w:t>
      </w:r>
      <w:r w:rsidR="006820B9">
        <w:rPr>
          <w:b/>
          <w:color w:val="E36C0A" w:themeColor="accent6" w:themeShade="BF"/>
          <w:szCs w:val="24"/>
        </w:rPr>
        <w:t xml:space="preserve"> the Elementary and Secondary Schools Emergency Relief (ESSER) funds to help </w:t>
      </w:r>
      <w:r w:rsidR="00426169">
        <w:rPr>
          <w:b/>
          <w:color w:val="E36C0A" w:themeColor="accent6" w:themeShade="BF"/>
          <w:szCs w:val="24"/>
        </w:rPr>
        <w:t xml:space="preserve">K-12 </w:t>
      </w:r>
      <w:r w:rsidR="006820B9">
        <w:rPr>
          <w:b/>
          <w:color w:val="E36C0A" w:themeColor="accent6" w:themeShade="BF"/>
          <w:szCs w:val="24"/>
        </w:rPr>
        <w:t xml:space="preserve">educational entities prevent, prepare for, and respond to impacts of COVID-19. </w:t>
      </w:r>
      <w:bookmarkEnd w:id="0"/>
    </w:p>
    <w:p w14:paraId="217DE045" w14:textId="77777777" w:rsidR="00D53271" w:rsidRPr="00AF7AE2" w:rsidRDefault="00D53271" w:rsidP="00C004F4">
      <w:pPr>
        <w:spacing w:after="0" w:line="240" w:lineRule="auto"/>
        <w:rPr>
          <w:b/>
          <w:color w:val="E36C0A" w:themeColor="accent6" w:themeShade="BF"/>
          <w:sz w:val="14"/>
          <w:szCs w:val="14"/>
        </w:rPr>
      </w:pPr>
    </w:p>
    <w:p w14:paraId="2601C82A" w14:textId="5AE88DE8" w:rsidR="00916E34" w:rsidRPr="003B45F2" w:rsidRDefault="00AF7AE2" w:rsidP="00916E34">
      <w:pPr>
        <w:shd w:val="clear" w:color="auto" w:fill="FFFFFF" w:themeFill="background1"/>
        <w:spacing w:after="0" w:line="240" w:lineRule="auto"/>
        <w:rPr>
          <w:color w:val="1F497D" w:themeColor="text2"/>
          <w:szCs w:val="18"/>
          <w:u w:val="single"/>
        </w:rPr>
      </w:pPr>
      <w:r w:rsidRPr="003B45F2">
        <w:rPr>
          <w:b/>
          <w:color w:val="1F497D" w:themeColor="text2"/>
          <w:szCs w:val="18"/>
          <w:u w:val="single"/>
        </w:rPr>
        <w:t>ESSER Fund</w:t>
      </w:r>
      <w:r w:rsidR="009B412E" w:rsidRPr="003B45F2">
        <w:rPr>
          <w:b/>
          <w:color w:val="1F497D" w:themeColor="text2"/>
          <w:szCs w:val="18"/>
          <w:u w:val="single"/>
        </w:rPr>
        <w:t>:</w:t>
      </w:r>
      <w:r w:rsidR="003669EC">
        <w:rPr>
          <w:b/>
          <w:color w:val="1F497D" w:themeColor="text2"/>
          <w:szCs w:val="18"/>
          <w:u w:val="single"/>
        </w:rPr>
        <w:t xml:space="preserve"> General Information</w:t>
      </w:r>
      <w:r w:rsidR="009B412E" w:rsidRPr="003B45F2">
        <w:rPr>
          <w:color w:val="1F497D" w:themeColor="text2"/>
          <w:szCs w:val="18"/>
          <w:u w:val="single"/>
        </w:rPr>
        <w:t xml:space="preserve"> </w:t>
      </w:r>
    </w:p>
    <w:p w14:paraId="316016D8" w14:textId="3C56C4F9" w:rsidR="00426169" w:rsidRPr="002A5F9E" w:rsidRDefault="00925D86" w:rsidP="00426169">
      <w:pPr>
        <w:shd w:val="clear" w:color="auto" w:fill="FFFFFF" w:themeFill="background1"/>
        <w:spacing w:after="0" w:line="240" w:lineRule="auto"/>
        <w:rPr>
          <w:color w:val="1F497D" w:themeColor="text2"/>
        </w:rPr>
      </w:pPr>
      <w:r w:rsidRPr="00925D86">
        <w:rPr>
          <w:color w:val="1F497D" w:themeColor="text2"/>
          <w:szCs w:val="18"/>
        </w:rPr>
        <w:t>Although ESSER funds</w:t>
      </w:r>
      <w:r w:rsidR="003B45F2">
        <w:rPr>
          <w:color w:val="1F497D" w:themeColor="text2"/>
          <w:szCs w:val="18"/>
        </w:rPr>
        <w:t xml:space="preserve"> are</w:t>
      </w:r>
      <w:r w:rsidRPr="00925D86">
        <w:rPr>
          <w:color w:val="1F497D" w:themeColor="text2"/>
          <w:szCs w:val="18"/>
        </w:rPr>
        <w:t xml:space="preserve"> distributed to districts based on Title I, Part A allocations, they are not Title I, Part A funds</w:t>
      </w:r>
      <w:r w:rsidR="00560AAA">
        <w:rPr>
          <w:color w:val="1F497D" w:themeColor="text2"/>
          <w:szCs w:val="18"/>
        </w:rPr>
        <w:t xml:space="preserve">, and are not subject to </w:t>
      </w:r>
      <w:r w:rsidR="00560AAA" w:rsidRPr="00560AAA">
        <w:rPr>
          <w:i/>
          <w:iCs/>
          <w:color w:val="1F497D" w:themeColor="text2"/>
          <w:szCs w:val="18"/>
        </w:rPr>
        <w:t>supplement not supplant</w:t>
      </w:r>
      <w:r w:rsidR="00560AAA">
        <w:rPr>
          <w:color w:val="1F497D" w:themeColor="text2"/>
          <w:szCs w:val="18"/>
        </w:rPr>
        <w:t xml:space="preserve"> provisions</w:t>
      </w:r>
      <w:r w:rsidRPr="00925D86">
        <w:rPr>
          <w:color w:val="1F497D" w:themeColor="text2"/>
          <w:szCs w:val="18"/>
        </w:rPr>
        <w:t>. ESSER is its own</w:t>
      </w:r>
      <w:r w:rsidR="00426169">
        <w:rPr>
          <w:color w:val="1F497D" w:themeColor="text2"/>
          <w:szCs w:val="18"/>
        </w:rPr>
        <w:t xml:space="preserve"> </w:t>
      </w:r>
      <w:r w:rsidRPr="00925D86">
        <w:rPr>
          <w:color w:val="1F497D" w:themeColor="text2"/>
          <w:szCs w:val="18"/>
        </w:rPr>
        <w:t>program intended to help with the COVID-19 response.</w:t>
      </w:r>
      <w:r w:rsidR="00426169">
        <w:rPr>
          <w:color w:val="1F497D" w:themeColor="text2"/>
          <w:szCs w:val="18"/>
        </w:rPr>
        <w:t xml:space="preserve"> </w:t>
      </w:r>
      <w:r w:rsidR="00426169" w:rsidRPr="002A5F9E">
        <w:rPr>
          <w:color w:val="1F497D" w:themeColor="text2"/>
        </w:rPr>
        <w:t xml:space="preserve">ESSER Funds may support any </w:t>
      </w:r>
      <w:r w:rsidR="00426169">
        <w:rPr>
          <w:color w:val="1F497D" w:themeColor="text2"/>
        </w:rPr>
        <w:t xml:space="preserve">allowable </w:t>
      </w:r>
      <w:r w:rsidR="00426169" w:rsidRPr="002A5F9E">
        <w:rPr>
          <w:color w:val="1F497D" w:themeColor="text2"/>
        </w:rPr>
        <w:t>activity authorized by Every Student Succeeds Act (ESSA), Individuals with Disabilities Education Act (IDEA), Carl D. Perkins Career and Technical Education Act, McKinney-Vento Homeless Assistance Act, and the Adult Education and Family Literacy Act (AEFLA</w:t>
      </w:r>
      <w:r w:rsidR="00560AAA">
        <w:rPr>
          <w:color w:val="1F497D" w:themeColor="text2"/>
        </w:rPr>
        <w:t>)</w:t>
      </w:r>
      <w:r w:rsidR="0093107C">
        <w:rPr>
          <w:color w:val="1F497D" w:themeColor="text2"/>
        </w:rPr>
        <w:t>, in addition to other activities listed below</w:t>
      </w:r>
      <w:r w:rsidR="00426169" w:rsidRPr="002A5F9E">
        <w:rPr>
          <w:color w:val="1F497D" w:themeColor="text2"/>
        </w:rPr>
        <w:t>.</w:t>
      </w:r>
      <w:r w:rsidR="003669EC">
        <w:rPr>
          <w:color w:val="1F497D" w:themeColor="text2"/>
        </w:rPr>
        <w:t xml:space="preserve"> </w:t>
      </w:r>
      <w:r w:rsidR="003669EC" w:rsidRPr="003669EC">
        <w:rPr>
          <w:color w:val="1F497D" w:themeColor="text2"/>
        </w:rPr>
        <w:t xml:space="preserve">Once a district has </w:t>
      </w:r>
      <w:r w:rsidR="00CC7F6F">
        <w:rPr>
          <w:color w:val="1F497D" w:themeColor="text2"/>
        </w:rPr>
        <w:t xml:space="preserve">had </w:t>
      </w:r>
      <w:r w:rsidR="00591BBA">
        <w:rPr>
          <w:color w:val="1F497D" w:themeColor="text2"/>
        </w:rPr>
        <w:t xml:space="preserve">its </w:t>
      </w:r>
      <w:r w:rsidR="003669EC" w:rsidRPr="003669EC">
        <w:rPr>
          <w:color w:val="1F497D" w:themeColor="text2"/>
        </w:rPr>
        <w:t>ESSER</w:t>
      </w:r>
      <w:r w:rsidR="001A45D0">
        <w:rPr>
          <w:color w:val="1F497D" w:themeColor="text2"/>
        </w:rPr>
        <w:t xml:space="preserve"> grant</w:t>
      </w:r>
      <w:r w:rsidR="003669EC" w:rsidRPr="003669EC">
        <w:rPr>
          <w:color w:val="1F497D" w:themeColor="text2"/>
        </w:rPr>
        <w:t xml:space="preserve"> application</w:t>
      </w:r>
      <w:r w:rsidR="00CC7F6F">
        <w:rPr>
          <w:color w:val="1F497D" w:themeColor="text2"/>
        </w:rPr>
        <w:t xml:space="preserve"> approved by DESE</w:t>
      </w:r>
      <w:r w:rsidR="003669EC" w:rsidRPr="003669EC">
        <w:rPr>
          <w:color w:val="1F497D" w:themeColor="text2"/>
        </w:rPr>
        <w:t xml:space="preserve">, funding can be used for </w:t>
      </w:r>
      <w:r w:rsidR="00DE7819">
        <w:rPr>
          <w:color w:val="1F497D" w:themeColor="text2"/>
        </w:rPr>
        <w:t xml:space="preserve">FY20 </w:t>
      </w:r>
      <w:r w:rsidR="003669EC" w:rsidRPr="003669EC">
        <w:rPr>
          <w:color w:val="1F497D" w:themeColor="text2"/>
        </w:rPr>
        <w:t xml:space="preserve">allowable costs </w:t>
      </w:r>
      <w:r w:rsidR="00CC7F6F">
        <w:rPr>
          <w:color w:val="1F497D" w:themeColor="text2"/>
        </w:rPr>
        <w:t xml:space="preserve">dating </w:t>
      </w:r>
      <w:r w:rsidR="003669EC" w:rsidRPr="003669EC">
        <w:rPr>
          <w:color w:val="1F497D" w:themeColor="text2"/>
        </w:rPr>
        <w:t xml:space="preserve">back to March 13, 2020, and funding will remain available </w:t>
      </w:r>
      <w:r w:rsidR="00DE7819">
        <w:rPr>
          <w:color w:val="1F497D" w:themeColor="text2"/>
        </w:rPr>
        <w:t xml:space="preserve">for allowable costs </w:t>
      </w:r>
      <w:r w:rsidR="003669EC" w:rsidRPr="003669EC">
        <w:rPr>
          <w:color w:val="1F497D" w:themeColor="text2"/>
        </w:rPr>
        <w:t>through September 30, 2022.</w:t>
      </w:r>
    </w:p>
    <w:p w14:paraId="4424BE7E" w14:textId="32E5652F" w:rsidR="003E6857" w:rsidRDefault="0093107C" w:rsidP="00916E34">
      <w:pPr>
        <w:shd w:val="clear" w:color="auto" w:fill="FFFFFF" w:themeFill="background1"/>
        <w:spacing w:after="0" w:line="240" w:lineRule="auto"/>
        <w:rPr>
          <w:color w:val="1F497D" w:themeColor="text2"/>
          <w:szCs w:val="1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BECF9" wp14:editId="1A2E3240">
                <wp:simplePos x="0" y="0"/>
                <wp:positionH relativeFrom="margin">
                  <wp:posOffset>95250</wp:posOffset>
                </wp:positionH>
                <wp:positionV relativeFrom="paragraph">
                  <wp:posOffset>162560</wp:posOffset>
                </wp:positionV>
                <wp:extent cx="6696075" cy="4876800"/>
                <wp:effectExtent l="114300" t="114300" r="161925" b="152400"/>
                <wp:wrapNone/>
                <wp:docPr id="7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D2AD7B" w14:textId="0CB61C99" w:rsidR="00F305C6" w:rsidRPr="00925D86" w:rsidRDefault="00F305C6" w:rsidP="00F30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</w:pPr>
                            <w:r w:rsidRPr="00925D86"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  <w:t>ESSER Funds A</w:t>
                            </w:r>
                            <w:r w:rsidR="0093107C"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  <w:t>LLOWABLE</w:t>
                            </w:r>
                            <w:r w:rsidRPr="00925D86"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  <w:t xml:space="preserve"> Activities:</w:t>
                            </w:r>
                          </w:p>
                          <w:p w14:paraId="69563B5F" w14:textId="7ED1CE16" w:rsidR="00F305C6" w:rsidRDefault="00F305C6" w:rsidP="00F305C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The purpose of the ESSER fund is to provide districts with emergency relief funds to address the impact COVID-19 has had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and continues to have, on elementary and secondary schools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 xml:space="preserve"> that </w:t>
                            </w:r>
                            <w:r w:rsidR="00591BBA">
                              <w:rPr>
                                <w:color w:val="1F497D" w:themeColor="text2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provid</w:t>
                            </w:r>
                            <w:r w:rsidR="00591BBA">
                              <w:rPr>
                                <w:color w:val="1F497D" w:themeColor="text2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educational services and develop</w:t>
                            </w:r>
                            <w:r w:rsidR="00591BBA">
                              <w:rPr>
                                <w:color w:val="1F497D" w:themeColor="text2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plans for the return to normal operations.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 xml:space="preserve"> Funds may be</w:t>
                            </w:r>
                            <w:r w:rsidR="00CC7F6F">
                              <w:rPr>
                                <w:color w:val="1F497D" w:themeColor="text2"/>
                                <w:szCs w:val="18"/>
                              </w:rPr>
                              <w:t xml:space="preserve"> used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 xml:space="preserve"> for</w:t>
                            </w:r>
                            <w:r w:rsidR="00CC7F6F">
                              <w:rPr>
                                <w:color w:val="1F497D" w:themeColor="text2"/>
                                <w:szCs w:val="18"/>
                              </w:rPr>
                              <w:t xml:space="preserve"> a wide variety of purposes, including but not limited to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:</w:t>
                            </w:r>
                          </w:p>
                          <w:p w14:paraId="0A786FF4" w14:textId="1E4B7D68" w:rsidR="007102A3" w:rsidRPr="003669EC" w:rsidRDefault="003D1511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E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ducational technology (</w:t>
                            </w:r>
                            <w:r w:rsidR="001A45D0">
                              <w:rPr>
                                <w:color w:val="1F497D" w:themeColor="text2"/>
                                <w:szCs w:val="18"/>
                              </w:rPr>
                              <w:t xml:space="preserve">internet 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connectivity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>,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 xml:space="preserve"> hardware, 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 xml:space="preserve">devices, 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 xml:space="preserve">software, 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>tech support services, etc.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)</w:t>
                            </w:r>
                          </w:p>
                          <w:p w14:paraId="52F0388B" w14:textId="70342EF6" w:rsidR="003D1511" w:rsidRPr="003669EC" w:rsidRDefault="003D1511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 w:rsidRPr="003669EC">
                              <w:rPr>
                                <w:color w:val="1F497D" w:themeColor="text2"/>
                                <w:szCs w:val="18"/>
                              </w:rPr>
                              <w:t>Supplies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and services</w:t>
                            </w:r>
                            <w:r w:rsidRPr="003669EC">
                              <w:rPr>
                                <w:color w:val="1F497D" w:themeColor="text2"/>
                                <w:szCs w:val="18"/>
                              </w:rPr>
                              <w:t xml:space="preserve"> that enable remote learning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(printing, telephonic support, translation services, etc.)</w:t>
                            </w:r>
                          </w:p>
                          <w:p w14:paraId="496B94DE" w14:textId="6BAD298B" w:rsidR="007102A3" w:rsidRDefault="003D1511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M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ental health services and supports</w:t>
                            </w:r>
                          </w:p>
                          <w:p w14:paraId="33FF5BC5" w14:textId="77777777" w:rsidR="00C15FD9" w:rsidRDefault="00C15FD9" w:rsidP="00C15F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Activities to address the unique needs of low-income children, students with disabilities, English learners, racial and ethnic minorities, students experiencing homelessness, and foster care youth, including outreach and service delivery</w:t>
                            </w:r>
                          </w:p>
                          <w:p w14:paraId="6D1FA8B0" w14:textId="48862D73" w:rsidR="005C59D3" w:rsidRPr="005C59D3" w:rsidRDefault="005C59D3" w:rsidP="005C59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D</w:t>
                            </w:r>
                            <w:r w:rsidRPr="005C59D3">
                              <w:rPr>
                                <w:color w:val="1F497D" w:themeColor="text2"/>
                                <w:szCs w:val="18"/>
                              </w:rPr>
                              <w:t>iagnostic intake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assessments</w:t>
                            </w:r>
                            <w:r w:rsidRPr="005C59D3">
                              <w:rPr>
                                <w:color w:val="1F497D" w:themeColor="text2"/>
                                <w:szCs w:val="18"/>
                              </w:rPr>
                              <w:t xml:space="preserve"> to </w:t>
                            </w:r>
                            <w:r w:rsidR="00840709">
                              <w:rPr>
                                <w:color w:val="1F497D" w:themeColor="text2"/>
                                <w:szCs w:val="18"/>
                              </w:rPr>
                              <w:t>gauge</w:t>
                            </w:r>
                            <w:r w:rsidRPr="005C59D3">
                              <w:rPr>
                                <w:color w:val="1F497D" w:themeColor="text2"/>
                                <w:szCs w:val="18"/>
                              </w:rPr>
                              <w:t xml:space="preserve"> students’ knowledge and skills </w:t>
                            </w:r>
                            <w:r w:rsidR="00840709">
                              <w:rPr>
                                <w:color w:val="1F497D" w:themeColor="text2"/>
                                <w:szCs w:val="18"/>
                              </w:rPr>
                              <w:t xml:space="preserve">(i.e. </w:t>
                            </w:r>
                            <w:hyperlink r:id="rId13" w:history="1">
                              <w:r w:rsidR="00840709" w:rsidRPr="00D84575">
                                <w:rPr>
                                  <w:rStyle w:val="Hyperlink"/>
                                  <w:rFonts w:cstheme="minorBidi"/>
                                  <w:szCs w:val="18"/>
                                </w:rPr>
                                <w:t>early literacy screening</w:t>
                              </w:r>
                            </w:hyperlink>
                            <w:r w:rsidR="00A14EE2">
                              <w:rPr>
                                <w:color w:val="1F497D" w:themeColor="text2"/>
                                <w:szCs w:val="18"/>
                              </w:rPr>
                              <w:t>,</w:t>
                            </w:r>
                            <w:r w:rsidR="00D84575">
                              <w:rPr>
                                <w:color w:val="1F497D" w:themeColor="text2"/>
                                <w:szCs w:val="18"/>
                              </w:rPr>
                              <w:t xml:space="preserve"> </w:t>
                            </w:r>
                            <w:r w:rsidR="00A14EE2">
                              <w:rPr>
                                <w:color w:val="1F497D" w:themeColor="text2"/>
                                <w:szCs w:val="18"/>
                              </w:rPr>
                              <w:t>e</w:t>
                            </w:r>
                            <w:r w:rsidR="00D84575">
                              <w:rPr>
                                <w:color w:val="1F497D" w:themeColor="text2"/>
                                <w:szCs w:val="18"/>
                              </w:rPr>
                              <w:t>tc.)</w:t>
                            </w:r>
                          </w:p>
                          <w:p w14:paraId="38B96C56" w14:textId="034DAE60" w:rsidR="004B0595" w:rsidRDefault="004B0595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A</w:t>
                            </w:r>
                            <w:r w:rsidRPr="004B0595">
                              <w:rPr>
                                <w:color w:val="1F497D" w:themeColor="text2"/>
                                <w:szCs w:val="18"/>
                              </w:rPr>
                              <w:t>ssessing learning gaps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to inform </w:t>
                            </w:r>
                            <w:r w:rsidR="00F9702E">
                              <w:rPr>
                                <w:color w:val="1F497D" w:themeColor="text2"/>
                                <w:szCs w:val="18"/>
                              </w:rPr>
                              <w:t>teaching</w:t>
                            </w:r>
                            <w:r w:rsidR="001A45D0">
                              <w:rPr>
                                <w:color w:val="1F497D" w:themeColor="text2"/>
                                <w:szCs w:val="18"/>
                              </w:rPr>
                              <w:t>,</w:t>
                            </w:r>
                            <w:r w:rsidR="001A45D0" w:rsidRPr="001A45D0">
                              <w:rPr>
                                <w:color w:val="1F497D" w:themeColor="text2"/>
                                <w:szCs w:val="18"/>
                              </w:rPr>
                              <w:t xml:space="preserve"> </w:t>
                            </w:r>
                            <w:r w:rsidR="001A45D0" w:rsidRPr="004B0595">
                              <w:rPr>
                                <w:color w:val="1F497D" w:themeColor="text2"/>
                                <w:szCs w:val="18"/>
                              </w:rPr>
                              <w:t>and addressing</w:t>
                            </w:r>
                            <w:r w:rsidR="001A45D0">
                              <w:rPr>
                                <w:color w:val="1F497D" w:themeColor="text2"/>
                                <w:szCs w:val="18"/>
                              </w:rPr>
                              <w:t xml:space="preserve"> those gaps</w:t>
                            </w:r>
                          </w:p>
                          <w:p w14:paraId="64FB9A03" w14:textId="77777777" w:rsidR="003669EC" w:rsidRDefault="007102A3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Planning and implementing summer learning and supplemental afterschool programs</w:t>
                            </w:r>
                          </w:p>
                          <w:p w14:paraId="2F812C2D" w14:textId="1DEA3698" w:rsidR="00F305C6" w:rsidRDefault="00F305C6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Providing principals and other school leaders with resources to address individual school need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>s</w:t>
                            </w:r>
                          </w:p>
                          <w:p w14:paraId="498E2F45" w14:textId="448F20C4" w:rsidR="007B4AC1" w:rsidRDefault="007B4AC1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Training and professional development for 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istrict staff on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 xml:space="preserve"> </w:t>
                            </w:r>
                            <w:r w:rsidR="00591BBA">
                              <w:rPr>
                                <w:color w:val="1F497D" w:themeColor="text2"/>
                                <w:szCs w:val="18"/>
                              </w:rPr>
                              <w:t xml:space="preserve">any topic 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>from effective remote learning strategies to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 sanitation and minimizing the spread of infectious disease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 xml:space="preserve"> when</w:t>
                            </w:r>
                            <w:r w:rsidR="001A45D0">
                              <w:rPr>
                                <w:color w:val="1F497D" w:themeColor="text2"/>
                                <w:szCs w:val="18"/>
                              </w:rPr>
                              <w:t xml:space="preserve"> in-person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 xml:space="preserve"> school resumes</w:t>
                            </w:r>
                          </w:p>
                          <w:p w14:paraId="1B4BBEA6" w14:textId="1A7EF6B8" w:rsidR="001A45D0" w:rsidRPr="001A45D0" w:rsidRDefault="003D1511" w:rsidP="001A45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Supplies and services</w:t>
                            </w:r>
                            <w:r w:rsidR="007B4AC1">
                              <w:rPr>
                                <w:color w:val="1F497D" w:themeColor="text2"/>
                                <w:szCs w:val="18"/>
                              </w:rPr>
                              <w:t xml:space="preserve"> to sanitize </w:t>
                            </w:r>
                            <w:r w:rsidR="007102A3">
                              <w:rPr>
                                <w:color w:val="1F497D" w:themeColor="text2"/>
                                <w:szCs w:val="18"/>
                              </w:rPr>
                              <w:t>d</w:t>
                            </w:r>
                            <w:r w:rsidR="007B4AC1">
                              <w:rPr>
                                <w:color w:val="1F497D" w:themeColor="text2"/>
                                <w:szCs w:val="18"/>
                              </w:rPr>
                              <w:t>istrict facilities</w:t>
                            </w:r>
                            <w:r w:rsidR="001A45D0">
                              <w:rPr>
                                <w:color w:val="1F497D" w:themeColor="text2"/>
                                <w:szCs w:val="18"/>
                              </w:rPr>
                              <w:t>; personal protective equipment (PPE)</w:t>
                            </w:r>
                          </w:p>
                          <w:p w14:paraId="37D8141B" w14:textId="77777777" w:rsidR="005935B0" w:rsidRDefault="005935B0" w:rsidP="005935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Any activity allowable under ESSA, IDEA, Perkins, McKinney-Vento, and AEFLA</w:t>
                            </w:r>
                          </w:p>
                          <w:p w14:paraId="48D79FC0" w14:textId="499A3E5B" w:rsidR="003669EC" w:rsidRDefault="003669EC" w:rsidP="00C923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Planning for and coordinating during long-term closures, including how to provide meals, technology for online learning, guidance for carrying out IDEA requirements, and providing educational services consistent with applicable requirements</w:t>
                            </w:r>
                          </w:p>
                          <w:p w14:paraId="098DD09B" w14:textId="7F1F87E8" w:rsidR="00620F9D" w:rsidRDefault="00620F9D" w:rsidP="00620F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20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Procedures and </w:t>
                            </w:r>
                            <w:r w:rsidR="00C505DF">
                              <w:rPr>
                                <w:color w:val="1F497D" w:themeColor="text2"/>
                                <w:szCs w:val="18"/>
                              </w:rPr>
                              <w:t xml:space="preserve">coordination 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systems to improve district preparedness and response efforts</w:t>
                            </w:r>
                            <w:r w:rsidR="00C505DF" w:rsidRPr="00C505DF">
                              <w:rPr>
                                <w:color w:val="1F497D" w:themeColor="text2"/>
                                <w:szCs w:val="18"/>
                              </w:rPr>
                              <w:t xml:space="preserve"> </w:t>
                            </w:r>
                            <w:r w:rsidR="00C505DF">
                              <w:rPr>
                                <w:color w:val="1F497D" w:themeColor="text2"/>
                                <w:szCs w:val="18"/>
                              </w:rPr>
                              <w:t>to COVID-19</w:t>
                            </w:r>
                          </w:p>
                          <w:p w14:paraId="64159A56" w14:textId="22899DD1" w:rsidR="007B4AC1" w:rsidRPr="00505404" w:rsidRDefault="007B4AC1" w:rsidP="004422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before="100" w:beforeAutospacing="1" w:after="100" w:afterAutospacing="1" w:line="240" w:lineRule="auto"/>
                              <w:ind w:left="54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Other activities necessary to maintain 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istrict operations and services and </w:t>
                            </w:r>
                            <w:r w:rsidR="003661EF">
                              <w:rPr>
                                <w:color w:val="1F497D" w:themeColor="text2"/>
                                <w:szCs w:val="18"/>
                              </w:rPr>
                              <w:t xml:space="preserve">to continue to </w:t>
                            </w: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employ existing </w:t>
                            </w:r>
                            <w:r w:rsidR="003669EC">
                              <w:rPr>
                                <w:color w:val="1F497D" w:themeColor="text2"/>
                                <w:szCs w:val="18"/>
                              </w:rPr>
                              <w:t>d</w:t>
                            </w:r>
                            <w:r w:rsidRPr="00505404">
                              <w:rPr>
                                <w:color w:val="1F497D" w:themeColor="text2"/>
                                <w:szCs w:val="18"/>
                              </w:rPr>
                              <w:t>istrict staff.</w:t>
                            </w:r>
                          </w:p>
                          <w:p w14:paraId="2C3096BC" w14:textId="7A0723EB" w:rsidR="00F305C6" w:rsidRPr="007E33E1" w:rsidRDefault="00505404" w:rsidP="004422D9">
                            <w:pPr>
                              <w:shd w:val="clear" w:color="auto" w:fill="FFFFFF" w:themeFill="background1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E33E1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Please note: This is not an exhaustive list. </w:t>
                            </w:r>
                            <w:hyperlink r:id="rId14" w:history="1">
                              <w:r w:rsidRPr="007E33E1">
                                <w:rPr>
                                  <w:rStyle w:val="Hyperlink"/>
                                  <w:rFonts w:cstheme="minorBidi"/>
                                  <w:b/>
                                  <w:i/>
                                  <w:sz w:val="18"/>
                                  <w:szCs w:val="18"/>
                                </w:rPr>
                                <w:t>Contact</w:t>
                              </w:r>
                            </w:hyperlink>
                            <w:r w:rsidRPr="007E33E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33E1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our office for more specific, situational</w:t>
                            </w:r>
                            <w:r w:rsidR="00064A01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,</w:t>
                            </w:r>
                            <w:r w:rsidRPr="007E33E1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and fiscal guidance as needed.</w:t>
                            </w:r>
                          </w:p>
                          <w:p w14:paraId="4F3D7452" w14:textId="158D67C5" w:rsidR="00F305C6" w:rsidRPr="00596C87" w:rsidRDefault="00F305C6" w:rsidP="00F305C6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ECF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.5pt;margin-top:12.8pt;width:527.25pt;height:3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" strokecolor="#365f91 [2404]" strokeweight=".25pt">
                <v:shadow on="t" color="black" opacity="26214f" origin="-.5,-.5" offset=".74836mm,.74836mm"/>
                <v:textbox>
                  <w:txbxContent>
                    <w:p w14:paraId="6CD2AD7B" w14:textId="0CB61C99" w:rsidR="00F305C6" w:rsidRPr="00925D86" w:rsidRDefault="00F305C6" w:rsidP="00F30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</w:pPr>
                      <w:r w:rsidRPr="00925D86"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  <w:t>ESSER Funds A</w:t>
                      </w:r>
                      <w:r w:rsidR="0093107C"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  <w:t>LLOWABLE</w:t>
                      </w:r>
                      <w:r w:rsidRPr="00925D86"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  <w:t xml:space="preserve"> Activities:</w:t>
                      </w:r>
                    </w:p>
                    <w:p w14:paraId="69563B5F" w14:textId="7ED1CE16" w:rsidR="00F305C6" w:rsidRDefault="00F305C6" w:rsidP="00F305C6">
                      <w:pPr>
                        <w:shd w:val="clear" w:color="auto" w:fill="FFFFFF" w:themeFill="background1"/>
                        <w:spacing w:after="0" w:line="240" w:lineRule="auto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The purpose of the ESSER fund is to provide districts with emergency relief funds to address the impact COVID-19 has had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,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and continues to have, on elementary and secondary schools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 xml:space="preserve"> that </w:t>
                      </w:r>
                      <w:r w:rsidR="00591BBA">
                        <w:rPr>
                          <w:color w:val="1F497D" w:themeColor="text2"/>
                          <w:szCs w:val="18"/>
                        </w:rPr>
                        <w:t>are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provid</w:t>
                      </w:r>
                      <w:r w:rsidR="00591BBA">
                        <w:rPr>
                          <w:color w:val="1F497D" w:themeColor="text2"/>
                          <w:szCs w:val="18"/>
                        </w:rPr>
                        <w:t>ing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educational services and develop</w:t>
                      </w:r>
                      <w:r w:rsidR="00591BBA">
                        <w:rPr>
                          <w:color w:val="1F497D" w:themeColor="text2"/>
                          <w:szCs w:val="18"/>
                        </w:rPr>
                        <w:t>ing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plans for the return to normal operations.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 xml:space="preserve"> Funds may be</w:t>
                      </w:r>
                      <w:r w:rsidR="00CC7F6F">
                        <w:rPr>
                          <w:color w:val="1F497D" w:themeColor="text2"/>
                          <w:szCs w:val="18"/>
                        </w:rPr>
                        <w:t xml:space="preserve"> used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 xml:space="preserve"> for</w:t>
                      </w:r>
                      <w:r w:rsidR="00CC7F6F">
                        <w:rPr>
                          <w:color w:val="1F497D" w:themeColor="text2"/>
                          <w:szCs w:val="18"/>
                        </w:rPr>
                        <w:t xml:space="preserve"> a wide variety of purposes, including but not limited to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:</w:t>
                      </w:r>
                    </w:p>
                    <w:p w14:paraId="0A786FF4" w14:textId="1E4B7D68" w:rsidR="007102A3" w:rsidRPr="003669EC" w:rsidRDefault="003D1511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E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ducational technology (</w:t>
                      </w:r>
                      <w:r w:rsidR="001A45D0">
                        <w:rPr>
                          <w:color w:val="1F497D" w:themeColor="text2"/>
                          <w:szCs w:val="18"/>
                        </w:rPr>
                        <w:t xml:space="preserve">internet 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connectivity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>,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 xml:space="preserve"> hardware, 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 xml:space="preserve">devices, 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 xml:space="preserve">software, 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>tech support services, etc.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)</w:t>
                      </w:r>
                    </w:p>
                    <w:p w14:paraId="52F0388B" w14:textId="70342EF6" w:rsidR="003D1511" w:rsidRPr="003669EC" w:rsidRDefault="003D1511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 w:rsidRPr="003669EC">
                        <w:rPr>
                          <w:color w:val="1F497D" w:themeColor="text2"/>
                          <w:szCs w:val="18"/>
                        </w:rPr>
                        <w:t>Supplies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and services</w:t>
                      </w:r>
                      <w:r w:rsidRPr="003669EC">
                        <w:rPr>
                          <w:color w:val="1F497D" w:themeColor="text2"/>
                          <w:szCs w:val="18"/>
                        </w:rPr>
                        <w:t xml:space="preserve"> that enable remote learning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(printing, telephonic support, translation services, etc.)</w:t>
                      </w:r>
                    </w:p>
                    <w:p w14:paraId="496B94DE" w14:textId="6BAD298B" w:rsidR="007102A3" w:rsidRDefault="003D1511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M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ental health services and supports</w:t>
                      </w:r>
                    </w:p>
                    <w:p w14:paraId="33FF5BC5" w14:textId="77777777" w:rsidR="00C15FD9" w:rsidRDefault="00C15FD9" w:rsidP="00C15F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Activities to address the unique needs of low-income children, students with disabilities, English learners, racial and ethnic minorities, students experiencing homelessness, and foster care youth, including outreach and service delivery</w:t>
                      </w:r>
                    </w:p>
                    <w:p w14:paraId="6D1FA8B0" w14:textId="48862D73" w:rsidR="005C59D3" w:rsidRPr="005C59D3" w:rsidRDefault="005C59D3" w:rsidP="005C59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D</w:t>
                      </w:r>
                      <w:r w:rsidRPr="005C59D3">
                        <w:rPr>
                          <w:color w:val="1F497D" w:themeColor="text2"/>
                          <w:szCs w:val="18"/>
                        </w:rPr>
                        <w:t>iagnostic intake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assessments</w:t>
                      </w:r>
                      <w:r w:rsidRPr="005C59D3">
                        <w:rPr>
                          <w:color w:val="1F497D" w:themeColor="text2"/>
                          <w:szCs w:val="18"/>
                        </w:rPr>
                        <w:t xml:space="preserve"> to </w:t>
                      </w:r>
                      <w:r w:rsidR="00840709">
                        <w:rPr>
                          <w:color w:val="1F497D" w:themeColor="text2"/>
                          <w:szCs w:val="18"/>
                        </w:rPr>
                        <w:t>gauge</w:t>
                      </w:r>
                      <w:r w:rsidRPr="005C59D3">
                        <w:rPr>
                          <w:color w:val="1F497D" w:themeColor="text2"/>
                          <w:szCs w:val="18"/>
                        </w:rPr>
                        <w:t xml:space="preserve"> students’ knowledge and skills </w:t>
                      </w:r>
                      <w:r w:rsidR="00840709">
                        <w:rPr>
                          <w:color w:val="1F497D" w:themeColor="text2"/>
                          <w:szCs w:val="18"/>
                        </w:rPr>
                        <w:t xml:space="preserve">(i.e. </w:t>
                      </w:r>
                      <w:hyperlink r:id="rId15" w:history="1">
                        <w:r w:rsidR="00840709" w:rsidRPr="00D84575">
                          <w:rPr>
                            <w:rStyle w:val="Hyperlink"/>
                            <w:rFonts w:cstheme="minorBidi"/>
                            <w:szCs w:val="18"/>
                          </w:rPr>
                          <w:t>early literacy screening</w:t>
                        </w:r>
                      </w:hyperlink>
                      <w:r w:rsidR="00A14EE2">
                        <w:rPr>
                          <w:color w:val="1F497D" w:themeColor="text2"/>
                          <w:szCs w:val="18"/>
                        </w:rPr>
                        <w:t>,</w:t>
                      </w:r>
                      <w:r w:rsidR="00D84575">
                        <w:rPr>
                          <w:color w:val="1F497D" w:themeColor="text2"/>
                          <w:szCs w:val="18"/>
                        </w:rPr>
                        <w:t xml:space="preserve"> </w:t>
                      </w:r>
                      <w:r w:rsidR="00A14EE2">
                        <w:rPr>
                          <w:color w:val="1F497D" w:themeColor="text2"/>
                          <w:szCs w:val="18"/>
                        </w:rPr>
                        <w:t>e</w:t>
                      </w:r>
                      <w:r w:rsidR="00D84575">
                        <w:rPr>
                          <w:color w:val="1F497D" w:themeColor="text2"/>
                          <w:szCs w:val="18"/>
                        </w:rPr>
                        <w:t>tc.)</w:t>
                      </w:r>
                    </w:p>
                    <w:p w14:paraId="38B96C56" w14:textId="034DAE60" w:rsidR="004B0595" w:rsidRDefault="004B0595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A</w:t>
                      </w:r>
                      <w:r w:rsidRPr="004B0595">
                        <w:rPr>
                          <w:color w:val="1F497D" w:themeColor="text2"/>
                          <w:szCs w:val="18"/>
                        </w:rPr>
                        <w:t>ssessing learning gaps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to inform </w:t>
                      </w:r>
                      <w:r w:rsidR="00F9702E">
                        <w:rPr>
                          <w:color w:val="1F497D" w:themeColor="text2"/>
                          <w:szCs w:val="18"/>
                        </w:rPr>
                        <w:t>teaching</w:t>
                      </w:r>
                      <w:r w:rsidR="001A45D0">
                        <w:rPr>
                          <w:color w:val="1F497D" w:themeColor="text2"/>
                          <w:szCs w:val="18"/>
                        </w:rPr>
                        <w:t>,</w:t>
                      </w:r>
                      <w:r w:rsidR="001A45D0" w:rsidRPr="001A45D0">
                        <w:rPr>
                          <w:color w:val="1F497D" w:themeColor="text2"/>
                          <w:szCs w:val="18"/>
                        </w:rPr>
                        <w:t xml:space="preserve"> </w:t>
                      </w:r>
                      <w:r w:rsidR="001A45D0" w:rsidRPr="004B0595">
                        <w:rPr>
                          <w:color w:val="1F497D" w:themeColor="text2"/>
                          <w:szCs w:val="18"/>
                        </w:rPr>
                        <w:t>and addressing</w:t>
                      </w:r>
                      <w:r w:rsidR="001A45D0">
                        <w:rPr>
                          <w:color w:val="1F497D" w:themeColor="text2"/>
                          <w:szCs w:val="18"/>
                        </w:rPr>
                        <w:t xml:space="preserve"> those gaps</w:t>
                      </w:r>
                    </w:p>
                    <w:p w14:paraId="64FB9A03" w14:textId="77777777" w:rsidR="003669EC" w:rsidRDefault="007102A3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Planning and implementing summer learning and supplemental afterschool programs</w:t>
                      </w:r>
                    </w:p>
                    <w:p w14:paraId="2F812C2D" w14:textId="1DEA3698" w:rsidR="00F305C6" w:rsidRDefault="00F305C6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Providing principals and other school leaders with resources to address individual school need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>s</w:t>
                      </w:r>
                    </w:p>
                    <w:p w14:paraId="498E2F45" w14:textId="448F20C4" w:rsidR="007B4AC1" w:rsidRDefault="007B4AC1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 xml:space="preserve">Training and professional development for 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d</w:t>
                      </w:r>
                      <w:r>
                        <w:rPr>
                          <w:color w:val="1F497D" w:themeColor="text2"/>
                          <w:szCs w:val="18"/>
                        </w:rPr>
                        <w:t>istrict staff on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 xml:space="preserve"> </w:t>
                      </w:r>
                      <w:r w:rsidR="00591BBA">
                        <w:rPr>
                          <w:color w:val="1F497D" w:themeColor="text2"/>
                          <w:szCs w:val="18"/>
                        </w:rPr>
                        <w:t xml:space="preserve">any topic 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>from effective remote learning strategies to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 sanitation and minimizing the spread of infectious disease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 xml:space="preserve"> when</w:t>
                      </w:r>
                      <w:r w:rsidR="001A45D0">
                        <w:rPr>
                          <w:color w:val="1F497D" w:themeColor="text2"/>
                          <w:szCs w:val="18"/>
                        </w:rPr>
                        <w:t xml:space="preserve"> in-person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 xml:space="preserve"> school resumes</w:t>
                      </w:r>
                    </w:p>
                    <w:p w14:paraId="1B4BBEA6" w14:textId="1A7EF6B8" w:rsidR="001A45D0" w:rsidRPr="001A45D0" w:rsidRDefault="003D1511" w:rsidP="001A45D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Supplies and services</w:t>
                      </w:r>
                      <w:r w:rsidR="007B4AC1">
                        <w:rPr>
                          <w:color w:val="1F497D" w:themeColor="text2"/>
                          <w:szCs w:val="18"/>
                        </w:rPr>
                        <w:t xml:space="preserve"> to sanitize </w:t>
                      </w:r>
                      <w:r w:rsidR="007102A3">
                        <w:rPr>
                          <w:color w:val="1F497D" w:themeColor="text2"/>
                          <w:szCs w:val="18"/>
                        </w:rPr>
                        <w:t>d</w:t>
                      </w:r>
                      <w:r w:rsidR="007B4AC1">
                        <w:rPr>
                          <w:color w:val="1F497D" w:themeColor="text2"/>
                          <w:szCs w:val="18"/>
                        </w:rPr>
                        <w:t>istrict facilities</w:t>
                      </w:r>
                      <w:r w:rsidR="001A45D0">
                        <w:rPr>
                          <w:color w:val="1F497D" w:themeColor="text2"/>
                          <w:szCs w:val="18"/>
                        </w:rPr>
                        <w:t>; personal protective equipment (PPE)</w:t>
                      </w:r>
                    </w:p>
                    <w:p w14:paraId="37D8141B" w14:textId="77777777" w:rsidR="005935B0" w:rsidRDefault="005935B0" w:rsidP="005935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Any activity allowable under ESSA, IDEA, Perkins, McKinney-Vento, and AEFLA</w:t>
                      </w:r>
                    </w:p>
                    <w:p w14:paraId="48D79FC0" w14:textId="499A3E5B" w:rsidR="003669EC" w:rsidRDefault="003669EC" w:rsidP="00C923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Planning for and coordinating during long-term closures, including how to provide meals, technology for online learning, guidance for carrying out IDEA requirements, and providing educational services consistent with applicable requirements</w:t>
                      </w:r>
                    </w:p>
                    <w:p w14:paraId="098DD09B" w14:textId="7F1F87E8" w:rsidR="00620F9D" w:rsidRDefault="00620F9D" w:rsidP="00620F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20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 xml:space="preserve">Procedures and </w:t>
                      </w:r>
                      <w:r w:rsidR="00C505DF">
                        <w:rPr>
                          <w:color w:val="1F497D" w:themeColor="text2"/>
                          <w:szCs w:val="18"/>
                        </w:rPr>
                        <w:t xml:space="preserve">coordination </w:t>
                      </w:r>
                      <w:r>
                        <w:rPr>
                          <w:color w:val="1F497D" w:themeColor="text2"/>
                          <w:szCs w:val="18"/>
                        </w:rPr>
                        <w:t>systems to improve district preparedness and response efforts</w:t>
                      </w:r>
                      <w:r w:rsidR="00C505DF" w:rsidRPr="00C505DF">
                        <w:rPr>
                          <w:color w:val="1F497D" w:themeColor="text2"/>
                          <w:szCs w:val="18"/>
                        </w:rPr>
                        <w:t xml:space="preserve"> </w:t>
                      </w:r>
                      <w:r w:rsidR="00C505DF">
                        <w:rPr>
                          <w:color w:val="1F497D" w:themeColor="text2"/>
                          <w:szCs w:val="18"/>
                        </w:rPr>
                        <w:t>to COVID-19</w:t>
                      </w:r>
                    </w:p>
                    <w:p w14:paraId="64159A56" w14:textId="22899DD1" w:rsidR="007B4AC1" w:rsidRPr="00505404" w:rsidRDefault="007B4AC1" w:rsidP="004422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before="100" w:beforeAutospacing="1" w:after="100" w:afterAutospacing="1" w:line="240" w:lineRule="auto"/>
                        <w:ind w:left="54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 xml:space="preserve">Other activities necessary to maintain 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>d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istrict operations and services and </w:t>
                      </w:r>
                      <w:r w:rsidR="003661EF">
                        <w:rPr>
                          <w:color w:val="1F497D" w:themeColor="text2"/>
                          <w:szCs w:val="18"/>
                        </w:rPr>
                        <w:t xml:space="preserve">to continue to </w:t>
                      </w:r>
                      <w:r>
                        <w:rPr>
                          <w:color w:val="1F497D" w:themeColor="text2"/>
                          <w:szCs w:val="18"/>
                        </w:rPr>
                        <w:t xml:space="preserve">employ existing </w:t>
                      </w:r>
                      <w:r w:rsidR="003669EC">
                        <w:rPr>
                          <w:color w:val="1F497D" w:themeColor="text2"/>
                          <w:szCs w:val="18"/>
                        </w:rPr>
                        <w:t>d</w:t>
                      </w:r>
                      <w:r w:rsidRPr="00505404">
                        <w:rPr>
                          <w:color w:val="1F497D" w:themeColor="text2"/>
                          <w:szCs w:val="18"/>
                        </w:rPr>
                        <w:t>istrict staff.</w:t>
                      </w:r>
                    </w:p>
                    <w:p w14:paraId="2C3096BC" w14:textId="7A0723EB" w:rsidR="00F305C6" w:rsidRPr="007E33E1" w:rsidRDefault="00505404" w:rsidP="004422D9">
                      <w:pPr>
                        <w:shd w:val="clear" w:color="auto" w:fill="FFFFFF" w:themeFill="background1"/>
                        <w:spacing w:before="100" w:beforeAutospacing="1" w:after="100" w:afterAutospacing="1" w:line="240" w:lineRule="auto"/>
                        <w:jc w:val="center"/>
                        <w:rPr>
                          <w:color w:val="1F497D" w:themeColor="text2"/>
                          <w:sz w:val="18"/>
                          <w:szCs w:val="18"/>
                        </w:rPr>
                      </w:pPr>
                      <w:r w:rsidRPr="007E33E1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Please note: This is not an exhaustive list. </w:t>
                      </w:r>
                      <w:hyperlink r:id="rId16" w:history="1">
                        <w:r w:rsidRPr="007E33E1">
                          <w:rPr>
                            <w:rStyle w:val="Hyperlink"/>
                            <w:rFonts w:cstheme="minorBidi"/>
                            <w:b/>
                            <w:i/>
                            <w:sz w:val="18"/>
                            <w:szCs w:val="18"/>
                          </w:rPr>
                          <w:t>Contact</w:t>
                        </w:r>
                      </w:hyperlink>
                      <w:r w:rsidRPr="007E33E1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E33E1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our office for more specific, situational</w:t>
                      </w:r>
                      <w:r w:rsidR="00064A01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,</w:t>
                      </w:r>
                      <w:r w:rsidRPr="007E33E1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and fiscal guidance as needed.</w:t>
                      </w:r>
                    </w:p>
                    <w:p w14:paraId="4F3D7452" w14:textId="158D67C5" w:rsidR="00F305C6" w:rsidRPr="00596C87" w:rsidRDefault="00F305C6" w:rsidP="00F305C6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B556F" w14:textId="3E89433E" w:rsidR="00925D86" w:rsidRDefault="00925D86" w:rsidP="00916E34">
      <w:pPr>
        <w:shd w:val="clear" w:color="auto" w:fill="FFFFFF" w:themeFill="background1"/>
        <w:spacing w:after="0" w:line="240" w:lineRule="auto"/>
        <w:rPr>
          <w:color w:val="1F497D" w:themeColor="text2"/>
          <w:szCs w:val="18"/>
        </w:rPr>
      </w:pPr>
    </w:p>
    <w:p w14:paraId="345F9B57" w14:textId="77D4EC8C" w:rsidR="00925D86" w:rsidRPr="00925D86" w:rsidRDefault="00925D86" w:rsidP="00916E34">
      <w:pPr>
        <w:shd w:val="clear" w:color="auto" w:fill="FFFFFF" w:themeFill="background1"/>
        <w:spacing w:after="0" w:line="240" w:lineRule="auto"/>
        <w:rPr>
          <w:color w:val="1F497D" w:themeColor="text2"/>
          <w:szCs w:val="18"/>
        </w:rPr>
      </w:pPr>
    </w:p>
    <w:p w14:paraId="3A50A950" w14:textId="505B4F2D" w:rsidR="00411DA1" w:rsidRPr="00144928" w:rsidRDefault="000A6682" w:rsidP="00FC6D6E">
      <w:pPr>
        <w:rPr>
          <w:b/>
          <w:color w:val="E36C0A" w:themeColor="accent6" w:themeShade="BF"/>
          <w:sz w:val="12"/>
          <w:szCs w:val="12"/>
        </w:rPr>
      </w:pPr>
      <w:r>
        <w:rPr>
          <w:b/>
          <w:i/>
          <w:sz w:val="4"/>
          <w:szCs w:val="4"/>
        </w:rPr>
        <w:br/>
      </w:r>
    </w:p>
    <w:p w14:paraId="059F0BC7" w14:textId="7BD9968B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5387492B" w14:textId="06ABB05B" w:rsidR="00F305C6" w:rsidRDefault="0049009B">
      <w:pPr>
        <w:rPr>
          <w:sz w:val="8"/>
          <w:szCs w:val="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993860" wp14:editId="794A8E93">
                <wp:simplePos x="0" y="0"/>
                <wp:positionH relativeFrom="margin">
                  <wp:posOffset>95250</wp:posOffset>
                </wp:positionH>
                <wp:positionV relativeFrom="paragraph">
                  <wp:posOffset>4366895</wp:posOffset>
                </wp:positionV>
                <wp:extent cx="6705600" cy="1038225"/>
                <wp:effectExtent l="114300" t="114300" r="152400" b="161925"/>
                <wp:wrapNone/>
                <wp:docPr id="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C3CC0F" w14:textId="77777777" w:rsidR="0049009B" w:rsidRPr="00925D86" w:rsidRDefault="0049009B" w:rsidP="0049009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</w:pPr>
                            <w:r w:rsidRPr="00925D86"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  <w:t xml:space="preserve">ESSER Funds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  <w:t>UNALLOWABLE</w:t>
                            </w:r>
                            <w:r w:rsidRPr="00925D86">
                              <w:rPr>
                                <w:b/>
                                <w:bCs/>
                                <w:color w:val="1F497D" w:themeColor="text2"/>
                                <w:szCs w:val="18"/>
                                <w:u w:val="single"/>
                              </w:rPr>
                              <w:t xml:space="preserve"> Activities:</w:t>
                            </w:r>
                          </w:p>
                          <w:p w14:paraId="6C782806" w14:textId="64954324" w:rsidR="0049009B" w:rsidRPr="00505404" w:rsidRDefault="0049009B" w:rsidP="0049009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 w:rsidRPr="00505404">
                              <w:rPr>
                                <w:color w:val="1F497D" w:themeColor="text2"/>
                                <w:szCs w:val="18"/>
                              </w:rPr>
                              <w:t xml:space="preserve">The US Department of Education has </w:t>
                            </w:r>
                            <w:r w:rsidR="00D77A40">
                              <w:rPr>
                                <w:color w:val="1F497D" w:themeColor="text2"/>
                                <w:szCs w:val="18"/>
                              </w:rPr>
                              <w:t>noted that d</w:t>
                            </w:r>
                            <w:r w:rsidRPr="00505404">
                              <w:rPr>
                                <w:color w:val="1F497D" w:themeColor="text2"/>
                                <w:szCs w:val="18"/>
                              </w:rPr>
                              <w:t>istricts may not spend ESSER funds on:</w:t>
                            </w:r>
                          </w:p>
                          <w:p w14:paraId="58A46072" w14:textId="043F562C" w:rsidR="0049009B" w:rsidRDefault="0049009B" w:rsidP="004900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Bonuses, merit pay, or similar expenditures, unless related to disruptions or closures related to COVID-19</w:t>
                            </w:r>
                          </w:p>
                          <w:p w14:paraId="3514CF67" w14:textId="646461C1" w:rsidR="0049009B" w:rsidRDefault="0049009B" w:rsidP="004900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 xml:space="preserve">Subsidizing or offsetting executive salaries and benefits of individuals who are not district employees </w:t>
                            </w:r>
                          </w:p>
                          <w:p w14:paraId="7A658206" w14:textId="77777777" w:rsidR="0049009B" w:rsidRPr="00505404" w:rsidRDefault="0049009B" w:rsidP="004900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rPr>
                                <w:color w:val="1F497D" w:themeColor="text2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Cs w:val="18"/>
                              </w:rPr>
                              <w:t>Expenditures related to state or local teacher or faculty unions or associations.</w:t>
                            </w:r>
                          </w:p>
                          <w:p w14:paraId="233A17B1" w14:textId="77777777" w:rsidR="0049009B" w:rsidRPr="00596C87" w:rsidRDefault="0049009B" w:rsidP="0049009B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3860" id="_x0000_s1027" type="#_x0000_t202" style="position:absolute;margin-left:7.5pt;margin-top:343.85pt;width:528pt;height:81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" strokecolor="#365f91 [2404]" strokeweight=".25pt">
                <v:shadow on="t" color="black" opacity="26214f" origin="-.5,-.5" offset=".74836mm,.74836mm"/>
                <v:textbox>
                  <w:txbxContent>
                    <w:p w14:paraId="42C3CC0F" w14:textId="77777777" w:rsidR="0049009B" w:rsidRPr="00925D86" w:rsidRDefault="0049009B" w:rsidP="0049009B">
                      <w:p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</w:pPr>
                      <w:r w:rsidRPr="00925D86"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  <w:t xml:space="preserve">ESSER Funds </w:t>
                      </w:r>
                      <w:r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  <w:t>UNALLOWABLE</w:t>
                      </w:r>
                      <w:r w:rsidRPr="00925D86">
                        <w:rPr>
                          <w:b/>
                          <w:bCs/>
                          <w:color w:val="1F497D" w:themeColor="text2"/>
                          <w:szCs w:val="18"/>
                          <w:u w:val="single"/>
                        </w:rPr>
                        <w:t xml:space="preserve"> Activities:</w:t>
                      </w:r>
                    </w:p>
                    <w:p w14:paraId="6C782806" w14:textId="64954324" w:rsidR="0049009B" w:rsidRPr="00505404" w:rsidRDefault="0049009B" w:rsidP="0049009B">
                      <w:pPr>
                        <w:shd w:val="clear" w:color="auto" w:fill="FFFFFF" w:themeFill="background1"/>
                        <w:spacing w:after="0" w:line="240" w:lineRule="auto"/>
                        <w:rPr>
                          <w:color w:val="1F497D" w:themeColor="text2"/>
                          <w:szCs w:val="18"/>
                        </w:rPr>
                      </w:pPr>
                      <w:r w:rsidRPr="00505404">
                        <w:rPr>
                          <w:color w:val="1F497D" w:themeColor="text2"/>
                          <w:szCs w:val="18"/>
                        </w:rPr>
                        <w:t xml:space="preserve">The US Department of Education has </w:t>
                      </w:r>
                      <w:r w:rsidR="00D77A40">
                        <w:rPr>
                          <w:color w:val="1F497D" w:themeColor="text2"/>
                          <w:szCs w:val="18"/>
                        </w:rPr>
                        <w:t>noted that d</w:t>
                      </w:r>
                      <w:r w:rsidRPr="00505404">
                        <w:rPr>
                          <w:color w:val="1F497D" w:themeColor="text2"/>
                          <w:szCs w:val="18"/>
                        </w:rPr>
                        <w:t>istricts may not spend ESSER funds on:</w:t>
                      </w:r>
                    </w:p>
                    <w:p w14:paraId="58A46072" w14:textId="043F562C" w:rsidR="0049009B" w:rsidRDefault="0049009B" w:rsidP="004900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Bonuses, merit pay, or similar expenditures, unless related to disruptions or closures related to COVID-19</w:t>
                      </w:r>
                    </w:p>
                    <w:p w14:paraId="3514CF67" w14:textId="646461C1" w:rsidR="0049009B" w:rsidRDefault="0049009B" w:rsidP="004900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 xml:space="preserve">Subsidizing or offsetting executive salaries and benefits of individuals who are not district employees </w:t>
                      </w:r>
                    </w:p>
                    <w:p w14:paraId="7A658206" w14:textId="77777777" w:rsidR="0049009B" w:rsidRPr="00505404" w:rsidRDefault="0049009B" w:rsidP="004900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rPr>
                          <w:color w:val="1F497D" w:themeColor="text2"/>
                          <w:szCs w:val="18"/>
                        </w:rPr>
                      </w:pPr>
                      <w:r>
                        <w:rPr>
                          <w:color w:val="1F497D" w:themeColor="text2"/>
                          <w:szCs w:val="18"/>
                        </w:rPr>
                        <w:t>Expenditures related to state or local teacher or faculty unions or associations.</w:t>
                      </w:r>
                    </w:p>
                    <w:p w14:paraId="233A17B1" w14:textId="77777777" w:rsidR="0049009B" w:rsidRPr="00596C87" w:rsidRDefault="0049009B" w:rsidP="0049009B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5C6">
        <w:rPr>
          <w:sz w:val="8"/>
          <w:szCs w:val="8"/>
        </w:rPr>
        <w:br w:type="page"/>
      </w:r>
    </w:p>
    <w:p w14:paraId="0D8AF643" w14:textId="7723EA0D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16D6EB5C" w14:textId="41E0CF49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514B9A09" w14:textId="1E9F2C81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18ADD442" w14:textId="7ABC7D1D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2E43C83F" w14:textId="6AF7B9CC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543DBC59" w14:textId="7EAB0643" w:rsidR="00F305C6" w:rsidRDefault="009037AB" w:rsidP="000D4A11">
      <w:pPr>
        <w:spacing w:after="0" w:line="240" w:lineRule="auto"/>
        <w:rPr>
          <w:sz w:val="8"/>
          <w:szCs w:val="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B3B5FB" wp14:editId="12854C58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2847975" cy="5638800"/>
                <wp:effectExtent l="38100" t="38100" r="123825" b="114300"/>
                <wp:wrapNone/>
                <wp:docPr id="2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638800"/>
                        </a:xfrm>
                        <a:prstGeom prst="rect">
                          <a:avLst/>
                        </a:prstGeom>
                        <a:ln w="9525"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9E179" w14:textId="498B266A" w:rsidR="009037AB" w:rsidRPr="009037AB" w:rsidRDefault="003E6857" w:rsidP="009037AB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Equitable </w:t>
                            </w:r>
                            <w:r w:rsidR="003669EC"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Services for </w:t>
                            </w:r>
                            <w:r w:rsidR="00DF4F96" w:rsidRPr="00596C87"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Private School</w:t>
                            </w:r>
                            <w:r w:rsidR="00F86F83"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s</w:t>
                            </w:r>
                          </w:p>
                          <w:p w14:paraId="43226C80" w14:textId="4ED1CAC5" w:rsidR="006820B9" w:rsidRPr="00F86F83" w:rsidRDefault="00D53271" w:rsidP="00F86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30" w:hanging="33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>Districts receiving these funds</w:t>
                            </w:r>
                            <w:r w:rsidR="0056259C" w:rsidRPr="006A5EB6">
                              <w:rPr>
                                <w:color w:val="1F497D" w:themeColor="text2"/>
                                <w:szCs w:val="24"/>
                              </w:rPr>
                              <w:t xml:space="preserve"> must 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>provide for the equitable participation in funded activities of private school students, teachers</w:t>
                            </w:r>
                            <w:r w:rsidR="007344CE">
                              <w:rPr>
                                <w:color w:val="1F497D" w:themeColor="text2"/>
                                <w:szCs w:val="24"/>
                              </w:rPr>
                              <w:t>,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 xml:space="preserve"> and other educational personnel in</w:t>
                            </w:r>
                            <w:r w:rsidR="001A45D0">
                              <w:rPr>
                                <w:color w:val="1F497D" w:themeColor="text2"/>
                                <w:szCs w:val="24"/>
                              </w:rPr>
                              <w:t xml:space="preserve"> nonprofit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 xml:space="preserve"> private schools</w:t>
                            </w:r>
                            <w:r w:rsidR="00F61D44">
                              <w:rPr>
                                <w:color w:val="1F497D" w:themeColor="text2"/>
                                <w:szCs w:val="24"/>
                              </w:rPr>
                              <w:t>.</w:t>
                            </w:r>
                          </w:p>
                          <w:p w14:paraId="1796BDC6" w14:textId="3DF728B7" w:rsidR="00F86F83" w:rsidRPr="00F86F83" w:rsidRDefault="006820B9" w:rsidP="00F86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30" w:hanging="330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</w:rPr>
                            </w:pPr>
                            <w:r w:rsidRPr="006A5EB6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Districts </w:t>
                            </w:r>
                            <w:r w:rsidR="00F86F83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must make a good faith effort to engage </w:t>
                            </w:r>
                            <w:r w:rsidR="009037A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nonprofit </w:t>
                            </w:r>
                            <w:r w:rsidRPr="006A5EB6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private schools</w:t>
                            </w:r>
                            <w:r w:rsidR="00C63C46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</w:t>
                            </w:r>
                            <w:r w:rsidR="00C63C46" w:rsidRPr="00A24D5B">
                              <w:rPr>
                                <w:rFonts w:ascii="Calibri" w:eastAsia="Times New Roman" w:hAnsi="Calibri" w:cs="Calibri"/>
                                <w:color w:val="17365D" w:themeColor="text2" w:themeShade="BF"/>
                              </w:rPr>
                              <w:t xml:space="preserve">that are </w:t>
                            </w:r>
                            <w:r w:rsidR="00977BEA"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within or </w:t>
                            </w:r>
                            <w:r w:rsidR="00C63C46"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outside the district’s geographic boundaries and that are serving students that live in a Title I attendance area</w:t>
                            </w:r>
                            <w:r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</w:t>
                            </w:r>
                            <w:r w:rsidR="00F86F83"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in </w:t>
                            </w:r>
                            <w:r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meaningful consultation</w:t>
                            </w:r>
                            <w:r w:rsidR="00326EA2"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, even if a </w:t>
                            </w:r>
                            <w:r w:rsidR="001815F2"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nonprofit </w:t>
                            </w:r>
                            <w:r w:rsidR="00326EA2" w:rsidRPr="00A24D5B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private school has not</w:t>
                            </w:r>
                            <w:r w:rsidR="00326EA2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previously participated</w:t>
                            </w:r>
                            <w:r w:rsidR="00F86F83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in equitable services</w:t>
                            </w:r>
                            <w:r w:rsidR="00326EA2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.</w:t>
                            </w:r>
                          </w:p>
                          <w:p w14:paraId="576507EA" w14:textId="20A487D9" w:rsidR="003C12E4" w:rsidRPr="00F86F83" w:rsidRDefault="00F86F83" w:rsidP="00F86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30" w:hanging="330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</w:rPr>
                            </w:pPr>
                            <w:r w:rsidRPr="00F86F83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Consultations and any agreements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or </w:t>
                            </w:r>
                            <w:r w:rsidRPr="00F86F83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disagreements over services should be memorialized in writing on an </w:t>
                            </w:r>
                            <w:hyperlink r:id="rId17" w:history="1">
                              <w:r w:rsidRPr="00F86F83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Affirmation of Consultation form</w:t>
                              </w:r>
                            </w:hyperlink>
                            <w:r w:rsidRPr="00F86F83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.</w:t>
                            </w:r>
                            <w:r w:rsid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</w:t>
                            </w:r>
                            <w:r w:rsidR="00FF1BB8" w:rsidRP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If </w:t>
                            </w:r>
                            <w:r w:rsid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private</w:t>
                            </w:r>
                            <w:r w:rsidR="00FF1BB8" w:rsidRP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school officials do not provide the required affirmation, the district must provide the </w:t>
                            </w:r>
                            <w:hyperlink r:id="rId18" w:history="1">
                              <w:r w:rsidR="00FF1BB8" w:rsidRPr="00FF1BB8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DESE Ombudsman</w:t>
                              </w:r>
                            </w:hyperlink>
                            <w:r w:rsidR="00FF1BB8" w:rsidRP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</w:t>
                            </w:r>
                            <w:r w:rsid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documentation</w:t>
                            </w:r>
                            <w:r w:rsidR="00FF1BB8" w:rsidRP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that consultation</w:t>
                            </w:r>
                            <w:r w:rsid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,</w:t>
                            </w:r>
                            <w:r w:rsidR="00FF1BB8" w:rsidRP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or attempts at consultation</w:t>
                            </w:r>
                            <w:r w:rsid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>,</w:t>
                            </w:r>
                            <w:r w:rsidR="00FF1BB8" w:rsidRPr="00FF1BB8">
                              <w:rPr>
                                <w:rFonts w:ascii="Calibri" w:eastAsia="Times New Roman" w:hAnsi="Calibri" w:cs="Calibri"/>
                                <w:color w:val="1F497D" w:themeColor="text2"/>
                              </w:rPr>
                              <w:t xml:space="preserve"> have taken place.</w:t>
                            </w:r>
                          </w:p>
                          <w:p w14:paraId="23D8EDAF" w14:textId="047B107E" w:rsidR="004727F3" w:rsidRDefault="007E33E1" w:rsidP="00D17A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30" w:hanging="330"/>
                              <w:rPr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>CARES Act funds reserved for equitable services</w:t>
                            </w:r>
                            <w:r w:rsidR="007344CE">
                              <w:rPr>
                                <w:color w:val="1F497D" w:themeColor="text2"/>
                                <w:szCs w:val="24"/>
                              </w:rPr>
                              <w:t>,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="00F86F83">
                              <w:rPr>
                                <w:color w:val="1F497D" w:themeColor="text2"/>
                                <w:szCs w:val="24"/>
                              </w:rPr>
                              <w:t xml:space="preserve">and 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>items purchased with the</w:t>
                            </w:r>
                            <w:r w:rsidR="007344CE">
                              <w:rPr>
                                <w:color w:val="1F497D" w:themeColor="text2"/>
                                <w:szCs w:val="24"/>
                              </w:rPr>
                              <w:t>se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 xml:space="preserve"> funds</w:t>
                            </w:r>
                            <w:r w:rsidR="007344CE">
                              <w:rPr>
                                <w:color w:val="1F497D" w:themeColor="text2"/>
                                <w:szCs w:val="24"/>
                              </w:rPr>
                              <w:t>,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 xml:space="preserve"> must </w:t>
                            </w:r>
                            <w:r w:rsidR="007344CE">
                              <w:rPr>
                                <w:color w:val="1F497D" w:themeColor="text2"/>
                                <w:szCs w:val="24"/>
                              </w:rPr>
                              <w:t xml:space="preserve">always </w:t>
                            </w:r>
                            <w:r w:rsidRPr="006A5EB6">
                              <w:rPr>
                                <w:color w:val="1F497D" w:themeColor="text2"/>
                                <w:szCs w:val="24"/>
                              </w:rPr>
                              <w:t>remain in control of the school district.</w:t>
                            </w:r>
                            <w:r w:rsidR="00F86F83">
                              <w:rPr>
                                <w:color w:val="1F497D" w:themeColor="text2"/>
                                <w:szCs w:val="24"/>
                              </w:rPr>
                              <w:t xml:space="preserve"> Funds are never given to nonprofit private schools.</w:t>
                            </w:r>
                          </w:p>
                          <w:p w14:paraId="00345777" w14:textId="55D6AC02" w:rsidR="00F86F83" w:rsidRDefault="00F86F83" w:rsidP="00D17A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30" w:hanging="330"/>
                              <w:rPr>
                                <w:color w:val="1F497D" w:themeColor="text2"/>
                                <w:szCs w:val="24"/>
                              </w:rPr>
                            </w:pPr>
                            <w:r w:rsidRPr="00F86F83">
                              <w:rPr>
                                <w:color w:val="1F497D" w:themeColor="text2"/>
                                <w:szCs w:val="24"/>
                              </w:rPr>
                              <w:t>Charter schools, virtual schools, and vocational schools do not have to provide equitable services</w:t>
                            </w:r>
                            <w:r w:rsidR="00FF1BB8">
                              <w:rPr>
                                <w:color w:val="1F497D" w:themeColor="text2"/>
                                <w:szCs w:val="24"/>
                              </w:rPr>
                              <w:t>.</w:t>
                            </w:r>
                          </w:p>
                          <w:p w14:paraId="06979482" w14:textId="77777777" w:rsidR="00326EA2" w:rsidRPr="00326EA2" w:rsidRDefault="00326EA2" w:rsidP="00326EA2">
                            <w:pPr>
                              <w:spacing w:line="240" w:lineRule="auto"/>
                              <w:rPr>
                                <w:color w:val="1F497D" w:themeColor="text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B5FB" id="_x0000_s1028" type="#_x0000_t202" style="position:absolute;margin-left:-6pt;margin-top:5pt;width:224.25pt;height:44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" fillcolor="white [3201]" strokecolor="black [3200]">
                <v:shadow on="t" color="black" opacity="26214f" origin="-.5,-.5" offset=".74836mm,.74836mm"/>
                <v:textbox>
                  <w:txbxContent>
                    <w:p w14:paraId="25C9E179" w14:textId="498B266A" w:rsidR="009037AB" w:rsidRPr="009037AB" w:rsidRDefault="003E6857" w:rsidP="009037AB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 xml:space="preserve">Equitable </w:t>
                      </w:r>
                      <w:r w:rsidR="003669EC"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 xml:space="preserve">Services for </w:t>
                      </w:r>
                      <w:r w:rsidR="00DF4F96" w:rsidRPr="00596C87"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Private School</w:t>
                      </w:r>
                      <w:r w:rsidR="00F86F83"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s</w:t>
                      </w:r>
                    </w:p>
                    <w:p w14:paraId="43226C80" w14:textId="4ED1CAC5" w:rsidR="006820B9" w:rsidRPr="00F86F83" w:rsidRDefault="00D53271" w:rsidP="00F86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30" w:hanging="33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color w:val="1F497D" w:themeColor="text2"/>
                          <w:szCs w:val="24"/>
                        </w:rPr>
                        <w:t>Districts receiving these funds</w:t>
                      </w:r>
                      <w:r w:rsidR="0056259C" w:rsidRPr="006A5EB6">
                        <w:rPr>
                          <w:color w:val="1F497D" w:themeColor="text2"/>
                          <w:szCs w:val="24"/>
                        </w:rPr>
                        <w:t xml:space="preserve"> must 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>provide for the equitable participation in funded activities of private school students, teachers</w:t>
                      </w:r>
                      <w:r w:rsidR="007344CE">
                        <w:rPr>
                          <w:color w:val="1F497D" w:themeColor="text2"/>
                          <w:szCs w:val="24"/>
                        </w:rPr>
                        <w:t>,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 xml:space="preserve"> and other educational personnel in</w:t>
                      </w:r>
                      <w:r w:rsidR="001A45D0">
                        <w:rPr>
                          <w:color w:val="1F497D" w:themeColor="text2"/>
                          <w:szCs w:val="24"/>
                        </w:rPr>
                        <w:t xml:space="preserve"> nonprofit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 xml:space="preserve"> private schools</w:t>
                      </w:r>
                      <w:r w:rsidR="00F61D44">
                        <w:rPr>
                          <w:color w:val="1F497D" w:themeColor="text2"/>
                          <w:szCs w:val="24"/>
                        </w:rPr>
                        <w:t>.</w:t>
                      </w:r>
                    </w:p>
                    <w:p w14:paraId="1796BDC6" w14:textId="3DF728B7" w:rsidR="00F86F83" w:rsidRPr="00F86F83" w:rsidRDefault="006820B9" w:rsidP="00F86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30" w:hanging="330"/>
                        <w:rPr>
                          <w:rFonts w:ascii="Calibri" w:hAnsi="Calibri" w:cs="Calibri"/>
                          <w:color w:val="1F497D" w:themeColor="text2"/>
                          <w:sz w:val="20"/>
                        </w:rPr>
                      </w:pPr>
                      <w:r w:rsidRPr="006A5EB6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Districts </w:t>
                      </w:r>
                      <w:r w:rsidR="00F86F83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must make a good faith effort to engage </w:t>
                      </w:r>
                      <w:r w:rsidR="009037A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nonprofit </w:t>
                      </w:r>
                      <w:r w:rsidRPr="006A5EB6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private schools</w:t>
                      </w:r>
                      <w:r w:rsidR="00C63C46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</w:t>
                      </w:r>
                      <w:r w:rsidR="00C63C46" w:rsidRPr="00A24D5B">
                        <w:rPr>
                          <w:rFonts w:ascii="Calibri" w:eastAsia="Times New Roman" w:hAnsi="Calibri" w:cs="Calibri"/>
                          <w:color w:val="17365D" w:themeColor="text2" w:themeShade="BF"/>
                        </w:rPr>
                        <w:t xml:space="preserve">that are </w:t>
                      </w:r>
                      <w:r w:rsidR="00977BEA"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within or </w:t>
                      </w:r>
                      <w:r w:rsidR="00C63C46"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outside the district’s geographic boundaries and that are serving students that live in a Title I attendance area</w:t>
                      </w:r>
                      <w:r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</w:t>
                      </w:r>
                      <w:r w:rsidR="00F86F83"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in </w:t>
                      </w:r>
                      <w:r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meaningful consultation</w:t>
                      </w:r>
                      <w:r w:rsidR="00326EA2"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, even if a </w:t>
                      </w:r>
                      <w:r w:rsidR="001815F2"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nonprofit </w:t>
                      </w:r>
                      <w:r w:rsidR="00326EA2" w:rsidRPr="00A24D5B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private school has not</w:t>
                      </w:r>
                      <w:r w:rsidR="00326EA2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previously participated</w:t>
                      </w:r>
                      <w:r w:rsidR="00F86F83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in equitable services</w:t>
                      </w:r>
                      <w:r w:rsidR="00326EA2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.</w:t>
                      </w:r>
                    </w:p>
                    <w:p w14:paraId="576507EA" w14:textId="20A487D9" w:rsidR="003C12E4" w:rsidRPr="00F86F83" w:rsidRDefault="00F86F83" w:rsidP="00F86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30" w:hanging="330"/>
                        <w:rPr>
                          <w:rFonts w:ascii="Calibri" w:hAnsi="Calibri" w:cs="Calibri"/>
                          <w:color w:val="1F497D" w:themeColor="text2"/>
                          <w:sz w:val="20"/>
                        </w:rPr>
                      </w:pPr>
                      <w:r w:rsidRPr="00F86F83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Consultations and any agreements</w:t>
                      </w:r>
                      <w:r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or </w:t>
                      </w:r>
                      <w:r w:rsidRPr="00F86F83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disagreements over services should be memorialized in writing on an </w:t>
                      </w:r>
                      <w:hyperlink r:id="rId19" w:history="1">
                        <w:r w:rsidRPr="00F86F83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Affirmation of Consultation form</w:t>
                        </w:r>
                      </w:hyperlink>
                      <w:r w:rsidRPr="00F86F83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.</w:t>
                      </w:r>
                      <w:r w:rsid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</w:t>
                      </w:r>
                      <w:r w:rsidR="00FF1BB8" w:rsidRP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If </w:t>
                      </w:r>
                      <w:r w:rsid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private</w:t>
                      </w:r>
                      <w:r w:rsidR="00FF1BB8" w:rsidRP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school officials do not provide the required affirmation, the district must provide the </w:t>
                      </w:r>
                      <w:hyperlink r:id="rId20" w:history="1">
                        <w:r w:rsidR="00FF1BB8" w:rsidRPr="00FF1BB8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DESE Ombudsman</w:t>
                        </w:r>
                      </w:hyperlink>
                      <w:r w:rsidR="00FF1BB8" w:rsidRP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</w:t>
                      </w:r>
                      <w:r w:rsid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documentation</w:t>
                      </w:r>
                      <w:r w:rsidR="00FF1BB8" w:rsidRP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that consultation</w:t>
                      </w:r>
                      <w:r w:rsid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,</w:t>
                      </w:r>
                      <w:r w:rsidR="00FF1BB8" w:rsidRP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or attempts at consultation</w:t>
                      </w:r>
                      <w:r w:rsid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>,</w:t>
                      </w:r>
                      <w:r w:rsidR="00FF1BB8" w:rsidRPr="00FF1BB8">
                        <w:rPr>
                          <w:rFonts w:ascii="Calibri" w:eastAsia="Times New Roman" w:hAnsi="Calibri" w:cs="Calibri"/>
                          <w:color w:val="1F497D" w:themeColor="text2"/>
                        </w:rPr>
                        <w:t xml:space="preserve"> have taken place.</w:t>
                      </w:r>
                    </w:p>
                    <w:p w14:paraId="23D8EDAF" w14:textId="047B107E" w:rsidR="004727F3" w:rsidRDefault="007E33E1" w:rsidP="00D17A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30" w:hanging="330"/>
                        <w:rPr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color w:val="1F497D" w:themeColor="text2"/>
                          <w:szCs w:val="24"/>
                        </w:rPr>
                        <w:t>CARES Act funds reserved for equitable services</w:t>
                      </w:r>
                      <w:r w:rsidR="007344CE">
                        <w:rPr>
                          <w:color w:val="1F497D" w:themeColor="text2"/>
                          <w:szCs w:val="24"/>
                        </w:rPr>
                        <w:t>,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 xml:space="preserve"> </w:t>
                      </w:r>
                      <w:r w:rsidR="00F86F83">
                        <w:rPr>
                          <w:color w:val="1F497D" w:themeColor="text2"/>
                          <w:szCs w:val="24"/>
                        </w:rPr>
                        <w:t xml:space="preserve">and 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>items purchased with the</w:t>
                      </w:r>
                      <w:r w:rsidR="007344CE">
                        <w:rPr>
                          <w:color w:val="1F497D" w:themeColor="text2"/>
                          <w:szCs w:val="24"/>
                        </w:rPr>
                        <w:t>se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 xml:space="preserve"> funds</w:t>
                      </w:r>
                      <w:r w:rsidR="007344CE">
                        <w:rPr>
                          <w:color w:val="1F497D" w:themeColor="text2"/>
                          <w:szCs w:val="24"/>
                        </w:rPr>
                        <w:t>,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 xml:space="preserve"> must </w:t>
                      </w:r>
                      <w:r w:rsidR="007344CE">
                        <w:rPr>
                          <w:color w:val="1F497D" w:themeColor="text2"/>
                          <w:szCs w:val="24"/>
                        </w:rPr>
                        <w:t xml:space="preserve">always </w:t>
                      </w:r>
                      <w:r w:rsidRPr="006A5EB6">
                        <w:rPr>
                          <w:color w:val="1F497D" w:themeColor="text2"/>
                          <w:szCs w:val="24"/>
                        </w:rPr>
                        <w:t>remain in control of the school district.</w:t>
                      </w:r>
                      <w:r w:rsidR="00F86F83">
                        <w:rPr>
                          <w:color w:val="1F497D" w:themeColor="text2"/>
                          <w:szCs w:val="24"/>
                        </w:rPr>
                        <w:t xml:space="preserve"> Funds are never given to nonprofit private schools.</w:t>
                      </w:r>
                    </w:p>
                    <w:p w14:paraId="00345777" w14:textId="55D6AC02" w:rsidR="00F86F83" w:rsidRDefault="00F86F83" w:rsidP="00D17A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30" w:hanging="330"/>
                        <w:rPr>
                          <w:color w:val="1F497D" w:themeColor="text2"/>
                          <w:szCs w:val="24"/>
                        </w:rPr>
                      </w:pPr>
                      <w:r w:rsidRPr="00F86F83">
                        <w:rPr>
                          <w:color w:val="1F497D" w:themeColor="text2"/>
                          <w:szCs w:val="24"/>
                        </w:rPr>
                        <w:t>Charter schools, virtual schools, and vocational schools do not have to provide equitable services</w:t>
                      </w:r>
                      <w:r w:rsidR="00FF1BB8">
                        <w:rPr>
                          <w:color w:val="1F497D" w:themeColor="text2"/>
                          <w:szCs w:val="24"/>
                        </w:rPr>
                        <w:t>.</w:t>
                      </w:r>
                    </w:p>
                    <w:p w14:paraId="06979482" w14:textId="77777777" w:rsidR="00326EA2" w:rsidRPr="00326EA2" w:rsidRDefault="00326EA2" w:rsidP="00326EA2">
                      <w:pPr>
                        <w:spacing w:line="240" w:lineRule="auto"/>
                        <w:rPr>
                          <w:color w:val="1F497D" w:themeColor="text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0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52F782" wp14:editId="5F223944">
                <wp:simplePos x="0" y="0"/>
                <wp:positionH relativeFrom="margin">
                  <wp:posOffset>2876550</wp:posOffset>
                </wp:positionH>
                <wp:positionV relativeFrom="paragraph">
                  <wp:posOffset>53974</wp:posOffset>
                </wp:positionV>
                <wp:extent cx="4152900" cy="8220075"/>
                <wp:effectExtent l="38100" t="38100" r="114300" b="123825"/>
                <wp:wrapNone/>
                <wp:docPr id="4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D08824" w14:textId="743D6D1F" w:rsidR="00D14842" w:rsidRDefault="004A6F49" w:rsidP="00D14842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CARES Act Fiscal Waivers</w:t>
                            </w:r>
                          </w:p>
                          <w:p w14:paraId="5E7BACA6" w14:textId="3F65E00E" w:rsidR="004A6F49" w:rsidRPr="007344CE" w:rsidRDefault="00791C7D" w:rsidP="007344CE">
                            <w:pPr>
                              <w:spacing w:after="0" w:line="240" w:lineRule="auto"/>
                              <w:rPr>
                                <w:bCs/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bCs/>
                                <w:color w:val="1F497D" w:themeColor="text2"/>
                              </w:rPr>
                              <w:t>In addition to providing ESSER funds,</w:t>
                            </w:r>
                            <w:r w:rsidR="003D1511">
                              <w:rPr>
                                <w:bCs/>
                                <w:color w:val="1F497D" w:themeColor="text2"/>
                              </w:rPr>
                              <w:t xml:space="preserve"> the U.S. Department of Ed.</w:t>
                            </w:r>
                            <w:r w:rsidR="00D17A5C" w:rsidRPr="007344CE">
                              <w:rPr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="004A6F49" w:rsidRPr="007344CE">
                              <w:rPr>
                                <w:bCs/>
                                <w:color w:val="1F497D" w:themeColor="text2"/>
                              </w:rPr>
                              <w:t xml:space="preserve">has </w:t>
                            </w:r>
                            <w:r w:rsidR="004A6F49" w:rsidRPr="007344CE"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t>waived</w:t>
                            </w:r>
                            <w:r w:rsidR="004A6F49" w:rsidRPr="007344CE">
                              <w:rPr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Pr="007344CE">
                              <w:rPr>
                                <w:bCs/>
                                <w:color w:val="1F497D" w:themeColor="text2"/>
                              </w:rPr>
                              <w:t>certain</w:t>
                            </w:r>
                            <w:r w:rsidR="004A6F49" w:rsidRPr="007344CE">
                              <w:rPr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Pr="007344CE">
                              <w:rPr>
                                <w:bCs/>
                                <w:color w:val="1F497D" w:themeColor="text2"/>
                              </w:rPr>
                              <w:t xml:space="preserve">fiscal </w:t>
                            </w:r>
                            <w:r w:rsidR="004A6F49" w:rsidRPr="007344CE">
                              <w:rPr>
                                <w:bCs/>
                                <w:color w:val="1F497D" w:themeColor="text2"/>
                              </w:rPr>
                              <w:t>requirements</w:t>
                            </w:r>
                            <w:r w:rsidRPr="007344CE">
                              <w:rPr>
                                <w:bCs/>
                                <w:color w:val="1F497D" w:themeColor="text2"/>
                              </w:rPr>
                              <w:t xml:space="preserve"> for </w:t>
                            </w:r>
                            <w:r w:rsidRPr="003D1511"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t>ESSA</w:t>
                            </w:r>
                            <w:r w:rsidRPr="007344CE">
                              <w:rPr>
                                <w:bCs/>
                                <w:color w:val="1F497D" w:themeColor="text2"/>
                              </w:rPr>
                              <w:t xml:space="preserve"> grant programs</w:t>
                            </w:r>
                            <w:r w:rsidR="004A6F49" w:rsidRPr="007344CE">
                              <w:rPr>
                                <w:bCs/>
                                <w:color w:val="1F497D" w:themeColor="text2"/>
                              </w:rPr>
                              <w:t>:</w:t>
                            </w:r>
                          </w:p>
                          <w:p w14:paraId="7F8AC55A" w14:textId="14888E53" w:rsidR="00D14842" w:rsidRPr="007344CE" w:rsidRDefault="007344CE" w:rsidP="007344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</w:rPr>
                              <w:t>T</w:t>
                            </w:r>
                            <w:r w:rsidR="004A6F49"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he carryover limit for 2019-2020 (FY20) Title I, Part A Funds</w:t>
                            </w:r>
                            <w:r w:rsidR="00791C7D"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.</w:t>
                            </w:r>
                            <w:r w:rsidR="00791C7D" w:rsidRPr="007344CE">
                              <w:rPr>
                                <w:color w:val="1F497D" w:themeColor="text2"/>
                              </w:rPr>
                              <w:t xml:space="preserve"> Districts are not limited in how much FY20 Title I, Part A funds they carryover from 2019-2020 to 2020-2021.</w:t>
                            </w:r>
                          </w:p>
                          <w:p w14:paraId="5435F96F" w14:textId="0262C2C7" w:rsidR="00791C7D" w:rsidRPr="007344CE" w:rsidRDefault="00791C7D" w:rsidP="007344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The period of availability to spend 2018-201</w:t>
                            </w:r>
                            <w:r w:rsidR="007344CE"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9</w:t>
                            </w:r>
                            <w:r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 (FY19) funds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 for the following ESSA programs. </w:t>
                            </w:r>
                            <w:r w:rsidR="007344CE">
                              <w:rPr>
                                <w:color w:val="1F497D" w:themeColor="text2"/>
                              </w:rPr>
                              <w:t>D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istricts now have an extra year </w:t>
                            </w:r>
                            <w:r w:rsidR="007344CE">
                              <w:rPr>
                                <w:color w:val="1F497D" w:themeColor="text2"/>
                              </w:rPr>
                              <w:t>(</w:t>
                            </w:r>
                            <w:r w:rsidR="007344CE" w:rsidRPr="007344CE">
                              <w:rPr>
                                <w:color w:val="1F497D" w:themeColor="text2"/>
                              </w:rPr>
                              <w:t>until September 30, 2021</w:t>
                            </w:r>
                            <w:r w:rsidR="007344CE">
                              <w:rPr>
                                <w:color w:val="1F497D" w:themeColor="text2"/>
                              </w:rPr>
                              <w:t xml:space="preserve">) 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to spend the funds. The programs covered by this waiver are: </w:t>
                            </w:r>
                          </w:p>
                          <w:p w14:paraId="4459280A" w14:textId="750B258A" w:rsidR="00791C7D" w:rsidRPr="007344CE" w:rsidRDefault="00791C7D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I, Part A (Improving Basic Programs)</w:t>
                            </w:r>
                            <w:r w:rsidR="00D35838" w:rsidRPr="007344CE">
                              <w:rPr>
                                <w:color w:val="1F497D" w:themeColor="text2"/>
                              </w:rPr>
                              <w:t>,</w:t>
                            </w:r>
                          </w:p>
                          <w:p w14:paraId="2A92D12A" w14:textId="2D782409" w:rsidR="00791C7D" w:rsidRPr="007344CE" w:rsidRDefault="00791C7D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I, Part C (Migrant Education)</w:t>
                            </w:r>
                            <w:r w:rsidR="00D35838" w:rsidRPr="007344CE">
                              <w:rPr>
                                <w:color w:val="1F497D" w:themeColor="text2"/>
                              </w:rPr>
                              <w:t>,</w:t>
                            </w:r>
                          </w:p>
                          <w:p w14:paraId="1413B452" w14:textId="3F2552A3" w:rsidR="00791C7D" w:rsidRPr="007344CE" w:rsidRDefault="00791C7D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I, Part D, Subpart 1</w:t>
                            </w:r>
                            <w:r w:rsidR="00FF1BB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D35838" w:rsidRPr="007344CE">
                              <w:rPr>
                                <w:color w:val="1F497D" w:themeColor="text2"/>
                              </w:rPr>
                              <w:t>(Neglected and Delinquent),</w:t>
                            </w:r>
                          </w:p>
                          <w:p w14:paraId="53B2A7E1" w14:textId="47AC08C8" w:rsidR="00D35838" w:rsidRPr="007344CE" w:rsidRDefault="00D35838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II, Part A (Supporting Effective Instruction),</w:t>
                            </w:r>
                          </w:p>
                          <w:p w14:paraId="2DD9BEFE" w14:textId="1A629EE7" w:rsidR="00D35838" w:rsidRPr="007344CE" w:rsidRDefault="00D35838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III, Part A (English Language Acquisition)</w:t>
                            </w:r>
                          </w:p>
                          <w:p w14:paraId="5476BED0" w14:textId="3A647F26" w:rsidR="00D35838" w:rsidRPr="007344CE" w:rsidRDefault="00D35838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IV, Part A (Student Support and Academic Achievement),</w:t>
                            </w:r>
                          </w:p>
                          <w:p w14:paraId="5A1932DF" w14:textId="3C6EB7C9" w:rsidR="00D35838" w:rsidRPr="007344CE" w:rsidRDefault="00D35838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IV, Part B (21</w:t>
                            </w:r>
                            <w:r w:rsidRPr="007344CE">
                              <w:rPr>
                                <w:color w:val="1F497D" w:themeColor="text2"/>
                                <w:vertAlign w:val="superscript"/>
                              </w:rPr>
                              <w:t>st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 Century Community Learning Centers),</w:t>
                            </w:r>
                          </w:p>
                          <w:p w14:paraId="7E8D71D5" w14:textId="6E84CFDE" w:rsidR="00D35838" w:rsidRPr="007344CE" w:rsidRDefault="00D35838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Title V, Part B Subpart 2 (Rural and Low-Income School Program), and</w:t>
                            </w:r>
                          </w:p>
                          <w:p w14:paraId="7827724E" w14:textId="6FE4E689" w:rsidR="00D35838" w:rsidRPr="007344CE" w:rsidRDefault="00D35838" w:rsidP="007344C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>McKinney-Vento Education for Homeless Children and Youth Program</w:t>
                            </w:r>
                          </w:p>
                          <w:p w14:paraId="3B6CFA66" w14:textId="15E00F42" w:rsidR="00D35838" w:rsidRPr="007344CE" w:rsidRDefault="00D35838" w:rsidP="007344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The requirements for districts that receive $30,000 or more in Title IV, Part A funds 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to conduct a needs assessment. </w:t>
                            </w:r>
                            <w:r w:rsidR="007344CE">
                              <w:rPr>
                                <w:color w:val="1F497D" w:themeColor="text2"/>
                              </w:rPr>
                              <w:t>D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>istricts will not have to amend the needs assessment conducted for 2019-2020 funds</w:t>
                            </w:r>
                            <w:r w:rsidR="00FF1BB8">
                              <w:rPr>
                                <w:color w:val="1F497D" w:themeColor="text2"/>
                              </w:rPr>
                              <w:t>.</w:t>
                            </w:r>
                          </w:p>
                          <w:p w14:paraId="427D37DA" w14:textId="1831597E" w:rsidR="00D35838" w:rsidRPr="007344CE" w:rsidRDefault="00D35838" w:rsidP="007344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The requ</w:t>
                            </w:r>
                            <w:r w:rsidR="00F06F4F"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irement for districts that receive $30,000 or more in Title IV</w:t>
                            </w:r>
                            <w:r w:rsidR="00FF1BB8">
                              <w:rPr>
                                <w:b/>
                                <w:bCs/>
                                <w:color w:val="1F497D" w:themeColor="text2"/>
                              </w:rPr>
                              <w:t>-</w:t>
                            </w:r>
                            <w:r w:rsidR="00F06F4F"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A funds to spend funds in three areas (well-rounded education, activities to support sa</w:t>
                            </w:r>
                            <w:r w:rsidR="003661EF">
                              <w:rPr>
                                <w:b/>
                                <w:bCs/>
                                <w:color w:val="1F497D" w:themeColor="text2"/>
                              </w:rPr>
                              <w:t>f</w:t>
                            </w:r>
                            <w:r w:rsidR="00F06F4F"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>e and healthy students, and effective use of technology).</w:t>
                            </w:r>
                            <w:r w:rsidR="00F06F4F" w:rsidRPr="007344CE">
                              <w:rPr>
                                <w:color w:val="1F497D" w:themeColor="text2"/>
                              </w:rPr>
                              <w:t xml:space="preserve"> This waiver allows districts to spend any remaining FY19 and FY20 funds on any allowable Title IV</w:t>
                            </w:r>
                            <w:r w:rsidR="00FF1BB8">
                              <w:rPr>
                                <w:color w:val="1F497D" w:themeColor="text2"/>
                              </w:rPr>
                              <w:t>-</w:t>
                            </w:r>
                            <w:r w:rsidR="00F06F4F" w:rsidRPr="007344CE">
                              <w:rPr>
                                <w:color w:val="1F497D" w:themeColor="text2"/>
                              </w:rPr>
                              <w:t>A activity</w:t>
                            </w:r>
                            <w:r w:rsidR="003661EF">
                              <w:rPr>
                                <w:color w:val="1F497D" w:themeColor="text2"/>
                              </w:rPr>
                              <w:t xml:space="preserve"> rather than </w:t>
                            </w:r>
                            <w:r w:rsidR="00F06F4F" w:rsidRPr="007344CE">
                              <w:rPr>
                                <w:color w:val="1F497D" w:themeColor="text2"/>
                              </w:rPr>
                              <w:t>hav</w:t>
                            </w:r>
                            <w:r w:rsidR="003661EF">
                              <w:rPr>
                                <w:color w:val="1F497D" w:themeColor="text2"/>
                              </w:rPr>
                              <w:t>ing</w:t>
                            </w:r>
                            <w:r w:rsidR="00F06F4F" w:rsidRPr="007344CE">
                              <w:rPr>
                                <w:color w:val="1F497D" w:themeColor="text2"/>
                              </w:rPr>
                              <w:t xml:space="preserve"> to spend across all three areas.</w:t>
                            </w:r>
                          </w:p>
                          <w:p w14:paraId="00B8C126" w14:textId="2B18DF64" w:rsidR="00F06F4F" w:rsidRPr="007344CE" w:rsidRDefault="00F06F4F" w:rsidP="007344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The limit on spending </w:t>
                            </w:r>
                            <w:r w:rsidR="00FF1BB8">
                              <w:rPr>
                                <w:b/>
                                <w:bCs/>
                                <w:color w:val="1F497D" w:themeColor="text2"/>
                              </w:rPr>
                              <w:t>Title IV-A</w:t>
                            </w:r>
                            <w:r w:rsidRPr="007344CE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 funds on technology infrastructure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. </w:t>
                            </w:r>
                            <w:r w:rsidR="003661EF">
                              <w:rPr>
                                <w:color w:val="1F497D" w:themeColor="text2"/>
                              </w:rPr>
                              <w:t>D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>istricts are not limited on how much they spend on technology infrastructure.</w:t>
                            </w:r>
                          </w:p>
                          <w:p w14:paraId="68A50C3C" w14:textId="090EA07B" w:rsidR="00D17A5C" w:rsidRPr="003661EF" w:rsidRDefault="00F06F4F" w:rsidP="007344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  <w:r w:rsidRPr="007344CE">
                              <w:rPr>
                                <w:color w:val="1F497D" w:themeColor="text2"/>
                              </w:rPr>
                              <w:t xml:space="preserve">The </w:t>
                            </w:r>
                            <w:r w:rsidRPr="003D1511">
                              <w:rPr>
                                <w:b/>
                                <w:bCs/>
                                <w:color w:val="1F497D" w:themeColor="text2"/>
                              </w:rPr>
                              <w:t>definition of professional development</w:t>
                            </w:r>
                            <w:r w:rsidRPr="007344C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7344CE">
                              <w:rPr>
                                <w:rFonts w:ascii="Calibri" w:hAnsi="Calibri" w:cs="Calibri"/>
                                <w:color w:val="1F497D" w:themeColor="text2"/>
                              </w:rPr>
                              <w:t xml:space="preserve">in Section 8101(42) of ESEA for the 2019-2020 school year. </w:t>
                            </w:r>
                            <w:r w:rsidR="003661EF">
                              <w:rPr>
                                <w:rFonts w:ascii="Calibri" w:hAnsi="Calibri" w:cs="Calibri"/>
                                <w:color w:val="1F497D" w:themeColor="text2"/>
                              </w:rPr>
                              <w:t>Dist</w:t>
                            </w:r>
                            <w:r w:rsidRPr="007344CE">
                              <w:rPr>
                                <w:rFonts w:ascii="Calibri" w:hAnsi="Calibri" w:cs="Calibri"/>
                                <w:color w:val="1F497D" w:themeColor="text2"/>
                              </w:rPr>
                              <w:t xml:space="preserve">ricts may now use </w:t>
                            </w:r>
                            <w:r w:rsidR="00D17A5C" w:rsidRPr="007344CE">
                              <w:rPr>
                                <w:rFonts w:ascii="Calibri" w:hAnsi="Calibri" w:cs="Calibri"/>
                                <w:color w:val="1F497D" w:themeColor="text2"/>
                              </w:rPr>
                              <w:t xml:space="preserve">ESSA funds to support shorter-term professional development, </w:t>
                            </w:r>
                            <w:r w:rsidR="0093107C">
                              <w:rPr>
                                <w:rFonts w:ascii="Calibri" w:hAnsi="Calibri" w:cs="Calibri"/>
                                <w:color w:val="1F497D" w:themeColor="text2"/>
                              </w:rPr>
                              <w:t>if</w:t>
                            </w:r>
                            <w:r w:rsidR="00D17A5C" w:rsidRPr="007344CE">
                              <w:rPr>
                                <w:rFonts w:ascii="Calibri" w:hAnsi="Calibri" w:cs="Calibri"/>
                                <w:color w:val="1F497D" w:themeColor="text2"/>
                              </w:rPr>
                              <w:t xml:space="preserve"> the professional development is allowable under the relevant program.</w:t>
                            </w:r>
                          </w:p>
                          <w:p w14:paraId="7BC41BEE" w14:textId="77777777" w:rsidR="003661EF" w:rsidRPr="007344CE" w:rsidRDefault="003661EF" w:rsidP="003661EF">
                            <w:pPr>
                              <w:pStyle w:val="ListParagraph"/>
                              <w:spacing w:after="0" w:line="240" w:lineRule="auto"/>
                              <w:ind w:left="540"/>
                              <w:rPr>
                                <w:color w:val="1F497D" w:themeColor="text2"/>
                              </w:rPr>
                            </w:pPr>
                          </w:p>
                          <w:p w14:paraId="4A79AD9C" w14:textId="77777777" w:rsidR="00326EA2" w:rsidRDefault="00326EA2" w:rsidP="0093107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E215B6B" w14:textId="441DE8D3" w:rsidR="00D17A5C" w:rsidRPr="003661EF" w:rsidRDefault="00D17A5C" w:rsidP="0093107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3661EF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Please contact your </w:t>
                            </w:r>
                            <w:hyperlink r:id="rId21" w:history="1">
                              <w:r w:rsidRPr="003661EF">
                                <w:rPr>
                                  <w:rStyle w:val="Hyperlink"/>
                                  <w:rFonts w:cstheme="minorBid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DESE </w:t>
                              </w:r>
                              <w:r w:rsidR="007344CE" w:rsidRPr="003661EF">
                                <w:rPr>
                                  <w:rStyle w:val="Hyperlink"/>
                                  <w:rFonts w:cstheme="minorBid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federal </w:t>
                              </w:r>
                              <w:r w:rsidRPr="003661EF">
                                <w:rPr>
                                  <w:rStyle w:val="Hyperlink"/>
                                  <w:rFonts w:cstheme="minorBid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grant</w:t>
                              </w:r>
                              <w:r w:rsidR="007344CE" w:rsidRPr="003661EF">
                                <w:rPr>
                                  <w:rStyle w:val="Hyperlink"/>
                                  <w:rFonts w:cstheme="minorBid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3661EF">
                                <w:rPr>
                                  <w:rStyle w:val="Hyperlink"/>
                                  <w:rFonts w:cstheme="minorBidi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liaison</w:t>
                              </w:r>
                            </w:hyperlink>
                            <w:r w:rsidRPr="003661EF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for further guidance on </w:t>
                            </w:r>
                            <w:r w:rsidR="003661EF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CARES Act ESSA </w:t>
                            </w:r>
                            <w:r w:rsidRPr="003661EF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  <w:t>waivers.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F782" id="_x0000_s1029" type="#_x0000_t202" style="position:absolute;margin-left:226.5pt;margin-top:4.25pt;width:327pt;height:6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" strokecolor="#365f91 [2404]" strokeweight=".25pt">
                <v:shadow on="t" color="black" opacity="26214f" origin="-.5,-.5" offset=".74836mm,.74836mm"/>
                <v:textbox>
                  <w:txbxContent>
                    <w:p w14:paraId="01D08824" w14:textId="743D6D1F" w:rsidR="00D14842" w:rsidRDefault="004A6F49" w:rsidP="00D14842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CARES Act Fiscal Waivers</w:t>
                      </w:r>
                    </w:p>
                    <w:p w14:paraId="5E7BACA6" w14:textId="3F65E00E" w:rsidR="004A6F49" w:rsidRPr="007344CE" w:rsidRDefault="00791C7D" w:rsidP="007344CE">
                      <w:pPr>
                        <w:spacing w:after="0" w:line="240" w:lineRule="auto"/>
                        <w:rPr>
                          <w:bCs/>
                          <w:color w:val="1F497D" w:themeColor="text2"/>
                        </w:rPr>
                      </w:pPr>
                      <w:r w:rsidRPr="007344CE">
                        <w:rPr>
                          <w:bCs/>
                          <w:color w:val="1F497D" w:themeColor="text2"/>
                        </w:rPr>
                        <w:t>In addition to providing ESSER funds,</w:t>
                      </w:r>
                      <w:r w:rsidR="003D1511">
                        <w:rPr>
                          <w:bCs/>
                          <w:color w:val="1F497D" w:themeColor="text2"/>
                        </w:rPr>
                        <w:t xml:space="preserve"> the U.S. Department of Ed.</w:t>
                      </w:r>
                      <w:r w:rsidR="00D17A5C" w:rsidRPr="007344CE">
                        <w:rPr>
                          <w:bCs/>
                          <w:color w:val="1F497D" w:themeColor="text2"/>
                        </w:rPr>
                        <w:t xml:space="preserve"> </w:t>
                      </w:r>
                      <w:r w:rsidR="004A6F49" w:rsidRPr="007344CE">
                        <w:rPr>
                          <w:bCs/>
                          <w:color w:val="1F497D" w:themeColor="text2"/>
                        </w:rPr>
                        <w:t xml:space="preserve">has </w:t>
                      </w:r>
                      <w:r w:rsidR="004A6F49" w:rsidRPr="007344CE">
                        <w:rPr>
                          <w:b/>
                          <w:color w:val="1F497D" w:themeColor="text2"/>
                          <w:u w:val="single"/>
                        </w:rPr>
                        <w:t>waived</w:t>
                      </w:r>
                      <w:r w:rsidR="004A6F49" w:rsidRPr="007344CE">
                        <w:rPr>
                          <w:bCs/>
                          <w:color w:val="1F497D" w:themeColor="text2"/>
                        </w:rPr>
                        <w:t xml:space="preserve"> </w:t>
                      </w:r>
                      <w:r w:rsidRPr="007344CE">
                        <w:rPr>
                          <w:bCs/>
                          <w:color w:val="1F497D" w:themeColor="text2"/>
                        </w:rPr>
                        <w:t>certain</w:t>
                      </w:r>
                      <w:r w:rsidR="004A6F49" w:rsidRPr="007344CE">
                        <w:rPr>
                          <w:bCs/>
                          <w:color w:val="1F497D" w:themeColor="text2"/>
                        </w:rPr>
                        <w:t xml:space="preserve"> </w:t>
                      </w:r>
                      <w:r w:rsidRPr="007344CE">
                        <w:rPr>
                          <w:bCs/>
                          <w:color w:val="1F497D" w:themeColor="text2"/>
                        </w:rPr>
                        <w:t xml:space="preserve">fiscal </w:t>
                      </w:r>
                      <w:r w:rsidR="004A6F49" w:rsidRPr="007344CE">
                        <w:rPr>
                          <w:bCs/>
                          <w:color w:val="1F497D" w:themeColor="text2"/>
                        </w:rPr>
                        <w:t>requirements</w:t>
                      </w:r>
                      <w:r w:rsidRPr="007344CE">
                        <w:rPr>
                          <w:bCs/>
                          <w:color w:val="1F497D" w:themeColor="text2"/>
                        </w:rPr>
                        <w:t xml:space="preserve"> for </w:t>
                      </w:r>
                      <w:r w:rsidRPr="003D1511">
                        <w:rPr>
                          <w:b/>
                          <w:color w:val="1F497D" w:themeColor="text2"/>
                          <w:u w:val="single"/>
                        </w:rPr>
                        <w:t>ESSA</w:t>
                      </w:r>
                      <w:r w:rsidRPr="007344CE">
                        <w:rPr>
                          <w:bCs/>
                          <w:color w:val="1F497D" w:themeColor="text2"/>
                        </w:rPr>
                        <w:t xml:space="preserve"> grant programs</w:t>
                      </w:r>
                      <w:r w:rsidR="004A6F49" w:rsidRPr="007344CE">
                        <w:rPr>
                          <w:bCs/>
                          <w:color w:val="1F497D" w:themeColor="text2"/>
                        </w:rPr>
                        <w:t>:</w:t>
                      </w:r>
                    </w:p>
                    <w:p w14:paraId="7F8AC55A" w14:textId="14888E53" w:rsidR="00D14842" w:rsidRPr="007344CE" w:rsidRDefault="007344CE" w:rsidP="007344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</w:rPr>
                        <w:t>T</w:t>
                      </w:r>
                      <w:r w:rsidR="004A6F49" w:rsidRPr="007344CE">
                        <w:rPr>
                          <w:b/>
                          <w:bCs/>
                          <w:color w:val="1F497D" w:themeColor="text2"/>
                        </w:rPr>
                        <w:t>he carryover limit for 2019-2020 (FY20) Title I, Part A Funds</w:t>
                      </w:r>
                      <w:r w:rsidR="00791C7D" w:rsidRPr="007344CE">
                        <w:rPr>
                          <w:b/>
                          <w:bCs/>
                          <w:color w:val="1F497D" w:themeColor="text2"/>
                        </w:rPr>
                        <w:t>.</w:t>
                      </w:r>
                      <w:r w:rsidR="00791C7D" w:rsidRPr="007344CE">
                        <w:rPr>
                          <w:color w:val="1F497D" w:themeColor="text2"/>
                        </w:rPr>
                        <w:t xml:space="preserve"> Districts are not limited in how much FY20 Title I, Part A funds they carryover from 2019-2020 to 2020-2021.</w:t>
                      </w:r>
                    </w:p>
                    <w:p w14:paraId="5435F96F" w14:textId="0262C2C7" w:rsidR="00791C7D" w:rsidRPr="007344CE" w:rsidRDefault="00791C7D" w:rsidP="007344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b/>
                          <w:bCs/>
                          <w:color w:val="1F497D" w:themeColor="text2"/>
                        </w:rPr>
                        <w:t>The period of availability to spend 2018-201</w:t>
                      </w:r>
                      <w:r w:rsidR="007344CE" w:rsidRPr="007344CE">
                        <w:rPr>
                          <w:b/>
                          <w:bCs/>
                          <w:color w:val="1F497D" w:themeColor="text2"/>
                        </w:rPr>
                        <w:t>9</w:t>
                      </w:r>
                      <w:r w:rsidRPr="007344CE">
                        <w:rPr>
                          <w:b/>
                          <w:bCs/>
                          <w:color w:val="1F497D" w:themeColor="text2"/>
                        </w:rPr>
                        <w:t xml:space="preserve"> (FY19) funds</w:t>
                      </w:r>
                      <w:r w:rsidRPr="007344CE">
                        <w:rPr>
                          <w:color w:val="1F497D" w:themeColor="text2"/>
                        </w:rPr>
                        <w:t xml:space="preserve"> for the following ESSA programs. </w:t>
                      </w:r>
                      <w:r w:rsidR="007344CE">
                        <w:rPr>
                          <w:color w:val="1F497D" w:themeColor="text2"/>
                        </w:rPr>
                        <w:t>D</w:t>
                      </w:r>
                      <w:r w:rsidRPr="007344CE">
                        <w:rPr>
                          <w:color w:val="1F497D" w:themeColor="text2"/>
                        </w:rPr>
                        <w:t xml:space="preserve">istricts now have an extra year </w:t>
                      </w:r>
                      <w:r w:rsidR="007344CE">
                        <w:rPr>
                          <w:color w:val="1F497D" w:themeColor="text2"/>
                        </w:rPr>
                        <w:t>(</w:t>
                      </w:r>
                      <w:r w:rsidR="007344CE" w:rsidRPr="007344CE">
                        <w:rPr>
                          <w:color w:val="1F497D" w:themeColor="text2"/>
                        </w:rPr>
                        <w:t>until September 30, 2021</w:t>
                      </w:r>
                      <w:r w:rsidR="007344CE">
                        <w:rPr>
                          <w:color w:val="1F497D" w:themeColor="text2"/>
                        </w:rPr>
                        <w:t xml:space="preserve">) </w:t>
                      </w:r>
                      <w:r w:rsidRPr="007344CE">
                        <w:rPr>
                          <w:color w:val="1F497D" w:themeColor="text2"/>
                        </w:rPr>
                        <w:t xml:space="preserve">to spend the funds. The programs covered by this waiver are: </w:t>
                      </w:r>
                    </w:p>
                    <w:p w14:paraId="4459280A" w14:textId="750B258A" w:rsidR="00791C7D" w:rsidRPr="007344CE" w:rsidRDefault="00791C7D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I, Part A (Improving Basic Programs)</w:t>
                      </w:r>
                      <w:r w:rsidR="00D35838" w:rsidRPr="007344CE">
                        <w:rPr>
                          <w:color w:val="1F497D" w:themeColor="text2"/>
                        </w:rPr>
                        <w:t>,</w:t>
                      </w:r>
                    </w:p>
                    <w:p w14:paraId="2A92D12A" w14:textId="2D782409" w:rsidR="00791C7D" w:rsidRPr="007344CE" w:rsidRDefault="00791C7D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I, Part C (Migrant Education)</w:t>
                      </w:r>
                      <w:r w:rsidR="00D35838" w:rsidRPr="007344CE">
                        <w:rPr>
                          <w:color w:val="1F497D" w:themeColor="text2"/>
                        </w:rPr>
                        <w:t>,</w:t>
                      </w:r>
                    </w:p>
                    <w:p w14:paraId="1413B452" w14:textId="3F2552A3" w:rsidR="00791C7D" w:rsidRPr="007344CE" w:rsidRDefault="00791C7D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I, Part D, Subpart 1</w:t>
                      </w:r>
                      <w:r w:rsidR="00FF1BB8">
                        <w:rPr>
                          <w:color w:val="1F497D" w:themeColor="text2"/>
                        </w:rPr>
                        <w:t xml:space="preserve"> </w:t>
                      </w:r>
                      <w:r w:rsidR="00D35838" w:rsidRPr="007344CE">
                        <w:rPr>
                          <w:color w:val="1F497D" w:themeColor="text2"/>
                        </w:rPr>
                        <w:t>(Neglected and Delinquent),</w:t>
                      </w:r>
                    </w:p>
                    <w:p w14:paraId="53B2A7E1" w14:textId="47AC08C8" w:rsidR="00D35838" w:rsidRPr="007344CE" w:rsidRDefault="00D35838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II, Part A (Supporting Effective Instruction),</w:t>
                      </w:r>
                    </w:p>
                    <w:p w14:paraId="2DD9BEFE" w14:textId="1A629EE7" w:rsidR="00D35838" w:rsidRPr="007344CE" w:rsidRDefault="00D35838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III, Part A (English Language Acquisition)</w:t>
                      </w:r>
                    </w:p>
                    <w:p w14:paraId="5476BED0" w14:textId="3A647F26" w:rsidR="00D35838" w:rsidRPr="007344CE" w:rsidRDefault="00D35838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IV, Part A (Student Support and Academic Achievement),</w:t>
                      </w:r>
                    </w:p>
                    <w:p w14:paraId="5A1932DF" w14:textId="3C6EB7C9" w:rsidR="00D35838" w:rsidRPr="007344CE" w:rsidRDefault="00D35838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IV, Part B (21</w:t>
                      </w:r>
                      <w:r w:rsidRPr="007344CE">
                        <w:rPr>
                          <w:color w:val="1F497D" w:themeColor="text2"/>
                          <w:vertAlign w:val="superscript"/>
                        </w:rPr>
                        <w:t>st</w:t>
                      </w:r>
                      <w:r w:rsidRPr="007344CE">
                        <w:rPr>
                          <w:color w:val="1F497D" w:themeColor="text2"/>
                        </w:rPr>
                        <w:t xml:space="preserve"> Century Community Learning Centers),</w:t>
                      </w:r>
                    </w:p>
                    <w:p w14:paraId="7E8D71D5" w14:textId="6E84CFDE" w:rsidR="00D35838" w:rsidRPr="007344CE" w:rsidRDefault="00D35838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Title V, Part B Subpart 2 (Rural and Low-Income School Program), and</w:t>
                      </w:r>
                    </w:p>
                    <w:p w14:paraId="7827724E" w14:textId="6FE4E689" w:rsidR="00D35838" w:rsidRPr="007344CE" w:rsidRDefault="00D35838" w:rsidP="007344C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>McKinney-Vento Education for Homeless Children and Youth Program</w:t>
                      </w:r>
                    </w:p>
                    <w:p w14:paraId="3B6CFA66" w14:textId="15E00F42" w:rsidR="00D35838" w:rsidRPr="007344CE" w:rsidRDefault="00D35838" w:rsidP="007344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b/>
                          <w:bCs/>
                          <w:color w:val="1F497D" w:themeColor="text2"/>
                        </w:rPr>
                        <w:t xml:space="preserve">The requirements for districts that receive $30,000 or more in Title IV, Part A funds </w:t>
                      </w:r>
                      <w:r w:rsidRPr="007344CE">
                        <w:rPr>
                          <w:color w:val="1F497D" w:themeColor="text2"/>
                        </w:rPr>
                        <w:t xml:space="preserve">to conduct a needs assessment. </w:t>
                      </w:r>
                      <w:r w:rsidR="007344CE">
                        <w:rPr>
                          <w:color w:val="1F497D" w:themeColor="text2"/>
                        </w:rPr>
                        <w:t>D</w:t>
                      </w:r>
                      <w:r w:rsidRPr="007344CE">
                        <w:rPr>
                          <w:color w:val="1F497D" w:themeColor="text2"/>
                        </w:rPr>
                        <w:t>istricts will not have to amend the needs assessment conducted for 2019-2020 funds</w:t>
                      </w:r>
                      <w:r w:rsidR="00FF1BB8">
                        <w:rPr>
                          <w:color w:val="1F497D" w:themeColor="text2"/>
                        </w:rPr>
                        <w:t>.</w:t>
                      </w:r>
                    </w:p>
                    <w:p w14:paraId="427D37DA" w14:textId="1831597E" w:rsidR="00D35838" w:rsidRPr="007344CE" w:rsidRDefault="00D35838" w:rsidP="007344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b/>
                          <w:bCs/>
                          <w:color w:val="1F497D" w:themeColor="text2"/>
                        </w:rPr>
                        <w:t>The requ</w:t>
                      </w:r>
                      <w:r w:rsidR="00F06F4F" w:rsidRPr="007344CE">
                        <w:rPr>
                          <w:b/>
                          <w:bCs/>
                          <w:color w:val="1F497D" w:themeColor="text2"/>
                        </w:rPr>
                        <w:t>irement for districts that receive $30,000 or more in Title IV</w:t>
                      </w:r>
                      <w:r w:rsidR="00FF1BB8">
                        <w:rPr>
                          <w:b/>
                          <w:bCs/>
                          <w:color w:val="1F497D" w:themeColor="text2"/>
                        </w:rPr>
                        <w:t>-</w:t>
                      </w:r>
                      <w:r w:rsidR="00F06F4F" w:rsidRPr="007344CE">
                        <w:rPr>
                          <w:b/>
                          <w:bCs/>
                          <w:color w:val="1F497D" w:themeColor="text2"/>
                        </w:rPr>
                        <w:t>A funds to spend funds in three areas (well-rounded education, activities to support sa</w:t>
                      </w:r>
                      <w:r w:rsidR="003661EF">
                        <w:rPr>
                          <w:b/>
                          <w:bCs/>
                          <w:color w:val="1F497D" w:themeColor="text2"/>
                        </w:rPr>
                        <w:t>f</w:t>
                      </w:r>
                      <w:r w:rsidR="00F06F4F" w:rsidRPr="007344CE">
                        <w:rPr>
                          <w:b/>
                          <w:bCs/>
                          <w:color w:val="1F497D" w:themeColor="text2"/>
                        </w:rPr>
                        <w:t>e and healthy students, and effective use of technology).</w:t>
                      </w:r>
                      <w:r w:rsidR="00F06F4F" w:rsidRPr="007344CE">
                        <w:rPr>
                          <w:color w:val="1F497D" w:themeColor="text2"/>
                        </w:rPr>
                        <w:t xml:space="preserve"> This waiver allows districts to spend any remaining FY19 and FY20 funds on any allowable Title IV</w:t>
                      </w:r>
                      <w:r w:rsidR="00FF1BB8">
                        <w:rPr>
                          <w:color w:val="1F497D" w:themeColor="text2"/>
                        </w:rPr>
                        <w:t>-</w:t>
                      </w:r>
                      <w:r w:rsidR="00F06F4F" w:rsidRPr="007344CE">
                        <w:rPr>
                          <w:color w:val="1F497D" w:themeColor="text2"/>
                        </w:rPr>
                        <w:t>A activity</w:t>
                      </w:r>
                      <w:r w:rsidR="003661EF">
                        <w:rPr>
                          <w:color w:val="1F497D" w:themeColor="text2"/>
                        </w:rPr>
                        <w:t xml:space="preserve"> rather than </w:t>
                      </w:r>
                      <w:r w:rsidR="00F06F4F" w:rsidRPr="007344CE">
                        <w:rPr>
                          <w:color w:val="1F497D" w:themeColor="text2"/>
                        </w:rPr>
                        <w:t>hav</w:t>
                      </w:r>
                      <w:r w:rsidR="003661EF">
                        <w:rPr>
                          <w:color w:val="1F497D" w:themeColor="text2"/>
                        </w:rPr>
                        <w:t>ing</w:t>
                      </w:r>
                      <w:r w:rsidR="00F06F4F" w:rsidRPr="007344CE">
                        <w:rPr>
                          <w:color w:val="1F497D" w:themeColor="text2"/>
                        </w:rPr>
                        <w:t xml:space="preserve"> to spend across all three areas.</w:t>
                      </w:r>
                    </w:p>
                    <w:p w14:paraId="00B8C126" w14:textId="2B18DF64" w:rsidR="00F06F4F" w:rsidRPr="007344CE" w:rsidRDefault="00F06F4F" w:rsidP="007344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b/>
                          <w:bCs/>
                          <w:color w:val="1F497D" w:themeColor="text2"/>
                        </w:rPr>
                        <w:t xml:space="preserve">The limit on spending </w:t>
                      </w:r>
                      <w:r w:rsidR="00FF1BB8">
                        <w:rPr>
                          <w:b/>
                          <w:bCs/>
                          <w:color w:val="1F497D" w:themeColor="text2"/>
                        </w:rPr>
                        <w:t>Title IV-A</w:t>
                      </w:r>
                      <w:r w:rsidRPr="007344CE">
                        <w:rPr>
                          <w:b/>
                          <w:bCs/>
                          <w:color w:val="1F497D" w:themeColor="text2"/>
                        </w:rPr>
                        <w:t xml:space="preserve"> funds on technology infrastructure</w:t>
                      </w:r>
                      <w:r w:rsidRPr="007344CE">
                        <w:rPr>
                          <w:color w:val="1F497D" w:themeColor="text2"/>
                        </w:rPr>
                        <w:t xml:space="preserve">. </w:t>
                      </w:r>
                      <w:r w:rsidR="003661EF">
                        <w:rPr>
                          <w:color w:val="1F497D" w:themeColor="text2"/>
                        </w:rPr>
                        <w:t>D</w:t>
                      </w:r>
                      <w:r w:rsidRPr="007344CE">
                        <w:rPr>
                          <w:color w:val="1F497D" w:themeColor="text2"/>
                        </w:rPr>
                        <w:t>istricts are not limited on how much they spend on technology infrastructure.</w:t>
                      </w:r>
                    </w:p>
                    <w:p w14:paraId="68A50C3C" w14:textId="090EA07B" w:rsidR="00D17A5C" w:rsidRPr="003661EF" w:rsidRDefault="00F06F4F" w:rsidP="007344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  <w:r w:rsidRPr="007344CE">
                        <w:rPr>
                          <w:color w:val="1F497D" w:themeColor="text2"/>
                        </w:rPr>
                        <w:t xml:space="preserve">The </w:t>
                      </w:r>
                      <w:r w:rsidRPr="003D1511">
                        <w:rPr>
                          <w:b/>
                          <w:bCs/>
                          <w:color w:val="1F497D" w:themeColor="text2"/>
                        </w:rPr>
                        <w:t>definition of professional development</w:t>
                      </w:r>
                      <w:r w:rsidRPr="007344CE">
                        <w:rPr>
                          <w:color w:val="1F497D" w:themeColor="text2"/>
                        </w:rPr>
                        <w:t xml:space="preserve"> </w:t>
                      </w:r>
                      <w:r w:rsidRPr="007344CE">
                        <w:rPr>
                          <w:rFonts w:ascii="Calibri" w:hAnsi="Calibri" w:cs="Calibri"/>
                          <w:color w:val="1F497D" w:themeColor="text2"/>
                        </w:rPr>
                        <w:t xml:space="preserve">in Section 8101(42) of ESEA for the 2019-2020 school year. </w:t>
                      </w:r>
                      <w:r w:rsidR="003661EF">
                        <w:rPr>
                          <w:rFonts w:ascii="Calibri" w:hAnsi="Calibri" w:cs="Calibri"/>
                          <w:color w:val="1F497D" w:themeColor="text2"/>
                        </w:rPr>
                        <w:t>Dist</w:t>
                      </w:r>
                      <w:r w:rsidRPr="007344CE">
                        <w:rPr>
                          <w:rFonts w:ascii="Calibri" w:hAnsi="Calibri" w:cs="Calibri"/>
                          <w:color w:val="1F497D" w:themeColor="text2"/>
                        </w:rPr>
                        <w:t xml:space="preserve">ricts may now use </w:t>
                      </w:r>
                      <w:r w:rsidR="00D17A5C" w:rsidRPr="007344CE">
                        <w:rPr>
                          <w:rFonts w:ascii="Calibri" w:hAnsi="Calibri" w:cs="Calibri"/>
                          <w:color w:val="1F497D" w:themeColor="text2"/>
                        </w:rPr>
                        <w:t xml:space="preserve">ESSA funds to support shorter-term professional development, </w:t>
                      </w:r>
                      <w:r w:rsidR="0093107C">
                        <w:rPr>
                          <w:rFonts w:ascii="Calibri" w:hAnsi="Calibri" w:cs="Calibri"/>
                          <w:color w:val="1F497D" w:themeColor="text2"/>
                        </w:rPr>
                        <w:t>if</w:t>
                      </w:r>
                      <w:r w:rsidR="00D17A5C" w:rsidRPr="007344CE">
                        <w:rPr>
                          <w:rFonts w:ascii="Calibri" w:hAnsi="Calibri" w:cs="Calibri"/>
                          <w:color w:val="1F497D" w:themeColor="text2"/>
                        </w:rPr>
                        <w:t xml:space="preserve"> the professional development is allowable under the relevant program.</w:t>
                      </w:r>
                    </w:p>
                    <w:p w14:paraId="7BC41BEE" w14:textId="77777777" w:rsidR="003661EF" w:rsidRPr="007344CE" w:rsidRDefault="003661EF" w:rsidP="003661EF">
                      <w:pPr>
                        <w:pStyle w:val="ListParagraph"/>
                        <w:spacing w:after="0" w:line="240" w:lineRule="auto"/>
                        <w:ind w:left="540"/>
                        <w:rPr>
                          <w:color w:val="1F497D" w:themeColor="text2"/>
                        </w:rPr>
                      </w:pPr>
                    </w:p>
                    <w:p w14:paraId="4A79AD9C" w14:textId="77777777" w:rsidR="00326EA2" w:rsidRDefault="00326EA2" w:rsidP="0093107C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1E215B6B" w14:textId="441DE8D3" w:rsidR="00D17A5C" w:rsidRPr="003661EF" w:rsidRDefault="00D17A5C" w:rsidP="0093107C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</w:pPr>
                      <w:r w:rsidRPr="003661EF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  <w:t xml:space="preserve">Please contact your </w:t>
                      </w:r>
                      <w:hyperlink r:id="rId22" w:history="1">
                        <w:r w:rsidRPr="003661EF">
                          <w:rPr>
                            <w:rStyle w:val="Hyperlink"/>
                            <w:rFonts w:cstheme="minorBid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DESE </w:t>
                        </w:r>
                        <w:r w:rsidR="007344CE" w:rsidRPr="003661EF">
                          <w:rPr>
                            <w:rStyle w:val="Hyperlink"/>
                            <w:rFonts w:cstheme="minorBid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federal </w:t>
                        </w:r>
                        <w:r w:rsidRPr="003661EF">
                          <w:rPr>
                            <w:rStyle w:val="Hyperlink"/>
                            <w:rFonts w:cstheme="minorBid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grant</w:t>
                        </w:r>
                        <w:r w:rsidR="007344CE" w:rsidRPr="003661EF">
                          <w:rPr>
                            <w:rStyle w:val="Hyperlink"/>
                            <w:rFonts w:cstheme="minorBid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s</w:t>
                        </w:r>
                        <w:r w:rsidRPr="003661EF">
                          <w:rPr>
                            <w:rStyle w:val="Hyperlink"/>
                            <w:rFonts w:cstheme="minorBidi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liaison</w:t>
                        </w:r>
                      </w:hyperlink>
                      <w:r w:rsidRPr="003661EF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  <w:t xml:space="preserve"> for further guidance on </w:t>
                      </w:r>
                      <w:r w:rsidR="003661EF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  <w:t xml:space="preserve">CARES Act ESSA </w:t>
                      </w:r>
                      <w:r w:rsidRPr="003661EF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  <w:t>waivers.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FD511" w14:textId="55684CC9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73BFFB8E" w14:textId="147BD3E6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6D54163C" w14:textId="7D6E269E" w:rsidR="00F305C6" w:rsidRDefault="00F305C6" w:rsidP="000D4A11">
      <w:pPr>
        <w:spacing w:after="0" w:line="240" w:lineRule="auto"/>
        <w:rPr>
          <w:sz w:val="8"/>
          <w:szCs w:val="8"/>
        </w:rPr>
      </w:pPr>
    </w:p>
    <w:p w14:paraId="437C237A" w14:textId="4749E40A" w:rsidR="008A468A" w:rsidRPr="000D4A11" w:rsidRDefault="00326EA2" w:rsidP="000D4A11">
      <w:pPr>
        <w:spacing w:after="0" w:line="240" w:lineRule="auto"/>
        <w:rPr>
          <w:sz w:val="8"/>
          <w:szCs w:val="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8BCCC" wp14:editId="3517EE14">
                <wp:simplePos x="0" y="0"/>
                <wp:positionH relativeFrom="page">
                  <wp:posOffset>352425</wp:posOffset>
                </wp:positionH>
                <wp:positionV relativeFrom="paragraph">
                  <wp:posOffset>5530215</wp:posOffset>
                </wp:positionV>
                <wp:extent cx="2876550" cy="2714625"/>
                <wp:effectExtent l="38100" t="38100" r="114300" b="123825"/>
                <wp:wrapNone/>
                <wp:docPr id="1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582788" w14:textId="39061409" w:rsidR="00DF4F96" w:rsidRDefault="00BA5CBC" w:rsidP="00596C87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Reporting Requirements for ESSER</w:t>
                            </w:r>
                          </w:p>
                          <w:p w14:paraId="3FCDEC28" w14:textId="0C2A1AEA" w:rsidR="00BA5CBC" w:rsidRPr="006A5EB6" w:rsidRDefault="00BA5CBC" w:rsidP="00D17A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30" w:right="140" w:hanging="33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The CARES Act requires entities that receive more than $150,000 in CARES Act funds to report certain information about their spending</w:t>
                            </w:r>
                            <w:r w:rsidR="003D1511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 xml:space="preserve"> to DESE on </w:t>
                            </w:r>
                            <w:r w:rsidR="00326EA2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 xml:space="preserve">a </w:t>
                            </w:r>
                            <w:r w:rsidR="00326EA2"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quarterly</w:t>
                            </w:r>
                            <w:r w:rsidR="003D1511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 xml:space="preserve"> basis</w:t>
                            </w:r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:</w:t>
                            </w:r>
                          </w:p>
                          <w:p w14:paraId="3BC1C4A3" w14:textId="061598D0" w:rsidR="00BA5CBC" w:rsidRPr="006A5EB6" w:rsidRDefault="00BA5CBC" w:rsidP="003D151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ind w:left="720" w:right="14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What projects districts supported with CARES Act funds,</w:t>
                            </w:r>
                          </w:p>
                          <w:p w14:paraId="277CFFEA" w14:textId="3EE99BEA" w:rsidR="00BA5CBC" w:rsidRPr="006A5EB6" w:rsidRDefault="00BA5CBC" w:rsidP="003D151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ind w:left="720" w:right="14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 xml:space="preserve">How much districts spent on each project, </w:t>
                            </w:r>
                            <w:proofErr w:type="gramStart"/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and</w:t>
                            </w:r>
                            <w:proofErr w:type="gramEnd"/>
                          </w:p>
                          <w:p w14:paraId="7968E5B1" w14:textId="230F4277" w:rsidR="00BA5CBC" w:rsidRPr="006A5EB6" w:rsidRDefault="00BA5CBC" w:rsidP="003D151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ind w:left="720" w:right="14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Information about subgrants and contracts</w:t>
                            </w:r>
                          </w:p>
                          <w:p w14:paraId="1B759CA2" w14:textId="77777777" w:rsidR="00BA5CBC" w:rsidRPr="006A5EB6" w:rsidRDefault="00BA5CBC" w:rsidP="00BA5CBC">
                            <w:pPr>
                              <w:pStyle w:val="ListParagraph"/>
                              <w:spacing w:after="0" w:line="240" w:lineRule="auto"/>
                              <w:ind w:left="1440" w:right="14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</w:p>
                          <w:p w14:paraId="632A7C88" w14:textId="65FD9220" w:rsidR="00DF4F96" w:rsidRPr="006A5EB6" w:rsidRDefault="00BA5CBC" w:rsidP="00D17A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40" w:lineRule="auto"/>
                              <w:ind w:left="330" w:right="140" w:hanging="330"/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</w:pPr>
                            <w:r w:rsidRPr="006A5EB6">
                              <w:rPr>
                                <w:rFonts w:ascii="Calibri" w:hAnsi="Calibri" w:cs="Calibri"/>
                                <w:color w:val="1F497D" w:themeColor="text2"/>
                                <w:szCs w:val="24"/>
                              </w:rPr>
                              <w:t>More information about these reporting requirements is forthcoming.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BCCC" id="Text Box 17" o:spid="_x0000_s1030" type="#_x0000_t202" style="position:absolute;margin-left:27.75pt;margin-top:435.45pt;width:226.5pt;height:2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" strokecolor="#365f91 [2404]" strokeweight=".25pt">
                <v:shadow on="t" color="black" opacity="26214f" origin="-.5,-.5" offset=".74836mm,.74836mm"/>
                <v:textbox>
                  <w:txbxContent>
                    <w:p w14:paraId="3C582788" w14:textId="39061409" w:rsidR="00DF4F96" w:rsidRDefault="00BA5CBC" w:rsidP="00596C87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Reporting Requirements for ESSER</w:t>
                      </w:r>
                    </w:p>
                    <w:p w14:paraId="3FCDEC28" w14:textId="0C2A1AEA" w:rsidR="00BA5CBC" w:rsidRPr="006A5EB6" w:rsidRDefault="00BA5CBC" w:rsidP="00D17A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30" w:right="140" w:hanging="33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The CARES Act requires entities that receive more than $150,000 in CARES Act funds to report certain information about their spending</w:t>
                      </w:r>
                      <w:r w:rsidR="003D1511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 xml:space="preserve"> to DESE on </w:t>
                      </w:r>
                      <w:r w:rsidR="00326EA2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 xml:space="preserve">a </w:t>
                      </w:r>
                      <w:r w:rsidR="00326EA2"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quarterly</w:t>
                      </w:r>
                      <w:r w:rsidR="003D1511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 xml:space="preserve"> basis</w:t>
                      </w:r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:</w:t>
                      </w:r>
                    </w:p>
                    <w:p w14:paraId="3BC1C4A3" w14:textId="061598D0" w:rsidR="00BA5CBC" w:rsidRPr="006A5EB6" w:rsidRDefault="00BA5CBC" w:rsidP="003D151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ind w:left="720" w:right="14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What projects districts supported with CARES Act funds,</w:t>
                      </w:r>
                    </w:p>
                    <w:p w14:paraId="277CFFEA" w14:textId="3EE99BEA" w:rsidR="00BA5CBC" w:rsidRPr="006A5EB6" w:rsidRDefault="00BA5CBC" w:rsidP="003D151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ind w:left="720" w:right="14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 xml:space="preserve">How much districts spent on each project, </w:t>
                      </w:r>
                      <w:proofErr w:type="gramStart"/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and</w:t>
                      </w:r>
                      <w:proofErr w:type="gramEnd"/>
                    </w:p>
                    <w:p w14:paraId="7968E5B1" w14:textId="230F4277" w:rsidR="00BA5CBC" w:rsidRPr="006A5EB6" w:rsidRDefault="00BA5CBC" w:rsidP="003D151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ind w:left="720" w:right="14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Information about subgrants and contracts</w:t>
                      </w:r>
                    </w:p>
                    <w:p w14:paraId="1B759CA2" w14:textId="77777777" w:rsidR="00BA5CBC" w:rsidRPr="006A5EB6" w:rsidRDefault="00BA5CBC" w:rsidP="00BA5CBC">
                      <w:pPr>
                        <w:pStyle w:val="ListParagraph"/>
                        <w:spacing w:after="0" w:line="240" w:lineRule="auto"/>
                        <w:ind w:left="1440" w:right="14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</w:p>
                    <w:p w14:paraId="632A7C88" w14:textId="65FD9220" w:rsidR="00DF4F96" w:rsidRPr="006A5EB6" w:rsidRDefault="00BA5CBC" w:rsidP="00D17A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40" w:lineRule="auto"/>
                        <w:ind w:left="330" w:right="140" w:hanging="330"/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</w:pPr>
                      <w:r w:rsidRPr="006A5EB6">
                        <w:rPr>
                          <w:rFonts w:ascii="Calibri" w:hAnsi="Calibri" w:cs="Calibri"/>
                          <w:color w:val="1F497D" w:themeColor="text2"/>
                          <w:szCs w:val="24"/>
                        </w:rPr>
                        <w:t>More information about these reporting requirements is forthcoming.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A468A" w:rsidRPr="000D4A11" w:rsidSect="009F512A">
      <w:headerReference w:type="default" r:id="rId23"/>
      <w:footerReference w:type="default" r:id="rId24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7819D" w14:textId="77777777" w:rsidR="006A43C0" w:rsidRDefault="006A43C0" w:rsidP="002123C2">
      <w:pPr>
        <w:spacing w:after="0" w:line="240" w:lineRule="auto"/>
      </w:pPr>
      <w:r>
        <w:separator/>
      </w:r>
    </w:p>
  </w:endnote>
  <w:endnote w:type="continuationSeparator" w:id="0">
    <w:p w14:paraId="750AFDE8" w14:textId="77777777" w:rsidR="006A43C0" w:rsidRDefault="006A43C0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B5E1" w14:textId="69A7EA6F" w:rsidR="00DF4F96" w:rsidRPr="00B83CC4" w:rsidRDefault="001555FF" w:rsidP="00B83CC4">
    <w:pPr>
      <w:pStyle w:val="Footer"/>
      <w:rPr>
        <w:sz w:val="20"/>
        <w:szCs w:val="20"/>
      </w:rPr>
    </w:pPr>
    <w:r>
      <w:rPr>
        <w:sz w:val="20"/>
        <w:szCs w:val="20"/>
      </w:rPr>
      <w:t>September</w:t>
    </w:r>
    <w:r w:rsidR="00A70F30">
      <w:rPr>
        <w:sz w:val="20"/>
        <w:szCs w:val="20"/>
      </w:rPr>
      <w:t xml:space="preserve"> 20</w:t>
    </w:r>
    <w:r w:rsidR="007B4AC1">
      <w:rPr>
        <w:sz w:val="20"/>
        <w:szCs w:val="20"/>
      </w:rPr>
      <w:t>20</w:t>
    </w:r>
  </w:p>
  <w:p w14:paraId="334D63F6" w14:textId="77777777" w:rsidR="00DF4F96" w:rsidRDefault="00DF4F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9FFA" w14:textId="77777777" w:rsidR="006A43C0" w:rsidRDefault="006A43C0" w:rsidP="002123C2">
      <w:pPr>
        <w:spacing w:after="0" w:line="240" w:lineRule="auto"/>
      </w:pPr>
      <w:r>
        <w:separator/>
      </w:r>
    </w:p>
  </w:footnote>
  <w:footnote w:type="continuationSeparator" w:id="0">
    <w:p w14:paraId="730FE4B1" w14:textId="77777777" w:rsidR="006A43C0" w:rsidRDefault="006A43C0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16A8" w14:textId="77777777" w:rsidR="00DF4F96" w:rsidRPr="00F71E79" w:rsidRDefault="00DF4F96" w:rsidP="002E041D">
    <w:pPr>
      <w:pStyle w:val="Heading1"/>
      <w:tabs>
        <w:tab w:val="left" w:pos="337"/>
        <w:tab w:val="center" w:pos="5112"/>
      </w:tabs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37A"/>
    <w:multiLevelType w:val="hybridMultilevel"/>
    <w:tmpl w:val="1F32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56F"/>
    <w:multiLevelType w:val="hybridMultilevel"/>
    <w:tmpl w:val="03705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63E1F"/>
    <w:multiLevelType w:val="hybridMultilevel"/>
    <w:tmpl w:val="5608EC0E"/>
    <w:lvl w:ilvl="0" w:tplc="AF70F6E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0AA"/>
    <w:multiLevelType w:val="hybridMultilevel"/>
    <w:tmpl w:val="DA86E770"/>
    <w:lvl w:ilvl="0" w:tplc="AF70F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63EFF"/>
    <w:multiLevelType w:val="hybridMultilevel"/>
    <w:tmpl w:val="ABBCCE4A"/>
    <w:lvl w:ilvl="0" w:tplc="9E10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271A"/>
    <w:multiLevelType w:val="hybridMultilevel"/>
    <w:tmpl w:val="9426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24663"/>
    <w:multiLevelType w:val="hybridMultilevel"/>
    <w:tmpl w:val="092A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C2"/>
    <w:rsid w:val="00006B02"/>
    <w:rsid w:val="00007BDE"/>
    <w:rsid w:val="000125F3"/>
    <w:rsid w:val="0002190C"/>
    <w:rsid w:val="000309D7"/>
    <w:rsid w:val="00032390"/>
    <w:rsid w:val="00037CF2"/>
    <w:rsid w:val="00043D42"/>
    <w:rsid w:val="00053492"/>
    <w:rsid w:val="00056E07"/>
    <w:rsid w:val="00056FFB"/>
    <w:rsid w:val="00064A01"/>
    <w:rsid w:val="00076146"/>
    <w:rsid w:val="0007624F"/>
    <w:rsid w:val="0007729A"/>
    <w:rsid w:val="000808F3"/>
    <w:rsid w:val="0008207E"/>
    <w:rsid w:val="00084041"/>
    <w:rsid w:val="00086F4E"/>
    <w:rsid w:val="000A1148"/>
    <w:rsid w:val="000A5D6C"/>
    <w:rsid w:val="000A6682"/>
    <w:rsid w:val="000A6A4C"/>
    <w:rsid w:val="000A74D7"/>
    <w:rsid w:val="000C79B0"/>
    <w:rsid w:val="000D13F0"/>
    <w:rsid w:val="000D1DAA"/>
    <w:rsid w:val="000D3FCB"/>
    <w:rsid w:val="000D4A11"/>
    <w:rsid w:val="000D4A78"/>
    <w:rsid w:val="000F210C"/>
    <w:rsid w:val="000F6D88"/>
    <w:rsid w:val="0012247C"/>
    <w:rsid w:val="001257AF"/>
    <w:rsid w:val="00142DB2"/>
    <w:rsid w:val="00144928"/>
    <w:rsid w:val="001513A6"/>
    <w:rsid w:val="001555FF"/>
    <w:rsid w:val="001574D3"/>
    <w:rsid w:val="00161728"/>
    <w:rsid w:val="00166240"/>
    <w:rsid w:val="00174313"/>
    <w:rsid w:val="00174E70"/>
    <w:rsid w:val="00175467"/>
    <w:rsid w:val="00180CBD"/>
    <w:rsid w:val="001815F2"/>
    <w:rsid w:val="001860A8"/>
    <w:rsid w:val="00186E2D"/>
    <w:rsid w:val="001A2855"/>
    <w:rsid w:val="001A3E4F"/>
    <w:rsid w:val="001A45D0"/>
    <w:rsid w:val="001B111D"/>
    <w:rsid w:val="001C5770"/>
    <w:rsid w:val="001E3706"/>
    <w:rsid w:val="001E4A3B"/>
    <w:rsid w:val="001E7E32"/>
    <w:rsid w:val="001F0C9A"/>
    <w:rsid w:val="001F3649"/>
    <w:rsid w:val="001F3EC7"/>
    <w:rsid w:val="00200FAC"/>
    <w:rsid w:val="0020151F"/>
    <w:rsid w:val="00205019"/>
    <w:rsid w:val="0020643D"/>
    <w:rsid w:val="00211E3E"/>
    <w:rsid w:val="002123C2"/>
    <w:rsid w:val="002251D1"/>
    <w:rsid w:val="002259FC"/>
    <w:rsid w:val="00231D56"/>
    <w:rsid w:val="00231DDF"/>
    <w:rsid w:val="002433E6"/>
    <w:rsid w:val="0024610A"/>
    <w:rsid w:val="00247627"/>
    <w:rsid w:val="002636CA"/>
    <w:rsid w:val="00267B36"/>
    <w:rsid w:val="00270A58"/>
    <w:rsid w:val="00271597"/>
    <w:rsid w:val="0028324E"/>
    <w:rsid w:val="00294558"/>
    <w:rsid w:val="002A0D06"/>
    <w:rsid w:val="002A5F9E"/>
    <w:rsid w:val="002B51CD"/>
    <w:rsid w:val="002D39D2"/>
    <w:rsid w:val="002E041D"/>
    <w:rsid w:val="002E6CE8"/>
    <w:rsid w:val="002F2AC5"/>
    <w:rsid w:val="00301353"/>
    <w:rsid w:val="003049E7"/>
    <w:rsid w:val="003102F2"/>
    <w:rsid w:val="003135AE"/>
    <w:rsid w:val="0031692E"/>
    <w:rsid w:val="003178E1"/>
    <w:rsid w:val="003250D3"/>
    <w:rsid w:val="00326EA2"/>
    <w:rsid w:val="0033200D"/>
    <w:rsid w:val="00333555"/>
    <w:rsid w:val="0034241C"/>
    <w:rsid w:val="00342FD0"/>
    <w:rsid w:val="003461A7"/>
    <w:rsid w:val="003511BC"/>
    <w:rsid w:val="00356B3D"/>
    <w:rsid w:val="00360220"/>
    <w:rsid w:val="0036578E"/>
    <w:rsid w:val="003660A3"/>
    <w:rsid w:val="003661EF"/>
    <w:rsid w:val="003669EC"/>
    <w:rsid w:val="00382625"/>
    <w:rsid w:val="00397260"/>
    <w:rsid w:val="003A4FB0"/>
    <w:rsid w:val="003A6BCA"/>
    <w:rsid w:val="003A7938"/>
    <w:rsid w:val="003B2F2B"/>
    <w:rsid w:val="003B45F2"/>
    <w:rsid w:val="003B6176"/>
    <w:rsid w:val="003C12E4"/>
    <w:rsid w:val="003D1511"/>
    <w:rsid w:val="003D22E0"/>
    <w:rsid w:val="003D31F2"/>
    <w:rsid w:val="003D3313"/>
    <w:rsid w:val="003E6857"/>
    <w:rsid w:val="003F5B64"/>
    <w:rsid w:val="003F66FA"/>
    <w:rsid w:val="0040078D"/>
    <w:rsid w:val="004019BB"/>
    <w:rsid w:val="004075DC"/>
    <w:rsid w:val="00407BE0"/>
    <w:rsid w:val="00411DA1"/>
    <w:rsid w:val="004166FB"/>
    <w:rsid w:val="0041775D"/>
    <w:rsid w:val="0042016C"/>
    <w:rsid w:val="0042470F"/>
    <w:rsid w:val="00425B4F"/>
    <w:rsid w:val="00426169"/>
    <w:rsid w:val="004305CE"/>
    <w:rsid w:val="00433B43"/>
    <w:rsid w:val="0043728A"/>
    <w:rsid w:val="004422D9"/>
    <w:rsid w:val="00451061"/>
    <w:rsid w:val="00453C71"/>
    <w:rsid w:val="00454167"/>
    <w:rsid w:val="0045459B"/>
    <w:rsid w:val="004727F3"/>
    <w:rsid w:val="00474860"/>
    <w:rsid w:val="00477D32"/>
    <w:rsid w:val="00482610"/>
    <w:rsid w:val="00485676"/>
    <w:rsid w:val="0049009B"/>
    <w:rsid w:val="00493B24"/>
    <w:rsid w:val="004A3319"/>
    <w:rsid w:val="004A39E8"/>
    <w:rsid w:val="004A4AB3"/>
    <w:rsid w:val="004A6F49"/>
    <w:rsid w:val="004B0595"/>
    <w:rsid w:val="004B0C48"/>
    <w:rsid w:val="004B6498"/>
    <w:rsid w:val="004C0C50"/>
    <w:rsid w:val="004C7ED5"/>
    <w:rsid w:val="004D1423"/>
    <w:rsid w:val="004E0E81"/>
    <w:rsid w:val="004E1065"/>
    <w:rsid w:val="004E6EAE"/>
    <w:rsid w:val="004F29A0"/>
    <w:rsid w:val="00505404"/>
    <w:rsid w:val="00510B91"/>
    <w:rsid w:val="00510D00"/>
    <w:rsid w:val="0051680F"/>
    <w:rsid w:val="005206E9"/>
    <w:rsid w:val="00532791"/>
    <w:rsid w:val="00533551"/>
    <w:rsid w:val="00544235"/>
    <w:rsid w:val="00546B72"/>
    <w:rsid w:val="00547FDF"/>
    <w:rsid w:val="00551669"/>
    <w:rsid w:val="00555745"/>
    <w:rsid w:val="00560AAA"/>
    <w:rsid w:val="0056259C"/>
    <w:rsid w:val="00562F87"/>
    <w:rsid w:val="00564973"/>
    <w:rsid w:val="00570588"/>
    <w:rsid w:val="00577430"/>
    <w:rsid w:val="005857BC"/>
    <w:rsid w:val="005863A1"/>
    <w:rsid w:val="00591BBA"/>
    <w:rsid w:val="00592B55"/>
    <w:rsid w:val="005935B0"/>
    <w:rsid w:val="00596C87"/>
    <w:rsid w:val="005A5658"/>
    <w:rsid w:val="005C23CD"/>
    <w:rsid w:val="005C4DB3"/>
    <w:rsid w:val="005C59D3"/>
    <w:rsid w:val="005C6C1D"/>
    <w:rsid w:val="005C7CC9"/>
    <w:rsid w:val="005C7D9C"/>
    <w:rsid w:val="005D29B4"/>
    <w:rsid w:val="005D31FE"/>
    <w:rsid w:val="00601487"/>
    <w:rsid w:val="00601532"/>
    <w:rsid w:val="006068D1"/>
    <w:rsid w:val="00620F9D"/>
    <w:rsid w:val="00621434"/>
    <w:rsid w:val="00622BB1"/>
    <w:rsid w:val="00623E03"/>
    <w:rsid w:val="00624057"/>
    <w:rsid w:val="00631AA7"/>
    <w:rsid w:val="0063603F"/>
    <w:rsid w:val="00642434"/>
    <w:rsid w:val="00642E19"/>
    <w:rsid w:val="00643D1F"/>
    <w:rsid w:val="006460A3"/>
    <w:rsid w:val="006527EF"/>
    <w:rsid w:val="00674FC9"/>
    <w:rsid w:val="006819E3"/>
    <w:rsid w:val="006820B9"/>
    <w:rsid w:val="0068601C"/>
    <w:rsid w:val="006A43C0"/>
    <w:rsid w:val="006A514B"/>
    <w:rsid w:val="006A5EB6"/>
    <w:rsid w:val="006A67EF"/>
    <w:rsid w:val="006B5E18"/>
    <w:rsid w:val="006C09C0"/>
    <w:rsid w:val="006C1000"/>
    <w:rsid w:val="006D09D5"/>
    <w:rsid w:val="006E13B5"/>
    <w:rsid w:val="006E781A"/>
    <w:rsid w:val="006F2BB5"/>
    <w:rsid w:val="007025F1"/>
    <w:rsid w:val="0070366F"/>
    <w:rsid w:val="00704FE4"/>
    <w:rsid w:val="007102A3"/>
    <w:rsid w:val="007131B9"/>
    <w:rsid w:val="00733320"/>
    <w:rsid w:val="007338F6"/>
    <w:rsid w:val="007344CE"/>
    <w:rsid w:val="00735A72"/>
    <w:rsid w:val="00742674"/>
    <w:rsid w:val="00743F65"/>
    <w:rsid w:val="00744CE8"/>
    <w:rsid w:val="00746829"/>
    <w:rsid w:val="007470EB"/>
    <w:rsid w:val="00747AF9"/>
    <w:rsid w:val="00774EB2"/>
    <w:rsid w:val="00780D44"/>
    <w:rsid w:val="0078187C"/>
    <w:rsid w:val="00782454"/>
    <w:rsid w:val="00783E7A"/>
    <w:rsid w:val="00785DAE"/>
    <w:rsid w:val="00791C7D"/>
    <w:rsid w:val="007944D2"/>
    <w:rsid w:val="007B2E02"/>
    <w:rsid w:val="007B48A1"/>
    <w:rsid w:val="007B4AC1"/>
    <w:rsid w:val="007C058D"/>
    <w:rsid w:val="007C1605"/>
    <w:rsid w:val="007C559C"/>
    <w:rsid w:val="007E33E1"/>
    <w:rsid w:val="007E638A"/>
    <w:rsid w:val="00806391"/>
    <w:rsid w:val="00811F57"/>
    <w:rsid w:val="008135CE"/>
    <w:rsid w:val="0082270C"/>
    <w:rsid w:val="00833F0F"/>
    <w:rsid w:val="00840709"/>
    <w:rsid w:val="00842FCF"/>
    <w:rsid w:val="00844745"/>
    <w:rsid w:val="00845120"/>
    <w:rsid w:val="008530BF"/>
    <w:rsid w:val="00870464"/>
    <w:rsid w:val="0087528C"/>
    <w:rsid w:val="0088229C"/>
    <w:rsid w:val="008A197C"/>
    <w:rsid w:val="008A316B"/>
    <w:rsid w:val="008A468A"/>
    <w:rsid w:val="008A4FB9"/>
    <w:rsid w:val="008B52EE"/>
    <w:rsid w:val="008B6F9E"/>
    <w:rsid w:val="008C0CF9"/>
    <w:rsid w:val="008D1003"/>
    <w:rsid w:val="008D5EF6"/>
    <w:rsid w:val="008D6D24"/>
    <w:rsid w:val="008D7359"/>
    <w:rsid w:val="008E0075"/>
    <w:rsid w:val="008F0F37"/>
    <w:rsid w:val="00900869"/>
    <w:rsid w:val="00903340"/>
    <w:rsid w:val="009037AB"/>
    <w:rsid w:val="00906CC8"/>
    <w:rsid w:val="00907F9D"/>
    <w:rsid w:val="00910ACA"/>
    <w:rsid w:val="00916E34"/>
    <w:rsid w:val="0092051A"/>
    <w:rsid w:val="00925D86"/>
    <w:rsid w:val="0093107C"/>
    <w:rsid w:val="0093452A"/>
    <w:rsid w:val="009363EF"/>
    <w:rsid w:val="00940535"/>
    <w:rsid w:val="009421C4"/>
    <w:rsid w:val="00953EAE"/>
    <w:rsid w:val="009633D4"/>
    <w:rsid w:val="00965002"/>
    <w:rsid w:val="00966D4C"/>
    <w:rsid w:val="00971544"/>
    <w:rsid w:val="00971A94"/>
    <w:rsid w:val="00972D90"/>
    <w:rsid w:val="0097445C"/>
    <w:rsid w:val="00977BEA"/>
    <w:rsid w:val="0099059B"/>
    <w:rsid w:val="0099300D"/>
    <w:rsid w:val="0099504F"/>
    <w:rsid w:val="009A0CB7"/>
    <w:rsid w:val="009B282F"/>
    <w:rsid w:val="009B2CAD"/>
    <w:rsid w:val="009B412E"/>
    <w:rsid w:val="009B741F"/>
    <w:rsid w:val="009D072A"/>
    <w:rsid w:val="009D2D48"/>
    <w:rsid w:val="009D5F80"/>
    <w:rsid w:val="009D7A8A"/>
    <w:rsid w:val="009E493C"/>
    <w:rsid w:val="009E5A5F"/>
    <w:rsid w:val="009F29B9"/>
    <w:rsid w:val="009F4B90"/>
    <w:rsid w:val="009F512A"/>
    <w:rsid w:val="009F5CB6"/>
    <w:rsid w:val="00A100C9"/>
    <w:rsid w:val="00A14EE2"/>
    <w:rsid w:val="00A16A10"/>
    <w:rsid w:val="00A225A7"/>
    <w:rsid w:val="00A24D5B"/>
    <w:rsid w:val="00A26FCC"/>
    <w:rsid w:val="00A30D9E"/>
    <w:rsid w:val="00A362B4"/>
    <w:rsid w:val="00A366EB"/>
    <w:rsid w:val="00A4263C"/>
    <w:rsid w:val="00A44FFF"/>
    <w:rsid w:val="00A50401"/>
    <w:rsid w:val="00A50D93"/>
    <w:rsid w:val="00A51EDC"/>
    <w:rsid w:val="00A70F30"/>
    <w:rsid w:val="00A759BC"/>
    <w:rsid w:val="00A94E43"/>
    <w:rsid w:val="00AB05E3"/>
    <w:rsid w:val="00AC0B9F"/>
    <w:rsid w:val="00AC17AA"/>
    <w:rsid w:val="00AD1C20"/>
    <w:rsid w:val="00AD5EB7"/>
    <w:rsid w:val="00AF11A7"/>
    <w:rsid w:val="00AF7AE2"/>
    <w:rsid w:val="00B00277"/>
    <w:rsid w:val="00B12A87"/>
    <w:rsid w:val="00B13EB9"/>
    <w:rsid w:val="00B16149"/>
    <w:rsid w:val="00B230DE"/>
    <w:rsid w:val="00B30948"/>
    <w:rsid w:val="00B34B51"/>
    <w:rsid w:val="00B40191"/>
    <w:rsid w:val="00B4519C"/>
    <w:rsid w:val="00B5042F"/>
    <w:rsid w:val="00B50AED"/>
    <w:rsid w:val="00B5196C"/>
    <w:rsid w:val="00B554F9"/>
    <w:rsid w:val="00B570C5"/>
    <w:rsid w:val="00B57D64"/>
    <w:rsid w:val="00B7057E"/>
    <w:rsid w:val="00B73CEB"/>
    <w:rsid w:val="00B7702D"/>
    <w:rsid w:val="00B77C97"/>
    <w:rsid w:val="00B77CFC"/>
    <w:rsid w:val="00B83CC4"/>
    <w:rsid w:val="00B83F27"/>
    <w:rsid w:val="00B87BD7"/>
    <w:rsid w:val="00B96B60"/>
    <w:rsid w:val="00BA5CBC"/>
    <w:rsid w:val="00BA5EA3"/>
    <w:rsid w:val="00BA6E76"/>
    <w:rsid w:val="00BB2195"/>
    <w:rsid w:val="00BB21A0"/>
    <w:rsid w:val="00BB2F67"/>
    <w:rsid w:val="00BC0B12"/>
    <w:rsid w:val="00BC54D4"/>
    <w:rsid w:val="00BC58CE"/>
    <w:rsid w:val="00BD0357"/>
    <w:rsid w:val="00BD0978"/>
    <w:rsid w:val="00BD6FD3"/>
    <w:rsid w:val="00BE26C7"/>
    <w:rsid w:val="00BF2AFB"/>
    <w:rsid w:val="00BF4166"/>
    <w:rsid w:val="00BF52B9"/>
    <w:rsid w:val="00C004F4"/>
    <w:rsid w:val="00C00DF1"/>
    <w:rsid w:val="00C02FD1"/>
    <w:rsid w:val="00C11075"/>
    <w:rsid w:val="00C117FB"/>
    <w:rsid w:val="00C15FD9"/>
    <w:rsid w:val="00C2154C"/>
    <w:rsid w:val="00C26AE4"/>
    <w:rsid w:val="00C31011"/>
    <w:rsid w:val="00C42B9B"/>
    <w:rsid w:val="00C505DF"/>
    <w:rsid w:val="00C56E6F"/>
    <w:rsid w:val="00C63C46"/>
    <w:rsid w:val="00C64A67"/>
    <w:rsid w:val="00C672AE"/>
    <w:rsid w:val="00C80D4D"/>
    <w:rsid w:val="00C83AE6"/>
    <w:rsid w:val="00C85076"/>
    <w:rsid w:val="00C85DEB"/>
    <w:rsid w:val="00C91EAE"/>
    <w:rsid w:val="00C92301"/>
    <w:rsid w:val="00C944A9"/>
    <w:rsid w:val="00C94931"/>
    <w:rsid w:val="00CA1899"/>
    <w:rsid w:val="00CA3513"/>
    <w:rsid w:val="00CA4D14"/>
    <w:rsid w:val="00CB2B87"/>
    <w:rsid w:val="00CC71BF"/>
    <w:rsid w:val="00CC7F6F"/>
    <w:rsid w:val="00CD049D"/>
    <w:rsid w:val="00CD216B"/>
    <w:rsid w:val="00CE405C"/>
    <w:rsid w:val="00CE6144"/>
    <w:rsid w:val="00CF48CE"/>
    <w:rsid w:val="00CF4C60"/>
    <w:rsid w:val="00CF5678"/>
    <w:rsid w:val="00D0630D"/>
    <w:rsid w:val="00D130A8"/>
    <w:rsid w:val="00D14842"/>
    <w:rsid w:val="00D17A5C"/>
    <w:rsid w:val="00D20433"/>
    <w:rsid w:val="00D22302"/>
    <w:rsid w:val="00D279FB"/>
    <w:rsid w:val="00D30875"/>
    <w:rsid w:val="00D35838"/>
    <w:rsid w:val="00D44A9D"/>
    <w:rsid w:val="00D462B0"/>
    <w:rsid w:val="00D53271"/>
    <w:rsid w:val="00D54287"/>
    <w:rsid w:val="00D659A6"/>
    <w:rsid w:val="00D77A40"/>
    <w:rsid w:val="00D81055"/>
    <w:rsid w:val="00D84575"/>
    <w:rsid w:val="00D86719"/>
    <w:rsid w:val="00D905A0"/>
    <w:rsid w:val="00DA4E55"/>
    <w:rsid w:val="00DA670D"/>
    <w:rsid w:val="00DB2DE4"/>
    <w:rsid w:val="00DB4504"/>
    <w:rsid w:val="00DB4B83"/>
    <w:rsid w:val="00DB72D3"/>
    <w:rsid w:val="00DC63FB"/>
    <w:rsid w:val="00DD1032"/>
    <w:rsid w:val="00DD1CB5"/>
    <w:rsid w:val="00DD44A2"/>
    <w:rsid w:val="00DD5E81"/>
    <w:rsid w:val="00DD7467"/>
    <w:rsid w:val="00DE2279"/>
    <w:rsid w:val="00DE35E2"/>
    <w:rsid w:val="00DE7819"/>
    <w:rsid w:val="00DF44C5"/>
    <w:rsid w:val="00DF4F96"/>
    <w:rsid w:val="00DF551B"/>
    <w:rsid w:val="00E02476"/>
    <w:rsid w:val="00E250E1"/>
    <w:rsid w:val="00E26698"/>
    <w:rsid w:val="00E314CC"/>
    <w:rsid w:val="00E4096A"/>
    <w:rsid w:val="00E47503"/>
    <w:rsid w:val="00E6496A"/>
    <w:rsid w:val="00E6581A"/>
    <w:rsid w:val="00E703ED"/>
    <w:rsid w:val="00E70C1D"/>
    <w:rsid w:val="00E7306A"/>
    <w:rsid w:val="00E768BF"/>
    <w:rsid w:val="00EB3A99"/>
    <w:rsid w:val="00EC25E8"/>
    <w:rsid w:val="00EC2EAA"/>
    <w:rsid w:val="00EC342F"/>
    <w:rsid w:val="00EC7F66"/>
    <w:rsid w:val="00ED00FB"/>
    <w:rsid w:val="00ED57EC"/>
    <w:rsid w:val="00EE3C17"/>
    <w:rsid w:val="00EF11BB"/>
    <w:rsid w:val="00EF550F"/>
    <w:rsid w:val="00EF56DE"/>
    <w:rsid w:val="00EF5AA2"/>
    <w:rsid w:val="00F02FD1"/>
    <w:rsid w:val="00F05108"/>
    <w:rsid w:val="00F06F4F"/>
    <w:rsid w:val="00F114D6"/>
    <w:rsid w:val="00F1496E"/>
    <w:rsid w:val="00F2601C"/>
    <w:rsid w:val="00F2754F"/>
    <w:rsid w:val="00F305C6"/>
    <w:rsid w:val="00F31FB8"/>
    <w:rsid w:val="00F416E7"/>
    <w:rsid w:val="00F43897"/>
    <w:rsid w:val="00F528B3"/>
    <w:rsid w:val="00F53E9D"/>
    <w:rsid w:val="00F61D44"/>
    <w:rsid w:val="00F64981"/>
    <w:rsid w:val="00F673C1"/>
    <w:rsid w:val="00F71E79"/>
    <w:rsid w:val="00F7421B"/>
    <w:rsid w:val="00F82D1B"/>
    <w:rsid w:val="00F86F83"/>
    <w:rsid w:val="00F95AB8"/>
    <w:rsid w:val="00F9702E"/>
    <w:rsid w:val="00FA2E43"/>
    <w:rsid w:val="00FA34A8"/>
    <w:rsid w:val="00FA36EE"/>
    <w:rsid w:val="00FA3939"/>
    <w:rsid w:val="00FA77D5"/>
    <w:rsid w:val="00FB0D62"/>
    <w:rsid w:val="00FC6D6E"/>
    <w:rsid w:val="00FD2069"/>
    <w:rsid w:val="00FE7B57"/>
    <w:rsid w:val="00FF1BB8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19BB8"/>
  <w15:docId w15:val="{2562C06F-CB82-4242-B87D-B4AB3A2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66"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1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nhideWhenUsed/>
    <w:rsid w:val="00B451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C"/>
    <w:rPr>
      <w:b/>
      <w:bCs/>
      <w:sz w:val="20"/>
      <w:szCs w:val="20"/>
    </w:rPr>
  </w:style>
  <w:style w:type="paragraph" w:customStyle="1" w:styleId="Bullet1">
    <w:name w:val="Bullet 1"/>
    <w:basedOn w:val="Normal"/>
    <w:qFormat/>
    <w:rsid w:val="007131B9"/>
    <w:pPr>
      <w:numPr>
        <w:numId w:val="2"/>
      </w:numPr>
      <w:spacing w:before="160" w:after="160"/>
    </w:pPr>
    <w:rPr>
      <w:rFonts w:ascii="Arial" w:eastAsia="Calibri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3ED"/>
    <w:rPr>
      <w:sz w:val="20"/>
      <w:szCs w:val="20"/>
    </w:rPr>
  </w:style>
  <w:style w:type="character" w:styleId="FootnoteReference">
    <w:name w:val="footnote reference"/>
    <w:rsid w:val="00E703E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250E1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8A46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1513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91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9B41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em">
    <w:name w:val="em"/>
    <w:basedOn w:val="DefaultParagraphFont"/>
    <w:rsid w:val="00474860"/>
  </w:style>
  <w:style w:type="character" w:customStyle="1" w:styleId="bold">
    <w:name w:val="bold"/>
    <w:basedOn w:val="DefaultParagraphFont"/>
    <w:rsid w:val="00474860"/>
  </w:style>
  <w:style w:type="character" w:styleId="UnresolvedMention">
    <w:name w:val="Unresolved Mention"/>
    <w:basedOn w:val="DefaultParagraphFont"/>
    <w:uiPriority w:val="99"/>
    <w:semiHidden/>
    <w:unhideWhenUsed/>
    <w:rsid w:val="00D1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instruction/screening-assessments.html" TargetMode="External"/><Relationship Id="rId18" Type="http://schemas.openxmlformats.org/officeDocument/2006/relationships/hyperlink" Target="mailto:ESEAequitableservices@doe.mass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federalgrants/liaisons.xls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oe.mass.edu/federalgrants/resources/equitableservices-essa/affirm-consultation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ederalgrantprograms@doe.mass.edu" TargetMode="External"/><Relationship Id="rId20" Type="http://schemas.openxmlformats.org/officeDocument/2006/relationships/hyperlink" Target="mailto:ESEAequitableservices@doe.mass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instruction/screening-assessments.htm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federalgrants/resources/equitableservices-essa/affirm-consultation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ederalgrantprograms@doe.mass.edu" TargetMode="External"/><Relationship Id="rId22" Type="http://schemas.openxmlformats.org/officeDocument/2006/relationships/hyperlink" Target="http://www.doe.mass.edu/federalgrants/liais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DESE-231-65024</_dlc_DocId>
    <_dlc_DocIdUrl xmlns="733efe1c-5bbe-4968-87dc-d400e65c879f">
      <Url>https://sharepoint.doemass.org/ese/webteam/cps/_layouts/DocIdRedir.aspx?ID=DESE-231-65024</Url>
      <Description>DESE-231-65024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DE8E-8AAA-47CB-B1FF-49DBC710A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FE8DA-F167-432B-92D1-F7D697C0A4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EE696E-FAAC-4F92-B6FA-3C18ABD46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348AF-F464-4617-9151-3A8F4DA679C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FC57916-5FAD-437F-BF6A-0953F6B9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 CARES Act Emergency Relief Fund (FC 113)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 CARES Act Emergency Relief Fund (FC 113)</dc:title>
  <dc:creator>DESE</dc:creator>
  <cp:lastModifiedBy>Zou, Dong (EOE)</cp:lastModifiedBy>
  <cp:revision>3</cp:revision>
  <cp:lastPrinted>2018-04-24T21:35:00Z</cp:lastPrinted>
  <dcterms:created xsi:type="dcterms:W3CDTF">2020-09-30T23:38:00Z</dcterms:created>
  <dcterms:modified xsi:type="dcterms:W3CDTF">2020-10-01T20:54:00Z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2020</vt:lpwstr>
  </property>
</Properties>
</file>