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A485" w14:textId="06C5CED1" w:rsidR="00811F57" w:rsidRPr="009B412E" w:rsidRDefault="00A83CD6" w:rsidP="00DE7249">
      <w:pPr>
        <w:spacing w:after="0" w:line="240" w:lineRule="auto"/>
        <w:rPr>
          <w:b/>
          <w:color w:val="1F497D" w:themeColor="text2"/>
          <w:sz w:val="32"/>
          <w:szCs w:val="32"/>
        </w:rPr>
      </w:pPr>
      <w:bookmarkStart w:id="0" w:name="_Hlk25742298"/>
      <w:r w:rsidRPr="00A81A4B">
        <w:rPr>
          <w:noProof/>
          <w:color w:val="1F497D" w:themeColor="text2"/>
          <w:sz w:val="32"/>
          <w:szCs w:val="32"/>
        </w:rPr>
        <w:drawing>
          <wp:anchor distT="0" distB="0" distL="114300" distR="114300" simplePos="0" relativeHeight="251659264" behindDoc="0" locked="0" layoutInCell="1" allowOverlap="1" wp14:anchorId="765DD915" wp14:editId="4962F33C">
            <wp:simplePos x="0" y="0"/>
            <wp:positionH relativeFrom="margin">
              <wp:posOffset>5172075</wp:posOffset>
            </wp:positionH>
            <wp:positionV relativeFrom="paragraph">
              <wp:posOffset>-238125</wp:posOffset>
            </wp:positionV>
            <wp:extent cx="1552575" cy="927618"/>
            <wp:effectExtent l="0" t="0" r="0" b="6350"/>
            <wp:wrapNone/>
            <wp:docPr id="3"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927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03">
        <w:rPr>
          <w:b/>
          <w:color w:val="1F497D" w:themeColor="text2"/>
          <w:sz w:val="32"/>
          <w:szCs w:val="32"/>
        </w:rPr>
        <w:t xml:space="preserve">IDEA </w:t>
      </w:r>
      <w:r w:rsidR="00B378B2">
        <w:rPr>
          <w:b/>
          <w:color w:val="1F497D" w:themeColor="text2"/>
          <w:sz w:val="32"/>
          <w:szCs w:val="32"/>
        </w:rPr>
        <w:t>Local Educational Agency Maintenance o</w:t>
      </w:r>
      <w:bookmarkEnd w:id="0"/>
      <w:r w:rsidR="00B378B2">
        <w:rPr>
          <w:b/>
          <w:color w:val="1F497D" w:themeColor="text2"/>
          <w:sz w:val="32"/>
          <w:szCs w:val="32"/>
        </w:rPr>
        <w:t>f Effort</w:t>
      </w:r>
    </w:p>
    <w:p w14:paraId="1A7353B1" w14:textId="77777777" w:rsidR="0042798F" w:rsidRPr="0042154A" w:rsidRDefault="0042798F" w:rsidP="00DE7249">
      <w:pPr>
        <w:spacing w:after="0" w:line="240" w:lineRule="auto"/>
        <w:rPr>
          <w:b/>
          <w:sz w:val="32"/>
          <w:szCs w:val="32"/>
        </w:rPr>
      </w:pPr>
    </w:p>
    <w:p w14:paraId="555E6AD1" w14:textId="77777777" w:rsidR="00056E07" w:rsidRDefault="00B378B2" w:rsidP="00DE7249">
      <w:pPr>
        <w:shd w:val="clear" w:color="auto" w:fill="FFFFFF" w:themeFill="background1"/>
        <w:spacing w:after="0" w:line="240" w:lineRule="auto"/>
        <w:rPr>
          <w:color w:val="1F497D" w:themeColor="text2"/>
          <w:sz w:val="24"/>
          <w:szCs w:val="20"/>
        </w:rPr>
      </w:pPr>
      <w:r>
        <w:rPr>
          <w:b/>
          <w:color w:val="1F497D" w:themeColor="text2"/>
          <w:sz w:val="24"/>
          <w:szCs w:val="20"/>
        </w:rPr>
        <w:t xml:space="preserve">What is </w:t>
      </w:r>
      <w:r w:rsidRPr="00B378B2">
        <w:rPr>
          <w:b/>
          <w:color w:val="1F497D" w:themeColor="text2"/>
          <w:sz w:val="24"/>
          <w:szCs w:val="20"/>
        </w:rPr>
        <w:t xml:space="preserve">Local Educational Agency </w:t>
      </w:r>
      <w:r>
        <w:rPr>
          <w:b/>
          <w:color w:val="1F497D" w:themeColor="text2"/>
          <w:sz w:val="24"/>
          <w:szCs w:val="20"/>
        </w:rPr>
        <w:t xml:space="preserve">(LEA) </w:t>
      </w:r>
      <w:r w:rsidRPr="00B378B2">
        <w:rPr>
          <w:b/>
          <w:color w:val="1F497D" w:themeColor="text2"/>
          <w:sz w:val="24"/>
          <w:szCs w:val="20"/>
        </w:rPr>
        <w:t>Maintenance o</w:t>
      </w:r>
      <w:r>
        <w:rPr>
          <w:b/>
          <w:color w:val="1F497D" w:themeColor="text2"/>
          <w:sz w:val="24"/>
          <w:szCs w:val="20"/>
        </w:rPr>
        <w:t>f Effort (MOE)?</w:t>
      </w:r>
      <w:r w:rsidR="009B412E" w:rsidRPr="00056E07">
        <w:rPr>
          <w:color w:val="1F497D" w:themeColor="text2"/>
          <w:sz w:val="24"/>
          <w:szCs w:val="20"/>
        </w:rPr>
        <w:t xml:space="preserve"> </w:t>
      </w:r>
    </w:p>
    <w:p w14:paraId="2234B2A3" w14:textId="77777777" w:rsidR="00DE7249" w:rsidRDefault="00DE7249" w:rsidP="00DE7249">
      <w:pPr>
        <w:shd w:val="clear" w:color="auto" w:fill="FFFFFF" w:themeFill="background1"/>
        <w:spacing w:after="0" w:line="240" w:lineRule="auto"/>
        <w:rPr>
          <w:sz w:val="20"/>
          <w:szCs w:val="20"/>
        </w:rPr>
      </w:pPr>
    </w:p>
    <w:p w14:paraId="5AB5E178" w14:textId="0E179D49" w:rsidR="00AD1C20" w:rsidRPr="00B378B2" w:rsidRDefault="00B378B2" w:rsidP="00DE7249">
      <w:pPr>
        <w:shd w:val="clear" w:color="auto" w:fill="FFFFFF" w:themeFill="background1"/>
        <w:spacing w:after="0" w:line="240" w:lineRule="auto"/>
        <w:rPr>
          <w:color w:val="1F497D" w:themeColor="text2"/>
          <w:sz w:val="24"/>
          <w:szCs w:val="20"/>
        </w:rPr>
      </w:pPr>
      <w:r w:rsidRPr="00B378B2">
        <w:rPr>
          <w:sz w:val="20"/>
          <w:szCs w:val="20"/>
        </w:rPr>
        <w:t>The local maintenance of effort (MOE) requirement</w:t>
      </w:r>
      <w:r w:rsidR="00492601">
        <w:rPr>
          <w:sz w:val="20"/>
          <w:szCs w:val="20"/>
        </w:rPr>
        <w:t xml:space="preserve"> in the federal Individuals with Disabilities Education Act (IDEA) </w:t>
      </w:r>
      <w:r w:rsidRPr="00B378B2">
        <w:rPr>
          <w:sz w:val="20"/>
          <w:szCs w:val="20"/>
        </w:rPr>
        <w:t xml:space="preserve"> obligates any local educational agency (LEA) receiving IDEA Part B</w:t>
      </w:r>
      <w:r w:rsidR="008D3D08" w:rsidRPr="008D3D08">
        <w:rPr>
          <w:sz w:val="20"/>
          <w:szCs w:val="20"/>
        </w:rPr>
        <w:t xml:space="preserve"> </w:t>
      </w:r>
      <w:r w:rsidR="008D3D08" w:rsidRPr="006F0051">
        <w:rPr>
          <w:sz w:val="20"/>
          <w:szCs w:val="20"/>
        </w:rPr>
        <w:t>Section 611</w:t>
      </w:r>
      <w:r w:rsidR="00C25B7D">
        <w:rPr>
          <w:sz w:val="20"/>
          <w:szCs w:val="20"/>
        </w:rPr>
        <w:t xml:space="preserve"> </w:t>
      </w:r>
      <w:r w:rsidR="00180BC2">
        <w:rPr>
          <w:sz w:val="20"/>
          <w:szCs w:val="20"/>
        </w:rPr>
        <w:t xml:space="preserve">(DESE Fund </w:t>
      </w:r>
      <w:r w:rsidR="00C25B7D">
        <w:rPr>
          <w:sz w:val="20"/>
          <w:szCs w:val="20"/>
        </w:rPr>
        <w:t xml:space="preserve">Code </w:t>
      </w:r>
      <w:r w:rsidR="00A83CD6">
        <w:rPr>
          <w:sz w:val="20"/>
          <w:szCs w:val="20"/>
        </w:rPr>
        <w:t>0</w:t>
      </w:r>
      <w:r w:rsidR="00180BC2">
        <w:rPr>
          <w:sz w:val="20"/>
          <w:szCs w:val="20"/>
        </w:rPr>
        <w:t xml:space="preserve">240) </w:t>
      </w:r>
      <w:r w:rsidR="006F1DF1">
        <w:rPr>
          <w:sz w:val="20"/>
          <w:szCs w:val="20"/>
        </w:rPr>
        <w:t xml:space="preserve"> and 619 funds</w:t>
      </w:r>
      <w:r w:rsidR="00180BC2">
        <w:rPr>
          <w:sz w:val="20"/>
          <w:szCs w:val="20"/>
        </w:rPr>
        <w:t xml:space="preserve"> (DESE Fund </w:t>
      </w:r>
      <w:r w:rsidR="00C25B7D">
        <w:rPr>
          <w:sz w:val="20"/>
          <w:szCs w:val="20"/>
        </w:rPr>
        <w:t xml:space="preserve">Code </w:t>
      </w:r>
      <w:r w:rsidR="00A83CD6">
        <w:rPr>
          <w:sz w:val="20"/>
          <w:szCs w:val="20"/>
        </w:rPr>
        <w:t>0</w:t>
      </w:r>
      <w:r w:rsidR="00180BC2">
        <w:rPr>
          <w:sz w:val="20"/>
          <w:szCs w:val="20"/>
        </w:rPr>
        <w:t>262)</w:t>
      </w:r>
      <w:r w:rsidR="008D3D08">
        <w:rPr>
          <w:sz w:val="20"/>
          <w:szCs w:val="20"/>
        </w:rPr>
        <w:t xml:space="preserve"> </w:t>
      </w:r>
      <w:r w:rsidRPr="00B378B2">
        <w:rPr>
          <w:sz w:val="20"/>
          <w:szCs w:val="20"/>
        </w:rPr>
        <w:t xml:space="preserve">to budget and spend at least the same amount of </w:t>
      </w:r>
      <w:r w:rsidR="008D4C74" w:rsidRPr="00B378B2">
        <w:rPr>
          <w:sz w:val="20"/>
          <w:szCs w:val="20"/>
        </w:rPr>
        <w:t xml:space="preserve">local </w:t>
      </w:r>
      <w:r w:rsidR="00C03C03">
        <w:rPr>
          <w:sz w:val="20"/>
          <w:szCs w:val="20"/>
        </w:rPr>
        <w:t>and/</w:t>
      </w:r>
      <w:r w:rsidR="008D4C74" w:rsidRPr="00B378B2">
        <w:rPr>
          <w:sz w:val="20"/>
          <w:szCs w:val="20"/>
        </w:rPr>
        <w:t>or</w:t>
      </w:r>
      <w:r w:rsidRPr="00B378B2">
        <w:rPr>
          <w:sz w:val="20"/>
          <w:szCs w:val="20"/>
        </w:rPr>
        <w:t xml:space="preserve"> state </w:t>
      </w:r>
      <w:r w:rsidR="008D4C74" w:rsidRPr="00B378B2">
        <w:rPr>
          <w:sz w:val="20"/>
          <w:szCs w:val="20"/>
        </w:rPr>
        <w:t>funds</w:t>
      </w:r>
      <w:r w:rsidRPr="00B378B2">
        <w:rPr>
          <w:sz w:val="20"/>
          <w:szCs w:val="20"/>
        </w:rPr>
        <w:t xml:space="preserve"> for the education of children with disabilities on a year-to-year basis. The required MOE levels are referred to, as the “eligibility standard”</w:t>
      </w:r>
      <w:r w:rsidR="00C03C03">
        <w:rPr>
          <w:sz w:val="20"/>
          <w:szCs w:val="20"/>
        </w:rPr>
        <w:t xml:space="preserve"> (budget</w:t>
      </w:r>
      <w:r w:rsidR="00661E9F">
        <w:rPr>
          <w:sz w:val="20"/>
          <w:szCs w:val="20"/>
        </w:rPr>
        <w:t xml:space="preserve"> </w:t>
      </w:r>
      <w:r w:rsidR="00492601">
        <w:rPr>
          <w:sz w:val="20"/>
          <w:szCs w:val="20"/>
        </w:rPr>
        <w:t xml:space="preserve">reported </w:t>
      </w:r>
      <w:r w:rsidR="00661E9F">
        <w:rPr>
          <w:sz w:val="20"/>
          <w:szCs w:val="20"/>
        </w:rPr>
        <w:t xml:space="preserve">in </w:t>
      </w:r>
      <w:r w:rsidR="00492601">
        <w:rPr>
          <w:sz w:val="20"/>
          <w:szCs w:val="20"/>
        </w:rPr>
        <w:t xml:space="preserve">the </w:t>
      </w:r>
      <w:r w:rsidR="00661E9F">
        <w:rPr>
          <w:sz w:val="20"/>
          <w:szCs w:val="20"/>
        </w:rPr>
        <w:t xml:space="preserve">IDEA </w:t>
      </w:r>
      <w:r w:rsidR="00492601">
        <w:rPr>
          <w:sz w:val="20"/>
          <w:szCs w:val="20"/>
        </w:rPr>
        <w:t>C</w:t>
      </w:r>
      <w:r w:rsidR="00661E9F">
        <w:rPr>
          <w:sz w:val="20"/>
          <w:szCs w:val="20"/>
        </w:rPr>
        <w:t xml:space="preserve">onsolidated </w:t>
      </w:r>
      <w:r w:rsidR="00492601">
        <w:rPr>
          <w:sz w:val="20"/>
          <w:szCs w:val="20"/>
        </w:rPr>
        <w:t>Grant A</w:t>
      </w:r>
      <w:r w:rsidR="00661E9F">
        <w:rPr>
          <w:sz w:val="20"/>
          <w:szCs w:val="20"/>
        </w:rPr>
        <w:t>pplication</w:t>
      </w:r>
      <w:r w:rsidR="00C03C03">
        <w:rPr>
          <w:sz w:val="20"/>
          <w:szCs w:val="20"/>
        </w:rPr>
        <w:t>)</w:t>
      </w:r>
      <w:r w:rsidRPr="00B378B2">
        <w:rPr>
          <w:sz w:val="20"/>
          <w:szCs w:val="20"/>
        </w:rPr>
        <w:t xml:space="preserve"> and the “compliance standard”</w:t>
      </w:r>
      <w:r w:rsidR="00492601">
        <w:rPr>
          <w:sz w:val="20"/>
          <w:szCs w:val="20"/>
        </w:rPr>
        <w:t xml:space="preserve"> </w:t>
      </w:r>
      <w:r w:rsidR="00C03C03">
        <w:rPr>
          <w:sz w:val="20"/>
          <w:szCs w:val="20"/>
        </w:rPr>
        <w:t>(spending</w:t>
      </w:r>
      <w:r w:rsidR="00661E9F">
        <w:rPr>
          <w:sz w:val="20"/>
          <w:szCs w:val="20"/>
        </w:rPr>
        <w:t xml:space="preserve"> reported on the End of Year Report</w:t>
      </w:r>
      <w:r w:rsidR="00C03C03">
        <w:rPr>
          <w:sz w:val="20"/>
          <w:szCs w:val="20"/>
        </w:rPr>
        <w:t>)</w:t>
      </w:r>
      <w:r w:rsidR="009B412E">
        <w:t>.</w:t>
      </w:r>
    </w:p>
    <w:p w14:paraId="0E9792A9" w14:textId="77777777" w:rsidR="00DE7249" w:rsidRDefault="00DE7249" w:rsidP="00DE7249">
      <w:pPr>
        <w:spacing w:after="0" w:line="240" w:lineRule="auto"/>
        <w:rPr>
          <w:b/>
          <w:color w:val="1F497D" w:themeColor="text2"/>
          <w:sz w:val="24"/>
        </w:rPr>
      </w:pPr>
    </w:p>
    <w:p w14:paraId="67E21D9B" w14:textId="45902462" w:rsidR="00DE7249" w:rsidRPr="00DE7249" w:rsidRDefault="00C03C03" w:rsidP="00DE7249">
      <w:pPr>
        <w:spacing w:after="0" w:line="240" w:lineRule="auto"/>
        <w:rPr>
          <w:b/>
          <w:color w:val="1F497D" w:themeColor="text2"/>
          <w:sz w:val="24"/>
        </w:rPr>
      </w:pPr>
      <w:r>
        <w:rPr>
          <w:b/>
          <w:color w:val="1F497D" w:themeColor="text2"/>
          <w:sz w:val="24"/>
        </w:rPr>
        <w:t>Two</w:t>
      </w:r>
      <w:r w:rsidR="00CB59EA">
        <w:rPr>
          <w:b/>
          <w:color w:val="1F497D" w:themeColor="text2"/>
          <w:sz w:val="24"/>
        </w:rPr>
        <w:t xml:space="preserve"> LEA</w:t>
      </w:r>
      <w:r w:rsidR="00BD51AB">
        <w:rPr>
          <w:b/>
          <w:color w:val="1F497D" w:themeColor="text2"/>
          <w:sz w:val="24"/>
        </w:rPr>
        <w:t xml:space="preserve"> </w:t>
      </w:r>
      <w:r w:rsidR="00CB59EA">
        <w:rPr>
          <w:b/>
          <w:color w:val="1F497D" w:themeColor="text2"/>
          <w:sz w:val="24"/>
        </w:rPr>
        <w:t>MOE</w:t>
      </w:r>
      <w:r>
        <w:rPr>
          <w:b/>
          <w:color w:val="1F497D" w:themeColor="text2"/>
          <w:sz w:val="24"/>
        </w:rPr>
        <w:t xml:space="preserve"> Standards</w:t>
      </w:r>
    </w:p>
    <w:p w14:paraId="6896B6B2" w14:textId="18B9CABD" w:rsidR="00CB59EA" w:rsidRPr="002B38FF" w:rsidRDefault="00CB59EA" w:rsidP="00DE7249">
      <w:pPr>
        <w:spacing w:after="0" w:line="240" w:lineRule="auto"/>
        <w:rPr>
          <w:b/>
          <w:color w:val="CE4C11"/>
          <w:szCs w:val="32"/>
        </w:rPr>
      </w:pPr>
      <w:r w:rsidRPr="002B38FF">
        <w:rPr>
          <w:b/>
          <w:color w:val="CE4C11"/>
          <w:szCs w:val="32"/>
        </w:rPr>
        <w:t xml:space="preserve">Eligibility Standard – MOE levels for budgeting </w:t>
      </w:r>
      <w:r w:rsidR="001E1BF2" w:rsidRPr="002B38FF">
        <w:rPr>
          <w:b/>
          <w:color w:val="CE4C11"/>
          <w:szCs w:val="32"/>
        </w:rPr>
        <w:t xml:space="preserve">(Collected in the IDEA Consolidated Grant Application) </w:t>
      </w:r>
    </w:p>
    <w:p w14:paraId="78EBC060" w14:textId="46B3AFE4" w:rsidR="008F5B16" w:rsidRPr="00C25B7D" w:rsidRDefault="00CB59EA" w:rsidP="008F5B16">
      <w:pPr>
        <w:spacing w:after="0" w:line="240" w:lineRule="auto"/>
        <w:rPr>
          <w:b/>
          <w:color w:val="1F497D" w:themeColor="text2"/>
          <w:sz w:val="20"/>
          <w:szCs w:val="20"/>
        </w:rPr>
      </w:pPr>
      <w:r w:rsidRPr="00CB59EA">
        <w:rPr>
          <w:sz w:val="20"/>
          <w:szCs w:val="20"/>
        </w:rPr>
        <w:t xml:space="preserve">For purposes of establishing the LEA's eligibility for a fiscal year, the LEA must budget for the education of children with disabilities, at least the same amount </w:t>
      </w:r>
      <w:r w:rsidR="00BD51AB">
        <w:rPr>
          <w:sz w:val="20"/>
          <w:szCs w:val="20"/>
        </w:rPr>
        <w:t xml:space="preserve">of funds </w:t>
      </w:r>
      <w:r w:rsidRPr="00CB59EA">
        <w:rPr>
          <w:sz w:val="20"/>
          <w:szCs w:val="20"/>
        </w:rPr>
        <w:t>as the LEA spent</w:t>
      </w:r>
      <w:r w:rsidR="00492601">
        <w:rPr>
          <w:sz w:val="20"/>
          <w:szCs w:val="20"/>
        </w:rPr>
        <w:t xml:space="preserve"> in</w:t>
      </w:r>
      <w:r w:rsidRPr="00CB59EA">
        <w:rPr>
          <w:sz w:val="20"/>
          <w:szCs w:val="20"/>
        </w:rPr>
        <w:t xml:space="preserve"> the most recent fiscal year for which information is available</w:t>
      </w:r>
      <w:r w:rsidR="00492601">
        <w:rPr>
          <w:sz w:val="20"/>
          <w:szCs w:val="20"/>
        </w:rPr>
        <w:t xml:space="preserve">. </w:t>
      </w:r>
      <w:r w:rsidR="00C03C03">
        <w:rPr>
          <w:sz w:val="20"/>
          <w:szCs w:val="20"/>
        </w:rPr>
        <w:t xml:space="preserve">The </w:t>
      </w:r>
      <w:r w:rsidR="00BD51AB">
        <w:rPr>
          <w:sz w:val="20"/>
          <w:szCs w:val="20"/>
        </w:rPr>
        <w:t>LEA</w:t>
      </w:r>
      <w:r w:rsidR="00C03C03">
        <w:rPr>
          <w:sz w:val="20"/>
          <w:szCs w:val="20"/>
        </w:rPr>
        <w:t xml:space="preserve"> may demonstrate MOE </w:t>
      </w:r>
      <w:r w:rsidR="00492601">
        <w:rPr>
          <w:sz w:val="20"/>
          <w:szCs w:val="20"/>
        </w:rPr>
        <w:t xml:space="preserve">eligibility </w:t>
      </w:r>
      <w:r w:rsidR="00C03C03">
        <w:rPr>
          <w:sz w:val="20"/>
          <w:szCs w:val="20"/>
        </w:rPr>
        <w:t>through either of these</w:t>
      </w:r>
      <w:r w:rsidR="00661E9F">
        <w:rPr>
          <w:sz w:val="20"/>
          <w:szCs w:val="20"/>
        </w:rPr>
        <w:t xml:space="preserve"> two</w:t>
      </w:r>
      <w:r w:rsidR="00C03C03">
        <w:rPr>
          <w:sz w:val="20"/>
          <w:szCs w:val="20"/>
        </w:rPr>
        <w:t xml:space="preserve"> calculations: </w:t>
      </w:r>
      <w:r w:rsidR="00661E9F">
        <w:rPr>
          <w:sz w:val="20"/>
          <w:szCs w:val="20"/>
        </w:rPr>
        <w:t>(1)</w:t>
      </w:r>
      <w:r w:rsidR="00C56D89">
        <w:rPr>
          <w:sz w:val="20"/>
          <w:szCs w:val="20"/>
        </w:rPr>
        <w:t xml:space="preserve"> </w:t>
      </w:r>
      <w:r w:rsidR="000A1997">
        <w:rPr>
          <w:sz w:val="20"/>
          <w:szCs w:val="20"/>
        </w:rPr>
        <w:t>t</w:t>
      </w:r>
      <w:r w:rsidRPr="00CB59EA">
        <w:rPr>
          <w:sz w:val="20"/>
          <w:szCs w:val="20"/>
        </w:rPr>
        <w:t>he combination of State and local funds</w:t>
      </w:r>
      <w:r w:rsidR="006F1DF1">
        <w:rPr>
          <w:sz w:val="20"/>
          <w:szCs w:val="20"/>
        </w:rPr>
        <w:t xml:space="preserve"> in the aggregate</w:t>
      </w:r>
      <w:r w:rsidRPr="00CB59EA">
        <w:rPr>
          <w:sz w:val="20"/>
          <w:szCs w:val="20"/>
        </w:rPr>
        <w:t>; or</w:t>
      </w:r>
      <w:r w:rsidR="00661E9F">
        <w:rPr>
          <w:sz w:val="20"/>
          <w:szCs w:val="20"/>
        </w:rPr>
        <w:t xml:space="preserve"> (2)</w:t>
      </w:r>
      <w:r w:rsidRPr="00CB59EA">
        <w:rPr>
          <w:sz w:val="20"/>
          <w:szCs w:val="20"/>
        </w:rPr>
        <w:t xml:space="preserve"> </w:t>
      </w:r>
      <w:r w:rsidR="000A1997">
        <w:rPr>
          <w:sz w:val="20"/>
          <w:szCs w:val="20"/>
        </w:rPr>
        <w:t>t</w:t>
      </w:r>
      <w:r w:rsidRPr="00CB59EA">
        <w:rPr>
          <w:sz w:val="20"/>
          <w:szCs w:val="20"/>
        </w:rPr>
        <w:t>he combination of State and local funds on a per capita basis</w:t>
      </w:r>
      <w:r w:rsidR="00492601">
        <w:rPr>
          <w:sz w:val="20"/>
          <w:szCs w:val="20"/>
        </w:rPr>
        <w:t>. See</w:t>
      </w:r>
      <w:r w:rsidRPr="00CB59EA">
        <w:rPr>
          <w:sz w:val="20"/>
          <w:szCs w:val="20"/>
        </w:rPr>
        <w:t xml:space="preserve"> </w:t>
      </w:r>
      <w:hyperlink r:id="rId13" w:history="1">
        <w:r w:rsidR="008D4C74">
          <w:rPr>
            <w:rStyle w:val="Hyperlink"/>
            <w:rFonts w:cstheme="minorBidi"/>
            <w:sz w:val="20"/>
            <w:szCs w:val="20"/>
          </w:rPr>
          <w:t>34 CFR §300.203(a)(1)</w:t>
        </w:r>
      </w:hyperlink>
      <w:r w:rsidR="00C56D89">
        <w:rPr>
          <w:rStyle w:val="Hyperlink"/>
          <w:rFonts w:cstheme="minorBidi"/>
          <w:sz w:val="20"/>
          <w:szCs w:val="20"/>
        </w:rPr>
        <w:t xml:space="preserve">. </w:t>
      </w:r>
      <w:r w:rsidR="00661E9F">
        <w:rPr>
          <w:sz w:val="20"/>
          <w:szCs w:val="20"/>
        </w:rPr>
        <w:t xml:space="preserve"> Using the budgeted amounts</w:t>
      </w:r>
      <w:r w:rsidR="00492601">
        <w:rPr>
          <w:sz w:val="20"/>
          <w:szCs w:val="20"/>
        </w:rPr>
        <w:t xml:space="preserve"> to meet MOE that</w:t>
      </w:r>
      <w:r w:rsidR="00661E9F">
        <w:rPr>
          <w:sz w:val="20"/>
          <w:szCs w:val="20"/>
        </w:rPr>
        <w:t xml:space="preserve"> the LEA reports on the IDEA Consolidated Application </w:t>
      </w:r>
      <w:r w:rsidR="00BD51AB">
        <w:rPr>
          <w:sz w:val="20"/>
          <w:szCs w:val="20"/>
        </w:rPr>
        <w:t>DESE will determine the LEA’s eligibility for IDEA</w:t>
      </w:r>
      <w:r w:rsidR="003C60D8">
        <w:rPr>
          <w:sz w:val="20"/>
          <w:szCs w:val="20"/>
        </w:rPr>
        <w:t xml:space="preserve"> </w:t>
      </w:r>
      <w:r w:rsidR="00BD51AB">
        <w:rPr>
          <w:sz w:val="20"/>
          <w:szCs w:val="20"/>
        </w:rPr>
        <w:t>funding</w:t>
      </w:r>
      <w:r w:rsidR="008F5B16">
        <w:rPr>
          <w:sz w:val="20"/>
          <w:szCs w:val="20"/>
        </w:rPr>
        <w:t>.</w:t>
      </w:r>
      <w:r w:rsidR="00661E9F">
        <w:rPr>
          <w:sz w:val="20"/>
          <w:szCs w:val="20"/>
        </w:rPr>
        <w:t xml:space="preserve"> </w:t>
      </w:r>
      <w:r w:rsidR="008F5B16">
        <w:rPr>
          <w:sz w:val="20"/>
          <w:szCs w:val="20"/>
        </w:rPr>
        <w:t xml:space="preserve"> It is important</w:t>
      </w:r>
      <w:r w:rsidR="00BD51AB">
        <w:rPr>
          <w:sz w:val="20"/>
          <w:szCs w:val="20"/>
        </w:rPr>
        <w:t xml:space="preserve"> that the LEA</w:t>
      </w:r>
      <w:r w:rsidR="003C60D8">
        <w:rPr>
          <w:sz w:val="20"/>
          <w:szCs w:val="20"/>
        </w:rPr>
        <w:t xml:space="preserve"> demonstrate</w:t>
      </w:r>
      <w:r w:rsidR="00492601">
        <w:rPr>
          <w:sz w:val="20"/>
          <w:szCs w:val="20"/>
        </w:rPr>
        <w:t>s</w:t>
      </w:r>
      <w:r w:rsidR="003C60D8">
        <w:rPr>
          <w:sz w:val="20"/>
          <w:szCs w:val="20"/>
        </w:rPr>
        <w:t xml:space="preserve"> compliance with the eligibility </w:t>
      </w:r>
      <w:r w:rsidR="008F5B16">
        <w:rPr>
          <w:sz w:val="20"/>
          <w:szCs w:val="20"/>
        </w:rPr>
        <w:t>standard and if not</w:t>
      </w:r>
      <w:r w:rsidR="00492601">
        <w:rPr>
          <w:sz w:val="20"/>
          <w:szCs w:val="20"/>
        </w:rPr>
        <w:t>,</w:t>
      </w:r>
      <w:r w:rsidR="008F5B16">
        <w:rPr>
          <w:sz w:val="20"/>
          <w:szCs w:val="20"/>
        </w:rPr>
        <w:t xml:space="preserve"> indicate</w:t>
      </w:r>
      <w:r w:rsidR="00492601">
        <w:rPr>
          <w:sz w:val="20"/>
          <w:szCs w:val="20"/>
        </w:rPr>
        <w:t>s</w:t>
      </w:r>
      <w:r w:rsidR="008F5B16">
        <w:rPr>
          <w:sz w:val="20"/>
          <w:szCs w:val="20"/>
        </w:rPr>
        <w:t xml:space="preserve"> on the </w:t>
      </w:r>
      <w:r w:rsidR="00492601">
        <w:rPr>
          <w:sz w:val="20"/>
          <w:szCs w:val="20"/>
        </w:rPr>
        <w:t xml:space="preserve">grant </w:t>
      </w:r>
      <w:r w:rsidR="008F5B16">
        <w:rPr>
          <w:sz w:val="20"/>
          <w:szCs w:val="20"/>
        </w:rPr>
        <w:t>application the reason for not meeting the eligibility standard.  (</w:t>
      </w:r>
      <w:r w:rsidR="00C56D89">
        <w:rPr>
          <w:sz w:val="20"/>
          <w:szCs w:val="20"/>
        </w:rPr>
        <w:t xml:space="preserve">See </w:t>
      </w:r>
      <w:r w:rsidR="00C56D89" w:rsidRPr="00C56D89">
        <w:rPr>
          <w:b/>
          <w:color w:val="1F497D" w:themeColor="text2"/>
          <w:sz w:val="20"/>
          <w:szCs w:val="20"/>
        </w:rPr>
        <w:t>“Exceptions</w:t>
      </w:r>
      <w:r w:rsidR="008F5B16" w:rsidRPr="00C25B7D">
        <w:rPr>
          <w:b/>
          <w:color w:val="1F497D" w:themeColor="text2"/>
          <w:sz w:val="20"/>
          <w:szCs w:val="20"/>
        </w:rPr>
        <w:t xml:space="preserve"> to Meeting </w:t>
      </w:r>
      <w:r w:rsidR="00C56D89" w:rsidRPr="00C25B7D">
        <w:rPr>
          <w:b/>
          <w:color w:val="1F497D" w:themeColor="text2"/>
          <w:sz w:val="20"/>
          <w:szCs w:val="20"/>
        </w:rPr>
        <w:t>MOE</w:t>
      </w:r>
      <w:r w:rsidR="00C56D89">
        <w:rPr>
          <w:b/>
          <w:color w:val="1F497D" w:themeColor="text2"/>
          <w:sz w:val="20"/>
          <w:szCs w:val="20"/>
        </w:rPr>
        <w:t xml:space="preserve">” </w:t>
      </w:r>
      <w:r w:rsidR="00C56D89">
        <w:rPr>
          <w:sz w:val="20"/>
          <w:szCs w:val="20"/>
        </w:rPr>
        <w:t xml:space="preserve">and </w:t>
      </w:r>
      <w:r w:rsidR="00C56D89" w:rsidRPr="00C56D89">
        <w:rPr>
          <w:b/>
          <w:color w:val="1F497D" w:themeColor="text2"/>
          <w:sz w:val="20"/>
          <w:szCs w:val="20"/>
        </w:rPr>
        <w:t>“</w:t>
      </w:r>
      <w:r w:rsidR="008F5B16" w:rsidRPr="00C25B7D">
        <w:rPr>
          <w:b/>
          <w:color w:val="1F497D" w:themeColor="text2"/>
          <w:sz w:val="20"/>
          <w:szCs w:val="20"/>
        </w:rPr>
        <w:t>Consequences for Failure to Meet MOE”)</w:t>
      </w:r>
    </w:p>
    <w:p w14:paraId="3EDCD2A3" w14:textId="77777777" w:rsidR="00DE7249" w:rsidRDefault="00DE7249" w:rsidP="00DE7249">
      <w:pPr>
        <w:spacing w:after="0" w:line="240" w:lineRule="auto"/>
        <w:rPr>
          <w:b/>
          <w:color w:val="E36C0A" w:themeColor="accent6" w:themeShade="BF"/>
          <w:sz w:val="24"/>
          <w:szCs w:val="32"/>
        </w:rPr>
      </w:pPr>
    </w:p>
    <w:p w14:paraId="3889854A" w14:textId="77777777" w:rsidR="00CB59EA" w:rsidRPr="002B38FF" w:rsidRDefault="00CB59EA" w:rsidP="00DE7249">
      <w:pPr>
        <w:spacing w:after="0" w:line="240" w:lineRule="auto"/>
        <w:rPr>
          <w:b/>
          <w:color w:val="CE4C11"/>
          <w:szCs w:val="32"/>
        </w:rPr>
      </w:pPr>
      <w:r w:rsidRPr="002B38FF">
        <w:rPr>
          <w:b/>
          <w:color w:val="CE4C11"/>
          <w:szCs w:val="32"/>
        </w:rPr>
        <w:t>Compliance Standard – MOE levels for spending (Collected in the E</w:t>
      </w:r>
      <w:r w:rsidR="00950E3F" w:rsidRPr="002B38FF">
        <w:rPr>
          <w:b/>
          <w:color w:val="CE4C11"/>
          <w:szCs w:val="32"/>
        </w:rPr>
        <w:t>nd of Year</w:t>
      </w:r>
      <w:r w:rsidR="00993F46" w:rsidRPr="002B38FF">
        <w:rPr>
          <w:b/>
          <w:color w:val="CE4C11"/>
          <w:szCs w:val="32"/>
        </w:rPr>
        <w:t xml:space="preserve"> Financial</w:t>
      </w:r>
      <w:r w:rsidR="00950E3F" w:rsidRPr="002B38FF">
        <w:rPr>
          <w:b/>
          <w:color w:val="CE4C11"/>
          <w:szCs w:val="32"/>
        </w:rPr>
        <w:t xml:space="preserve"> Report</w:t>
      </w:r>
      <w:r w:rsidRPr="002B38FF">
        <w:rPr>
          <w:b/>
          <w:color w:val="CE4C11"/>
          <w:szCs w:val="32"/>
        </w:rPr>
        <w:t>)</w:t>
      </w:r>
    </w:p>
    <w:p w14:paraId="0ECB4C11" w14:textId="43B5004C" w:rsidR="00CB59EA" w:rsidRDefault="000A1997" w:rsidP="00DE7249">
      <w:pPr>
        <w:spacing w:after="0" w:line="240" w:lineRule="auto"/>
        <w:rPr>
          <w:b/>
          <w:color w:val="1F497D" w:themeColor="text2"/>
          <w:sz w:val="24"/>
        </w:rPr>
      </w:pPr>
      <w:r w:rsidRPr="000A1997">
        <w:rPr>
          <w:sz w:val="20"/>
          <w:szCs w:val="20"/>
        </w:rPr>
        <w:t xml:space="preserve">The compliance standard prohibits an LEA from reducing the level of expenditures for the education of </w:t>
      </w:r>
      <w:r w:rsidR="005908E6">
        <w:rPr>
          <w:sz w:val="20"/>
          <w:szCs w:val="20"/>
        </w:rPr>
        <w:t xml:space="preserve">eligible </w:t>
      </w:r>
      <w:r w:rsidRPr="000A1997">
        <w:rPr>
          <w:sz w:val="20"/>
          <w:szCs w:val="20"/>
        </w:rPr>
        <w:t xml:space="preserve">children with disabilities made by the LEA from </w:t>
      </w:r>
      <w:r>
        <w:rPr>
          <w:sz w:val="20"/>
          <w:szCs w:val="20"/>
        </w:rPr>
        <w:t>s</w:t>
      </w:r>
      <w:r w:rsidRPr="000A1997">
        <w:rPr>
          <w:sz w:val="20"/>
          <w:szCs w:val="20"/>
        </w:rPr>
        <w:t xml:space="preserve">tate and local funds </w:t>
      </w:r>
      <w:r w:rsidR="003C60D8">
        <w:rPr>
          <w:sz w:val="20"/>
          <w:szCs w:val="20"/>
        </w:rPr>
        <w:t>by measuring against the last year the district met MOE</w:t>
      </w:r>
      <w:r w:rsidRPr="000A1997">
        <w:rPr>
          <w:sz w:val="20"/>
          <w:szCs w:val="20"/>
        </w:rPr>
        <w:t xml:space="preserve">.  In other words, an LEA must maintain (or increase) the amount of </w:t>
      </w:r>
      <w:r>
        <w:rPr>
          <w:sz w:val="20"/>
          <w:szCs w:val="20"/>
        </w:rPr>
        <w:t>s</w:t>
      </w:r>
      <w:r w:rsidRPr="000A1997">
        <w:rPr>
          <w:sz w:val="20"/>
          <w:szCs w:val="20"/>
        </w:rPr>
        <w:t>tate and local</w:t>
      </w:r>
      <w:r>
        <w:rPr>
          <w:sz w:val="20"/>
          <w:szCs w:val="20"/>
        </w:rPr>
        <w:t xml:space="preserve"> </w:t>
      </w:r>
      <w:r w:rsidRPr="000A1997">
        <w:rPr>
          <w:sz w:val="20"/>
          <w:szCs w:val="20"/>
        </w:rPr>
        <w:t xml:space="preserve">funds it spends for the education of children with disabilities when compared to </w:t>
      </w:r>
      <w:r w:rsidR="003C60D8">
        <w:rPr>
          <w:sz w:val="20"/>
          <w:szCs w:val="20"/>
        </w:rPr>
        <w:t xml:space="preserve">last year it met MOE (for most, </w:t>
      </w:r>
      <w:r w:rsidRPr="000A1997">
        <w:rPr>
          <w:sz w:val="20"/>
          <w:szCs w:val="20"/>
        </w:rPr>
        <w:t>the preceding fiscal year</w:t>
      </w:r>
      <w:r w:rsidR="003C60D8">
        <w:rPr>
          <w:sz w:val="20"/>
          <w:szCs w:val="20"/>
        </w:rPr>
        <w:t>)</w:t>
      </w:r>
      <w:r w:rsidRPr="000A1997">
        <w:rPr>
          <w:sz w:val="20"/>
          <w:szCs w:val="20"/>
        </w:rPr>
        <w:t xml:space="preserve">. </w:t>
      </w:r>
      <w:hyperlink r:id="rId14" w:history="1">
        <w:r>
          <w:rPr>
            <w:rStyle w:val="Hyperlink"/>
            <w:rFonts w:cstheme="minorBidi"/>
            <w:sz w:val="20"/>
            <w:szCs w:val="20"/>
          </w:rPr>
          <w:t>34 CFR §300.203(b)</w:t>
        </w:r>
      </w:hyperlink>
      <w:r w:rsidR="008D4C74">
        <w:rPr>
          <w:sz w:val="20"/>
          <w:szCs w:val="20"/>
        </w:rPr>
        <w:t xml:space="preserve"> </w:t>
      </w:r>
    </w:p>
    <w:p w14:paraId="2831D609" w14:textId="77777777" w:rsidR="00DE7249" w:rsidRDefault="00DE7249" w:rsidP="00DE7249">
      <w:pPr>
        <w:spacing w:after="0" w:line="240" w:lineRule="auto"/>
        <w:rPr>
          <w:b/>
          <w:color w:val="1F497D" w:themeColor="text2"/>
          <w:sz w:val="24"/>
        </w:rPr>
      </w:pPr>
    </w:p>
    <w:p w14:paraId="1AECD10B" w14:textId="77777777" w:rsidR="00CB59EA" w:rsidRDefault="00CB59EA" w:rsidP="00DE7249">
      <w:pPr>
        <w:spacing w:after="0" w:line="240" w:lineRule="auto"/>
        <w:rPr>
          <w:b/>
          <w:color w:val="1F497D" w:themeColor="text2"/>
          <w:sz w:val="24"/>
        </w:rPr>
      </w:pPr>
      <w:r>
        <w:rPr>
          <w:b/>
          <w:color w:val="1F497D" w:themeColor="text2"/>
          <w:sz w:val="24"/>
        </w:rPr>
        <w:t>Ways to Meet MOE</w:t>
      </w:r>
    </w:p>
    <w:p w14:paraId="0A1C4833" w14:textId="1A9628B7" w:rsidR="00CB59EA" w:rsidRDefault="00CB59EA" w:rsidP="00DE7249">
      <w:pPr>
        <w:spacing w:after="0" w:line="240" w:lineRule="auto"/>
        <w:rPr>
          <w:sz w:val="20"/>
          <w:szCs w:val="20"/>
        </w:rPr>
      </w:pPr>
      <w:r w:rsidRPr="00CB59EA">
        <w:rPr>
          <w:sz w:val="20"/>
          <w:szCs w:val="20"/>
        </w:rPr>
        <w:t>For both standards,</w:t>
      </w:r>
      <w:r w:rsidR="008E19B4">
        <w:rPr>
          <w:sz w:val="20"/>
          <w:szCs w:val="20"/>
        </w:rPr>
        <w:t xml:space="preserve"> the law gives</w:t>
      </w:r>
      <w:r w:rsidRPr="00CB59EA">
        <w:rPr>
          <w:sz w:val="20"/>
          <w:szCs w:val="20"/>
        </w:rPr>
        <w:t xml:space="preserve"> LEAs four options to demonstrate they have met </w:t>
      </w:r>
      <w:r w:rsidR="008E19B4">
        <w:rPr>
          <w:sz w:val="20"/>
          <w:szCs w:val="20"/>
        </w:rPr>
        <w:t>either</w:t>
      </w:r>
      <w:r w:rsidRPr="00CB59EA">
        <w:rPr>
          <w:sz w:val="20"/>
          <w:szCs w:val="20"/>
        </w:rPr>
        <w:t xml:space="preserve"> MOE </w:t>
      </w:r>
      <w:r w:rsidR="008E19B4">
        <w:rPr>
          <w:sz w:val="20"/>
          <w:szCs w:val="20"/>
        </w:rPr>
        <w:t>standard where feasible</w:t>
      </w:r>
      <w:r w:rsidRPr="00CB59EA">
        <w:rPr>
          <w:sz w:val="20"/>
          <w:szCs w:val="20"/>
        </w:rPr>
        <w:t xml:space="preserve">: </w:t>
      </w:r>
    </w:p>
    <w:p w14:paraId="7A0A7EA7" w14:textId="77777777" w:rsidR="00CB59EA" w:rsidRDefault="00CB59EA" w:rsidP="00DE7249">
      <w:pPr>
        <w:spacing w:after="0" w:line="240" w:lineRule="auto"/>
        <w:rPr>
          <w:sz w:val="20"/>
          <w:szCs w:val="20"/>
        </w:rPr>
      </w:pPr>
    </w:p>
    <w:p w14:paraId="7FA9BA5C" w14:textId="77777777" w:rsidR="00CB59EA" w:rsidRPr="00CB59EA" w:rsidRDefault="00CB59EA" w:rsidP="00DE7249">
      <w:pPr>
        <w:pStyle w:val="ListParagraph"/>
        <w:numPr>
          <w:ilvl w:val="0"/>
          <w:numId w:val="34"/>
        </w:numPr>
        <w:spacing w:after="0" w:line="240" w:lineRule="auto"/>
        <w:rPr>
          <w:sz w:val="20"/>
          <w:szCs w:val="20"/>
        </w:rPr>
      </w:pPr>
      <w:r w:rsidRPr="00CB59EA">
        <w:rPr>
          <w:sz w:val="20"/>
          <w:szCs w:val="20"/>
        </w:rPr>
        <w:t>Total amount of local funds</w:t>
      </w:r>
      <w:r w:rsidRPr="006F0051">
        <w:rPr>
          <w:b/>
          <w:sz w:val="20"/>
          <w:szCs w:val="20"/>
        </w:rPr>
        <w:t>*</w:t>
      </w:r>
      <w:r w:rsidRPr="00CB59EA">
        <w:rPr>
          <w:sz w:val="20"/>
          <w:szCs w:val="20"/>
        </w:rPr>
        <w:t>,</w:t>
      </w:r>
    </w:p>
    <w:p w14:paraId="2D5F58A1" w14:textId="0DA4A8DC" w:rsidR="00CB59EA" w:rsidRPr="00CB59EA" w:rsidRDefault="00CB59EA" w:rsidP="00DE7249">
      <w:pPr>
        <w:pStyle w:val="ListParagraph"/>
        <w:numPr>
          <w:ilvl w:val="0"/>
          <w:numId w:val="34"/>
        </w:numPr>
        <w:spacing w:after="0" w:line="240" w:lineRule="auto"/>
        <w:rPr>
          <w:sz w:val="20"/>
          <w:szCs w:val="20"/>
        </w:rPr>
      </w:pPr>
      <w:r w:rsidRPr="00CB59EA">
        <w:rPr>
          <w:sz w:val="20"/>
          <w:szCs w:val="20"/>
        </w:rPr>
        <w:t xml:space="preserve">Total amount of </w:t>
      </w:r>
      <w:r w:rsidR="005908E6">
        <w:rPr>
          <w:sz w:val="20"/>
          <w:szCs w:val="20"/>
        </w:rPr>
        <w:t>S</w:t>
      </w:r>
      <w:r w:rsidRPr="00CB59EA">
        <w:rPr>
          <w:sz w:val="20"/>
          <w:szCs w:val="20"/>
        </w:rPr>
        <w:t>tate and local funds</w:t>
      </w:r>
      <w:r w:rsidR="006F1DF1">
        <w:rPr>
          <w:sz w:val="20"/>
          <w:szCs w:val="20"/>
        </w:rPr>
        <w:t xml:space="preserve"> in the aggregate</w:t>
      </w:r>
      <w:r w:rsidRPr="00CB59EA">
        <w:rPr>
          <w:sz w:val="20"/>
          <w:szCs w:val="20"/>
        </w:rPr>
        <w:t>,</w:t>
      </w:r>
    </w:p>
    <w:p w14:paraId="3DD7E00C" w14:textId="77777777" w:rsidR="00CB59EA" w:rsidRPr="00CB59EA" w:rsidRDefault="00CB59EA" w:rsidP="00DE7249">
      <w:pPr>
        <w:pStyle w:val="ListParagraph"/>
        <w:numPr>
          <w:ilvl w:val="0"/>
          <w:numId w:val="34"/>
        </w:numPr>
        <w:spacing w:after="0" w:line="240" w:lineRule="auto"/>
        <w:rPr>
          <w:sz w:val="20"/>
          <w:szCs w:val="20"/>
        </w:rPr>
      </w:pPr>
      <w:r w:rsidRPr="00CB59EA">
        <w:rPr>
          <w:sz w:val="20"/>
          <w:szCs w:val="20"/>
        </w:rPr>
        <w:t>Per capita (e.g., per child with disability) amount of local funds</w:t>
      </w:r>
      <w:r w:rsidRPr="006F0051">
        <w:rPr>
          <w:b/>
          <w:sz w:val="20"/>
          <w:szCs w:val="20"/>
        </w:rPr>
        <w:t>*</w:t>
      </w:r>
      <w:r w:rsidRPr="00CB59EA">
        <w:rPr>
          <w:sz w:val="20"/>
          <w:szCs w:val="20"/>
        </w:rPr>
        <w:t xml:space="preserve">, or </w:t>
      </w:r>
    </w:p>
    <w:p w14:paraId="1DBAF1BF" w14:textId="00EEB221" w:rsidR="00CB59EA" w:rsidRDefault="00CB59EA" w:rsidP="00DE7249">
      <w:pPr>
        <w:pStyle w:val="ListParagraph"/>
        <w:numPr>
          <w:ilvl w:val="0"/>
          <w:numId w:val="34"/>
        </w:numPr>
        <w:spacing w:after="0" w:line="240" w:lineRule="auto"/>
        <w:rPr>
          <w:sz w:val="20"/>
          <w:szCs w:val="20"/>
        </w:rPr>
      </w:pPr>
      <w:r w:rsidRPr="00CB59EA">
        <w:rPr>
          <w:sz w:val="20"/>
          <w:szCs w:val="20"/>
        </w:rPr>
        <w:t xml:space="preserve">Per capita amount of </w:t>
      </w:r>
      <w:r w:rsidR="005908E6">
        <w:rPr>
          <w:sz w:val="20"/>
          <w:szCs w:val="20"/>
        </w:rPr>
        <w:t>S</w:t>
      </w:r>
      <w:r w:rsidRPr="00CB59EA">
        <w:rPr>
          <w:sz w:val="20"/>
          <w:szCs w:val="20"/>
        </w:rPr>
        <w:t>tate and local funds.</w:t>
      </w:r>
    </w:p>
    <w:p w14:paraId="27D8E782" w14:textId="1F867F01" w:rsidR="00CB59EA" w:rsidRDefault="00CB59EA" w:rsidP="00DE7249">
      <w:pPr>
        <w:pStyle w:val="ListParagraph"/>
        <w:spacing w:after="0" w:line="240" w:lineRule="auto"/>
        <w:rPr>
          <w:sz w:val="20"/>
          <w:szCs w:val="20"/>
        </w:rPr>
      </w:pPr>
    </w:p>
    <w:p w14:paraId="473625C4" w14:textId="2A832C70" w:rsidR="00AC6F4B" w:rsidRPr="001E1BF2" w:rsidRDefault="005908E6" w:rsidP="00041E05">
      <w:pPr>
        <w:pStyle w:val="ListParagraph"/>
        <w:spacing w:after="0" w:line="240" w:lineRule="auto"/>
        <w:ind w:left="360" w:right="360"/>
        <w:rPr>
          <w:bCs/>
          <w:i/>
          <w:iCs/>
          <w:sz w:val="20"/>
          <w:szCs w:val="20"/>
        </w:rPr>
      </w:pPr>
      <w:r>
        <w:rPr>
          <w:bCs/>
          <w:i/>
          <w:iCs/>
          <w:sz w:val="20"/>
          <w:szCs w:val="20"/>
        </w:rPr>
        <w:t xml:space="preserve">* </w:t>
      </w:r>
      <w:r w:rsidRPr="001E1BF2">
        <w:rPr>
          <w:bCs/>
          <w:i/>
          <w:iCs/>
          <w:sz w:val="20"/>
          <w:szCs w:val="20"/>
        </w:rPr>
        <w:t xml:space="preserve">Please note that </w:t>
      </w:r>
      <w:r w:rsidR="008E19B4" w:rsidRPr="001E1BF2">
        <w:rPr>
          <w:bCs/>
          <w:i/>
          <w:iCs/>
          <w:sz w:val="20"/>
          <w:szCs w:val="20"/>
        </w:rPr>
        <w:t>i</w:t>
      </w:r>
      <w:r w:rsidR="00CB59EA" w:rsidRPr="001E1BF2">
        <w:rPr>
          <w:bCs/>
          <w:i/>
          <w:iCs/>
          <w:sz w:val="20"/>
          <w:szCs w:val="20"/>
        </w:rPr>
        <w:t>n Massachusetts LEAs can use</w:t>
      </w:r>
      <w:r w:rsidR="008E19B4" w:rsidRPr="001E1BF2">
        <w:rPr>
          <w:bCs/>
          <w:i/>
          <w:iCs/>
          <w:sz w:val="20"/>
          <w:szCs w:val="20"/>
        </w:rPr>
        <w:t xml:space="preserve"> only</w:t>
      </w:r>
      <w:r w:rsidR="00CB59EA" w:rsidRPr="001E1BF2">
        <w:rPr>
          <w:bCs/>
          <w:i/>
          <w:iCs/>
          <w:sz w:val="20"/>
          <w:szCs w:val="20"/>
        </w:rPr>
        <w:t xml:space="preserve"> methods</w:t>
      </w:r>
      <w:r w:rsidR="00860168" w:rsidRPr="001E1BF2">
        <w:rPr>
          <w:bCs/>
          <w:i/>
          <w:iCs/>
          <w:sz w:val="20"/>
          <w:szCs w:val="20"/>
        </w:rPr>
        <w:t>:</w:t>
      </w:r>
      <w:r w:rsidR="00CB59EA" w:rsidRPr="001E1BF2">
        <w:rPr>
          <w:bCs/>
          <w:i/>
          <w:iCs/>
          <w:sz w:val="20"/>
          <w:szCs w:val="20"/>
        </w:rPr>
        <w:t xml:space="preserve"> 2. Total amount of state and local funds</w:t>
      </w:r>
      <w:r w:rsidR="006F1DF1" w:rsidRPr="001E1BF2">
        <w:rPr>
          <w:bCs/>
          <w:i/>
          <w:iCs/>
          <w:sz w:val="20"/>
          <w:szCs w:val="20"/>
        </w:rPr>
        <w:t xml:space="preserve"> in the aggregate</w:t>
      </w:r>
      <w:r w:rsidR="00CB59EA" w:rsidRPr="001E1BF2">
        <w:rPr>
          <w:bCs/>
          <w:i/>
          <w:iCs/>
          <w:sz w:val="20"/>
          <w:szCs w:val="20"/>
        </w:rPr>
        <w:t xml:space="preserve"> and 4. Per capita amount of state and local funds</w:t>
      </w:r>
      <w:r w:rsidR="00860168" w:rsidRPr="001E1BF2">
        <w:rPr>
          <w:bCs/>
          <w:i/>
          <w:iCs/>
          <w:sz w:val="20"/>
          <w:szCs w:val="20"/>
        </w:rPr>
        <w:t>.</w:t>
      </w:r>
      <w:r w:rsidR="00CB59EA" w:rsidRPr="001E1BF2">
        <w:rPr>
          <w:bCs/>
          <w:i/>
          <w:iCs/>
          <w:sz w:val="20"/>
          <w:szCs w:val="20"/>
        </w:rPr>
        <w:t xml:space="preserve">  In Massachusetts</w:t>
      </w:r>
      <w:r w:rsidR="00860168" w:rsidRPr="001E1BF2">
        <w:rPr>
          <w:bCs/>
          <w:i/>
          <w:iCs/>
          <w:sz w:val="20"/>
          <w:szCs w:val="20"/>
        </w:rPr>
        <w:t>,</w:t>
      </w:r>
      <w:r w:rsidR="00CB59EA" w:rsidRPr="001E1BF2">
        <w:rPr>
          <w:bCs/>
          <w:i/>
          <w:iCs/>
          <w:sz w:val="20"/>
          <w:szCs w:val="20"/>
        </w:rPr>
        <w:t xml:space="preserve"> we cannot separate</w:t>
      </w:r>
      <w:r w:rsidR="006F0051" w:rsidRPr="001E1BF2">
        <w:rPr>
          <w:bCs/>
          <w:i/>
          <w:iCs/>
          <w:sz w:val="20"/>
          <w:szCs w:val="20"/>
        </w:rPr>
        <w:t xml:space="preserve"> out </w:t>
      </w:r>
      <w:r w:rsidR="00CB59EA" w:rsidRPr="001E1BF2">
        <w:rPr>
          <w:bCs/>
          <w:i/>
          <w:iCs/>
          <w:sz w:val="20"/>
          <w:szCs w:val="20"/>
        </w:rPr>
        <w:t>Chapter 70</w:t>
      </w:r>
      <w:r w:rsidRPr="001E1BF2">
        <w:rPr>
          <w:bCs/>
          <w:i/>
          <w:iCs/>
          <w:sz w:val="20"/>
          <w:szCs w:val="20"/>
        </w:rPr>
        <w:t>state aid</w:t>
      </w:r>
      <w:r w:rsidR="008E19B4" w:rsidRPr="001E1BF2">
        <w:rPr>
          <w:bCs/>
          <w:i/>
          <w:iCs/>
          <w:sz w:val="20"/>
          <w:szCs w:val="20"/>
        </w:rPr>
        <w:t xml:space="preserve"> </w:t>
      </w:r>
      <w:r w:rsidR="00CB59EA" w:rsidRPr="001E1BF2">
        <w:rPr>
          <w:bCs/>
          <w:i/>
          <w:iCs/>
          <w:sz w:val="20"/>
          <w:szCs w:val="20"/>
        </w:rPr>
        <w:t xml:space="preserve">and funding from the local tax base </w:t>
      </w:r>
      <w:r w:rsidR="00860168" w:rsidRPr="001E1BF2">
        <w:rPr>
          <w:bCs/>
          <w:i/>
          <w:iCs/>
          <w:sz w:val="20"/>
          <w:szCs w:val="20"/>
        </w:rPr>
        <w:t xml:space="preserve">because </w:t>
      </w:r>
      <w:r w:rsidR="00CB59EA" w:rsidRPr="001E1BF2">
        <w:rPr>
          <w:bCs/>
          <w:i/>
          <w:iCs/>
          <w:sz w:val="20"/>
          <w:szCs w:val="20"/>
        </w:rPr>
        <w:t xml:space="preserve">Chapter 70 goes </w:t>
      </w:r>
      <w:r w:rsidR="008E19B4" w:rsidRPr="001E1BF2">
        <w:rPr>
          <w:bCs/>
          <w:i/>
          <w:iCs/>
          <w:sz w:val="20"/>
          <w:szCs w:val="20"/>
        </w:rPr>
        <w:t>in</w:t>
      </w:r>
      <w:r w:rsidR="00CB59EA" w:rsidRPr="001E1BF2">
        <w:rPr>
          <w:bCs/>
          <w:i/>
          <w:iCs/>
          <w:sz w:val="20"/>
          <w:szCs w:val="20"/>
        </w:rPr>
        <w:t>to</w:t>
      </w:r>
      <w:r w:rsidR="008E19B4" w:rsidRPr="001E1BF2">
        <w:rPr>
          <w:bCs/>
          <w:i/>
          <w:iCs/>
          <w:sz w:val="20"/>
          <w:szCs w:val="20"/>
        </w:rPr>
        <w:t xml:space="preserve"> a </w:t>
      </w:r>
      <w:r w:rsidR="00C56D89" w:rsidRPr="001E1BF2">
        <w:rPr>
          <w:bCs/>
          <w:i/>
          <w:iCs/>
          <w:sz w:val="20"/>
          <w:szCs w:val="20"/>
        </w:rPr>
        <w:t>community’s General</w:t>
      </w:r>
      <w:r w:rsidR="00CB59EA" w:rsidRPr="001E1BF2">
        <w:rPr>
          <w:bCs/>
          <w:i/>
          <w:iCs/>
          <w:sz w:val="20"/>
          <w:szCs w:val="20"/>
        </w:rPr>
        <w:t xml:space="preserve"> Fund</w:t>
      </w:r>
      <w:r w:rsidR="008E19B4" w:rsidRPr="001E1BF2">
        <w:rPr>
          <w:bCs/>
          <w:i/>
          <w:iCs/>
          <w:sz w:val="20"/>
          <w:szCs w:val="20"/>
        </w:rPr>
        <w:t xml:space="preserve"> and </w:t>
      </w:r>
      <w:r w:rsidRPr="001E1BF2">
        <w:rPr>
          <w:bCs/>
          <w:i/>
          <w:iCs/>
          <w:sz w:val="20"/>
          <w:szCs w:val="20"/>
        </w:rPr>
        <w:t xml:space="preserve">therefore </w:t>
      </w:r>
      <w:r w:rsidR="008E19B4" w:rsidRPr="001E1BF2">
        <w:rPr>
          <w:bCs/>
          <w:i/>
          <w:iCs/>
          <w:sz w:val="20"/>
          <w:szCs w:val="20"/>
        </w:rPr>
        <w:t xml:space="preserve">loses its identity as </w:t>
      </w:r>
      <w:r w:rsidRPr="001E1BF2">
        <w:rPr>
          <w:bCs/>
          <w:i/>
          <w:iCs/>
          <w:sz w:val="20"/>
          <w:szCs w:val="20"/>
        </w:rPr>
        <w:t>S</w:t>
      </w:r>
      <w:r w:rsidR="008E19B4" w:rsidRPr="001E1BF2">
        <w:rPr>
          <w:bCs/>
          <w:i/>
          <w:iCs/>
          <w:sz w:val="20"/>
          <w:szCs w:val="20"/>
        </w:rPr>
        <w:t>tate funds when appropriated to the school department.</w:t>
      </w:r>
      <w:r w:rsidR="00CB59EA" w:rsidRPr="001E1BF2">
        <w:rPr>
          <w:bCs/>
          <w:i/>
          <w:iCs/>
          <w:sz w:val="20"/>
          <w:szCs w:val="20"/>
        </w:rPr>
        <w:t xml:space="preserve"> The only </w:t>
      </w:r>
      <w:r w:rsidR="006F0051" w:rsidRPr="001E1BF2">
        <w:rPr>
          <w:bCs/>
          <w:i/>
          <w:iCs/>
          <w:sz w:val="20"/>
          <w:szCs w:val="20"/>
        </w:rPr>
        <w:t xml:space="preserve">true </w:t>
      </w:r>
      <w:r w:rsidRPr="001E1BF2">
        <w:rPr>
          <w:bCs/>
          <w:i/>
          <w:iCs/>
          <w:sz w:val="20"/>
          <w:szCs w:val="20"/>
        </w:rPr>
        <w:t>S</w:t>
      </w:r>
      <w:r w:rsidR="00CB59EA" w:rsidRPr="001E1BF2">
        <w:rPr>
          <w:bCs/>
          <w:i/>
          <w:iCs/>
          <w:sz w:val="20"/>
          <w:szCs w:val="20"/>
        </w:rPr>
        <w:t xml:space="preserve">tate funds are </w:t>
      </w:r>
      <w:r w:rsidRPr="001E1BF2">
        <w:rPr>
          <w:bCs/>
          <w:i/>
          <w:iCs/>
          <w:sz w:val="20"/>
          <w:szCs w:val="20"/>
        </w:rPr>
        <w:t>C</w:t>
      </w:r>
      <w:r w:rsidR="00CB59EA" w:rsidRPr="001E1BF2">
        <w:rPr>
          <w:bCs/>
          <w:i/>
          <w:iCs/>
          <w:sz w:val="20"/>
          <w:szCs w:val="20"/>
        </w:rPr>
        <w:t xml:space="preserve">ircuit </w:t>
      </w:r>
      <w:r w:rsidRPr="001E1BF2">
        <w:rPr>
          <w:bCs/>
          <w:i/>
          <w:iCs/>
          <w:sz w:val="20"/>
          <w:szCs w:val="20"/>
        </w:rPr>
        <w:t>B</w:t>
      </w:r>
      <w:r w:rsidR="00CB59EA" w:rsidRPr="001E1BF2">
        <w:rPr>
          <w:bCs/>
          <w:i/>
          <w:iCs/>
          <w:sz w:val="20"/>
          <w:szCs w:val="20"/>
        </w:rPr>
        <w:t>reaker fund</w:t>
      </w:r>
      <w:r w:rsidRPr="001E1BF2">
        <w:rPr>
          <w:bCs/>
          <w:i/>
          <w:iCs/>
          <w:sz w:val="20"/>
          <w:szCs w:val="20"/>
        </w:rPr>
        <w:t>s,</w:t>
      </w:r>
      <w:r w:rsidR="008F5B16" w:rsidRPr="001E1BF2">
        <w:rPr>
          <w:bCs/>
          <w:i/>
          <w:iCs/>
          <w:sz w:val="20"/>
          <w:szCs w:val="20"/>
        </w:rPr>
        <w:t xml:space="preserve"> and</w:t>
      </w:r>
      <w:r w:rsidRPr="001E1BF2">
        <w:rPr>
          <w:bCs/>
          <w:i/>
          <w:iCs/>
          <w:sz w:val="20"/>
          <w:szCs w:val="20"/>
        </w:rPr>
        <w:t xml:space="preserve"> these amounts are </w:t>
      </w:r>
      <w:r w:rsidR="008F5B16" w:rsidRPr="001E1BF2">
        <w:rPr>
          <w:bCs/>
          <w:i/>
          <w:iCs/>
          <w:sz w:val="20"/>
          <w:szCs w:val="20"/>
        </w:rPr>
        <w:t xml:space="preserve">included in the </w:t>
      </w:r>
      <w:r w:rsidRPr="001E1BF2">
        <w:rPr>
          <w:bCs/>
          <w:i/>
          <w:iCs/>
          <w:sz w:val="20"/>
          <w:szCs w:val="20"/>
        </w:rPr>
        <w:t>S</w:t>
      </w:r>
      <w:r w:rsidR="008F5B16" w:rsidRPr="001E1BF2">
        <w:rPr>
          <w:bCs/>
          <w:i/>
          <w:iCs/>
          <w:sz w:val="20"/>
          <w:szCs w:val="20"/>
        </w:rPr>
        <w:t>tate and local funding amount reported in the LEA’s IDEA Consolidated Application</w:t>
      </w:r>
      <w:r w:rsidR="006F0051" w:rsidRPr="001E1BF2">
        <w:rPr>
          <w:bCs/>
          <w:i/>
          <w:iCs/>
          <w:sz w:val="20"/>
          <w:szCs w:val="20"/>
        </w:rPr>
        <w:t>.</w:t>
      </w:r>
    </w:p>
    <w:p w14:paraId="0353AB3F" w14:textId="77777777" w:rsidR="00AC6F4B" w:rsidRPr="00AC6F4B" w:rsidRDefault="00AC6F4B" w:rsidP="00DE7249">
      <w:pPr>
        <w:pStyle w:val="ListParagraph"/>
        <w:spacing w:after="0" w:line="240" w:lineRule="auto"/>
        <w:ind w:left="360"/>
        <w:rPr>
          <w:b/>
          <w:sz w:val="20"/>
          <w:szCs w:val="20"/>
        </w:rPr>
      </w:pPr>
    </w:p>
    <w:p w14:paraId="3BDD3799" w14:textId="77777777" w:rsidR="00AC6F4B" w:rsidRDefault="006F0051" w:rsidP="00DE7249">
      <w:pPr>
        <w:spacing w:after="0" w:line="240" w:lineRule="auto"/>
        <w:rPr>
          <w:b/>
          <w:color w:val="1F497D" w:themeColor="text2"/>
          <w:sz w:val="24"/>
        </w:rPr>
      </w:pPr>
      <w:r>
        <w:rPr>
          <w:b/>
          <w:color w:val="1F497D" w:themeColor="text2"/>
          <w:sz w:val="24"/>
        </w:rPr>
        <w:t>Exceptions to Meeting MOE</w:t>
      </w:r>
    </w:p>
    <w:p w14:paraId="30AACCC4" w14:textId="2EFB2358" w:rsidR="00AC6F4B" w:rsidRPr="00AC6F4B" w:rsidRDefault="005908E6" w:rsidP="00DE7249">
      <w:pPr>
        <w:spacing w:after="0" w:line="240" w:lineRule="auto"/>
        <w:rPr>
          <w:b/>
          <w:color w:val="1F497D" w:themeColor="text2"/>
          <w:sz w:val="24"/>
        </w:rPr>
      </w:pPr>
      <w:r>
        <w:rPr>
          <w:sz w:val="20"/>
          <w:szCs w:val="20"/>
        </w:rPr>
        <w:t xml:space="preserve">In limited circumstances, an LEA can meet the compliance or eligible standard even if the LEA does not maintain the level of expenditures from year to year. IDEA allows an LEA claim and exception and reduce its MOE </w:t>
      </w:r>
      <w:r w:rsidR="006F0051" w:rsidRPr="006F0051">
        <w:rPr>
          <w:sz w:val="20"/>
          <w:szCs w:val="20"/>
        </w:rPr>
        <w:t>for budgeting</w:t>
      </w:r>
      <w:r>
        <w:rPr>
          <w:sz w:val="20"/>
          <w:szCs w:val="20"/>
        </w:rPr>
        <w:t xml:space="preserve"> </w:t>
      </w:r>
      <w:r w:rsidR="00634DB8">
        <w:rPr>
          <w:sz w:val="20"/>
          <w:szCs w:val="20"/>
        </w:rPr>
        <w:t>(eligibility)</w:t>
      </w:r>
      <w:r w:rsidR="006F0051" w:rsidRPr="006F0051">
        <w:rPr>
          <w:sz w:val="20"/>
          <w:szCs w:val="20"/>
        </w:rPr>
        <w:t xml:space="preserve"> or expenditures</w:t>
      </w:r>
      <w:r w:rsidR="00634DB8">
        <w:rPr>
          <w:sz w:val="20"/>
          <w:szCs w:val="20"/>
        </w:rPr>
        <w:t xml:space="preserve"> (compliance)</w:t>
      </w:r>
      <w:r w:rsidR="006F0051" w:rsidRPr="006F0051">
        <w:rPr>
          <w:sz w:val="20"/>
          <w:szCs w:val="20"/>
        </w:rPr>
        <w:t xml:space="preserve"> if </w:t>
      </w:r>
      <w:r w:rsidR="00634DB8">
        <w:rPr>
          <w:sz w:val="20"/>
          <w:szCs w:val="20"/>
        </w:rPr>
        <w:t>the LEA</w:t>
      </w:r>
      <w:r>
        <w:rPr>
          <w:sz w:val="20"/>
          <w:szCs w:val="20"/>
        </w:rPr>
        <w:t xml:space="preserve"> in one of more of the following situations that have resulted in decreased expenditures in a given year: </w:t>
      </w:r>
    </w:p>
    <w:p w14:paraId="237E4010" w14:textId="77777777" w:rsidR="00AC6F4B" w:rsidRDefault="00AC6F4B" w:rsidP="00DE7249">
      <w:pPr>
        <w:spacing w:after="0" w:line="240" w:lineRule="auto"/>
        <w:rPr>
          <w:sz w:val="20"/>
          <w:szCs w:val="20"/>
        </w:rPr>
      </w:pPr>
    </w:p>
    <w:p w14:paraId="3D6C7CE1" w14:textId="77777777" w:rsidR="00AC6F4B" w:rsidRPr="00AC6F4B" w:rsidRDefault="00AC6F4B" w:rsidP="00DE7249">
      <w:pPr>
        <w:pStyle w:val="ListParagraph"/>
        <w:numPr>
          <w:ilvl w:val="0"/>
          <w:numId w:val="35"/>
        </w:numPr>
        <w:spacing w:after="0" w:line="240" w:lineRule="auto"/>
        <w:rPr>
          <w:sz w:val="20"/>
          <w:szCs w:val="20"/>
        </w:rPr>
      </w:pPr>
      <w:r w:rsidRPr="00AC6F4B">
        <w:rPr>
          <w:sz w:val="20"/>
          <w:szCs w:val="20"/>
        </w:rPr>
        <w:t>Departure of special education/related services staff, for just cause</w:t>
      </w:r>
    </w:p>
    <w:p w14:paraId="05FFA021" w14:textId="77777777" w:rsidR="00AC6F4B" w:rsidRPr="00AC6F4B" w:rsidRDefault="00AC6F4B" w:rsidP="00DE7249">
      <w:pPr>
        <w:pStyle w:val="ListParagraph"/>
        <w:numPr>
          <w:ilvl w:val="0"/>
          <w:numId w:val="35"/>
        </w:numPr>
        <w:spacing w:after="0" w:line="240" w:lineRule="auto"/>
        <w:rPr>
          <w:sz w:val="20"/>
          <w:szCs w:val="20"/>
        </w:rPr>
      </w:pPr>
      <w:r w:rsidRPr="00AC6F4B">
        <w:rPr>
          <w:sz w:val="20"/>
          <w:szCs w:val="20"/>
        </w:rPr>
        <w:t>Decrease in enrollment of children with disabilities</w:t>
      </w:r>
    </w:p>
    <w:p w14:paraId="3AAEC40B" w14:textId="77777777" w:rsidR="00AC6F4B" w:rsidRPr="00AC6F4B" w:rsidRDefault="00AC6F4B" w:rsidP="00DE7249">
      <w:pPr>
        <w:pStyle w:val="ListParagraph"/>
        <w:numPr>
          <w:ilvl w:val="0"/>
          <w:numId w:val="35"/>
        </w:numPr>
        <w:spacing w:after="0" w:line="240" w:lineRule="auto"/>
        <w:rPr>
          <w:sz w:val="20"/>
          <w:szCs w:val="20"/>
        </w:rPr>
      </w:pPr>
      <w:r w:rsidRPr="00AC6F4B">
        <w:rPr>
          <w:sz w:val="20"/>
          <w:szCs w:val="20"/>
        </w:rPr>
        <w:t>Termination of costly program for a particular child with a disability</w:t>
      </w:r>
    </w:p>
    <w:p w14:paraId="5DA39A5C" w14:textId="77777777" w:rsidR="00AC6F4B" w:rsidRPr="00AC6F4B" w:rsidRDefault="00AC6F4B" w:rsidP="00DE7249">
      <w:pPr>
        <w:pStyle w:val="ListParagraph"/>
        <w:numPr>
          <w:ilvl w:val="0"/>
          <w:numId w:val="35"/>
        </w:numPr>
        <w:spacing w:after="0" w:line="240" w:lineRule="auto"/>
        <w:rPr>
          <w:sz w:val="20"/>
          <w:szCs w:val="20"/>
        </w:rPr>
      </w:pPr>
      <w:r w:rsidRPr="00AC6F4B">
        <w:rPr>
          <w:sz w:val="20"/>
          <w:szCs w:val="20"/>
        </w:rPr>
        <w:t xml:space="preserve">Termination of costly </w:t>
      </w:r>
      <w:r w:rsidR="00964652" w:rsidRPr="00AC6F4B">
        <w:rPr>
          <w:sz w:val="20"/>
          <w:szCs w:val="20"/>
        </w:rPr>
        <w:t>long-term</w:t>
      </w:r>
      <w:r w:rsidRPr="00AC6F4B">
        <w:rPr>
          <w:sz w:val="20"/>
          <w:szCs w:val="20"/>
        </w:rPr>
        <w:t xml:space="preserve"> expenditure</w:t>
      </w:r>
    </w:p>
    <w:p w14:paraId="1C471B13" w14:textId="77777777" w:rsidR="00AC6F4B" w:rsidRPr="00AC6F4B" w:rsidRDefault="00AC6F4B" w:rsidP="00DE7249">
      <w:pPr>
        <w:pStyle w:val="ListParagraph"/>
        <w:spacing w:after="0" w:line="240" w:lineRule="auto"/>
        <w:rPr>
          <w:sz w:val="20"/>
          <w:szCs w:val="20"/>
        </w:rPr>
      </w:pPr>
    </w:p>
    <w:p w14:paraId="187730F4" w14:textId="766F903F" w:rsidR="00AC6F4B" w:rsidRPr="006F0051" w:rsidRDefault="006F0051" w:rsidP="00DE7249">
      <w:pPr>
        <w:spacing w:after="0" w:line="240" w:lineRule="auto"/>
        <w:rPr>
          <w:sz w:val="20"/>
          <w:szCs w:val="20"/>
        </w:rPr>
      </w:pPr>
      <w:r w:rsidRPr="006F0051">
        <w:rPr>
          <w:sz w:val="20"/>
          <w:szCs w:val="20"/>
        </w:rPr>
        <w:t>An LEA may reduce its budget for the education of children with disabilities if it anticipates an allowable exception in the coming school year</w:t>
      </w:r>
      <w:r w:rsidR="005908E6">
        <w:rPr>
          <w:sz w:val="20"/>
          <w:szCs w:val="20"/>
        </w:rPr>
        <w:t xml:space="preserve">, e.g., </w:t>
      </w:r>
      <w:r w:rsidRPr="006F0051">
        <w:rPr>
          <w:sz w:val="20"/>
          <w:szCs w:val="20"/>
        </w:rPr>
        <w:t xml:space="preserve"> the expected retirement of a staff member</w:t>
      </w:r>
      <w:r w:rsidR="008E19B4">
        <w:rPr>
          <w:sz w:val="20"/>
          <w:szCs w:val="20"/>
        </w:rPr>
        <w:t xml:space="preserve"> who will not be replaced or who will be replaced by staff </w:t>
      </w:r>
      <w:r w:rsidR="005908E6">
        <w:rPr>
          <w:sz w:val="20"/>
          <w:szCs w:val="20"/>
        </w:rPr>
        <w:t>at a lower salary</w:t>
      </w:r>
      <w:r w:rsidRPr="006F0051">
        <w:rPr>
          <w:sz w:val="20"/>
          <w:szCs w:val="20"/>
        </w:rPr>
        <w:t xml:space="preserve">. </w:t>
      </w:r>
      <w:r w:rsidR="006F1DF1">
        <w:rPr>
          <w:sz w:val="20"/>
          <w:szCs w:val="20"/>
        </w:rPr>
        <w:t xml:space="preserve">The LEA should maintain records to support all </w:t>
      </w:r>
      <w:r w:rsidR="005908E6">
        <w:rPr>
          <w:sz w:val="20"/>
          <w:szCs w:val="20"/>
        </w:rPr>
        <w:t xml:space="preserve">allowable </w:t>
      </w:r>
      <w:r w:rsidR="006F1DF1">
        <w:rPr>
          <w:sz w:val="20"/>
          <w:szCs w:val="20"/>
        </w:rPr>
        <w:t>exceptions.</w:t>
      </w:r>
    </w:p>
    <w:p w14:paraId="2F9DBE02" w14:textId="6DD3AC2A" w:rsidR="006F0051" w:rsidRDefault="006F0051" w:rsidP="00DE7249">
      <w:pPr>
        <w:spacing w:after="0" w:line="240" w:lineRule="auto"/>
        <w:rPr>
          <w:b/>
          <w:color w:val="1F497D" w:themeColor="text2"/>
          <w:sz w:val="24"/>
        </w:rPr>
      </w:pPr>
      <w:r>
        <w:rPr>
          <w:b/>
          <w:color w:val="1F497D" w:themeColor="text2"/>
          <w:sz w:val="24"/>
        </w:rPr>
        <w:lastRenderedPageBreak/>
        <w:t>Adjustments to MOE</w:t>
      </w:r>
    </w:p>
    <w:p w14:paraId="1FCE68BD" w14:textId="264EC816" w:rsidR="001E1BF2" w:rsidRDefault="005908E6" w:rsidP="00DE7249">
      <w:pPr>
        <w:spacing w:after="0" w:line="240" w:lineRule="auto"/>
        <w:rPr>
          <w:sz w:val="20"/>
          <w:szCs w:val="20"/>
        </w:rPr>
      </w:pPr>
      <w:r>
        <w:rPr>
          <w:sz w:val="20"/>
          <w:szCs w:val="20"/>
        </w:rPr>
        <w:t>IDEA also allows an LEA to reduce its MOE obligation if it has received an incre</w:t>
      </w:r>
      <w:r w:rsidR="001E1BF2">
        <w:rPr>
          <w:sz w:val="20"/>
          <w:szCs w:val="20"/>
        </w:rPr>
        <w:t xml:space="preserve">ase in IDEA Part B 611 funds (DESE Fund Code </w:t>
      </w:r>
      <w:r w:rsidR="00A83CD6">
        <w:rPr>
          <w:sz w:val="20"/>
          <w:szCs w:val="20"/>
        </w:rPr>
        <w:t>0</w:t>
      </w:r>
      <w:r w:rsidR="001E1BF2">
        <w:rPr>
          <w:sz w:val="20"/>
          <w:szCs w:val="20"/>
        </w:rPr>
        <w:t xml:space="preserve">240) from one year to the next. If the LEA receives increase in its Fund Code 240 allocation, the LEA may reduce </w:t>
      </w:r>
      <w:r w:rsidR="006F0051" w:rsidRPr="006F0051">
        <w:rPr>
          <w:sz w:val="20"/>
          <w:szCs w:val="20"/>
        </w:rPr>
        <w:t>its MOE obligation by up to 50</w:t>
      </w:r>
      <w:r w:rsidR="00964652">
        <w:rPr>
          <w:sz w:val="20"/>
          <w:szCs w:val="20"/>
        </w:rPr>
        <w:t xml:space="preserve">% </w:t>
      </w:r>
      <w:r w:rsidR="006F0051" w:rsidRPr="006F0051">
        <w:rPr>
          <w:sz w:val="20"/>
          <w:szCs w:val="20"/>
        </w:rPr>
        <w:t xml:space="preserve">of </w:t>
      </w:r>
      <w:r w:rsidR="001E1BF2">
        <w:rPr>
          <w:sz w:val="20"/>
          <w:szCs w:val="20"/>
        </w:rPr>
        <w:t>that year over year increase. S</w:t>
      </w:r>
      <w:r w:rsidR="006F0051" w:rsidRPr="006F0051">
        <w:rPr>
          <w:sz w:val="20"/>
          <w:szCs w:val="20"/>
        </w:rPr>
        <w:t>e</w:t>
      </w:r>
      <w:r w:rsidR="008D4C74">
        <w:rPr>
          <w:sz w:val="20"/>
          <w:szCs w:val="20"/>
        </w:rPr>
        <w:t xml:space="preserve">e </w:t>
      </w:r>
      <w:hyperlink r:id="rId15" w:history="1">
        <w:r w:rsidR="008D4C74">
          <w:rPr>
            <w:rStyle w:val="Hyperlink"/>
            <w:rFonts w:cstheme="minorBidi"/>
            <w:sz w:val="20"/>
            <w:szCs w:val="20"/>
          </w:rPr>
          <w:t>34 CFR §300.205(a)</w:t>
        </w:r>
      </w:hyperlink>
      <w:r w:rsidR="006F0051" w:rsidRPr="006F0051">
        <w:rPr>
          <w:sz w:val="20"/>
          <w:szCs w:val="20"/>
        </w:rPr>
        <w:t xml:space="preserve">. </w:t>
      </w:r>
      <w:r w:rsidR="001E1BF2">
        <w:rPr>
          <w:sz w:val="20"/>
          <w:szCs w:val="20"/>
        </w:rPr>
        <w:t xml:space="preserve">For example, if the LEA’s Fund Code </w:t>
      </w:r>
      <w:r w:rsidR="00A83CD6">
        <w:rPr>
          <w:sz w:val="20"/>
          <w:szCs w:val="20"/>
        </w:rPr>
        <w:t>0</w:t>
      </w:r>
      <w:r w:rsidR="001E1BF2">
        <w:rPr>
          <w:sz w:val="20"/>
          <w:szCs w:val="20"/>
        </w:rPr>
        <w:t>240 allocation in one year is $100 more than is was in the prior year, the LEAs can reduce its MOE obligation (State and local funds) by $50.</w:t>
      </w:r>
    </w:p>
    <w:p w14:paraId="6F660A40" w14:textId="77777777" w:rsidR="001E1BF2" w:rsidRDefault="001E1BF2" w:rsidP="00DE7249">
      <w:pPr>
        <w:spacing w:after="0" w:line="240" w:lineRule="auto"/>
        <w:rPr>
          <w:sz w:val="20"/>
          <w:szCs w:val="20"/>
        </w:rPr>
      </w:pPr>
    </w:p>
    <w:p w14:paraId="21C03C6E" w14:textId="33FB0557" w:rsidR="00964652" w:rsidRDefault="006F0051" w:rsidP="00DE7249">
      <w:pPr>
        <w:spacing w:after="0" w:line="240" w:lineRule="auto"/>
        <w:rPr>
          <w:sz w:val="20"/>
          <w:szCs w:val="20"/>
        </w:rPr>
      </w:pPr>
      <w:r w:rsidRPr="006F0051">
        <w:rPr>
          <w:sz w:val="20"/>
          <w:szCs w:val="20"/>
        </w:rPr>
        <w:t xml:space="preserve">To adjust </w:t>
      </w:r>
      <w:r w:rsidR="00964652">
        <w:rPr>
          <w:sz w:val="20"/>
          <w:szCs w:val="20"/>
        </w:rPr>
        <w:t>the</w:t>
      </w:r>
      <w:r w:rsidRPr="006F0051">
        <w:rPr>
          <w:sz w:val="20"/>
          <w:szCs w:val="20"/>
        </w:rPr>
        <w:t xml:space="preserve"> MOE obligation an LEA must</w:t>
      </w:r>
      <w:r w:rsidR="00AE660A">
        <w:rPr>
          <w:sz w:val="20"/>
          <w:szCs w:val="20"/>
        </w:rPr>
        <w:t xml:space="preserve"> meet the following conditions</w:t>
      </w:r>
      <w:r w:rsidR="00964652">
        <w:rPr>
          <w:sz w:val="20"/>
          <w:szCs w:val="20"/>
        </w:rPr>
        <w:t>:</w:t>
      </w:r>
    </w:p>
    <w:p w14:paraId="66DB1390" w14:textId="77777777" w:rsidR="00DE7249" w:rsidRDefault="00DE7249" w:rsidP="00DE7249">
      <w:pPr>
        <w:spacing w:after="0" w:line="240" w:lineRule="auto"/>
        <w:rPr>
          <w:sz w:val="20"/>
          <w:szCs w:val="20"/>
        </w:rPr>
      </w:pPr>
    </w:p>
    <w:p w14:paraId="7D8A5FB7" w14:textId="77777777" w:rsidR="00964652" w:rsidRPr="00964652" w:rsidRDefault="00964652" w:rsidP="00DE7249">
      <w:pPr>
        <w:pStyle w:val="ListParagraph"/>
        <w:numPr>
          <w:ilvl w:val="0"/>
          <w:numId w:val="38"/>
        </w:numPr>
        <w:spacing w:after="0" w:line="240" w:lineRule="auto"/>
        <w:rPr>
          <w:sz w:val="20"/>
          <w:szCs w:val="20"/>
        </w:rPr>
      </w:pPr>
      <w:r w:rsidRPr="00964652">
        <w:rPr>
          <w:sz w:val="20"/>
          <w:szCs w:val="20"/>
        </w:rPr>
        <w:t>E</w:t>
      </w:r>
      <w:r w:rsidR="006F0051" w:rsidRPr="00964652">
        <w:rPr>
          <w:sz w:val="20"/>
          <w:szCs w:val="20"/>
        </w:rPr>
        <w:t xml:space="preserve">nsure that </w:t>
      </w:r>
      <w:r w:rsidRPr="00964652">
        <w:rPr>
          <w:sz w:val="20"/>
          <w:szCs w:val="20"/>
        </w:rPr>
        <w:t>they</w:t>
      </w:r>
      <w:r w:rsidR="006F0051" w:rsidRPr="00964652">
        <w:rPr>
          <w:sz w:val="20"/>
          <w:szCs w:val="20"/>
        </w:rPr>
        <w:t xml:space="preserve"> provide</w:t>
      </w:r>
      <w:r w:rsidRPr="00964652">
        <w:rPr>
          <w:sz w:val="20"/>
          <w:szCs w:val="20"/>
        </w:rPr>
        <w:t>d</w:t>
      </w:r>
      <w:r w:rsidR="006F0051" w:rsidRPr="00964652">
        <w:rPr>
          <w:sz w:val="20"/>
          <w:szCs w:val="20"/>
        </w:rPr>
        <w:t xml:space="preserve"> FAPE for children with disabilities;</w:t>
      </w:r>
    </w:p>
    <w:p w14:paraId="4086D89B" w14:textId="530A5459" w:rsidR="00964652" w:rsidRPr="00964652" w:rsidRDefault="00964652" w:rsidP="00DE7249">
      <w:pPr>
        <w:pStyle w:val="ListParagraph"/>
        <w:numPr>
          <w:ilvl w:val="0"/>
          <w:numId w:val="38"/>
        </w:numPr>
        <w:spacing w:after="0" w:line="240" w:lineRule="auto"/>
        <w:rPr>
          <w:sz w:val="20"/>
          <w:szCs w:val="20"/>
        </w:rPr>
      </w:pPr>
      <w:r w:rsidRPr="00964652">
        <w:rPr>
          <w:sz w:val="20"/>
          <w:szCs w:val="20"/>
        </w:rPr>
        <w:t>Have a Special Education Determination Level of</w:t>
      </w:r>
      <w:r w:rsidR="006F0051" w:rsidRPr="00964652">
        <w:rPr>
          <w:sz w:val="20"/>
          <w:szCs w:val="20"/>
        </w:rPr>
        <w:t xml:space="preserve"> “</w:t>
      </w:r>
      <w:r w:rsidR="00AE660A">
        <w:rPr>
          <w:sz w:val="20"/>
          <w:szCs w:val="20"/>
        </w:rPr>
        <w:t>M</w:t>
      </w:r>
      <w:r w:rsidR="006F0051" w:rsidRPr="00964652">
        <w:rPr>
          <w:sz w:val="20"/>
          <w:szCs w:val="20"/>
        </w:rPr>
        <w:t xml:space="preserve">eets </w:t>
      </w:r>
      <w:r w:rsidR="00AE660A">
        <w:rPr>
          <w:sz w:val="20"/>
          <w:szCs w:val="20"/>
        </w:rPr>
        <w:t>R</w:t>
      </w:r>
      <w:r w:rsidR="006F0051" w:rsidRPr="00964652">
        <w:rPr>
          <w:sz w:val="20"/>
          <w:szCs w:val="20"/>
        </w:rPr>
        <w:t xml:space="preserve">equirements”; </w:t>
      </w:r>
    </w:p>
    <w:p w14:paraId="10308628" w14:textId="420402AB" w:rsidR="00964652" w:rsidRPr="00964652" w:rsidRDefault="00964652" w:rsidP="00DE7249">
      <w:pPr>
        <w:pStyle w:val="ListParagraph"/>
        <w:numPr>
          <w:ilvl w:val="0"/>
          <w:numId w:val="38"/>
        </w:numPr>
        <w:spacing w:after="0" w:line="240" w:lineRule="auto"/>
        <w:rPr>
          <w:sz w:val="20"/>
          <w:szCs w:val="20"/>
        </w:rPr>
      </w:pPr>
      <w:r w:rsidRPr="00964652">
        <w:rPr>
          <w:sz w:val="20"/>
          <w:szCs w:val="20"/>
        </w:rPr>
        <w:t>N</w:t>
      </w:r>
      <w:r w:rsidR="006F0051" w:rsidRPr="00964652">
        <w:rPr>
          <w:sz w:val="20"/>
          <w:szCs w:val="20"/>
        </w:rPr>
        <w:t xml:space="preserve">ot have action </w:t>
      </w:r>
      <w:r w:rsidRPr="00964652">
        <w:rPr>
          <w:sz w:val="20"/>
          <w:szCs w:val="20"/>
        </w:rPr>
        <w:t xml:space="preserve">taken </w:t>
      </w:r>
      <w:r w:rsidR="006F0051" w:rsidRPr="00964652">
        <w:rPr>
          <w:sz w:val="20"/>
          <w:szCs w:val="20"/>
        </w:rPr>
        <w:t xml:space="preserve">against </w:t>
      </w:r>
      <w:r w:rsidRPr="00964652">
        <w:rPr>
          <w:sz w:val="20"/>
          <w:szCs w:val="20"/>
        </w:rPr>
        <w:t xml:space="preserve">them by </w:t>
      </w:r>
      <w:r w:rsidR="00AE660A">
        <w:rPr>
          <w:sz w:val="20"/>
          <w:szCs w:val="20"/>
        </w:rPr>
        <w:t>DESE</w:t>
      </w:r>
      <w:r w:rsidR="006F0051" w:rsidRPr="00964652">
        <w:rPr>
          <w:sz w:val="20"/>
          <w:szCs w:val="20"/>
        </w:rPr>
        <w:t xml:space="preserve"> under </w:t>
      </w:r>
      <w:r w:rsidR="008D4C74">
        <w:rPr>
          <w:sz w:val="20"/>
          <w:szCs w:val="20"/>
        </w:rPr>
        <w:t xml:space="preserve">the </w:t>
      </w:r>
      <w:r w:rsidR="006F0051" w:rsidRPr="00964652">
        <w:rPr>
          <w:sz w:val="20"/>
          <w:szCs w:val="20"/>
        </w:rPr>
        <w:t xml:space="preserve">IDEA </w:t>
      </w:r>
      <w:r w:rsidR="006F1DF1">
        <w:rPr>
          <w:sz w:val="20"/>
          <w:szCs w:val="20"/>
        </w:rPr>
        <w:t>Public Reporting Requirement</w:t>
      </w:r>
      <w:r w:rsidR="006F0051" w:rsidRPr="00964652">
        <w:rPr>
          <w:sz w:val="20"/>
          <w:szCs w:val="20"/>
        </w:rPr>
        <w:t xml:space="preserve">; and </w:t>
      </w:r>
    </w:p>
    <w:p w14:paraId="4F9B1D1B" w14:textId="2E19667F" w:rsidR="001E1BF2" w:rsidRDefault="00964652" w:rsidP="001E1BF2">
      <w:pPr>
        <w:pStyle w:val="ListParagraph"/>
        <w:numPr>
          <w:ilvl w:val="0"/>
          <w:numId w:val="38"/>
        </w:numPr>
        <w:spacing w:after="0" w:line="240" w:lineRule="auto"/>
        <w:rPr>
          <w:sz w:val="20"/>
          <w:szCs w:val="20"/>
        </w:rPr>
      </w:pPr>
      <w:r w:rsidRPr="00964652">
        <w:rPr>
          <w:sz w:val="20"/>
          <w:szCs w:val="20"/>
        </w:rPr>
        <w:t>N</w:t>
      </w:r>
      <w:r w:rsidR="006F0051" w:rsidRPr="00964652">
        <w:rPr>
          <w:sz w:val="20"/>
          <w:szCs w:val="20"/>
        </w:rPr>
        <w:t>ot have been identified as having significant disproportionality</w:t>
      </w:r>
      <w:r w:rsidR="00AE660A">
        <w:rPr>
          <w:sz w:val="20"/>
          <w:szCs w:val="20"/>
        </w:rPr>
        <w:t xml:space="preserve"> in special education</w:t>
      </w:r>
      <w:r w:rsidR="006F0051" w:rsidRPr="00964652">
        <w:rPr>
          <w:sz w:val="20"/>
          <w:szCs w:val="20"/>
        </w:rPr>
        <w:t xml:space="preserve"> </w:t>
      </w:r>
    </w:p>
    <w:p w14:paraId="43D663C0" w14:textId="77777777" w:rsidR="001E1BF2" w:rsidRDefault="001E1BF2" w:rsidP="001E1BF2">
      <w:pPr>
        <w:spacing w:after="0" w:line="240" w:lineRule="auto"/>
        <w:ind w:right="360"/>
        <w:rPr>
          <w:sz w:val="20"/>
          <w:szCs w:val="20"/>
        </w:rPr>
      </w:pPr>
    </w:p>
    <w:p w14:paraId="60B01BBC" w14:textId="6E844275" w:rsidR="001E1BF2" w:rsidRPr="001E1BF2" w:rsidRDefault="001E1BF2" w:rsidP="00041E05">
      <w:pPr>
        <w:spacing w:after="0" w:line="240" w:lineRule="auto"/>
        <w:ind w:left="360" w:right="360"/>
        <w:rPr>
          <w:sz w:val="20"/>
          <w:szCs w:val="20"/>
        </w:rPr>
      </w:pPr>
      <w:r w:rsidRPr="001E1BF2">
        <w:rPr>
          <w:i/>
          <w:iCs/>
          <w:sz w:val="20"/>
          <w:szCs w:val="20"/>
        </w:rPr>
        <w:t xml:space="preserve">Please note that this </w:t>
      </w:r>
      <w:bookmarkStart w:id="1" w:name="_Hlk41557887"/>
      <w:r w:rsidRPr="001E1BF2">
        <w:rPr>
          <w:i/>
          <w:iCs/>
          <w:sz w:val="20"/>
          <w:szCs w:val="20"/>
        </w:rPr>
        <w:t xml:space="preserve">adjustment does not apply to IDEA Part B 619 funds (DESE Fund Code </w:t>
      </w:r>
      <w:r w:rsidR="00A83CD6">
        <w:rPr>
          <w:i/>
          <w:iCs/>
          <w:sz w:val="20"/>
          <w:szCs w:val="20"/>
        </w:rPr>
        <w:t>0</w:t>
      </w:r>
      <w:r w:rsidRPr="001E1BF2">
        <w:rPr>
          <w:i/>
          <w:iCs/>
          <w:sz w:val="20"/>
          <w:szCs w:val="20"/>
        </w:rPr>
        <w:t>262</w:t>
      </w:r>
      <w:r w:rsidR="00041E05">
        <w:rPr>
          <w:i/>
          <w:iCs/>
          <w:sz w:val="20"/>
          <w:szCs w:val="20"/>
        </w:rPr>
        <w:t>)</w:t>
      </w:r>
      <w:r w:rsidRPr="001E1BF2">
        <w:rPr>
          <w:i/>
          <w:iCs/>
          <w:sz w:val="20"/>
          <w:szCs w:val="20"/>
        </w:rPr>
        <w:t>.</w:t>
      </w:r>
      <w:bookmarkEnd w:id="1"/>
    </w:p>
    <w:p w14:paraId="3BC38D75" w14:textId="77777777" w:rsidR="00DE7249" w:rsidRDefault="00DE7249" w:rsidP="00DE7249">
      <w:pPr>
        <w:spacing w:after="0" w:line="240" w:lineRule="auto"/>
        <w:rPr>
          <w:sz w:val="20"/>
          <w:szCs w:val="20"/>
        </w:rPr>
      </w:pPr>
    </w:p>
    <w:p w14:paraId="5816981F" w14:textId="7CDB2ED5" w:rsidR="006F0051" w:rsidRDefault="006F0051" w:rsidP="00DE7249">
      <w:pPr>
        <w:spacing w:after="0" w:line="240" w:lineRule="auto"/>
        <w:rPr>
          <w:sz w:val="20"/>
          <w:szCs w:val="20"/>
        </w:rPr>
      </w:pPr>
      <w:r w:rsidRPr="006F0051">
        <w:rPr>
          <w:sz w:val="20"/>
          <w:szCs w:val="20"/>
        </w:rPr>
        <w:t xml:space="preserve">LEAs </w:t>
      </w:r>
      <w:r w:rsidR="00AE660A">
        <w:rPr>
          <w:sz w:val="20"/>
          <w:szCs w:val="20"/>
        </w:rPr>
        <w:t xml:space="preserve">may </w:t>
      </w:r>
      <w:r w:rsidRPr="006F0051">
        <w:rPr>
          <w:sz w:val="20"/>
          <w:szCs w:val="20"/>
        </w:rPr>
        <w:t xml:space="preserve">also </w:t>
      </w:r>
      <w:r w:rsidRPr="00041E05">
        <w:rPr>
          <w:i/>
          <w:iCs/>
          <w:sz w:val="20"/>
          <w:szCs w:val="20"/>
        </w:rPr>
        <w:t>voluntarily</w:t>
      </w:r>
      <w:r w:rsidRPr="006F0051">
        <w:rPr>
          <w:sz w:val="20"/>
          <w:szCs w:val="20"/>
        </w:rPr>
        <w:t xml:space="preserve"> use up to 15</w:t>
      </w:r>
      <w:r w:rsidR="00311DA8">
        <w:rPr>
          <w:sz w:val="20"/>
          <w:szCs w:val="20"/>
        </w:rPr>
        <w:t xml:space="preserve">% </w:t>
      </w:r>
      <w:r w:rsidRPr="006F0051">
        <w:rPr>
          <w:sz w:val="20"/>
          <w:szCs w:val="20"/>
        </w:rPr>
        <w:t xml:space="preserve">of IDEA Part B </w:t>
      </w:r>
      <w:r w:rsidR="00964652">
        <w:rPr>
          <w:sz w:val="20"/>
          <w:szCs w:val="20"/>
        </w:rPr>
        <w:t xml:space="preserve">DESE Fund Codes </w:t>
      </w:r>
      <w:r w:rsidR="00A83CD6">
        <w:rPr>
          <w:sz w:val="20"/>
          <w:szCs w:val="20"/>
        </w:rPr>
        <w:t>0</w:t>
      </w:r>
      <w:r w:rsidR="00964652">
        <w:rPr>
          <w:sz w:val="20"/>
          <w:szCs w:val="20"/>
        </w:rPr>
        <w:t xml:space="preserve">240 and </w:t>
      </w:r>
      <w:r w:rsidR="00A83CD6">
        <w:rPr>
          <w:sz w:val="20"/>
          <w:szCs w:val="20"/>
        </w:rPr>
        <w:t>0</w:t>
      </w:r>
      <w:r w:rsidR="00964652">
        <w:rPr>
          <w:sz w:val="20"/>
          <w:szCs w:val="20"/>
        </w:rPr>
        <w:t>262</w:t>
      </w:r>
      <w:r w:rsidR="00A73B76">
        <w:rPr>
          <w:sz w:val="20"/>
          <w:szCs w:val="20"/>
        </w:rPr>
        <w:t xml:space="preserve"> </w:t>
      </w:r>
      <w:r w:rsidRPr="006F0051">
        <w:rPr>
          <w:sz w:val="20"/>
          <w:szCs w:val="20"/>
        </w:rPr>
        <w:t xml:space="preserve">to provide coordinated early intervening services (CEIS). If an LEA chooses to take advantage of both provisions </w:t>
      </w:r>
      <w:r w:rsidR="00294FF0">
        <w:rPr>
          <w:sz w:val="20"/>
          <w:szCs w:val="20"/>
        </w:rPr>
        <w:t>of</w:t>
      </w:r>
      <w:r w:rsidRPr="006F0051">
        <w:rPr>
          <w:sz w:val="20"/>
          <w:szCs w:val="20"/>
        </w:rPr>
        <w:t xml:space="preserve"> using funds for CEIS and reducing its MOE obligation by up to 50</w:t>
      </w:r>
      <w:r w:rsidR="00311DA8">
        <w:rPr>
          <w:sz w:val="20"/>
          <w:szCs w:val="20"/>
        </w:rPr>
        <w:t xml:space="preserve">% </w:t>
      </w:r>
      <w:r w:rsidRPr="006F0051">
        <w:rPr>
          <w:sz w:val="20"/>
          <w:szCs w:val="20"/>
        </w:rPr>
        <w:t xml:space="preserve">of its IDEA </w:t>
      </w:r>
      <w:r w:rsidR="006F1DF1">
        <w:rPr>
          <w:sz w:val="20"/>
          <w:szCs w:val="20"/>
        </w:rPr>
        <w:t xml:space="preserve">Part B DESE Fund Code 240 </w:t>
      </w:r>
      <w:r w:rsidRPr="006F0051">
        <w:rPr>
          <w:sz w:val="20"/>
          <w:szCs w:val="20"/>
        </w:rPr>
        <w:t xml:space="preserve"> funding increase</w:t>
      </w:r>
      <w:r w:rsidR="00294FF0">
        <w:rPr>
          <w:sz w:val="20"/>
          <w:szCs w:val="20"/>
        </w:rPr>
        <w:t>,</w:t>
      </w:r>
      <w:r w:rsidRPr="006F0051">
        <w:rPr>
          <w:sz w:val="20"/>
          <w:szCs w:val="20"/>
        </w:rPr>
        <w:t xml:space="preserve"> the combined total of Part B funds used under both provisions cannot exceed the lesser of the maximum dollar amounts available for either CEIS (15</w:t>
      </w:r>
      <w:r w:rsidR="006F1DF1">
        <w:rPr>
          <w:sz w:val="20"/>
          <w:szCs w:val="20"/>
        </w:rPr>
        <w:t xml:space="preserve">% of </w:t>
      </w:r>
      <w:r w:rsidR="006F1DF1" w:rsidRPr="006F0051">
        <w:rPr>
          <w:sz w:val="20"/>
          <w:szCs w:val="20"/>
        </w:rPr>
        <w:t xml:space="preserve">IDEA Part B </w:t>
      </w:r>
      <w:r w:rsidR="006F1DF1">
        <w:rPr>
          <w:sz w:val="20"/>
          <w:szCs w:val="20"/>
        </w:rPr>
        <w:t xml:space="preserve">DESE Fund Codes </w:t>
      </w:r>
      <w:r w:rsidR="00A83CD6">
        <w:rPr>
          <w:sz w:val="20"/>
          <w:szCs w:val="20"/>
        </w:rPr>
        <w:t>0</w:t>
      </w:r>
      <w:r w:rsidR="006F1DF1">
        <w:rPr>
          <w:sz w:val="20"/>
          <w:szCs w:val="20"/>
        </w:rPr>
        <w:t xml:space="preserve">240 and </w:t>
      </w:r>
      <w:r w:rsidR="00A83CD6">
        <w:rPr>
          <w:sz w:val="20"/>
          <w:szCs w:val="20"/>
        </w:rPr>
        <w:t>0</w:t>
      </w:r>
      <w:r w:rsidR="006F1DF1">
        <w:rPr>
          <w:sz w:val="20"/>
          <w:szCs w:val="20"/>
        </w:rPr>
        <w:t>262</w:t>
      </w:r>
      <w:r w:rsidRPr="006F0051">
        <w:rPr>
          <w:sz w:val="20"/>
          <w:szCs w:val="20"/>
        </w:rPr>
        <w:t>) or MOE reduction (50</w:t>
      </w:r>
      <w:r w:rsidR="006F1DF1">
        <w:rPr>
          <w:sz w:val="20"/>
          <w:szCs w:val="20"/>
        </w:rPr>
        <w:t xml:space="preserve">% </w:t>
      </w:r>
      <w:r w:rsidRPr="006F0051">
        <w:rPr>
          <w:sz w:val="20"/>
          <w:szCs w:val="20"/>
        </w:rPr>
        <w:t>of the increase in</w:t>
      </w:r>
      <w:r w:rsidR="006F1DF1">
        <w:rPr>
          <w:sz w:val="20"/>
          <w:szCs w:val="20"/>
        </w:rPr>
        <w:t xml:space="preserve"> IDEA Part B</w:t>
      </w:r>
      <w:r w:rsidRPr="006F0051">
        <w:rPr>
          <w:sz w:val="20"/>
          <w:szCs w:val="20"/>
        </w:rPr>
        <w:t xml:space="preserve"> </w:t>
      </w:r>
      <w:r w:rsidR="006F1DF1">
        <w:rPr>
          <w:sz w:val="20"/>
          <w:szCs w:val="20"/>
        </w:rPr>
        <w:t xml:space="preserve">DESE Fund Codes </w:t>
      </w:r>
      <w:r w:rsidR="00A83CD6">
        <w:rPr>
          <w:sz w:val="20"/>
          <w:szCs w:val="20"/>
        </w:rPr>
        <w:t>0</w:t>
      </w:r>
      <w:r w:rsidR="006F1DF1">
        <w:rPr>
          <w:sz w:val="20"/>
          <w:szCs w:val="20"/>
        </w:rPr>
        <w:t>240</w:t>
      </w:r>
      <w:r w:rsidRPr="006F0051">
        <w:rPr>
          <w:sz w:val="20"/>
          <w:szCs w:val="20"/>
        </w:rPr>
        <w:t xml:space="preserve">). </w:t>
      </w:r>
    </w:p>
    <w:p w14:paraId="75D6B633" w14:textId="77777777" w:rsidR="00DE7249" w:rsidRDefault="00DE7249" w:rsidP="00DE7249">
      <w:pPr>
        <w:spacing w:after="0" w:line="240" w:lineRule="auto"/>
        <w:contextualSpacing/>
        <w:rPr>
          <w:sz w:val="20"/>
          <w:szCs w:val="20"/>
        </w:rPr>
      </w:pPr>
    </w:p>
    <w:p w14:paraId="4918B3AB" w14:textId="77777777" w:rsidR="00294FF0" w:rsidRPr="00294FF0" w:rsidRDefault="00294FF0" w:rsidP="00DE7249">
      <w:pPr>
        <w:spacing w:after="0" w:line="240" w:lineRule="auto"/>
        <w:contextualSpacing/>
        <w:rPr>
          <w:sz w:val="20"/>
          <w:szCs w:val="20"/>
        </w:rPr>
      </w:pPr>
      <w:r w:rsidRPr="00294FF0">
        <w:rPr>
          <w:sz w:val="20"/>
          <w:szCs w:val="20"/>
        </w:rPr>
        <w:t>For example:</w:t>
      </w:r>
    </w:p>
    <w:tbl>
      <w:tblPr>
        <w:tblW w:w="5000" w:type="pct"/>
        <w:tblBorders>
          <w:top w:val="outset" w:sz="6" w:space="0" w:color="auto"/>
          <w:left w:val="outset" w:sz="6" w:space="0" w:color="auto"/>
          <w:bottom w:val="outset" w:sz="6" w:space="0" w:color="auto"/>
          <w:right w:val="outset" w:sz="6" w:space="0" w:color="auto"/>
        </w:tblBorders>
        <w:tblCellMar>
          <w:left w:w="15" w:type="dxa"/>
          <w:bottom w:w="15" w:type="dxa"/>
          <w:right w:w="15" w:type="dxa"/>
        </w:tblCellMar>
        <w:tblLook w:val="04A0" w:firstRow="1" w:lastRow="0" w:firstColumn="1" w:lastColumn="0" w:noHBand="0" w:noVBand="1"/>
      </w:tblPr>
      <w:tblGrid>
        <w:gridCol w:w="9546"/>
        <w:gridCol w:w="1238"/>
      </w:tblGrid>
      <w:tr w:rsidR="00294FF0" w:rsidRPr="00294FF0" w14:paraId="258DFC48" w14:textId="77777777" w:rsidTr="000B47E4">
        <w:tc>
          <w:tcPr>
            <w:tcW w:w="4426" w:type="pct"/>
            <w:tcBorders>
              <w:top w:val="single" w:sz="6" w:space="0" w:color="000000"/>
              <w:left w:val="single" w:sz="6" w:space="0" w:color="000000"/>
              <w:bottom w:val="single" w:sz="6" w:space="0" w:color="000000"/>
              <w:right w:val="single" w:sz="6" w:space="0" w:color="000000"/>
            </w:tcBorders>
            <w:shd w:val="clear" w:color="auto" w:fill="auto"/>
            <w:hideMark/>
          </w:tcPr>
          <w:p w14:paraId="53B18BC0" w14:textId="2C403BD2" w:rsidR="00294FF0" w:rsidRPr="00294FF0" w:rsidRDefault="00294FF0" w:rsidP="00DE7249">
            <w:pPr>
              <w:widowControl w:val="0"/>
              <w:spacing w:after="0" w:line="240" w:lineRule="auto"/>
              <w:rPr>
                <w:rFonts w:eastAsia="Times New Roman" w:cstheme="minorHAnsi"/>
                <w:snapToGrid w:val="0"/>
                <w:color w:val="000000"/>
                <w:sz w:val="20"/>
              </w:rPr>
            </w:pPr>
            <w:r w:rsidRPr="00294FF0">
              <w:rPr>
                <w:rFonts w:eastAsia="Times New Roman" w:cstheme="minorHAnsi"/>
                <w:snapToGrid w:val="0"/>
                <w:color w:val="000000"/>
                <w:sz w:val="20"/>
              </w:rPr>
              <w:t xml:space="preserve">Prior Year's </w:t>
            </w:r>
            <w:r w:rsidR="00082619">
              <w:rPr>
                <w:rFonts w:eastAsia="Times New Roman" w:cstheme="minorHAnsi"/>
                <w:snapToGrid w:val="0"/>
                <w:color w:val="000000"/>
                <w:sz w:val="20"/>
              </w:rPr>
              <w:t xml:space="preserve">Fund Code </w:t>
            </w:r>
            <w:r w:rsidR="00A83CD6">
              <w:rPr>
                <w:rFonts w:eastAsia="Times New Roman" w:cstheme="minorHAnsi"/>
                <w:snapToGrid w:val="0"/>
                <w:color w:val="000000"/>
                <w:sz w:val="20"/>
              </w:rPr>
              <w:t>0</w:t>
            </w:r>
            <w:r w:rsidR="00082619">
              <w:rPr>
                <w:rFonts w:eastAsia="Times New Roman" w:cstheme="minorHAnsi"/>
                <w:snapToGrid w:val="0"/>
                <w:color w:val="000000"/>
                <w:sz w:val="20"/>
              </w:rPr>
              <w:t xml:space="preserve">240 </w:t>
            </w:r>
            <w:r w:rsidRPr="00294FF0">
              <w:rPr>
                <w:rFonts w:eastAsia="Times New Roman" w:cstheme="minorHAnsi"/>
                <w:snapToGrid w:val="0"/>
                <w:color w:val="000000"/>
                <w:sz w:val="20"/>
              </w:rPr>
              <w:t>Allocation</w:t>
            </w:r>
            <w:r w:rsidR="00041E05">
              <w:rPr>
                <w:rFonts w:eastAsia="Times New Roman" w:cstheme="minorHAnsi"/>
                <w:snapToGrid w:val="0"/>
                <w:color w:val="000000"/>
                <w:sz w:val="20"/>
              </w:rPr>
              <w:t xml:space="preserve"> (611 funds)</w:t>
            </w:r>
          </w:p>
        </w:tc>
        <w:tc>
          <w:tcPr>
            <w:tcW w:w="574" w:type="pct"/>
            <w:tcBorders>
              <w:top w:val="single" w:sz="6" w:space="0" w:color="000000"/>
              <w:left w:val="single" w:sz="6" w:space="0" w:color="000000"/>
              <w:bottom w:val="single" w:sz="6" w:space="0" w:color="000000"/>
              <w:right w:val="single" w:sz="6" w:space="0" w:color="000000"/>
            </w:tcBorders>
            <w:shd w:val="clear" w:color="auto" w:fill="auto"/>
            <w:hideMark/>
          </w:tcPr>
          <w:p w14:paraId="5D4B1C6A" w14:textId="77777777" w:rsidR="00294FF0" w:rsidRPr="00294FF0" w:rsidRDefault="00294FF0" w:rsidP="00DE7249">
            <w:pPr>
              <w:widowControl w:val="0"/>
              <w:spacing w:after="0" w:line="240" w:lineRule="auto"/>
              <w:jc w:val="right"/>
              <w:rPr>
                <w:rFonts w:eastAsia="Times New Roman" w:cstheme="minorHAnsi"/>
                <w:snapToGrid w:val="0"/>
                <w:color w:val="000000"/>
                <w:sz w:val="20"/>
              </w:rPr>
            </w:pPr>
            <w:r w:rsidRPr="00294FF0">
              <w:rPr>
                <w:rFonts w:eastAsia="Times New Roman" w:cstheme="minorHAnsi"/>
                <w:snapToGrid w:val="0"/>
                <w:color w:val="000000"/>
                <w:sz w:val="20"/>
              </w:rPr>
              <w:t>$900,000</w:t>
            </w:r>
          </w:p>
        </w:tc>
      </w:tr>
      <w:tr w:rsidR="00294FF0" w:rsidRPr="00294FF0" w14:paraId="0A1EA347" w14:textId="77777777" w:rsidTr="000B47E4">
        <w:tc>
          <w:tcPr>
            <w:tcW w:w="4426" w:type="pct"/>
            <w:tcBorders>
              <w:top w:val="single" w:sz="6" w:space="0" w:color="000000"/>
              <w:left w:val="single" w:sz="6" w:space="0" w:color="000000"/>
              <w:bottom w:val="single" w:sz="6" w:space="0" w:color="000000"/>
              <w:right w:val="single" w:sz="6" w:space="0" w:color="000000"/>
            </w:tcBorders>
            <w:shd w:val="clear" w:color="auto" w:fill="auto"/>
            <w:hideMark/>
          </w:tcPr>
          <w:p w14:paraId="53140D9A" w14:textId="37439EE3" w:rsidR="00294FF0" w:rsidRPr="00294FF0" w:rsidRDefault="00294FF0" w:rsidP="00DE7249">
            <w:pPr>
              <w:widowControl w:val="0"/>
              <w:spacing w:after="0" w:line="240" w:lineRule="auto"/>
              <w:rPr>
                <w:rFonts w:eastAsia="Times New Roman" w:cstheme="minorHAnsi"/>
                <w:snapToGrid w:val="0"/>
                <w:color w:val="000000"/>
                <w:sz w:val="20"/>
              </w:rPr>
            </w:pPr>
            <w:r w:rsidRPr="00294FF0">
              <w:rPr>
                <w:rFonts w:eastAsia="Times New Roman" w:cstheme="minorHAnsi"/>
                <w:snapToGrid w:val="0"/>
                <w:color w:val="000000"/>
                <w:sz w:val="20"/>
              </w:rPr>
              <w:t xml:space="preserve">Current Year's </w:t>
            </w:r>
            <w:r w:rsidR="00082619">
              <w:rPr>
                <w:rFonts w:eastAsia="Times New Roman" w:cstheme="minorHAnsi"/>
                <w:snapToGrid w:val="0"/>
                <w:color w:val="000000"/>
                <w:sz w:val="20"/>
              </w:rPr>
              <w:t xml:space="preserve">Fund Code </w:t>
            </w:r>
            <w:r w:rsidR="00A83CD6">
              <w:rPr>
                <w:rFonts w:eastAsia="Times New Roman" w:cstheme="minorHAnsi"/>
                <w:snapToGrid w:val="0"/>
                <w:color w:val="000000"/>
                <w:sz w:val="20"/>
              </w:rPr>
              <w:t>0</w:t>
            </w:r>
            <w:r w:rsidR="00082619">
              <w:rPr>
                <w:rFonts w:eastAsia="Times New Roman" w:cstheme="minorHAnsi"/>
                <w:snapToGrid w:val="0"/>
                <w:color w:val="000000"/>
                <w:sz w:val="20"/>
              </w:rPr>
              <w:t xml:space="preserve">240 </w:t>
            </w:r>
            <w:r w:rsidRPr="00294FF0">
              <w:rPr>
                <w:rFonts w:eastAsia="Times New Roman" w:cstheme="minorHAnsi"/>
                <w:snapToGrid w:val="0"/>
                <w:color w:val="000000"/>
                <w:sz w:val="20"/>
              </w:rPr>
              <w:t>Allocation</w:t>
            </w:r>
            <w:r w:rsidR="00041E05">
              <w:rPr>
                <w:rFonts w:eastAsia="Times New Roman" w:cstheme="minorHAnsi"/>
                <w:snapToGrid w:val="0"/>
                <w:color w:val="000000"/>
                <w:sz w:val="20"/>
              </w:rPr>
              <w:t xml:space="preserve"> (611 funds)</w:t>
            </w:r>
          </w:p>
        </w:tc>
        <w:tc>
          <w:tcPr>
            <w:tcW w:w="574" w:type="pct"/>
            <w:tcBorders>
              <w:top w:val="single" w:sz="6" w:space="0" w:color="000000"/>
              <w:left w:val="single" w:sz="6" w:space="0" w:color="000000"/>
              <w:bottom w:val="single" w:sz="6" w:space="0" w:color="000000"/>
              <w:right w:val="single" w:sz="6" w:space="0" w:color="000000"/>
            </w:tcBorders>
            <w:shd w:val="clear" w:color="auto" w:fill="auto"/>
            <w:hideMark/>
          </w:tcPr>
          <w:p w14:paraId="435AB6AB" w14:textId="77777777" w:rsidR="00294FF0" w:rsidRPr="00294FF0" w:rsidRDefault="00294FF0" w:rsidP="00DE7249">
            <w:pPr>
              <w:widowControl w:val="0"/>
              <w:spacing w:after="0" w:line="240" w:lineRule="auto"/>
              <w:jc w:val="right"/>
              <w:rPr>
                <w:rFonts w:eastAsia="Times New Roman" w:cstheme="minorHAnsi"/>
                <w:snapToGrid w:val="0"/>
                <w:color w:val="000000"/>
                <w:sz w:val="20"/>
              </w:rPr>
            </w:pPr>
            <w:r w:rsidRPr="00294FF0">
              <w:rPr>
                <w:rFonts w:eastAsia="Times New Roman" w:cstheme="minorHAnsi"/>
                <w:snapToGrid w:val="0"/>
                <w:color w:val="000000"/>
                <w:sz w:val="20"/>
              </w:rPr>
              <w:t>$1,000,000</w:t>
            </w:r>
          </w:p>
        </w:tc>
      </w:tr>
      <w:tr w:rsidR="00340A80" w:rsidRPr="00294FF0" w14:paraId="2943B206" w14:textId="77777777" w:rsidTr="000B47E4">
        <w:tc>
          <w:tcPr>
            <w:tcW w:w="4426" w:type="pct"/>
            <w:tcBorders>
              <w:top w:val="single" w:sz="6" w:space="0" w:color="000000"/>
              <w:left w:val="single" w:sz="6" w:space="0" w:color="000000"/>
              <w:bottom w:val="single" w:sz="6" w:space="0" w:color="000000"/>
              <w:right w:val="single" w:sz="6" w:space="0" w:color="000000"/>
            </w:tcBorders>
            <w:shd w:val="clear" w:color="auto" w:fill="auto"/>
          </w:tcPr>
          <w:p w14:paraId="546A9683" w14:textId="38333BC3" w:rsidR="00340A80" w:rsidRPr="00294FF0" w:rsidRDefault="00340A80" w:rsidP="00DE7249">
            <w:pPr>
              <w:widowControl w:val="0"/>
              <w:spacing w:after="0" w:line="240" w:lineRule="auto"/>
              <w:rPr>
                <w:rFonts w:eastAsia="Times New Roman" w:cstheme="minorHAnsi"/>
                <w:snapToGrid w:val="0"/>
                <w:color w:val="000000"/>
                <w:sz w:val="20"/>
              </w:rPr>
            </w:pPr>
            <w:r w:rsidRPr="00294FF0">
              <w:rPr>
                <w:rFonts w:eastAsia="Times New Roman" w:cstheme="minorHAnsi"/>
                <w:snapToGrid w:val="0"/>
                <w:color w:val="000000"/>
                <w:sz w:val="20"/>
              </w:rPr>
              <w:t xml:space="preserve">Current Year's </w:t>
            </w:r>
            <w:r>
              <w:rPr>
                <w:rFonts w:eastAsia="Times New Roman" w:cstheme="minorHAnsi"/>
                <w:snapToGrid w:val="0"/>
                <w:color w:val="000000"/>
                <w:sz w:val="20"/>
              </w:rPr>
              <w:t xml:space="preserve">Fund Code </w:t>
            </w:r>
            <w:r w:rsidR="00A83CD6">
              <w:rPr>
                <w:rFonts w:eastAsia="Times New Roman" w:cstheme="minorHAnsi"/>
                <w:snapToGrid w:val="0"/>
                <w:color w:val="000000"/>
                <w:sz w:val="20"/>
              </w:rPr>
              <w:t>0</w:t>
            </w:r>
            <w:r>
              <w:rPr>
                <w:rFonts w:eastAsia="Times New Roman" w:cstheme="minorHAnsi"/>
                <w:snapToGrid w:val="0"/>
                <w:color w:val="000000"/>
                <w:sz w:val="20"/>
              </w:rPr>
              <w:t xml:space="preserve">262 </w:t>
            </w:r>
            <w:r w:rsidRPr="00294FF0">
              <w:rPr>
                <w:rFonts w:eastAsia="Times New Roman" w:cstheme="minorHAnsi"/>
                <w:snapToGrid w:val="0"/>
                <w:color w:val="000000"/>
                <w:sz w:val="20"/>
              </w:rPr>
              <w:t>Allocation</w:t>
            </w:r>
            <w:r w:rsidR="00041E05">
              <w:rPr>
                <w:rFonts w:eastAsia="Times New Roman" w:cstheme="minorHAnsi"/>
                <w:snapToGrid w:val="0"/>
                <w:color w:val="000000"/>
                <w:sz w:val="20"/>
              </w:rPr>
              <w:t xml:space="preserve"> (619 funds)</w:t>
            </w:r>
          </w:p>
        </w:tc>
        <w:tc>
          <w:tcPr>
            <w:tcW w:w="574" w:type="pct"/>
            <w:tcBorders>
              <w:top w:val="single" w:sz="6" w:space="0" w:color="000000"/>
              <w:left w:val="single" w:sz="6" w:space="0" w:color="000000"/>
              <w:bottom w:val="single" w:sz="6" w:space="0" w:color="000000"/>
              <w:right w:val="single" w:sz="6" w:space="0" w:color="000000"/>
            </w:tcBorders>
            <w:shd w:val="clear" w:color="auto" w:fill="auto"/>
          </w:tcPr>
          <w:p w14:paraId="181CF084" w14:textId="77777777" w:rsidR="00340A80" w:rsidRPr="00294FF0" w:rsidRDefault="00340A80" w:rsidP="00DE7249">
            <w:pPr>
              <w:widowControl w:val="0"/>
              <w:spacing w:after="0" w:line="240" w:lineRule="auto"/>
              <w:jc w:val="right"/>
              <w:rPr>
                <w:rFonts w:eastAsia="Times New Roman" w:cstheme="minorHAnsi"/>
                <w:snapToGrid w:val="0"/>
                <w:color w:val="000000"/>
                <w:sz w:val="20"/>
              </w:rPr>
            </w:pPr>
            <w:r>
              <w:rPr>
                <w:rFonts w:eastAsia="Times New Roman" w:cstheme="minorHAnsi"/>
                <w:snapToGrid w:val="0"/>
                <w:color w:val="000000"/>
                <w:sz w:val="20"/>
              </w:rPr>
              <w:t>$80,000</w:t>
            </w:r>
          </w:p>
        </w:tc>
      </w:tr>
      <w:tr w:rsidR="00294FF0" w:rsidRPr="00294FF0" w14:paraId="18531698" w14:textId="77777777" w:rsidTr="000B47E4">
        <w:tc>
          <w:tcPr>
            <w:tcW w:w="4426" w:type="pct"/>
            <w:tcBorders>
              <w:top w:val="single" w:sz="6" w:space="0" w:color="000000"/>
              <w:left w:val="single" w:sz="6" w:space="0" w:color="000000"/>
              <w:bottom w:val="single" w:sz="6" w:space="0" w:color="000000"/>
              <w:right w:val="single" w:sz="6" w:space="0" w:color="000000"/>
            </w:tcBorders>
            <w:shd w:val="clear" w:color="auto" w:fill="auto"/>
            <w:hideMark/>
          </w:tcPr>
          <w:p w14:paraId="25116141" w14:textId="30599C95" w:rsidR="00294FF0" w:rsidRPr="00294FF0" w:rsidRDefault="00294FF0" w:rsidP="00DE7249">
            <w:pPr>
              <w:widowControl w:val="0"/>
              <w:spacing w:after="0" w:line="240" w:lineRule="auto"/>
              <w:rPr>
                <w:rFonts w:eastAsia="Times New Roman" w:cstheme="minorHAnsi"/>
                <w:snapToGrid w:val="0"/>
                <w:color w:val="000000"/>
                <w:sz w:val="20"/>
              </w:rPr>
            </w:pPr>
            <w:r w:rsidRPr="00294FF0">
              <w:rPr>
                <w:rFonts w:eastAsia="Times New Roman" w:cstheme="minorHAnsi"/>
                <w:snapToGrid w:val="0"/>
                <w:color w:val="000000"/>
                <w:sz w:val="20"/>
              </w:rPr>
              <w:t xml:space="preserve">Maximum Available for MOE Reduction </w:t>
            </w:r>
            <w:r w:rsidR="00340A80">
              <w:rPr>
                <w:rFonts w:eastAsia="Times New Roman" w:cstheme="minorHAnsi"/>
                <w:snapToGrid w:val="0"/>
                <w:color w:val="000000"/>
                <w:sz w:val="20"/>
              </w:rPr>
              <w:t>(</w:t>
            </w:r>
            <w:r w:rsidRPr="00294FF0">
              <w:rPr>
                <w:rFonts w:eastAsia="Times New Roman" w:cstheme="minorHAnsi"/>
                <w:snapToGrid w:val="0"/>
                <w:color w:val="000000"/>
                <w:sz w:val="20"/>
              </w:rPr>
              <w:t>(</w:t>
            </w:r>
            <w:r w:rsidR="00340A80" w:rsidRPr="00340A80">
              <w:rPr>
                <w:rFonts w:eastAsia="Times New Roman" w:cstheme="minorHAnsi"/>
                <w:snapToGrid w:val="0"/>
                <w:color w:val="000000"/>
                <w:sz w:val="20"/>
              </w:rPr>
              <w:t xml:space="preserve">current </w:t>
            </w:r>
            <w:r w:rsidR="00A83CD6">
              <w:rPr>
                <w:rFonts w:eastAsia="Times New Roman" w:cstheme="minorHAnsi"/>
                <w:snapToGrid w:val="0"/>
                <w:color w:val="000000"/>
                <w:sz w:val="20"/>
              </w:rPr>
              <w:t>0</w:t>
            </w:r>
            <w:r w:rsidR="00340A80">
              <w:rPr>
                <w:rFonts w:eastAsia="Times New Roman" w:cstheme="minorHAnsi"/>
                <w:snapToGrid w:val="0"/>
                <w:color w:val="000000"/>
                <w:sz w:val="20"/>
              </w:rPr>
              <w:t xml:space="preserve">240 </w:t>
            </w:r>
            <w:r w:rsidR="00340A80" w:rsidRPr="00340A80">
              <w:rPr>
                <w:rFonts w:eastAsia="Times New Roman" w:cstheme="minorHAnsi"/>
                <w:snapToGrid w:val="0"/>
                <w:color w:val="000000"/>
                <w:sz w:val="20"/>
              </w:rPr>
              <w:t xml:space="preserve">funds – prior </w:t>
            </w:r>
            <w:r w:rsidR="00A83CD6">
              <w:rPr>
                <w:rFonts w:eastAsia="Times New Roman" w:cstheme="minorHAnsi"/>
                <w:snapToGrid w:val="0"/>
                <w:color w:val="000000"/>
                <w:sz w:val="20"/>
              </w:rPr>
              <w:t>0</w:t>
            </w:r>
            <w:r w:rsidR="00340A80">
              <w:rPr>
                <w:rFonts w:eastAsia="Times New Roman" w:cstheme="minorHAnsi"/>
                <w:snapToGrid w:val="0"/>
                <w:color w:val="000000"/>
                <w:sz w:val="20"/>
              </w:rPr>
              <w:t>240</w:t>
            </w:r>
            <w:r w:rsidR="00340A80" w:rsidRPr="00340A80">
              <w:rPr>
                <w:rFonts w:eastAsia="Times New Roman" w:cstheme="minorHAnsi"/>
                <w:snapToGrid w:val="0"/>
                <w:color w:val="000000"/>
                <w:sz w:val="20"/>
              </w:rPr>
              <w:t xml:space="preserve"> funds) x 5</w:t>
            </w:r>
            <w:r w:rsidR="00340A80">
              <w:rPr>
                <w:rFonts w:eastAsia="Times New Roman" w:cstheme="minorHAnsi"/>
                <w:snapToGrid w:val="0"/>
                <w:color w:val="000000"/>
                <w:sz w:val="20"/>
              </w:rPr>
              <w:t>0%</w:t>
            </w:r>
            <w:r w:rsidRPr="00294FF0">
              <w:rPr>
                <w:rFonts w:eastAsia="Times New Roman" w:cstheme="minorHAnsi"/>
                <w:snapToGrid w:val="0"/>
                <w:color w:val="000000"/>
                <w:sz w:val="20"/>
              </w:rPr>
              <w:t>)</w:t>
            </w:r>
          </w:p>
        </w:tc>
        <w:tc>
          <w:tcPr>
            <w:tcW w:w="574" w:type="pct"/>
            <w:tcBorders>
              <w:top w:val="single" w:sz="6" w:space="0" w:color="000000"/>
              <w:left w:val="single" w:sz="6" w:space="0" w:color="000000"/>
              <w:bottom w:val="single" w:sz="6" w:space="0" w:color="000000"/>
              <w:right w:val="single" w:sz="6" w:space="0" w:color="000000"/>
            </w:tcBorders>
            <w:shd w:val="clear" w:color="auto" w:fill="auto"/>
            <w:hideMark/>
          </w:tcPr>
          <w:p w14:paraId="26CCC29F" w14:textId="77777777" w:rsidR="00294FF0" w:rsidRPr="00294FF0" w:rsidRDefault="00294FF0" w:rsidP="00DE7249">
            <w:pPr>
              <w:widowControl w:val="0"/>
              <w:spacing w:after="0" w:line="240" w:lineRule="auto"/>
              <w:jc w:val="right"/>
              <w:rPr>
                <w:rFonts w:eastAsia="Times New Roman" w:cstheme="minorHAnsi"/>
                <w:snapToGrid w:val="0"/>
                <w:color w:val="000000"/>
                <w:sz w:val="20"/>
              </w:rPr>
            </w:pPr>
            <w:r w:rsidRPr="00294FF0">
              <w:rPr>
                <w:rFonts w:eastAsia="Times New Roman" w:cstheme="minorHAnsi"/>
                <w:snapToGrid w:val="0"/>
                <w:color w:val="000000"/>
                <w:sz w:val="20"/>
              </w:rPr>
              <w:t>$50,000</w:t>
            </w:r>
          </w:p>
        </w:tc>
      </w:tr>
      <w:tr w:rsidR="00294FF0" w:rsidRPr="00294FF0" w14:paraId="36003395" w14:textId="77777777" w:rsidTr="000B47E4">
        <w:tc>
          <w:tcPr>
            <w:tcW w:w="4426" w:type="pct"/>
            <w:tcBorders>
              <w:top w:val="single" w:sz="6" w:space="0" w:color="000000"/>
              <w:left w:val="single" w:sz="6" w:space="0" w:color="000000"/>
              <w:bottom w:val="single" w:sz="6" w:space="0" w:color="000000"/>
              <w:right w:val="single" w:sz="6" w:space="0" w:color="000000"/>
            </w:tcBorders>
            <w:shd w:val="clear" w:color="auto" w:fill="auto"/>
            <w:hideMark/>
          </w:tcPr>
          <w:p w14:paraId="46968DF9" w14:textId="2FCA8C50" w:rsidR="00294FF0" w:rsidRPr="00294FF0" w:rsidRDefault="00294FF0" w:rsidP="00DE7249">
            <w:pPr>
              <w:widowControl w:val="0"/>
              <w:spacing w:after="0" w:line="240" w:lineRule="auto"/>
              <w:rPr>
                <w:rFonts w:eastAsia="Times New Roman" w:cstheme="minorHAnsi"/>
                <w:snapToGrid w:val="0"/>
                <w:color w:val="000000"/>
                <w:sz w:val="20"/>
              </w:rPr>
            </w:pPr>
            <w:r w:rsidRPr="00294FF0">
              <w:rPr>
                <w:rFonts w:eastAsia="Times New Roman" w:cstheme="minorHAnsi"/>
                <w:snapToGrid w:val="0"/>
                <w:color w:val="000000"/>
                <w:sz w:val="20"/>
              </w:rPr>
              <w:t xml:space="preserve">Maximum Available for CEIS </w:t>
            </w:r>
            <w:r w:rsidR="00340A80">
              <w:rPr>
                <w:rFonts w:eastAsia="Times New Roman" w:cstheme="minorHAnsi"/>
                <w:snapToGrid w:val="0"/>
                <w:color w:val="000000"/>
                <w:sz w:val="20"/>
              </w:rPr>
              <w:t>(</w:t>
            </w:r>
            <w:r w:rsidRPr="00294FF0">
              <w:rPr>
                <w:rFonts w:eastAsia="Times New Roman" w:cstheme="minorHAnsi"/>
                <w:snapToGrid w:val="0"/>
                <w:color w:val="000000"/>
                <w:sz w:val="20"/>
              </w:rPr>
              <w:t>(</w:t>
            </w:r>
            <w:r w:rsidR="00340A80" w:rsidRPr="00340A80">
              <w:rPr>
                <w:rFonts w:eastAsia="Times New Roman" w:cstheme="minorHAnsi"/>
                <w:snapToGrid w:val="0"/>
                <w:color w:val="000000"/>
                <w:sz w:val="20"/>
              </w:rPr>
              <w:t xml:space="preserve">current </w:t>
            </w:r>
            <w:r w:rsidR="00A83CD6">
              <w:rPr>
                <w:rFonts w:eastAsia="Times New Roman" w:cstheme="minorHAnsi"/>
                <w:snapToGrid w:val="0"/>
                <w:color w:val="000000"/>
                <w:sz w:val="20"/>
              </w:rPr>
              <w:t>0</w:t>
            </w:r>
            <w:r w:rsidR="00340A80">
              <w:rPr>
                <w:rFonts w:eastAsia="Times New Roman" w:cstheme="minorHAnsi"/>
                <w:snapToGrid w:val="0"/>
                <w:color w:val="000000"/>
                <w:sz w:val="20"/>
              </w:rPr>
              <w:t>240</w:t>
            </w:r>
            <w:r w:rsidR="00340A80" w:rsidRPr="00340A80">
              <w:rPr>
                <w:rFonts w:eastAsia="Times New Roman" w:cstheme="minorHAnsi"/>
                <w:snapToGrid w:val="0"/>
                <w:color w:val="000000"/>
                <w:sz w:val="20"/>
              </w:rPr>
              <w:t xml:space="preserve"> funds + current </w:t>
            </w:r>
            <w:r w:rsidR="00A83CD6">
              <w:rPr>
                <w:rFonts w:eastAsia="Times New Roman" w:cstheme="minorHAnsi"/>
                <w:snapToGrid w:val="0"/>
                <w:color w:val="000000"/>
                <w:sz w:val="20"/>
              </w:rPr>
              <w:t>0</w:t>
            </w:r>
            <w:r w:rsidR="00340A80">
              <w:rPr>
                <w:rFonts w:eastAsia="Times New Roman" w:cstheme="minorHAnsi"/>
                <w:snapToGrid w:val="0"/>
                <w:color w:val="000000"/>
                <w:sz w:val="20"/>
              </w:rPr>
              <w:t>262</w:t>
            </w:r>
            <w:r w:rsidR="00340A80" w:rsidRPr="00340A80">
              <w:rPr>
                <w:rFonts w:eastAsia="Times New Roman" w:cstheme="minorHAnsi"/>
                <w:snapToGrid w:val="0"/>
                <w:color w:val="000000"/>
                <w:sz w:val="20"/>
              </w:rPr>
              <w:t xml:space="preserve"> funds) x 15 </w:t>
            </w:r>
            <w:r w:rsidR="00340A80">
              <w:rPr>
                <w:rFonts w:eastAsia="Times New Roman" w:cstheme="minorHAnsi"/>
                <w:snapToGrid w:val="0"/>
                <w:color w:val="000000"/>
                <w:sz w:val="20"/>
              </w:rPr>
              <w:t>%</w:t>
            </w:r>
            <w:r w:rsidRPr="00294FF0">
              <w:rPr>
                <w:rFonts w:eastAsia="Times New Roman" w:cstheme="minorHAnsi"/>
                <w:snapToGrid w:val="0"/>
                <w:color w:val="000000"/>
                <w:sz w:val="20"/>
              </w:rPr>
              <w:t>)</w:t>
            </w:r>
          </w:p>
        </w:tc>
        <w:tc>
          <w:tcPr>
            <w:tcW w:w="574" w:type="pct"/>
            <w:tcBorders>
              <w:top w:val="single" w:sz="6" w:space="0" w:color="000000"/>
              <w:left w:val="single" w:sz="6" w:space="0" w:color="000000"/>
              <w:bottom w:val="single" w:sz="6" w:space="0" w:color="000000"/>
              <w:right w:val="single" w:sz="6" w:space="0" w:color="000000"/>
            </w:tcBorders>
            <w:shd w:val="clear" w:color="auto" w:fill="auto"/>
            <w:hideMark/>
          </w:tcPr>
          <w:p w14:paraId="18D1719C" w14:textId="77777777" w:rsidR="00294FF0" w:rsidRPr="00294FF0" w:rsidRDefault="00294FF0" w:rsidP="00DE7249">
            <w:pPr>
              <w:widowControl w:val="0"/>
              <w:spacing w:after="0" w:line="240" w:lineRule="auto"/>
              <w:jc w:val="right"/>
              <w:rPr>
                <w:rFonts w:eastAsia="Times New Roman" w:cstheme="minorHAnsi"/>
                <w:snapToGrid w:val="0"/>
                <w:color w:val="000000"/>
                <w:sz w:val="20"/>
              </w:rPr>
            </w:pPr>
            <w:r w:rsidRPr="00294FF0">
              <w:rPr>
                <w:rFonts w:eastAsia="Times New Roman" w:cstheme="minorHAnsi"/>
                <w:snapToGrid w:val="0"/>
                <w:color w:val="000000"/>
                <w:sz w:val="20"/>
              </w:rPr>
              <w:t>$1</w:t>
            </w:r>
            <w:r w:rsidR="00340A80">
              <w:rPr>
                <w:rFonts w:eastAsia="Times New Roman" w:cstheme="minorHAnsi"/>
                <w:snapToGrid w:val="0"/>
                <w:color w:val="000000"/>
                <w:sz w:val="20"/>
              </w:rPr>
              <w:t>62</w:t>
            </w:r>
            <w:r w:rsidRPr="00294FF0">
              <w:rPr>
                <w:rFonts w:eastAsia="Times New Roman" w:cstheme="minorHAnsi"/>
                <w:snapToGrid w:val="0"/>
                <w:color w:val="000000"/>
                <w:sz w:val="20"/>
              </w:rPr>
              <w:t>,000</w:t>
            </w:r>
          </w:p>
        </w:tc>
      </w:tr>
      <w:tr w:rsidR="00082619" w:rsidRPr="00294FF0" w14:paraId="43BAA339" w14:textId="77777777" w:rsidTr="000B47E4">
        <w:tc>
          <w:tcPr>
            <w:tcW w:w="4426" w:type="pct"/>
            <w:tcBorders>
              <w:top w:val="single" w:sz="6" w:space="0" w:color="000000"/>
              <w:left w:val="single" w:sz="6" w:space="0" w:color="000000"/>
              <w:bottom w:val="single" w:sz="6" w:space="0" w:color="000000"/>
              <w:right w:val="single" w:sz="6" w:space="0" w:color="000000"/>
            </w:tcBorders>
            <w:shd w:val="clear" w:color="auto" w:fill="auto"/>
          </w:tcPr>
          <w:p w14:paraId="40C7A0AA" w14:textId="77777777" w:rsidR="00082619" w:rsidRPr="00294FF0" w:rsidRDefault="00082619" w:rsidP="00DE7249">
            <w:pPr>
              <w:widowControl w:val="0"/>
              <w:spacing w:after="0" w:line="240" w:lineRule="auto"/>
              <w:rPr>
                <w:rFonts w:eastAsia="Times New Roman" w:cstheme="minorHAnsi"/>
                <w:snapToGrid w:val="0"/>
                <w:color w:val="000000"/>
                <w:sz w:val="20"/>
              </w:rPr>
            </w:pPr>
            <w:r w:rsidRPr="00082619">
              <w:rPr>
                <w:rFonts w:eastAsia="Times New Roman" w:cstheme="minorHAnsi"/>
                <w:snapToGrid w:val="0"/>
                <w:color w:val="000000"/>
                <w:sz w:val="20"/>
              </w:rPr>
              <w:t>Maximum combined amount available for voluntary CEIS set-aside funds and LEA MOE reduction</w:t>
            </w:r>
          </w:p>
        </w:tc>
        <w:tc>
          <w:tcPr>
            <w:tcW w:w="574" w:type="pct"/>
            <w:tcBorders>
              <w:top w:val="single" w:sz="6" w:space="0" w:color="000000"/>
              <w:left w:val="single" w:sz="6" w:space="0" w:color="000000"/>
              <w:bottom w:val="single" w:sz="6" w:space="0" w:color="000000"/>
              <w:right w:val="single" w:sz="6" w:space="0" w:color="000000"/>
            </w:tcBorders>
            <w:shd w:val="clear" w:color="auto" w:fill="auto"/>
          </w:tcPr>
          <w:p w14:paraId="456B62D0" w14:textId="77777777" w:rsidR="00082619" w:rsidRPr="00294FF0" w:rsidRDefault="00082619" w:rsidP="00DE7249">
            <w:pPr>
              <w:widowControl w:val="0"/>
              <w:spacing w:after="0" w:line="240" w:lineRule="auto"/>
              <w:jc w:val="right"/>
              <w:rPr>
                <w:rFonts w:eastAsia="Times New Roman" w:cstheme="minorHAnsi"/>
                <w:snapToGrid w:val="0"/>
                <w:color w:val="000000"/>
                <w:sz w:val="20"/>
              </w:rPr>
            </w:pPr>
            <w:r w:rsidRPr="00294FF0">
              <w:rPr>
                <w:rFonts w:eastAsia="Times New Roman" w:cstheme="minorHAnsi"/>
                <w:snapToGrid w:val="0"/>
                <w:color w:val="000000"/>
                <w:sz w:val="20"/>
              </w:rPr>
              <w:t>$50,000</w:t>
            </w:r>
          </w:p>
        </w:tc>
      </w:tr>
    </w:tbl>
    <w:p w14:paraId="6A149D7E" w14:textId="77777777" w:rsidR="006F1DF1" w:rsidRDefault="006F1DF1" w:rsidP="006F1DF1">
      <w:pPr>
        <w:widowControl w:val="0"/>
        <w:spacing w:after="0" w:line="240" w:lineRule="auto"/>
        <w:contextualSpacing/>
        <w:rPr>
          <w:rFonts w:eastAsia="Times New Roman" w:cstheme="minorHAnsi"/>
          <w:i/>
          <w:sz w:val="20"/>
        </w:rPr>
      </w:pPr>
    </w:p>
    <w:p w14:paraId="33EAD82B" w14:textId="7713CDFF" w:rsidR="00082619" w:rsidRDefault="00082619" w:rsidP="006F1DF1">
      <w:pPr>
        <w:widowControl w:val="0"/>
        <w:spacing w:after="0" w:line="240" w:lineRule="auto"/>
        <w:contextualSpacing/>
        <w:rPr>
          <w:rFonts w:eastAsia="Times New Roman" w:cstheme="minorHAnsi"/>
          <w:sz w:val="20"/>
        </w:rPr>
      </w:pPr>
      <w:r w:rsidRPr="00082619">
        <w:rPr>
          <w:rFonts w:eastAsia="Times New Roman" w:cstheme="minorHAnsi"/>
          <w:sz w:val="20"/>
        </w:rPr>
        <w:t xml:space="preserve">In the </w:t>
      </w:r>
      <w:r>
        <w:rPr>
          <w:rFonts w:eastAsia="Times New Roman" w:cstheme="minorHAnsi"/>
          <w:sz w:val="20"/>
        </w:rPr>
        <w:t>example above</w:t>
      </w:r>
      <w:r w:rsidRPr="00082619">
        <w:rPr>
          <w:rFonts w:eastAsia="Times New Roman" w:cstheme="minorHAnsi"/>
          <w:sz w:val="20"/>
        </w:rPr>
        <w:t xml:space="preserve">, the LEA could </w:t>
      </w:r>
      <w:r w:rsidR="0066124C">
        <w:rPr>
          <w:rFonts w:eastAsia="Times New Roman" w:cstheme="minorHAnsi"/>
          <w:sz w:val="20"/>
        </w:rPr>
        <w:t xml:space="preserve">claim an adjustment for MOE if it allocates less than $50,000 for CEIS.  In that case the </w:t>
      </w:r>
      <w:r w:rsidR="00041E05">
        <w:rPr>
          <w:rFonts w:eastAsia="Times New Roman" w:cstheme="minorHAnsi"/>
          <w:sz w:val="20"/>
        </w:rPr>
        <w:t>adjustment</w:t>
      </w:r>
      <w:r w:rsidR="0066124C">
        <w:rPr>
          <w:rFonts w:eastAsia="Times New Roman" w:cstheme="minorHAnsi"/>
          <w:sz w:val="20"/>
        </w:rPr>
        <w:t xml:space="preserve"> will equal the difference between the maximum adjustment minus </w:t>
      </w:r>
      <w:r w:rsidR="00041E05">
        <w:rPr>
          <w:rFonts w:eastAsia="Times New Roman" w:cstheme="minorHAnsi"/>
          <w:sz w:val="20"/>
        </w:rPr>
        <w:t>the</w:t>
      </w:r>
      <w:r w:rsidR="0066124C">
        <w:rPr>
          <w:rFonts w:eastAsia="Times New Roman" w:cstheme="minorHAnsi"/>
          <w:sz w:val="20"/>
        </w:rPr>
        <w:t xml:space="preserve"> CEIS reservation</w:t>
      </w:r>
      <w:r w:rsidRPr="00082619">
        <w:rPr>
          <w:rFonts w:eastAsia="Times New Roman" w:cstheme="minorHAnsi"/>
          <w:sz w:val="20"/>
        </w:rPr>
        <w:t xml:space="preserve"> For instance, the LEA could choose to set aside $</w:t>
      </w:r>
      <w:r>
        <w:rPr>
          <w:rFonts w:eastAsia="Times New Roman" w:cstheme="minorHAnsi"/>
          <w:sz w:val="20"/>
        </w:rPr>
        <w:t>1</w:t>
      </w:r>
      <w:r w:rsidRPr="00082619">
        <w:rPr>
          <w:rFonts w:eastAsia="Times New Roman" w:cstheme="minorHAnsi"/>
          <w:sz w:val="20"/>
        </w:rPr>
        <w:t>0,000 for voluntary CEIS and reduce its MOE by $</w:t>
      </w:r>
      <w:r>
        <w:rPr>
          <w:rFonts w:eastAsia="Times New Roman" w:cstheme="minorHAnsi"/>
          <w:sz w:val="20"/>
        </w:rPr>
        <w:t>4</w:t>
      </w:r>
      <w:r w:rsidRPr="00082619">
        <w:rPr>
          <w:rFonts w:eastAsia="Times New Roman" w:cstheme="minorHAnsi"/>
          <w:sz w:val="20"/>
        </w:rPr>
        <w:t>0,000; or it could set aside $</w:t>
      </w:r>
      <w:r w:rsidR="00340A80">
        <w:rPr>
          <w:rFonts w:eastAsia="Times New Roman" w:cstheme="minorHAnsi"/>
          <w:sz w:val="20"/>
        </w:rPr>
        <w:t>162</w:t>
      </w:r>
      <w:r w:rsidRPr="00082619">
        <w:rPr>
          <w:rFonts w:eastAsia="Times New Roman" w:cstheme="minorHAnsi"/>
          <w:sz w:val="20"/>
        </w:rPr>
        <w:t>,000 for voluntary CEIS and reduce its MOE by $0.</w:t>
      </w:r>
    </w:p>
    <w:p w14:paraId="5373CAF4" w14:textId="77777777" w:rsidR="00082619" w:rsidRDefault="00082619" w:rsidP="006F1DF1">
      <w:pPr>
        <w:widowControl w:val="0"/>
        <w:spacing w:after="0" w:line="240" w:lineRule="auto"/>
        <w:contextualSpacing/>
        <w:rPr>
          <w:rFonts w:eastAsia="Times New Roman" w:cstheme="minorHAnsi"/>
          <w:sz w:val="20"/>
        </w:rPr>
      </w:pPr>
    </w:p>
    <w:p w14:paraId="1C3DCA9C" w14:textId="77777777" w:rsidR="00CB59EA" w:rsidRDefault="00CB59EA" w:rsidP="00DE7249">
      <w:pPr>
        <w:spacing w:after="0" w:line="240" w:lineRule="auto"/>
        <w:rPr>
          <w:b/>
          <w:color w:val="1F497D" w:themeColor="text2"/>
          <w:sz w:val="24"/>
        </w:rPr>
      </w:pPr>
      <w:r>
        <w:rPr>
          <w:b/>
          <w:color w:val="1F497D" w:themeColor="text2"/>
          <w:sz w:val="24"/>
        </w:rPr>
        <w:t>Consequences for Failure to Meet MOE</w:t>
      </w:r>
    </w:p>
    <w:p w14:paraId="09927F98" w14:textId="77777777" w:rsidR="00964652" w:rsidRPr="002B38FF" w:rsidRDefault="00964652" w:rsidP="00DE7249">
      <w:pPr>
        <w:spacing w:after="0" w:line="240" w:lineRule="auto"/>
        <w:rPr>
          <w:b/>
          <w:color w:val="CE4C11"/>
          <w:szCs w:val="32"/>
        </w:rPr>
      </w:pPr>
      <w:r w:rsidRPr="002B38FF">
        <w:rPr>
          <w:b/>
          <w:color w:val="CE4C11"/>
          <w:szCs w:val="32"/>
        </w:rPr>
        <w:t>Eligibility Standard</w:t>
      </w:r>
    </w:p>
    <w:p w14:paraId="5435912E" w14:textId="4DD2A623" w:rsidR="00964652" w:rsidRPr="00F15971" w:rsidRDefault="00F15971" w:rsidP="00DE7249">
      <w:pPr>
        <w:spacing w:after="0" w:line="240" w:lineRule="auto"/>
        <w:rPr>
          <w:sz w:val="20"/>
          <w:szCs w:val="20"/>
        </w:rPr>
      </w:pPr>
      <w:r w:rsidRPr="00F15971">
        <w:rPr>
          <w:sz w:val="20"/>
          <w:szCs w:val="20"/>
        </w:rPr>
        <w:t>An LEA is not eligible to receive IDEA Part B funds until it has met the MOE eligibility (i.e., budget) standard.</w:t>
      </w:r>
      <w:r w:rsidR="006F1DF1">
        <w:rPr>
          <w:sz w:val="20"/>
          <w:szCs w:val="20"/>
        </w:rPr>
        <w:t xml:space="preserve"> The LEA will be contact</w:t>
      </w:r>
      <w:r w:rsidR="00860168">
        <w:rPr>
          <w:sz w:val="20"/>
          <w:szCs w:val="20"/>
        </w:rPr>
        <w:t>ed</w:t>
      </w:r>
      <w:r w:rsidR="006F1DF1">
        <w:rPr>
          <w:sz w:val="20"/>
          <w:szCs w:val="20"/>
        </w:rPr>
        <w:t xml:space="preserve"> by DESE to resolve MOE eligibility non-compliance</w:t>
      </w:r>
      <w:r w:rsidR="0066124C">
        <w:rPr>
          <w:sz w:val="20"/>
          <w:szCs w:val="20"/>
        </w:rPr>
        <w:t xml:space="preserve"> based on</w:t>
      </w:r>
      <w:r w:rsidR="00041E05">
        <w:rPr>
          <w:sz w:val="20"/>
          <w:szCs w:val="20"/>
        </w:rPr>
        <w:t xml:space="preserve"> review of the LEAs’</w:t>
      </w:r>
      <w:r w:rsidR="0066124C">
        <w:rPr>
          <w:sz w:val="20"/>
          <w:szCs w:val="20"/>
        </w:rPr>
        <w:t xml:space="preserve"> IDEA consolidated application</w:t>
      </w:r>
      <w:r w:rsidR="006F1DF1">
        <w:rPr>
          <w:sz w:val="20"/>
          <w:szCs w:val="20"/>
        </w:rPr>
        <w:t xml:space="preserve">. </w:t>
      </w:r>
    </w:p>
    <w:p w14:paraId="260F7CEF" w14:textId="77777777" w:rsidR="00964652" w:rsidRDefault="00964652" w:rsidP="00DE7249">
      <w:pPr>
        <w:spacing w:after="0" w:line="240" w:lineRule="auto"/>
        <w:rPr>
          <w:b/>
          <w:color w:val="E36C0A" w:themeColor="accent6" w:themeShade="BF"/>
          <w:sz w:val="24"/>
          <w:szCs w:val="32"/>
        </w:rPr>
      </w:pPr>
    </w:p>
    <w:p w14:paraId="3B38B3E4" w14:textId="77777777" w:rsidR="00964652" w:rsidRPr="002B38FF" w:rsidRDefault="00964652" w:rsidP="00DE7249">
      <w:pPr>
        <w:spacing w:after="0" w:line="240" w:lineRule="auto"/>
        <w:rPr>
          <w:b/>
          <w:color w:val="CE4C11"/>
          <w:szCs w:val="32"/>
        </w:rPr>
      </w:pPr>
      <w:r w:rsidRPr="002B38FF">
        <w:rPr>
          <w:b/>
          <w:color w:val="CE4C11"/>
          <w:szCs w:val="32"/>
        </w:rPr>
        <w:t>Compliance Standard</w:t>
      </w:r>
    </w:p>
    <w:p w14:paraId="095A0E38" w14:textId="6791089B" w:rsidR="00964652" w:rsidRPr="00F15971" w:rsidRDefault="00F15971" w:rsidP="00DE7249">
      <w:pPr>
        <w:spacing w:after="0" w:line="240" w:lineRule="auto"/>
        <w:rPr>
          <w:sz w:val="20"/>
          <w:szCs w:val="20"/>
        </w:rPr>
      </w:pPr>
      <w:r w:rsidRPr="00F15971">
        <w:rPr>
          <w:sz w:val="20"/>
          <w:szCs w:val="20"/>
        </w:rPr>
        <w:t xml:space="preserve">If </w:t>
      </w:r>
      <w:r w:rsidR="00041E05">
        <w:rPr>
          <w:sz w:val="20"/>
          <w:szCs w:val="20"/>
        </w:rPr>
        <w:t xml:space="preserve">DESE determines following a review of EOY reports that </w:t>
      </w:r>
      <w:r w:rsidRPr="00F15971">
        <w:rPr>
          <w:sz w:val="20"/>
          <w:szCs w:val="20"/>
        </w:rPr>
        <w:t xml:space="preserve">an LEA </w:t>
      </w:r>
      <w:r w:rsidR="00041E05">
        <w:rPr>
          <w:sz w:val="20"/>
          <w:szCs w:val="20"/>
        </w:rPr>
        <w:t xml:space="preserve">has </w:t>
      </w:r>
      <w:r w:rsidRPr="00F15971">
        <w:rPr>
          <w:sz w:val="20"/>
          <w:szCs w:val="20"/>
        </w:rPr>
        <w:t>fail</w:t>
      </w:r>
      <w:r w:rsidR="00041E05">
        <w:rPr>
          <w:sz w:val="20"/>
          <w:szCs w:val="20"/>
        </w:rPr>
        <w:t>ed</w:t>
      </w:r>
      <w:r w:rsidRPr="00F15971">
        <w:rPr>
          <w:sz w:val="20"/>
          <w:szCs w:val="20"/>
        </w:rPr>
        <w:t xml:space="preserve"> to meet its MOE compliance (i.e., expenditure) standard</w:t>
      </w:r>
      <w:r w:rsidR="00041E05">
        <w:rPr>
          <w:sz w:val="20"/>
          <w:szCs w:val="20"/>
        </w:rPr>
        <w:t xml:space="preserve"> and there are not acceptable reasons to allow reduction of MOE as described above</w:t>
      </w:r>
      <w:r w:rsidRPr="00F15971">
        <w:rPr>
          <w:sz w:val="20"/>
          <w:szCs w:val="20"/>
        </w:rPr>
        <w:t xml:space="preserve">, </w:t>
      </w:r>
      <w:r>
        <w:rPr>
          <w:sz w:val="20"/>
          <w:szCs w:val="20"/>
        </w:rPr>
        <w:t>t</w:t>
      </w:r>
      <w:r w:rsidRPr="00311DA8">
        <w:rPr>
          <w:sz w:val="20"/>
          <w:szCs w:val="20"/>
        </w:rPr>
        <w:t>he LEA must repay</w:t>
      </w:r>
      <w:r w:rsidRPr="00F15971">
        <w:rPr>
          <w:sz w:val="20"/>
          <w:szCs w:val="20"/>
        </w:rPr>
        <w:t xml:space="preserve"> either the difference between what the LEA actually spent and what it should have spent to meet the MOE requirement, or the amount of the LEA’s Part B subgrant for that fiscal year, whichever is l</w:t>
      </w:r>
      <w:r w:rsidR="0066124C">
        <w:rPr>
          <w:sz w:val="20"/>
          <w:szCs w:val="20"/>
        </w:rPr>
        <w:t>ess</w:t>
      </w:r>
      <w:r w:rsidR="00041E05">
        <w:rPr>
          <w:sz w:val="20"/>
          <w:szCs w:val="20"/>
        </w:rPr>
        <w:t xml:space="preserve">. Repayment must be made </w:t>
      </w:r>
      <w:r w:rsidR="0066124C" w:rsidRPr="00F15971">
        <w:rPr>
          <w:sz w:val="20"/>
          <w:szCs w:val="20"/>
        </w:rPr>
        <w:t xml:space="preserve">using nonfederal funds </w:t>
      </w:r>
      <w:r w:rsidR="00041E05">
        <w:rPr>
          <w:sz w:val="20"/>
          <w:szCs w:val="20"/>
        </w:rPr>
        <w:t>(i.e., State or local funds)</w:t>
      </w:r>
      <w:r w:rsidR="00C56D89">
        <w:rPr>
          <w:sz w:val="20"/>
          <w:szCs w:val="20"/>
        </w:rPr>
        <w:t>.</w:t>
      </w:r>
    </w:p>
    <w:p w14:paraId="5EE02C65" w14:textId="77777777" w:rsidR="00DE7249" w:rsidRDefault="00DE7249" w:rsidP="00DE7249">
      <w:pPr>
        <w:spacing w:after="0" w:line="240" w:lineRule="auto"/>
        <w:rPr>
          <w:b/>
          <w:color w:val="1F497D" w:themeColor="text2"/>
          <w:sz w:val="24"/>
        </w:rPr>
      </w:pPr>
    </w:p>
    <w:p w14:paraId="5914056B" w14:textId="77777777" w:rsidR="00CB59EA" w:rsidRDefault="00CB59EA" w:rsidP="00DE7249">
      <w:pPr>
        <w:spacing w:after="0" w:line="240" w:lineRule="auto"/>
        <w:rPr>
          <w:b/>
          <w:color w:val="1F497D" w:themeColor="text2"/>
          <w:sz w:val="24"/>
        </w:rPr>
      </w:pPr>
      <w:r>
        <w:rPr>
          <w:b/>
          <w:color w:val="1F497D" w:themeColor="text2"/>
          <w:sz w:val="24"/>
        </w:rPr>
        <w:t>Resources</w:t>
      </w:r>
    </w:p>
    <w:p w14:paraId="7020B4D5" w14:textId="77777777" w:rsidR="00964652" w:rsidRPr="002B38FF" w:rsidRDefault="00AC6F4B" w:rsidP="00DE7249">
      <w:pPr>
        <w:spacing w:after="0" w:line="240" w:lineRule="auto"/>
        <w:rPr>
          <w:b/>
          <w:color w:val="CE4C11"/>
          <w:szCs w:val="32"/>
        </w:rPr>
      </w:pPr>
      <w:r w:rsidRPr="002B38FF">
        <w:rPr>
          <w:b/>
          <w:color w:val="CE4C11"/>
          <w:szCs w:val="32"/>
        </w:rPr>
        <w:t>Federal Guidance</w:t>
      </w:r>
    </w:p>
    <w:p w14:paraId="31C63CDA" w14:textId="77777777" w:rsidR="00AC6F4B" w:rsidRPr="006222F6" w:rsidRDefault="00E81F8D" w:rsidP="00DE7249">
      <w:pPr>
        <w:pStyle w:val="ListParagraph"/>
        <w:numPr>
          <w:ilvl w:val="0"/>
          <w:numId w:val="36"/>
        </w:numPr>
        <w:spacing w:after="0" w:line="240" w:lineRule="auto"/>
        <w:rPr>
          <w:sz w:val="20"/>
          <w:szCs w:val="20"/>
        </w:rPr>
      </w:pPr>
      <w:hyperlink r:id="rId16" w:history="1">
        <w:r w:rsidR="00AC6F4B" w:rsidRPr="006222F6">
          <w:rPr>
            <w:rStyle w:val="Hyperlink"/>
            <w:sz w:val="20"/>
            <w:szCs w:val="20"/>
          </w:rPr>
          <w:t>34 CFR §300.203</w:t>
        </w:r>
      </w:hyperlink>
    </w:p>
    <w:p w14:paraId="1D193936" w14:textId="77777777" w:rsidR="00AC6F4B" w:rsidRPr="006222F6" w:rsidRDefault="00E81F8D" w:rsidP="00DE7249">
      <w:pPr>
        <w:pStyle w:val="ListParagraph"/>
        <w:numPr>
          <w:ilvl w:val="0"/>
          <w:numId w:val="36"/>
        </w:numPr>
        <w:spacing w:after="0" w:line="240" w:lineRule="auto"/>
        <w:rPr>
          <w:sz w:val="20"/>
          <w:szCs w:val="20"/>
        </w:rPr>
      </w:pPr>
      <w:hyperlink r:id="rId17" w:history="1">
        <w:r w:rsidR="00AC6F4B" w:rsidRPr="006222F6">
          <w:rPr>
            <w:rStyle w:val="Hyperlink"/>
            <w:sz w:val="20"/>
            <w:szCs w:val="20"/>
          </w:rPr>
          <w:t>34 CFR §300.204</w:t>
        </w:r>
      </w:hyperlink>
    </w:p>
    <w:p w14:paraId="6BB48111" w14:textId="77777777" w:rsidR="00B378B2" w:rsidRPr="006222F6" w:rsidRDefault="00E81F8D" w:rsidP="00DE7249">
      <w:pPr>
        <w:pStyle w:val="ListParagraph"/>
        <w:numPr>
          <w:ilvl w:val="0"/>
          <w:numId w:val="36"/>
        </w:numPr>
        <w:spacing w:after="0" w:line="240" w:lineRule="auto"/>
        <w:rPr>
          <w:color w:val="1F497D" w:themeColor="text2"/>
          <w:sz w:val="20"/>
          <w:szCs w:val="20"/>
        </w:rPr>
      </w:pPr>
      <w:hyperlink r:id="rId18" w:history="1">
        <w:r w:rsidR="00AC6F4B" w:rsidRPr="006222F6">
          <w:rPr>
            <w:rStyle w:val="Hyperlink"/>
            <w:sz w:val="20"/>
            <w:szCs w:val="20"/>
          </w:rPr>
          <w:t>34 CFR §300.205</w:t>
        </w:r>
      </w:hyperlink>
    </w:p>
    <w:p w14:paraId="06C848B7" w14:textId="77777777" w:rsidR="008D4C74" w:rsidRPr="006222F6" w:rsidRDefault="00E81F8D" w:rsidP="00DE7249">
      <w:pPr>
        <w:pStyle w:val="ListParagraph"/>
        <w:numPr>
          <w:ilvl w:val="0"/>
          <w:numId w:val="36"/>
        </w:numPr>
        <w:spacing w:after="0" w:line="240" w:lineRule="auto"/>
        <w:rPr>
          <w:color w:val="1F497D" w:themeColor="text2"/>
          <w:sz w:val="20"/>
          <w:szCs w:val="20"/>
        </w:rPr>
      </w:pPr>
      <w:hyperlink r:id="rId19" w:history="1">
        <w:r w:rsidR="008D4C74" w:rsidRPr="006222F6">
          <w:rPr>
            <w:rStyle w:val="Hyperlink"/>
            <w:rFonts w:cstheme="minorBidi"/>
            <w:sz w:val="20"/>
            <w:szCs w:val="20"/>
          </w:rPr>
          <w:t>Appendix D to Part 300—Maintenance of Effort and Early Intervening Services</w:t>
        </w:r>
      </w:hyperlink>
    </w:p>
    <w:p w14:paraId="4C9A385F" w14:textId="77777777" w:rsidR="008D4C74" w:rsidRPr="008D4C74" w:rsidRDefault="00E81F8D" w:rsidP="00DE7249">
      <w:pPr>
        <w:pStyle w:val="ListParagraph"/>
        <w:numPr>
          <w:ilvl w:val="0"/>
          <w:numId w:val="36"/>
        </w:numPr>
        <w:spacing w:after="0" w:line="240" w:lineRule="auto"/>
        <w:rPr>
          <w:color w:val="1F497D" w:themeColor="text2"/>
          <w:sz w:val="24"/>
        </w:rPr>
      </w:pPr>
      <w:hyperlink r:id="rId20" w:history="1">
        <w:r w:rsidR="008D4C74" w:rsidRPr="006222F6">
          <w:rPr>
            <w:rStyle w:val="Hyperlink"/>
            <w:rFonts w:cstheme="minorBidi"/>
            <w:sz w:val="20"/>
            <w:szCs w:val="20"/>
          </w:rPr>
          <w:t>Appendix E to Part 300—Local Educational Agency Maintenance of Effort Calculation Examples</w:t>
        </w:r>
      </w:hyperlink>
      <w:r w:rsidR="008D4C74" w:rsidRPr="008D4C74">
        <w:rPr>
          <w:color w:val="1F497D" w:themeColor="text2"/>
          <w:sz w:val="24"/>
        </w:rPr>
        <w:t xml:space="preserve">  </w:t>
      </w:r>
    </w:p>
    <w:p w14:paraId="53716E93" w14:textId="77777777" w:rsidR="00DE7249" w:rsidRDefault="00DE7249" w:rsidP="00DE7249">
      <w:pPr>
        <w:spacing w:after="0" w:line="240" w:lineRule="auto"/>
        <w:rPr>
          <w:b/>
          <w:color w:val="E36C0A" w:themeColor="accent6" w:themeShade="BF"/>
          <w:sz w:val="24"/>
          <w:szCs w:val="32"/>
        </w:rPr>
      </w:pPr>
    </w:p>
    <w:p w14:paraId="2718E048" w14:textId="77777777" w:rsidR="00151A49" w:rsidRDefault="00151A49" w:rsidP="00DE7249">
      <w:pPr>
        <w:spacing w:after="0" w:line="240" w:lineRule="auto"/>
        <w:rPr>
          <w:b/>
          <w:color w:val="E36C0A" w:themeColor="accent6" w:themeShade="BF"/>
          <w:szCs w:val="32"/>
        </w:rPr>
      </w:pPr>
    </w:p>
    <w:p w14:paraId="24EBBEEC" w14:textId="77777777" w:rsidR="00151A49" w:rsidRDefault="00151A49" w:rsidP="00DE7249">
      <w:pPr>
        <w:spacing w:after="0" w:line="240" w:lineRule="auto"/>
        <w:rPr>
          <w:b/>
          <w:color w:val="E36C0A" w:themeColor="accent6" w:themeShade="BF"/>
          <w:szCs w:val="32"/>
        </w:rPr>
      </w:pPr>
    </w:p>
    <w:p w14:paraId="41ABE3FB" w14:textId="00610439" w:rsidR="00AC6F4B" w:rsidRPr="002B38FF" w:rsidRDefault="00AC6F4B" w:rsidP="00DE7249">
      <w:pPr>
        <w:spacing w:after="0" w:line="240" w:lineRule="auto"/>
        <w:rPr>
          <w:b/>
          <w:color w:val="CE4C11"/>
          <w:szCs w:val="32"/>
        </w:rPr>
      </w:pPr>
      <w:r w:rsidRPr="002B38FF">
        <w:rPr>
          <w:b/>
          <w:color w:val="CE4C11"/>
          <w:szCs w:val="32"/>
        </w:rPr>
        <w:lastRenderedPageBreak/>
        <w:t>Center for IDEA Fiscal Reporting (CIFR)</w:t>
      </w:r>
      <w:r w:rsidR="008D4C74" w:rsidRPr="002B38FF">
        <w:rPr>
          <w:b/>
          <w:color w:val="CE4C11"/>
          <w:szCs w:val="32"/>
        </w:rPr>
        <w:t xml:space="preserve"> and IDEA Data Center (IDC)</w:t>
      </w:r>
    </w:p>
    <w:p w14:paraId="7A55E135" w14:textId="77777777" w:rsidR="00AC6F4B" w:rsidRPr="006222F6" w:rsidRDefault="00E81F8D" w:rsidP="00DE7249">
      <w:pPr>
        <w:pStyle w:val="ListParagraph"/>
        <w:numPr>
          <w:ilvl w:val="0"/>
          <w:numId w:val="37"/>
        </w:numPr>
        <w:spacing w:after="0" w:line="240" w:lineRule="auto"/>
        <w:rPr>
          <w:sz w:val="20"/>
        </w:rPr>
      </w:pPr>
      <w:hyperlink r:id="rId21" w:history="1">
        <w:r w:rsidR="00AC6F4B" w:rsidRPr="006222F6">
          <w:rPr>
            <w:rStyle w:val="Hyperlink"/>
            <w:sz w:val="20"/>
          </w:rPr>
          <w:t>LEA MOE Calculator</w:t>
        </w:r>
      </w:hyperlink>
    </w:p>
    <w:p w14:paraId="4BADA3F7" w14:textId="77777777" w:rsidR="00AC6F4B" w:rsidRPr="006222F6" w:rsidRDefault="00E81F8D" w:rsidP="00DE7249">
      <w:pPr>
        <w:pStyle w:val="ListParagraph"/>
        <w:numPr>
          <w:ilvl w:val="0"/>
          <w:numId w:val="37"/>
        </w:numPr>
        <w:spacing w:after="0" w:line="240" w:lineRule="auto"/>
        <w:rPr>
          <w:sz w:val="20"/>
        </w:rPr>
      </w:pPr>
      <w:hyperlink r:id="rId22" w:history="1">
        <w:r w:rsidR="00AC6F4B" w:rsidRPr="006222F6">
          <w:rPr>
            <w:rStyle w:val="Hyperlink"/>
            <w:sz w:val="20"/>
          </w:rPr>
          <w:t>LEA MOE Organizer</w:t>
        </w:r>
      </w:hyperlink>
      <w:r w:rsidR="00AC6F4B" w:rsidRPr="006222F6">
        <w:rPr>
          <w:sz w:val="20"/>
        </w:rPr>
        <w:t xml:space="preserve"> </w:t>
      </w:r>
    </w:p>
    <w:p w14:paraId="5F78225B" w14:textId="77777777" w:rsidR="00DE7249" w:rsidRPr="006222F6" w:rsidRDefault="00E81F8D" w:rsidP="00DE7249">
      <w:pPr>
        <w:pStyle w:val="ListParagraph"/>
        <w:numPr>
          <w:ilvl w:val="0"/>
          <w:numId w:val="37"/>
        </w:numPr>
        <w:spacing w:after="0" w:line="240" w:lineRule="auto"/>
        <w:rPr>
          <w:sz w:val="20"/>
        </w:rPr>
      </w:pPr>
      <w:hyperlink r:id="rId23" w:history="1">
        <w:r w:rsidR="00294FF0" w:rsidRPr="006222F6">
          <w:rPr>
            <w:rStyle w:val="Hyperlink"/>
            <w:sz w:val="20"/>
          </w:rPr>
          <w:t>Quick Reference Guide on IDEA Local Educational Agency (LEA) Maintenance of Effort (MOE)</w:t>
        </w:r>
      </w:hyperlink>
    </w:p>
    <w:p w14:paraId="1ECADEEB" w14:textId="77777777" w:rsidR="00294FF0" w:rsidRPr="006222F6" w:rsidRDefault="00E81F8D" w:rsidP="00DE7249">
      <w:pPr>
        <w:pStyle w:val="ListParagraph"/>
        <w:numPr>
          <w:ilvl w:val="0"/>
          <w:numId w:val="37"/>
        </w:numPr>
        <w:spacing w:after="0" w:line="240" w:lineRule="auto"/>
        <w:rPr>
          <w:sz w:val="20"/>
        </w:rPr>
      </w:pPr>
      <w:hyperlink r:id="rId24" w:history="1">
        <w:r w:rsidR="00294FF0" w:rsidRPr="006222F6">
          <w:rPr>
            <w:rStyle w:val="Hyperlink"/>
            <w:rFonts w:cstheme="minorBidi"/>
            <w:sz w:val="20"/>
          </w:rPr>
          <w:t>Decision Tree for Determining Eligibility to Reduce Maintenance of Effort (MOE)</w:t>
        </w:r>
      </w:hyperlink>
      <w:r w:rsidR="00294FF0" w:rsidRPr="006222F6">
        <w:rPr>
          <w:sz w:val="20"/>
        </w:rPr>
        <w:t xml:space="preserve"> </w:t>
      </w:r>
    </w:p>
    <w:p w14:paraId="67D69963" w14:textId="77777777" w:rsidR="00B378B2" w:rsidRDefault="00B378B2" w:rsidP="00DE7249">
      <w:pPr>
        <w:spacing w:after="0" w:line="240" w:lineRule="auto"/>
        <w:rPr>
          <w:b/>
          <w:color w:val="1F497D" w:themeColor="text2"/>
          <w:sz w:val="24"/>
        </w:rPr>
      </w:pPr>
    </w:p>
    <w:sectPr w:rsidR="00B378B2" w:rsidSect="009F512A">
      <w:headerReference w:type="default" r:id="rId25"/>
      <w:footerReference w:type="default" r:id="rId26"/>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7923" w14:textId="77777777" w:rsidR="001000A1" w:rsidRDefault="001000A1" w:rsidP="002123C2">
      <w:pPr>
        <w:spacing w:after="0" w:line="240" w:lineRule="auto"/>
      </w:pPr>
      <w:r>
        <w:separator/>
      </w:r>
    </w:p>
  </w:endnote>
  <w:endnote w:type="continuationSeparator" w:id="0">
    <w:p w14:paraId="0E795BFA" w14:textId="77777777" w:rsidR="001000A1" w:rsidRDefault="001000A1"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2925" w14:textId="0359EF5C" w:rsidR="00DF4F96" w:rsidRPr="00DE6134" w:rsidRDefault="00DE6134" w:rsidP="004143AD">
    <w:pPr>
      <w:pStyle w:val="Footer"/>
      <w:shd w:val="clear" w:color="auto" w:fill="FFFFFF" w:themeFill="background1"/>
      <w:rPr>
        <w:sz w:val="20"/>
        <w:szCs w:val="20"/>
      </w:rPr>
    </w:pPr>
    <w:r w:rsidRPr="00DE6134">
      <w:rPr>
        <w:sz w:val="20"/>
        <w:szCs w:val="20"/>
      </w:rPr>
      <w:t xml:space="preserve">Updated </w:t>
    </w:r>
    <w:r w:rsidR="00A83CD6">
      <w:rPr>
        <w:sz w:val="20"/>
        <w:szCs w:val="20"/>
      </w:rPr>
      <w:t>August 2023</w:t>
    </w:r>
  </w:p>
  <w:p w14:paraId="33E44B7B" w14:textId="77777777" w:rsidR="00DF4F96" w:rsidRDefault="00DF4F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920F" w14:textId="77777777" w:rsidR="001000A1" w:rsidRDefault="001000A1" w:rsidP="002123C2">
      <w:pPr>
        <w:spacing w:after="0" w:line="240" w:lineRule="auto"/>
      </w:pPr>
      <w:r>
        <w:separator/>
      </w:r>
    </w:p>
  </w:footnote>
  <w:footnote w:type="continuationSeparator" w:id="0">
    <w:p w14:paraId="1D331CFF" w14:textId="77777777" w:rsidR="001000A1" w:rsidRDefault="001000A1"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742"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37A"/>
    <w:multiLevelType w:val="hybridMultilevel"/>
    <w:tmpl w:val="E69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910CB"/>
    <w:multiLevelType w:val="hybridMultilevel"/>
    <w:tmpl w:val="D65C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444"/>
    <w:multiLevelType w:val="hybridMultilevel"/>
    <w:tmpl w:val="1A848DF2"/>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54D6B"/>
    <w:multiLevelType w:val="hybridMultilevel"/>
    <w:tmpl w:val="7E8C240E"/>
    <w:lvl w:ilvl="0" w:tplc="91F2730A">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039D9"/>
    <w:multiLevelType w:val="hybridMultilevel"/>
    <w:tmpl w:val="D24E9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A0940"/>
    <w:multiLevelType w:val="hybridMultilevel"/>
    <w:tmpl w:val="DB42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E34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E5BAF"/>
    <w:multiLevelType w:val="hybridMultilevel"/>
    <w:tmpl w:val="D9A8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E038E7"/>
    <w:multiLevelType w:val="hybridMultilevel"/>
    <w:tmpl w:val="905CB1C6"/>
    <w:lvl w:ilvl="0" w:tplc="91F2730A">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3949"/>
    <w:multiLevelType w:val="hybridMultilevel"/>
    <w:tmpl w:val="E4B8E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B105D6"/>
    <w:multiLevelType w:val="hybridMultilevel"/>
    <w:tmpl w:val="1BB42720"/>
    <w:lvl w:ilvl="0" w:tplc="91F2730A">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07568"/>
    <w:multiLevelType w:val="hybridMultilevel"/>
    <w:tmpl w:val="F5D6A81A"/>
    <w:lvl w:ilvl="0" w:tplc="91F2730A">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82BA6"/>
    <w:multiLevelType w:val="hybridMultilevel"/>
    <w:tmpl w:val="B27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14874"/>
    <w:multiLevelType w:val="hybridMultilevel"/>
    <w:tmpl w:val="14B82606"/>
    <w:lvl w:ilvl="0" w:tplc="093CAD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137913">
    <w:abstractNumId w:val="25"/>
  </w:num>
  <w:num w:numId="2" w16cid:durableId="964965331">
    <w:abstractNumId w:val="10"/>
  </w:num>
  <w:num w:numId="3" w16cid:durableId="210389180">
    <w:abstractNumId w:val="9"/>
  </w:num>
  <w:num w:numId="4" w16cid:durableId="1943604557">
    <w:abstractNumId w:val="24"/>
  </w:num>
  <w:num w:numId="5" w16cid:durableId="1969167161">
    <w:abstractNumId w:val="12"/>
  </w:num>
  <w:num w:numId="6" w16cid:durableId="2008050046">
    <w:abstractNumId w:val="19"/>
  </w:num>
  <w:num w:numId="7" w16cid:durableId="378436293">
    <w:abstractNumId w:val="21"/>
  </w:num>
  <w:num w:numId="8" w16cid:durableId="171533693">
    <w:abstractNumId w:val="20"/>
  </w:num>
  <w:num w:numId="9" w16cid:durableId="1999386552">
    <w:abstractNumId w:val="11"/>
  </w:num>
  <w:num w:numId="10" w16cid:durableId="498888021">
    <w:abstractNumId w:val="26"/>
  </w:num>
  <w:num w:numId="11" w16cid:durableId="1063794687">
    <w:abstractNumId w:val="28"/>
  </w:num>
  <w:num w:numId="12" w16cid:durableId="354969404">
    <w:abstractNumId w:val="35"/>
  </w:num>
  <w:num w:numId="13" w16cid:durableId="970404777">
    <w:abstractNumId w:val="2"/>
  </w:num>
  <w:num w:numId="14" w16cid:durableId="709375889">
    <w:abstractNumId w:val="7"/>
  </w:num>
  <w:num w:numId="15" w16cid:durableId="409086130">
    <w:abstractNumId w:val="38"/>
  </w:num>
  <w:num w:numId="16" w16cid:durableId="1068186946">
    <w:abstractNumId w:val="36"/>
  </w:num>
  <w:num w:numId="17" w16cid:durableId="47649888">
    <w:abstractNumId w:val="15"/>
  </w:num>
  <w:num w:numId="18" w16cid:durableId="1807427341">
    <w:abstractNumId w:val="34"/>
  </w:num>
  <w:num w:numId="19" w16cid:durableId="1310479106">
    <w:abstractNumId w:val="22"/>
  </w:num>
  <w:num w:numId="20" w16cid:durableId="314649597">
    <w:abstractNumId w:val="18"/>
  </w:num>
  <w:num w:numId="21" w16cid:durableId="1519735335">
    <w:abstractNumId w:val="1"/>
  </w:num>
  <w:num w:numId="22" w16cid:durableId="982000890">
    <w:abstractNumId w:val="33"/>
  </w:num>
  <w:num w:numId="23" w16cid:durableId="1318387942">
    <w:abstractNumId w:val="37"/>
  </w:num>
  <w:num w:numId="24" w16cid:durableId="1001590148">
    <w:abstractNumId w:val="17"/>
  </w:num>
  <w:num w:numId="25" w16cid:durableId="789476941">
    <w:abstractNumId w:val="5"/>
  </w:num>
  <w:num w:numId="26" w16cid:durableId="2127498832">
    <w:abstractNumId w:val="29"/>
  </w:num>
  <w:num w:numId="27" w16cid:durableId="1306473106">
    <w:abstractNumId w:val="0"/>
  </w:num>
  <w:num w:numId="28" w16cid:durableId="1264730418">
    <w:abstractNumId w:val="3"/>
  </w:num>
  <w:num w:numId="29" w16cid:durableId="1700661785">
    <w:abstractNumId w:val="16"/>
  </w:num>
  <w:num w:numId="30" w16cid:durableId="1284732458">
    <w:abstractNumId w:val="6"/>
  </w:num>
  <w:num w:numId="31" w16cid:durableId="1450005401">
    <w:abstractNumId w:val="23"/>
  </w:num>
  <w:num w:numId="32" w16cid:durableId="707493245">
    <w:abstractNumId w:val="30"/>
  </w:num>
  <w:num w:numId="33" w16cid:durableId="1144079358">
    <w:abstractNumId w:val="4"/>
  </w:num>
  <w:num w:numId="34" w16cid:durableId="2075740019">
    <w:abstractNumId w:val="14"/>
  </w:num>
  <w:num w:numId="35" w16cid:durableId="534588417">
    <w:abstractNumId w:val="13"/>
  </w:num>
  <w:num w:numId="36" w16cid:durableId="1501699352">
    <w:abstractNumId w:val="32"/>
  </w:num>
  <w:num w:numId="37" w16cid:durableId="1499727715">
    <w:abstractNumId w:val="31"/>
  </w:num>
  <w:num w:numId="38" w16cid:durableId="1589535593">
    <w:abstractNumId w:val="27"/>
  </w:num>
  <w:num w:numId="39" w16cid:durableId="1308048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5006"/>
    <w:rsid w:val="00006B02"/>
    <w:rsid w:val="00007BDE"/>
    <w:rsid w:val="000125F3"/>
    <w:rsid w:val="00013A9F"/>
    <w:rsid w:val="0002190C"/>
    <w:rsid w:val="00032390"/>
    <w:rsid w:val="00041E05"/>
    <w:rsid w:val="00043D42"/>
    <w:rsid w:val="0005034B"/>
    <w:rsid w:val="00056C3B"/>
    <w:rsid w:val="00056E07"/>
    <w:rsid w:val="00056FFB"/>
    <w:rsid w:val="00063ABF"/>
    <w:rsid w:val="00076146"/>
    <w:rsid w:val="0007624F"/>
    <w:rsid w:val="0007729A"/>
    <w:rsid w:val="000808F3"/>
    <w:rsid w:val="0008207E"/>
    <w:rsid w:val="00082619"/>
    <w:rsid w:val="00084041"/>
    <w:rsid w:val="0008634B"/>
    <w:rsid w:val="00086F4E"/>
    <w:rsid w:val="000A1148"/>
    <w:rsid w:val="000A1997"/>
    <w:rsid w:val="000A5D6C"/>
    <w:rsid w:val="000A6682"/>
    <w:rsid w:val="000A6A4C"/>
    <w:rsid w:val="000A74D7"/>
    <w:rsid w:val="000B3059"/>
    <w:rsid w:val="000D13F0"/>
    <w:rsid w:val="000D1DAA"/>
    <w:rsid w:val="000D3FCB"/>
    <w:rsid w:val="000D4A11"/>
    <w:rsid w:val="000D4A78"/>
    <w:rsid w:val="000F210C"/>
    <w:rsid w:val="000F6D88"/>
    <w:rsid w:val="000F7479"/>
    <w:rsid w:val="001000A1"/>
    <w:rsid w:val="00104039"/>
    <w:rsid w:val="00104EA9"/>
    <w:rsid w:val="0012247C"/>
    <w:rsid w:val="001257AF"/>
    <w:rsid w:val="00137083"/>
    <w:rsid w:val="00142DB2"/>
    <w:rsid w:val="00144928"/>
    <w:rsid w:val="001513A6"/>
    <w:rsid w:val="00151A49"/>
    <w:rsid w:val="001574D3"/>
    <w:rsid w:val="00161728"/>
    <w:rsid w:val="00166240"/>
    <w:rsid w:val="00174313"/>
    <w:rsid w:val="00174E70"/>
    <w:rsid w:val="00175467"/>
    <w:rsid w:val="00180BC2"/>
    <w:rsid w:val="001860A8"/>
    <w:rsid w:val="00186E2D"/>
    <w:rsid w:val="001928D0"/>
    <w:rsid w:val="001A2855"/>
    <w:rsid w:val="001B111D"/>
    <w:rsid w:val="001B5AE3"/>
    <w:rsid w:val="001B7438"/>
    <w:rsid w:val="001C5770"/>
    <w:rsid w:val="001D6DF7"/>
    <w:rsid w:val="001E1BF2"/>
    <w:rsid w:val="001E3706"/>
    <w:rsid w:val="001E4A3B"/>
    <w:rsid w:val="001E7E32"/>
    <w:rsid w:val="001F0C9A"/>
    <w:rsid w:val="001F3EC7"/>
    <w:rsid w:val="00200FAC"/>
    <w:rsid w:val="0020151F"/>
    <w:rsid w:val="00205019"/>
    <w:rsid w:val="0020643D"/>
    <w:rsid w:val="002123C2"/>
    <w:rsid w:val="002251D1"/>
    <w:rsid w:val="002259FC"/>
    <w:rsid w:val="00231D56"/>
    <w:rsid w:val="00231DDF"/>
    <w:rsid w:val="00242546"/>
    <w:rsid w:val="002433E6"/>
    <w:rsid w:val="0024610A"/>
    <w:rsid w:val="00247627"/>
    <w:rsid w:val="002636CA"/>
    <w:rsid w:val="00267B36"/>
    <w:rsid w:val="00270A58"/>
    <w:rsid w:val="00271597"/>
    <w:rsid w:val="0028324E"/>
    <w:rsid w:val="00294558"/>
    <w:rsid w:val="00294BC2"/>
    <w:rsid w:val="00294FF0"/>
    <w:rsid w:val="002A0D06"/>
    <w:rsid w:val="002B205C"/>
    <w:rsid w:val="002B38FF"/>
    <w:rsid w:val="002D39D2"/>
    <w:rsid w:val="002E041D"/>
    <w:rsid w:val="002E075C"/>
    <w:rsid w:val="002E6CE8"/>
    <w:rsid w:val="002F2AC5"/>
    <w:rsid w:val="002F5E9B"/>
    <w:rsid w:val="00301353"/>
    <w:rsid w:val="003049E7"/>
    <w:rsid w:val="003062C9"/>
    <w:rsid w:val="003102F2"/>
    <w:rsid w:val="00311DA8"/>
    <w:rsid w:val="003135AE"/>
    <w:rsid w:val="003178E1"/>
    <w:rsid w:val="003250D3"/>
    <w:rsid w:val="0033200D"/>
    <w:rsid w:val="00333555"/>
    <w:rsid w:val="00340A80"/>
    <w:rsid w:val="0034241C"/>
    <w:rsid w:val="00342FD0"/>
    <w:rsid w:val="003461A7"/>
    <w:rsid w:val="003511BC"/>
    <w:rsid w:val="00352E14"/>
    <w:rsid w:val="00356B3D"/>
    <w:rsid w:val="00362B71"/>
    <w:rsid w:val="0036578E"/>
    <w:rsid w:val="003660A3"/>
    <w:rsid w:val="00382625"/>
    <w:rsid w:val="00397260"/>
    <w:rsid w:val="003A02C2"/>
    <w:rsid w:val="003A4FB0"/>
    <w:rsid w:val="003A6BCA"/>
    <w:rsid w:val="003A7938"/>
    <w:rsid w:val="003B2F2B"/>
    <w:rsid w:val="003B6176"/>
    <w:rsid w:val="003C60D8"/>
    <w:rsid w:val="003D31F2"/>
    <w:rsid w:val="003F5B64"/>
    <w:rsid w:val="003F66FA"/>
    <w:rsid w:val="004019BB"/>
    <w:rsid w:val="004075DC"/>
    <w:rsid w:val="00407BE0"/>
    <w:rsid w:val="00411DA1"/>
    <w:rsid w:val="00412815"/>
    <w:rsid w:val="004143AD"/>
    <w:rsid w:val="0042016C"/>
    <w:rsid w:val="0042154A"/>
    <w:rsid w:val="0042470F"/>
    <w:rsid w:val="0042798F"/>
    <w:rsid w:val="004305CE"/>
    <w:rsid w:val="0043728A"/>
    <w:rsid w:val="00446D2D"/>
    <w:rsid w:val="00447B42"/>
    <w:rsid w:val="00451061"/>
    <w:rsid w:val="00453C71"/>
    <w:rsid w:val="00454167"/>
    <w:rsid w:val="00464D17"/>
    <w:rsid w:val="004727F3"/>
    <w:rsid w:val="00477D32"/>
    <w:rsid w:val="00481F37"/>
    <w:rsid w:val="00482610"/>
    <w:rsid w:val="00485676"/>
    <w:rsid w:val="00492601"/>
    <w:rsid w:val="004A1C4F"/>
    <w:rsid w:val="004A3319"/>
    <w:rsid w:val="004A4AB3"/>
    <w:rsid w:val="004B6498"/>
    <w:rsid w:val="004C3776"/>
    <w:rsid w:val="004C7ED5"/>
    <w:rsid w:val="004D1423"/>
    <w:rsid w:val="004E0E81"/>
    <w:rsid w:val="004E1065"/>
    <w:rsid w:val="004F29A0"/>
    <w:rsid w:val="00510D00"/>
    <w:rsid w:val="005206E9"/>
    <w:rsid w:val="00532791"/>
    <w:rsid w:val="00533551"/>
    <w:rsid w:val="00544235"/>
    <w:rsid w:val="00546B72"/>
    <w:rsid w:val="00547FDF"/>
    <w:rsid w:val="00551669"/>
    <w:rsid w:val="00553323"/>
    <w:rsid w:val="00555745"/>
    <w:rsid w:val="00564973"/>
    <w:rsid w:val="00570588"/>
    <w:rsid w:val="00572BB4"/>
    <w:rsid w:val="00577430"/>
    <w:rsid w:val="005857BC"/>
    <w:rsid w:val="005863A1"/>
    <w:rsid w:val="005908E6"/>
    <w:rsid w:val="00592B55"/>
    <w:rsid w:val="00596234"/>
    <w:rsid w:val="00596C87"/>
    <w:rsid w:val="005B19DA"/>
    <w:rsid w:val="005B5161"/>
    <w:rsid w:val="005C23CD"/>
    <w:rsid w:val="005C6C1D"/>
    <w:rsid w:val="005C7CC9"/>
    <w:rsid w:val="005C7D9C"/>
    <w:rsid w:val="005D29B4"/>
    <w:rsid w:val="005D31FE"/>
    <w:rsid w:val="005F5D53"/>
    <w:rsid w:val="00601532"/>
    <w:rsid w:val="00621434"/>
    <w:rsid w:val="006222F6"/>
    <w:rsid w:val="00623E03"/>
    <w:rsid w:val="00624057"/>
    <w:rsid w:val="00631AA7"/>
    <w:rsid w:val="00634DB8"/>
    <w:rsid w:val="0063603F"/>
    <w:rsid w:val="00643D1F"/>
    <w:rsid w:val="0066124C"/>
    <w:rsid w:val="00661E9F"/>
    <w:rsid w:val="006819E3"/>
    <w:rsid w:val="0068601C"/>
    <w:rsid w:val="00686A87"/>
    <w:rsid w:val="006A67EF"/>
    <w:rsid w:val="006B390A"/>
    <w:rsid w:val="006C09C0"/>
    <w:rsid w:val="006E04FA"/>
    <w:rsid w:val="006E13B5"/>
    <w:rsid w:val="006E781A"/>
    <w:rsid w:val="006F0051"/>
    <w:rsid w:val="006F1DF1"/>
    <w:rsid w:val="006F2BB5"/>
    <w:rsid w:val="007025F1"/>
    <w:rsid w:val="00704FE4"/>
    <w:rsid w:val="007131B9"/>
    <w:rsid w:val="00733320"/>
    <w:rsid w:val="007338F6"/>
    <w:rsid w:val="00735A72"/>
    <w:rsid w:val="00743F65"/>
    <w:rsid w:val="00744CE8"/>
    <w:rsid w:val="007470EB"/>
    <w:rsid w:val="00747AF9"/>
    <w:rsid w:val="007614D0"/>
    <w:rsid w:val="00774EB2"/>
    <w:rsid w:val="00783E7A"/>
    <w:rsid w:val="007944D2"/>
    <w:rsid w:val="007B2E02"/>
    <w:rsid w:val="007B48A1"/>
    <w:rsid w:val="007C559C"/>
    <w:rsid w:val="007D7A90"/>
    <w:rsid w:val="007E638A"/>
    <w:rsid w:val="00806391"/>
    <w:rsid w:val="00811F57"/>
    <w:rsid w:val="008135CE"/>
    <w:rsid w:val="00833F0F"/>
    <w:rsid w:val="008342D4"/>
    <w:rsid w:val="00844745"/>
    <w:rsid w:val="00845120"/>
    <w:rsid w:val="008530BF"/>
    <w:rsid w:val="00860168"/>
    <w:rsid w:val="00870464"/>
    <w:rsid w:val="00873D07"/>
    <w:rsid w:val="0087528C"/>
    <w:rsid w:val="00881A90"/>
    <w:rsid w:val="00890DA5"/>
    <w:rsid w:val="008A197C"/>
    <w:rsid w:val="008A316B"/>
    <w:rsid w:val="008A468A"/>
    <w:rsid w:val="008A4FB9"/>
    <w:rsid w:val="008A6BB6"/>
    <w:rsid w:val="008C0CF9"/>
    <w:rsid w:val="008D1003"/>
    <w:rsid w:val="008D3D08"/>
    <w:rsid w:val="008D4C74"/>
    <w:rsid w:val="008D5EF6"/>
    <w:rsid w:val="008D6D24"/>
    <w:rsid w:val="008D7359"/>
    <w:rsid w:val="008E0075"/>
    <w:rsid w:val="008E19B4"/>
    <w:rsid w:val="008F5B16"/>
    <w:rsid w:val="00900869"/>
    <w:rsid w:val="00903340"/>
    <w:rsid w:val="00904B6D"/>
    <w:rsid w:val="00907F9D"/>
    <w:rsid w:val="00910ACA"/>
    <w:rsid w:val="0092051A"/>
    <w:rsid w:val="00924583"/>
    <w:rsid w:val="00926A88"/>
    <w:rsid w:val="0093452A"/>
    <w:rsid w:val="009363EF"/>
    <w:rsid w:val="00940535"/>
    <w:rsid w:val="009421C4"/>
    <w:rsid w:val="00950E3F"/>
    <w:rsid w:val="00964652"/>
    <w:rsid w:val="00965002"/>
    <w:rsid w:val="00966D4C"/>
    <w:rsid w:val="00966F5D"/>
    <w:rsid w:val="0097092F"/>
    <w:rsid w:val="00971A94"/>
    <w:rsid w:val="00972D90"/>
    <w:rsid w:val="0097445C"/>
    <w:rsid w:val="009904CF"/>
    <w:rsid w:val="0099059B"/>
    <w:rsid w:val="0099300D"/>
    <w:rsid w:val="00993F46"/>
    <w:rsid w:val="0099504F"/>
    <w:rsid w:val="009A0CB7"/>
    <w:rsid w:val="009B412E"/>
    <w:rsid w:val="009B741F"/>
    <w:rsid w:val="009C66D1"/>
    <w:rsid w:val="009D072A"/>
    <w:rsid w:val="009D2D48"/>
    <w:rsid w:val="009D5F80"/>
    <w:rsid w:val="009D7A8A"/>
    <w:rsid w:val="009E493C"/>
    <w:rsid w:val="009F29B9"/>
    <w:rsid w:val="009F4B90"/>
    <w:rsid w:val="009F512A"/>
    <w:rsid w:val="00A16A10"/>
    <w:rsid w:val="00A225A7"/>
    <w:rsid w:val="00A26FCC"/>
    <w:rsid w:val="00A30D9E"/>
    <w:rsid w:val="00A362B4"/>
    <w:rsid w:val="00A366EB"/>
    <w:rsid w:val="00A4263C"/>
    <w:rsid w:val="00A44FFF"/>
    <w:rsid w:val="00A50D93"/>
    <w:rsid w:val="00A51EDC"/>
    <w:rsid w:val="00A73B76"/>
    <w:rsid w:val="00A759BC"/>
    <w:rsid w:val="00A81DC5"/>
    <w:rsid w:val="00A83CD6"/>
    <w:rsid w:val="00A94E43"/>
    <w:rsid w:val="00AB05E3"/>
    <w:rsid w:val="00AC17AA"/>
    <w:rsid w:val="00AC6F4B"/>
    <w:rsid w:val="00AD1C20"/>
    <w:rsid w:val="00AD5EB7"/>
    <w:rsid w:val="00AE660A"/>
    <w:rsid w:val="00AF11A7"/>
    <w:rsid w:val="00B00277"/>
    <w:rsid w:val="00B12A87"/>
    <w:rsid w:val="00B13EB9"/>
    <w:rsid w:val="00B16149"/>
    <w:rsid w:val="00B230DE"/>
    <w:rsid w:val="00B34B51"/>
    <w:rsid w:val="00B350F6"/>
    <w:rsid w:val="00B378B2"/>
    <w:rsid w:val="00B40191"/>
    <w:rsid w:val="00B4519C"/>
    <w:rsid w:val="00B5042F"/>
    <w:rsid w:val="00B505C5"/>
    <w:rsid w:val="00B5196C"/>
    <w:rsid w:val="00B554F9"/>
    <w:rsid w:val="00B570C5"/>
    <w:rsid w:val="00B66A3B"/>
    <w:rsid w:val="00B73CEB"/>
    <w:rsid w:val="00B7702D"/>
    <w:rsid w:val="00B77C97"/>
    <w:rsid w:val="00B803F2"/>
    <w:rsid w:val="00B96B60"/>
    <w:rsid w:val="00BA2479"/>
    <w:rsid w:val="00BA5EA3"/>
    <w:rsid w:val="00BB2195"/>
    <w:rsid w:val="00BB21A0"/>
    <w:rsid w:val="00BC54D4"/>
    <w:rsid w:val="00BC58CE"/>
    <w:rsid w:val="00BD0357"/>
    <w:rsid w:val="00BD0978"/>
    <w:rsid w:val="00BD51AB"/>
    <w:rsid w:val="00BD6FD3"/>
    <w:rsid w:val="00BE26C7"/>
    <w:rsid w:val="00BF2AFB"/>
    <w:rsid w:val="00BF4166"/>
    <w:rsid w:val="00C004F4"/>
    <w:rsid w:val="00C02FD1"/>
    <w:rsid w:val="00C03C03"/>
    <w:rsid w:val="00C11075"/>
    <w:rsid w:val="00C117FB"/>
    <w:rsid w:val="00C2154C"/>
    <w:rsid w:val="00C25B7D"/>
    <w:rsid w:val="00C26AE4"/>
    <w:rsid w:val="00C31011"/>
    <w:rsid w:val="00C56D89"/>
    <w:rsid w:val="00C56E6F"/>
    <w:rsid w:val="00C64A67"/>
    <w:rsid w:val="00C672AE"/>
    <w:rsid w:val="00C80D4D"/>
    <w:rsid w:val="00C83AE6"/>
    <w:rsid w:val="00C85DEB"/>
    <w:rsid w:val="00C91EAE"/>
    <w:rsid w:val="00C944A9"/>
    <w:rsid w:val="00C94931"/>
    <w:rsid w:val="00C971A2"/>
    <w:rsid w:val="00CA1899"/>
    <w:rsid w:val="00CA3513"/>
    <w:rsid w:val="00CA4D14"/>
    <w:rsid w:val="00CB2B87"/>
    <w:rsid w:val="00CB56EA"/>
    <w:rsid w:val="00CB59EA"/>
    <w:rsid w:val="00CC71BF"/>
    <w:rsid w:val="00CD049D"/>
    <w:rsid w:val="00CD216B"/>
    <w:rsid w:val="00CE0FA0"/>
    <w:rsid w:val="00CE405C"/>
    <w:rsid w:val="00CE6144"/>
    <w:rsid w:val="00CF48CE"/>
    <w:rsid w:val="00CF4C60"/>
    <w:rsid w:val="00CF5678"/>
    <w:rsid w:val="00D04999"/>
    <w:rsid w:val="00D0630D"/>
    <w:rsid w:val="00D130A8"/>
    <w:rsid w:val="00D20433"/>
    <w:rsid w:val="00D22302"/>
    <w:rsid w:val="00D279FB"/>
    <w:rsid w:val="00D30875"/>
    <w:rsid w:val="00D44A9D"/>
    <w:rsid w:val="00D462B0"/>
    <w:rsid w:val="00D50D0E"/>
    <w:rsid w:val="00D54287"/>
    <w:rsid w:val="00D659A6"/>
    <w:rsid w:val="00D73ADB"/>
    <w:rsid w:val="00D81055"/>
    <w:rsid w:val="00D86719"/>
    <w:rsid w:val="00D905A0"/>
    <w:rsid w:val="00DA4E55"/>
    <w:rsid w:val="00DA670D"/>
    <w:rsid w:val="00DB3F6F"/>
    <w:rsid w:val="00DB4504"/>
    <w:rsid w:val="00DB4B83"/>
    <w:rsid w:val="00DB72D3"/>
    <w:rsid w:val="00DC63FB"/>
    <w:rsid w:val="00DC7426"/>
    <w:rsid w:val="00DD1CB5"/>
    <w:rsid w:val="00DD5E81"/>
    <w:rsid w:val="00DD7467"/>
    <w:rsid w:val="00DE2279"/>
    <w:rsid w:val="00DE35E2"/>
    <w:rsid w:val="00DE6134"/>
    <w:rsid w:val="00DE7249"/>
    <w:rsid w:val="00DF4F96"/>
    <w:rsid w:val="00DF551B"/>
    <w:rsid w:val="00E02476"/>
    <w:rsid w:val="00E250E1"/>
    <w:rsid w:val="00E26698"/>
    <w:rsid w:val="00E4096A"/>
    <w:rsid w:val="00E47503"/>
    <w:rsid w:val="00E51DD9"/>
    <w:rsid w:val="00E6581A"/>
    <w:rsid w:val="00E703ED"/>
    <w:rsid w:val="00E70C1D"/>
    <w:rsid w:val="00E7306A"/>
    <w:rsid w:val="00E7534C"/>
    <w:rsid w:val="00E768BF"/>
    <w:rsid w:val="00E81F8D"/>
    <w:rsid w:val="00EA2172"/>
    <w:rsid w:val="00EA2DA2"/>
    <w:rsid w:val="00EB3A99"/>
    <w:rsid w:val="00EC25E8"/>
    <w:rsid w:val="00EC2EAA"/>
    <w:rsid w:val="00EC342F"/>
    <w:rsid w:val="00EC7F66"/>
    <w:rsid w:val="00ED00FB"/>
    <w:rsid w:val="00ED57EC"/>
    <w:rsid w:val="00EE3C17"/>
    <w:rsid w:val="00EF11BB"/>
    <w:rsid w:val="00EF550F"/>
    <w:rsid w:val="00EF56DE"/>
    <w:rsid w:val="00EF5AA2"/>
    <w:rsid w:val="00F02FD1"/>
    <w:rsid w:val="00F05108"/>
    <w:rsid w:val="00F114D6"/>
    <w:rsid w:val="00F1496E"/>
    <w:rsid w:val="00F15971"/>
    <w:rsid w:val="00F2601C"/>
    <w:rsid w:val="00F2754F"/>
    <w:rsid w:val="00F31FB8"/>
    <w:rsid w:val="00F416E7"/>
    <w:rsid w:val="00F52F2B"/>
    <w:rsid w:val="00F53E9D"/>
    <w:rsid w:val="00F571B0"/>
    <w:rsid w:val="00F71E79"/>
    <w:rsid w:val="00F7421B"/>
    <w:rsid w:val="00F829BC"/>
    <w:rsid w:val="00F82D1B"/>
    <w:rsid w:val="00F95AB8"/>
    <w:rsid w:val="00FA2E43"/>
    <w:rsid w:val="00FA34A8"/>
    <w:rsid w:val="00FB0D62"/>
    <w:rsid w:val="00FD2069"/>
    <w:rsid w:val="00FE7B57"/>
    <w:rsid w:val="00FF7148"/>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99F021"/>
  <w15:docId w15:val="{BA0B7F65-4B50-4F8D-B85F-BD2C9ABF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294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0f615a8afeb13b7611e70cc5a3cd302b&amp;mc=true&amp;node=se34.2.300_1203&amp;rgn=div8" TargetMode="External"/><Relationship Id="rId18" Type="http://schemas.openxmlformats.org/officeDocument/2006/relationships/hyperlink" Target="https://www.ecfr.gov/cgi-bin/text-idx?SID=80f643b8f9b0a3d747cf4ea88e2e6bf7&amp;mc=true&amp;node=se34.2.300_1205&amp;rgn=div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ifr.wested.org/resources/lea-moe/calculato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cfr.gov/cgi-bin/text-idx?SID=80f643b8f9b0a3d747cf4ea88e2e6bf7&amp;mc=true&amp;node=se34.2.300_1204&amp;rgn=div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gi-bin/retrieveECFR?gp=1&amp;SID=80f643b8f9b0a3d747cf4ea88e2e6bf7&amp;ty=HTML&amp;h=L&amp;mc=true&amp;n=pt34.2.300&amp;r=PART" TargetMode="External"/><Relationship Id="rId20" Type="http://schemas.openxmlformats.org/officeDocument/2006/relationships/hyperlink" Target="https://www.ecfr.gov/cgi-bin/text-idx?SID=0f615a8afeb13b7611e70cc5a3cd302b&amp;mc=true&amp;node=ap34.2.300_1818.e&amp;rgn=div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deadata.org/sites/default/files/media/documents/2017-09/moe-ceis_decisiontree_formoe_reduction_v.pdf" TargetMode="External"/><Relationship Id="rId5" Type="http://schemas.openxmlformats.org/officeDocument/2006/relationships/customXml" Target="../customXml/item5.xml"/><Relationship Id="rId15" Type="http://schemas.openxmlformats.org/officeDocument/2006/relationships/hyperlink" Target="https://www.ecfr.gov/cgi-bin/text-idx?SID=0f615a8afeb13b7611e70cc5a3cd302b&amp;mc=true&amp;node=se34.2.300_1205&amp;rgn=div8" TargetMode="External"/><Relationship Id="rId23" Type="http://schemas.openxmlformats.org/officeDocument/2006/relationships/hyperlink" Target="https://cifr.wested.org/wp-content/uploads/2015/12/CIFR-LEA-MOE-QRG.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gi-bin/text-idx?SID=0f615a8afeb13b7611e70cc5a3cd302b&amp;mc=true&amp;node=ap34.2.300_1818.d&amp;rgn=div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0f615a8afeb13b7611e70cc5a3cd302b&amp;mc=true&amp;node=se34.2.300_1203&amp;rgn=div8" TargetMode="External"/><Relationship Id="rId22" Type="http://schemas.openxmlformats.org/officeDocument/2006/relationships/hyperlink" Target="https://cifr.wested.org/resources/lea-moe/organiz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DESE-231-61194</_dlc_DocId>
    <_dlc_DocIdUrl xmlns="733efe1c-5bbe-4968-87dc-d400e65c879f">
      <Url>https://sharepoint.doemass.org/ese/webteam/cps/_layouts/DocIdRedir.aspx?ID=DESE-231-61194</Url>
      <Description>DESE-231-61194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E1DD246-3DE7-45B3-BF2D-E247778DF181}">
  <ds:schemaRefs>
    <ds:schemaRef ds:uri="http://schemas.openxmlformats.org/officeDocument/2006/bibliography"/>
  </ds:schemaRefs>
</ds:datastoreItem>
</file>

<file path=customXml/itemProps2.xml><?xml version="1.0" encoding="utf-8"?>
<ds:datastoreItem xmlns:ds="http://schemas.openxmlformats.org/officeDocument/2006/customXml" ds:itemID="{79F4B5FF-F1A5-44B1-B065-988D33777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348AF-F464-4617-9151-3A8F4DA679CD}">
  <ds:schemaRefs>
    <ds:schemaRef ds:uri="http://purl.org/dc/elements/1.1/"/>
    <ds:schemaRef ds:uri="http://schemas.microsoft.com/office/2006/metadata/properties"/>
    <ds:schemaRef ds:uri="0a4e05da-b9bc-4326-ad73-01ef31b95567"/>
    <ds:schemaRef ds:uri="http://purl.org/dc/terms/"/>
    <ds:schemaRef ds:uri="733efe1c-5bbe-4968-87dc-d400e65c879f"/>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5.xml><?xml version="1.0" encoding="utf-8"?>
<ds:datastoreItem xmlns:ds="http://schemas.openxmlformats.org/officeDocument/2006/customXml" ds:itemID="{7B92EF44-4F1A-4103-865D-02093DD69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1576</Words>
  <Characters>7960</Characters>
  <Application>Microsoft Office Word</Application>
  <DocSecurity>0</DocSecurity>
  <Lines>142</Lines>
  <Paragraphs>86</Paragraphs>
  <ScaleCrop>false</ScaleCrop>
  <HeadingPairs>
    <vt:vector size="2" baseType="variant">
      <vt:variant>
        <vt:lpstr>Title</vt:lpstr>
      </vt:variant>
      <vt:variant>
        <vt:i4>1</vt:i4>
      </vt:variant>
    </vt:vector>
  </HeadingPairs>
  <TitlesOfParts>
    <vt:vector size="1" baseType="lpstr">
      <vt:lpstr>Quick Reference Guide: MOE</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MOE</dc:title>
  <dc:subject/>
  <dc:creator>DESE</dc:creator>
  <cp:keywords/>
  <cp:lastModifiedBy>Zou, Dong (EOE)</cp:lastModifiedBy>
  <cp:revision>5</cp:revision>
  <cp:lastPrinted>2019-11-27T18:43:00Z</cp:lastPrinted>
  <dcterms:created xsi:type="dcterms:W3CDTF">2023-08-07T16:04:00Z</dcterms:created>
  <dcterms:modified xsi:type="dcterms:W3CDTF">2023-08-15T18:15:00Z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2023 12:00AM</vt:lpwstr>
  </property>
</Properties>
</file>