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DCEA" w14:textId="0BE03345" w:rsidR="00113114" w:rsidRDefault="00C1383B" w:rsidP="00724904">
      <w:pPr>
        <w:pStyle w:val="Heading2"/>
      </w:pPr>
      <w:r w:rsidRPr="00A81A4B">
        <w:rPr>
          <w:noProof/>
          <w:color w:val="1F497D" w:themeColor="text2"/>
          <w:sz w:val="32"/>
          <w:szCs w:val="32"/>
        </w:rPr>
        <w:drawing>
          <wp:anchor distT="0" distB="0" distL="114300" distR="114300" simplePos="0" relativeHeight="251659264" behindDoc="0" locked="0" layoutInCell="1" allowOverlap="1" wp14:anchorId="1FD221B1" wp14:editId="779F899C">
            <wp:simplePos x="0" y="0"/>
            <wp:positionH relativeFrom="margin">
              <wp:posOffset>4876800</wp:posOffset>
            </wp:positionH>
            <wp:positionV relativeFrom="paragraph">
              <wp:posOffset>0</wp:posOffset>
            </wp:positionV>
            <wp:extent cx="1552575" cy="927618"/>
            <wp:effectExtent l="0" t="0" r="0" b="6350"/>
            <wp:wrapNone/>
            <wp:docPr id="3"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575" cy="9276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766AF2" w14:textId="626D0831" w:rsidR="00F22760" w:rsidRDefault="00DA71B5" w:rsidP="66C70E76">
      <w:pPr>
        <w:pStyle w:val="Heading2"/>
        <w:rPr>
          <w:rFonts w:asciiTheme="minorHAnsi" w:hAnsiTheme="minorHAnsi" w:cstheme="minorBidi"/>
          <w:color w:val="1F497D" w:themeColor="text2"/>
          <w:sz w:val="36"/>
          <w:szCs w:val="36"/>
        </w:rPr>
      </w:pPr>
      <w:r w:rsidRPr="66C70E76">
        <w:rPr>
          <w:rFonts w:asciiTheme="minorHAnsi" w:hAnsiTheme="minorHAnsi" w:cstheme="minorBidi"/>
          <w:color w:val="1F497D" w:themeColor="text2"/>
          <w:sz w:val="36"/>
          <w:szCs w:val="36"/>
        </w:rPr>
        <w:t xml:space="preserve">IDEA </w:t>
      </w:r>
      <w:r w:rsidR="00DB1042" w:rsidRPr="66C70E76">
        <w:rPr>
          <w:rFonts w:asciiTheme="minorHAnsi" w:hAnsiTheme="minorHAnsi" w:cstheme="minorBidi"/>
          <w:color w:val="1F497D" w:themeColor="text2"/>
          <w:sz w:val="36"/>
          <w:szCs w:val="36"/>
        </w:rPr>
        <w:t>Equitable Services</w:t>
      </w:r>
      <w:r w:rsidR="00113114" w:rsidRPr="66C70E76">
        <w:rPr>
          <w:rFonts w:asciiTheme="minorHAnsi" w:hAnsiTheme="minorHAnsi" w:cstheme="minorBidi"/>
          <w:color w:val="1F497D" w:themeColor="text2"/>
          <w:sz w:val="36"/>
          <w:szCs w:val="36"/>
        </w:rPr>
        <w:t xml:space="preserve"> </w:t>
      </w:r>
      <w:r w:rsidR="008645A2" w:rsidRPr="66C70E76">
        <w:rPr>
          <w:rFonts w:asciiTheme="minorHAnsi" w:hAnsiTheme="minorHAnsi" w:cstheme="minorBidi"/>
          <w:color w:val="1F497D" w:themeColor="text2"/>
          <w:sz w:val="36"/>
          <w:szCs w:val="36"/>
        </w:rPr>
        <w:t xml:space="preserve">Allowable Costs </w:t>
      </w:r>
    </w:p>
    <w:p w14:paraId="21E896EA" w14:textId="732A0107" w:rsidR="00113114" w:rsidRPr="00113114" w:rsidRDefault="00113114" w:rsidP="00724904">
      <w:pPr>
        <w:pStyle w:val="Heading2"/>
        <w:rPr>
          <w:rFonts w:asciiTheme="minorHAnsi" w:hAnsiTheme="minorHAnsi" w:cstheme="minorHAnsi"/>
          <w:color w:val="1F497D" w:themeColor="text2"/>
          <w:sz w:val="36"/>
          <w:szCs w:val="36"/>
        </w:rPr>
      </w:pPr>
      <w:r w:rsidRPr="00113114">
        <w:rPr>
          <w:rFonts w:asciiTheme="minorHAnsi" w:hAnsiTheme="minorHAnsi" w:cstheme="minorHAnsi"/>
          <w:color w:val="1F497D" w:themeColor="text2"/>
          <w:sz w:val="36"/>
          <w:szCs w:val="36"/>
        </w:rPr>
        <w:t>Quick Reference Guide</w:t>
      </w:r>
    </w:p>
    <w:p w14:paraId="771FF621" w14:textId="72F247BA" w:rsidR="00724904" w:rsidRPr="00F962CE" w:rsidRDefault="00724904" w:rsidP="001A4C6C">
      <w:pPr>
        <w:pStyle w:val="Heading2"/>
        <w:spacing w:before="40" w:after="40" w:line="240" w:lineRule="auto"/>
        <w:rPr>
          <w:rFonts w:asciiTheme="minorHAnsi" w:hAnsiTheme="minorHAnsi" w:cstheme="minorHAnsi"/>
          <w:szCs w:val="24"/>
        </w:rPr>
      </w:pPr>
      <w:r w:rsidRPr="00F962CE">
        <w:rPr>
          <w:rFonts w:asciiTheme="minorHAnsi" w:hAnsiTheme="minorHAnsi" w:cstheme="minorHAnsi"/>
          <w:szCs w:val="24"/>
        </w:rPr>
        <w:t>Overview</w:t>
      </w:r>
    </w:p>
    <w:p w14:paraId="59C3FB88" w14:textId="47328989" w:rsidR="00733E18" w:rsidRPr="00F962CE" w:rsidRDefault="00F962CE" w:rsidP="66C70E76">
      <w:pPr>
        <w:spacing w:before="40" w:after="40" w:line="240" w:lineRule="auto"/>
        <w:rPr>
          <w:rFonts w:asciiTheme="minorHAnsi" w:hAnsiTheme="minorHAnsi" w:cstheme="minorBidi"/>
        </w:rPr>
      </w:pPr>
      <w:r w:rsidRPr="66C70E76">
        <w:rPr>
          <w:rFonts w:asciiTheme="minorHAnsi" w:hAnsiTheme="minorHAnsi" w:cstheme="minorBidi"/>
        </w:rPr>
        <w:t>LEAs</w:t>
      </w:r>
      <w:r w:rsidR="0045649D" w:rsidRPr="66C70E76">
        <w:rPr>
          <w:rFonts w:asciiTheme="minorHAnsi" w:hAnsiTheme="minorHAnsi" w:cstheme="minorBidi"/>
        </w:rPr>
        <w:t xml:space="preserve"> have an obligation to locate</w:t>
      </w:r>
      <w:r w:rsidR="00C72EF3" w:rsidRPr="66C70E76">
        <w:rPr>
          <w:rFonts w:asciiTheme="minorHAnsi" w:hAnsiTheme="minorHAnsi" w:cstheme="minorBidi"/>
        </w:rPr>
        <w:t>, identify</w:t>
      </w:r>
      <w:r w:rsidR="00CD1E7C" w:rsidRPr="66C70E76">
        <w:rPr>
          <w:rFonts w:asciiTheme="minorHAnsi" w:hAnsiTheme="minorHAnsi" w:cstheme="minorBidi"/>
        </w:rPr>
        <w:t>,</w:t>
      </w:r>
      <w:r w:rsidR="0045649D" w:rsidRPr="66C70E76">
        <w:rPr>
          <w:rFonts w:asciiTheme="minorHAnsi" w:hAnsiTheme="minorHAnsi" w:cstheme="minorBidi"/>
        </w:rPr>
        <w:t xml:space="preserve"> and evaluate </w:t>
      </w:r>
      <w:r w:rsidR="00CD1E7C" w:rsidRPr="66C70E76">
        <w:rPr>
          <w:rFonts w:asciiTheme="minorHAnsi" w:hAnsiTheme="minorHAnsi" w:cstheme="minorBidi"/>
        </w:rPr>
        <w:t xml:space="preserve">all </w:t>
      </w:r>
      <w:r w:rsidR="007F197F" w:rsidRPr="66C70E76">
        <w:rPr>
          <w:rFonts w:asciiTheme="minorHAnsi" w:hAnsiTheme="minorHAnsi" w:cstheme="minorBidi"/>
        </w:rPr>
        <w:t>students with disabilities enrolled by their parents in private schools</w:t>
      </w:r>
      <w:r w:rsidR="00743211" w:rsidRPr="66C70E76">
        <w:rPr>
          <w:rFonts w:asciiTheme="minorHAnsi" w:hAnsiTheme="minorHAnsi" w:cstheme="minorBidi"/>
        </w:rPr>
        <w:t xml:space="preserve"> l</w:t>
      </w:r>
      <w:r w:rsidR="00BB309C" w:rsidRPr="66C70E76">
        <w:rPr>
          <w:rFonts w:asciiTheme="minorHAnsi" w:hAnsiTheme="minorHAnsi" w:cstheme="minorBidi"/>
        </w:rPr>
        <w:t>ocated within the district</w:t>
      </w:r>
      <w:r w:rsidR="00C90112" w:rsidRPr="66C70E76">
        <w:rPr>
          <w:rFonts w:asciiTheme="minorHAnsi" w:hAnsiTheme="minorHAnsi" w:cstheme="minorBidi"/>
        </w:rPr>
        <w:t xml:space="preserve">, </w:t>
      </w:r>
      <w:r w:rsidR="0045649D" w:rsidRPr="66C70E76">
        <w:rPr>
          <w:rFonts w:asciiTheme="minorHAnsi" w:hAnsiTheme="minorHAnsi" w:cstheme="minorBidi"/>
        </w:rPr>
        <w:t xml:space="preserve">and to calculate and spend a proportionate share of federal special education (Individuals with Disabilities Education Act or IDEA) grant funds </w:t>
      </w:r>
      <w:r w:rsidR="0015661A" w:rsidRPr="66C70E76">
        <w:rPr>
          <w:rFonts w:asciiTheme="minorHAnsi" w:hAnsiTheme="minorHAnsi" w:cstheme="minorBidi"/>
        </w:rPr>
        <w:t>providing</w:t>
      </w:r>
      <w:r w:rsidR="0045649D" w:rsidRPr="66C70E76">
        <w:rPr>
          <w:rFonts w:asciiTheme="minorHAnsi" w:hAnsiTheme="minorHAnsi" w:cstheme="minorBidi"/>
        </w:rPr>
        <w:t xml:space="preserve"> equitable services for these students.</w:t>
      </w:r>
      <w:r w:rsidR="00700A17" w:rsidRPr="66C70E76">
        <w:rPr>
          <w:rFonts w:asciiTheme="minorHAnsi" w:hAnsiTheme="minorHAnsi" w:cstheme="minorBidi"/>
        </w:rPr>
        <w:t xml:space="preserve"> </w:t>
      </w:r>
      <w:r w:rsidR="00491167" w:rsidRPr="66C70E76">
        <w:rPr>
          <w:rFonts w:asciiTheme="minorHAnsi" w:hAnsiTheme="minorHAnsi" w:cstheme="minorBidi"/>
        </w:rPr>
        <w:t xml:space="preserve">IDEA entitlement grants are awarded to Massachusetts districts under DESE Fund Codes </w:t>
      </w:r>
      <w:r w:rsidR="00C1383B">
        <w:rPr>
          <w:rFonts w:asciiTheme="minorHAnsi" w:hAnsiTheme="minorHAnsi" w:cstheme="minorBidi"/>
        </w:rPr>
        <w:t>0</w:t>
      </w:r>
      <w:r w:rsidR="00491167" w:rsidRPr="66C70E76">
        <w:rPr>
          <w:rFonts w:asciiTheme="minorHAnsi" w:hAnsiTheme="minorHAnsi" w:cstheme="minorBidi"/>
        </w:rPr>
        <w:t>240 (students age</w:t>
      </w:r>
      <w:r w:rsidR="00F157CC" w:rsidRPr="66C70E76">
        <w:rPr>
          <w:rFonts w:asciiTheme="minorHAnsi" w:hAnsiTheme="minorHAnsi" w:cstheme="minorBidi"/>
        </w:rPr>
        <w:t>s</w:t>
      </w:r>
      <w:r w:rsidR="00491167" w:rsidRPr="66C70E76">
        <w:rPr>
          <w:rFonts w:asciiTheme="minorHAnsi" w:hAnsiTheme="minorHAnsi" w:cstheme="minorBidi"/>
        </w:rPr>
        <w:t xml:space="preserve"> 3-21) and </w:t>
      </w:r>
      <w:r w:rsidR="00C1383B">
        <w:rPr>
          <w:rFonts w:asciiTheme="minorHAnsi" w:hAnsiTheme="minorHAnsi" w:cstheme="minorBidi"/>
        </w:rPr>
        <w:t>0</w:t>
      </w:r>
      <w:r w:rsidR="00491167" w:rsidRPr="66C70E76">
        <w:rPr>
          <w:rFonts w:asciiTheme="minorHAnsi" w:hAnsiTheme="minorHAnsi" w:cstheme="minorBidi"/>
        </w:rPr>
        <w:t>262 (students age</w:t>
      </w:r>
      <w:r w:rsidR="00F157CC" w:rsidRPr="66C70E76">
        <w:rPr>
          <w:rFonts w:asciiTheme="minorHAnsi" w:hAnsiTheme="minorHAnsi" w:cstheme="minorBidi"/>
        </w:rPr>
        <w:t>s</w:t>
      </w:r>
      <w:r w:rsidR="00491167" w:rsidRPr="66C70E76">
        <w:rPr>
          <w:rFonts w:asciiTheme="minorHAnsi" w:hAnsiTheme="minorHAnsi" w:cstheme="minorBidi"/>
        </w:rPr>
        <w:t xml:space="preserve"> 3-5). </w:t>
      </w:r>
      <w:r w:rsidR="00C9511F" w:rsidRPr="66C70E76">
        <w:rPr>
          <w:rFonts w:asciiTheme="minorHAnsi" w:hAnsiTheme="minorHAnsi" w:cstheme="minorBidi"/>
          <w:b/>
          <w:bCs/>
        </w:rPr>
        <w:t>Please review the</w:t>
      </w:r>
      <w:r w:rsidR="00C45348" w:rsidRPr="66C70E76">
        <w:rPr>
          <w:rFonts w:asciiTheme="minorHAnsi" w:hAnsiTheme="minorHAnsi" w:cstheme="minorBidi"/>
          <w:b/>
          <w:bCs/>
        </w:rPr>
        <w:t xml:space="preserve"> Department’s guidance on </w:t>
      </w:r>
      <w:r w:rsidR="00633AC0" w:rsidRPr="66C70E76">
        <w:rPr>
          <w:rFonts w:asciiTheme="minorHAnsi" w:hAnsiTheme="minorHAnsi" w:cstheme="minorBidi"/>
          <w:b/>
          <w:bCs/>
        </w:rPr>
        <w:t>IDEA equitable services</w:t>
      </w:r>
      <w:r w:rsidR="00C45348" w:rsidRPr="66C70E76">
        <w:rPr>
          <w:rFonts w:asciiTheme="minorHAnsi" w:hAnsiTheme="minorHAnsi" w:cstheme="minorBidi"/>
          <w:b/>
          <w:bCs/>
        </w:rPr>
        <w:t xml:space="preserve"> requirements,</w:t>
      </w:r>
      <w:r w:rsidR="00C9511F" w:rsidRPr="66C70E76">
        <w:rPr>
          <w:rFonts w:asciiTheme="minorHAnsi" w:hAnsiTheme="minorHAnsi" w:cstheme="minorBidi"/>
          <w:b/>
          <w:bCs/>
        </w:rPr>
        <w:t xml:space="preserve"> </w:t>
      </w:r>
      <w:hyperlink r:id="rId13" w:anchor="page=1">
        <w:r w:rsidR="004A0EE7" w:rsidRPr="66C70E76">
          <w:rPr>
            <w:rStyle w:val="Hyperlink"/>
            <w:rFonts w:asciiTheme="minorHAnsi" w:hAnsiTheme="minorHAnsi" w:cstheme="minorBidi"/>
            <w:b/>
            <w:bCs/>
          </w:rPr>
          <w:t>Special Education Administrative Advisory SPED 2018-1</w:t>
        </w:r>
      </w:hyperlink>
      <w:r w:rsidR="00C9511F" w:rsidRPr="66C70E76">
        <w:rPr>
          <w:rFonts w:asciiTheme="minorHAnsi" w:hAnsiTheme="minorHAnsi" w:cstheme="minorBidi"/>
        </w:rPr>
        <w:t xml:space="preserve"> </w:t>
      </w:r>
      <w:r w:rsidR="00C9511F" w:rsidRPr="66C70E76">
        <w:rPr>
          <w:rFonts w:asciiTheme="minorHAnsi" w:hAnsiTheme="minorHAnsi" w:cstheme="minorBidi"/>
          <w:b/>
          <w:bCs/>
        </w:rPr>
        <w:t xml:space="preserve">for </w:t>
      </w:r>
      <w:r w:rsidR="00BA2057" w:rsidRPr="66C70E76">
        <w:rPr>
          <w:rFonts w:asciiTheme="minorHAnsi" w:hAnsiTheme="minorHAnsi" w:cstheme="minorBidi"/>
          <w:b/>
          <w:bCs/>
        </w:rPr>
        <w:t>more detailed information</w:t>
      </w:r>
      <w:r w:rsidR="00DB1042" w:rsidRPr="66C70E76">
        <w:rPr>
          <w:rFonts w:asciiTheme="minorHAnsi" w:hAnsiTheme="minorHAnsi" w:cstheme="minorBidi"/>
          <w:b/>
          <w:bCs/>
        </w:rPr>
        <w:t xml:space="preserve"> and the </w:t>
      </w:r>
      <w:hyperlink r:id="rId14">
        <w:r w:rsidR="00DB1042" w:rsidRPr="66C70E76">
          <w:rPr>
            <w:rStyle w:val="Hyperlink"/>
            <w:rFonts w:asciiTheme="minorHAnsi" w:hAnsiTheme="minorHAnsi" w:cstheme="minorBidi"/>
            <w:b/>
            <w:bCs/>
          </w:rPr>
          <w:t>IDEA Proportionate Share Quick Reference Guide</w:t>
        </w:r>
      </w:hyperlink>
      <w:r w:rsidR="00C9511F" w:rsidRPr="66C70E76">
        <w:rPr>
          <w:rFonts w:asciiTheme="minorHAnsi" w:hAnsiTheme="minorHAnsi" w:cstheme="minorBidi"/>
          <w:b/>
          <w:bCs/>
        </w:rPr>
        <w:t xml:space="preserve">.   </w:t>
      </w:r>
      <w:bookmarkStart w:id="0" w:name="_Hlk521660935"/>
      <w:bookmarkEnd w:id="0"/>
    </w:p>
    <w:p w14:paraId="3F29DE72" w14:textId="77777777" w:rsidR="008645A2" w:rsidRPr="00F962CE" w:rsidRDefault="008645A2" w:rsidP="001A4C6C">
      <w:pPr>
        <w:spacing w:after="0" w:line="240" w:lineRule="auto"/>
        <w:rPr>
          <w:rFonts w:asciiTheme="minorHAnsi" w:hAnsiTheme="minorHAnsi" w:cstheme="minorHAnsi"/>
        </w:rPr>
      </w:pPr>
    </w:p>
    <w:p w14:paraId="2B895B61" w14:textId="0D52EDF6" w:rsidR="001A4C6C" w:rsidRPr="00F962CE" w:rsidRDefault="00F962CE" w:rsidP="001A4C6C">
      <w:pPr>
        <w:spacing w:after="0" w:line="240" w:lineRule="auto"/>
        <w:rPr>
          <w:rFonts w:asciiTheme="minorHAnsi" w:hAnsiTheme="minorHAnsi" w:cstheme="minorHAnsi"/>
        </w:rPr>
      </w:pPr>
      <w:r w:rsidRPr="00F962CE">
        <w:rPr>
          <w:rFonts w:asciiTheme="minorHAnsi" w:hAnsiTheme="minorHAnsi" w:cstheme="minorHAnsi"/>
        </w:rPr>
        <w:t xml:space="preserve">LEAs </w:t>
      </w:r>
      <w:r w:rsidR="008645A2" w:rsidRPr="00F962CE">
        <w:rPr>
          <w:rFonts w:asciiTheme="minorHAnsi" w:hAnsiTheme="minorHAnsi" w:cstheme="minorHAnsi"/>
        </w:rPr>
        <w:t xml:space="preserve">determine which services to provide following consultation with representatives of the private schools located in the district and </w:t>
      </w:r>
      <w:r w:rsidR="00B64BAA">
        <w:rPr>
          <w:rFonts w:asciiTheme="minorHAnsi" w:hAnsiTheme="minorHAnsi" w:cstheme="minorHAnsi"/>
        </w:rPr>
        <w:t xml:space="preserve">representatives of </w:t>
      </w:r>
      <w:r w:rsidR="008645A2" w:rsidRPr="00F962CE">
        <w:rPr>
          <w:rFonts w:asciiTheme="minorHAnsi" w:hAnsiTheme="minorHAnsi" w:cstheme="minorHAnsi"/>
        </w:rPr>
        <w:t>parent</w:t>
      </w:r>
      <w:r w:rsidR="00B64BAA">
        <w:rPr>
          <w:rFonts w:asciiTheme="minorHAnsi" w:hAnsiTheme="minorHAnsi" w:cstheme="minorHAnsi"/>
        </w:rPr>
        <w:t>s</w:t>
      </w:r>
      <w:r w:rsidR="008645A2" w:rsidRPr="00F962CE">
        <w:rPr>
          <w:rFonts w:asciiTheme="minorHAnsi" w:hAnsiTheme="minorHAnsi" w:cstheme="minorHAnsi"/>
        </w:rPr>
        <w:t xml:space="preserve"> of eligible private school and/or home-schooled students. State and local funds may be used to </w:t>
      </w:r>
      <w:r w:rsidR="008645A2" w:rsidRPr="00F962CE">
        <w:rPr>
          <w:rFonts w:asciiTheme="minorHAnsi" w:hAnsiTheme="minorHAnsi" w:cstheme="minorHAnsi"/>
          <w:i/>
        </w:rPr>
        <w:t>supplement but not supplant</w:t>
      </w:r>
      <w:r w:rsidR="008645A2" w:rsidRPr="00F962CE">
        <w:rPr>
          <w:rFonts w:asciiTheme="minorHAnsi" w:hAnsiTheme="minorHAnsi" w:cstheme="minorHAnsi"/>
        </w:rPr>
        <w:t xml:space="preserve"> the required expenditure of federal funds. </w:t>
      </w:r>
      <w:r w:rsidRPr="00F962CE">
        <w:rPr>
          <w:rFonts w:asciiTheme="minorHAnsi" w:hAnsiTheme="minorHAnsi" w:cstheme="minorHAnsi"/>
        </w:rPr>
        <w:t xml:space="preserve">LEAs </w:t>
      </w:r>
      <w:r w:rsidR="008645A2" w:rsidRPr="00F962CE">
        <w:rPr>
          <w:rFonts w:asciiTheme="minorHAnsi" w:hAnsiTheme="minorHAnsi" w:cstheme="minorHAnsi"/>
        </w:rPr>
        <w:t xml:space="preserve">must document expenditures and other activities related to IDEA and </w:t>
      </w:r>
      <w:r w:rsidR="002E3AC5">
        <w:rPr>
          <w:rFonts w:asciiTheme="minorHAnsi" w:hAnsiTheme="minorHAnsi" w:cstheme="minorHAnsi"/>
        </w:rPr>
        <w:t xml:space="preserve">the calculated </w:t>
      </w:r>
      <w:r w:rsidR="008645A2" w:rsidRPr="00F962CE">
        <w:rPr>
          <w:rFonts w:asciiTheme="minorHAnsi" w:hAnsiTheme="minorHAnsi" w:cstheme="minorHAnsi"/>
        </w:rPr>
        <w:t>proportionate share.</w:t>
      </w:r>
    </w:p>
    <w:p w14:paraId="38107D5B" w14:textId="6BA5E944" w:rsidR="005B43AE" w:rsidRPr="00F962CE" w:rsidRDefault="005B43AE" w:rsidP="001A4C6C">
      <w:pPr>
        <w:spacing w:after="0" w:line="240" w:lineRule="auto"/>
        <w:rPr>
          <w:rFonts w:asciiTheme="minorHAnsi" w:hAnsiTheme="minorHAnsi" w:cstheme="minorHAnsi"/>
        </w:rPr>
      </w:pPr>
    </w:p>
    <w:p w14:paraId="290F872F" w14:textId="16B43EA8" w:rsidR="00804BFC" w:rsidRPr="00114BAB" w:rsidRDefault="00475AB7" w:rsidP="00114BAB">
      <w:pPr>
        <w:pStyle w:val="CommentText"/>
      </w:pPr>
      <w:r w:rsidRPr="553EEDD1">
        <w:rPr>
          <w:rFonts w:asciiTheme="minorHAnsi" w:hAnsiTheme="minorHAnsi" w:cstheme="minorBidi"/>
        </w:rPr>
        <w:t>IDEA equitable services (proportionate share)</w:t>
      </w:r>
      <w:r w:rsidR="00E26EE9" w:rsidRPr="553EEDD1">
        <w:rPr>
          <w:rFonts w:asciiTheme="minorHAnsi" w:hAnsiTheme="minorHAnsi" w:cstheme="minorBidi"/>
        </w:rPr>
        <w:t xml:space="preserve"> </w:t>
      </w:r>
      <w:r w:rsidR="005B43AE" w:rsidRPr="553EEDD1">
        <w:rPr>
          <w:rFonts w:asciiTheme="minorHAnsi" w:hAnsiTheme="minorHAnsi" w:cstheme="minorBidi"/>
        </w:rPr>
        <w:t xml:space="preserve">funds </w:t>
      </w:r>
      <w:r w:rsidR="00CD6FDA" w:rsidRPr="553EEDD1">
        <w:rPr>
          <w:rFonts w:asciiTheme="minorHAnsi" w:hAnsiTheme="minorHAnsi" w:cstheme="minorBidi"/>
        </w:rPr>
        <w:t>must</w:t>
      </w:r>
      <w:r w:rsidR="005B43AE" w:rsidRPr="553EEDD1">
        <w:rPr>
          <w:rFonts w:asciiTheme="minorHAnsi" w:hAnsiTheme="minorHAnsi" w:cstheme="minorBidi"/>
        </w:rPr>
        <w:t xml:space="preserve"> only </w:t>
      </w:r>
      <w:r w:rsidR="68EFFCD0" w:rsidRPr="553EEDD1">
        <w:rPr>
          <w:rFonts w:asciiTheme="minorHAnsi" w:hAnsiTheme="minorHAnsi" w:cstheme="minorBidi"/>
        </w:rPr>
        <w:t>be used to</w:t>
      </w:r>
      <w:r w:rsidR="005B43AE" w:rsidRPr="553EEDD1">
        <w:rPr>
          <w:rFonts w:asciiTheme="minorHAnsi" w:hAnsiTheme="minorHAnsi" w:cstheme="minorBidi"/>
        </w:rPr>
        <w:t xml:space="preserve"> benefit eligible students who are parentally-placed in private schools </w:t>
      </w:r>
      <w:r w:rsidR="00ED3C51" w:rsidRPr="553EEDD1">
        <w:rPr>
          <w:rFonts w:asciiTheme="minorHAnsi" w:hAnsiTheme="minorHAnsi" w:cstheme="minorBidi"/>
        </w:rPr>
        <w:t>located in the district</w:t>
      </w:r>
      <w:r w:rsidR="00061148" w:rsidRPr="553EEDD1">
        <w:rPr>
          <w:rFonts w:asciiTheme="minorHAnsi" w:hAnsiTheme="minorHAnsi" w:cstheme="minorBidi"/>
        </w:rPr>
        <w:t>,</w:t>
      </w:r>
      <w:r w:rsidR="00ED3C51" w:rsidRPr="553EEDD1">
        <w:rPr>
          <w:rFonts w:asciiTheme="minorHAnsi" w:hAnsiTheme="minorHAnsi" w:cstheme="minorBidi"/>
        </w:rPr>
        <w:t xml:space="preserve"> </w:t>
      </w:r>
      <w:r w:rsidR="005B43AE" w:rsidRPr="553EEDD1">
        <w:rPr>
          <w:rFonts w:asciiTheme="minorHAnsi" w:hAnsiTheme="minorHAnsi" w:cstheme="minorBidi"/>
        </w:rPr>
        <w:t xml:space="preserve">or home schooled. Funds must not "finance the existing level of instruction in a private school or … otherwise benefit the private school.”  </w:t>
      </w:r>
      <w:r w:rsidR="004B0429" w:rsidRPr="553EEDD1">
        <w:rPr>
          <w:rFonts w:asciiTheme="minorHAnsi" w:hAnsiTheme="minorHAnsi" w:cstheme="minorBidi"/>
        </w:rPr>
        <w:t>IDEA funds</w:t>
      </w:r>
      <w:r w:rsidR="00924E8C" w:rsidRPr="553EEDD1">
        <w:rPr>
          <w:rFonts w:asciiTheme="minorHAnsi" w:hAnsiTheme="minorHAnsi" w:cstheme="minorBidi"/>
        </w:rPr>
        <w:t xml:space="preserve"> must only</w:t>
      </w:r>
      <w:r w:rsidR="005B43AE" w:rsidRPr="553EEDD1">
        <w:rPr>
          <w:rFonts w:asciiTheme="minorHAnsi" w:hAnsiTheme="minorHAnsi" w:cstheme="minorBidi"/>
        </w:rPr>
        <w:t xml:space="preserve"> be used to meet the </w:t>
      </w:r>
      <w:r w:rsidR="00924E8C" w:rsidRPr="553EEDD1">
        <w:rPr>
          <w:rFonts w:asciiTheme="minorHAnsi" w:hAnsiTheme="minorHAnsi" w:cstheme="minorBidi"/>
        </w:rPr>
        <w:t>special education and related</w:t>
      </w:r>
      <w:r w:rsidR="0007438F" w:rsidRPr="553EEDD1">
        <w:rPr>
          <w:rFonts w:asciiTheme="minorHAnsi" w:hAnsiTheme="minorHAnsi" w:cstheme="minorBidi"/>
        </w:rPr>
        <w:t xml:space="preserve"> services</w:t>
      </w:r>
      <w:r w:rsidR="00924E8C" w:rsidRPr="553EEDD1">
        <w:rPr>
          <w:rFonts w:asciiTheme="minorHAnsi" w:hAnsiTheme="minorHAnsi" w:cstheme="minorBidi"/>
        </w:rPr>
        <w:t xml:space="preserve"> </w:t>
      </w:r>
      <w:r w:rsidR="005B43AE" w:rsidRPr="553EEDD1">
        <w:rPr>
          <w:rFonts w:asciiTheme="minorHAnsi" w:hAnsiTheme="minorHAnsi" w:cstheme="minorBidi"/>
        </w:rPr>
        <w:t>needs of the parentally-placed private school children and m</w:t>
      </w:r>
      <w:r w:rsidR="0007438F" w:rsidRPr="553EEDD1">
        <w:rPr>
          <w:rFonts w:asciiTheme="minorHAnsi" w:hAnsiTheme="minorHAnsi" w:cstheme="minorBidi"/>
        </w:rPr>
        <w:t>ust</w:t>
      </w:r>
      <w:r w:rsidR="005B43AE" w:rsidRPr="553EEDD1">
        <w:rPr>
          <w:rFonts w:asciiTheme="minorHAnsi" w:hAnsiTheme="minorHAnsi" w:cstheme="minorBidi"/>
        </w:rPr>
        <w:t xml:space="preserve"> not be used to benefit the private school as a whole or the general needs of students enrolled in the private school.</w:t>
      </w:r>
    </w:p>
    <w:tbl>
      <w:tblPr>
        <w:tblW w:w="109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30"/>
        <w:gridCol w:w="4050"/>
      </w:tblGrid>
      <w:tr w:rsidR="008645A2" w:rsidRPr="008645A2" w14:paraId="258A158C" w14:textId="77777777" w:rsidTr="1A846BB4">
        <w:trPr>
          <w:tblHeader/>
        </w:trPr>
        <w:tc>
          <w:tcPr>
            <w:tcW w:w="6930" w:type="dxa"/>
            <w:shd w:val="clear" w:color="auto" w:fill="auto"/>
            <w:tcMar>
              <w:top w:w="120" w:type="dxa"/>
              <w:left w:w="120" w:type="dxa"/>
              <w:bottom w:w="120" w:type="dxa"/>
              <w:right w:w="120" w:type="dxa"/>
            </w:tcMar>
            <w:vAlign w:val="bottom"/>
            <w:hideMark/>
          </w:tcPr>
          <w:p w14:paraId="3427E6A9" w14:textId="2174E77F" w:rsidR="008645A2" w:rsidRPr="009E11D0" w:rsidRDefault="008645A2" w:rsidP="08C5D509">
            <w:pPr>
              <w:spacing w:after="0" w:line="240" w:lineRule="auto"/>
              <w:jc w:val="center"/>
              <w:rPr>
                <w:rFonts w:asciiTheme="minorHAnsi" w:hAnsiTheme="minorHAnsi" w:cstheme="minorBidi"/>
                <w:b/>
                <w:bCs/>
                <w:sz w:val="18"/>
                <w:szCs w:val="18"/>
              </w:rPr>
            </w:pPr>
            <w:r w:rsidRPr="08C5D509">
              <w:rPr>
                <w:rFonts w:asciiTheme="minorHAnsi" w:hAnsiTheme="minorHAnsi" w:cstheme="minorBidi"/>
                <w:b/>
                <w:bCs/>
                <w:sz w:val="18"/>
                <w:szCs w:val="18"/>
              </w:rPr>
              <w:t>Allowable</w:t>
            </w:r>
            <w:r w:rsidR="00A936E2" w:rsidRPr="08C5D509">
              <w:rPr>
                <w:rFonts w:asciiTheme="minorHAnsi" w:hAnsiTheme="minorHAnsi" w:cstheme="minorBidi"/>
                <w:b/>
                <w:bCs/>
                <w:sz w:val="18"/>
                <w:szCs w:val="18"/>
              </w:rPr>
              <w:t xml:space="preserve"> Costs</w:t>
            </w:r>
            <w:r w:rsidRPr="08C5D509">
              <w:rPr>
                <w:rFonts w:asciiTheme="minorHAnsi" w:hAnsiTheme="minorHAnsi" w:cstheme="minorBidi"/>
                <w:b/>
                <w:bCs/>
                <w:sz w:val="18"/>
                <w:szCs w:val="18"/>
              </w:rPr>
              <w:t xml:space="preserve"> </w:t>
            </w:r>
          </w:p>
        </w:tc>
        <w:tc>
          <w:tcPr>
            <w:tcW w:w="4050" w:type="dxa"/>
            <w:shd w:val="clear" w:color="auto" w:fill="auto"/>
            <w:tcMar>
              <w:top w:w="120" w:type="dxa"/>
              <w:left w:w="120" w:type="dxa"/>
              <w:bottom w:w="120" w:type="dxa"/>
              <w:right w:w="120" w:type="dxa"/>
            </w:tcMar>
            <w:vAlign w:val="bottom"/>
            <w:hideMark/>
          </w:tcPr>
          <w:p w14:paraId="79C8C067" w14:textId="0F0F9D09" w:rsidR="008645A2" w:rsidRPr="009E11D0" w:rsidRDefault="008645A2" w:rsidP="00F962CE">
            <w:pPr>
              <w:spacing w:after="0" w:line="240" w:lineRule="auto"/>
              <w:jc w:val="center"/>
              <w:rPr>
                <w:rFonts w:asciiTheme="minorHAnsi" w:hAnsiTheme="minorHAnsi" w:cstheme="minorHAnsi"/>
                <w:b/>
                <w:bCs/>
                <w:sz w:val="18"/>
                <w:szCs w:val="18"/>
              </w:rPr>
            </w:pPr>
            <w:r w:rsidRPr="009E11D0">
              <w:rPr>
                <w:rFonts w:asciiTheme="minorHAnsi" w:hAnsiTheme="minorHAnsi" w:cstheme="minorHAnsi"/>
                <w:b/>
                <w:bCs/>
                <w:sz w:val="18"/>
                <w:szCs w:val="18"/>
              </w:rPr>
              <w:t xml:space="preserve">Unallowable </w:t>
            </w:r>
            <w:r w:rsidR="00A936E2" w:rsidRPr="009E11D0">
              <w:rPr>
                <w:rFonts w:asciiTheme="minorHAnsi" w:hAnsiTheme="minorHAnsi" w:cstheme="minorHAnsi"/>
                <w:b/>
                <w:bCs/>
                <w:sz w:val="18"/>
                <w:szCs w:val="18"/>
              </w:rPr>
              <w:t>Costs</w:t>
            </w:r>
          </w:p>
        </w:tc>
      </w:tr>
      <w:tr w:rsidR="008645A2" w:rsidRPr="008645A2" w14:paraId="2ACD7F49" w14:textId="77777777" w:rsidTr="1A846BB4">
        <w:tc>
          <w:tcPr>
            <w:tcW w:w="6930" w:type="dxa"/>
            <w:shd w:val="clear" w:color="auto" w:fill="auto"/>
            <w:tcMar>
              <w:top w:w="120" w:type="dxa"/>
              <w:left w:w="120" w:type="dxa"/>
              <w:bottom w:w="120" w:type="dxa"/>
              <w:right w:w="120" w:type="dxa"/>
            </w:tcMar>
            <w:hideMark/>
          </w:tcPr>
          <w:p w14:paraId="0F6841A3" w14:textId="75E9F4FB" w:rsidR="008645A2" w:rsidRPr="009E11D0" w:rsidRDefault="008645A2" w:rsidP="00C77338">
            <w:pPr>
              <w:numPr>
                <w:ilvl w:val="0"/>
                <w:numId w:val="4"/>
              </w:numPr>
              <w:spacing w:after="0" w:line="240" w:lineRule="auto"/>
              <w:rPr>
                <w:rFonts w:asciiTheme="minorHAnsi" w:hAnsiTheme="minorHAnsi" w:cstheme="minorHAnsi"/>
                <w:sz w:val="18"/>
                <w:szCs w:val="18"/>
              </w:rPr>
            </w:pPr>
            <w:r w:rsidRPr="009E11D0">
              <w:rPr>
                <w:rFonts w:asciiTheme="minorHAnsi" w:hAnsiTheme="minorHAnsi" w:cstheme="minorHAnsi"/>
                <w:sz w:val="18"/>
                <w:szCs w:val="18"/>
              </w:rPr>
              <w:t>Direct services (</w:t>
            </w:r>
            <w:r w:rsidRPr="009E11D0">
              <w:rPr>
                <w:rFonts w:asciiTheme="minorHAnsi" w:hAnsiTheme="minorHAnsi" w:cstheme="minorHAnsi"/>
                <w:b/>
                <w:bCs/>
                <w:i/>
                <w:iCs/>
                <w:sz w:val="18"/>
                <w:szCs w:val="18"/>
              </w:rPr>
              <w:t>preferred</w:t>
            </w:r>
            <w:r w:rsidRPr="009E11D0">
              <w:rPr>
                <w:rFonts w:asciiTheme="minorHAnsi" w:hAnsiTheme="minorHAnsi" w:cstheme="minorHAnsi"/>
                <w:sz w:val="18"/>
                <w:szCs w:val="18"/>
              </w:rPr>
              <w:t>)</w:t>
            </w:r>
          </w:p>
          <w:p w14:paraId="2B683181" w14:textId="5B62C809" w:rsidR="005B43AE" w:rsidRPr="009E11D0" w:rsidRDefault="005B43AE" w:rsidP="66C70E76">
            <w:pPr>
              <w:numPr>
                <w:ilvl w:val="0"/>
                <w:numId w:val="6"/>
              </w:numPr>
              <w:tabs>
                <w:tab w:val="clear" w:pos="720"/>
              </w:tabs>
              <w:spacing w:after="0" w:line="240" w:lineRule="auto"/>
              <w:ind w:left="1490"/>
              <w:rPr>
                <w:rFonts w:asciiTheme="minorHAnsi" w:hAnsiTheme="minorHAnsi" w:cstheme="minorBidi"/>
                <w:sz w:val="18"/>
                <w:szCs w:val="18"/>
              </w:rPr>
            </w:pPr>
            <w:r w:rsidRPr="08C5D509">
              <w:rPr>
                <w:rFonts w:asciiTheme="minorHAnsi" w:hAnsiTheme="minorHAnsi" w:cstheme="minorBidi"/>
                <w:sz w:val="18"/>
                <w:szCs w:val="18"/>
              </w:rPr>
              <w:t xml:space="preserve">Services may be provided </w:t>
            </w:r>
            <w:r w:rsidR="00F962CE" w:rsidRPr="08C5D509">
              <w:rPr>
                <w:rFonts w:asciiTheme="minorHAnsi" w:hAnsiTheme="minorHAnsi" w:cstheme="minorBidi"/>
                <w:sz w:val="18"/>
                <w:szCs w:val="18"/>
              </w:rPr>
              <w:t>on the premises of private, including religious, schools, to the extent consistent with law</w:t>
            </w:r>
            <w:r w:rsidR="6E2C5FD2" w:rsidRPr="08C5D509">
              <w:rPr>
                <w:rFonts w:asciiTheme="minorHAnsi" w:hAnsiTheme="minorHAnsi" w:cstheme="minorBidi"/>
                <w:sz w:val="18"/>
                <w:szCs w:val="18"/>
              </w:rPr>
              <w:t>.</w:t>
            </w:r>
          </w:p>
          <w:p w14:paraId="2DAAC509" w14:textId="54836DD1" w:rsidR="008645A2" w:rsidRPr="009E11D0" w:rsidRDefault="008645A2" w:rsidP="00C77338">
            <w:pPr>
              <w:numPr>
                <w:ilvl w:val="0"/>
                <w:numId w:val="4"/>
              </w:numPr>
              <w:spacing w:after="0" w:line="240" w:lineRule="auto"/>
              <w:rPr>
                <w:rFonts w:asciiTheme="minorHAnsi" w:hAnsiTheme="minorHAnsi" w:cstheme="minorHAnsi"/>
                <w:sz w:val="18"/>
                <w:szCs w:val="18"/>
              </w:rPr>
            </w:pPr>
            <w:r w:rsidRPr="009E11D0">
              <w:rPr>
                <w:rFonts w:asciiTheme="minorHAnsi" w:hAnsiTheme="minorHAnsi" w:cstheme="minorHAnsi"/>
                <w:sz w:val="18"/>
                <w:szCs w:val="18"/>
              </w:rPr>
              <w:t>Use of Personnel:</w:t>
            </w:r>
            <w:r w:rsidR="005B43AE" w:rsidRPr="009E11D0">
              <w:rPr>
                <w:rFonts w:asciiTheme="minorHAnsi" w:hAnsiTheme="minorHAnsi" w:cstheme="minorHAnsi"/>
                <w:sz w:val="18"/>
                <w:szCs w:val="18"/>
              </w:rPr>
              <w:t xml:space="preserve"> </w:t>
            </w:r>
          </w:p>
          <w:p w14:paraId="79D1C58C" w14:textId="697F5364" w:rsidR="008645A2" w:rsidRPr="009E11D0" w:rsidRDefault="1080290E" w:rsidP="553EEDD1">
            <w:pPr>
              <w:numPr>
                <w:ilvl w:val="1"/>
                <w:numId w:val="4"/>
              </w:numPr>
              <w:spacing w:after="0" w:line="240" w:lineRule="auto"/>
              <w:rPr>
                <w:rFonts w:asciiTheme="minorHAnsi" w:eastAsiaTheme="minorEastAsia" w:hAnsiTheme="minorHAnsi" w:cstheme="minorBidi"/>
                <w:sz w:val="18"/>
                <w:szCs w:val="18"/>
              </w:rPr>
            </w:pPr>
            <w:r w:rsidRPr="553EEDD1">
              <w:rPr>
                <w:rFonts w:asciiTheme="minorHAnsi" w:hAnsiTheme="minorHAnsi" w:cstheme="minorBidi"/>
                <w:sz w:val="18"/>
                <w:szCs w:val="18"/>
              </w:rPr>
              <w:t>Can use public school personnel to provide services in public facilities</w:t>
            </w:r>
            <w:r w:rsidR="155A8C4B" w:rsidRPr="553EEDD1">
              <w:rPr>
                <w:rFonts w:asciiTheme="minorHAnsi" w:hAnsiTheme="minorHAnsi" w:cstheme="minorBidi"/>
                <w:sz w:val="18"/>
                <w:szCs w:val="18"/>
              </w:rPr>
              <w:t xml:space="preserve"> or other facilities</w:t>
            </w:r>
            <w:r w:rsidRPr="553EEDD1">
              <w:rPr>
                <w:rFonts w:asciiTheme="minorHAnsi" w:hAnsiTheme="minorHAnsi" w:cstheme="minorBidi"/>
                <w:sz w:val="18"/>
                <w:szCs w:val="18"/>
              </w:rPr>
              <w:t xml:space="preserve">. </w:t>
            </w:r>
          </w:p>
          <w:p w14:paraId="71F2B321" w14:textId="05B61539" w:rsidR="008645A2" w:rsidRPr="009E11D0" w:rsidRDefault="008645A2" w:rsidP="553EEDD1">
            <w:pPr>
              <w:numPr>
                <w:ilvl w:val="1"/>
                <w:numId w:val="4"/>
              </w:numPr>
              <w:spacing w:after="0" w:line="240" w:lineRule="auto"/>
              <w:rPr>
                <w:rFonts w:asciiTheme="minorHAnsi" w:eastAsiaTheme="minorEastAsia" w:hAnsiTheme="minorHAnsi" w:cstheme="minorBidi"/>
                <w:sz w:val="18"/>
                <w:szCs w:val="18"/>
              </w:rPr>
            </w:pPr>
            <w:r w:rsidRPr="553EEDD1">
              <w:rPr>
                <w:rFonts w:asciiTheme="minorHAnsi" w:hAnsiTheme="minorHAnsi" w:cstheme="minorBidi"/>
                <w:sz w:val="18"/>
                <w:szCs w:val="18"/>
              </w:rPr>
              <w:t xml:space="preserve">Can </w:t>
            </w:r>
            <w:r w:rsidR="00560EC1" w:rsidRPr="553EEDD1">
              <w:rPr>
                <w:rFonts w:asciiTheme="minorHAnsi" w:hAnsiTheme="minorHAnsi" w:cstheme="minorBidi"/>
                <w:sz w:val="18"/>
                <w:szCs w:val="18"/>
              </w:rPr>
              <w:t xml:space="preserve">use funds to </w:t>
            </w:r>
            <w:r w:rsidRPr="553EEDD1">
              <w:rPr>
                <w:rFonts w:asciiTheme="minorHAnsi" w:hAnsiTheme="minorHAnsi" w:cstheme="minorBidi"/>
                <w:sz w:val="18"/>
                <w:szCs w:val="18"/>
              </w:rPr>
              <w:t xml:space="preserve">pay for the services of a private school </w:t>
            </w:r>
            <w:r w:rsidR="00F5189C" w:rsidRPr="553EEDD1">
              <w:rPr>
                <w:rFonts w:asciiTheme="minorHAnsi" w:hAnsiTheme="minorHAnsi" w:cstheme="minorBidi"/>
                <w:sz w:val="18"/>
                <w:szCs w:val="18"/>
              </w:rPr>
              <w:t xml:space="preserve">employee </w:t>
            </w:r>
            <w:r w:rsidRPr="553EEDD1">
              <w:rPr>
                <w:rFonts w:asciiTheme="minorHAnsi" w:hAnsiTheme="minorHAnsi" w:cstheme="minorBidi"/>
                <w:sz w:val="18"/>
                <w:szCs w:val="18"/>
              </w:rPr>
              <w:t>to provide services outside of his or her regular hours of duty and </w:t>
            </w:r>
            <w:r w:rsidRPr="553EEDD1">
              <w:rPr>
                <w:rFonts w:asciiTheme="minorHAnsi" w:hAnsiTheme="minorHAnsi" w:cstheme="minorBidi"/>
                <w:b/>
                <w:bCs/>
                <w:sz w:val="18"/>
                <w:szCs w:val="18"/>
              </w:rPr>
              <w:t>only</w:t>
            </w:r>
            <w:r w:rsidRPr="553EEDD1">
              <w:rPr>
                <w:rFonts w:asciiTheme="minorHAnsi" w:hAnsiTheme="minorHAnsi" w:cstheme="minorBidi"/>
                <w:sz w:val="18"/>
                <w:szCs w:val="18"/>
              </w:rPr>
              <w:t> if under public supervision and control</w:t>
            </w:r>
            <w:r w:rsidR="00F22760" w:rsidRPr="553EEDD1">
              <w:rPr>
                <w:rFonts w:asciiTheme="minorHAnsi" w:hAnsiTheme="minorHAnsi" w:cstheme="minorBidi"/>
                <w:sz w:val="18"/>
                <w:szCs w:val="18"/>
              </w:rPr>
              <w:t xml:space="preserve">; </w:t>
            </w:r>
          </w:p>
          <w:p w14:paraId="06CEEBEF" w14:textId="3DA09018" w:rsidR="008645A2" w:rsidRPr="009E11D0" w:rsidRDefault="008645A2" w:rsidP="553EEDD1">
            <w:pPr>
              <w:numPr>
                <w:ilvl w:val="0"/>
                <w:numId w:val="4"/>
              </w:numPr>
              <w:spacing w:after="0" w:line="240" w:lineRule="auto"/>
              <w:rPr>
                <w:rFonts w:asciiTheme="minorHAnsi" w:eastAsiaTheme="minorEastAsia" w:hAnsiTheme="minorHAnsi" w:cstheme="minorBidi"/>
                <w:sz w:val="18"/>
                <w:szCs w:val="18"/>
              </w:rPr>
            </w:pPr>
            <w:r w:rsidRPr="553EEDD1">
              <w:rPr>
                <w:rFonts w:asciiTheme="minorHAnsi" w:hAnsiTheme="minorHAnsi" w:cstheme="minorBidi"/>
                <w:sz w:val="18"/>
                <w:szCs w:val="18"/>
              </w:rPr>
              <w:t>Indirect services, which can include, but are not limited to:</w:t>
            </w:r>
          </w:p>
          <w:p w14:paraId="4B3DD583" w14:textId="118317DD" w:rsidR="008645A2" w:rsidRPr="009E11D0" w:rsidRDefault="008645A2" w:rsidP="00C77338">
            <w:pPr>
              <w:numPr>
                <w:ilvl w:val="1"/>
                <w:numId w:val="4"/>
              </w:numPr>
              <w:spacing w:after="0" w:line="240" w:lineRule="auto"/>
              <w:rPr>
                <w:rFonts w:asciiTheme="minorHAnsi" w:hAnsiTheme="minorHAnsi" w:cstheme="minorHAnsi"/>
                <w:sz w:val="18"/>
                <w:szCs w:val="18"/>
              </w:rPr>
            </w:pPr>
            <w:r w:rsidRPr="009E11D0">
              <w:rPr>
                <w:rFonts w:asciiTheme="minorHAnsi" w:hAnsiTheme="minorHAnsi" w:cstheme="minorHAnsi"/>
                <w:sz w:val="18"/>
                <w:szCs w:val="18"/>
              </w:rPr>
              <w:t>consultative services</w:t>
            </w:r>
          </w:p>
          <w:p w14:paraId="130AC304" w14:textId="77777777" w:rsidR="00114BAB" w:rsidRPr="009E11D0" w:rsidRDefault="008645A2" w:rsidP="00C77338">
            <w:pPr>
              <w:numPr>
                <w:ilvl w:val="1"/>
                <w:numId w:val="4"/>
              </w:numPr>
              <w:spacing w:after="0" w:line="240" w:lineRule="auto"/>
              <w:rPr>
                <w:rFonts w:asciiTheme="minorHAnsi" w:hAnsiTheme="minorHAnsi" w:cstheme="minorHAnsi"/>
                <w:sz w:val="18"/>
                <w:szCs w:val="18"/>
              </w:rPr>
            </w:pPr>
            <w:r w:rsidRPr="009E11D0">
              <w:rPr>
                <w:rFonts w:asciiTheme="minorHAnsi" w:hAnsiTheme="minorHAnsi" w:cstheme="minorHAnsi"/>
                <w:sz w:val="18"/>
                <w:szCs w:val="18"/>
              </w:rPr>
              <w:t>equipment and materials</w:t>
            </w:r>
            <w:r w:rsidR="00114BAB" w:rsidRPr="009E11D0">
              <w:rPr>
                <w:rFonts w:asciiTheme="minorHAnsi" w:hAnsiTheme="minorHAnsi" w:cstheme="minorHAnsi"/>
                <w:sz w:val="18"/>
                <w:szCs w:val="18"/>
              </w:rPr>
              <w:t xml:space="preserve">: </w:t>
            </w:r>
          </w:p>
          <w:p w14:paraId="09C45D81" w14:textId="0723289B" w:rsidR="00114BAB" w:rsidRDefault="00114BAB" w:rsidP="00C77338">
            <w:pPr>
              <w:numPr>
                <w:ilvl w:val="1"/>
                <w:numId w:val="7"/>
              </w:numPr>
              <w:tabs>
                <w:tab w:val="clear" w:pos="1440"/>
              </w:tabs>
              <w:spacing w:after="0" w:line="240" w:lineRule="auto"/>
              <w:ind w:left="1950"/>
              <w:rPr>
                <w:rFonts w:asciiTheme="minorHAnsi" w:hAnsiTheme="minorHAnsi" w:cstheme="minorHAnsi"/>
                <w:sz w:val="18"/>
                <w:szCs w:val="18"/>
              </w:rPr>
            </w:pPr>
            <w:r w:rsidRPr="009E11D0">
              <w:rPr>
                <w:rFonts w:asciiTheme="minorHAnsi" w:hAnsiTheme="minorHAnsi" w:cstheme="minorHAnsi"/>
                <w:sz w:val="18"/>
                <w:szCs w:val="18"/>
              </w:rPr>
              <w:t>The LEA must hold title and administer all materials, equipment, and property purchased with th</w:t>
            </w:r>
            <w:r w:rsidR="009E11D0">
              <w:rPr>
                <w:rFonts w:asciiTheme="minorHAnsi" w:hAnsiTheme="minorHAnsi" w:cstheme="minorHAnsi"/>
                <w:sz w:val="18"/>
                <w:szCs w:val="18"/>
              </w:rPr>
              <w:t>e</w:t>
            </w:r>
            <w:r w:rsidRPr="009E11D0">
              <w:rPr>
                <w:rFonts w:asciiTheme="minorHAnsi" w:hAnsiTheme="minorHAnsi" w:cstheme="minorHAnsi"/>
                <w:sz w:val="18"/>
                <w:szCs w:val="18"/>
              </w:rPr>
              <w:t xml:space="preserve"> funds. </w:t>
            </w:r>
          </w:p>
          <w:p w14:paraId="6AD979D4" w14:textId="0CDF829F" w:rsidR="00633AC0" w:rsidRPr="009E11D0" w:rsidRDefault="00633AC0" w:rsidP="00C77338">
            <w:pPr>
              <w:numPr>
                <w:ilvl w:val="1"/>
                <w:numId w:val="7"/>
              </w:numPr>
              <w:tabs>
                <w:tab w:val="clear" w:pos="1440"/>
              </w:tabs>
              <w:spacing w:after="0" w:line="240" w:lineRule="auto"/>
              <w:ind w:left="1950"/>
              <w:rPr>
                <w:rFonts w:asciiTheme="minorHAnsi" w:hAnsiTheme="minorHAnsi" w:cstheme="minorHAnsi"/>
                <w:sz w:val="18"/>
                <w:szCs w:val="18"/>
              </w:rPr>
            </w:pPr>
            <w:r w:rsidRPr="00633AC0">
              <w:rPr>
                <w:rFonts w:asciiTheme="minorHAnsi" w:hAnsiTheme="minorHAnsi" w:cstheme="minorHAnsi"/>
                <w:sz w:val="18"/>
                <w:szCs w:val="18"/>
              </w:rPr>
              <w:t xml:space="preserve">The LEA </w:t>
            </w:r>
            <w:r w:rsidRPr="00E26EE9">
              <w:rPr>
                <w:rFonts w:asciiTheme="minorHAnsi" w:hAnsiTheme="minorHAnsi" w:cstheme="minorHAnsi"/>
                <w:sz w:val="18"/>
                <w:szCs w:val="18"/>
              </w:rPr>
              <w:t>must control and administer the federal funds used to provide equitable services.</w:t>
            </w:r>
          </w:p>
          <w:p w14:paraId="409FC74D" w14:textId="77777777" w:rsidR="00114BAB" w:rsidRPr="009E11D0" w:rsidRDefault="00114BAB" w:rsidP="00C77338">
            <w:pPr>
              <w:numPr>
                <w:ilvl w:val="1"/>
                <w:numId w:val="7"/>
              </w:numPr>
              <w:tabs>
                <w:tab w:val="clear" w:pos="1440"/>
              </w:tabs>
              <w:spacing w:after="0" w:line="240" w:lineRule="auto"/>
              <w:ind w:left="1950"/>
              <w:rPr>
                <w:rFonts w:asciiTheme="minorHAnsi" w:hAnsiTheme="minorHAnsi" w:cstheme="minorHAnsi"/>
                <w:sz w:val="18"/>
                <w:szCs w:val="18"/>
              </w:rPr>
            </w:pPr>
            <w:r w:rsidRPr="009E11D0">
              <w:rPr>
                <w:rFonts w:asciiTheme="minorHAnsi" w:hAnsiTheme="minorHAnsi" w:cstheme="minorHAnsi"/>
                <w:sz w:val="18"/>
                <w:szCs w:val="18"/>
              </w:rPr>
              <w:t>Equipment and supplies may be placed in a private school for a period of time </w:t>
            </w:r>
            <w:r w:rsidRPr="009E11D0">
              <w:rPr>
                <w:rFonts w:asciiTheme="minorHAnsi" w:hAnsiTheme="minorHAnsi" w:cstheme="minorHAnsi"/>
                <w:b/>
                <w:bCs/>
                <w:sz w:val="18"/>
                <w:szCs w:val="18"/>
              </w:rPr>
              <w:t>only</w:t>
            </w:r>
            <w:r w:rsidRPr="009E11D0">
              <w:rPr>
                <w:rFonts w:asciiTheme="minorHAnsi" w:hAnsiTheme="minorHAnsi" w:cstheme="minorHAnsi"/>
                <w:sz w:val="18"/>
                <w:szCs w:val="18"/>
              </w:rPr>
              <w:t xml:space="preserve"> to serve eligible individual students and only if the equipment and supplies can be removed without remodeling the private school facility. </w:t>
            </w:r>
          </w:p>
          <w:p w14:paraId="2D22032C" w14:textId="2F244FD7" w:rsidR="00114BAB" w:rsidRPr="009E11D0" w:rsidRDefault="00114BAB" w:rsidP="553EEDD1">
            <w:pPr>
              <w:numPr>
                <w:ilvl w:val="1"/>
                <w:numId w:val="7"/>
              </w:numPr>
              <w:tabs>
                <w:tab w:val="clear" w:pos="1440"/>
              </w:tabs>
              <w:spacing w:after="0" w:line="240" w:lineRule="auto"/>
              <w:ind w:left="1950"/>
              <w:rPr>
                <w:rFonts w:asciiTheme="minorHAnsi" w:hAnsiTheme="minorHAnsi" w:cstheme="minorBidi"/>
                <w:sz w:val="18"/>
                <w:szCs w:val="18"/>
              </w:rPr>
            </w:pPr>
            <w:r w:rsidRPr="553EEDD1">
              <w:rPr>
                <w:rFonts w:asciiTheme="minorHAnsi" w:hAnsiTheme="minorHAnsi" w:cstheme="minorBidi"/>
                <w:sz w:val="18"/>
                <w:szCs w:val="18"/>
              </w:rPr>
              <w:t>The LEA must remove such equipment and supplies when they are no longer being used to serve those students or if the equipment and supplies are being used in an unauthorized manner.</w:t>
            </w:r>
          </w:p>
          <w:p w14:paraId="6F12C172" w14:textId="0B6920C1" w:rsidR="008645A2" w:rsidRDefault="008645A2" w:rsidP="66C70E76">
            <w:pPr>
              <w:numPr>
                <w:ilvl w:val="1"/>
                <w:numId w:val="4"/>
              </w:numPr>
              <w:spacing w:after="0" w:line="240" w:lineRule="auto"/>
              <w:rPr>
                <w:rFonts w:asciiTheme="minorHAnsi" w:hAnsiTheme="minorHAnsi" w:cstheme="minorBidi"/>
                <w:sz w:val="18"/>
                <w:szCs w:val="18"/>
              </w:rPr>
            </w:pPr>
            <w:r w:rsidRPr="08C5D509">
              <w:rPr>
                <w:rFonts w:asciiTheme="minorHAnsi" w:hAnsiTheme="minorHAnsi" w:cstheme="minorBidi"/>
                <w:sz w:val="18"/>
                <w:szCs w:val="18"/>
              </w:rPr>
              <w:t>training for private school teachers and other private school personnel</w:t>
            </w:r>
          </w:p>
          <w:p w14:paraId="7C99DA05" w14:textId="75D94F8F" w:rsidR="0062209E" w:rsidRPr="009E11D0" w:rsidRDefault="0062209E" w:rsidP="553EEDD1">
            <w:pPr>
              <w:numPr>
                <w:ilvl w:val="1"/>
                <w:numId w:val="4"/>
              </w:numPr>
              <w:spacing w:after="0" w:line="240" w:lineRule="auto"/>
              <w:rPr>
                <w:rFonts w:asciiTheme="minorHAnsi" w:hAnsiTheme="minorHAnsi" w:cstheme="minorBidi"/>
                <w:sz w:val="18"/>
                <w:szCs w:val="18"/>
              </w:rPr>
            </w:pPr>
            <w:r w:rsidRPr="553EEDD1">
              <w:rPr>
                <w:rFonts w:asciiTheme="minorHAnsi" w:hAnsiTheme="minorHAnsi" w:cstheme="minorBidi"/>
                <w:sz w:val="18"/>
                <w:szCs w:val="18"/>
              </w:rPr>
              <w:t>professional development</w:t>
            </w:r>
          </w:p>
          <w:p w14:paraId="492A55AD" w14:textId="1BED97F0" w:rsidR="008645A2" w:rsidRPr="009E11D0" w:rsidRDefault="008645A2" w:rsidP="66C70E76">
            <w:pPr>
              <w:pStyle w:val="ListParagraph"/>
              <w:numPr>
                <w:ilvl w:val="0"/>
                <w:numId w:val="4"/>
              </w:numPr>
              <w:spacing w:after="0" w:line="240" w:lineRule="auto"/>
              <w:rPr>
                <w:rFonts w:asciiTheme="minorHAnsi" w:hAnsiTheme="minorHAnsi" w:cstheme="minorBidi"/>
                <w:sz w:val="18"/>
                <w:szCs w:val="18"/>
              </w:rPr>
            </w:pPr>
            <w:r w:rsidRPr="08C5D509">
              <w:rPr>
                <w:rFonts w:asciiTheme="minorHAnsi" w:hAnsiTheme="minorHAnsi" w:cstheme="minorBidi"/>
                <w:sz w:val="18"/>
                <w:szCs w:val="18"/>
              </w:rPr>
              <w:t>Transportation</w:t>
            </w:r>
            <w:r w:rsidR="009B44A4" w:rsidRPr="08C5D509">
              <w:rPr>
                <w:rFonts w:asciiTheme="minorHAnsi" w:hAnsiTheme="minorHAnsi" w:cstheme="minorBidi"/>
                <w:sz w:val="18"/>
                <w:szCs w:val="18"/>
              </w:rPr>
              <w:t xml:space="preserve"> – only if necessary for the child to benefit and participate in the services</w:t>
            </w:r>
            <w:r w:rsidR="00114BAB" w:rsidRPr="08C5D509">
              <w:rPr>
                <w:rFonts w:asciiTheme="minorHAnsi" w:hAnsiTheme="minorHAnsi" w:cstheme="minorBidi"/>
                <w:sz w:val="18"/>
                <w:szCs w:val="18"/>
              </w:rPr>
              <w:t>. LEAs are not required to provide transportation from the child's home to the private school.</w:t>
            </w:r>
          </w:p>
          <w:p w14:paraId="7825A3F0" w14:textId="5C0DBFDF" w:rsidR="00114BAB" w:rsidRPr="009E11D0" w:rsidRDefault="00114BAB" w:rsidP="553EEDD1">
            <w:pPr>
              <w:pStyle w:val="ListParagraph"/>
              <w:numPr>
                <w:ilvl w:val="0"/>
                <w:numId w:val="8"/>
              </w:numPr>
              <w:spacing w:after="0" w:line="240" w:lineRule="auto"/>
              <w:ind w:left="1320" w:right="-216"/>
              <w:rPr>
                <w:rFonts w:asciiTheme="minorHAnsi" w:hAnsiTheme="minorHAnsi" w:cstheme="minorBidi"/>
                <w:sz w:val="18"/>
                <w:szCs w:val="18"/>
              </w:rPr>
            </w:pPr>
            <w:r w:rsidRPr="1A846BB4">
              <w:rPr>
                <w:rFonts w:asciiTheme="minorHAnsi" w:hAnsiTheme="minorHAnsi" w:cstheme="minorBidi"/>
                <w:sz w:val="18"/>
                <w:szCs w:val="18"/>
              </w:rPr>
              <w:t>From the child's school or the child's home to a site other than the private school</w:t>
            </w:r>
            <w:r w:rsidR="6697E5B0" w:rsidRPr="1A846BB4">
              <w:rPr>
                <w:rFonts w:asciiTheme="minorHAnsi" w:hAnsiTheme="minorHAnsi" w:cstheme="minorBidi"/>
                <w:sz w:val="18"/>
                <w:szCs w:val="18"/>
              </w:rPr>
              <w:t xml:space="preserve"> to receive equitable services</w:t>
            </w:r>
            <w:r w:rsidRPr="1A846BB4">
              <w:rPr>
                <w:rFonts w:asciiTheme="minorHAnsi" w:hAnsiTheme="minorHAnsi" w:cstheme="minorBidi"/>
                <w:sz w:val="18"/>
                <w:szCs w:val="18"/>
              </w:rPr>
              <w:t>; and</w:t>
            </w:r>
          </w:p>
          <w:p w14:paraId="570F2313" w14:textId="7C5FDC90" w:rsidR="00114BAB" w:rsidRPr="009E11D0" w:rsidRDefault="00114BAB" w:rsidP="00C77338">
            <w:pPr>
              <w:pStyle w:val="ListParagraph"/>
              <w:numPr>
                <w:ilvl w:val="0"/>
                <w:numId w:val="8"/>
              </w:numPr>
              <w:spacing w:after="0" w:line="240" w:lineRule="auto"/>
              <w:ind w:left="1320"/>
              <w:rPr>
                <w:rFonts w:asciiTheme="minorHAnsi" w:hAnsiTheme="minorHAnsi" w:cstheme="minorHAnsi"/>
                <w:sz w:val="18"/>
                <w:szCs w:val="18"/>
              </w:rPr>
            </w:pPr>
            <w:r w:rsidRPr="009E11D0">
              <w:rPr>
                <w:rFonts w:asciiTheme="minorHAnsi" w:hAnsiTheme="minorHAnsi" w:cstheme="minorHAnsi"/>
                <w:sz w:val="18"/>
                <w:szCs w:val="18"/>
              </w:rPr>
              <w:t>From the service site to the private school, or to the child's home, depending on the timing of the services.</w:t>
            </w:r>
          </w:p>
          <w:p w14:paraId="3D942ECC" w14:textId="69DFC8E1" w:rsidR="00114BAB" w:rsidRPr="009E11D0" w:rsidRDefault="00114BAB" w:rsidP="00114BAB">
            <w:pPr>
              <w:spacing w:after="0" w:line="240" w:lineRule="auto"/>
              <w:rPr>
                <w:rFonts w:asciiTheme="minorHAnsi" w:hAnsiTheme="minorHAnsi" w:cstheme="minorHAnsi"/>
                <w:sz w:val="18"/>
                <w:szCs w:val="18"/>
              </w:rPr>
            </w:pPr>
          </w:p>
        </w:tc>
        <w:tc>
          <w:tcPr>
            <w:tcW w:w="4050" w:type="dxa"/>
            <w:shd w:val="clear" w:color="auto" w:fill="auto"/>
            <w:tcMar>
              <w:top w:w="120" w:type="dxa"/>
              <w:left w:w="120" w:type="dxa"/>
              <w:bottom w:w="120" w:type="dxa"/>
              <w:right w:w="120" w:type="dxa"/>
            </w:tcMar>
            <w:hideMark/>
          </w:tcPr>
          <w:p w14:paraId="4391D289" w14:textId="77429B26" w:rsidR="008645A2" w:rsidRPr="009E11D0" w:rsidRDefault="17D5835D" w:rsidP="553EEDD1">
            <w:pPr>
              <w:numPr>
                <w:ilvl w:val="0"/>
                <w:numId w:val="5"/>
              </w:numPr>
              <w:spacing w:after="0" w:line="240" w:lineRule="auto"/>
              <w:rPr>
                <w:rFonts w:asciiTheme="minorHAnsi" w:eastAsiaTheme="minorEastAsia" w:hAnsiTheme="minorHAnsi" w:cstheme="minorBidi"/>
                <w:sz w:val="18"/>
                <w:szCs w:val="18"/>
              </w:rPr>
            </w:pPr>
            <w:r w:rsidRPr="553EEDD1">
              <w:rPr>
                <w:rFonts w:asciiTheme="minorHAnsi" w:hAnsiTheme="minorHAnsi" w:cstheme="minorBidi"/>
                <w:sz w:val="18"/>
                <w:szCs w:val="18"/>
              </w:rPr>
              <w:t>Any costs related to child find and evaluation activities.</w:t>
            </w:r>
          </w:p>
          <w:p w14:paraId="276A0BB0" w14:textId="2793FA8A" w:rsidR="008645A2" w:rsidRPr="009E11D0" w:rsidRDefault="008645A2" w:rsidP="553EEDD1">
            <w:pPr>
              <w:numPr>
                <w:ilvl w:val="0"/>
                <w:numId w:val="5"/>
              </w:numPr>
              <w:spacing w:after="0" w:line="240" w:lineRule="auto"/>
              <w:rPr>
                <w:sz w:val="18"/>
                <w:szCs w:val="18"/>
              </w:rPr>
            </w:pPr>
            <w:r w:rsidRPr="553EEDD1">
              <w:rPr>
                <w:rFonts w:asciiTheme="minorHAnsi" w:hAnsiTheme="minorHAnsi" w:cstheme="minorBidi"/>
                <w:sz w:val="18"/>
                <w:szCs w:val="18"/>
              </w:rPr>
              <w:t>Separate classes</w:t>
            </w:r>
            <w:r w:rsidR="36449CF2" w:rsidRPr="553EEDD1">
              <w:rPr>
                <w:rFonts w:asciiTheme="minorHAnsi" w:hAnsiTheme="minorHAnsi" w:cstheme="minorBidi"/>
                <w:sz w:val="18"/>
                <w:szCs w:val="18"/>
              </w:rPr>
              <w:t xml:space="preserve"> organized on the basis of enrollment or religion</w:t>
            </w:r>
            <w:r w:rsidR="00B137F4" w:rsidRPr="553EEDD1">
              <w:rPr>
                <w:rFonts w:asciiTheme="minorHAnsi" w:hAnsiTheme="minorHAnsi" w:cstheme="minorBidi"/>
                <w:sz w:val="18"/>
                <w:szCs w:val="18"/>
              </w:rPr>
              <w:t xml:space="preserve">, as described in </w:t>
            </w:r>
            <w:hyperlink r:id="rId15" w:anchor="se34.2.300_1143">
              <w:r w:rsidR="00B137F4" w:rsidRPr="553EEDD1">
                <w:rPr>
                  <w:rStyle w:val="Hyperlink"/>
                  <w:rFonts w:cstheme="minorBidi"/>
                  <w:sz w:val="18"/>
                  <w:szCs w:val="18"/>
                </w:rPr>
                <w:t>34 CFR § 300.143</w:t>
              </w:r>
            </w:hyperlink>
          </w:p>
          <w:p w14:paraId="2A4F38B4" w14:textId="3C8E57E4" w:rsidR="008645A2" w:rsidRPr="009E11D0" w:rsidRDefault="008645A2" w:rsidP="553EEDD1">
            <w:pPr>
              <w:numPr>
                <w:ilvl w:val="0"/>
                <w:numId w:val="5"/>
              </w:numPr>
              <w:spacing w:after="0" w:line="240" w:lineRule="auto"/>
              <w:rPr>
                <w:rFonts w:asciiTheme="minorHAnsi" w:hAnsiTheme="minorHAnsi" w:cstheme="minorBidi"/>
                <w:sz w:val="18"/>
                <w:szCs w:val="18"/>
              </w:rPr>
            </w:pPr>
            <w:r w:rsidRPr="553EEDD1">
              <w:rPr>
                <w:rFonts w:asciiTheme="minorHAnsi" w:hAnsiTheme="minorHAnsi" w:cstheme="minorBidi"/>
                <w:sz w:val="18"/>
                <w:szCs w:val="18"/>
              </w:rPr>
              <w:t>Repairs</w:t>
            </w:r>
            <w:r w:rsidR="7A6EA669" w:rsidRPr="553EEDD1">
              <w:rPr>
                <w:rFonts w:asciiTheme="minorHAnsi" w:hAnsiTheme="minorHAnsi" w:cstheme="minorBidi"/>
                <w:sz w:val="18"/>
                <w:szCs w:val="18"/>
              </w:rPr>
              <w:t>, minor remolding, and/or construction</w:t>
            </w:r>
            <w:r w:rsidR="7A5C09BD" w:rsidRPr="553EEDD1">
              <w:rPr>
                <w:rFonts w:asciiTheme="minorHAnsi" w:hAnsiTheme="minorHAnsi" w:cstheme="minorBidi"/>
                <w:sz w:val="18"/>
                <w:szCs w:val="18"/>
              </w:rPr>
              <w:t xml:space="preserve"> </w:t>
            </w:r>
            <w:r w:rsidRPr="553EEDD1">
              <w:rPr>
                <w:rFonts w:asciiTheme="minorHAnsi" w:hAnsiTheme="minorHAnsi" w:cstheme="minorBidi"/>
                <w:sz w:val="18"/>
                <w:szCs w:val="18"/>
              </w:rPr>
              <w:t>of private school facilities</w:t>
            </w:r>
          </w:p>
          <w:p w14:paraId="5C25A23A" w14:textId="1B8569BA" w:rsidR="00633AC0" w:rsidRPr="009E11D0" w:rsidRDefault="00633AC0" w:rsidP="553EEDD1">
            <w:pPr>
              <w:numPr>
                <w:ilvl w:val="0"/>
                <w:numId w:val="5"/>
              </w:numPr>
              <w:spacing w:after="0" w:line="240" w:lineRule="auto"/>
              <w:rPr>
                <w:rFonts w:asciiTheme="minorHAnsi" w:eastAsiaTheme="minorEastAsia" w:hAnsiTheme="minorHAnsi" w:cstheme="minorBidi"/>
                <w:sz w:val="18"/>
                <w:szCs w:val="18"/>
              </w:rPr>
            </w:pPr>
            <w:r w:rsidRPr="553EEDD1">
              <w:rPr>
                <w:rFonts w:asciiTheme="minorHAnsi" w:hAnsiTheme="minorHAnsi" w:cstheme="minorBidi"/>
                <w:sz w:val="18"/>
                <w:szCs w:val="18"/>
              </w:rPr>
              <w:t>Reimbursement to private schools and/or parents of eligible home</w:t>
            </w:r>
            <w:r w:rsidR="005515EA" w:rsidRPr="553EEDD1">
              <w:rPr>
                <w:rFonts w:asciiTheme="minorHAnsi" w:hAnsiTheme="minorHAnsi" w:cstheme="minorBidi"/>
                <w:sz w:val="18"/>
                <w:szCs w:val="18"/>
              </w:rPr>
              <w:t>-</w:t>
            </w:r>
            <w:r w:rsidRPr="553EEDD1">
              <w:rPr>
                <w:rFonts w:asciiTheme="minorHAnsi" w:hAnsiTheme="minorHAnsi" w:cstheme="minorBidi"/>
                <w:sz w:val="18"/>
                <w:szCs w:val="18"/>
              </w:rPr>
              <w:t>schooled students</w:t>
            </w:r>
          </w:p>
        </w:tc>
      </w:tr>
    </w:tbl>
    <w:p w14:paraId="49440FAF" w14:textId="7DBB159F" w:rsidR="00743211" w:rsidRPr="00A936E2" w:rsidRDefault="00743211" w:rsidP="00A936E2">
      <w:pPr>
        <w:spacing w:after="0" w:line="240" w:lineRule="auto"/>
        <w:rPr>
          <w:rFonts w:asciiTheme="minorHAnsi" w:hAnsiTheme="minorHAnsi" w:cstheme="minorHAnsi"/>
        </w:rPr>
      </w:pPr>
    </w:p>
    <w:sectPr w:rsidR="00743211" w:rsidRPr="00A936E2" w:rsidSect="00457FD8">
      <w:headerReference w:type="default" r:id="rId16"/>
      <w:footerReference w:type="default" r:id="rId17"/>
      <w:pgSz w:w="12240" w:h="15840"/>
      <w:pgMar w:top="-270" w:right="1008" w:bottom="270" w:left="1008"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9CCF" w14:textId="77777777" w:rsidR="009D603B" w:rsidRDefault="009D603B" w:rsidP="0066778E">
      <w:r>
        <w:separator/>
      </w:r>
    </w:p>
  </w:endnote>
  <w:endnote w:type="continuationSeparator" w:id="0">
    <w:p w14:paraId="1ABC5E55" w14:textId="77777777" w:rsidR="009D603B" w:rsidRDefault="009D603B" w:rsidP="0066778E">
      <w:r>
        <w:continuationSeparator/>
      </w:r>
    </w:p>
  </w:endnote>
  <w:endnote w:type="continuationNotice" w:id="1">
    <w:p w14:paraId="6B974EFA" w14:textId="77777777" w:rsidR="009D603B" w:rsidRDefault="009D60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unPenh">
    <w:altName w:val="Leelawadee UI"/>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oolBoran">
    <w:altName w:val="Leelawadee UI"/>
    <w:charset w:val="00"/>
    <w:family w:val="swiss"/>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256199"/>
      <w:docPartObj>
        <w:docPartGallery w:val="Page Numbers (Top of Page)"/>
        <w:docPartUnique/>
      </w:docPartObj>
    </w:sdtPr>
    <w:sdtEndPr/>
    <w:sdtContent>
      <w:p w14:paraId="4EC27ABA" w14:textId="77777777" w:rsidR="00457FD8" w:rsidRDefault="00457FD8" w:rsidP="00457FD8">
        <w:pPr>
          <w:pStyle w:val="Footer"/>
        </w:pPr>
      </w:p>
      <w:p w14:paraId="24721577" w14:textId="0B36C223" w:rsidR="00457FD8" w:rsidRDefault="00457FD8" w:rsidP="00457FD8">
        <w:pPr>
          <w:pStyle w:val="Footer"/>
          <w:rPr>
            <w:rFonts w:asciiTheme="minorHAnsi" w:hAnsiTheme="minorHAnsi" w:cstheme="minorBidi"/>
          </w:rPr>
        </w:pPr>
        <w:r w:rsidRPr="00D83347">
          <w:rPr>
            <w:rFonts w:cstheme="minorHAnsi"/>
            <w:i/>
            <w:iCs/>
            <w:sz w:val="18"/>
            <w:szCs w:val="18"/>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771FF658" w14:textId="2BEB4CFC" w:rsidR="00F36A2B" w:rsidRDefault="00F36A2B" w:rsidP="00457FD8">
        <w:pPr>
          <w:spacing w:after="0" w:line="240" w:lineRule="auto"/>
          <w:jc w:val="center"/>
        </w:pPr>
        <w:r>
          <w:t xml:space="preserve">                                                                                                                            </w:t>
        </w:r>
        <w:r w:rsidR="005B3CCC">
          <w:t xml:space="preserve">               </w:t>
        </w:r>
        <w:r w:rsidR="008645A2">
          <w:t>May</w:t>
        </w:r>
        <w:r w:rsidR="00B24B38">
          <w:t xml:space="preserve"> 20</w:t>
        </w:r>
        <w:r w:rsidR="008645A2">
          <w:t>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E6AE" w14:textId="77777777" w:rsidR="009D603B" w:rsidRDefault="009D603B" w:rsidP="0066778E">
      <w:r>
        <w:separator/>
      </w:r>
    </w:p>
  </w:footnote>
  <w:footnote w:type="continuationSeparator" w:id="0">
    <w:p w14:paraId="4B47E8BD" w14:textId="77777777" w:rsidR="009D603B" w:rsidRDefault="009D603B" w:rsidP="0066778E">
      <w:r>
        <w:continuationSeparator/>
      </w:r>
    </w:p>
  </w:footnote>
  <w:footnote w:type="continuationNotice" w:id="1">
    <w:p w14:paraId="5E2C51C0" w14:textId="77777777" w:rsidR="009D603B" w:rsidRDefault="009D60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F655" w14:textId="1AAF7A55" w:rsidR="00F36A2B" w:rsidRPr="00F71E79" w:rsidRDefault="00F36A2B" w:rsidP="00F36A2B">
    <w:pPr>
      <w:pStyle w:val="Heading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3E1F"/>
    <w:multiLevelType w:val="hybridMultilevel"/>
    <w:tmpl w:val="5608EC0E"/>
    <w:lvl w:ilvl="0" w:tplc="AF70F6EA">
      <w:start w:val="1"/>
      <w:numFmt w:val="bullet"/>
      <w:pStyle w:val="Bullet1"/>
      <w:lvlText w:val=""/>
      <w:lvlJc w:val="left"/>
      <w:pPr>
        <w:ind w:left="360" w:hanging="360"/>
      </w:pPr>
      <w:rPr>
        <w:rFonts w:ascii="Wingdings" w:hAnsi="Wingdings" w:hint="default"/>
        <w:b w:val="0"/>
        <w:i w:val="0"/>
        <w:color w:val="E15D15"/>
        <w:sz w:val="24"/>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E066DE"/>
    <w:multiLevelType w:val="hybridMultilevel"/>
    <w:tmpl w:val="EA5C5D14"/>
    <w:styleLink w:val="Bullet10"/>
    <w:lvl w:ilvl="0" w:tplc="CD1AF6B0">
      <w:start w:val="1"/>
      <w:numFmt w:val="bullet"/>
      <w:lvlText w:val=""/>
      <w:lvlJc w:val="left"/>
      <w:pPr>
        <w:ind w:left="1080" w:hanging="360"/>
      </w:pPr>
      <w:rPr>
        <w:rFonts w:ascii="Wingdings" w:hAnsi="Wingdings" w:hint="default"/>
        <w:b/>
        <w:i w:val="0"/>
        <w:color w:val="E28521"/>
        <w:sz w:val="32"/>
      </w:rPr>
    </w:lvl>
    <w:lvl w:ilvl="1" w:tplc="5D5625EA">
      <w:start w:val="1"/>
      <w:numFmt w:val="bullet"/>
      <w:lvlText w:val=""/>
      <w:lvlJc w:val="left"/>
      <w:pPr>
        <w:ind w:left="1440" w:hanging="360"/>
      </w:pPr>
      <w:rPr>
        <w:rFonts w:ascii="Wingdings" w:hAnsi="Wingdings" w:hint="default"/>
        <w:color w:val="E28521"/>
      </w:rPr>
    </w:lvl>
    <w:lvl w:ilvl="2" w:tplc="FB7A0A8C">
      <w:start w:val="1"/>
      <w:numFmt w:val="bullet"/>
      <w:lvlText w:val=""/>
      <w:lvlJc w:val="left"/>
      <w:pPr>
        <w:ind w:left="1800" w:hanging="360"/>
      </w:pPr>
      <w:rPr>
        <w:rFonts w:ascii="Wingdings" w:hAnsi="Wingdings" w:hint="default"/>
        <w:color w:val="E28521"/>
      </w:rPr>
    </w:lvl>
    <w:lvl w:ilvl="3" w:tplc="DD56D69A">
      <w:start w:val="1"/>
      <w:numFmt w:val="bullet"/>
      <w:lvlText w:val=""/>
      <w:lvlJc w:val="left"/>
      <w:pPr>
        <w:ind w:left="2520" w:hanging="360"/>
      </w:pPr>
      <w:rPr>
        <w:rFonts w:ascii="Symbol" w:hAnsi="Symbol" w:hint="default"/>
      </w:rPr>
    </w:lvl>
    <w:lvl w:ilvl="4" w:tplc="7196FD1A">
      <w:start w:val="1"/>
      <w:numFmt w:val="bullet"/>
      <w:lvlText w:val="o"/>
      <w:lvlJc w:val="left"/>
      <w:pPr>
        <w:ind w:left="3240" w:hanging="360"/>
      </w:pPr>
      <w:rPr>
        <w:rFonts w:ascii="Courier New" w:hAnsi="Courier New" w:cs="Arial" w:hint="default"/>
      </w:rPr>
    </w:lvl>
    <w:lvl w:ilvl="5" w:tplc="880460F0">
      <w:start w:val="1"/>
      <w:numFmt w:val="bullet"/>
      <w:lvlText w:val=""/>
      <w:lvlJc w:val="left"/>
      <w:pPr>
        <w:ind w:left="3960" w:hanging="360"/>
      </w:pPr>
      <w:rPr>
        <w:rFonts w:ascii="Wingdings" w:hAnsi="Wingdings" w:hint="default"/>
      </w:rPr>
    </w:lvl>
    <w:lvl w:ilvl="6" w:tplc="4776E634">
      <w:start w:val="1"/>
      <w:numFmt w:val="bullet"/>
      <w:lvlText w:val=""/>
      <w:lvlJc w:val="left"/>
      <w:pPr>
        <w:ind w:left="4680" w:hanging="360"/>
      </w:pPr>
      <w:rPr>
        <w:rFonts w:ascii="Symbol" w:hAnsi="Symbol" w:hint="default"/>
      </w:rPr>
    </w:lvl>
    <w:lvl w:ilvl="7" w:tplc="EF646BD4">
      <w:start w:val="1"/>
      <w:numFmt w:val="bullet"/>
      <w:lvlText w:val="o"/>
      <w:lvlJc w:val="left"/>
      <w:pPr>
        <w:ind w:left="5400" w:hanging="360"/>
      </w:pPr>
      <w:rPr>
        <w:rFonts w:ascii="Courier New" w:hAnsi="Courier New" w:cs="Arial" w:hint="default"/>
      </w:rPr>
    </w:lvl>
    <w:lvl w:ilvl="8" w:tplc="0A4EA7C6">
      <w:start w:val="1"/>
      <w:numFmt w:val="bullet"/>
      <w:lvlText w:val=""/>
      <w:lvlJc w:val="left"/>
      <w:pPr>
        <w:ind w:left="6120" w:hanging="360"/>
      </w:pPr>
      <w:rPr>
        <w:rFonts w:ascii="Wingdings" w:hAnsi="Wingdings" w:hint="default"/>
      </w:rPr>
    </w:lvl>
  </w:abstractNum>
  <w:abstractNum w:abstractNumId="2"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934540"/>
    <w:multiLevelType w:val="hybridMultilevel"/>
    <w:tmpl w:val="DCF2DC80"/>
    <w:lvl w:ilvl="0" w:tplc="874E2688">
      <w:start w:val="1"/>
      <w:numFmt w:val="bullet"/>
      <w:lvlText w:val=""/>
      <w:lvlJc w:val="left"/>
      <w:pPr>
        <w:tabs>
          <w:tab w:val="num" w:pos="720"/>
        </w:tabs>
        <w:ind w:left="720" w:hanging="360"/>
      </w:pPr>
      <w:rPr>
        <w:rFonts w:ascii="Symbol" w:hAnsi="Symbol" w:hint="default"/>
        <w:sz w:val="20"/>
      </w:rPr>
    </w:lvl>
    <w:lvl w:ilvl="1" w:tplc="AB1CD86E">
      <w:start w:val="1"/>
      <w:numFmt w:val="bullet"/>
      <w:lvlText w:val="o"/>
      <w:lvlJc w:val="left"/>
      <w:pPr>
        <w:tabs>
          <w:tab w:val="num" w:pos="1440"/>
        </w:tabs>
        <w:ind w:left="1440" w:hanging="360"/>
      </w:pPr>
      <w:rPr>
        <w:rFonts w:ascii="Courier New" w:hAnsi="Courier New" w:hint="default"/>
        <w:sz w:val="20"/>
      </w:rPr>
    </w:lvl>
    <w:lvl w:ilvl="2" w:tplc="6EB6C316" w:tentative="1">
      <w:start w:val="1"/>
      <w:numFmt w:val="bullet"/>
      <w:lvlText w:val=""/>
      <w:lvlJc w:val="left"/>
      <w:pPr>
        <w:tabs>
          <w:tab w:val="num" w:pos="2160"/>
        </w:tabs>
        <w:ind w:left="2160" w:hanging="360"/>
      </w:pPr>
      <w:rPr>
        <w:rFonts w:ascii="Wingdings" w:hAnsi="Wingdings" w:hint="default"/>
        <w:sz w:val="20"/>
      </w:rPr>
    </w:lvl>
    <w:lvl w:ilvl="3" w:tplc="B6ECFC98" w:tentative="1">
      <w:start w:val="1"/>
      <w:numFmt w:val="bullet"/>
      <w:lvlText w:val=""/>
      <w:lvlJc w:val="left"/>
      <w:pPr>
        <w:tabs>
          <w:tab w:val="num" w:pos="2880"/>
        </w:tabs>
        <w:ind w:left="2880" w:hanging="360"/>
      </w:pPr>
      <w:rPr>
        <w:rFonts w:ascii="Wingdings" w:hAnsi="Wingdings" w:hint="default"/>
        <w:sz w:val="20"/>
      </w:rPr>
    </w:lvl>
    <w:lvl w:ilvl="4" w:tplc="043E31E0" w:tentative="1">
      <w:start w:val="1"/>
      <w:numFmt w:val="bullet"/>
      <w:lvlText w:val=""/>
      <w:lvlJc w:val="left"/>
      <w:pPr>
        <w:tabs>
          <w:tab w:val="num" w:pos="3600"/>
        </w:tabs>
        <w:ind w:left="3600" w:hanging="360"/>
      </w:pPr>
      <w:rPr>
        <w:rFonts w:ascii="Wingdings" w:hAnsi="Wingdings" w:hint="default"/>
        <w:sz w:val="20"/>
      </w:rPr>
    </w:lvl>
    <w:lvl w:ilvl="5" w:tplc="E50A5998" w:tentative="1">
      <w:start w:val="1"/>
      <w:numFmt w:val="bullet"/>
      <w:lvlText w:val=""/>
      <w:lvlJc w:val="left"/>
      <w:pPr>
        <w:tabs>
          <w:tab w:val="num" w:pos="4320"/>
        </w:tabs>
        <w:ind w:left="4320" w:hanging="360"/>
      </w:pPr>
      <w:rPr>
        <w:rFonts w:ascii="Wingdings" w:hAnsi="Wingdings" w:hint="default"/>
        <w:sz w:val="20"/>
      </w:rPr>
    </w:lvl>
    <w:lvl w:ilvl="6" w:tplc="8E2C8EEA" w:tentative="1">
      <w:start w:val="1"/>
      <w:numFmt w:val="bullet"/>
      <w:lvlText w:val=""/>
      <w:lvlJc w:val="left"/>
      <w:pPr>
        <w:tabs>
          <w:tab w:val="num" w:pos="5040"/>
        </w:tabs>
        <w:ind w:left="5040" w:hanging="360"/>
      </w:pPr>
      <w:rPr>
        <w:rFonts w:ascii="Wingdings" w:hAnsi="Wingdings" w:hint="default"/>
        <w:sz w:val="20"/>
      </w:rPr>
    </w:lvl>
    <w:lvl w:ilvl="7" w:tplc="1A6C2062" w:tentative="1">
      <w:start w:val="1"/>
      <w:numFmt w:val="bullet"/>
      <w:lvlText w:val=""/>
      <w:lvlJc w:val="left"/>
      <w:pPr>
        <w:tabs>
          <w:tab w:val="num" w:pos="5760"/>
        </w:tabs>
        <w:ind w:left="5760" w:hanging="360"/>
      </w:pPr>
      <w:rPr>
        <w:rFonts w:ascii="Wingdings" w:hAnsi="Wingdings" w:hint="default"/>
        <w:sz w:val="20"/>
      </w:rPr>
    </w:lvl>
    <w:lvl w:ilvl="8" w:tplc="DABA95D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1772F"/>
    <w:multiLevelType w:val="hybridMultilevel"/>
    <w:tmpl w:val="1B4221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96DAB"/>
    <w:multiLevelType w:val="multilevel"/>
    <w:tmpl w:val="F1B8D27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AE2EE0"/>
    <w:multiLevelType w:val="hybridMultilevel"/>
    <w:tmpl w:val="2BD29E06"/>
    <w:lvl w:ilvl="0" w:tplc="EFB0EA32">
      <w:start w:val="1"/>
      <w:numFmt w:val="bullet"/>
      <w:lvlText w:val=""/>
      <w:lvlJc w:val="left"/>
      <w:pPr>
        <w:tabs>
          <w:tab w:val="num" w:pos="720"/>
        </w:tabs>
        <w:ind w:left="720" w:hanging="360"/>
      </w:pPr>
      <w:rPr>
        <w:rFonts w:ascii="Symbol" w:hAnsi="Symbol" w:hint="default"/>
        <w:sz w:val="20"/>
      </w:rPr>
    </w:lvl>
    <w:lvl w:ilvl="1" w:tplc="02524348">
      <w:start w:val="1"/>
      <w:numFmt w:val="bullet"/>
      <w:lvlText w:val=""/>
      <w:lvlJc w:val="left"/>
      <w:pPr>
        <w:tabs>
          <w:tab w:val="num" w:pos="1440"/>
        </w:tabs>
        <w:ind w:left="1440" w:hanging="360"/>
      </w:pPr>
      <w:rPr>
        <w:rFonts w:ascii="Wingdings" w:hAnsi="Wingdings" w:hint="default"/>
        <w:sz w:val="20"/>
      </w:rPr>
    </w:lvl>
    <w:lvl w:ilvl="2" w:tplc="7124125E" w:tentative="1">
      <w:start w:val="1"/>
      <w:numFmt w:val="bullet"/>
      <w:lvlText w:val=""/>
      <w:lvlJc w:val="left"/>
      <w:pPr>
        <w:tabs>
          <w:tab w:val="num" w:pos="2160"/>
        </w:tabs>
        <w:ind w:left="2160" w:hanging="360"/>
      </w:pPr>
      <w:rPr>
        <w:rFonts w:ascii="Wingdings" w:hAnsi="Wingdings" w:hint="default"/>
        <w:sz w:val="20"/>
      </w:rPr>
    </w:lvl>
    <w:lvl w:ilvl="3" w:tplc="09C416C6" w:tentative="1">
      <w:start w:val="1"/>
      <w:numFmt w:val="bullet"/>
      <w:lvlText w:val=""/>
      <w:lvlJc w:val="left"/>
      <w:pPr>
        <w:tabs>
          <w:tab w:val="num" w:pos="2880"/>
        </w:tabs>
        <w:ind w:left="2880" w:hanging="360"/>
      </w:pPr>
      <w:rPr>
        <w:rFonts w:ascii="Wingdings" w:hAnsi="Wingdings" w:hint="default"/>
        <w:sz w:val="20"/>
      </w:rPr>
    </w:lvl>
    <w:lvl w:ilvl="4" w:tplc="262E2890" w:tentative="1">
      <w:start w:val="1"/>
      <w:numFmt w:val="bullet"/>
      <w:lvlText w:val=""/>
      <w:lvlJc w:val="left"/>
      <w:pPr>
        <w:tabs>
          <w:tab w:val="num" w:pos="3600"/>
        </w:tabs>
        <w:ind w:left="3600" w:hanging="360"/>
      </w:pPr>
      <w:rPr>
        <w:rFonts w:ascii="Wingdings" w:hAnsi="Wingdings" w:hint="default"/>
        <w:sz w:val="20"/>
      </w:rPr>
    </w:lvl>
    <w:lvl w:ilvl="5" w:tplc="A62A3776" w:tentative="1">
      <w:start w:val="1"/>
      <w:numFmt w:val="bullet"/>
      <w:lvlText w:val=""/>
      <w:lvlJc w:val="left"/>
      <w:pPr>
        <w:tabs>
          <w:tab w:val="num" w:pos="4320"/>
        </w:tabs>
        <w:ind w:left="4320" w:hanging="360"/>
      </w:pPr>
      <w:rPr>
        <w:rFonts w:ascii="Wingdings" w:hAnsi="Wingdings" w:hint="default"/>
        <w:sz w:val="20"/>
      </w:rPr>
    </w:lvl>
    <w:lvl w:ilvl="6" w:tplc="2ADC997C" w:tentative="1">
      <w:start w:val="1"/>
      <w:numFmt w:val="bullet"/>
      <w:lvlText w:val=""/>
      <w:lvlJc w:val="left"/>
      <w:pPr>
        <w:tabs>
          <w:tab w:val="num" w:pos="5040"/>
        </w:tabs>
        <w:ind w:left="5040" w:hanging="360"/>
      </w:pPr>
      <w:rPr>
        <w:rFonts w:ascii="Wingdings" w:hAnsi="Wingdings" w:hint="default"/>
        <w:sz w:val="20"/>
      </w:rPr>
    </w:lvl>
    <w:lvl w:ilvl="7" w:tplc="CC9E779A" w:tentative="1">
      <w:start w:val="1"/>
      <w:numFmt w:val="bullet"/>
      <w:lvlText w:val=""/>
      <w:lvlJc w:val="left"/>
      <w:pPr>
        <w:tabs>
          <w:tab w:val="num" w:pos="5760"/>
        </w:tabs>
        <w:ind w:left="5760" w:hanging="360"/>
      </w:pPr>
      <w:rPr>
        <w:rFonts w:ascii="Wingdings" w:hAnsi="Wingdings" w:hint="default"/>
        <w:sz w:val="20"/>
      </w:rPr>
    </w:lvl>
    <w:lvl w:ilvl="8" w:tplc="D6E8089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865F0C"/>
    <w:multiLevelType w:val="multilevel"/>
    <w:tmpl w:val="59E6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047258">
    <w:abstractNumId w:val="2"/>
  </w:num>
  <w:num w:numId="2" w16cid:durableId="1862887800">
    <w:abstractNumId w:val="0"/>
  </w:num>
  <w:num w:numId="3" w16cid:durableId="1571234455">
    <w:abstractNumId w:val="1"/>
  </w:num>
  <w:num w:numId="4" w16cid:durableId="792209204">
    <w:abstractNumId w:val="3"/>
  </w:num>
  <w:num w:numId="5" w16cid:durableId="1897735083">
    <w:abstractNumId w:val="7"/>
  </w:num>
  <w:num w:numId="6" w16cid:durableId="1910185100">
    <w:abstractNumId w:val="5"/>
  </w:num>
  <w:num w:numId="7" w16cid:durableId="411632895">
    <w:abstractNumId w:val="6"/>
  </w:num>
  <w:num w:numId="8" w16cid:durableId="8214305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C2"/>
    <w:rsid w:val="00006B02"/>
    <w:rsid w:val="00006D26"/>
    <w:rsid w:val="00007BDE"/>
    <w:rsid w:val="000125F3"/>
    <w:rsid w:val="00014F68"/>
    <w:rsid w:val="0002190C"/>
    <w:rsid w:val="000224FF"/>
    <w:rsid w:val="00030507"/>
    <w:rsid w:val="00030C22"/>
    <w:rsid w:val="00032390"/>
    <w:rsid w:val="0003603B"/>
    <w:rsid w:val="00043D42"/>
    <w:rsid w:val="00051091"/>
    <w:rsid w:val="00056FFB"/>
    <w:rsid w:val="00061148"/>
    <w:rsid w:val="000611E8"/>
    <w:rsid w:val="0007438F"/>
    <w:rsid w:val="00076146"/>
    <w:rsid w:val="0007624F"/>
    <w:rsid w:val="000808F3"/>
    <w:rsid w:val="0008207E"/>
    <w:rsid w:val="00086F4E"/>
    <w:rsid w:val="00094A0D"/>
    <w:rsid w:val="000A5D6C"/>
    <w:rsid w:val="000A74D7"/>
    <w:rsid w:val="000B07A7"/>
    <w:rsid w:val="000D0A2A"/>
    <w:rsid w:val="000D1DAA"/>
    <w:rsid w:val="000D3FCB"/>
    <w:rsid w:val="000D4732"/>
    <w:rsid w:val="000D4A78"/>
    <w:rsid w:val="000D7055"/>
    <w:rsid w:val="000F0FDB"/>
    <w:rsid w:val="000F1E14"/>
    <w:rsid w:val="000F6D88"/>
    <w:rsid w:val="00113114"/>
    <w:rsid w:val="00114BAB"/>
    <w:rsid w:val="0011666A"/>
    <w:rsid w:val="0012247C"/>
    <w:rsid w:val="001257AF"/>
    <w:rsid w:val="001472F4"/>
    <w:rsid w:val="0015661A"/>
    <w:rsid w:val="001574D3"/>
    <w:rsid w:val="00161152"/>
    <w:rsid w:val="001616EE"/>
    <w:rsid w:val="00163532"/>
    <w:rsid w:val="00166240"/>
    <w:rsid w:val="00167A31"/>
    <w:rsid w:val="00174313"/>
    <w:rsid w:val="00174E70"/>
    <w:rsid w:val="00176632"/>
    <w:rsid w:val="001860A8"/>
    <w:rsid w:val="001A0F70"/>
    <w:rsid w:val="001A329D"/>
    <w:rsid w:val="001A4C6C"/>
    <w:rsid w:val="001B0797"/>
    <w:rsid w:val="001B111D"/>
    <w:rsid w:val="001C03B7"/>
    <w:rsid w:val="001D21B1"/>
    <w:rsid w:val="001E0CF4"/>
    <w:rsid w:val="001E4978"/>
    <w:rsid w:val="001E4A3B"/>
    <w:rsid w:val="001F0C9A"/>
    <w:rsid w:val="001F3EC7"/>
    <w:rsid w:val="001F694A"/>
    <w:rsid w:val="00200FAC"/>
    <w:rsid w:val="0020151F"/>
    <w:rsid w:val="00204A54"/>
    <w:rsid w:val="0020643D"/>
    <w:rsid w:val="00211106"/>
    <w:rsid w:val="002123C2"/>
    <w:rsid w:val="002138D2"/>
    <w:rsid w:val="00215046"/>
    <w:rsid w:val="00220FE8"/>
    <w:rsid w:val="0022129D"/>
    <w:rsid w:val="00222A97"/>
    <w:rsid w:val="002259FC"/>
    <w:rsid w:val="0022669A"/>
    <w:rsid w:val="00231AED"/>
    <w:rsid w:val="00231D56"/>
    <w:rsid w:val="00231DDF"/>
    <w:rsid w:val="002415C7"/>
    <w:rsid w:val="0024610A"/>
    <w:rsid w:val="00246797"/>
    <w:rsid w:val="00252CAB"/>
    <w:rsid w:val="002536F4"/>
    <w:rsid w:val="002636CA"/>
    <w:rsid w:val="00267B36"/>
    <w:rsid w:val="00270A58"/>
    <w:rsid w:val="0027236D"/>
    <w:rsid w:val="00274AAC"/>
    <w:rsid w:val="00280C6C"/>
    <w:rsid w:val="00294558"/>
    <w:rsid w:val="002A0D06"/>
    <w:rsid w:val="002B1BD5"/>
    <w:rsid w:val="002B6AF4"/>
    <w:rsid w:val="002B6C64"/>
    <w:rsid w:val="002B6CA6"/>
    <w:rsid w:val="002C1D6D"/>
    <w:rsid w:val="002C4372"/>
    <w:rsid w:val="002C4C7C"/>
    <w:rsid w:val="002C5464"/>
    <w:rsid w:val="002C73ED"/>
    <w:rsid w:val="002D3174"/>
    <w:rsid w:val="002D39D2"/>
    <w:rsid w:val="002E041D"/>
    <w:rsid w:val="002E0C25"/>
    <w:rsid w:val="002E3675"/>
    <w:rsid w:val="002E3AC5"/>
    <w:rsid w:val="002E6CE8"/>
    <w:rsid w:val="002E7DA5"/>
    <w:rsid w:val="002F01CD"/>
    <w:rsid w:val="002F07FF"/>
    <w:rsid w:val="002F2AC5"/>
    <w:rsid w:val="002F541A"/>
    <w:rsid w:val="002F5F89"/>
    <w:rsid w:val="00301353"/>
    <w:rsid w:val="00304FD3"/>
    <w:rsid w:val="003102F2"/>
    <w:rsid w:val="003135AE"/>
    <w:rsid w:val="0032214F"/>
    <w:rsid w:val="003250D3"/>
    <w:rsid w:val="0033200D"/>
    <w:rsid w:val="0034241C"/>
    <w:rsid w:val="00342FD0"/>
    <w:rsid w:val="00353B62"/>
    <w:rsid w:val="00356B3D"/>
    <w:rsid w:val="003660A3"/>
    <w:rsid w:val="003717BB"/>
    <w:rsid w:val="00372DB8"/>
    <w:rsid w:val="00381697"/>
    <w:rsid w:val="00382625"/>
    <w:rsid w:val="003842BA"/>
    <w:rsid w:val="00384E80"/>
    <w:rsid w:val="00385411"/>
    <w:rsid w:val="00393351"/>
    <w:rsid w:val="003963CE"/>
    <w:rsid w:val="00397260"/>
    <w:rsid w:val="003A4FB0"/>
    <w:rsid w:val="003A6BCA"/>
    <w:rsid w:val="003A7938"/>
    <w:rsid w:val="003B2F2B"/>
    <w:rsid w:val="003B42A2"/>
    <w:rsid w:val="003C02C8"/>
    <w:rsid w:val="003C6F1F"/>
    <w:rsid w:val="003D31F2"/>
    <w:rsid w:val="003E0B1D"/>
    <w:rsid w:val="003E5A09"/>
    <w:rsid w:val="003E6B3A"/>
    <w:rsid w:val="003F4351"/>
    <w:rsid w:val="003F66FA"/>
    <w:rsid w:val="004019BB"/>
    <w:rsid w:val="0040759F"/>
    <w:rsid w:val="00407BE0"/>
    <w:rsid w:val="0042016C"/>
    <w:rsid w:val="0042470F"/>
    <w:rsid w:val="004305CE"/>
    <w:rsid w:val="00431B32"/>
    <w:rsid w:val="004325FB"/>
    <w:rsid w:val="0043728A"/>
    <w:rsid w:val="004445C7"/>
    <w:rsid w:val="00444AF1"/>
    <w:rsid w:val="004478B3"/>
    <w:rsid w:val="00451061"/>
    <w:rsid w:val="0045264F"/>
    <w:rsid w:val="0045649D"/>
    <w:rsid w:val="00457FD8"/>
    <w:rsid w:val="00467C3B"/>
    <w:rsid w:val="00475AB7"/>
    <w:rsid w:val="00477D32"/>
    <w:rsid w:val="00482610"/>
    <w:rsid w:val="00485676"/>
    <w:rsid w:val="004876AF"/>
    <w:rsid w:val="00491167"/>
    <w:rsid w:val="004A0EE7"/>
    <w:rsid w:val="004A363A"/>
    <w:rsid w:val="004A4AB3"/>
    <w:rsid w:val="004B0429"/>
    <w:rsid w:val="004B6498"/>
    <w:rsid w:val="004C10F9"/>
    <w:rsid w:val="004C7ED5"/>
    <w:rsid w:val="004D15BD"/>
    <w:rsid w:val="004D789E"/>
    <w:rsid w:val="004E1065"/>
    <w:rsid w:val="004E1E6B"/>
    <w:rsid w:val="004E47A3"/>
    <w:rsid w:val="004F25EE"/>
    <w:rsid w:val="004F29A0"/>
    <w:rsid w:val="0051206A"/>
    <w:rsid w:val="005162C6"/>
    <w:rsid w:val="005206E9"/>
    <w:rsid w:val="00532791"/>
    <w:rsid w:val="00533551"/>
    <w:rsid w:val="00544235"/>
    <w:rsid w:val="00546B72"/>
    <w:rsid w:val="00547FDF"/>
    <w:rsid w:val="00550DE3"/>
    <w:rsid w:val="005515EA"/>
    <w:rsid w:val="0055485F"/>
    <w:rsid w:val="00555745"/>
    <w:rsid w:val="00560EC1"/>
    <w:rsid w:val="00564973"/>
    <w:rsid w:val="00570588"/>
    <w:rsid w:val="00573374"/>
    <w:rsid w:val="00577430"/>
    <w:rsid w:val="005820C8"/>
    <w:rsid w:val="005857BC"/>
    <w:rsid w:val="00592B55"/>
    <w:rsid w:val="00596BA3"/>
    <w:rsid w:val="005A6F5A"/>
    <w:rsid w:val="005B3CCC"/>
    <w:rsid w:val="005B3CCE"/>
    <w:rsid w:val="005B43AE"/>
    <w:rsid w:val="005C23CD"/>
    <w:rsid w:val="005C6C1D"/>
    <w:rsid w:val="005C7D9C"/>
    <w:rsid w:val="005D29B4"/>
    <w:rsid w:val="005D31FE"/>
    <w:rsid w:val="005D6CAF"/>
    <w:rsid w:val="005F1294"/>
    <w:rsid w:val="005F4230"/>
    <w:rsid w:val="00601532"/>
    <w:rsid w:val="00621434"/>
    <w:rsid w:val="0062209E"/>
    <w:rsid w:val="00623E03"/>
    <w:rsid w:val="00631AA7"/>
    <w:rsid w:val="00633AC0"/>
    <w:rsid w:val="0063603F"/>
    <w:rsid w:val="00643D1F"/>
    <w:rsid w:val="00645ACD"/>
    <w:rsid w:val="00646C4D"/>
    <w:rsid w:val="00654ACE"/>
    <w:rsid w:val="0066778E"/>
    <w:rsid w:val="00677C82"/>
    <w:rsid w:val="006802AE"/>
    <w:rsid w:val="006819E3"/>
    <w:rsid w:val="00685F2B"/>
    <w:rsid w:val="0068601C"/>
    <w:rsid w:val="006918D3"/>
    <w:rsid w:val="00697777"/>
    <w:rsid w:val="006A0A54"/>
    <w:rsid w:val="006A1A1C"/>
    <w:rsid w:val="006D0D3B"/>
    <w:rsid w:val="006E0C14"/>
    <w:rsid w:val="006E13B5"/>
    <w:rsid w:val="006E32C0"/>
    <w:rsid w:val="006E781A"/>
    <w:rsid w:val="006F1EBB"/>
    <w:rsid w:val="00700792"/>
    <w:rsid w:val="00700A17"/>
    <w:rsid w:val="007025F1"/>
    <w:rsid w:val="007116ED"/>
    <w:rsid w:val="007131B9"/>
    <w:rsid w:val="00717A36"/>
    <w:rsid w:val="00724904"/>
    <w:rsid w:val="007263D9"/>
    <w:rsid w:val="007338F6"/>
    <w:rsid w:val="00733E18"/>
    <w:rsid w:val="00735A72"/>
    <w:rsid w:val="00743211"/>
    <w:rsid w:val="00743F65"/>
    <w:rsid w:val="00744CE8"/>
    <w:rsid w:val="007470EB"/>
    <w:rsid w:val="00747AF9"/>
    <w:rsid w:val="00757C22"/>
    <w:rsid w:val="007618EA"/>
    <w:rsid w:val="00774EB2"/>
    <w:rsid w:val="00780286"/>
    <w:rsid w:val="00782682"/>
    <w:rsid w:val="00783E7A"/>
    <w:rsid w:val="0079364D"/>
    <w:rsid w:val="007944D2"/>
    <w:rsid w:val="00797055"/>
    <w:rsid w:val="007B2E02"/>
    <w:rsid w:val="007B48A1"/>
    <w:rsid w:val="007C2CF0"/>
    <w:rsid w:val="007C559C"/>
    <w:rsid w:val="007C644F"/>
    <w:rsid w:val="007D3221"/>
    <w:rsid w:val="007D72AC"/>
    <w:rsid w:val="007E638A"/>
    <w:rsid w:val="007F197F"/>
    <w:rsid w:val="00804BFC"/>
    <w:rsid w:val="0080613F"/>
    <w:rsid w:val="00806391"/>
    <w:rsid w:val="008135CE"/>
    <w:rsid w:val="008250DD"/>
    <w:rsid w:val="00830123"/>
    <w:rsid w:val="00833F0F"/>
    <w:rsid w:val="00844745"/>
    <w:rsid w:val="00845120"/>
    <w:rsid w:val="00845EB2"/>
    <w:rsid w:val="008530BF"/>
    <w:rsid w:val="00855264"/>
    <w:rsid w:val="008645A2"/>
    <w:rsid w:val="008759E7"/>
    <w:rsid w:val="00882BED"/>
    <w:rsid w:val="0088362A"/>
    <w:rsid w:val="008A197C"/>
    <w:rsid w:val="008A3933"/>
    <w:rsid w:val="008B4FF6"/>
    <w:rsid w:val="008C0CF9"/>
    <w:rsid w:val="008C3A87"/>
    <w:rsid w:val="008C3FE7"/>
    <w:rsid w:val="008C5379"/>
    <w:rsid w:val="008D1003"/>
    <w:rsid w:val="008D65D4"/>
    <w:rsid w:val="008F5113"/>
    <w:rsid w:val="008F642A"/>
    <w:rsid w:val="008F6DD6"/>
    <w:rsid w:val="008F6E4D"/>
    <w:rsid w:val="008F741D"/>
    <w:rsid w:val="00901232"/>
    <w:rsid w:val="00903340"/>
    <w:rsid w:val="00906BE3"/>
    <w:rsid w:val="0090747F"/>
    <w:rsid w:val="00907D3E"/>
    <w:rsid w:val="00917A65"/>
    <w:rsid w:val="00920B91"/>
    <w:rsid w:val="00924E8C"/>
    <w:rsid w:val="009266F7"/>
    <w:rsid w:val="00933D87"/>
    <w:rsid w:val="009363EF"/>
    <w:rsid w:val="009366A5"/>
    <w:rsid w:val="00940535"/>
    <w:rsid w:val="009421C4"/>
    <w:rsid w:val="00943576"/>
    <w:rsid w:val="00966D4C"/>
    <w:rsid w:val="00971A94"/>
    <w:rsid w:val="0097445C"/>
    <w:rsid w:val="00976579"/>
    <w:rsid w:val="00984BD9"/>
    <w:rsid w:val="0099059B"/>
    <w:rsid w:val="00990C84"/>
    <w:rsid w:val="0099300D"/>
    <w:rsid w:val="0099504F"/>
    <w:rsid w:val="009970C6"/>
    <w:rsid w:val="009A0CB7"/>
    <w:rsid w:val="009A71DC"/>
    <w:rsid w:val="009B44A4"/>
    <w:rsid w:val="009B4CA1"/>
    <w:rsid w:val="009B741F"/>
    <w:rsid w:val="009C35CA"/>
    <w:rsid w:val="009D2B49"/>
    <w:rsid w:val="009D2D48"/>
    <w:rsid w:val="009D3C35"/>
    <w:rsid w:val="009D5F80"/>
    <w:rsid w:val="009D603B"/>
    <w:rsid w:val="009E11D0"/>
    <w:rsid w:val="009E18CA"/>
    <w:rsid w:val="009E493C"/>
    <w:rsid w:val="009E6104"/>
    <w:rsid w:val="009E6348"/>
    <w:rsid w:val="009F0F6E"/>
    <w:rsid w:val="009F29B9"/>
    <w:rsid w:val="009F4B90"/>
    <w:rsid w:val="00A14527"/>
    <w:rsid w:val="00A15569"/>
    <w:rsid w:val="00A16A10"/>
    <w:rsid w:val="00A225A7"/>
    <w:rsid w:val="00A26FCC"/>
    <w:rsid w:val="00A335D1"/>
    <w:rsid w:val="00A34DF5"/>
    <w:rsid w:val="00A362B4"/>
    <w:rsid w:val="00A366EB"/>
    <w:rsid w:val="00A4112B"/>
    <w:rsid w:val="00A4263C"/>
    <w:rsid w:val="00A44FFF"/>
    <w:rsid w:val="00A50D93"/>
    <w:rsid w:val="00A64BA1"/>
    <w:rsid w:val="00A67AE3"/>
    <w:rsid w:val="00A74415"/>
    <w:rsid w:val="00A75F76"/>
    <w:rsid w:val="00A936E2"/>
    <w:rsid w:val="00A94E43"/>
    <w:rsid w:val="00AB05E3"/>
    <w:rsid w:val="00AB59EF"/>
    <w:rsid w:val="00AD2595"/>
    <w:rsid w:val="00AD3CE3"/>
    <w:rsid w:val="00AE7880"/>
    <w:rsid w:val="00AF11A7"/>
    <w:rsid w:val="00AF4C53"/>
    <w:rsid w:val="00B0457B"/>
    <w:rsid w:val="00B06976"/>
    <w:rsid w:val="00B137F4"/>
    <w:rsid w:val="00B221BB"/>
    <w:rsid w:val="00B230DE"/>
    <w:rsid w:val="00B24A31"/>
    <w:rsid w:val="00B24B38"/>
    <w:rsid w:val="00B35D9B"/>
    <w:rsid w:val="00B40191"/>
    <w:rsid w:val="00B44DEB"/>
    <w:rsid w:val="00B4519C"/>
    <w:rsid w:val="00B5042F"/>
    <w:rsid w:val="00B5196C"/>
    <w:rsid w:val="00B554F9"/>
    <w:rsid w:val="00B5692C"/>
    <w:rsid w:val="00B60424"/>
    <w:rsid w:val="00B64BAA"/>
    <w:rsid w:val="00B73CEB"/>
    <w:rsid w:val="00B76DCF"/>
    <w:rsid w:val="00B7702D"/>
    <w:rsid w:val="00B77C97"/>
    <w:rsid w:val="00B8451C"/>
    <w:rsid w:val="00B85473"/>
    <w:rsid w:val="00B96B60"/>
    <w:rsid w:val="00BA2057"/>
    <w:rsid w:val="00BA5EA3"/>
    <w:rsid w:val="00BA6E70"/>
    <w:rsid w:val="00BB2195"/>
    <w:rsid w:val="00BB21A0"/>
    <w:rsid w:val="00BB2947"/>
    <w:rsid w:val="00BB309C"/>
    <w:rsid w:val="00BB5003"/>
    <w:rsid w:val="00BC00DC"/>
    <w:rsid w:val="00BC54D4"/>
    <w:rsid w:val="00BC58CE"/>
    <w:rsid w:val="00BD0357"/>
    <w:rsid w:val="00BD6FD3"/>
    <w:rsid w:val="00BD796D"/>
    <w:rsid w:val="00BE1C54"/>
    <w:rsid w:val="00BE26C7"/>
    <w:rsid w:val="00BE596C"/>
    <w:rsid w:val="00BF15B8"/>
    <w:rsid w:val="00BF2AFB"/>
    <w:rsid w:val="00BF4166"/>
    <w:rsid w:val="00C02BDC"/>
    <w:rsid w:val="00C11075"/>
    <w:rsid w:val="00C117FB"/>
    <w:rsid w:val="00C123AF"/>
    <w:rsid w:val="00C12DCB"/>
    <w:rsid w:val="00C1383B"/>
    <w:rsid w:val="00C1643C"/>
    <w:rsid w:val="00C24158"/>
    <w:rsid w:val="00C24B4C"/>
    <w:rsid w:val="00C26AE4"/>
    <w:rsid w:val="00C31011"/>
    <w:rsid w:val="00C45348"/>
    <w:rsid w:val="00C5580B"/>
    <w:rsid w:val="00C563D5"/>
    <w:rsid w:val="00C56A5D"/>
    <w:rsid w:val="00C56E6F"/>
    <w:rsid w:val="00C60E9A"/>
    <w:rsid w:val="00C67172"/>
    <w:rsid w:val="00C72EF3"/>
    <w:rsid w:val="00C77338"/>
    <w:rsid w:val="00C80D4D"/>
    <w:rsid w:val="00C82D17"/>
    <w:rsid w:val="00C83AE6"/>
    <w:rsid w:val="00C85DEB"/>
    <w:rsid w:val="00C87558"/>
    <w:rsid w:val="00C90112"/>
    <w:rsid w:val="00C944A9"/>
    <w:rsid w:val="00C947D0"/>
    <w:rsid w:val="00C94931"/>
    <w:rsid w:val="00C9511F"/>
    <w:rsid w:val="00CA4D14"/>
    <w:rsid w:val="00CB2B87"/>
    <w:rsid w:val="00CC71BF"/>
    <w:rsid w:val="00CD049D"/>
    <w:rsid w:val="00CD1E7C"/>
    <w:rsid w:val="00CD216B"/>
    <w:rsid w:val="00CD6E1B"/>
    <w:rsid w:val="00CD6FDA"/>
    <w:rsid w:val="00CE405C"/>
    <w:rsid w:val="00CE6144"/>
    <w:rsid w:val="00CF15A4"/>
    <w:rsid w:val="00CF295D"/>
    <w:rsid w:val="00CF48CE"/>
    <w:rsid w:val="00CF4C60"/>
    <w:rsid w:val="00CF5678"/>
    <w:rsid w:val="00CF6FA4"/>
    <w:rsid w:val="00D0630D"/>
    <w:rsid w:val="00D130A8"/>
    <w:rsid w:val="00D20433"/>
    <w:rsid w:val="00D22302"/>
    <w:rsid w:val="00D24F86"/>
    <w:rsid w:val="00D279FB"/>
    <w:rsid w:val="00D40B2F"/>
    <w:rsid w:val="00D4171C"/>
    <w:rsid w:val="00D44A9D"/>
    <w:rsid w:val="00D54287"/>
    <w:rsid w:val="00D6462D"/>
    <w:rsid w:val="00D659A6"/>
    <w:rsid w:val="00D7653E"/>
    <w:rsid w:val="00D81055"/>
    <w:rsid w:val="00D83347"/>
    <w:rsid w:val="00D86719"/>
    <w:rsid w:val="00D86C22"/>
    <w:rsid w:val="00D975D9"/>
    <w:rsid w:val="00DA3248"/>
    <w:rsid w:val="00DA4AB5"/>
    <w:rsid w:val="00DA670D"/>
    <w:rsid w:val="00DA69A1"/>
    <w:rsid w:val="00DA71B5"/>
    <w:rsid w:val="00DB1042"/>
    <w:rsid w:val="00DB4504"/>
    <w:rsid w:val="00DB4B83"/>
    <w:rsid w:val="00DB4DB7"/>
    <w:rsid w:val="00DB72D3"/>
    <w:rsid w:val="00DC02A3"/>
    <w:rsid w:val="00DC63FB"/>
    <w:rsid w:val="00DD1CB5"/>
    <w:rsid w:val="00DD4182"/>
    <w:rsid w:val="00DD5E81"/>
    <w:rsid w:val="00DD7467"/>
    <w:rsid w:val="00DE1217"/>
    <w:rsid w:val="00DE1AF5"/>
    <w:rsid w:val="00DE2279"/>
    <w:rsid w:val="00DE35E2"/>
    <w:rsid w:val="00DF0E6E"/>
    <w:rsid w:val="00DF551B"/>
    <w:rsid w:val="00E02476"/>
    <w:rsid w:val="00E13B85"/>
    <w:rsid w:val="00E154AB"/>
    <w:rsid w:val="00E22D85"/>
    <w:rsid w:val="00E250E1"/>
    <w:rsid w:val="00E2556D"/>
    <w:rsid w:val="00E26698"/>
    <w:rsid w:val="00E26EE9"/>
    <w:rsid w:val="00E333BE"/>
    <w:rsid w:val="00E4096A"/>
    <w:rsid w:val="00E42E60"/>
    <w:rsid w:val="00E437B3"/>
    <w:rsid w:val="00E50612"/>
    <w:rsid w:val="00E6415C"/>
    <w:rsid w:val="00E703ED"/>
    <w:rsid w:val="00E70C1D"/>
    <w:rsid w:val="00E7306A"/>
    <w:rsid w:val="00E768BF"/>
    <w:rsid w:val="00E9197D"/>
    <w:rsid w:val="00EA5D37"/>
    <w:rsid w:val="00EB3A99"/>
    <w:rsid w:val="00EC2EAA"/>
    <w:rsid w:val="00EC342F"/>
    <w:rsid w:val="00ED00FB"/>
    <w:rsid w:val="00ED3C51"/>
    <w:rsid w:val="00ED57EC"/>
    <w:rsid w:val="00ED79B0"/>
    <w:rsid w:val="00EE3C17"/>
    <w:rsid w:val="00EF04E4"/>
    <w:rsid w:val="00EF11BB"/>
    <w:rsid w:val="00EF56DE"/>
    <w:rsid w:val="00F114D6"/>
    <w:rsid w:val="00F12FFB"/>
    <w:rsid w:val="00F13972"/>
    <w:rsid w:val="00F1496E"/>
    <w:rsid w:val="00F157CC"/>
    <w:rsid w:val="00F1729C"/>
    <w:rsid w:val="00F22760"/>
    <w:rsid w:val="00F26680"/>
    <w:rsid w:val="00F269B1"/>
    <w:rsid w:val="00F2754F"/>
    <w:rsid w:val="00F3453D"/>
    <w:rsid w:val="00F36A2B"/>
    <w:rsid w:val="00F5189C"/>
    <w:rsid w:val="00F60F50"/>
    <w:rsid w:val="00F71E79"/>
    <w:rsid w:val="00F72DA4"/>
    <w:rsid w:val="00F85E40"/>
    <w:rsid w:val="00F93605"/>
    <w:rsid w:val="00F95AB8"/>
    <w:rsid w:val="00F962CE"/>
    <w:rsid w:val="00FA2E43"/>
    <w:rsid w:val="00FB0D62"/>
    <w:rsid w:val="00FB1F72"/>
    <w:rsid w:val="00FB6233"/>
    <w:rsid w:val="00FB6A64"/>
    <w:rsid w:val="00FB6EC9"/>
    <w:rsid w:val="00FC23A8"/>
    <w:rsid w:val="00FC4898"/>
    <w:rsid w:val="00FD0102"/>
    <w:rsid w:val="00FE374C"/>
    <w:rsid w:val="00FE44DA"/>
    <w:rsid w:val="00FE7B57"/>
    <w:rsid w:val="00FF03A4"/>
    <w:rsid w:val="00FF04DD"/>
    <w:rsid w:val="00FF19FF"/>
    <w:rsid w:val="00FF2496"/>
    <w:rsid w:val="00FF7AF9"/>
    <w:rsid w:val="08C5D509"/>
    <w:rsid w:val="095098A5"/>
    <w:rsid w:val="0B691644"/>
    <w:rsid w:val="0C134429"/>
    <w:rsid w:val="1080290E"/>
    <w:rsid w:val="155A8C4B"/>
    <w:rsid w:val="160C34E8"/>
    <w:rsid w:val="168947AA"/>
    <w:rsid w:val="17D5835D"/>
    <w:rsid w:val="1825180B"/>
    <w:rsid w:val="1A4B6F9A"/>
    <w:rsid w:val="1A846BB4"/>
    <w:rsid w:val="1D6EAE57"/>
    <w:rsid w:val="316B971E"/>
    <w:rsid w:val="35CB8AD1"/>
    <w:rsid w:val="36449CF2"/>
    <w:rsid w:val="39FEB1BB"/>
    <w:rsid w:val="3EC3F9B7"/>
    <w:rsid w:val="407CBD1E"/>
    <w:rsid w:val="4D7D55B7"/>
    <w:rsid w:val="54866FD0"/>
    <w:rsid w:val="54E9BAF8"/>
    <w:rsid w:val="553EEDD1"/>
    <w:rsid w:val="556DBAAE"/>
    <w:rsid w:val="5605DB76"/>
    <w:rsid w:val="5618B47C"/>
    <w:rsid w:val="58215BBA"/>
    <w:rsid w:val="59A8E4E4"/>
    <w:rsid w:val="64FBAF05"/>
    <w:rsid w:val="65EBE432"/>
    <w:rsid w:val="6697E5B0"/>
    <w:rsid w:val="66C70E76"/>
    <w:rsid w:val="68EFFCD0"/>
    <w:rsid w:val="6A0604F5"/>
    <w:rsid w:val="6AA32EF9"/>
    <w:rsid w:val="6E2C5FD2"/>
    <w:rsid w:val="7A5C09BD"/>
    <w:rsid w:val="7A6EA669"/>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1FF621"/>
  <w15:docId w15:val="{D82AF62C-960B-4C98-A184-53C8DAA4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78E"/>
    <w:rPr>
      <w:rFonts w:ascii="Arial" w:hAnsi="Arial" w:cs="Arial"/>
      <w:sz w:val="20"/>
      <w:szCs w:val="20"/>
    </w:rPr>
  </w:style>
  <w:style w:type="paragraph" w:styleId="Heading1">
    <w:name w:val="heading 1"/>
    <w:basedOn w:val="Normal"/>
    <w:next w:val="Normal"/>
    <w:link w:val="Heading1Char"/>
    <w:qFormat/>
    <w:rsid w:val="002123C2"/>
    <w:pPr>
      <w:keepNext/>
      <w:keepLines/>
      <w:spacing w:before="160" w:after="16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724904"/>
    <w:pPr>
      <w:spacing w:after="120"/>
      <w:outlineLvl w:val="1"/>
    </w:pPr>
    <w:rPr>
      <w:rFonts w:eastAsia="Calibri" w:cs="Times New Roman"/>
      <w:b/>
      <w:color w:val="E15D15"/>
      <w:sz w:val="28"/>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1"/>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uiPriority w:val="99"/>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4519C"/>
    <w:rPr>
      <w:sz w:val="16"/>
      <w:szCs w:val="16"/>
    </w:rPr>
  </w:style>
  <w:style w:type="paragraph" w:styleId="CommentText">
    <w:name w:val="annotation text"/>
    <w:basedOn w:val="Normal"/>
    <w:link w:val="CommentTextChar"/>
    <w:uiPriority w:val="99"/>
    <w:unhideWhenUsed/>
    <w:rsid w:val="00B4519C"/>
    <w:pPr>
      <w:spacing w:line="240" w:lineRule="auto"/>
    </w:pPr>
  </w:style>
  <w:style w:type="character" w:customStyle="1" w:styleId="CommentTextChar">
    <w:name w:val="Comment Text Char"/>
    <w:basedOn w:val="DefaultParagraphFont"/>
    <w:link w:val="CommentText"/>
    <w:uiPriority w:val="99"/>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link w:val="Bullet1Char"/>
    <w:qFormat/>
    <w:rsid w:val="007131B9"/>
    <w:pPr>
      <w:numPr>
        <w:numId w:val="2"/>
      </w:numPr>
      <w:spacing w:before="160" w:after="160"/>
    </w:pPr>
    <w:rPr>
      <w:rFonts w:eastAsia="Calibri"/>
    </w:rPr>
  </w:style>
  <w:style w:type="paragraph" w:styleId="FootnoteText">
    <w:name w:val="footnote text"/>
    <w:basedOn w:val="Normal"/>
    <w:link w:val="FootnoteTextChar"/>
    <w:uiPriority w:val="99"/>
    <w:semiHidden/>
    <w:unhideWhenUsed/>
    <w:rsid w:val="00E703ED"/>
    <w:pPr>
      <w:spacing w:after="0" w:line="240" w:lineRule="auto"/>
    </w:p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character" w:customStyle="1" w:styleId="Heading2Char">
    <w:name w:val="Heading 2 Char"/>
    <w:basedOn w:val="DefaultParagraphFont"/>
    <w:link w:val="Heading2"/>
    <w:uiPriority w:val="9"/>
    <w:rsid w:val="00724904"/>
    <w:rPr>
      <w:rFonts w:ascii="Arial" w:eastAsia="Calibri" w:hAnsi="Arial" w:cs="Times New Roman"/>
      <w:b/>
      <w:color w:val="E15D15"/>
      <w:sz w:val="28"/>
      <w:szCs w:val="28"/>
    </w:rPr>
  </w:style>
  <w:style w:type="numbering" w:customStyle="1" w:styleId="Bullet10">
    <w:name w:val="Bullet1"/>
    <w:uiPriority w:val="99"/>
    <w:rsid w:val="001C03B7"/>
    <w:pPr>
      <w:numPr>
        <w:numId w:val="3"/>
      </w:numPr>
    </w:pPr>
  </w:style>
  <w:style w:type="character" w:customStyle="1" w:styleId="Bullet1Char">
    <w:name w:val="Bullet 1 Char"/>
    <w:link w:val="Bullet1"/>
    <w:rsid w:val="001C03B7"/>
    <w:rPr>
      <w:rFonts w:ascii="Arial" w:eastAsia="Calibri" w:hAnsi="Arial" w:cs="Arial"/>
      <w:sz w:val="20"/>
      <w:szCs w:val="20"/>
    </w:rPr>
  </w:style>
  <w:style w:type="character" w:styleId="Emphasis">
    <w:name w:val="Emphasis"/>
    <w:uiPriority w:val="20"/>
    <w:qFormat/>
    <w:rsid w:val="000F1E14"/>
    <w:rPr>
      <w:b/>
    </w:rPr>
  </w:style>
  <w:style w:type="character" w:customStyle="1" w:styleId="apple-converted-space">
    <w:name w:val="apple-converted-space"/>
    <w:basedOn w:val="DefaultParagraphFont"/>
    <w:rsid w:val="00907D3E"/>
  </w:style>
  <w:style w:type="character" w:customStyle="1" w:styleId="UnresolvedMention1">
    <w:name w:val="Unresolved Mention1"/>
    <w:basedOn w:val="DefaultParagraphFont"/>
    <w:uiPriority w:val="99"/>
    <w:semiHidden/>
    <w:unhideWhenUsed/>
    <w:rsid w:val="00161152"/>
    <w:rPr>
      <w:color w:val="605E5C"/>
      <w:shd w:val="clear" w:color="auto" w:fill="E1DFDD"/>
    </w:rPr>
  </w:style>
  <w:style w:type="character" w:customStyle="1" w:styleId="UnresolvedMention2">
    <w:name w:val="Unresolved Mention2"/>
    <w:basedOn w:val="DefaultParagraphFont"/>
    <w:uiPriority w:val="99"/>
    <w:semiHidden/>
    <w:unhideWhenUsed/>
    <w:rsid w:val="00743211"/>
    <w:rPr>
      <w:color w:val="605E5C"/>
      <w:shd w:val="clear" w:color="auto" w:fill="E1DFDD"/>
    </w:rPr>
  </w:style>
  <w:style w:type="character" w:styleId="UnresolvedMention">
    <w:name w:val="Unresolved Mention"/>
    <w:basedOn w:val="DefaultParagraphFont"/>
    <w:uiPriority w:val="99"/>
    <w:semiHidden/>
    <w:unhideWhenUsed/>
    <w:rsid w:val="008645A2"/>
    <w:rPr>
      <w:color w:val="605E5C"/>
      <w:shd w:val="clear" w:color="auto" w:fill="E1DFDD"/>
    </w:rPr>
  </w:style>
  <w:style w:type="table" w:styleId="MediumShading1-Accent1">
    <w:name w:val="Medium Shading 1 Accent 1"/>
    <w:basedOn w:val="TableNormal"/>
    <w:uiPriority w:val="63"/>
    <w:semiHidden/>
    <w:unhideWhenUsed/>
    <w:rsid w:val="00804BF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96545">
      <w:bodyDiv w:val="1"/>
      <w:marLeft w:val="0"/>
      <w:marRight w:val="0"/>
      <w:marTop w:val="0"/>
      <w:marBottom w:val="0"/>
      <w:divBdr>
        <w:top w:val="none" w:sz="0" w:space="0" w:color="auto"/>
        <w:left w:val="none" w:sz="0" w:space="0" w:color="auto"/>
        <w:bottom w:val="none" w:sz="0" w:space="0" w:color="auto"/>
        <w:right w:val="none" w:sz="0" w:space="0" w:color="auto"/>
      </w:divBdr>
      <w:divsChild>
        <w:div w:id="1677147888">
          <w:marLeft w:val="600"/>
          <w:marRight w:val="0"/>
          <w:marTop w:val="0"/>
          <w:marBottom w:val="0"/>
          <w:divBdr>
            <w:top w:val="none" w:sz="0" w:space="0" w:color="auto"/>
            <w:left w:val="none" w:sz="0" w:space="0" w:color="auto"/>
            <w:bottom w:val="none" w:sz="0" w:space="0" w:color="auto"/>
            <w:right w:val="none" w:sz="0" w:space="0" w:color="auto"/>
          </w:divBdr>
          <w:divsChild>
            <w:div w:id="109786033">
              <w:marLeft w:val="0"/>
              <w:marRight w:val="0"/>
              <w:marTop w:val="30"/>
              <w:marBottom w:val="60"/>
              <w:divBdr>
                <w:top w:val="none" w:sz="0" w:space="0" w:color="auto"/>
                <w:left w:val="none" w:sz="0" w:space="0" w:color="auto"/>
                <w:bottom w:val="none" w:sz="0" w:space="0" w:color="auto"/>
                <w:right w:val="none" w:sz="0" w:space="0" w:color="auto"/>
              </w:divBdr>
            </w:div>
            <w:div w:id="175509187">
              <w:marLeft w:val="0"/>
              <w:marRight w:val="0"/>
              <w:marTop w:val="30"/>
              <w:marBottom w:val="60"/>
              <w:divBdr>
                <w:top w:val="none" w:sz="0" w:space="0" w:color="auto"/>
                <w:left w:val="none" w:sz="0" w:space="0" w:color="auto"/>
                <w:bottom w:val="none" w:sz="0" w:space="0" w:color="auto"/>
                <w:right w:val="none" w:sz="0" w:space="0" w:color="auto"/>
              </w:divBdr>
            </w:div>
            <w:div w:id="354424424">
              <w:marLeft w:val="0"/>
              <w:marRight w:val="0"/>
              <w:marTop w:val="30"/>
              <w:marBottom w:val="60"/>
              <w:divBdr>
                <w:top w:val="none" w:sz="0" w:space="0" w:color="auto"/>
                <w:left w:val="none" w:sz="0" w:space="0" w:color="auto"/>
                <w:bottom w:val="none" w:sz="0" w:space="0" w:color="auto"/>
                <w:right w:val="none" w:sz="0" w:space="0" w:color="auto"/>
              </w:divBdr>
            </w:div>
            <w:div w:id="372773122">
              <w:marLeft w:val="0"/>
              <w:marRight w:val="0"/>
              <w:marTop w:val="30"/>
              <w:marBottom w:val="60"/>
              <w:divBdr>
                <w:top w:val="none" w:sz="0" w:space="0" w:color="auto"/>
                <w:left w:val="none" w:sz="0" w:space="0" w:color="auto"/>
                <w:bottom w:val="none" w:sz="0" w:space="0" w:color="auto"/>
                <w:right w:val="none" w:sz="0" w:space="0" w:color="auto"/>
              </w:divBdr>
            </w:div>
            <w:div w:id="577249082">
              <w:marLeft w:val="0"/>
              <w:marRight w:val="0"/>
              <w:marTop w:val="30"/>
              <w:marBottom w:val="60"/>
              <w:divBdr>
                <w:top w:val="none" w:sz="0" w:space="0" w:color="auto"/>
                <w:left w:val="none" w:sz="0" w:space="0" w:color="auto"/>
                <w:bottom w:val="none" w:sz="0" w:space="0" w:color="auto"/>
                <w:right w:val="none" w:sz="0" w:space="0" w:color="auto"/>
              </w:divBdr>
            </w:div>
            <w:div w:id="837424555">
              <w:marLeft w:val="0"/>
              <w:marRight w:val="0"/>
              <w:marTop w:val="30"/>
              <w:marBottom w:val="60"/>
              <w:divBdr>
                <w:top w:val="none" w:sz="0" w:space="0" w:color="auto"/>
                <w:left w:val="none" w:sz="0" w:space="0" w:color="auto"/>
                <w:bottom w:val="none" w:sz="0" w:space="0" w:color="auto"/>
                <w:right w:val="none" w:sz="0" w:space="0" w:color="auto"/>
              </w:divBdr>
            </w:div>
            <w:div w:id="1188372456">
              <w:marLeft w:val="0"/>
              <w:marRight w:val="0"/>
              <w:marTop w:val="30"/>
              <w:marBottom w:val="60"/>
              <w:divBdr>
                <w:top w:val="none" w:sz="0" w:space="0" w:color="auto"/>
                <w:left w:val="none" w:sz="0" w:space="0" w:color="auto"/>
                <w:bottom w:val="none" w:sz="0" w:space="0" w:color="auto"/>
                <w:right w:val="none" w:sz="0" w:space="0" w:color="auto"/>
              </w:divBdr>
            </w:div>
            <w:div w:id="1629628948">
              <w:marLeft w:val="0"/>
              <w:marRight w:val="0"/>
              <w:marTop w:val="30"/>
              <w:marBottom w:val="60"/>
              <w:divBdr>
                <w:top w:val="none" w:sz="0" w:space="0" w:color="auto"/>
                <w:left w:val="none" w:sz="0" w:space="0" w:color="auto"/>
                <w:bottom w:val="none" w:sz="0" w:space="0" w:color="auto"/>
                <w:right w:val="none" w:sz="0" w:space="0" w:color="auto"/>
              </w:divBdr>
            </w:div>
            <w:div w:id="1636713305">
              <w:marLeft w:val="0"/>
              <w:marRight w:val="0"/>
              <w:marTop w:val="30"/>
              <w:marBottom w:val="60"/>
              <w:divBdr>
                <w:top w:val="none" w:sz="0" w:space="0" w:color="auto"/>
                <w:left w:val="none" w:sz="0" w:space="0" w:color="auto"/>
                <w:bottom w:val="none" w:sz="0" w:space="0" w:color="auto"/>
                <w:right w:val="none" w:sz="0" w:space="0" w:color="auto"/>
              </w:divBdr>
            </w:div>
            <w:div w:id="1965575410">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 w:id="94206230">
      <w:bodyDiv w:val="1"/>
      <w:marLeft w:val="0"/>
      <w:marRight w:val="0"/>
      <w:marTop w:val="0"/>
      <w:marBottom w:val="0"/>
      <w:divBdr>
        <w:top w:val="none" w:sz="0" w:space="0" w:color="auto"/>
        <w:left w:val="none" w:sz="0" w:space="0" w:color="auto"/>
        <w:bottom w:val="none" w:sz="0" w:space="0" w:color="auto"/>
        <w:right w:val="none" w:sz="0" w:space="0" w:color="auto"/>
      </w:divBdr>
      <w:divsChild>
        <w:div w:id="385028998">
          <w:marLeft w:val="0"/>
          <w:marRight w:val="0"/>
          <w:marTop w:val="0"/>
          <w:marBottom w:val="0"/>
          <w:divBdr>
            <w:top w:val="none" w:sz="0" w:space="0" w:color="auto"/>
            <w:left w:val="none" w:sz="0" w:space="0" w:color="auto"/>
            <w:bottom w:val="none" w:sz="0" w:space="0" w:color="auto"/>
            <w:right w:val="none" w:sz="0" w:space="0" w:color="auto"/>
          </w:divBdr>
        </w:div>
      </w:divsChild>
    </w:div>
    <w:div w:id="166214896">
      <w:bodyDiv w:val="1"/>
      <w:marLeft w:val="0"/>
      <w:marRight w:val="0"/>
      <w:marTop w:val="0"/>
      <w:marBottom w:val="0"/>
      <w:divBdr>
        <w:top w:val="none" w:sz="0" w:space="0" w:color="auto"/>
        <w:left w:val="none" w:sz="0" w:space="0" w:color="auto"/>
        <w:bottom w:val="none" w:sz="0" w:space="0" w:color="auto"/>
        <w:right w:val="none" w:sz="0" w:space="0" w:color="auto"/>
      </w:divBdr>
      <w:divsChild>
        <w:div w:id="379138805">
          <w:marLeft w:val="0"/>
          <w:marRight w:val="0"/>
          <w:marTop w:val="24"/>
          <w:marBottom w:val="48"/>
          <w:divBdr>
            <w:top w:val="none" w:sz="0" w:space="0" w:color="auto"/>
            <w:left w:val="none" w:sz="0" w:space="0" w:color="auto"/>
            <w:bottom w:val="none" w:sz="0" w:space="0" w:color="auto"/>
            <w:right w:val="none" w:sz="0" w:space="0" w:color="auto"/>
          </w:divBdr>
        </w:div>
        <w:div w:id="1715498826">
          <w:marLeft w:val="0"/>
          <w:marRight w:val="0"/>
          <w:marTop w:val="24"/>
          <w:marBottom w:val="48"/>
          <w:divBdr>
            <w:top w:val="none" w:sz="0" w:space="0" w:color="auto"/>
            <w:left w:val="none" w:sz="0" w:space="0" w:color="auto"/>
            <w:bottom w:val="none" w:sz="0" w:space="0" w:color="auto"/>
            <w:right w:val="none" w:sz="0" w:space="0" w:color="auto"/>
          </w:divBdr>
        </w:div>
      </w:divsChild>
    </w:div>
    <w:div w:id="214660090">
      <w:bodyDiv w:val="1"/>
      <w:marLeft w:val="0"/>
      <w:marRight w:val="0"/>
      <w:marTop w:val="0"/>
      <w:marBottom w:val="0"/>
      <w:divBdr>
        <w:top w:val="none" w:sz="0" w:space="0" w:color="auto"/>
        <w:left w:val="none" w:sz="0" w:space="0" w:color="auto"/>
        <w:bottom w:val="none" w:sz="0" w:space="0" w:color="auto"/>
        <w:right w:val="none" w:sz="0" w:space="0" w:color="auto"/>
      </w:divBdr>
    </w:div>
    <w:div w:id="293561204">
      <w:bodyDiv w:val="1"/>
      <w:marLeft w:val="0"/>
      <w:marRight w:val="0"/>
      <w:marTop w:val="0"/>
      <w:marBottom w:val="0"/>
      <w:divBdr>
        <w:top w:val="none" w:sz="0" w:space="0" w:color="auto"/>
        <w:left w:val="none" w:sz="0" w:space="0" w:color="auto"/>
        <w:bottom w:val="none" w:sz="0" w:space="0" w:color="auto"/>
        <w:right w:val="none" w:sz="0" w:space="0" w:color="auto"/>
      </w:divBdr>
    </w:div>
    <w:div w:id="369838092">
      <w:bodyDiv w:val="1"/>
      <w:marLeft w:val="0"/>
      <w:marRight w:val="0"/>
      <w:marTop w:val="0"/>
      <w:marBottom w:val="0"/>
      <w:divBdr>
        <w:top w:val="none" w:sz="0" w:space="0" w:color="auto"/>
        <w:left w:val="none" w:sz="0" w:space="0" w:color="auto"/>
        <w:bottom w:val="none" w:sz="0" w:space="0" w:color="auto"/>
        <w:right w:val="none" w:sz="0" w:space="0" w:color="auto"/>
      </w:divBdr>
    </w:div>
    <w:div w:id="549927636">
      <w:bodyDiv w:val="1"/>
      <w:marLeft w:val="0"/>
      <w:marRight w:val="0"/>
      <w:marTop w:val="0"/>
      <w:marBottom w:val="0"/>
      <w:divBdr>
        <w:top w:val="none" w:sz="0" w:space="0" w:color="auto"/>
        <w:left w:val="none" w:sz="0" w:space="0" w:color="auto"/>
        <w:bottom w:val="none" w:sz="0" w:space="0" w:color="auto"/>
        <w:right w:val="none" w:sz="0" w:space="0" w:color="auto"/>
      </w:divBdr>
      <w:divsChild>
        <w:div w:id="874583633">
          <w:marLeft w:val="0"/>
          <w:marRight w:val="0"/>
          <w:marTop w:val="24"/>
          <w:marBottom w:val="48"/>
          <w:divBdr>
            <w:top w:val="none" w:sz="0" w:space="0" w:color="auto"/>
            <w:left w:val="none" w:sz="0" w:space="0" w:color="auto"/>
            <w:bottom w:val="none" w:sz="0" w:space="0" w:color="auto"/>
            <w:right w:val="none" w:sz="0" w:space="0" w:color="auto"/>
          </w:divBdr>
        </w:div>
        <w:div w:id="1673486794">
          <w:marLeft w:val="0"/>
          <w:marRight w:val="0"/>
          <w:marTop w:val="24"/>
          <w:marBottom w:val="48"/>
          <w:divBdr>
            <w:top w:val="none" w:sz="0" w:space="0" w:color="auto"/>
            <w:left w:val="none" w:sz="0" w:space="0" w:color="auto"/>
            <w:bottom w:val="none" w:sz="0" w:space="0" w:color="auto"/>
            <w:right w:val="none" w:sz="0" w:space="0" w:color="auto"/>
          </w:divBdr>
        </w:div>
      </w:divsChild>
    </w:div>
    <w:div w:id="555363555">
      <w:bodyDiv w:val="1"/>
      <w:marLeft w:val="0"/>
      <w:marRight w:val="0"/>
      <w:marTop w:val="0"/>
      <w:marBottom w:val="0"/>
      <w:divBdr>
        <w:top w:val="none" w:sz="0" w:space="0" w:color="auto"/>
        <w:left w:val="none" w:sz="0" w:space="0" w:color="auto"/>
        <w:bottom w:val="none" w:sz="0" w:space="0" w:color="auto"/>
        <w:right w:val="none" w:sz="0" w:space="0" w:color="auto"/>
      </w:divBdr>
      <w:divsChild>
        <w:div w:id="152067683">
          <w:marLeft w:val="0"/>
          <w:marRight w:val="0"/>
          <w:marTop w:val="30"/>
          <w:marBottom w:val="60"/>
          <w:divBdr>
            <w:top w:val="none" w:sz="0" w:space="0" w:color="auto"/>
            <w:left w:val="none" w:sz="0" w:space="0" w:color="auto"/>
            <w:bottom w:val="none" w:sz="0" w:space="0" w:color="auto"/>
            <w:right w:val="none" w:sz="0" w:space="0" w:color="auto"/>
          </w:divBdr>
        </w:div>
        <w:div w:id="492843612">
          <w:marLeft w:val="0"/>
          <w:marRight w:val="0"/>
          <w:marTop w:val="30"/>
          <w:marBottom w:val="60"/>
          <w:divBdr>
            <w:top w:val="none" w:sz="0" w:space="0" w:color="auto"/>
            <w:left w:val="none" w:sz="0" w:space="0" w:color="auto"/>
            <w:bottom w:val="none" w:sz="0" w:space="0" w:color="auto"/>
            <w:right w:val="none" w:sz="0" w:space="0" w:color="auto"/>
          </w:divBdr>
        </w:div>
        <w:div w:id="1884173083">
          <w:marLeft w:val="0"/>
          <w:marRight w:val="0"/>
          <w:marTop w:val="30"/>
          <w:marBottom w:val="60"/>
          <w:divBdr>
            <w:top w:val="none" w:sz="0" w:space="0" w:color="auto"/>
            <w:left w:val="none" w:sz="0" w:space="0" w:color="auto"/>
            <w:bottom w:val="none" w:sz="0" w:space="0" w:color="auto"/>
            <w:right w:val="none" w:sz="0" w:space="0" w:color="auto"/>
          </w:divBdr>
        </w:div>
      </w:divsChild>
    </w:div>
    <w:div w:id="636225698">
      <w:bodyDiv w:val="1"/>
      <w:marLeft w:val="0"/>
      <w:marRight w:val="0"/>
      <w:marTop w:val="0"/>
      <w:marBottom w:val="0"/>
      <w:divBdr>
        <w:top w:val="none" w:sz="0" w:space="0" w:color="auto"/>
        <w:left w:val="none" w:sz="0" w:space="0" w:color="auto"/>
        <w:bottom w:val="none" w:sz="0" w:space="0" w:color="auto"/>
        <w:right w:val="none" w:sz="0" w:space="0" w:color="auto"/>
      </w:divBdr>
    </w:div>
    <w:div w:id="820076870">
      <w:bodyDiv w:val="1"/>
      <w:marLeft w:val="0"/>
      <w:marRight w:val="0"/>
      <w:marTop w:val="0"/>
      <w:marBottom w:val="0"/>
      <w:divBdr>
        <w:top w:val="none" w:sz="0" w:space="0" w:color="auto"/>
        <w:left w:val="none" w:sz="0" w:space="0" w:color="auto"/>
        <w:bottom w:val="none" w:sz="0" w:space="0" w:color="auto"/>
        <w:right w:val="none" w:sz="0" w:space="0" w:color="auto"/>
      </w:divBdr>
    </w:div>
    <w:div w:id="1069185891">
      <w:bodyDiv w:val="1"/>
      <w:marLeft w:val="0"/>
      <w:marRight w:val="0"/>
      <w:marTop w:val="0"/>
      <w:marBottom w:val="0"/>
      <w:divBdr>
        <w:top w:val="none" w:sz="0" w:space="0" w:color="auto"/>
        <w:left w:val="none" w:sz="0" w:space="0" w:color="auto"/>
        <w:bottom w:val="none" w:sz="0" w:space="0" w:color="auto"/>
        <w:right w:val="none" w:sz="0" w:space="0" w:color="auto"/>
      </w:divBdr>
    </w:div>
    <w:div w:id="1307659376">
      <w:bodyDiv w:val="1"/>
      <w:marLeft w:val="0"/>
      <w:marRight w:val="0"/>
      <w:marTop w:val="0"/>
      <w:marBottom w:val="0"/>
      <w:divBdr>
        <w:top w:val="none" w:sz="0" w:space="0" w:color="auto"/>
        <w:left w:val="none" w:sz="0" w:space="0" w:color="auto"/>
        <w:bottom w:val="none" w:sz="0" w:space="0" w:color="auto"/>
        <w:right w:val="none" w:sz="0" w:space="0" w:color="auto"/>
      </w:divBdr>
      <w:divsChild>
        <w:div w:id="821511075">
          <w:marLeft w:val="0"/>
          <w:marRight w:val="0"/>
          <w:marTop w:val="0"/>
          <w:marBottom w:val="0"/>
          <w:divBdr>
            <w:top w:val="none" w:sz="0" w:space="0" w:color="auto"/>
            <w:left w:val="none" w:sz="0" w:space="0" w:color="auto"/>
            <w:bottom w:val="none" w:sz="0" w:space="0" w:color="auto"/>
            <w:right w:val="none" w:sz="0" w:space="0" w:color="auto"/>
          </w:divBdr>
        </w:div>
      </w:divsChild>
    </w:div>
    <w:div w:id="1414620311">
      <w:bodyDiv w:val="1"/>
      <w:marLeft w:val="0"/>
      <w:marRight w:val="0"/>
      <w:marTop w:val="0"/>
      <w:marBottom w:val="0"/>
      <w:divBdr>
        <w:top w:val="none" w:sz="0" w:space="0" w:color="auto"/>
        <w:left w:val="none" w:sz="0" w:space="0" w:color="auto"/>
        <w:bottom w:val="none" w:sz="0" w:space="0" w:color="auto"/>
        <w:right w:val="none" w:sz="0" w:space="0" w:color="auto"/>
      </w:divBdr>
    </w:div>
    <w:div w:id="1424641473">
      <w:bodyDiv w:val="1"/>
      <w:marLeft w:val="0"/>
      <w:marRight w:val="0"/>
      <w:marTop w:val="0"/>
      <w:marBottom w:val="0"/>
      <w:divBdr>
        <w:top w:val="none" w:sz="0" w:space="0" w:color="auto"/>
        <w:left w:val="none" w:sz="0" w:space="0" w:color="auto"/>
        <w:bottom w:val="none" w:sz="0" w:space="0" w:color="auto"/>
        <w:right w:val="none" w:sz="0" w:space="0" w:color="auto"/>
      </w:divBdr>
      <w:divsChild>
        <w:div w:id="45103267">
          <w:marLeft w:val="0"/>
          <w:marRight w:val="0"/>
          <w:marTop w:val="30"/>
          <w:marBottom w:val="60"/>
          <w:divBdr>
            <w:top w:val="none" w:sz="0" w:space="0" w:color="auto"/>
            <w:left w:val="none" w:sz="0" w:space="0" w:color="auto"/>
            <w:bottom w:val="none" w:sz="0" w:space="0" w:color="auto"/>
            <w:right w:val="none" w:sz="0" w:space="0" w:color="auto"/>
          </w:divBdr>
        </w:div>
        <w:div w:id="1638145862">
          <w:marLeft w:val="0"/>
          <w:marRight w:val="0"/>
          <w:marTop w:val="30"/>
          <w:marBottom w:val="60"/>
          <w:divBdr>
            <w:top w:val="none" w:sz="0" w:space="0" w:color="auto"/>
            <w:left w:val="none" w:sz="0" w:space="0" w:color="auto"/>
            <w:bottom w:val="none" w:sz="0" w:space="0" w:color="auto"/>
            <w:right w:val="none" w:sz="0" w:space="0" w:color="auto"/>
          </w:divBdr>
        </w:div>
        <w:div w:id="1983659663">
          <w:marLeft w:val="0"/>
          <w:marRight w:val="0"/>
          <w:marTop w:val="30"/>
          <w:marBottom w:val="60"/>
          <w:divBdr>
            <w:top w:val="none" w:sz="0" w:space="0" w:color="auto"/>
            <w:left w:val="none" w:sz="0" w:space="0" w:color="auto"/>
            <w:bottom w:val="none" w:sz="0" w:space="0" w:color="auto"/>
            <w:right w:val="none" w:sz="0" w:space="0" w:color="auto"/>
          </w:divBdr>
        </w:div>
      </w:divsChild>
    </w:div>
    <w:div w:id="1467355552">
      <w:bodyDiv w:val="1"/>
      <w:marLeft w:val="0"/>
      <w:marRight w:val="0"/>
      <w:marTop w:val="0"/>
      <w:marBottom w:val="0"/>
      <w:divBdr>
        <w:top w:val="none" w:sz="0" w:space="0" w:color="auto"/>
        <w:left w:val="none" w:sz="0" w:space="0" w:color="auto"/>
        <w:bottom w:val="none" w:sz="0" w:space="0" w:color="auto"/>
        <w:right w:val="none" w:sz="0" w:space="0" w:color="auto"/>
      </w:divBdr>
    </w:div>
    <w:div w:id="1480076855">
      <w:bodyDiv w:val="1"/>
      <w:marLeft w:val="0"/>
      <w:marRight w:val="0"/>
      <w:marTop w:val="0"/>
      <w:marBottom w:val="0"/>
      <w:divBdr>
        <w:top w:val="none" w:sz="0" w:space="0" w:color="auto"/>
        <w:left w:val="none" w:sz="0" w:space="0" w:color="auto"/>
        <w:bottom w:val="none" w:sz="0" w:space="0" w:color="auto"/>
        <w:right w:val="none" w:sz="0" w:space="0" w:color="auto"/>
      </w:divBdr>
      <w:divsChild>
        <w:div w:id="136338684">
          <w:marLeft w:val="547"/>
          <w:marRight w:val="0"/>
          <w:marTop w:val="134"/>
          <w:marBottom w:val="0"/>
          <w:divBdr>
            <w:top w:val="none" w:sz="0" w:space="0" w:color="auto"/>
            <w:left w:val="none" w:sz="0" w:space="0" w:color="auto"/>
            <w:bottom w:val="none" w:sz="0" w:space="0" w:color="auto"/>
            <w:right w:val="none" w:sz="0" w:space="0" w:color="auto"/>
          </w:divBdr>
        </w:div>
        <w:div w:id="170341686">
          <w:marLeft w:val="547"/>
          <w:marRight w:val="0"/>
          <w:marTop w:val="134"/>
          <w:marBottom w:val="0"/>
          <w:divBdr>
            <w:top w:val="none" w:sz="0" w:space="0" w:color="auto"/>
            <w:left w:val="none" w:sz="0" w:space="0" w:color="auto"/>
            <w:bottom w:val="none" w:sz="0" w:space="0" w:color="auto"/>
            <w:right w:val="none" w:sz="0" w:space="0" w:color="auto"/>
          </w:divBdr>
        </w:div>
        <w:div w:id="1383555859">
          <w:marLeft w:val="547"/>
          <w:marRight w:val="0"/>
          <w:marTop w:val="134"/>
          <w:marBottom w:val="0"/>
          <w:divBdr>
            <w:top w:val="none" w:sz="0" w:space="0" w:color="auto"/>
            <w:left w:val="none" w:sz="0" w:space="0" w:color="auto"/>
            <w:bottom w:val="none" w:sz="0" w:space="0" w:color="auto"/>
            <w:right w:val="none" w:sz="0" w:space="0" w:color="auto"/>
          </w:divBdr>
        </w:div>
        <w:div w:id="1661880818">
          <w:marLeft w:val="547"/>
          <w:marRight w:val="0"/>
          <w:marTop w:val="134"/>
          <w:marBottom w:val="0"/>
          <w:divBdr>
            <w:top w:val="none" w:sz="0" w:space="0" w:color="auto"/>
            <w:left w:val="none" w:sz="0" w:space="0" w:color="auto"/>
            <w:bottom w:val="none" w:sz="0" w:space="0" w:color="auto"/>
            <w:right w:val="none" w:sz="0" w:space="0" w:color="auto"/>
          </w:divBdr>
        </w:div>
      </w:divsChild>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607074909">
      <w:bodyDiv w:val="1"/>
      <w:marLeft w:val="0"/>
      <w:marRight w:val="0"/>
      <w:marTop w:val="0"/>
      <w:marBottom w:val="0"/>
      <w:divBdr>
        <w:top w:val="none" w:sz="0" w:space="0" w:color="auto"/>
        <w:left w:val="none" w:sz="0" w:space="0" w:color="auto"/>
        <w:bottom w:val="none" w:sz="0" w:space="0" w:color="auto"/>
        <w:right w:val="none" w:sz="0" w:space="0" w:color="auto"/>
      </w:divBdr>
    </w:div>
    <w:div w:id="1633972882">
      <w:bodyDiv w:val="1"/>
      <w:marLeft w:val="0"/>
      <w:marRight w:val="0"/>
      <w:marTop w:val="0"/>
      <w:marBottom w:val="0"/>
      <w:divBdr>
        <w:top w:val="none" w:sz="0" w:space="0" w:color="auto"/>
        <w:left w:val="none" w:sz="0" w:space="0" w:color="auto"/>
        <w:bottom w:val="none" w:sz="0" w:space="0" w:color="auto"/>
        <w:right w:val="none" w:sz="0" w:space="0" w:color="auto"/>
      </w:divBdr>
    </w:div>
    <w:div w:id="2097164809">
      <w:bodyDiv w:val="1"/>
      <w:marLeft w:val="0"/>
      <w:marRight w:val="0"/>
      <w:marTop w:val="0"/>
      <w:marBottom w:val="0"/>
      <w:divBdr>
        <w:top w:val="none" w:sz="0" w:space="0" w:color="auto"/>
        <w:left w:val="none" w:sz="0" w:space="0" w:color="auto"/>
        <w:bottom w:val="none" w:sz="0" w:space="0" w:color="auto"/>
        <w:right w:val="none" w:sz="0" w:space="0" w:color="auto"/>
      </w:divBdr>
      <w:divsChild>
        <w:div w:id="1178618762">
          <w:marLeft w:val="0"/>
          <w:marRight w:val="0"/>
          <w:marTop w:val="30"/>
          <w:marBottom w:val="60"/>
          <w:divBdr>
            <w:top w:val="none" w:sz="0" w:space="0" w:color="auto"/>
            <w:left w:val="none" w:sz="0" w:space="0" w:color="auto"/>
            <w:bottom w:val="none" w:sz="0" w:space="0" w:color="auto"/>
            <w:right w:val="none" w:sz="0" w:space="0" w:color="auto"/>
          </w:divBdr>
        </w:div>
        <w:div w:id="1519662020">
          <w:marLeft w:val="0"/>
          <w:marRight w:val="0"/>
          <w:marTop w:val="30"/>
          <w:marBottom w:val="60"/>
          <w:divBdr>
            <w:top w:val="none" w:sz="0" w:space="0" w:color="auto"/>
            <w:left w:val="none" w:sz="0" w:space="0" w:color="auto"/>
            <w:bottom w:val="none" w:sz="0" w:space="0" w:color="auto"/>
            <w:right w:val="none" w:sz="0" w:space="0" w:color="auto"/>
          </w:divBdr>
        </w:div>
        <w:div w:id="2053380543">
          <w:marLeft w:val="0"/>
          <w:marRight w:val="0"/>
          <w:marTop w:val="30"/>
          <w:marBottom w:val="60"/>
          <w:divBdr>
            <w:top w:val="none" w:sz="0" w:space="0" w:color="auto"/>
            <w:left w:val="none" w:sz="0" w:space="0" w:color="auto"/>
            <w:bottom w:val="none" w:sz="0" w:space="0" w:color="auto"/>
            <w:right w:val="none" w:sz="0" w:space="0" w:color="auto"/>
          </w:divBdr>
        </w:div>
      </w:divsChild>
    </w:div>
    <w:div w:id="2101178590">
      <w:bodyDiv w:val="1"/>
      <w:marLeft w:val="0"/>
      <w:marRight w:val="0"/>
      <w:marTop w:val="0"/>
      <w:marBottom w:val="0"/>
      <w:divBdr>
        <w:top w:val="none" w:sz="0" w:space="0" w:color="auto"/>
        <w:left w:val="none" w:sz="0" w:space="0" w:color="auto"/>
        <w:bottom w:val="none" w:sz="0" w:space="0" w:color="auto"/>
        <w:right w:val="none" w:sz="0" w:space="0" w:color="auto"/>
      </w:divBdr>
      <w:divsChild>
        <w:div w:id="240876060">
          <w:marLeft w:val="547"/>
          <w:marRight w:val="0"/>
          <w:marTop w:val="134"/>
          <w:marBottom w:val="0"/>
          <w:divBdr>
            <w:top w:val="none" w:sz="0" w:space="0" w:color="auto"/>
            <w:left w:val="none" w:sz="0" w:space="0" w:color="auto"/>
            <w:bottom w:val="none" w:sz="0" w:space="0" w:color="auto"/>
            <w:right w:val="none" w:sz="0" w:space="0" w:color="auto"/>
          </w:divBdr>
        </w:div>
        <w:div w:id="887959915">
          <w:marLeft w:val="547"/>
          <w:marRight w:val="0"/>
          <w:marTop w:val="134"/>
          <w:marBottom w:val="0"/>
          <w:divBdr>
            <w:top w:val="none" w:sz="0" w:space="0" w:color="auto"/>
            <w:left w:val="none" w:sz="0" w:space="0" w:color="auto"/>
            <w:bottom w:val="none" w:sz="0" w:space="0" w:color="auto"/>
            <w:right w:val="none" w:sz="0" w:space="0" w:color="auto"/>
          </w:divBdr>
        </w:div>
        <w:div w:id="1157574101">
          <w:marLeft w:val="547"/>
          <w:marRight w:val="0"/>
          <w:marTop w:val="134"/>
          <w:marBottom w:val="0"/>
          <w:divBdr>
            <w:top w:val="none" w:sz="0" w:space="0" w:color="auto"/>
            <w:left w:val="none" w:sz="0" w:space="0" w:color="auto"/>
            <w:bottom w:val="none" w:sz="0" w:space="0" w:color="auto"/>
            <w:right w:val="none" w:sz="0" w:space="0" w:color="auto"/>
          </w:divBdr>
        </w:div>
        <w:div w:id="132431841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sped/advisories/2018-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cfr.gov/cgi-bin/text-idx?node=pt34.2.300&amp;rgn=div5"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federalgrants/idea/resources/qrg-proportionate-shar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DESE-231-72355</_dlc_DocId>
    <_dlc_DocIdUrl xmlns="733efe1c-5bbe-4968-87dc-d400e65c879f">
      <Url>https://sharepoint.doemass.org/ese/webteam/cps/_layouts/DocIdRedir.aspx?ID=DESE-231-72355</Url>
      <Description>DESE-231-72355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7FEBF-233A-427B-B7A0-B8AEDB10910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9E01224-5FC7-4D4C-B507-4A47F5896D19}">
  <ds:schemaRefs>
    <ds:schemaRef ds:uri="http://schemas.microsoft.com/sharepoint/events"/>
  </ds:schemaRefs>
</ds:datastoreItem>
</file>

<file path=customXml/itemProps3.xml><?xml version="1.0" encoding="utf-8"?>
<ds:datastoreItem xmlns:ds="http://schemas.openxmlformats.org/officeDocument/2006/customXml" ds:itemID="{3F8E0189-FC33-4E63-A56E-3B87A9C29207}">
  <ds:schemaRefs>
    <ds:schemaRef ds:uri="http://schemas.microsoft.com/sharepoint/v3/contenttype/forms"/>
  </ds:schemaRefs>
</ds:datastoreItem>
</file>

<file path=customXml/itemProps4.xml><?xml version="1.0" encoding="utf-8"?>
<ds:datastoreItem xmlns:ds="http://schemas.openxmlformats.org/officeDocument/2006/customXml" ds:itemID="{21204315-3F8D-46BE-962A-FA620F55B44C}">
  <ds:schemaRefs>
    <ds:schemaRef ds:uri="http://schemas.openxmlformats.org/officeDocument/2006/bibliography"/>
  </ds:schemaRefs>
</ds:datastoreItem>
</file>

<file path=customXml/itemProps5.xml><?xml version="1.0" encoding="utf-8"?>
<ds:datastoreItem xmlns:ds="http://schemas.openxmlformats.org/officeDocument/2006/customXml" ds:itemID="{2828CC30-FF2E-462A-B072-CDE2AA09F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634</Words>
  <Characters>3478</Characters>
  <Application>Microsoft Office Word</Application>
  <DocSecurity>0</DocSecurity>
  <Lines>72</Lines>
  <Paragraphs>36</Paragraphs>
  <ScaleCrop>false</ScaleCrop>
  <HeadingPairs>
    <vt:vector size="2" baseType="variant">
      <vt:variant>
        <vt:lpstr>Title</vt:lpstr>
      </vt:variant>
      <vt:variant>
        <vt:i4>1</vt:i4>
      </vt:variant>
    </vt:vector>
  </HeadingPairs>
  <TitlesOfParts>
    <vt:vector size="1" baseType="lpstr">
      <vt:lpstr>Quick Reference Guide: IDEA Proportionate Share</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IDEA Equitable Services Allowable Costs</dc:title>
  <dc:subject/>
  <dc:creator>DESE</dc:creator>
  <cp:keywords/>
  <cp:lastModifiedBy>Zou, Dong (EOE)</cp:lastModifiedBy>
  <cp:revision>3</cp:revision>
  <cp:lastPrinted>2018-08-17T17:28:00Z</cp:lastPrinted>
  <dcterms:created xsi:type="dcterms:W3CDTF">2023-08-07T15:25:00Z</dcterms:created>
  <dcterms:modified xsi:type="dcterms:W3CDTF">2023-08-15T17:59:00Z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15 2023 12:00AM</vt:lpwstr>
  </property>
</Properties>
</file>