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FDCEA" w14:textId="63881365" w:rsidR="00113114" w:rsidRDefault="00D40CCE" w:rsidP="00724904">
      <w:pPr>
        <w:pStyle w:val="Heading2"/>
      </w:pPr>
      <w:r w:rsidRPr="00A81A4B">
        <w:rPr>
          <w:noProof/>
          <w:color w:val="1F497D" w:themeColor="text2"/>
          <w:sz w:val="32"/>
          <w:szCs w:val="32"/>
        </w:rPr>
        <w:drawing>
          <wp:anchor distT="0" distB="0" distL="114300" distR="114300" simplePos="0" relativeHeight="251660288" behindDoc="0" locked="0" layoutInCell="1" allowOverlap="1" wp14:anchorId="765CF4E9" wp14:editId="72CFABCF">
            <wp:simplePos x="0" y="0"/>
            <wp:positionH relativeFrom="margin">
              <wp:align>right</wp:align>
            </wp:positionH>
            <wp:positionV relativeFrom="paragraph">
              <wp:posOffset>9525</wp:posOffset>
            </wp:positionV>
            <wp:extent cx="1552575" cy="927618"/>
            <wp:effectExtent l="0" t="0" r="0" b="6350"/>
            <wp:wrapNone/>
            <wp:docPr id="3" name="Picture 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2575" cy="9276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E896EA" w14:textId="2BDA4661" w:rsidR="00113114" w:rsidRPr="00113114" w:rsidRDefault="00DA71B5" w:rsidP="00724904">
      <w:pPr>
        <w:pStyle w:val="Heading2"/>
        <w:rPr>
          <w:rFonts w:asciiTheme="minorHAnsi" w:hAnsiTheme="minorHAnsi" w:cstheme="minorHAnsi"/>
          <w:color w:val="1F497D" w:themeColor="text2"/>
          <w:sz w:val="36"/>
          <w:szCs w:val="36"/>
        </w:rPr>
      </w:pPr>
      <w:r>
        <w:rPr>
          <w:rFonts w:asciiTheme="minorHAnsi" w:hAnsiTheme="minorHAnsi" w:cstheme="minorHAnsi"/>
          <w:color w:val="1F497D" w:themeColor="text2"/>
          <w:sz w:val="36"/>
          <w:szCs w:val="36"/>
        </w:rPr>
        <w:t xml:space="preserve">IDEA </w:t>
      </w:r>
      <w:r w:rsidR="00CB4946">
        <w:rPr>
          <w:rFonts w:asciiTheme="minorHAnsi" w:hAnsiTheme="minorHAnsi" w:cstheme="minorHAnsi"/>
          <w:color w:val="1F497D" w:themeColor="text2"/>
          <w:sz w:val="36"/>
          <w:szCs w:val="36"/>
        </w:rPr>
        <w:t>Equitable Services</w:t>
      </w:r>
      <w:r w:rsidR="00113114" w:rsidRPr="00113114">
        <w:rPr>
          <w:rFonts w:asciiTheme="minorHAnsi" w:hAnsiTheme="minorHAnsi" w:cstheme="minorHAnsi"/>
          <w:color w:val="1F497D" w:themeColor="text2"/>
          <w:sz w:val="36"/>
          <w:szCs w:val="36"/>
        </w:rPr>
        <w:t xml:space="preserve"> Quick Reference Guide</w:t>
      </w:r>
    </w:p>
    <w:p w14:paraId="771FF621" w14:textId="72F247BA" w:rsidR="00724904" w:rsidRPr="00F72DA4" w:rsidRDefault="00724904" w:rsidP="001A4C6C">
      <w:pPr>
        <w:pStyle w:val="Heading2"/>
        <w:spacing w:before="40" w:after="40" w:line="240" w:lineRule="auto"/>
        <w:rPr>
          <w:rFonts w:asciiTheme="minorHAnsi" w:hAnsiTheme="minorHAnsi" w:cstheme="minorHAnsi"/>
          <w:sz w:val="32"/>
        </w:rPr>
      </w:pPr>
      <w:r w:rsidRPr="00F72DA4">
        <w:rPr>
          <w:rFonts w:asciiTheme="minorHAnsi" w:hAnsiTheme="minorHAnsi" w:cstheme="minorHAnsi"/>
          <w:sz w:val="32"/>
        </w:rPr>
        <w:t>Overview</w:t>
      </w:r>
    </w:p>
    <w:p w14:paraId="05AD0C5E" w14:textId="0C1EEC72" w:rsidR="00491167" w:rsidRDefault="00BB309C" w:rsidP="001A4C6C">
      <w:pPr>
        <w:spacing w:before="40" w:after="40" w:line="240" w:lineRule="auto"/>
        <w:rPr>
          <w:rFonts w:asciiTheme="minorHAnsi" w:hAnsiTheme="minorHAnsi" w:cstheme="minorHAnsi"/>
          <w:sz w:val="22"/>
          <w:szCs w:val="22"/>
        </w:rPr>
      </w:pPr>
      <w:r w:rsidRPr="00FB6A64">
        <w:rPr>
          <w:rFonts w:asciiTheme="minorHAnsi" w:hAnsiTheme="minorHAnsi" w:cstheme="minorHAnsi"/>
          <w:sz w:val="22"/>
          <w:szCs w:val="22"/>
        </w:rPr>
        <w:t>D</w:t>
      </w:r>
      <w:r w:rsidR="0045649D" w:rsidRPr="00FB6A64">
        <w:rPr>
          <w:rFonts w:asciiTheme="minorHAnsi" w:hAnsiTheme="minorHAnsi" w:cstheme="minorHAnsi"/>
          <w:sz w:val="22"/>
          <w:szCs w:val="22"/>
        </w:rPr>
        <w:t xml:space="preserve">istricts have an obligation to locate and evaluate </w:t>
      </w:r>
      <w:r w:rsidR="007F197F" w:rsidRPr="00FB6A64">
        <w:rPr>
          <w:rFonts w:asciiTheme="minorHAnsi" w:hAnsiTheme="minorHAnsi" w:cstheme="minorHAnsi"/>
          <w:sz w:val="22"/>
          <w:szCs w:val="22"/>
        </w:rPr>
        <w:t>students with disabilities enrolled by their parents in private schools</w:t>
      </w:r>
      <w:r w:rsidR="00743211" w:rsidRPr="00FB6A64">
        <w:rPr>
          <w:rFonts w:asciiTheme="minorHAnsi" w:hAnsiTheme="minorHAnsi" w:cstheme="minorHAnsi"/>
          <w:sz w:val="22"/>
          <w:szCs w:val="22"/>
        </w:rPr>
        <w:t xml:space="preserve"> l</w:t>
      </w:r>
      <w:r w:rsidRPr="00FB6A64">
        <w:rPr>
          <w:rFonts w:asciiTheme="minorHAnsi" w:hAnsiTheme="minorHAnsi" w:cstheme="minorHAnsi"/>
          <w:sz w:val="22"/>
          <w:szCs w:val="22"/>
        </w:rPr>
        <w:t>ocated within the district</w:t>
      </w:r>
      <w:r w:rsidR="00C90112" w:rsidRPr="00FB6A64">
        <w:rPr>
          <w:rFonts w:asciiTheme="minorHAnsi" w:hAnsiTheme="minorHAnsi" w:cstheme="minorHAnsi"/>
          <w:sz w:val="22"/>
          <w:szCs w:val="22"/>
        </w:rPr>
        <w:t xml:space="preserve">, </w:t>
      </w:r>
      <w:r w:rsidR="0045649D" w:rsidRPr="00FB6A64">
        <w:rPr>
          <w:rFonts w:asciiTheme="minorHAnsi" w:hAnsiTheme="minorHAnsi" w:cstheme="minorHAnsi"/>
          <w:sz w:val="22"/>
          <w:szCs w:val="22"/>
        </w:rPr>
        <w:t xml:space="preserve">and to calculate and spend a proportionate share of federal special education (Individuals with Disabilities Education Act or IDEA) grant funds </w:t>
      </w:r>
      <w:r w:rsidR="0015661A">
        <w:rPr>
          <w:rFonts w:asciiTheme="minorHAnsi" w:hAnsiTheme="minorHAnsi" w:cstheme="minorHAnsi"/>
          <w:sz w:val="22"/>
          <w:szCs w:val="22"/>
        </w:rPr>
        <w:t>providing</w:t>
      </w:r>
      <w:r w:rsidR="0045649D" w:rsidRPr="00FB6A64">
        <w:rPr>
          <w:rFonts w:asciiTheme="minorHAnsi" w:hAnsiTheme="minorHAnsi" w:cstheme="minorHAnsi"/>
          <w:sz w:val="22"/>
          <w:szCs w:val="22"/>
        </w:rPr>
        <w:t xml:space="preserve"> equitable services for these students.</w:t>
      </w:r>
      <w:r w:rsidR="00700A17" w:rsidRPr="00FB6A64">
        <w:rPr>
          <w:rFonts w:asciiTheme="minorHAnsi" w:hAnsiTheme="minorHAnsi" w:cstheme="minorHAnsi"/>
          <w:sz w:val="22"/>
          <w:szCs w:val="22"/>
        </w:rPr>
        <w:t xml:space="preserve"> </w:t>
      </w:r>
      <w:r w:rsidR="00491167" w:rsidRPr="00FB6A64">
        <w:rPr>
          <w:rFonts w:asciiTheme="minorHAnsi" w:hAnsiTheme="minorHAnsi" w:cstheme="minorHAnsi"/>
          <w:sz w:val="22"/>
          <w:szCs w:val="22"/>
        </w:rPr>
        <w:t xml:space="preserve">IDEA entitlement grants are awarded to Massachusetts districts under DESE Fund Codes </w:t>
      </w:r>
      <w:r w:rsidR="00D40CCE">
        <w:rPr>
          <w:rFonts w:asciiTheme="minorHAnsi" w:hAnsiTheme="minorHAnsi" w:cstheme="minorHAnsi"/>
          <w:sz w:val="22"/>
          <w:szCs w:val="22"/>
        </w:rPr>
        <w:t>0</w:t>
      </w:r>
      <w:r w:rsidR="00491167" w:rsidRPr="00FB6A64">
        <w:rPr>
          <w:rFonts w:asciiTheme="minorHAnsi" w:hAnsiTheme="minorHAnsi" w:cstheme="minorHAnsi"/>
          <w:sz w:val="22"/>
          <w:szCs w:val="22"/>
        </w:rPr>
        <w:t xml:space="preserve">240 (students </w:t>
      </w:r>
      <w:proofErr w:type="gramStart"/>
      <w:r w:rsidR="00491167" w:rsidRPr="00FB6A64">
        <w:rPr>
          <w:rFonts w:asciiTheme="minorHAnsi" w:hAnsiTheme="minorHAnsi" w:cstheme="minorHAnsi"/>
          <w:sz w:val="22"/>
          <w:szCs w:val="22"/>
        </w:rPr>
        <w:t>age</w:t>
      </w:r>
      <w:proofErr w:type="gramEnd"/>
      <w:r w:rsidR="00491167" w:rsidRPr="00FB6A64">
        <w:rPr>
          <w:rFonts w:asciiTheme="minorHAnsi" w:hAnsiTheme="minorHAnsi" w:cstheme="minorHAnsi"/>
          <w:sz w:val="22"/>
          <w:szCs w:val="22"/>
        </w:rPr>
        <w:t xml:space="preserve"> 3-21) and </w:t>
      </w:r>
      <w:r w:rsidR="00D40CCE">
        <w:rPr>
          <w:rFonts w:asciiTheme="minorHAnsi" w:hAnsiTheme="minorHAnsi" w:cstheme="minorHAnsi"/>
          <w:sz w:val="22"/>
          <w:szCs w:val="22"/>
        </w:rPr>
        <w:t>0</w:t>
      </w:r>
      <w:r w:rsidR="00491167" w:rsidRPr="00FB6A64">
        <w:rPr>
          <w:rFonts w:asciiTheme="minorHAnsi" w:hAnsiTheme="minorHAnsi" w:cstheme="minorHAnsi"/>
          <w:sz w:val="22"/>
          <w:szCs w:val="22"/>
        </w:rPr>
        <w:t>262 (students age 3-5).</w:t>
      </w:r>
      <w:r w:rsidR="00491167">
        <w:rPr>
          <w:rFonts w:asciiTheme="minorHAnsi" w:hAnsiTheme="minorHAnsi" w:cstheme="minorHAnsi"/>
          <w:sz w:val="22"/>
          <w:szCs w:val="22"/>
        </w:rPr>
        <w:t xml:space="preserve">  </w:t>
      </w:r>
    </w:p>
    <w:p w14:paraId="1773482E" w14:textId="77777777" w:rsidR="00491167" w:rsidRDefault="00491167" w:rsidP="001A4C6C">
      <w:pPr>
        <w:spacing w:before="40" w:after="40" w:line="240" w:lineRule="auto"/>
        <w:rPr>
          <w:rFonts w:asciiTheme="minorHAnsi" w:hAnsiTheme="minorHAnsi" w:cstheme="minorHAnsi"/>
          <w:sz w:val="22"/>
          <w:szCs w:val="22"/>
        </w:rPr>
      </w:pPr>
    </w:p>
    <w:p w14:paraId="59C3FB88" w14:textId="09F958E2" w:rsidR="00733E18" w:rsidRPr="00491167" w:rsidRDefault="00743211" w:rsidP="001A4C6C">
      <w:pPr>
        <w:spacing w:before="40" w:after="40" w:line="240" w:lineRule="auto"/>
        <w:rPr>
          <w:rFonts w:asciiTheme="minorHAnsi" w:hAnsiTheme="minorHAnsi" w:cstheme="minorHAnsi"/>
          <w:sz w:val="22"/>
          <w:szCs w:val="22"/>
        </w:rPr>
      </w:pPr>
      <w:bookmarkStart w:id="0" w:name="_Hlk521660935"/>
      <w:proofErr w:type="gramStart"/>
      <w:r w:rsidRPr="00FB6A64">
        <w:rPr>
          <w:rFonts w:asciiTheme="minorHAnsi" w:hAnsiTheme="minorHAnsi" w:cstheme="minorHAnsi"/>
          <w:sz w:val="22"/>
          <w:szCs w:val="22"/>
        </w:rPr>
        <w:t>Privately-enrolled</w:t>
      </w:r>
      <w:proofErr w:type="gramEnd"/>
      <w:r w:rsidRPr="00FB6A64">
        <w:rPr>
          <w:rFonts w:asciiTheme="minorHAnsi" w:hAnsiTheme="minorHAnsi" w:cstheme="minorHAnsi"/>
          <w:sz w:val="22"/>
          <w:szCs w:val="22"/>
        </w:rPr>
        <w:t xml:space="preserve"> students include students at secular, non-secular, and independent schools, and home-schooled students. </w:t>
      </w:r>
      <w:r w:rsidR="00C9511F" w:rsidRPr="00FB6A64">
        <w:rPr>
          <w:rFonts w:asciiTheme="minorHAnsi" w:hAnsiTheme="minorHAnsi" w:cstheme="minorHAnsi"/>
          <w:b/>
          <w:sz w:val="22"/>
          <w:szCs w:val="22"/>
        </w:rPr>
        <w:t>Please review the</w:t>
      </w:r>
      <w:r w:rsidR="00C45348">
        <w:rPr>
          <w:rFonts w:asciiTheme="minorHAnsi" w:hAnsiTheme="minorHAnsi" w:cstheme="minorHAnsi"/>
          <w:b/>
          <w:sz w:val="22"/>
          <w:szCs w:val="22"/>
        </w:rPr>
        <w:t xml:space="preserve"> Department’s guidance on proportionate share requirements,</w:t>
      </w:r>
      <w:r w:rsidR="00C9511F" w:rsidRPr="00FB6A64">
        <w:rPr>
          <w:rFonts w:asciiTheme="minorHAnsi" w:hAnsiTheme="minorHAnsi" w:cstheme="minorHAnsi"/>
          <w:b/>
          <w:sz w:val="22"/>
          <w:szCs w:val="22"/>
        </w:rPr>
        <w:t xml:space="preserve"> </w:t>
      </w:r>
      <w:hyperlink r:id="rId13" w:anchor="page=1" w:history="1">
        <w:r w:rsidR="004A0EE7" w:rsidRPr="00FB6A64">
          <w:rPr>
            <w:rStyle w:val="Hyperlink"/>
            <w:rFonts w:asciiTheme="minorHAnsi" w:hAnsiTheme="minorHAnsi" w:cstheme="minorHAnsi"/>
            <w:b/>
            <w:sz w:val="22"/>
            <w:szCs w:val="22"/>
          </w:rPr>
          <w:t>Special Education Administrative Advisory SPED 2018-1</w:t>
        </w:r>
      </w:hyperlink>
      <w:r w:rsidR="00C9511F" w:rsidRPr="00FB6A64">
        <w:rPr>
          <w:rFonts w:asciiTheme="minorHAnsi" w:hAnsiTheme="minorHAnsi" w:cstheme="minorHAnsi"/>
          <w:sz w:val="22"/>
          <w:szCs w:val="22"/>
        </w:rPr>
        <w:t xml:space="preserve"> </w:t>
      </w:r>
      <w:r w:rsidR="00C45348">
        <w:rPr>
          <w:rFonts w:asciiTheme="minorHAnsi" w:hAnsiTheme="minorHAnsi" w:cstheme="minorHAnsi"/>
          <w:sz w:val="22"/>
          <w:szCs w:val="22"/>
        </w:rPr>
        <w:t xml:space="preserve">(2018-1 Advisory) </w:t>
      </w:r>
      <w:r w:rsidR="00C9511F" w:rsidRPr="00FB6A64">
        <w:rPr>
          <w:rFonts w:asciiTheme="minorHAnsi" w:hAnsiTheme="minorHAnsi" w:cstheme="minorHAnsi"/>
          <w:b/>
          <w:sz w:val="22"/>
          <w:szCs w:val="22"/>
        </w:rPr>
        <w:t xml:space="preserve">for </w:t>
      </w:r>
      <w:r w:rsidR="00BA2057" w:rsidRPr="00FB6A64">
        <w:rPr>
          <w:rFonts w:asciiTheme="minorHAnsi" w:hAnsiTheme="minorHAnsi" w:cstheme="minorHAnsi"/>
          <w:b/>
          <w:sz w:val="22"/>
          <w:szCs w:val="22"/>
        </w:rPr>
        <w:t>more detailed information</w:t>
      </w:r>
      <w:bookmarkEnd w:id="0"/>
      <w:r w:rsidR="00C9511F" w:rsidRPr="00FB6A64">
        <w:rPr>
          <w:rFonts w:asciiTheme="minorHAnsi" w:hAnsiTheme="minorHAnsi" w:cstheme="minorHAnsi"/>
          <w:b/>
          <w:sz w:val="22"/>
          <w:szCs w:val="22"/>
        </w:rPr>
        <w:t xml:space="preserve">.   </w:t>
      </w:r>
    </w:p>
    <w:p w14:paraId="2B895B61" w14:textId="77777777" w:rsidR="001A4C6C" w:rsidRPr="00113114" w:rsidRDefault="001A4C6C" w:rsidP="001A4C6C">
      <w:pPr>
        <w:spacing w:after="0" w:line="240" w:lineRule="auto"/>
        <w:rPr>
          <w:rFonts w:asciiTheme="minorHAnsi" w:hAnsiTheme="minorHAnsi" w:cstheme="minorHAnsi"/>
        </w:rPr>
      </w:pPr>
    </w:p>
    <w:p w14:paraId="6B8B43D6" w14:textId="1517A2E4" w:rsidR="00733E18" w:rsidRPr="00F72DA4" w:rsidRDefault="00733E18" w:rsidP="001A4C6C">
      <w:pPr>
        <w:pStyle w:val="Heading2"/>
        <w:spacing w:after="0" w:line="240" w:lineRule="auto"/>
        <w:rPr>
          <w:rFonts w:asciiTheme="minorHAnsi" w:hAnsiTheme="minorHAnsi" w:cstheme="minorHAnsi"/>
          <w:sz w:val="32"/>
        </w:rPr>
      </w:pPr>
      <w:r w:rsidRPr="00F72DA4">
        <w:rPr>
          <w:rFonts w:asciiTheme="minorHAnsi" w:hAnsiTheme="minorHAnsi" w:cstheme="minorHAnsi"/>
          <w:sz w:val="32"/>
        </w:rPr>
        <w:t>District Requirements</w:t>
      </w:r>
    </w:p>
    <w:p w14:paraId="1D3EAEC4" w14:textId="43C6F800" w:rsidR="00F60F50" w:rsidRPr="00FB6A64" w:rsidRDefault="00A14527" w:rsidP="001A4C6C">
      <w:pPr>
        <w:spacing w:after="0" w:line="240" w:lineRule="auto"/>
        <w:rPr>
          <w:rFonts w:asciiTheme="minorHAnsi" w:hAnsiTheme="minorHAnsi" w:cstheme="minorHAnsi"/>
          <w:sz w:val="22"/>
          <w:szCs w:val="22"/>
        </w:rPr>
      </w:pPr>
      <w:r w:rsidRPr="00FB6A64">
        <w:rPr>
          <w:rFonts w:asciiTheme="minorHAnsi" w:hAnsiTheme="minorHAnsi" w:cstheme="minorHAnsi"/>
          <w:sz w:val="22"/>
          <w:szCs w:val="22"/>
        </w:rPr>
        <w:t xml:space="preserve">Each district </w:t>
      </w:r>
      <w:r w:rsidR="00BB309C" w:rsidRPr="00FB6A64">
        <w:rPr>
          <w:rFonts w:asciiTheme="minorHAnsi" w:hAnsiTheme="minorHAnsi" w:cstheme="minorHAnsi"/>
          <w:sz w:val="22"/>
          <w:szCs w:val="22"/>
        </w:rPr>
        <w:t>must</w:t>
      </w:r>
      <w:r w:rsidRPr="00FB6A64">
        <w:rPr>
          <w:rFonts w:asciiTheme="minorHAnsi" w:hAnsiTheme="minorHAnsi" w:cstheme="minorHAnsi"/>
          <w:sz w:val="22"/>
          <w:szCs w:val="22"/>
        </w:rPr>
        <w:t xml:space="preserve"> comply with the following requirements on an annual basis:</w:t>
      </w:r>
    </w:p>
    <w:p w14:paraId="7FC7E5ED" w14:textId="77777777" w:rsidR="001A4C6C" w:rsidRPr="00DA71B5" w:rsidRDefault="001A4C6C" w:rsidP="001A4C6C">
      <w:pPr>
        <w:spacing w:after="0" w:line="240" w:lineRule="auto"/>
        <w:rPr>
          <w:rFonts w:asciiTheme="minorHAnsi" w:hAnsiTheme="minorHAnsi" w:cstheme="minorHAnsi"/>
          <w:sz w:val="16"/>
          <w:szCs w:val="16"/>
        </w:rPr>
      </w:pPr>
    </w:p>
    <w:tbl>
      <w:tblPr>
        <w:tblStyle w:val="TableGrid"/>
        <w:tblW w:w="0" w:type="auto"/>
        <w:tblLook w:val="04A0" w:firstRow="1" w:lastRow="0" w:firstColumn="1" w:lastColumn="0" w:noHBand="0" w:noVBand="1"/>
        <w:tblDescription w:val="List of district requirements"/>
      </w:tblPr>
      <w:tblGrid>
        <w:gridCol w:w="535"/>
        <w:gridCol w:w="9679"/>
      </w:tblGrid>
      <w:tr w:rsidR="00797055" w14:paraId="7607C2FB" w14:textId="77777777" w:rsidTr="008F741D">
        <w:trPr>
          <w:tblHeader/>
        </w:trPr>
        <w:tc>
          <w:tcPr>
            <w:tcW w:w="535" w:type="dxa"/>
            <w:tcBorders>
              <w:top w:val="nil"/>
              <w:left w:val="nil"/>
              <w:bottom w:val="nil"/>
              <w:right w:val="nil"/>
            </w:tcBorders>
            <w:shd w:val="clear" w:color="auto" w:fill="FDE9D9" w:themeFill="accent6" w:themeFillTint="33"/>
          </w:tcPr>
          <w:p w14:paraId="1DE0709E" w14:textId="1EFDC8F2" w:rsidR="00797055" w:rsidRPr="00113114" w:rsidRDefault="00797055" w:rsidP="001A4C6C">
            <w:pPr>
              <w:spacing w:before="20" w:after="20"/>
              <w:rPr>
                <w:rFonts w:asciiTheme="minorHAnsi" w:hAnsiTheme="minorHAnsi" w:cstheme="minorHAnsi"/>
                <w:b/>
                <w:sz w:val="24"/>
                <w:szCs w:val="24"/>
              </w:rPr>
            </w:pPr>
            <w:r>
              <w:rPr>
                <w:rFonts w:asciiTheme="minorHAnsi" w:hAnsiTheme="minorHAnsi" w:cstheme="minorHAnsi"/>
                <w:b/>
                <w:sz w:val="24"/>
                <w:szCs w:val="24"/>
              </w:rPr>
              <w:t>1.</w:t>
            </w:r>
          </w:p>
        </w:tc>
        <w:tc>
          <w:tcPr>
            <w:tcW w:w="9679" w:type="dxa"/>
            <w:tcBorders>
              <w:top w:val="nil"/>
              <w:left w:val="nil"/>
              <w:bottom w:val="nil"/>
              <w:right w:val="nil"/>
            </w:tcBorders>
            <w:shd w:val="clear" w:color="auto" w:fill="FDE9D9" w:themeFill="accent6" w:themeFillTint="33"/>
          </w:tcPr>
          <w:p w14:paraId="64784BFB" w14:textId="0FCAFE63" w:rsidR="00797055" w:rsidRPr="00113114" w:rsidRDefault="00797055" w:rsidP="001A4C6C">
            <w:pPr>
              <w:spacing w:before="20" w:after="20"/>
              <w:rPr>
                <w:rFonts w:asciiTheme="minorHAnsi" w:hAnsiTheme="minorHAnsi" w:cstheme="minorHAnsi"/>
              </w:rPr>
            </w:pPr>
            <w:r w:rsidRPr="00113114">
              <w:rPr>
                <w:rFonts w:asciiTheme="minorHAnsi" w:hAnsiTheme="minorHAnsi" w:cstheme="minorHAnsi"/>
                <w:b/>
                <w:sz w:val="24"/>
                <w:szCs w:val="24"/>
              </w:rPr>
              <w:t>Timely and Meaningful Consultation.</w:t>
            </w:r>
            <w:r w:rsidRPr="00113114">
              <w:rPr>
                <w:rFonts w:asciiTheme="minorHAnsi" w:hAnsiTheme="minorHAnsi" w:cstheme="minorHAnsi"/>
                <w:b/>
              </w:rPr>
              <w:t xml:space="preserve"> </w:t>
            </w:r>
            <w:r w:rsidRPr="006F1EBB">
              <w:rPr>
                <w:rFonts w:asciiTheme="minorHAnsi" w:hAnsiTheme="minorHAnsi" w:cstheme="minorHAnsi"/>
              </w:rPr>
              <w:t xml:space="preserve"> </w:t>
            </w:r>
            <w:r w:rsidRPr="00BD796D">
              <w:rPr>
                <w:rFonts w:asciiTheme="minorHAnsi" w:hAnsiTheme="minorHAnsi" w:cstheme="minorHAnsi"/>
                <w:sz w:val="21"/>
                <w:szCs w:val="21"/>
              </w:rPr>
              <w:t xml:space="preserve">Prior to other required activities, districts must invite and consult with private school </w:t>
            </w:r>
            <w:r w:rsidR="00855264">
              <w:rPr>
                <w:rFonts w:asciiTheme="minorHAnsi" w:hAnsiTheme="minorHAnsi" w:cstheme="minorHAnsi"/>
                <w:sz w:val="21"/>
                <w:szCs w:val="21"/>
              </w:rPr>
              <w:t xml:space="preserve">and home school </w:t>
            </w:r>
            <w:r w:rsidRPr="00BD796D">
              <w:rPr>
                <w:rFonts w:asciiTheme="minorHAnsi" w:hAnsiTheme="minorHAnsi" w:cstheme="minorHAnsi"/>
                <w:sz w:val="21"/>
                <w:szCs w:val="21"/>
              </w:rPr>
              <w:t>representatives</w:t>
            </w:r>
            <w:r w:rsidR="00855264">
              <w:rPr>
                <w:rFonts w:asciiTheme="minorHAnsi" w:hAnsiTheme="minorHAnsi" w:cstheme="minorHAnsi"/>
                <w:sz w:val="21"/>
                <w:szCs w:val="21"/>
              </w:rPr>
              <w:t>,</w:t>
            </w:r>
            <w:r w:rsidRPr="00BD796D">
              <w:rPr>
                <w:rFonts w:asciiTheme="minorHAnsi" w:hAnsiTheme="minorHAnsi" w:cstheme="minorHAnsi"/>
                <w:sz w:val="21"/>
                <w:szCs w:val="21"/>
              </w:rPr>
              <w:t xml:space="preserve"> and representatives of parents of eligible </w:t>
            </w:r>
            <w:proofErr w:type="gramStart"/>
            <w:r w:rsidRPr="00BD796D">
              <w:rPr>
                <w:rFonts w:asciiTheme="minorHAnsi" w:hAnsiTheme="minorHAnsi" w:cstheme="minorHAnsi"/>
                <w:sz w:val="21"/>
                <w:szCs w:val="21"/>
              </w:rPr>
              <w:t>privately-enrolled</w:t>
            </w:r>
            <w:proofErr w:type="gramEnd"/>
            <w:r w:rsidRPr="00BD796D">
              <w:rPr>
                <w:rFonts w:asciiTheme="minorHAnsi" w:hAnsiTheme="minorHAnsi" w:cstheme="minorHAnsi"/>
                <w:sz w:val="21"/>
                <w:szCs w:val="21"/>
              </w:rPr>
              <w:t xml:space="preserve"> students educated in the district. Topics that must be discussed </w:t>
            </w:r>
            <w:proofErr w:type="gramStart"/>
            <w:r w:rsidRPr="00BD796D">
              <w:rPr>
                <w:rFonts w:asciiTheme="minorHAnsi" w:hAnsiTheme="minorHAnsi" w:cstheme="minorHAnsi"/>
                <w:sz w:val="21"/>
                <w:szCs w:val="21"/>
              </w:rPr>
              <w:t>are:</w:t>
            </w:r>
            <w:proofErr w:type="gramEnd"/>
            <w:r w:rsidRPr="00BD796D">
              <w:rPr>
                <w:rFonts w:asciiTheme="minorHAnsi" w:hAnsiTheme="minorHAnsi" w:cstheme="minorHAnsi"/>
                <w:sz w:val="21"/>
                <w:szCs w:val="21"/>
              </w:rPr>
              <w:t xml:space="preserve"> child find process, determination of proportionate share, consultation process, provision of special education and related services, and provision of a written explanation by the </w:t>
            </w:r>
            <w:r w:rsidR="00C45348">
              <w:rPr>
                <w:rFonts w:asciiTheme="minorHAnsi" w:hAnsiTheme="minorHAnsi" w:cstheme="minorHAnsi"/>
                <w:sz w:val="21"/>
                <w:szCs w:val="21"/>
              </w:rPr>
              <w:t>district</w:t>
            </w:r>
            <w:r w:rsidR="00C45348" w:rsidRPr="00BD796D">
              <w:rPr>
                <w:rFonts w:asciiTheme="minorHAnsi" w:hAnsiTheme="minorHAnsi" w:cstheme="minorHAnsi"/>
                <w:sz w:val="21"/>
                <w:szCs w:val="21"/>
              </w:rPr>
              <w:t xml:space="preserve"> </w:t>
            </w:r>
            <w:r w:rsidRPr="00BD796D">
              <w:rPr>
                <w:rFonts w:asciiTheme="minorHAnsi" w:hAnsiTheme="minorHAnsi" w:cstheme="minorHAnsi"/>
                <w:sz w:val="21"/>
                <w:szCs w:val="21"/>
              </w:rPr>
              <w:t xml:space="preserve">regarding services (in the event of disagreement between the </w:t>
            </w:r>
            <w:r w:rsidR="00C45348">
              <w:rPr>
                <w:rFonts w:asciiTheme="minorHAnsi" w:hAnsiTheme="minorHAnsi" w:cstheme="minorHAnsi"/>
                <w:sz w:val="21"/>
                <w:szCs w:val="21"/>
              </w:rPr>
              <w:t>district</w:t>
            </w:r>
            <w:r w:rsidR="00C45348" w:rsidRPr="00BD796D">
              <w:rPr>
                <w:rFonts w:asciiTheme="minorHAnsi" w:hAnsiTheme="minorHAnsi" w:cstheme="minorHAnsi"/>
                <w:sz w:val="21"/>
                <w:szCs w:val="21"/>
              </w:rPr>
              <w:t xml:space="preserve"> </w:t>
            </w:r>
            <w:r w:rsidRPr="00BD796D">
              <w:rPr>
                <w:rFonts w:asciiTheme="minorHAnsi" w:hAnsiTheme="minorHAnsi" w:cstheme="minorHAnsi"/>
                <w:sz w:val="21"/>
                <w:szCs w:val="21"/>
              </w:rPr>
              <w:t>and private school officials).</w:t>
            </w:r>
            <w:r w:rsidRPr="00F12FFB">
              <w:rPr>
                <w:rFonts w:asciiTheme="minorHAnsi" w:hAnsiTheme="minorHAnsi" w:cstheme="minorHAnsi"/>
                <w:sz w:val="21"/>
                <w:szCs w:val="21"/>
              </w:rPr>
              <w:t xml:space="preserve">  </w:t>
            </w:r>
            <w:r w:rsidR="00990C84" w:rsidRPr="00F12FFB">
              <w:rPr>
                <w:rFonts w:asciiTheme="minorHAnsi" w:hAnsiTheme="minorHAnsi" w:cstheme="minorHAnsi"/>
                <w:sz w:val="21"/>
                <w:szCs w:val="21"/>
              </w:rPr>
              <w:t xml:space="preserve">Although the initial consultation must occur prior to other required activities, additional consultation may </w:t>
            </w:r>
            <w:r w:rsidR="00F12FFB">
              <w:rPr>
                <w:rFonts w:asciiTheme="minorHAnsi" w:hAnsiTheme="minorHAnsi" w:cstheme="minorHAnsi"/>
                <w:sz w:val="21"/>
                <w:szCs w:val="21"/>
              </w:rPr>
              <w:t>occur subsequently</w:t>
            </w:r>
            <w:r w:rsidR="00990C84" w:rsidRPr="00F12FFB">
              <w:rPr>
                <w:rFonts w:asciiTheme="minorHAnsi" w:hAnsiTheme="minorHAnsi" w:cstheme="minorHAnsi"/>
                <w:sz w:val="21"/>
                <w:szCs w:val="21"/>
              </w:rPr>
              <w:t xml:space="preserve"> and be an ongoing process</w:t>
            </w:r>
            <w:r w:rsidR="00990C84">
              <w:rPr>
                <w:rFonts w:asciiTheme="minorHAnsi" w:hAnsiTheme="minorHAnsi" w:cstheme="minorHAnsi"/>
              </w:rPr>
              <w:t xml:space="preserve">.  </w:t>
            </w:r>
          </w:p>
        </w:tc>
      </w:tr>
      <w:tr w:rsidR="00BD796D" w:rsidRPr="00F72DA4" w14:paraId="7691ABC5" w14:textId="77777777" w:rsidTr="008F741D">
        <w:trPr>
          <w:tblHeader/>
        </w:trPr>
        <w:tc>
          <w:tcPr>
            <w:tcW w:w="535" w:type="dxa"/>
            <w:tcBorders>
              <w:top w:val="nil"/>
              <w:left w:val="nil"/>
              <w:bottom w:val="nil"/>
              <w:right w:val="nil"/>
            </w:tcBorders>
            <w:shd w:val="clear" w:color="auto" w:fill="auto"/>
          </w:tcPr>
          <w:p w14:paraId="28025025" w14:textId="77777777" w:rsidR="00BD796D" w:rsidRPr="00F72DA4" w:rsidRDefault="00BD796D" w:rsidP="001A4C6C">
            <w:pPr>
              <w:spacing w:before="20" w:after="20"/>
              <w:rPr>
                <w:rFonts w:asciiTheme="minorHAnsi" w:hAnsiTheme="minorHAnsi" w:cstheme="minorHAnsi"/>
                <w:b/>
                <w:sz w:val="16"/>
                <w:szCs w:val="16"/>
              </w:rPr>
            </w:pPr>
          </w:p>
        </w:tc>
        <w:tc>
          <w:tcPr>
            <w:tcW w:w="9679" w:type="dxa"/>
            <w:tcBorders>
              <w:top w:val="nil"/>
              <w:left w:val="nil"/>
              <w:bottom w:val="nil"/>
              <w:right w:val="nil"/>
            </w:tcBorders>
            <w:shd w:val="clear" w:color="auto" w:fill="auto"/>
          </w:tcPr>
          <w:p w14:paraId="7BC95A14" w14:textId="77777777" w:rsidR="00BD796D" w:rsidRPr="00F72DA4" w:rsidRDefault="00BD796D" w:rsidP="001A4C6C">
            <w:pPr>
              <w:spacing w:before="20" w:after="20"/>
              <w:rPr>
                <w:rFonts w:asciiTheme="minorHAnsi" w:hAnsiTheme="minorHAnsi" w:cstheme="minorHAnsi"/>
                <w:b/>
                <w:sz w:val="16"/>
                <w:szCs w:val="16"/>
              </w:rPr>
            </w:pPr>
          </w:p>
        </w:tc>
      </w:tr>
      <w:tr w:rsidR="00797055" w14:paraId="255474BF" w14:textId="77777777" w:rsidTr="008F741D">
        <w:trPr>
          <w:tblHeader/>
        </w:trPr>
        <w:tc>
          <w:tcPr>
            <w:tcW w:w="535" w:type="dxa"/>
            <w:tcBorders>
              <w:top w:val="nil"/>
              <w:left w:val="nil"/>
              <w:bottom w:val="nil"/>
              <w:right w:val="nil"/>
            </w:tcBorders>
            <w:shd w:val="clear" w:color="auto" w:fill="FBD4B4" w:themeFill="accent6" w:themeFillTint="66"/>
          </w:tcPr>
          <w:p w14:paraId="16424AE7" w14:textId="2AE3EC37" w:rsidR="00797055" w:rsidRPr="00113114" w:rsidRDefault="00797055" w:rsidP="003F4351">
            <w:pPr>
              <w:spacing w:before="20" w:after="20"/>
              <w:rPr>
                <w:rFonts w:asciiTheme="minorHAnsi" w:hAnsiTheme="minorHAnsi" w:cstheme="minorHAnsi"/>
                <w:b/>
                <w:sz w:val="24"/>
                <w:szCs w:val="24"/>
              </w:rPr>
            </w:pPr>
            <w:r>
              <w:rPr>
                <w:rFonts w:asciiTheme="minorHAnsi" w:hAnsiTheme="minorHAnsi" w:cstheme="minorHAnsi"/>
                <w:b/>
                <w:sz w:val="24"/>
                <w:szCs w:val="24"/>
              </w:rPr>
              <w:t>2.</w:t>
            </w:r>
          </w:p>
        </w:tc>
        <w:tc>
          <w:tcPr>
            <w:tcW w:w="9679" w:type="dxa"/>
            <w:tcBorders>
              <w:top w:val="nil"/>
              <w:left w:val="nil"/>
              <w:bottom w:val="nil"/>
              <w:right w:val="nil"/>
            </w:tcBorders>
            <w:shd w:val="clear" w:color="auto" w:fill="FBD4B4" w:themeFill="accent6" w:themeFillTint="66"/>
          </w:tcPr>
          <w:p w14:paraId="22D01F7B" w14:textId="3610EFAF" w:rsidR="00797055" w:rsidRPr="00BA2057" w:rsidRDefault="00797055" w:rsidP="003F4351">
            <w:pPr>
              <w:spacing w:before="20" w:after="20"/>
              <w:rPr>
                <w:rFonts w:asciiTheme="minorHAnsi" w:hAnsiTheme="minorHAnsi" w:cstheme="minorHAnsi"/>
              </w:rPr>
            </w:pPr>
            <w:r w:rsidRPr="00113114">
              <w:rPr>
                <w:rFonts w:asciiTheme="minorHAnsi" w:hAnsiTheme="minorHAnsi" w:cstheme="minorHAnsi"/>
                <w:b/>
                <w:sz w:val="24"/>
                <w:szCs w:val="24"/>
              </w:rPr>
              <w:t>Written Affirmation Following Consultation.</w:t>
            </w:r>
            <w:r>
              <w:t xml:space="preserve">  </w:t>
            </w:r>
            <w:r w:rsidRPr="00BD796D">
              <w:rPr>
                <w:rFonts w:asciiTheme="minorHAnsi" w:hAnsiTheme="minorHAnsi" w:cstheme="minorHAnsi"/>
                <w:sz w:val="21"/>
                <w:szCs w:val="21"/>
              </w:rPr>
              <w:t xml:space="preserve">The district must obtain written affirmation confirming that timely and meaningful consultation has occurred, signed by the private school representatives and home school representatives. A sample written affirmation can be found </w:t>
            </w:r>
            <w:hyperlink r:id="rId14" w:anchor="page=1" w:history="1">
              <w:r w:rsidRPr="00BD796D">
                <w:rPr>
                  <w:rStyle w:val="Hyperlink"/>
                  <w:rFonts w:asciiTheme="minorHAnsi" w:hAnsiTheme="minorHAnsi" w:cstheme="minorHAnsi"/>
                  <w:sz w:val="21"/>
                  <w:szCs w:val="21"/>
                </w:rPr>
                <w:t>here</w:t>
              </w:r>
            </w:hyperlink>
            <w:r w:rsidRPr="00BD796D">
              <w:rPr>
                <w:rFonts w:asciiTheme="minorHAnsi" w:hAnsiTheme="minorHAnsi" w:cstheme="minorHAnsi"/>
                <w:sz w:val="21"/>
                <w:szCs w:val="21"/>
              </w:rPr>
              <w:t xml:space="preserve"> (2018-1 Advisory at Attachment C). The written affirmation is confirmation that consultation has occurred—not that there is agreement among meeting participants. If participants do not sign, the district must forward documentation of the consultation to </w:t>
            </w:r>
            <w:r w:rsidR="00C45348">
              <w:rPr>
                <w:rFonts w:asciiTheme="minorHAnsi" w:hAnsiTheme="minorHAnsi" w:cstheme="minorHAnsi"/>
                <w:sz w:val="21"/>
                <w:szCs w:val="21"/>
              </w:rPr>
              <w:t xml:space="preserve">the Department at: </w:t>
            </w:r>
            <w:hyperlink r:id="rId15" w:history="1">
              <w:r w:rsidR="00C45348" w:rsidRPr="00C45348">
                <w:rPr>
                  <w:rStyle w:val="Hyperlink"/>
                  <w:rFonts w:asciiTheme="minorHAnsi" w:hAnsiTheme="minorHAnsi" w:cstheme="minorHAnsi"/>
                  <w:sz w:val="21"/>
                  <w:szCs w:val="21"/>
                </w:rPr>
                <w:t>IDEAequitableservices@doe.mass.edu</w:t>
              </w:r>
            </w:hyperlink>
            <w:r w:rsidRPr="00BD796D">
              <w:rPr>
                <w:rFonts w:asciiTheme="minorHAnsi" w:hAnsiTheme="minorHAnsi" w:cstheme="minorHAnsi"/>
                <w:sz w:val="21"/>
                <w:szCs w:val="21"/>
              </w:rPr>
              <w:t>.</w:t>
            </w:r>
          </w:p>
        </w:tc>
      </w:tr>
      <w:tr w:rsidR="00BD796D" w:rsidRPr="00F72DA4" w14:paraId="6B0FB7E8" w14:textId="77777777" w:rsidTr="008F741D">
        <w:trPr>
          <w:tblHeader/>
        </w:trPr>
        <w:tc>
          <w:tcPr>
            <w:tcW w:w="535" w:type="dxa"/>
            <w:tcBorders>
              <w:top w:val="nil"/>
              <w:left w:val="nil"/>
              <w:bottom w:val="nil"/>
              <w:right w:val="nil"/>
            </w:tcBorders>
            <w:shd w:val="clear" w:color="auto" w:fill="auto"/>
          </w:tcPr>
          <w:p w14:paraId="6038527B" w14:textId="77777777" w:rsidR="00BD796D" w:rsidRPr="00F72DA4" w:rsidRDefault="00BD796D" w:rsidP="003F4351">
            <w:pPr>
              <w:spacing w:before="20" w:after="20"/>
              <w:rPr>
                <w:rFonts w:asciiTheme="minorHAnsi" w:hAnsiTheme="minorHAnsi" w:cstheme="minorHAnsi"/>
                <w:b/>
                <w:sz w:val="16"/>
                <w:szCs w:val="16"/>
              </w:rPr>
            </w:pPr>
          </w:p>
        </w:tc>
        <w:tc>
          <w:tcPr>
            <w:tcW w:w="9679" w:type="dxa"/>
            <w:tcBorders>
              <w:top w:val="nil"/>
              <w:left w:val="nil"/>
              <w:bottom w:val="nil"/>
              <w:right w:val="nil"/>
            </w:tcBorders>
            <w:shd w:val="clear" w:color="auto" w:fill="auto"/>
          </w:tcPr>
          <w:p w14:paraId="6BC120AF" w14:textId="77777777" w:rsidR="00BD796D" w:rsidRPr="00F72DA4" w:rsidRDefault="00BD796D" w:rsidP="003F4351">
            <w:pPr>
              <w:spacing w:before="20" w:after="20"/>
              <w:rPr>
                <w:rFonts w:asciiTheme="minorHAnsi" w:hAnsiTheme="minorHAnsi" w:cstheme="minorHAnsi"/>
                <w:b/>
                <w:sz w:val="16"/>
                <w:szCs w:val="16"/>
              </w:rPr>
            </w:pPr>
          </w:p>
        </w:tc>
      </w:tr>
      <w:tr w:rsidR="00797055" w14:paraId="53944853" w14:textId="77777777" w:rsidTr="008F741D">
        <w:trPr>
          <w:tblHeader/>
        </w:trPr>
        <w:tc>
          <w:tcPr>
            <w:tcW w:w="535" w:type="dxa"/>
            <w:tcBorders>
              <w:top w:val="nil"/>
              <w:left w:val="nil"/>
              <w:bottom w:val="nil"/>
              <w:right w:val="nil"/>
            </w:tcBorders>
            <w:shd w:val="clear" w:color="auto" w:fill="FDE9D9" w:themeFill="accent6" w:themeFillTint="33"/>
          </w:tcPr>
          <w:p w14:paraId="23454CC0" w14:textId="1984100F" w:rsidR="00797055" w:rsidRPr="00113114" w:rsidRDefault="00797055" w:rsidP="00167A31">
            <w:pPr>
              <w:spacing w:before="20" w:after="20"/>
              <w:rPr>
                <w:rFonts w:asciiTheme="minorHAnsi" w:hAnsiTheme="minorHAnsi" w:cstheme="minorHAnsi"/>
                <w:b/>
                <w:sz w:val="24"/>
                <w:szCs w:val="24"/>
              </w:rPr>
            </w:pPr>
            <w:r>
              <w:rPr>
                <w:rFonts w:asciiTheme="minorHAnsi" w:hAnsiTheme="minorHAnsi" w:cstheme="minorHAnsi"/>
                <w:b/>
                <w:sz w:val="24"/>
                <w:szCs w:val="24"/>
              </w:rPr>
              <w:t>3.</w:t>
            </w:r>
          </w:p>
        </w:tc>
        <w:tc>
          <w:tcPr>
            <w:tcW w:w="9679" w:type="dxa"/>
            <w:tcBorders>
              <w:top w:val="nil"/>
              <w:left w:val="nil"/>
              <w:bottom w:val="nil"/>
              <w:right w:val="nil"/>
            </w:tcBorders>
            <w:shd w:val="clear" w:color="auto" w:fill="FDE9D9" w:themeFill="accent6" w:themeFillTint="33"/>
          </w:tcPr>
          <w:p w14:paraId="5C1493B1" w14:textId="08403BDD" w:rsidR="00797055" w:rsidRPr="00BD796D" w:rsidRDefault="00797055" w:rsidP="00167A31">
            <w:pPr>
              <w:spacing w:before="20" w:after="20"/>
              <w:rPr>
                <w:rFonts w:asciiTheme="minorHAnsi" w:hAnsiTheme="minorHAnsi" w:cstheme="minorHAnsi"/>
                <w:sz w:val="21"/>
                <w:szCs w:val="21"/>
              </w:rPr>
            </w:pPr>
            <w:r w:rsidRPr="00113114">
              <w:rPr>
                <w:rFonts w:asciiTheme="minorHAnsi" w:hAnsiTheme="minorHAnsi" w:cstheme="minorHAnsi"/>
                <w:b/>
                <w:sz w:val="24"/>
                <w:szCs w:val="24"/>
              </w:rPr>
              <w:t>Child Find.</w:t>
            </w:r>
            <w:r>
              <w:t xml:space="preserve">  </w:t>
            </w:r>
            <w:r w:rsidRPr="00BD796D">
              <w:rPr>
                <w:rFonts w:asciiTheme="minorHAnsi" w:hAnsiTheme="minorHAnsi" w:cstheme="minorHAnsi"/>
                <w:sz w:val="21"/>
                <w:szCs w:val="21"/>
              </w:rPr>
              <w:t xml:space="preserve">Child find activities for </w:t>
            </w:r>
            <w:proofErr w:type="gramStart"/>
            <w:r w:rsidRPr="00BD796D">
              <w:rPr>
                <w:rFonts w:asciiTheme="minorHAnsi" w:hAnsiTheme="minorHAnsi" w:cstheme="minorHAnsi"/>
                <w:sz w:val="21"/>
                <w:szCs w:val="21"/>
              </w:rPr>
              <w:t>privately-enrolled</w:t>
            </w:r>
            <w:proofErr w:type="gramEnd"/>
            <w:r w:rsidRPr="00BD796D">
              <w:rPr>
                <w:rFonts w:asciiTheme="minorHAnsi" w:hAnsiTheme="minorHAnsi" w:cstheme="minorHAnsi"/>
                <w:sz w:val="21"/>
                <w:szCs w:val="21"/>
              </w:rPr>
              <w:t xml:space="preserve"> students must be conducted by the district and must be comparable to those conducted for public school students. The district must include all </w:t>
            </w:r>
            <w:proofErr w:type="gramStart"/>
            <w:r w:rsidRPr="00BD796D">
              <w:rPr>
                <w:rFonts w:asciiTheme="minorHAnsi" w:hAnsiTheme="minorHAnsi" w:cstheme="minorHAnsi"/>
                <w:sz w:val="21"/>
                <w:szCs w:val="21"/>
              </w:rPr>
              <w:t>privately-enrolled</w:t>
            </w:r>
            <w:proofErr w:type="gramEnd"/>
            <w:r w:rsidRPr="00BD796D">
              <w:rPr>
                <w:rFonts w:asciiTheme="minorHAnsi" w:hAnsiTheme="minorHAnsi" w:cstheme="minorHAnsi"/>
                <w:sz w:val="21"/>
                <w:szCs w:val="21"/>
              </w:rPr>
              <w:t xml:space="preserve"> students educated in the district, and provide all private schools and privately-enrolled students with information describing how students can access publicly-funded evaluations and special education services.  </w:t>
            </w:r>
          </w:p>
          <w:p w14:paraId="340F8CAB" w14:textId="736C0024" w:rsidR="00797055" w:rsidRDefault="00FF2496" w:rsidP="00167A31">
            <w:pPr>
              <w:spacing w:before="20" w:after="20"/>
            </w:pPr>
            <w:r>
              <w:rPr>
                <w:rFonts w:asciiTheme="minorHAnsi" w:hAnsiTheme="minorHAnsi" w:cstheme="minorHAnsi"/>
                <w:sz w:val="21"/>
                <w:szCs w:val="21"/>
              </w:rPr>
              <w:t>For</w:t>
            </w:r>
            <w:r w:rsidR="00797055" w:rsidRPr="00BD796D">
              <w:rPr>
                <w:rFonts w:asciiTheme="minorHAnsi" w:hAnsiTheme="minorHAnsi" w:cstheme="minorHAnsi"/>
                <w:sz w:val="21"/>
                <w:szCs w:val="21"/>
              </w:rPr>
              <w:t xml:space="preserve"> preschool-aged students (3-5)</w:t>
            </w:r>
            <w:r>
              <w:rPr>
                <w:rFonts w:asciiTheme="minorHAnsi" w:hAnsiTheme="minorHAnsi" w:cstheme="minorHAnsi"/>
                <w:sz w:val="21"/>
                <w:szCs w:val="21"/>
              </w:rPr>
              <w:t>, only those</w:t>
            </w:r>
            <w:r w:rsidR="00797055" w:rsidRPr="00BD796D">
              <w:rPr>
                <w:rFonts w:asciiTheme="minorHAnsi" w:hAnsiTheme="minorHAnsi" w:cstheme="minorHAnsi"/>
                <w:sz w:val="21"/>
                <w:szCs w:val="21"/>
              </w:rPr>
              <w:t xml:space="preserve"> who attend a </w:t>
            </w:r>
            <w:r w:rsidR="00C24158">
              <w:rPr>
                <w:rFonts w:asciiTheme="minorHAnsi" w:hAnsiTheme="minorHAnsi" w:cstheme="minorHAnsi"/>
                <w:sz w:val="21"/>
                <w:szCs w:val="21"/>
              </w:rPr>
              <w:t xml:space="preserve">private </w:t>
            </w:r>
            <w:r w:rsidR="00797055" w:rsidRPr="00BD796D">
              <w:rPr>
                <w:rFonts w:asciiTheme="minorHAnsi" w:hAnsiTheme="minorHAnsi" w:cstheme="minorHAnsi"/>
                <w:sz w:val="21"/>
                <w:szCs w:val="21"/>
              </w:rPr>
              <w:t xml:space="preserve">preschool program </w:t>
            </w:r>
            <w:r w:rsidR="00BD796D">
              <w:rPr>
                <w:rFonts w:asciiTheme="minorHAnsi" w:hAnsiTheme="minorHAnsi" w:cstheme="minorHAnsi"/>
                <w:sz w:val="21"/>
                <w:szCs w:val="21"/>
              </w:rPr>
              <w:t>meeting</w:t>
            </w:r>
            <w:r w:rsidR="00797055" w:rsidRPr="00BD796D">
              <w:rPr>
                <w:rFonts w:asciiTheme="minorHAnsi" w:hAnsiTheme="minorHAnsi" w:cstheme="minorHAnsi"/>
                <w:sz w:val="21"/>
                <w:szCs w:val="21"/>
              </w:rPr>
              <w:t xml:space="preserve"> the definition of an elementary school under the law may be included. Because stand-alone private preschools or private childcare centers do not provide “elementary education”</w:t>
            </w:r>
            <w:r w:rsidR="003963CE">
              <w:rPr>
                <w:rFonts w:asciiTheme="minorHAnsi" w:hAnsiTheme="minorHAnsi" w:cstheme="minorHAnsi"/>
                <w:sz w:val="21"/>
                <w:szCs w:val="21"/>
              </w:rPr>
              <w:t xml:space="preserve"> consistent with the federal definition of elementary schools,</w:t>
            </w:r>
            <w:r w:rsidR="00797055" w:rsidRPr="00BD796D">
              <w:rPr>
                <w:rFonts w:asciiTheme="minorHAnsi" w:hAnsiTheme="minorHAnsi" w:cstheme="minorHAnsi"/>
                <w:sz w:val="21"/>
                <w:szCs w:val="21"/>
              </w:rPr>
              <w:t xml:space="preserve"> otherwise-eligible preschool-aged children attending those programs are not included in the district’s proportionate share child count</w:t>
            </w:r>
            <w:r w:rsidR="00797055" w:rsidRPr="00743211">
              <w:rPr>
                <w:rFonts w:asciiTheme="minorHAnsi" w:hAnsiTheme="minorHAnsi" w:cstheme="minorHAnsi"/>
                <w:sz w:val="22"/>
                <w:szCs w:val="22"/>
              </w:rPr>
              <w:t>.</w:t>
            </w:r>
          </w:p>
        </w:tc>
      </w:tr>
      <w:tr w:rsidR="00BD796D" w:rsidRPr="00F72DA4" w14:paraId="6097BC18" w14:textId="77777777" w:rsidTr="008F741D">
        <w:trPr>
          <w:tblHeader/>
        </w:trPr>
        <w:tc>
          <w:tcPr>
            <w:tcW w:w="535" w:type="dxa"/>
            <w:tcBorders>
              <w:top w:val="nil"/>
              <w:left w:val="nil"/>
              <w:bottom w:val="nil"/>
              <w:right w:val="nil"/>
            </w:tcBorders>
            <w:shd w:val="clear" w:color="auto" w:fill="auto"/>
          </w:tcPr>
          <w:p w14:paraId="3E30A299" w14:textId="77777777" w:rsidR="00BD796D" w:rsidRPr="00F72DA4" w:rsidRDefault="00BD796D" w:rsidP="00167A31">
            <w:pPr>
              <w:spacing w:before="20" w:after="20"/>
              <w:rPr>
                <w:rFonts w:asciiTheme="minorHAnsi" w:hAnsiTheme="minorHAnsi" w:cstheme="minorHAnsi"/>
                <w:b/>
                <w:sz w:val="16"/>
                <w:szCs w:val="16"/>
              </w:rPr>
            </w:pPr>
          </w:p>
        </w:tc>
        <w:tc>
          <w:tcPr>
            <w:tcW w:w="9679" w:type="dxa"/>
            <w:tcBorders>
              <w:top w:val="nil"/>
              <w:left w:val="nil"/>
              <w:bottom w:val="nil"/>
              <w:right w:val="nil"/>
            </w:tcBorders>
            <w:shd w:val="clear" w:color="auto" w:fill="auto"/>
          </w:tcPr>
          <w:p w14:paraId="6ADAA278" w14:textId="77777777" w:rsidR="00BD796D" w:rsidRPr="00F72DA4" w:rsidRDefault="00BD796D" w:rsidP="00167A31">
            <w:pPr>
              <w:spacing w:before="20" w:after="20"/>
              <w:rPr>
                <w:rFonts w:asciiTheme="minorHAnsi" w:hAnsiTheme="minorHAnsi" w:cstheme="minorHAnsi"/>
                <w:b/>
                <w:sz w:val="16"/>
                <w:szCs w:val="16"/>
              </w:rPr>
            </w:pPr>
          </w:p>
        </w:tc>
      </w:tr>
      <w:tr w:rsidR="00797055" w14:paraId="033D60ED" w14:textId="77777777" w:rsidTr="008F741D">
        <w:trPr>
          <w:tblHeader/>
        </w:trPr>
        <w:tc>
          <w:tcPr>
            <w:tcW w:w="535" w:type="dxa"/>
            <w:tcBorders>
              <w:top w:val="nil"/>
              <w:left w:val="nil"/>
              <w:bottom w:val="nil"/>
              <w:right w:val="nil"/>
            </w:tcBorders>
            <w:shd w:val="clear" w:color="auto" w:fill="FBD4B4" w:themeFill="accent6" w:themeFillTint="66"/>
          </w:tcPr>
          <w:p w14:paraId="34838B7D" w14:textId="2166A020" w:rsidR="00797055" w:rsidRPr="00113114" w:rsidRDefault="00797055" w:rsidP="003F4351">
            <w:pPr>
              <w:spacing w:before="20" w:after="20"/>
              <w:rPr>
                <w:rFonts w:asciiTheme="minorHAnsi" w:hAnsiTheme="minorHAnsi" w:cstheme="minorHAnsi"/>
                <w:b/>
                <w:sz w:val="24"/>
                <w:szCs w:val="24"/>
              </w:rPr>
            </w:pPr>
            <w:r>
              <w:rPr>
                <w:rFonts w:asciiTheme="minorHAnsi" w:hAnsiTheme="minorHAnsi" w:cstheme="minorHAnsi"/>
                <w:b/>
                <w:sz w:val="24"/>
                <w:szCs w:val="24"/>
              </w:rPr>
              <w:t>4.</w:t>
            </w:r>
          </w:p>
        </w:tc>
        <w:tc>
          <w:tcPr>
            <w:tcW w:w="9679" w:type="dxa"/>
            <w:tcBorders>
              <w:top w:val="nil"/>
              <w:left w:val="nil"/>
              <w:bottom w:val="nil"/>
              <w:right w:val="nil"/>
            </w:tcBorders>
            <w:shd w:val="clear" w:color="auto" w:fill="FBD4B4" w:themeFill="accent6" w:themeFillTint="66"/>
          </w:tcPr>
          <w:p w14:paraId="7AA76793" w14:textId="349E35D2" w:rsidR="00797055" w:rsidRDefault="00797055" w:rsidP="003F4351">
            <w:pPr>
              <w:spacing w:before="20" w:after="20"/>
            </w:pPr>
            <w:r w:rsidRPr="00113114">
              <w:rPr>
                <w:rFonts w:asciiTheme="minorHAnsi" w:hAnsiTheme="minorHAnsi" w:cstheme="minorHAnsi"/>
                <w:b/>
                <w:sz w:val="24"/>
                <w:szCs w:val="24"/>
              </w:rPr>
              <w:t>Evaluation and Determination of Eligibility.</w:t>
            </w:r>
            <w:r>
              <w:t xml:space="preserve">  </w:t>
            </w:r>
            <w:r w:rsidRPr="00BD796D">
              <w:rPr>
                <w:rFonts w:asciiTheme="minorHAnsi" w:hAnsiTheme="minorHAnsi" w:cstheme="minorHAnsi"/>
                <w:sz w:val="21"/>
                <w:szCs w:val="21"/>
              </w:rPr>
              <w:t xml:space="preserve">Districts must evaluate and determine whether </w:t>
            </w:r>
            <w:proofErr w:type="gramStart"/>
            <w:r w:rsidRPr="00BD796D">
              <w:rPr>
                <w:rFonts w:asciiTheme="minorHAnsi" w:hAnsiTheme="minorHAnsi" w:cstheme="minorHAnsi"/>
                <w:sz w:val="21"/>
                <w:szCs w:val="21"/>
              </w:rPr>
              <w:t>privately-enrolled</w:t>
            </w:r>
            <w:proofErr w:type="gramEnd"/>
            <w:r w:rsidRPr="00BD796D">
              <w:rPr>
                <w:rFonts w:asciiTheme="minorHAnsi" w:hAnsiTheme="minorHAnsi" w:cstheme="minorHAnsi"/>
                <w:sz w:val="21"/>
                <w:szCs w:val="21"/>
              </w:rPr>
              <w:t xml:space="preserve"> students educated within the district’s boundaries are eligible for special education services. Districts may conduct their own evaluation or may accept a prior evaluation if the information is comprehensive and current.</w:t>
            </w:r>
          </w:p>
        </w:tc>
      </w:tr>
      <w:tr w:rsidR="00BD796D" w:rsidRPr="00F72DA4" w14:paraId="4D4F71BA" w14:textId="77777777" w:rsidTr="008F741D">
        <w:trPr>
          <w:tblHeader/>
        </w:trPr>
        <w:tc>
          <w:tcPr>
            <w:tcW w:w="535" w:type="dxa"/>
            <w:tcBorders>
              <w:top w:val="nil"/>
              <w:left w:val="nil"/>
              <w:bottom w:val="nil"/>
              <w:right w:val="nil"/>
            </w:tcBorders>
            <w:shd w:val="clear" w:color="auto" w:fill="auto"/>
          </w:tcPr>
          <w:p w14:paraId="60CF35C5" w14:textId="77777777" w:rsidR="00BD796D" w:rsidRPr="00F72DA4" w:rsidRDefault="00BD796D" w:rsidP="003F4351">
            <w:pPr>
              <w:spacing w:before="20" w:after="20"/>
              <w:rPr>
                <w:rFonts w:asciiTheme="minorHAnsi" w:hAnsiTheme="minorHAnsi" w:cstheme="minorHAnsi"/>
                <w:b/>
                <w:sz w:val="16"/>
                <w:szCs w:val="16"/>
              </w:rPr>
            </w:pPr>
          </w:p>
        </w:tc>
        <w:tc>
          <w:tcPr>
            <w:tcW w:w="9679" w:type="dxa"/>
            <w:tcBorders>
              <w:top w:val="nil"/>
              <w:left w:val="nil"/>
              <w:bottom w:val="nil"/>
              <w:right w:val="nil"/>
            </w:tcBorders>
            <w:shd w:val="clear" w:color="auto" w:fill="auto"/>
          </w:tcPr>
          <w:p w14:paraId="084EACFF" w14:textId="77777777" w:rsidR="00BD796D" w:rsidRPr="00F72DA4" w:rsidRDefault="00BD796D" w:rsidP="003F4351">
            <w:pPr>
              <w:spacing w:before="20" w:after="20"/>
              <w:rPr>
                <w:rFonts w:asciiTheme="minorHAnsi" w:hAnsiTheme="minorHAnsi" w:cstheme="minorHAnsi"/>
                <w:b/>
                <w:sz w:val="16"/>
                <w:szCs w:val="16"/>
              </w:rPr>
            </w:pPr>
          </w:p>
        </w:tc>
      </w:tr>
      <w:tr w:rsidR="00797055" w14:paraId="47466270" w14:textId="77777777" w:rsidTr="008F741D">
        <w:trPr>
          <w:tblHeader/>
        </w:trPr>
        <w:tc>
          <w:tcPr>
            <w:tcW w:w="535" w:type="dxa"/>
            <w:tcBorders>
              <w:top w:val="nil"/>
              <w:left w:val="nil"/>
              <w:bottom w:val="nil"/>
              <w:right w:val="nil"/>
            </w:tcBorders>
            <w:shd w:val="clear" w:color="auto" w:fill="FDE9D9" w:themeFill="accent6" w:themeFillTint="33"/>
          </w:tcPr>
          <w:p w14:paraId="75BF928A" w14:textId="673465B4" w:rsidR="00797055" w:rsidRDefault="00797055" w:rsidP="003F4351">
            <w:pPr>
              <w:spacing w:before="20" w:after="20"/>
              <w:rPr>
                <w:rFonts w:asciiTheme="minorHAnsi" w:hAnsiTheme="minorHAnsi" w:cstheme="minorHAnsi"/>
                <w:b/>
                <w:sz w:val="24"/>
                <w:szCs w:val="24"/>
              </w:rPr>
            </w:pPr>
            <w:r>
              <w:rPr>
                <w:rFonts w:asciiTheme="minorHAnsi" w:hAnsiTheme="minorHAnsi" w:cstheme="minorHAnsi"/>
                <w:b/>
                <w:sz w:val="24"/>
                <w:szCs w:val="24"/>
              </w:rPr>
              <w:t>5.</w:t>
            </w:r>
          </w:p>
        </w:tc>
        <w:tc>
          <w:tcPr>
            <w:tcW w:w="9679" w:type="dxa"/>
            <w:tcBorders>
              <w:top w:val="nil"/>
              <w:left w:val="nil"/>
              <w:bottom w:val="nil"/>
              <w:right w:val="nil"/>
            </w:tcBorders>
            <w:shd w:val="clear" w:color="auto" w:fill="FDE9D9" w:themeFill="accent6" w:themeFillTint="33"/>
          </w:tcPr>
          <w:p w14:paraId="5165BE67" w14:textId="35526FD7" w:rsidR="00797055" w:rsidRPr="00113114" w:rsidRDefault="00797055" w:rsidP="003F4351">
            <w:pPr>
              <w:spacing w:before="20" w:after="20"/>
              <w:rPr>
                <w:rFonts w:asciiTheme="minorHAnsi" w:hAnsiTheme="minorHAnsi" w:cstheme="minorHAnsi"/>
                <w:b/>
                <w:sz w:val="24"/>
                <w:szCs w:val="24"/>
              </w:rPr>
            </w:pPr>
            <w:r w:rsidRPr="00113114">
              <w:rPr>
                <w:rFonts w:asciiTheme="minorHAnsi" w:hAnsiTheme="minorHAnsi" w:cstheme="minorHAnsi"/>
                <w:b/>
                <w:sz w:val="24"/>
                <w:szCs w:val="24"/>
              </w:rPr>
              <w:t>Child Count and Proportionate Share Calculation.</w:t>
            </w:r>
            <w:r>
              <w:t xml:space="preserve">  </w:t>
            </w:r>
            <w:r w:rsidRPr="00BD796D">
              <w:rPr>
                <w:rFonts w:asciiTheme="minorHAnsi" w:hAnsiTheme="minorHAnsi" w:cstheme="minorHAnsi"/>
                <w:sz w:val="21"/>
                <w:szCs w:val="21"/>
              </w:rPr>
              <w:t xml:space="preserve">As described on </w:t>
            </w:r>
            <w:hyperlink r:id="rId16" w:anchor="page=1%20(2018-1%20Advisory%20at%2011-12)" w:history="1">
              <w:r w:rsidRPr="00BD796D">
                <w:rPr>
                  <w:rStyle w:val="Hyperlink"/>
                  <w:rFonts w:asciiTheme="minorHAnsi" w:hAnsiTheme="minorHAnsi" w:cstheme="minorHAnsi"/>
                  <w:sz w:val="21"/>
                  <w:szCs w:val="21"/>
                </w:rPr>
                <w:t>the DESE website</w:t>
              </w:r>
            </w:hyperlink>
            <w:r w:rsidRPr="00BD796D">
              <w:rPr>
                <w:rFonts w:asciiTheme="minorHAnsi" w:hAnsiTheme="minorHAnsi" w:cstheme="minorHAnsi"/>
                <w:sz w:val="21"/>
                <w:szCs w:val="21"/>
              </w:rPr>
              <w:t xml:space="preserve">, districts must determine the number of eligible students who are privately-enrolled and educated within the district. The child count is the number of </w:t>
            </w:r>
            <w:r w:rsidRPr="00BD796D">
              <w:rPr>
                <w:rFonts w:asciiTheme="minorHAnsi" w:hAnsiTheme="minorHAnsi" w:cstheme="minorHAnsi"/>
                <w:i/>
                <w:sz w:val="21"/>
                <w:szCs w:val="21"/>
              </w:rPr>
              <w:t>eligible</w:t>
            </w:r>
            <w:r w:rsidRPr="00BD796D">
              <w:rPr>
                <w:rFonts w:asciiTheme="minorHAnsi" w:hAnsiTheme="minorHAnsi" w:cstheme="minorHAnsi"/>
                <w:sz w:val="21"/>
                <w:szCs w:val="21"/>
              </w:rPr>
              <w:t xml:space="preserve"> students, not the number of such students receiving services. Child count must be performed on any date between October 1 and December 1, inclusive, of each year. </w:t>
            </w:r>
          </w:p>
        </w:tc>
      </w:tr>
    </w:tbl>
    <w:p w14:paraId="56CD30D8" w14:textId="002F23CC" w:rsidR="001A4C6C" w:rsidRDefault="001A4C6C" w:rsidP="001A4C6C">
      <w:pPr>
        <w:pStyle w:val="Heading2"/>
        <w:spacing w:after="0" w:line="240" w:lineRule="auto"/>
        <w:contextualSpacing/>
        <w:rPr>
          <w:rFonts w:asciiTheme="minorHAnsi" w:hAnsiTheme="minorHAnsi" w:cstheme="minorHAnsi"/>
        </w:rPr>
      </w:pPr>
    </w:p>
    <w:p w14:paraId="2B7CF372" w14:textId="77777777" w:rsidR="00F72DA4" w:rsidRPr="00F72DA4" w:rsidRDefault="00F72DA4" w:rsidP="00F72DA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list of district requirements"/>
      </w:tblPr>
      <w:tblGrid>
        <w:gridCol w:w="535"/>
        <w:gridCol w:w="9679"/>
      </w:tblGrid>
      <w:tr w:rsidR="00797055" w14:paraId="60E4704C" w14:textId="77777777" w:rsidTr="008F741D">
        <w:trPr>
          <w:tblHeader/>
        </w:trPr>
        <w:tc>
          <w:tcPr>
            <w:tcW w:w="535" w:type="dxa"/>
            <w:shd w:val="clear" w:color="auto" w:fill="FBD4B4" w:themeFill="accent6" w:themeFillTint="66"/>
          </w:tcPr>
          <w:p w14:paraId="4CB112BC" w14:textId="156F7156" w:rsidR="00797055" w:rsidRPr="00113114" w:rsidRDefault="00797055" w:rsidP="00230FB9">
            <w:pPr>
              <w:spacing w:before="20" w:after="20"/>
              <w:rPr>
                <w:rFonts w:asciiTheme="minorHAnsi" w:hAnsiTheme="minorHAnsi" w:cstheme="minorHAnsi"/>
                <w:b/>
                <w:sz w:val="24"/>
                <w:szCs w:val="24"/>
              </w:rPr>
            </w:pPr>
            <w:r>
              <w:rPr>
                <w:rFonts w:asciiTheme="minorHAnsi" w:hAnsiTheme="minorHAnsi" w:cstheme="minorHAnsi"/>
                <w:b/>
                <w:sz w:val="24"/>
                <w:szCs w:val="24"/>
              </w:rPr>
              <w:lastRenderedPageBreak/>
              <w:t>6.</w:t>
            </w:r>
          </w:p>
        </w:tc>
        <w:tc>
          <w:tcPr>
            <w:tcW w:w="9679" w:type="dxa"/>
            <w:shd w:val="clear" w:color="auto" w:fill="FBD4B4" w:themeFill="accent6" w:themeFillTint="66"/>
          </w:tcPr>
          <w:p w14:paraId="0C3ED0FF" w14:textId="52095FE7" w:rsidR="00797055" w:rsidRDefault="00797055" w:rsidP="00230FB9">
            <w:pPr>
              <w:spacing w:before="20" w:after="20"/>
            </w:pPr>
            <w:r w:rsidRPr="00113114">
              <w:rPr>
                <w:rFonts w:asciiTheme="minorHAnsi" w:hAnsiTheme="minorHAnsi" w:cstheme="minorHAnsi"/>
                <w:b/>
                <w:sz w:val="24"/>
                <w:szCs w:val="24"/>
              </w:rPr>
              <w:t>Proportionate Share Expenditure</w:t>
            </w:r>
            <w:r>
              <w:t xml:space="preserve">.  </w:t>
            </w:r>
            <w:r w:rsidRPr="00BD796D">
              <w:rPr>
                <w:rFonts w:asciiTheme="minorHAnsi" w:hAnsiTheme="minorHAnsi" w:cstheme="minorHAnsi"/>
                <w:sz w:val="21"/>
                <w:szCs w:val="21"/>
              </w:rPr>
              <w:t xml:space="preserve">Districts determine which services to provide following consultation with representatives of the private schools located in the district and parent representatives of eligible private school and/or home-schooled students. State and local funds may be used to </w:t>
            </w:r>
            <w:r w:rsidRPr="00BD796D">
              <w:rPr>
                <w:rFonts w:asciiTheme="minorHAnsi" w:hAnsiTheme="minorHAnsi" w:cstheme="minorHAnsi"/>
                <w:i/>
                <w:sz w:val="21"/>
                <w:szCs w:val="21"/>
              </w:rPr>
              <w:t>supplement but not supplant</w:t>
            </w:r>
            <w:r w:rsidRPr="00BD796D">
              <w:rPr>
                <w:rFonts w:asciiTheme="minorHAnsi" w:hAnsiTheme="minorHAnsi" w:cstheme="minorHAnsi"/>
                <w:sz w:val="21"/>
                <w:szCs w:val="21"/>
              </w:rPr>
              <w:t xml:space="preserve"> the required expenditure of federal funds. Examples of allowable and unallowable expenditures can be found </w:t>
            </w:r>
            <w:hyperlink r:id="rId17" w:anchor="page=1" w:history="1">
              <w:r w:rsidRPr="00BD796D">
                <w:rPr>
                  <w:rStyle w:val="Hyperlink"/>
                  <w:rFonts w:asciiTheme="minorHAnsi" w:hAnsiTheme="minorHAnsi" w:cstheme="minorHAnsi"/>
                  <w:sz w:val="21"/>
                  <w:szCs w:val="21"/>
                </w:rPr>
                <w:t>here</w:t>
              </w:r>
            </w:hyperlink>
            <w:r w:rsidRPr="00BD796D">
              <w:rPr>
                <w:rFonts w:asciiTheme="minorHAnsi" w:hAnsiTheme="minorHAnsi" w:cstheme="minorHAnsi"/>
                <w:sz w:val="21"/>
                <w:szCs w:val="21"/>
              </w:rPr>
              <w:t xml:space="preserve"> (2018-1 Advisory at 11-12). Districts must document expenditures and other activities related to IDEA and proportionate share.</w:t>
            </w:r>
          </w:p>
        </w:tc>
      </w:tr>
      <w:tr w:rsidR="00BD796D" w:rsidRPr="00F72DA4" w14:paraId="6A2CE904" w14:textId="77777777" w:rsidTr="008F741D">
        <w:trPr>
          <w:tblHeader/>
        </w:trPr>
        <w:tc>
          <w:tcPr>
            <w:tcW w:w="535" w:type="dxa"/>
            <w:shd w:val="clear" w:color="auto" w:fill="auto"/>
          </w:tcPr>
          <w:p w14:paraId="3DBEBD92" w14:textId="77777777" w:rsidR="00BD796D" w:rsidRPr="00F72DA4" w:rsidRDefault="00BD796D" w:rsidP="00230FB9">
            <w:pPr>
              <w:spacing w:before="20" w:after="20"/>
              <w:rPr>
                <w:rFonts w:asciiTheme="minorHAnsi" w:hAnsiTheme="minorHAnsi" w:cstheme="minorHAnsi"/>
                <w:b/>
                <w:sz w:val="16"/>
                <w:szCs w:val="16"/>
              </w:rPr>
            </w:pPr>
          </w:p>
        </w:tc>
        <w:tc>
          <w:tcPr>
            <w:tcW w:w="9679" w:type="dxa"/>
            <w:shd w:val="clear" w:color="auto" w:fill="auto"/>
          </w:tcPr>
          <w:p w14:paraId="597B4C59" w14:textId="77777777" w:rsidR="00BD796D" w:rsidRPr="00F72DA4" w:rsidRDefault="00BD796D" w:rsidP="00230FB9">
            <w:pPr>
              <w:spacing w:before="20" w:after="20"/>
              <w:rPr>
                <w:rFonts w:asciiTheme="minorHAnsi" w:hAnsiTheme="minorHAnsi" w:cstheme="minorHAnsi"/>
                <w:b/>
                <w:sz w:val="16"/>
                <w:szCs w:val="16"/>
              </w:rPr>
            </w:pPr>
          </w:p>
        </w:tc>
      </w:tr>
      <w:tr w:rsidR="00797055" w:rsidRPr="00113114" w14:paraId="55FAA6F7" w14:textId="77777777" w:rsidTr="008F741D">
        <w:trPr>
          <w:tblHeader/>
        </w:trPr>
        <w:tc>
          <w:tcPr>
            <w:tcW w:w="535" w:type="dxa"/>
            <w:shd w:val="clear" w:color="auto" w:fill="FDE9D9" w:themeFill="accent6" w:themeFillTint="33"/>
          </w:tcPr>
          <w:p w14:paraId="6EAD0634" w14:textId="28E9C3EC" w:rsidR="00797055" w:rsidRPr="00113114" w:rsidRDefault="00797055" w:rsidP="00230FB9">
            <w:pPr>
              <w:spacing w:before="20" w:after="20"/>
              <w:rPr>
                <w:rFonts w:asciiTheme="minorHAnsi" w:hAnsiTheme="minorHAnsi" w:cstheme="minorHAnsi"/>
                <w:b/>
                <w:sz w:val="24"/>
                <w:szCs w:val="24"/>
              </w:rPr>
            </w:pPr>
            <w:r>
              <w:rPr>
                <w:rFonts w:asciiTheme="minorHAnsi" w:hAnsiTheme="minorHAnsi" w:cstheme="minorHAnsi"/>
                <w:b/>
                <w:sz w:val="24"/>
                <w:szCs w:val="24"/>
              </w:rPr>
              <w:t>7.</w:t>
            </w:r>
          </w:p>
        </w:tc>
        <w:tc>
          <w:tcPr>
            <w:tcW w:w="9679" w:type="dxa"/>
            <w:shd w:val="clear" w:color="auto" w:fill="FDE9D9" w:themeFill="accent6" w:themeFillTint="33"/>
          </w:tcPr>
          <w:p w14:paraId="36B4ED26" w14:textId="16637F2B" w:rsidR="00797055" w:rsidRPr="00113114" w:rsidRDefault="00797055" w:rsidP="00230FB9">
            <w:pPr>
              <w:spacing w:before="20" w:after="20"/>
              <w:rPr>
                <w:rFonts w:asciiTheme="minorHAnsi" w:hAnsiTheme="minorHAnsi" w:cstheme="minorHAnsi"/>
              </w:rPr>
            </w:pPr>
            <w:r w:rsidRPr="00113114">
              <w:rPr>
                <w:rFonts w:asciiTheme="minorHAnsi" w:hAnsiTheme="minorHAnsi" w:cstheme="minorHAnsi"/>
                <w:b/>
                <w:sz w:val="24"/>
                <w:szCs w:val="24"/>
              </w:rPr>
              <w:t>Development of Services Plans.</w:t>
            </w:r>
            <w:r w:rsidRPr="00113114">
              <w:rPr>
                <w:rFonts w:asciiTheme="minorHAnsi" w:hAnsiTheme="minorHAnsi" w:cstheme="minorHAnsi"/>
              </w:rPr>
              <w:t xml:space="preserve">  </w:t>
            </w:r>
            <w:r w:rsidRPr="00BD796D">
              <w:rPr>
                <w:rFonts w:asciiTheme="minorHAnsi" w:hAnsiTheme="minorHAnsi" w:cstheme="minorHAnsi"/>
                <w:sz w:val="21"/>
                <w:szCs w:val="21"/>
              </w:rPr>
              <w:t xml:space="preserve">Districts are responsible for ensuring that </w:t>
            </w:r>
            <w:r w:rsidR="00C45348">
              <w:rPr>
                <w:rFonts w:asciiTheme="minorHAnsi" w:hAnsiTheme="minorHAnsi" w:cstheme="minorHAnsi"/>
                <w:sz w:val="21"/>
                <w:szCs w:val="21"/>
              </w:rPr>
              <w:t xml:space="preserve">each </w:t>
            </w:r>
            <w:proofErr w:type="gramStart"/>
            <w:r w:rsidRPr="00BD796D">
              <w:rPr>
                <w:rFonts w:asciiTheme="minorHAnsi" w:hAnsiTheme="minorHAnsi" w:cstheme="minorHAnsi"/>
                <w:sz w:val="21"/>
                <w:szCs w:val="21"/>
              </w:rPr>
              <w:t>parentally-placed</w:t>
            </w:r>
            <w:proofErr w:type="gramEnd"/>
            <w:r w:rsidRPr="00BD796D">
              <w:rPr>
                <w:rFonts w:asciiTheme="minorHAnsi" w:hAnsiTheme="minorHAnsi" w:cstheme="minorHAnsi"/>
                <w:sz w:val="21"/>
                <w:szCs w:val="21"/>
              </w:rPr>
              <w:t xml:space="preserve"> private school student with</w:t>
            </w:r>
            <w:r w:rsidR="00C45348">
              <w:rPr>
                <w:rFonts w:asciiTheme="minorHAnsi" w:hAnsiTheme="minorHAnsi" w:cstheme="minorHAnsi"/>
                <w:sz w:val="21"/>
                <w:szCs w:val="21"/>
              </w:rPr>
              <w:t xml:space="preserve"> a</w:t>
            </w:r>
            <w:r w:rsidRPr="00BD796D">
              <w:rPr>
                <w:rFonts w:asciiTheme="minorHAnsi" w:hAnsiTheme="minorHAnsi" w:cstheme="minorHAnsi"/>
                <w:sz w:val="21"/>
                <w:szCs w:val="21"/>
              </w:rPr>
              <w:t xml:space="preserve"> disabilit</w:t>
            </w:r>
            <w:r w:rsidR="00C45348">
              <w:rPr>
                <w:rFonts w:asciiTheme="minorHAnsi" w:hAnsiTheme="minorHAnsi" w:cstheme="minorHAnsi"/>
                <w:sz w:val="21"/>
                <w:szCs w:val="21"/>
              </w:rPr>
              <w:t>y</w:t>
            </w:r>
            <w:r w:rsidRPr="00BD796D">
              <w:rPr>
                <w:rFonts w:asciiTheme="minorHAnsi" w:hAnsiTheme="minorHAnsi" w:cstheme="minorHAnsi"/>
                <w:sz w:val="21"/>
                <w:szCs w:val="21"/>
              </w:rPr>
              <w:t xml:space="preserve"> who ha</w:t>
            </w:r>
            <w:r w:rsidR="00C45348">
              <w:rPr>
                <w:rFonts w:asciiTheme="minorHAnsi" w:hAnsiTheme="minorHAnsi" w:cstheme="minorHAnsi"/>
                <w:sz w:val="21"/>
                <w:szCs w:val="21"/>
              </w:rPr>
              <w:t>s</w:t>
            </w:r>
            <w:r w:rsidRPr="00BD796D">
              <w:rPr>
                <w:rFonts w:asciiTheme="minorHAnsi" w:hAnsiTheme="minorHAnsi" w:cstheme="minorHAnsi"/>
                <w:sz w:val="21"/>
                <w:szCs w:val="21"/>
              </w:rPr>
              <w:t xml:space="preserve"> been designated to receive proportionate share services under either the 240 or 262 grant </w:t>
            </w:r>
            <w:r w:rsidR="00C45348">
              <w:rPr>
                <w:rFonts w:asciiTheme="minorHAnsi" w:hAnsiTheme="minorHAnsi" w:cstheme="minorHAnsi"/>
                <w:sz w:val="21"/>
                <w:szCs w:val="21"/>
              </w:rPr>
              <w:t>has a</w:t>
            </w:r>
            <w:r w:rsidR="00C45348" w:rsidRPr="00BD796D">
              <w:rPr>
                <w:rFonts w:asciiTheme="minorHAnsi" w:hAnsiTheme="minorHAnsi" w:cstheme="minorHAnsi"/>
                <w:sz w:val="21"/>
                <w:szCs w:val="21"/>
              </w:rPr>
              <w:t xml:space="preserve"> </w:t>
            </w:r>
            <w:r w:rsidRPr="00BD796D">
              <w:rPr>
                <w:rFonts w:asciiTheme="minorHAnsi" w:hAnsiTheme="minorHAnsi" w:cstheme="minorHAnsi"/>
                <w:sz w:val="21"/>
                <w:szCs w:val="21"/>
              </w:rPr>
              <w:t xml:space="preserve">services plan describing the specific special education services that the district will provide, including where and when the district will provide services to the student. A sample services plan can be found </w:t>
            </w:r>
            <w:hyperlink r:id="rId18" w:anchor="page=1" w:history="1">
              <w:r w:rsidRPr="00BD796D">
                <w:rPr>
                  <w:rStyle w:val="Hyperlink"/>
                  <w:rFonts w:asciiTheme="minorHAnsi" w:hAnsiTheme="minorHAnsi" w:cstheme="minorHAnsi"/>
                  <w:sz w:val="21"/>
                  <w:szCs w:val="21"/>
                </w:rPr>
                <w:t>here</w:t>
              </w:r>
            </w:hyperlink>
            <w:r w:rsidRPr="00BD796D">
              <w:rPr>
                <w:rFonts w:asciiTheme="minorHAnsi" w:hAnsiTheme="minorHAnsi" w:cstheme="minorHAnsi"/>
                <w:sz w:val="21"/>
                <w:szCs w:val="21"/>
              </w:rPr>
              <w:t xml:space="preserve"> (2018-1 Advisory at Attachment E).</w:t>
            </w:r>
          </w:p>
        </w:tc>
      </w:tr>
      <w:tr w:rsidR="00BD796D" w:rsidRPr="00F72DA4" w14:paraId="6277E8B8" w14:textId="77777777" w:rsidTr="008F741D">
        <w:trPr>
          <w:tblHeader/>
        </w:trPr>
        <w:tc>
          <w:tcPr>
            <w:tcW w:w="535" w:type="dxa"/>
            <w:shd w:val="clear" w:color="auto" w:fill="auto"/>
          </w:tcPr>
          <w:p w14:paraId="36983687" w14:textId="77777777" w:rsidR="00BD796D" w:rsidRPr="00F72DA4" w:rsidRDefault="00BD796D" w:rsidP="00230FB9">
            <w:pPr>
              <w:spacing w:before="20" w:after="20"/>
              <w:rPr>
                <w:rFonts w:asciiTheme="minorHAnsi" w:hAnsiTheme="minorHAnsi" w:cstheme="minorHAnsi"/>
                <w:b/>
                <w:sz w:val="16"/>
                <w:szCs w:val="16"/>
              </w:rPr>
            </w:pPr>
          </w:p>
        </w:tc>
        <w:tc>
          <w:tcPr>
            <w:tcW w:w="9679" w:type="dxa"/>
            <w:shd w:val="clear" w:color="auto" w:fill="auto"/>
          </w:tcPr>
          <w:p w14:paraId="087097B0" w14:textId="77777777" w:rsidR="00BD796D" w:rsidRPr="00F72DA4" w:rsidRDefault="00BD796D" w:rsidP="00230FB9">
            <w:pPr>
              <w:spacing w:before="20" w:after="20"/>
              <w:rPr>
                <w:rFonts w:asciiTheme="minorHAnsi" w:hAnsiTheme="minorHAnsi" w:cstheme="minorHAnsi"/>
                <w:b/>
                <w:sz w:val="16"/>
                <w:szCs w:val="16"/>
              </w:rPr>
            </w:pPr>
          </w:p>
        </w:tc>
      </w:tr>
      <w:tr w:rsidR="00797055" w14:paraId="4DCF7609" w14:textId="77777777" w:rsidTr="008F741D">
        <w:trPr>
          <w:tblHeader/>
        </w:trPr>
        <w:tc>
          <w:tcPr>
            <w:tcW w:w="535" w:type="dxa"/>
            <w:shd w:val="clear" w:color="auto" w:fill="FBD4B4" w:themeFill="accent6" w:themeFillTint="66"/>
          </w:tcPr>
          <w:p w14:paraId="24024B29" w14:textId="5529B0E2" w:rsidR="00797055" w:rsidRPr="00113114" w:rsidRDefault="00797055" w:rsidP="00230FB9">
            <w:pPr>
              <w:spacing w:before="20" w:after="20"/>
              <w:rPr>
                <w:rFonts w:asciiTheme="minorHAnsi" w:hAnsiTheme="minorHAnsi" w:cstheme="minorHAnsi"/>
                <w:b/>
                <w:sz w:val="24"/>
                <w:szCs w:val="24"/>
              </w:rPr>
            </w:pPr>
            <w:r>
              <w:rPr>
                <w:rFonts w:asciiTheme="minorHAnsi" w:hAnsiTheme="minorHAnsi" w:cstheme="minorHAnsi"/>
                <w:b/>
                <w:sz w:val="24"/>
                <w:szCs w:val="24"/>
              </w:rPr>
              <w:t>8.</w:t>
            </w:r>
          </w:p>
        </w:tc>
        <w:tc>
          <w:tcPr>
            <w:tcW w:w="9679" w:type="dxa"/>
            <w:shd w:val="clear" w:color="auto" w:fill="FBD4B4" w:themeFill="accent6" w:themeFillTint="66"/>
          </w:tcPr>
          <w:p w14:paraId="0BE43B9C" w14:textId="7ED3F245" w:rsidR="00797055" w:rsidRDefault="00797055" w:rsidP="00230FB9">
            <w:pPr>
              <w:spacing w:before="20" w:after="20"/>
            </w:pPr>
            <w:r w:rsidRPr="00113114">
              <w:rPr>
                <w:rFonts w:asciiTheme="minorHAnsi" w:hAnsiTheme="minorHAnsi" w:cstheme="minorHAnsi"/>
                <w:b/>
                <w:sz w:val="24"/>
                <w:szCs w:val="24"/>
              </w:rPr>
              <w:t>Providing or Contracting for Services.</w:t>
            </w:r>
            <w:r>
              <w:t xml:space="preserve">  </w:t>
            </w:r>
            <w:r w:rsidRPr="00BD796D">
              <w:rPr>
                <w:rFonts w:asciiTheme="minorHAnsi" w:hAnsiTheme="minorHAnsi" w:cstheme="minorHAnsi"/>
                <w:sz w:val="21"/>
                <w:szCs w:val="21"/>
              </w:rPr>
              <w:t>In expending federal IDEA Part B funds, districts may provide services at the private school, at a public or neutral site convenient to the private school, on public school grounds, or contract for the provision of services at an appropriate site, ensuring that they provide transportation to the student.</w:t>
            </w:r>
          </w:p>
        </w:tc>
      </w:tr>
    </w:tbl>
    <w:p w14:paraId="6F5D54F0" w14:textId="77777777" w:rsidR="00BD796D" w:rsidRPr="00BD796D" w:rsidRDefault="00BD796D" w:rsidP="001A4C6C">
      <w:pPr>
        <w:pStyle w:val="Heading2"/>
        <w:spacing w:before="20" w:after="20" w:line="240" w:lineRule="auto"/>
        <w:rPr>
          <w:rFonts w:cstheme="minorHAnsi"/>
          <w:b w:val="0"/>
          <w:sz w:val="16"/>
          <w:szCs w:val="16"/>
        </w:rPr>
      </w:pPr>
    </w:p>
    <w:p w14:paraId="771FF649" w14:textId="539ED172" w:rsidR="00724904" w:rsidRPr="00F72DA4" w:rsidRDefault="00724904" w:rsidP="001A4C6C">
      <w:pPr>
        <w:pStyle w:val="Heading2"/>
        <w:spacing w:before="20" w:after="20" w:line="240" w:lineRule="auto"/>
        <w:rPr>
          <w:rFonts w:asciiTheme="minorHAnsi" w:hAnsiTheme="minorHAnsi" w:cstheme="minorHAnsi"/>
          <w:sz w:val="32"/>
        </w:rPr>
      </w:pPr>
      <w:r w:rsidRPr="00F72DA4">
        <w:rPr>
          <w:rFonts w:asciiTheme="minorHAnsi" w:hAnsiTheme="minorHAnsi" w:cstheme="minorHAnsi"/>
          <w:sz w:val="32"/>
        </w:rPr>
        <w:t>FAQs</w:t>
      </w:r>
    </w:p>
    <w:p w14:paraId="771FF64A" w14:textId="56AC814D" w:rsidR="004F25EE" w:rsidRPr="00006D26" w:rsidRDefault="003E6B3A" w:rsidP="00006D26">
      <w:pPr>
        <w:pStyle w:val="ListParagraph"/>
        <w:numPr>
          <w:ilvl w:val="0"/>
          <w:numId w:val="23"/>
        </w:numPr>
        <w:spacing w:before="40" w:after="40" w:line="240" w:lineRule="auto"/>
        <w:ind w:left="274"/>
        <w:contextualSpacing w:val="0"/>
        <w:rPr>
          <w:rFonts w:asciiTheme="minorHAnsi" w:hAnsiTheme="minorHAnsi" w:cstheme="minorHAnsi"/>
          <w:b/>
          <w:bCs/>
          <w:i/>
          <w:iCs/>
          <w:sz w:val="21"/>
          <w:szCs w:val="21"/>
        </w:rPr>
      </w:pPr>
      <w:r w:rsidRPr="00113114">
        <w:rPr>
          <w:rFonts w:asciiTheme="minorHAnsi" w:hAnsiTheme="minorHAnsi" w:cstheme="minorHAnsi"/>
          <w:b/>
          <w:bCs/>
          <w:i/>
          <w:iCs/>
          <w:sz w:val="24"/>
          <w:szCs w:val="24"/>
        </w:rPr>
        <w:t xml:space="preserve">Can the </w:t>
      </w:r>
      <w:r w:rsidR="00C45348">
        <w:rPr>
          <w:rFonts w:asciiTheme="minorHAnsi" w:hAnsiTheme="minorHAnsi" w:cstheme="minorHAnsi"/>
          <w:b/>
          <w:bCs/>
          <w:i/>
          <w:iCs/>
          <w:sz w:val="24"/>
          <w:szCs w:val="24"/>
        </w:rPr>
        <w:t xml:space="preserve">district give the proportionate share </w:t>
      </w:r>
      <w:r w:rsidRPr="00113114">
        <w:rPr>
          <w:rFonts w:asciiTheme="minorHAnsi" w:hAnsiTheme="minorHAnsi" w:cstheme="minorHAnsi"/>
          <w:b/>
          <w:bCs/>
          <w:i/>
          <w:iCs/>
          <w:sz w:val="24"/>
          <w:szCs w:val="24"/>
        </w:rPr>
        <w:t xml:space="preserve">funds to the private school to provide </w:t>
      </w:r>
      <w:r w:rsidR="00C45348">
        <w:rPr>
          <w:rFonts w:asciiTheme="minorHAnsi" w:hAnsiTheme="minorHAnsi" w:cstheme="minorHAnsi"/>
          <w:b/>
          <w:bCs/>
          <w:i/>
          <w:iCs/>
          <w:sz w:val="24"/>
          <w:szCs w:val="24"/>
        </w:rPr>
        <w:t>equitable</w:t>
      </w:r>
      <w:r w:rsidRPr="00113114">
        <w:rPr>
          <w:rFonts w:asciiTheme="minorHAnsi" w:hAnsiTheme="minorHAnsi" w:cstheme="minorHAnsi"/>
          <w:b/>
          <w:bCs/>
          <w:i/>
          <w:iCs/>
          <w:sz w:val="24"/>
          <w:szCs w:val="24"/>
        </w:rPr>
        <w:t xml:space="preserve"> services</w:t>
      </w:r>
      <w:r w:rsidR="004F25EE" w:rsidRPr="00113114">
        <w:rPr>
          <w:rFonts w:asciiTheme="minorHAnsi" w:hAnsiTheme="minorHAnsi" w:cstheme="minorHAnsi"/>
          <w:b/>
          <w:bCs/>
          <w:i/>
          <w:iCs/>
          <w:sz w:val="24"/>
          <w:szCs w:val="24"/>
        </w:rPr>
        <w:t>?</w:t>
      </w:r>
      <w:r w:rsidR="00DE1AF5" w:rsidRPr="00113114">
        <w:rPr>
          <w:rFonts w:asciiTheme="minorHAnsi" w:hAnsiTheme="minorHAnsi" w:cstheme="minorHAnsi"/>
          <w:bCs/>
          <w:i/>
          <w:iCs/>
        </w:rPr>
        <w:t xml:space="preserve"> </w:t>
      </w:r>
      <w:r w:rsidRPr="00113114">
        <w:rPr>
          <w:rFonts w:asciiTheme="minorHAnsi" w:hAnsiTheme="minorHAnsi" w:cstheme="minorHAnsi"/>
          <w:bCs/>
          <w:i/>
          <w:iCs/>
        </w:rPr>
        <w:t xml:space="preserve">  </w:t>
      </w:r>
      <w:r w:rsidRPr="00BD796D">
        <w:rPr>
          <w:rFonts w:asciiTheme="minorHAnsi" w:hAnsiTheme="minorHAnsi" w:cstheme="minorHAnsi"/>
          <w:sz w:val="21"/>
          <w:szCs w:val="21"/>
        </w:rPr>
        <w:t>No. The control of funds used to provide special education services and the control of materials, equipment, and property purchased with those funds is the sole responsibility of the public school district.</w:t>
      </w:r>
      <w:r w:rsidR="002F01CD" w:rsidRPr="00BD796D">
        <w:rPr>
          <w:rFonts w:asciiTheme="minorHAnsi" w:hAnsiTheme="minorHAnsi" w:cstheme="minorHAnsi"/>
          <w:sz w:val="21"/>
          <w:szCs w:val="21"/>
        </w:rPr>
        <w:t xml:space="preserve"> </w:t>
      </w:r>
      <w:r w:rsidRPr="00BD796D">
        <w:rPr>
          <w:rFonts w:asciiTheme="minorHAnsi" w:hAnsiTheme="minorHAnsi" w:cstheme="minorHAnsi"/>
          <w:sz w:val="21"/>
          <w:szCs w:val="21"/>
        </w:rPr>
        <w:t xml:space="preserve">With regard to personnel, </w:t>
      </w:r>
      <w:hyperlink r:id="rId19" w:history="1">
        <w:r w:rsidR="00006D26" w:rsidRPr="00006D26">
          <w:rPr>
            <w:rStyle w:val="Hyperlink"/>
            <w:rFonts w:asciiTheme="minorHAnsi" w:hAnsiTheme="minorHAnsi" w:cstheme="minorHAnsi"/>
            <w:sz w:val="21"/>
            <w:szCs w:val="21"/>
          </w:rPr>
          <w:t>34 C.F.R. § 300.142</w:t>
        </w:r>
      </w:hyperlink>
      <w:r w:rsidR="00006D26">
        <w:t xml:space="preserve"> </w:t>
      </w:r>
      <w:r w:rsidRPr="00006D26">
        <w:rPr>
          <w:rFonts w:asciiTheme="minorHAnsi" w:hAnsiTheme="minorHAnsi" w:cstheme="minorHAnsi"/>
          <w:sz w:val="21"/>
          <w:szCs w:val="21"/>
        </w:rPr>
        <w:t xml:space="preserve">states that </w:t>
      </w:r>
      <w:r w:rsidR="00697777">
        <w:rPr>
          <w:rFonts w:asciiTheme="minorHAnsi" w:hAnsiTheme="minorHAnsi" w:cstheme="minorHAnsi"/>
          <w:sz w:val="21"/>
          <w:szCs w:val="21"/>
        </w:rPr>
        <w:t xml:space="preserve">the </w:t>
      </w:r>
      <w:r w:rsidR="00C45348">
        <w:rPr>
          <w:rFonts w:asciiTheme="minorHAnsi" w:hAnsiTheme="minorHAnsi" w:cstheme="minorHAnsi"/>
          <w:sz w:val="21"/>
          <w:szCs w:val="21"/>
        </w:rPr>
        <w:t>district</w:t>
      </w:r>
      <w:r w:rsidR="00C45348" w:rsidRPr="00006D26">
        <w:rPr>
          <w:rFonts w:asciiTheme="minorHAnsi" w:hAnsiTheme="minorHAnsi" w:cstheme="minorHAnsi"/>
          <w:sz w:val="21"/>
          <w:szCs w:val="21"/>
        </w:rPr>
        <w:t xml:space="preserve"> </w:t>
      </w:r>
      <w:r w:rsidR="00491167">
        <w:rPr>
          <w:rFonts w:asciiTheme="minorHAnsi" w:hAnsiTheme="minorHAnsi" w:cstheme="minorHAnsi"/>
          <w:sz w:val="21"/>
          <w:szCs w:val="21"/>
        </w:rPr>
        <w:t>“</w:t>
      </w:r>
      <w:r w:rsidRPr="00006D26">
        <w:rPr>
          <w:rFonts w:asciiTheme="minorHAnsi" w:hAnsiTheme="minorHAnsi" w:cstheme="minorHAnsi"/>
          <w:sz w:val="21"/>
          <w:szCs w:val="21"/>
        </w:rPr>
        <w:t xml:space="preserve">may use funds available under </w:t>
      </w:r>
      <w:r w:rsidR="00BC00DC" w:rsidRPr="00006D26">
        <w:rPr>
          <w:rFonts w:asciiTheme="minorHAnsi" w:hAnsiTheme="minorHAnsi" w:cstheme="minorHAnsi"/>
          <w:sz w:val="21"/>
          <w:szCs w:val="21"/>
        </w:rPr>
        <w:t xml:space="preserve">[special education grants] </w:t>
      </w:r>
      <w:r w:rsidRPr="00006D26">
        <w:rPr>
          <w:rFonts w:asciiTheme="minorHAnsi" w:hAnsiTheme="minorHAnsi" w:cstheme="minorHAnsi"/>
          <w:sz w:val="21"/>
          <w:szCs w:val="21"/>
        </w:rPr>
        <w:t>to pay for the services of an employee of a private school to provide services…if the employee performs the services outside of his or her regular hours of duty</w:t>
      </w:r>
      <w:r w:rsidR="002F01CD" w:rsidRPr="00006D26">
        <w:rPr>
          <w:rFonts w:asciiTheme="minorHAnsi" w:hAnsiTheme="minorHAnsi" w:cstheme="minorHAnsi"/>
          <w:sz w:val="21"/>
          <w:szCs w:val="21"/>
        </w:rPr>
        <w:t>,</w:t>
      </w:r>
      <w:r w:rsidRPr="00006D26">
        <w:rPr>
          <w:rFonts w:asciiTheme="minorHAnsi" w:hAnsiTheme="minorHAnsi" w:cstheme="minorHAnsi"/>
          <w:sz w:val="21"/>
          <w:szCs w:val="21"/>
        </w:rPr>
        <w:t xml:space="preserve"> and the employee performs the services under public supervision and control.”</w:t>
      </w:r>
    </w:p>
    <w:p w14:paraId="771FF64B" w14:textId="641582B8" w:rsidR="004F25EE" w:rsidRPr="00113114" w:rsidRDefault="003E6B3A" w:rsidP="001A4C6C">
      <w:pPr>
        <w:pStyle w:val="ListParagraph"/>
        <w:numPr>
          <w:ilvl w:val="0"/>
          <w:numId w:val="23"/>
        </w:numPr>
        <w:spacing w:before="40" w:after="40" w:line="240" w:lineRule="auto"/>
        <w:ind w:left="274"/>
        <w:contextualSpacing w:val="0"/>
        <w:rPr>
          <w:rFonts w:asciiTheme="minorHAnsi" w:hAnsiTheme="minorHAnsi" w:cstheme="minorHAnsi"/>
          <w:b/>
          <w:bCs/>
          <w:i/>
          <w:iCs/>
        </w:rPr>
      </w:pPr>
      <w:r w:rsidRPr="00113114">
        <w:rPr>
          <w:rFonts w:asciiTheme="minorHAnsi" w:hAnsiTheme="minorHAnsi" w:cstheme="minorHAnsi"/>
          <w:b/>
          <w:bCs/>
          <w:i/>
          <w:iCs/>
          <w:sz w:val="24"/>
          <w:szCs w:val="24"/>
        </w:rPr>
        <w:t xml:space="preserve">Can families </w:t>
      </w:r>
      <w:r w:rsidR="00F26680" w:rsidRPr="00113114">
        <w:rPr>
          <w:rFonts w:asciiTheme="minorHAnsi" w:hAnsiTheme="minorHAnsi" w:cstheme="minorHAnsi"/>
          <w:b/>
          <w:i/>
          <w:sz w:val="24"/>
          <w:szCs w:val="24"/>
        </w:rPr>
        <w:t>receive some of their services at their private school when funded by proportionate share and the rest of their services at the local public school?</w:t>
      </w:r>
      <w:r w:rsidR="00F26680" w:rsidRPr="00113114">
        <w:rPr>
          <w:rFonts w:asciiTheme="minorHAnsi" w:hAnsiTheme="minorHAnsi" w:cstheme="minorHAnsi"/>
        </w:rPr>
        <w:t xml:space="preserve">  </w:t>
      </w:r>
      <w:r w:rsidR="00F26680" w:rsidRPr="00BD796D">
        <w:rPr>
          <w:rFonts w:asciiTheme="minorHAnsi" w:hAnsiTheme="minorHAnsi" w:cstheme="minorHAnsi"/>
          <w:sz w:val="21"/>
          <w:szCs w:val="21"/>
        </w:rPr>
        <w:t>Yes, the district can provide services using federal funds to students at the location of the private school, in another location, or at the public school. The terms of service and their location are determined after consultation.</w:t>
      </w:r>
      <w:r w:rsidR="00E22D85" w:rsidRPr="00113114">
        <w:rPr>
          <w:rFonts w:asciiTheme="minorHAnsi" w:hAnsiTheme="minorHAnsi" w:cstheme="minorHAnsi"/>
        </w:rPr>
        <w:t xml:space="preserve">  </w:t>
      </w:r>
    </w:p>
    <w:p w14:paraId="6D8F7CCA" w14:textId="76263271" w:rsidR="002E0C25" w:rsidRPr="00113114" w:rsidRDefault="002E0C25" w:rsidP="001A4C6C">
      <w:pPr>
        <w:pStyle w:val="ListParagraph"/>
        <w:numPr>
          <w:ilvl w:val="0"/>
          <w:numId w:val="23"/>
        </w:numPr>
        <w:spacing w:before="40" w:after="40" w:line="240" w:lineRule="auto"/>
        <w:ind w:left="274"/>
        <w:contextualSpacing w:val="0"/>
        <w:rPr>
          <w:rFonts w:asciiTheme="minorHAnsi" w:hAnsiTheme="minorHAnsi" w:cstheme="minorHAnsi"/>
          <w:b/>
          <w:bCs/>
          <w:i/>
          <w:iCs/>
        </w:rPr>
      </w:pPr>
      <w:r w:rsidRPr="00113114">
        <w:rPr>
          <w:rFonts w:asciiTheme="minorHAnsi" w:hAnsiTheme="minorHAnsi" w:cstheme="minorHAnsi"/>
          <w:b/>
          <w:bCs/>
          <w:i/>
          <w:iCs/>
          <w:sz w:val="24"/>
          <w:szCs w:val="24"/>
        </w:rPr>
        <w:t xml:space="preserve">What happens if the district does not use </w:t>
      </w:r>
      <w:proofErr w:type="gramStart"/>
      <w:r w:rsidRPr="00113114">
        <w:rPr>
          <w:rFonts w:asciiTheme="minorHAnsi" w:hAnsiTheme="minorHAnsi" w:cstheme="minorHAnsi"/>
          <w:b/>
          <w:bCs/>
          <w:i/>
          <w:iCs/>
          <w:sz w:val="24"/>
          <w:szCs w:val="24"/>
        </w:rPr>
        <w:t>all of</w:t>
      </w:r>
      <w:proofErr w:type="gramEnd"/>
      <w:r w:rsidRPr="00113114">
        <w:rPr>
          <w:rFonts w:asciiTheme="minorHAnsi" w:hAnsiTheme="minorHAnsi" w:cstheme="minorHAnsi"/>
          <w:b/>
          <w:bCs/>
          <w:i/>
          <w:iCs/>
          <w:sz w:val="24"/>
          <w:szCs w:val="24"/>
        </w:rPr>
        <w:t xml:space="preserve"> the </w:t>
      </w:r>
      <w:r w:rsidR="00C45348">
        <w:rPr>
          <w:rFonts w:asciiTheme="minorHAnsi" w:hAnsiTheme="minorHAnsi" w:cstheme="minorHAnsi"/>
          <w:b/>
          <w:bCs/>
          <w:i/>
          <w:iCs/>
          <w:sz w:val="24"/>
          <w:szCs w:val="24"/>
        </w:rPr>
        <w:t xml:space="preserve">proportionate share of </w:t>
      </w:r>
      <w:r w:rsidR="00D40CCE">
        <w:rPr>
          <w:rFonts w:asciiTheme="minorHAnsi" w:hAnsiTheme="minorHAnsi" w:cstheme="minorHAnsi"/>
          <w:b/>
          <w:bCs/>
          <w:i/>
          <w:iCs/>
          <w:sz w:val="24"/>
          <w:szCs w:val="24"/>
        </w:rPr>
        <w:t>0</w:t>
      </w:r>
      <w:r w:rsidRPr="00113114">
        <w:rPr>
          <w:rFonts w:asciiTheme="minorHAnsi" w:hAnsiTheme="minorHAnsi" w:cstheme="minorHAnsi"/>
          <w:b/>
          <w:bCs/>
          <w:i/>
          <w:iCs/>
          <w:sz w:val="24"/>
          <w:szCs w:val="24"/>
        </w:rPr>
        <w:t xml:space="preserve">240 or </w:t>
      </w:r>
      <w:r w:rsidR="00D40CCE">
        <w:rPr>
          <w:rFonts w:asciiTheme="minorHAnsi" w:hAnsiTheme="minorHAnsi" w:cstheme="minorHAnsi"/>
          <w:b/>
          <w:bCs/>
          <w:i/>
          <w:iCs/>
          <w:sz w:val="24"/>
          <w:szCs w:val="24"/>
        </w:rPr>
        <w:t>0</w:t>
      </w:r>
      <w:r w:rsidRPr="00113114">
        <w:rPr>
          <w:rFonts w:asciiTheme="minorHAnsi" w:hAnsiTheme="minorHAnsi" w:cstheme="minorHAnsi"/>
          <w:b/>
          <w:bCs/>
          <w:i/>
          <w:iCs/>
          <w:sz w:val="24"/>
          <w:szCs w:val="24"/>
        </w:rPr>
        <w:t xml:space="preserve">262 funds </w:t>
      </w:r>
      <w:r w:rsidR="00C45348">
        <w:rPr>
          <w:rFonts w:asciiTheme="minorHAnsi" w:hAnsiTheme="minorHAnsi" w:cstheme="minorHAnsi"/>
          <w:b/>
          <w:bCs/>
          <w:i/>
          <w:iCs/>
          <w:sz w:val="24"/>
          <w:szCs w:val="24"/>
        </w:rPr>
        <w:t>by the end of the fiscal year for which Congress appropriated the funds</w:t>
      </w:r>
      <w:r w:rsidRPr="00113114">
        <w:rPr>
          <w:rFonts w:asciiTheme="minorHAnsi" w:hAnsiTheme="minorHAnsi" w:cstheme="minorHAnsi"/>
          <w:b/>
          <w:bCs/>
          <w:i/>
          <w:iCs/>
          <w:sz w:val="24"/>
          <w:szCs w:val="24"/>
        </w:rPr>
        <w:t>?</w:t>
      </w:r>
      <w:r w:rsidRPr="00113114">
        <w:rPr>
          <w:rFonts w:asciiTheme="minorHAnsi" w:hAnsiTheme="minorHAnsi" w:cstheme="minorHAnsi"/>
          <w:b/>
          <w:bCs/>
          <w:i/>
          <w:iCs/>
        </w:rPr>
        <w:t xml:space="preserve">  </w:t>
      </w:r>
      <w:r w:rsidR="002F541A" w:rsidRPr="00BD796D">
        <w:rPr>
          <w:rFonts w:asciiTheme="minorHAnsi" w:hAnsiTheme="minorHAnsi" w:cstheme="minorHAnsi"/>
          <w:sz w:val="21"/>
          <w:szCs w:val="21"/>
        </w:rPr>
        <w:t xml:space="preserve">If a district has not expended </w:t>
      </w:r>
      <w:r w:rsidR="0040759F" w:rsidRPr="00BD796D">
        <w:rPr>
          <w:rFonts w:asciiTheme="minorHAnsi" w:hAnsiTheme="minorHAnsi" w:cstheme="minorHAnsi"/>
          <w:sz w:val="21"/>
          <w:szCs w:val="21"/>
        </w:rPr>
        <w:t>its</w:t>
      </w:r>
      <w:r w:rsidR="002F541A" w:rsidRPr="00BD796D">
        <w:rPr>
          <w:rFonts w:asciiTheme="minorHAnsi" w:hAnsiTheme="minorHAnsi" w:cstheme="minorHAnsi"/>
          <w:sz w:val="21"/>
          <w:szCs w:val="21"/>
        </w:rPr>
        <w:t xml:space="preserve"> proportionate share minimum obligation of federal funds for either grant by the end of the fiscal year, the district must obligate and carry over the remaining funds for special education and related services for </w:t>
      </w:r>
      <w:proofErr w:type="gramStart"/>
      <w:r w:rsidR="002F541A" w:rsidRPr="00BD796D">
        <w:rPr>
          <w:rFonts w:asciiTheme="minorHAnsi" w:hAnsiTheme="minorHAnsi" w:cstheme="minorHAnsi"/>
          <w:sz w:val="21"/>
          <w:szCs w:val="21"/>
        </w:rPr>
        <w:t>privately</w:t>
      </w:r>
      <w:r w:rsidR="0040759F" w:rsidRPr="00BD796D">
        <w:rPr>
          <w:rFonts w:asciiTheme="minorHAnsi" w:hAnsiTheme="minorHAnsi" w:cstheme="minorHAnsi"/>
          <w:sz w:val="21"/>
          <w:szCs w:val="21"/>
        </w:rPr>
        <w:t>-</w:t>
      </w:r>
      <w:r w:rsidR="002F541A" w:rsidRPr="00BD796D">
        <w:rPr>
          <w:rFonts w:asciiTheme="minorHAnsi" w:hAnsiTheme="minorHAnsi" w:cstheme="minorHAnsi"/>
          <w:sz w:val="21"/>
          <w:szCs w:val="21"/>
        </w:rPr>
        <w:t>enrolled</w:t>
      </w:r>
      <w:proofErr w:type="gramEnd"/>
      <w:r w:rsidR="002F541A" w:rsidRPr="00BD796D">
        <w:rPr>
          <w:rFonts w:asciiTheme="minorHAnsi" w:hAnsiTheme="minorHAnsi" w:cstheme="minorHAnsi"/>
          <w:sz w:val="21"/>
          <w:szCs w:val="21"/>
        </w:rPr>
        <w:t xml:space="preserve"> students for one year</w:t>
      </w:r>
      <w:r w:rsidR="002F01CD" w:rsidRPr="00BD796D">
        <w:rPr>
          <w:rFonts w:asciiTheme="minorHAnsi" w:hAnsiTheme="minorHAnsi" w:cstheme="minorHAnsi"/>
          <w:sz w:val="21"/>
          <w:szCs w:val="21"/>
        </w:rPr>
        <w:t>.</w:t>
      </w:r>
      <w:r w:rsidR="00B8451C">
        <w:rPr>
          <w:rFonts w:asciiTheme="minorHAnsi" w:hAnsiTheme="minorHAnsi" w:cstheme="minorHAnsi"/>
          <w:sz w:val="21"/>
          <w:szCs w:val="21"/>
        </w:rPr>
        <w:t xml:space="preserve"> </w:t>
      </w:r>
    </w:p>
    <w:p w14:paraId="6A2B7278" w14:textId="3D5B50AF" w:rsidR="00797055" w:rsidRPr="008A3933" w:rsidRDefault="002F541A" w:rsidP="00BD796D">
      <w:pPr>
        <w:pStyle w:val="ListParagraph"/>
        <w:numPr>
          <w:ilvl w:val="0"/>
          <w:numId w:val="23"/>
        </w:numPr>
        <w:spacing w:before="40" w:after="40" w:line="240" w:lineRule="auto"/>
        <w:ind w:left="274"/>
        <w:contextualSpacing w:val="0"/>
        <w:rPr>
          <w:rFonts w:asciiTheme="minorHAnsi" w:hAnsiTheme="minorHAnsi" w:cstheme="minorHAnsi"/>
          <w:b/>
          <w:bCs/>
          <w:i/>
          <w:iCs/>
        </w:rPr>
      </w:pPr>
      <w:r w:rsidRPr="00113114">
        <w:rPr>
          <w:rFonts w:asciiTheme="minorHAnsi" w:hAnsiTheme="minorHAnsi" w:cstheme="minorHAnsi"/>
          <w:b/>
          <w:bCs/>
          <w:i/>
          <w:iCs/>
          <w:sz w:val="24"/>
          <w:szCs w:val="24"/>
        </w:rPr>
        <w:t>What if the district cannot spend the proportionate share funds after the one-year carry</w:t>
      </w:r>
      <w:r w:rsidR="00FC23A8">
        <w:rPr>
          <w:rFonts w:asciiTheme="minorHAnsi" w:hAnsiTheme="minorHAnsi" w:cstheme="minorHAnsi"/>
          <w:b/>
          <w:bCs/>
          <w:i/>
          <w:iCs/>
          <w:sz w:val="24"/>
          <w:szCs w:val="24"/>
        </w:rPr>
        <w:t>-</w:t>
      </w:r>
      <w:r w:rsidRPr="00113114">
        <w:rPr>
          <w:rFonts w:asciiTheme="minorHAnsi" w:hAnsiTheme="minorHAnsi" w:cstheme="minorHAnsi"/>
          <w:b/>
          <w:bCs/>
          <w:i/>
          <w:iCs/>
          <w:sz w:val="24"/>
          <w:szCs w:val="24"/>
        </w:rPr>
        <w:t>over expires?</w:t>
      </w:r>
      <w:r w:rsidRPr="00113114">
        <w:rPr>
          <w:rFonts w:asciiTheme="minorHAnsi" w:hAnsiTheme="minorHAnsi" w:cstheme="minorHAnsi"/>
          <w:b/>
          <w:bCs/>
          <w:i/>
          <w:iCs/>
        </w:rPr>
        <w:t xml:space="preserve">  </w:t>
      </w:r>
      <w:r w:rsidRPr="00BD796D">
        <w:rPr>
          <w:rFonts w:asciiTheme="minorHAnsi" w:hAnsiTheme="minorHAnsi" w:cstheme="minorHAnsi"/>
          <w:bCs/>
          <w:iCs/>
          <w:sz w:val="21"/>
          <w:szCs w:val="21"/>
        </w:rPr>
        <w:t xml:space="preserve">Districts should make every effort to spend the proportionate share funds each year, including any carry-over from the prior year. If, after the carry-over period, the </w:t>
      </w:r>
      <w:r w:rsidR="00FC23A8" w:rsidRPr="00BD796D">
        <w:rPr>
          <w:rFonts w:asciiTheme="minorHAnsi" w:hAnsiTheme="minorHAnsi" w:cstheme="minorHAnsi"/>
          <w:bCs/>
          <w:iCs/>
          <w:sz w:val="21"/>
          <w:szCs w:val="21"/>
        </w:rPr>
        <w:t>district</w:t>
      </w:r>
      <w:r w:rsidRPr="00BD796D">
        <w:rPr>
          <w:rFonts w:asciiTheme="minorHAnsi" w:hAnsiTheme="minorHAnsi" w:cstheme="minorHAnsi"/>
          <w:bCs/>
          <w:iCs/>
          <w:sz w:val="21"/>
          <w:szCs w:val="21"/>
        </w:rPr>
        <w:t xml:space="preserve"> is unable to expend the entire proportionate share</w:t>
      </w:r>
      <w:r w:rsidR="00215046" w:rsidRPr="00BD796D">
        <w:rPr>
          <w:rFonts w:asciiTheme="minorHAnsi" w:hAnsiTheme="minorHAnsi" w:cstheme="minorHAnsi"/>
          <w:bCs/>
          <w:iCs/>
          <w:sz w:val="21"/>
          <w:szCs w:val="21"/>
        </w:rPr>
        <w:t xml:space="preserve"> of funds due to exceptional circumstances</w:t>
      </w:r>
      <w:r w:rsidR="002F01CD" w:rsidRPr="00BD796D">
        <w:rPr>
          <w:rFonts w:asciiTheme="minorHAnsi" w:hAnsiTheme="minorHAnsi" w:cstheme="minorHAnsi"/>
          <w:bCs/>
          <w:iCs/>
          <w:sz w:val="21"/>
          <w:szCs w:val="21"/>
        </w:rPr>
        <w:t>,</w:t>
      </w:r>
      <w:r w:rsidRPr="00BD796D">
        <w:rPr>
          <w:rFonts w:asciiTheme="minorHAnsi" w:hAnsiTheme="minorHAnsi" w:cstheme="minorHAnsi"/>
          <w:bCs/>
          <w:iCs/>
          <w:sz w:val="21"/>
          <w:szCs w:val="21"/>
        </w:rPr>
        <w:t xml:space="preserve"> and assuming the </w:t>
      </w:r>
      <w:r w:rsidR="00FC23A8" w:rsidRPr="00BD796D">
        <w:rPr>
          <w:rFonts w:asciiTheme="minorHAnsi" w:hAnsiTheme="minorHAnsi" w:cstheme="minorHAnsi"/>
          <w:bCs/>
          <w:iCs/>
          <w:sz w:val="21"/>
          <w:szCs w:val="21"/>
        </w:rPr>
        <w:t xml:space="preserve">district </w:t>
      </w:r>
      <w:r w:rsidR="00BA2057" w:rsidRPr="00BD796D">
        <w:rPr>
          <w:rFonts w:asciiTheme="minorHAnsi" w:hAnsiTheme="minorHAnsi" w:cstheme="minorHAnsi"/>
          <w:bCs/>
          <w:iCs/>
          <w:sz w:val="21"/>
          <w:szCs w:val="21"/>
        </w:rPr>
        <w:t>has complied</w:t>
      </w:r>
      <w:r w:rsidRPr="00BD796D">
        <w:rPr>
          <w:rFonts w:asciiTheme="minorHAnsi" w:hAnsiTheme="minorHAnsi" w:cstheme="minorHAnsi"/>
          <w:bCs/>
          <w:iCs/>
          <w:sz w:val="21"/>
          <w:szCs w:val="21"/>
        </w:rPr>
        <w:t xml:space="preserve"> with </w:t>
      </w:r>
      <w:r w:rsidR="00215046" w:rsidRPr="00BD796D">
        <w:rPr>
          <w:rFonts w:asciiTheme="minorHAnsi" w:hAnsiTheme="minorHAnsi" w:cstheme="minorHAnsi"/>
          <w:bCs/>
          <w:iCs/>
          <w:sz w:val="21"/>
          <w:szCs w:val="21"/>
        </w:rPr>
        <w:t xml:space="preserve">all </w:t>
      </w:r>
      <w:r w:rsidRPr="00BD796D">
        <w:rPr>
          <w:rFonts w:asciiTheme="minorHAnsi" w:hAnsiTheme="minorHAnsi" w:cstheme="minorHAnsi"/>
          <w:bCs/>
          <w:iCs/>
          <w:sz w:val="21"/>
          <w:szCs w:val="21"/>
        </w:rPr>
        <w:t>requirements in</w:t>
      </w:r>
      <w:r w:rsidRPr="00006D26">
        <w:rPr>
          <w:rFonts w:asciiTheme="minorHAnsi" w:hAnsiTheme="minorHAnsi" w:cstheme="minorHAnsi"/>
          <w:bCs/>
          <w:iCs/>
          <w:sz w:val="21"/>
          <w:szCs w:val="21"/>
        </w:rPr>
        <w:t xml:space="preserve"> </w:t>
      </w:r>
      <w:hyperlink r:id="rId20" w:history="1">
        <w:r w:rsidR="00006D26" w:rsidRPr="00006D26">
          <w:rPr>
            <w:rStyle w:val="Hyperlink"/>
            <w:rFonts w:asciiTheme="minorHAnsi" w:hAnsiTheme="minorHAnsi" w:cstheme="minorHAnsi"/>
            <w:sz w:val="21"/>
            <w:szCs w:val="21"/>
          </w:rPr>
          <w:t>34 C.F.R. §§ 300.129</w:t>
        </w:r>
      </w:hyperlink>
      <w:r w:rsidR="00006D26" w:rsidRPr="00006D26">
        <w:rPr>
          <w:rFonts w:asciiTheme="minorHAnsi" w:hAnsiTheme="minorHAnsi" w:cstheme="minorHAnsi"/>
          <w:sz w:val="21"/>
          <w:szCs w:val="21"/>
        </w:rPr>
        <w:t>-</w:t>
      </w:r>
      <w:hyperlink r:id="rId21" w:history="1">
        <w:r w:rsidR="00006D26" w:rsidRPr="00006D26">
          <w:rPr>
            <w:rStyle w:val="Hyperlink"/>
            <w:rFonts w:asciiTheme="minorHAnsi" w:hAnsiTheme="minorHAnsi" w:cstheme="minorHAnsi"/>
            <w:sz w:val="21"/>
            <w:szCs w:val="21"/>
          </w:rPr>
          <w:t>300.144</w:t>
        </w:r>
      </w:hyperlink>
      <w:r w:rsidRPr="00BD796D">
        <w:rPr>
          <w:rFonts w:asciiTheme="minorHAnsi" w:hAnsiTheme="minorHAnsi" w:cstheme="minorHAnsi"/>
          <w:bCs/>
          <w:iCs/>
          <w:sz w:val="21"/>
          <w:szCs w:val="21"/>
        </w:rPr>
        <w:t xml:space="preserve">, the </w:t>
      </w:r>
      <w:r w:rsidR="00FC23A8" w:rsidRPr="00BD796D">
        <w:rPr>
          <w:rFonts w:asciiTheme="minorHAnsi" w:hAnsiTheme="minorHAnsi" w:cstheme="minorHAnsi"/>
          <w:bCs/>
          <w:iCs/>
          <w:sz w:val="21"/>
          <w:szCs w:val="21"/>
        </w:rPr>
        <w:t xml:space="preserve">district </w:t>
      </w:r>
      <w:r w:rsidRPr="00BD796D">
        <w:rPr>
          <w:rFonts w:asciiTheme="minorHAnsi" w:hAnsiTheme="minorHAnsi" w:cstheme="minorHAnsi"/>
          <w:bCs/>
          <w:iCs/>
          <w:sz w:val="21"/>
          <w:szCs w:val="21"/>
        </w:rPr>
        <w:t>may use the unexpended funds</w:t>
      </w:r>
      <w:r w:rsidR="004325FB" w:rsidRPr="00BD796D">
        <w:rPr>
          <w:rFonts w:asciiTheme="minorHAnsi" w:hAnsiTheme="minorHAnsi" w:cstheme="minorHAnsi"/>
          <w:bCs/>
          <w:iCs/>
          <w:sz w:val="21"/>
          <w:szCs w:val="21"/>
        </w:rPr>
        <w:t>—</w:t>
      </w:r>
      <w:r w:rsidRPr="00BD796D">
        <w:rPr>
          <w:rFonts w:asciiTheme="minorHAnsi" w:hAnsiTheme="minorHAnsi" w:cstheme="minorHAnsi"/>
          <w:bCs/>
          <w:iCs/>
          <w:sz w:val="21"/>
          <w:szCs w:val="21"/>
        </w:rPr>
        <w:t>at the end of the period during which the funds may be spent on parentally</w:t>
      </w:r>
      <w:r w:rsidR="0040759F" w:rsidRPr="00BD796D">
        <w:rPr>
          <w:rFonts w:asciiTheme="minorHAnsi" w:hAnsiTheme="minorHAnsi" w:cstheme="minorHAnsi"/>
          <w:bCs/>
          <w:iCs/>
          <w:sz w:val="21"/>
          <w:szCs w:val="21"/>
        </w:rPr>
        <w:t>-</w:t>
      </w:r>
      <w:r w:rsidRPr="00BD796D">
        <w:rPr>
          <w:rFonts w:asciiTheme="minorHAnsi" w:hAnsiTheme="minorHAnsi" w:cstheme="minorHAnsi"/>
          <w:bCs/>
          <w:iCs/>
          <w:sz w:val="21"/>
          <w:szCs w:val="21"/>
        </w:rPr>
        <w:t>placed private school children</w:t>
      </w:r>
      <w:r w:rsidR="004325FB" w:rsidRPr="00BD796D">
        <w:rPr>
          <w:rFonts w:asciiTheme="minorHAnsi" w:hAnsiTheme="minorHAnsi" w:cstheme="minorHAnsi"/>
          <w:bCs/>
          <w:iCs/>
          <w:sz w:val="21"/>
          <w:szCs w:val="21"/>
        </w:rPr>
        <w:t>—</w:t>
      </w:r>
      <w:r w:rsidRPr="00BD796D">
        <w:rPr>
          <w:rFonts w:asciiTheme="minorHAnsi" w:hAnsiTheme="minorHAnsi" w:cstheme="minorHAnsi"/>
          <w:bCs/>
          <w:iCs/>
          <w:sz w:val="21"/>
          <w:szCs w:val="21"/>
        </w:rPr>
        <w:t xml:space="preserve">to pay for other allowable Part B expenditures. </w:t>
      </w:r>
      <w:r w:rsidRPr="00BD796D">
        <w:rPr>
          <w:rFonts w:asciiTheme="minorHAnsi" w:hAnsiTheme="minorHAnsi" w:cstheme="minorHAnsi"/>
          <w:bCs/>
          <w:i/>
          <w:iCs/>
          <w:sz w:val="21"/>
          <w:szCs w:val="21"/>
        </w:rPr>
        <w:t xml:space="preserve">See </w:t>
      </w:r>
      <w:hyperlink r:id="rId22" w:history="1">
        <w:r w:rsidR="00BA2057" w:rsidRPr="00BD796D">
          <w:rPr>
            <w:rStyle w:val="Hyperlink"/>
            <w:rFonts w:asciiTheme="minorHAnsi" w:hAnsiTheme="minorHAnsi" w:cstheme="minorHAnsi"/>
            <w:bCs/>
            <w:iCs/>
            <w:sz w:val="21"/>
            <w:szCs w:val="21"/>
          </w:rPr>
          <w:t xml:space="preserve">2011 U.S. Dept. of Educ. Q&amp;A </w:t>
        </w:r>
      </w:hyperlink>
      <w:r w:rsidRPr="00BD796D">
        <w:rPr>
          <w:rFonts w:asciiTheme="minorHAnsi" w:hAnsiTheme="minorHAnsi" w:cstheme="minorHAnsi"/>
          <w:bCs/>
          <w:iCs/>
          <w:sz w:val="21"/>
          <w:szCs w:val="21"/>
        </w:rPr>
        <w:t xml:space="preserve">at Question H-5. The district </w:t>
      </w:r>
      <w:r w:rsidR="00215046" w:rsidRPr="00BD796D">
        <w:rPr>
          <w:rFonts w:asciiTheme="minorHAnsi" w:hAnsiTheme="minorHAnsi" w:cstheme="minorHAnsi"/>
          <w:bCs/>
          <w:iCs/>
          <w:sz w:val="21"/>
          <w:szCs w:val="21"/>
        </w:rPr>
        <w:t>should</w:t>
      </w:r>
      <w:r w:rsidRPr="00BD796D">
        <w:rPr>
          <w:rFonts w:asciiTheme="minorHAnsi" w:hAnsiTheme="minorHAnsi" w:cstheme="minorHAnsi"/>
          <w:bCs/>
          <w:iCs/>
          <w:sz w:val="21"/>
          <w:szCs w:val="21"/>
        </w:rPr>
        <w:t xml:space="preserve"> document </w:t>
      </w:r>
      <w:r w:rsidR="00215046" w:rsidRPr="00BD796D">
        <w:rPr>
          <w:rFonts w:asciiTheme="minorHAnsi" w:hAnsiTheme="minorHAnsi" w:cstheme="minorHAnsi"/>
          <w:bCs/>
          <w:iCs/>
          <w:sz w:val="21"/>
          <w:szCs w:val="21"/>
        </w:rPr>
        <w:t xml:space="preserve">and retain records of </w:t>
      </w:r>
      <w:r w:rsidRPr="00BD796D">
        <w:rPr>
          <w:rFonts w:asciiTheme="minorHAnsi" w:hAnsiTheme="minorHAnsi" w:cstheme="minorHAnsi"/>
          <w:bCs/>
          <w:iCs/>
          <w:sz w:val="21"/>
          <w:szCs w:val="21"/>
        </w:rPr>
        <w:t>all efforts</w:t>
      </w:r>
      <w:r w:rsidR="00215046" w:rsidRPr="00BD796D">
        <w:rPr>
          <w:rFonts w:asciiTheme="minorHAnsi" w:hAnsiTheme="minorHAnsi" w:cstheme="minorHAnsi"/>
          <w:bCs/>
          <w:iCs/>
          <w:sz w:val="21"/>
          <w:szCs w:val="21"/>
        </w:rPr>
        <w:t xml:space="preserve"> made, even if unsuccessful,</w:t>
      </w:r>
      <w:r w:rsidRPr="00BD796D">
        <w:rPr>
          <w:rFonts w:asciiTheme="minorHAnsi" w:hAnsiTheme="minorHAnsi" w:cstheme="minorHAnsi"/>
          <w:bCs/>
          <w:iCs/>
          <w:sz w:val="21"/>
          <w:szCs w:val="21"/>
        </w:rPr>
        <w:t xml:space="preserve"> to spend the </w:t>
      </w:r>
      <w:r w:rsidR="007116ED">
        <w:rPr>
          <w:rFonts w:asciiTheme="minorHAnsi" w:hAnsiTheme="minorHAnsi" w:cstheme="minorHAnsi"/>
          <w:bCs/>
          <w:iCs/>
          <w:sz w:val="21"/>
          <w:szCs w:val="21"/>
        </w:rPr>
        <w:t xml:space="preserve">proportionate share </w:t>
      </w:r>
      <w:r w:rsidRPr="00BD796D">
        <w:rPr>
          <w:rFonts w:asciiTheme="minorHAnsi" w:hAnsiTheme="minorHAnsi" w:cstheme="minorHAnsi"/>
          <w:bCs/>
          <w:iCs/>
          <w:sz w:val="21"/>
          <w:szCs w:val="21"/>
        </w:rPr>
        <w:t>funds</w:t>
      </w:r>
      <w:r w:rsidR="00215046" w:rsidRPr="00BD796D">
        <w:rPr>
          <w:rFonts w:asciiTheme="minorHAnsi" w:hAnsiTheme="minorHAnsi" w:cstheme="minorHAnsi"/>
          <w:bCs/>
          <w:iCs/>
          <w:sz w:val="21"/>
          <w:szCs w:val="21"/>
        </w:rPr>
        <w:t>.</w:t>
      </w:r>
      <w:r w:rsidR="00FC23A8">
        <w:rPr>
          <w:rFonts w:asciiTheme="minorHAnsi" w:hAnsiTheme="minorHAnsi" w:cstheme="minorHAnsi"/>
          <w:bCs/>
          <w:iCs/>
          <w:sz w:val="21"/>
          <w:szCs w:val="21"/>
        </w:rPr>
        <w:t xml:space="preserve">  </w:t>
      </w:r>
    </w:p>
    <w:p w14:paraId="7CC96787" w14:textId="77777777" w:rsidR="008A3933" w:rsidRPr="008A3933" w:rsidRDefault="008A3933" w:rsidP="008A3933">
      <w:pPr>
        <w:pStyle w:val="ListParagraph"/>
        <w:spacing w:before="40" w:after="40" w:line="240" w:lineRule="auto"/>
        <w:ind w:left="274"/>
        <w:contextualSpacing w:val="0"/>
        <w:rPr>
          <w:rFonts w:asciiTheme="minorHAnsi" w:hAnsiTheme="minorHAnsi" w:cstheme="minorHAnsi"/>
          <w:b/>
          <w:bCs/>
          <w:i/>
          <w:iCs/>
          <w:sz w:val="16"/>
          <w:szCs w:val="16"/>
        </w:rPr>
      </w:pPr>
    </w:p>
    <w:p w14:paraId="49440FAF" w14:textId="77777777" w:rsidR="00743211" w:rsidRPr="00743211" w:rsidRDefault="00743211" w:rsidP="00743211">
      <w:pPr>
        <w:spacing w:before="40" w:after="40" w:line="240" w:lineRule="auto"/>
        <w:rPr>
          <w:rFonts w:asciiTheme="minorHAnsi" w:hAnsiTheme="minorHAnsi" w:cstheme="minorHAnsi"/>
          <w:b/>
          <w:bCs/>
          <w:i/>
          <w:iCs/>
        </w:rPr>
      </w:pPr>
      <w:r w:rsidRPr="00743211">
        <w:rPr>
          <w:rFonts w:asciiTheme="minorHAnsi" w:hAnsiTheme="minorHAnsi" w:cstheme="minorHAnsi"/>
          <w:sz w:val="22"/>
          <w:szCs w:val="18"/>
        </w:rPr>
        <w:t>For additional FAQs, please review the</w:t>
      </w:r>
      <w:r w:rsidRPr="00743211">
        <w:t xml:space="preserve"> </w:t>
      </w:r>
      <w:hyperlink r:id="rId23" w:anchor="page=1" w:history="1">
        <w:r w:rsidR="00C45348">
          <w:rPr>
            <w:rStyle w:val="Hyperlink"/>
            <w:rFonts w:asciiTheme="minorHAnsi" w:hAnsiTheme="minorHAnsi" w:cstheme="minorHAnsi"/>
            <w:b/>
            <w:sz w:val="22"/>
            <w:szCs w:val="21"/>
          </w:rPr>
          <w:t>2018-1 Advisory</w:t>
        </w:r>
      </w:hyperlink>
      <w:r w:rsidRPr="00743211">
        <w:rPr>
          <w:rStyle w:val="Hyperlink"/>
          <w:rFonts w:asciiTheme="minorHAnsi" w:hAnsiTheme="minorHAnsi" w:cstheme="minorHAnsi"/>
          <w:b/>
          <w:sz w:val="22"/>
          <w:szCs w:val="21"/>
        </w:rPr>
        <w:t xml:space="preserve">. </w:t>
      </w:r>
      <w:r w:rsidRPr="00DB4DB7">
        <w:rPr>
          <w:rStyle w:val="Hyperlink"/>
          <w:rFonts w:asciiTheme="minorHAnsi" w:hAnsiTheme="minorHAnsi" w:cstheme="minorHAnsi"/>
          <w:b/>
          <w:sz w:val="18"/>
          <w:szCs w:val="21"/>
        </w:rPr>
        <w:t xml:space="preserve"> </w:t>
      </w:r>
    </w:p>
    <w:sectPr w:rsidR="00743211" w:rsidRPr="00743211" w:rsidSect="00BB0233">
      <w:headerReference w:type="default" r:id="rId24"/>
      <w:footerReference w:type="default" r:id="rId25"/>
      <w:pgSz w:w="12240" w:h="15840"/>
      <w:pgMar w:top="-270" w:right="1008" w:bottom="270" w:left="1008"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58C29" w14:textId="77777777" w:rsidR="00BB0233" w:rsidRDefault="00BB0233" w:rsidP="0066778E">
      <w:r>
        <w:separator/>
      </w:r>
    </w:p>
  </w:endnote>
  <w:endnote w:type="continuationSeparator" w:id="0">
    <w:p w14:paraId="5B6BC00F" w14:textId="77777777" w:rsidR="00BB0233" w:rsidRDefault="00BB0233" w:rsidP="0066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altName w:val="Leelawadee UI"/>
    <w:charset w:val="00"/>
    <w:family w:val="auto"/>
    <w:pitch w:val="variable"/>
    <w:sig w:usb0="80000003" w:usb1="00000000" w:usb2="0001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oolBoran">
    <w:altName w:val="MoolBoran"/>
    <w:charset w:val="00"/>
    <w:family w:val="swiss"/>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256199"/>
      <w:docPartObj>
        <w:docPartGallery w:val="Page Numbers (Top of Page)"/>
        <w:docPartUnique/>
      </w:docPartObj>
    </w:sdtPr>
    <w:sdtContent>
      <w:p w14:paraId="4EC27ABA" w14:textId="77777777" w:rsidR="00457FD8" w:rsidRDefault="00457FD8" w:rsidP="00457FD8">
        <w:pPr>
          <w:pStyle w:val="Footer"/>
        </w:pPr>
      </w:p>
      <w:p w14:paraId="24721577" w14:textId="0B36C223" w:rsidR="00457FD8" w:rsidRPr="00B74EF3" w:rsidRDefault="00457FD8" w:rsidP="00457FD8">
        <w:pPr>
          <w:pStyle w:val="Footer"/>
          <w:rPr>
            <w:rFonts w:asciiTheme="minorHAnsi" w:hAnsiTheme="minorHAnsi" w:cstheme="minorBidi"/>
          </w:rPr>
        </w:pPr>
        <w:r w:rsidRPr="00B74EF3">
          <w:rPr>
            <w:rFonts w:cstheme="minorHAnsi"/>
            <w:i/>
            <w:iCs/>
            <w:sz w:val="18"/>
            <w:szCs w:val="18"/>
            <w:shd w:val="clear" w:color="auto" w:fill="FFFFFF"/>
          </w:rPr>
          <w:t>The contents of this document do not have the force and effect of law and are not meant to bind the public in any way; they are intended only to provide clarity to the public regarding existing requirements under the law or agency policies.</w:t>
        </w:r>
      </w:p>
      <w:p w14:paraId="771FF658" w14:textId="33B92D7A" w:rsidR="00F36A2B" w:rsidRDefault="00F36A2B" w:rsidP="00457FD8">
        <w:pPr>
          <w:spacing w:after="0" w:line="240" w:lineRule="auto"/>
          <w:jc w:val="center"/>
        </w:pPr>
        <w:r>
          <w:t xml:space="preserve">                                                                                                                            </w:t>
        </w:r>
        <w:r w:rsidR="005B3CCC">
          <w:t xml:space="preserve">               </w:t>
        </w:r>
        <w:r w:rsidR="00B24B38">
          <w:t>August 20</w:t>
        </w:r>
        <w:r w:rsidR="00D40CCE">
          <w:t>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BEE09" w14:textId="77777777" w:rsidR="00BB0233" w:rsidRDefault="00BB0233" w:rsidP="0066778E">
      <w:r>
        <w:separator/>
      </w:r>
    </w:p>
  </w:footnote>
  <w:footnote w:type="continuationSeparator" w:id="0">
    <w:p w14:paraId="736BA2F7" w14:textId="77777777" w:rsidR="00BB0233" w:rsidRDefault="00BB0233" w:rsidP="00667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F655" w14:textId="1AAF7A55" w:rsidR="00F36A2B" w:rsidRPr="00F71E79" w:rsidRDefault="00F36A2B" w:rsidP="00F36A2B">
    <w:pPr>
      <w:pStyle w:val="Heading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C76"/>
    <w:multiLevelType w:val="hybridMultilevel"/>
    <w:tmpl w:val="BAC00A8A"/>
    <w:lvl w:ilvl="0" w:tplc="0409000F">
      <w:start w:val="1"/>
      <w:numFmt w:val="decimal"/>
      <w:lvlText w:val="%1."/>
      <w:lvlJc w:val="left"/>
      <w:pPr>
        <w:ind w:left="720" w:hanging="360"/>
      </w:pPr>
      <w:rPr>
        <w:rFont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E135C"/>
    <w:multiLevelType w:val="hybridMultilevel"/>
    <w:tmpl w:val="DB10B7A6"/>
    <w:lvl w:ilvl="0" w:tplc="04090013">
      <w:start w:val="1"/>
      <w:numFmt w:val="bullet"/>
      <w:lvlText w:val=""/>
      <w:lvlJc w:val="left"/>
      <w:pPr>
        <w:ind w:left="360" w:hanging="360"/>
      </w:pPr>
      <w:rPr>
        <w:rFonts w:ascii="Wingdings" w:hAnsi="Wingdings" w:hint="default"/>
        <w:b w:val="0"/>
        <w:i w:val="0"/>
        <w:color w:val="E15D15"/>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D63E1F"/>
    <w:multiLevelType w:val="hybridMultilevel"/>
    <w:tmpl w:val="5608EC0E"/>
    <w:lvl w:ilvl="0" w:tplc="AF70F6EA">
      <w:start w:val="1"/>
      <w:numFmt w:val="bullet"/>
      <w:pStyle w:val="Bullet1"/>
      <w:lvlText w:val=""/>
      <w:lvlJc w:val="left"/>
      <w:pPr>
        <w:ind w:left="360" w:hanging="360"/>
      </w:pPr>
      <w:rPr>
        <w:rFonts w:ascii="Wingdings" w:hAnsi="Wingdings" w:hint="default"/>
        <w:b w:val="0"/>
        <w:i w:val="0"/>
        <w:color w:val="E15D15"/>
        <w:sz w:val="24"/>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6F45D9"/>
    <w:multiLevelType w:val="hybridMultilevel"/>
    <w:tmpl w:val="C1D24168"/>
    <w:lvl w:ilvl="0" w:tplc="04090013">
      <w:start w:val="1"/>
      <w:numFmt w:val="bullet"/>
      <w:lvlText w:val=""/>
      <w:lvlJc w:val="left"/>
      <w:pPr>
        <w:ind w:left="360" w:hanging="360"/>
      </w:pPr>
      <w:rPr>
        <w:rFonts w:ascii="Wingdings" w:hAnsi="Wingdings" w:hint="default"/>
        <w:b w:val="0"/>
        <w:i w:val="0"/>
        <w:color w:val="E15D15"/>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E066DE"/>
    <w:multiLevelType w:val="multilevel"/>
    <w:tmpl w:val="EA5C5D14"/>
    <w:styleLink w:val="Bullet10"/>
    <w:lvl w:ilvl="0">
      <w:start w:val="1"/>
      <w:numFmt w:val="bullet"/>
      <w:lvlText w:val=""/>
      <w:lvlJc w:val="left"/>
      <w:pPr>
        <w:ind w:left="1080" w:hanging="360"/>
      </w:pPr>
      <w:rPr>
        <w:rFonts w:ascii="Wingdings" w:hAnsi="Wingdings" w:hint="default"/>
        <w:b/>
        <w:i w:val="0"/>
        <w:color w:val="E28521"/>
        <w:sz w:val="32"/>
      </w:rPr>
    </w:lvl>
    <w:lvl w:ilvl="1">
      <w:start w:val="1"/>
      <w:numFmt w:val="bullet"/>
      <w:lvlText w:val=""/>
      <w:lvlJc w:val="left"/>
      <w:pPr>
        <w:ind w:left="1440" w:hanging="360"/>
      </w:pPr>
      <w:rPr>
        <w:rFonts w:ascii="Wingdings" w:hAnsi="Wingdings" w:hint="default"/>
        <w:color w:val="E28521"/>
      </w:rPr>
    </w:lvl>
    <w:lvl w:ilvl="2">
      <w:start w:val="1"/>
      <w:numFmt w:val="bullet"/>
      <w:lvlText w:val=""/>
      <w:lvlJc w:val="left"/>
      <w:pPr>
        <w:ind w:left="1800" w:hanging="360"/>
      </w:pPr>
      <w:rPr>
        <w:rFonts w:ascii="Wingdings" w:hAnsi="Wingdings" w:hint="default"/>
        <w:color w:val="E28521"/>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Aria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Arial"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A91EE4"/>
    <w:multiLevelType w:val="hybridMultilevel"/>
    <w:tmpl w:val="9094131C"/>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17FDA"/>
    <w:multiLevelType w:val="hybridMultilevel"/>
    <w:tmpl w:val="39D4C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987E41"/>
    <w:multiLevelType w:val="hybridMultilevel"/>
    <w:tmpl w:val="D1007320"/>
    <w:lvl w:ilvl="0" w:tplc="35FC5082">
      <w:start w:val="1"/>
      <w:numFmt w:val="bullet"/>
      <w:lvlText w:val=""/>
      <w:lvlJc w:val="left"/>
      <w:pPr>
        <w:tabs>
          <w:tab w:val="num" w:pos="720"/>
        </w:tabs>
        <w:ind w:left="720" w:hanging="360"/>
      </w:pPr>
      <w:rPr>
        <w:rFonts w:ascii="Wingdings 2" w:hAnsi="Wingdings 2" w:hint="default"/>
      </w:rPr>
    </w:lvl>
    <w:lvl w:ilvl="1" w:tplc="1D825D2E" w:tentative="1">
      <w:start w:val="1"/>
      <w:numFmt w:val="bullet"/>
      <w:lvlText w:val=""/>
      <w:lvlJc w:val="left"/>
      <w:pPr>
        <w:tabs>
          <w:tab w:val="num" w:pos="1440"/>
        </w:tabs>
        <w:ind w:left="1440" w:hanging="360"/>
      </w:pPr>
      <w:rPr>
        <w:rFonts w:ascii="Wingdings 2" w:hAnsi="Wingdings 2" w:hint="default"/>
      </w:rPr>
    </w:lvl>
    <w:lvl w:ilvl="2" w:tplc="185E3EF8" w:tentative="1">
      <w:start w:val="1"/>
      <w:numFmt w:val="bullet"/>
      <w:lvlText w:val=""/>
      <w:lvlJc w:val="left"/>
      <w:pPr>
        <w:tabs>
          <w:tab w:val="num" w:pos="2160"/>
        </w:tabs>
        <w:ind w:left="2160" w:hanging="360"/>
      </w:pPr>
      <w:rPr>
        <w:rFonts w:ascii="Wingdings 2" w:hAnsi="Wingdings 2" w:hint="default"/>
      </w:rPr>
    </w:lvl>
    <w:lvl w:ilvl="3" w:tplc="3E245ED4" w:tentative="1">
      <w:start w:val="1"/>
      <w:numFmt w:val="bullet"/>
      <w:lvlText w:val=""/>
      <w:lvlJc w:val="left"/>
      <w:pPr>
        <w:tabs>
          <w:tab w:val="num" w:pos="2880"/>
        </w:tabs>
        <w:ind w:left="2880" w:hanging="360"/>
      </w:pPr>
      <w:rPr>
        <w:rFonts w:ascii="Wingdings 2" w:hAnsi="Wingdings 2" w:hint="default"/>
      </w:rPr>
    </w:lvl>
    <w:lvl w:ilvl="4" w:tplc="735401A8" w:tentative="1">
      <w:start w:val="1"/>
      <w:numFmt w:val="bullet"/>
      <w:lvlText w:val=""/>
      <w:lvlJc w:val="left"/>
      <w:pPr>
        <w:tabs>
          <w:tab w:val="num" w:pos="3600"/>
        </w:tabs>
        <w:ind w:left="3600" w:hanging="360"/>
      </w:pPr>
      <w:rPr>
        <w:rFonts w:ascii="Wingdings 2" w:hAnsi="Wingdings 2" w:hint="default"/>
      </w:rPr>
    </w:lvl>
    <w:lvl w:ilvl="5" w:tplc="EF3679B0" w:tentative="1">
      <w:start w:val="1"/>
      <w:numFmt w:val="bullet"/>
      <w:lvlText w:val=""/>
      <w:lvlJc w:val="left"/>
      <w:pPr>
        <w:tabs>
          <w:tab w:val="num" w:pos="4320"/>
        </w:tabs>
        <w:ind w:left="4320" w:hanging="360"/>
      </w:pPr>
      <w:rPr>
        <w:rFonts w:ascii="Wingdings 2" w:hAnsi="Wingdings 2" w:hint="default"/>
      </w:rPr>
    </w:lvl>
    <w:lvl w:ilvl="6" w:tplc="BC08FBB0" w:tentative="1">
      <w:start w:val="1"/>
      <w:numFmt w:val="bullet"/>
      <w:lvlText w:val=""/>
      <w:lvlJc w:val="left"/>
      <w:pPr>
        <w:tabs>
          <w:tab w:val="num" w:pos="5040"/>
        </w:tabs>
        <w:ind w:left="5040" w:hanging="360"/>
      </w:pPr>
      <w:rPr>
        <w:rFonts w:ascii="Wingdings 2" w:hAnsi="Wingdings 2" w:hint="default"/>
      </w:rPr>
    </w:lvl>
    <w:lvl w:ilvl="7" w:tplc="3C6C68C6" w:tentative="1">
      <w:start w:val="1"/>
      <w:numFmt w:val="bullet"/>
      <w:lvlText w:val=""/>
      <w:lvlJc w:val="left"/>
      <w:pPr>
        <w:tabs>
          <w:tab w:val="num" w:pos="5760"/>
        </w:tabs>
        <w:ind w:left="5760" w:hanging="360"/>
      </w:pPr>
      <w:rPr>
        <w:rFonts w:ascii="Wingdings 2" w:hAnsi="Wingdings 2" w:hint="default"/>
      </w:rPr>
    </w:lvl>
    <w:lvl w:ilvl="8" w:tplc="CB229048"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ADB6F75"/>
    <w:multiLevelType w:val="multilevel"/>
    <w:tmpl w:val="B172061E"/>
    <w:lvl w:ilvl="0">
      <w:start w:val="1"/>
      <w:numFmt w:val="bullet"/>
      <w:lvlText w:val=""/>
      <w:lvlJc w:val="left"/>
      <w:pPr>
        <w:ind w:left="720" w:hanging="360"/>
      </w:pPr>
      <w:rPr>
        <w:rFonts w:ascii="Wingdings" w:hAnsi="Wingdings" w:hint="default"/>
        <w:b/>
        <w:i w:val="0"/>
        <w:color w:val="E28521"/>
        <w:sz w:val="20"/>
      </w:rPr>
    </w:lvl>
    <w:lvl w:ilvl="1">
      <w:start w:val="1"/>
      <w:numFmt w:val="bullet"/>
      <w:lvlText w:val=""/>
      <w:lvlJc w:val="left"/>
      <w:pPr>
        <w:ind w:left="1080" w:hanging="360"/>
      </w:pPr>
      <w:rPr>
        <w:rFonts w:ascii="Wingdings" w:hAnsi="Wingdings" w:hint="default"/>
        <w:color w:val="E28521"/>
        <w:sz w:val="24"/>
      </w:rPr>
    </w:lvl>
    <w:lvl w:ilvl="2">
      <w:start w:val="1"/>
      <w:numFmt w:val="bullet"/>
      <w:lvlText w:val=""/>
      <w:lvlJc w:val="left"/>
      <w:pPr>
        <w:ind w:left="1440" w:hanging="360"/>
      </w:pPr>
      <w:rPr>
        <w:rFonts w:ascii="Wingdings" w:hAnsi="Wingdings" w:hint="default"/>
        <w:color w:val="E28521"/>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Aria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Arial" w:hint="default"/>
      </w:rPr>
    </w:lvl>
    <w:lvl w:ilvl="8">
      <w:start w:val="1"/>
      <w:numFmt w:val="bullet"/>
      <w:lvlText w:val=""/>
      <w:lvlJc w:val="left"/>
      <w:pPr>
        <w:ind w:left="5760" w:hanging="360"/>
      </w:pPr>
      <w:rPr>
        <w:rFonts w:ascii="Wingdings" w:hAnsi="Wingdings" w:hint="default"/>
      </w:rPr>
    </w:lvl>
  </w:abstractNum>
  <w:abstractNum w:abstractNumId="10" w15:restartNumberingAfterBreak="0">
    <w:nsid w:val="1D0874B8"/>
    <w:multiLevelType w:val="hybridMultilevel"/>
    <w:tmpl w:val="19B23924"/>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E2144"/>
    <w:multiLevelType w:val="hybridMultilevel"/>
    <w:tmpl w:val="C42EC96A"/>
    <w:lvl w:ilvl="0" w:tplc="77B00DCC">
      <w:start w:val="1"/>
      <w:numFmt w:val="bullet"/>
      <w:lvlText w:val=""/>
      <w:lvlJc w:val="left"/>
      <w:pPr>
        <w:tabs>
          <w:tab w:val="num" w:pos="720"/>
        </w:tabs>
        <w:ind w:left="720" w:hanging="360"/>
      </w:pPr>
      <w:rPr>
        <w:rFonts w:ascii="Wingdings 2" w:hAnsi="Wingdings 2" w:hint="default"/>
      </w:rPr>
    </w:lvl>
    <w:lvl w:ilvl="1" w:tplc="9F840374" w:tentative="1">
      <w:start w:val="1"/>
      <w:numFmt w:val="bullet"/>
      <w:lvlText w:val=""/>
      <w:lvlJc w:val="left"/>
      <w:pPr>
        <w:tabs>
          <w:tab w:val="num" w:pos="1440"/>
        </w:tabs>
        <w:ind w:left="1440" w:hanging="360"/>
      </w:pPr>
      <w:rPr>
        <w:rFonts w:ascii="Wingdings 2" w:hAnsi="Wingdings 2" w:hint="default"/>
      </w:rPr>
    </w:lvl>
    <w:lvl w:ilvl="2" w:tplc="DDE89626" w:tentative="1">
      <w:start w:val="1"/>
      <w:numFmt w:val="bullet"/>
      <w:lvlText w:val=""/>
      <w:lvlJc w:val="left"/>
      <w:pPr>
        <w:tabs>
          <w:tab w:val="num" w:pos="2160"/>
        </w:tabs>
        <w:ind w:left="2160" w:hanging="360"/>
      </w:pPr>
      <w:rPr>
        <w:rFonts w:ascii="Wingdings 2" w:hAnsi="Wingdings 2" w:hint="default"/>
      </w:rPr>
    </w:lvl>
    <w:lvl w:ilvl="3" w:tplc="9FE6A6A4" w:tentative="1">
      <w:start w:val="1"/>
      <w:numFmt w:val="bullet"/>
      <w:lvlText w:val=""/>
      <w:lvlJc w:val="left"/>
      <w:pPr>
        <w:tabs>
          <w:tab w:val="num" w:pos="2880"/>
        </w:tabs>
        <w:ind w:left="2880" w:hanging="360"/>
      </w:pPr>
      <w:rPr>
        <w:rFonts w:ascii="Wingdings 2" w:hAnsi="Wingdings 2" w:hint="default"/>
      </w:rPr>
    </w:lvl>
    <w:lvl w:ilvl="4" w:tplc="6AEE87F4" w:tentative="1">
      <w:start w:val="1"/>
      <w:numFmt w:val="bullet"/>
      <w:lvlText w:val=""/>
      <w:lvlJc w:val="left"/>
      <w:pPr>
        <w:tabs>
          <w:tab w:val="num" w:pos="3600"/>
        </w:tabs>
        <w:ind w:left="3600" w:hanging="360"/>
      </w:pPr>
      <w:rPr>
        <w:rFonts w:ascii="Wingdings 2" w:hAnsi="Wingdings 2" w:hint="default"/>
      </w:rPr>
    </w:lvl>
    <w:lvl w:ilvl="5" w:tplc="237EE4C0" w:tentative="1">
      <w:start w:val="1"/>
      <w:numFmt w:val="bullet"/>
      <w:lvlText w:val=""/>
      <w:lvlJc w:val="left"/>
      <w:pPr>
        <w:tabs>
          <w:tab w:val="num" w:pos="4320"/>
        </w:tabs>
        <w:ind w:left="4320" w:hanging="360"/>
      </w:pPr>
      <w:rPr>
        <w:rFonts w:ascii="Wingdings 2" w:hAnsi="Wingdings 2" w:hint="default"/>
      </w:rPr>
    </w:lvl>
    <w:lvl w:ilvl="6" w:tplc="4732CD38" w:tentative="1">
      <w:start w:val="1"/>
      <w:numFmt w:val="bullet"/>
      <w:lvlText w:val=""/>
      <w:lvlJc w:val="left"/>
      <w:pPr>
        <w:tabs>
          <w:tab w:val="num" w:pos="5040"/>
        </w:tabs>
        <w:ind w:left="5040" w:hanging="360"/>
      </w:pPr>
      <w:rPr>
        <w:rFonts w:ascii="Wingdings 2" w:hAnsi="Wingdings 2" w:hint="default"/>
      </w:rPr>
    </w:lvl>
    <w:lvl w:ilvl="7" w:tplc="8ABCF37C" w:tentative="1">
      <w:start w:val="1"/>
      <w:numFmt w:val="bullet"/>
      <w:lvlText w:val=""/>
      <w:lvlJc w:val="left"/>
      <w:pPr>
        <w:tabs>
          <w:tab w:val="num" w:pos="5760"/>
        </w:tabs>
        <w:ind w:left="5760" w:hanging="360"/>
      </w:pPr>
      <w:rPr>
        <w:rFonts w:ascii="Wingdings 2" w:hAnsi="Wingdings 2" w:hint="default"/>
      </w:rPr>
    </w:lvl>
    <w:lvl w:ilvl="8" w:tplc="601EEFA2"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9FA21D1"/>
    <w:multiLevelType w:val="multilevel"/>
    <w:tmpl w:val="F3EE9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5106B9"/>
    <w:multiLevelType w:val="hybridMultilevel"/>
    <w:tmpl w:val="0D3E5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D970F0"/>
    <w:multiLevelType w:val="hybridMultilevel"/>
    <w:tmpl w:val="DC74D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010D7"/>
    <w:multiLevelType w:val="hybridMultilevel"/>
    <w:tmpl w:val="9AE6E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C16A4D"/>
    <w:multiLevelType w:val="hybridMultilevel"/>
    <w:tmpl w:val="CE3A13CE"/>
    <w:lvl w:ilvl="0" w:tplc="45EA928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5333A2"/>
    <w:multiLevelType w:val="hybridMultilevel"/>
    <w:tmpl w:val="C4A8D814"/>
    <w:lvl w:ilvl="0" w:tplc="B674F03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457B38E4"/>
    <w:multiLevelType w:val="hybridMultilevel"/>
    <w:tmpl w:val="75C8DF9A"/>
    <w:lvl w:ilvl="0" w:tplc="A8AA1C16">
      <w:start w:val="1"/>
      <w:numFmt w:val="bullet"/>
      <w:lvlText w:val=""/>
      <w:lvlJc w:val="left"/>
      <w:pPr>
        <w:tabs>
          <w:tab w:val="num" w:pos="720"/>
        </w:tabs>
        <w:ind w:left="720" w:hanging="360"/>
      </w:pPr>
      <w:rPr>
        <w:rFonts w:ascii="Wingdings 2" w:hAnsi="Wingdings 2" w:hint="default"/>
      </w:rPr>
    </w:lvl>
    <w:lvl w:ilvl="1" w:tplc="F9BC5378" w:tentative="1">
      <w:start w:val="1"/>
      <w:numFmt w:val="bullet"/>
      <w:lvlText w:val=""/>
      <w:lvlJc w:val="left"/>
      <w:pPr>
        <w:tabs>
          <w:tab w:val="num" w:pos="1440"/>
        </w:tabs>
        <w:ind w:left="1440" w:hanging="360"/>
      </w:pPr>
      <w:rPr>
        <w:rFonts w:ascii="Wingdings 2" w:hAnsi="Wingdings 2" w:hint="default"/>
      </w:rPr>
    </w:lvl>
    <w:lvl w:ilvl="2" w:tplc="9AAE7C4C" w:tentative="1">
      <w:start w:val="1"/>
      <w:numFmt w:val="bullet"/>
      <w:lvlText w:val=""/>
      <w:lvlJc w:val="left"/>
      <w:pPr>
        <w:tabs>
          <w:tab w:val="num" w:pos="2160"/>
        </w:tabs>
        <w:ind w:left="2160" w:hanging="360"/>
      </w:pPr>
      <w:rPr>
        <w:rFonts w:ascii="Wingdings 2" w:hAnsi="Wingdings 2" w:hint="default"/>
      </w:rPr>
    </w:lvl>
    <w:lvl w:ilvl="3" w:tplc="FD82F522" w:tentative="1">
      <w:start w:val="1"/>
      <w:numFmt w:val="bullet"/>
      <w:lvlText w:val=""/>
      <w:lvlJc w:val="left"/>
      <w:pPr>
        <w:tabs>
          <w:tab w:val="num" w:pos="2880"/>
        </w:tabs>
        <w:ind w:left="2880" w:hanging="360"/>
      </w:pPr>
      <w:rPr>
        <w:rFonts w:ascii="Wingdings 2" w:hAnsi="Wingdings 2" w:hint="default"/>
      </w:rPr>
    </w:lvl>
    <w:lvl w:ilvl="4" w:tplc="B5D8B0F8" w:tentative="1">
      <w:start w:val="1"/>
      <w:numFmt w:val="bullet"/>
      <w:lvlText w:val=""/>
      <w:lvlJc w:val="left"/>
      <w:pPr>
        <w:tabs>
          <w:tab w:val="num" w:pos="3600"/>
        </w:tabs>
        <w:ind w:left="3600" w:hanging="360"/>
      </w:pPr>
      <w:rPr>
        <w:rFonts w:ascii="Wingdings 2" w:hAnsi="Wingdings 2" w:hint="default"/>
      </w:rPr>
    </w:lvl>
    <w:lvl w:ilvl="5" w:tplc="CFBA87F0" w:tentative="1">
      <w:start w:val="1"/>
      <w:numFmt w:val="bullet"/>
      <w:lvlText w:val=""/>
      <w:lvlJc w:val="left"/>
      <w:pPr>
        <w:tabs>
          <w:tab w:val="num" w:pos="4320"/>
        </w:tabs>
        <w:ind w:left="4320" w:hanging="360"/>
      </w:pPr>
      <w:rPr>
        <w:rFonts w:ascii="Wingdings 2" w:hAnsi="Wingdings 2" w:hint="default"/>
      </w:rPr>
    </w:lvl>
    <w:lvl w:ilvl="6" w:tplc="91D2940E" w:tentative="1">
      <w:start w:val="1"/>
      <w:numFmt w:val="bullet"/>
      <w:lvlText w:val=""/>
      <w:lvlJc w:val="left"/>
      <w:pPr>
        <w:tabs>
          <w:tab w:val="num" w:pos="5040"/>
        </w:tabs>
        <w:ind w:left="5040" w:hanging="360"/>
      </w:pPr>
      <w:rPr>
        <w:rFonts w:ascii="Wingdings 2" w:hAnsi="Wingdings 2" w:hint="default"/>
      </w:rPr>
    </w:lvl>
    <w:lvl w:ilvl="7" w:tplc="77707088" w:tentative="1">
      <w:start w:val="1"/>
      <w:numFmt w:val="bullet"/>
      <w:lvlText w:val=""/>
      <w:lvlJc w:val="left"/>
      <w:pPr>
        <w:tabs>
          <w:tab w:val="num" w:pos="5760"/>
        </w:tabs>
        <w:ind w:left="5760" w:hanging="360"/>
      </w:pPr>
      <w:rPr>
        <w:rFonts w:ascii="Wingdings 2" w:hAnsi="Wingdings 2" w:hint="default"/>
      </w:rPr>
    </w:lvl>
    <w:lvl w:ilvl="8" w:tplc="96DC214A"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91B48AE"/>
    <w:multiLevelType w:val="hybridMultilevel"/>
    <w:tmpl w:val="CF4E905A"/>
    <w:lvl w:ilvl="0" w:tplc="2E54D002">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C8196A"/>
    <w:multiLevelType w:val="hybridMultilevel"/>
    <w:tmpl w:val="3DCA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E63041"/>
    <w:multiLevelType w:val="hybridMultilevel"/>
    <w:tmpl w:val="CCC63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2D3DE3"/>
    <w:multiLevelType w:val="hybridMultilevel"/>
    <w:tmpl w:val="D45EAD54"/>
    <w:lvl w:ilvl="0" w:tplc="1BC8465E">
      <w:start w:val="1"/>
      <w:numFmt w:val="bullet"/>
      <w:lvlText w:val=""/>
      <w:lvlJc w:val="left"/>
      <w:pPr>
        <w:tabs>
          <w:tab w:val="num" w:pos="720"/>
        </w:tabs>
        <w:ind w:left="720" w:hanging="360"/>
      </w:pPr>
      <w:rPr>
        <w:rFonts w:ascii="Wingdings 2" w:hAnsi="Wingdings 2" w:hint="default"/>
      </w:rPr>
    </w:lvl>
    <w:lvl w:ilvl="1" w:tplc="DADE315C" w:tentative="1">
      <w:start w:val="1"/>
      <w:numFmt w:val="bullet"/>
      <w:lvlText w:val=""/>
      <w:lvlJc w:val="left"/>
      <w:pPr>
        <w:tabs>
          <w:tab w:val="num" w:pos="1440"/>
        </w:tabs>
        <w:ind w:left="1440" w:hanging="360"/>
      </w:pPr>
      <w:rPr>
        <w:rFonts w:ascii="Wingdings 2" w:hAnsi="Wingdings 2" w:hint="default"/>
      </w:rPr>
    </w:lvl>
    <w:lvl w:ilvl="2" w:tplc="F0E663EE" w:tentative="1">
      <w:start w:val="1"/>
      <w:numFmt w:val="bullet"/>
      <w:lvlText w:val=""/>
      <w:lvlJc w:val="left"/>
      <w:pPr>
        <w:tabs>
          <w:tab w:val="num" w:pos="2160"/>
        </w:tabs>
        <w:ind w:left="2160" w:hanging="360"/>
      </w:pPr>
      <w:rPr>
        <w:rFonts w:ascii="Wingdings 2" w:hAnsi="Wingdings 2" w:hint="default"/>
      </w:rPr>
    </w:lvl>
    <w:lvl w:ilvl="3" w:tplc="1964739E" w:tentative="1">
      <w:start w:val="1"/>
      <w:numFmt w:val="bullet"/>
      <w:lvlText w:val=""/>
      <w:lvlJc w:val="left"/>
      <w:pPr>
        <w:tabs>
          <w:tab w:val="num" w:pos="2880"/>
        </w:tabs>
        <w:ind w:left="2880" w:hanging="360"/>
      </w:pPr>
      <w:rPr>
        <w:rFonts w:ascii="Wingdings 2" w:hAnsi="Wingdings 2" w:hint="default"/>
      </w:rPr>
    </w:lvl>
    <w:lvl w:ilvl="4" w:tplc="148A5806" w:tentative="1">
      <w:start w:val="1"/>
      <w:numFmt w:val="bullet"/>
      <w:lvlText w:val=""/>
      <w:lvlJc w:val="left"/>
      <w:pPr>
        <w:tabs>
          <w:tab w:val="num" w:pos="3600"/>
        </w:tabs>
        <w:ind w:left="3600" w:hanging="360"/>
      </w:pPr>
      <w:rPr>
        <w:rFonts w:ascii="Wingdings 2" w:hAnsi="Wingdings 2" w:hint="default"/>
      </w:rPr>
    </w:lvl>
    <w:lvl w:ilvl="5" w:tplc="2F646912" w:tentative="1">
      <w:start w:val="1"/>
      <w:numFmt w:val="bullet"/>
      <w:lvlText w:val=""/>
      <w:lvlJc w:val="left"/>
      <w:pPr>
        <w:tabs>
          <w:tab w:val="num" w:pos="4320"/>
        </w:tabs>
        <w:ind w:left="4320" w:hanging="360"/>
      </w:pPr>
      <w:rPr>
        <w:rFonts w:ascii="Wingdings 2" w:hAnsi="Wingdings 2" w:hint="default"/>
      </w:rPr>
    </w:lvl>
    <w:lvl w:ilvl="6" w:tplc="62968AC0" w:tentative="1">
      <w:start w:val="1"/>
      <w:numFmt w:val="bullet"/>
      <w:lvlText w:val=""/>
      <w:lvlJc w:val="left"/>
      <w:pPr>
        <w:tabs>
          <w:tab w:val="num" w:pos="5040"/>
        </w:tabs>
        <w:ind w:left="5040" w:hanging="360"/>
      </w:pPr>
      <w:rPr>
        <w:rFonts w:ascii="Wingdings 2" w:hAnsi="Wingdings 2" w:hint="default"/>
      </w:rPr>
    </w:lvl>
    <w:lvl w:ilvl="7" w:tplc="5172DB50" w:tentative="1">
      <w:start w:val="1"/>
      <w:numFmt w:val="bullet"/>
      <w:lvlText w:val=""/>
      <w:lvlJc w:val="left"/>
      <w:pPr>
        <w:tabs>
          <w:tab w:val="num" w:pos="5760"/>
        </w:tabs>
        <w:ind w:left="5760" w:hanging="360"/>
      </w:pPr>
      <w:rPr>
        <w:rFonts w:ascii="Wingdings 2" w:hAnsi="Wingdings 2" w:hint="default"/>
      </w:rPr>
    </w:lvl>
    <w:lvl w:ilvl="8" w:tplc="2A44C0CE"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51457F80"/>
    <w:multiLevelType w:val="hybridMultilevel"/>
    <w:tmpl w:val="13506812"/>
    <w:lvl w:ilvl="0" w:tplc="E1A86D9A">
      <w:start w:val="1"/>
      <w:numFmt w:val="decimal"/>
      <w:lvlText w:val="%1."/>
      <w:lvlJc w:val="left"/>
      <w:pPr>
        <w:ind w:left="360" w:hanging="360"/>
      </w:pPr>
      <w:rPr>
        <w:rFonts w:hint="default"/>
        <w:b w:val="0"/>
        <w:i w:val="0"/>
        <w:color w:val="E15D15"/>
        <w:sz w:val="20"/>
        <w:szCs w:val="20"/>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AF7C7A"/>
    <w:multiLevelType w:val="hybridMultilevel"/>
    <w:tmpl w:val="6DD4D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02969"/>
    <w:multiLevelType w:val="multilevel"/>
    <w:tmpl w:val="EA5C5D14"/>
    <w:numStyleLink w:val="Bullet10"/>
  </w:abstractNum>
  <w:abstractNum w:abstractNumId="26" w15:restartNumberingAfterBreak="0">
    <w:nsid w:val="591E1E03"/>
    <w:multiLevelType w:val="hybridMultilevel"/>
    <w:tmpl w:val="0812EBF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5BA6397C"/>
    <w:multiLevelType w:val="hybridMultilevel"/>
    <w:tmpl w:val="20AE389E"/>
    <w:lvl w:ilvl="0" w:tplc="04090013">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0535BC"/>
    <w:multiLevelType w:val="hybridMultilevel"/>
    <w:tmpl w:val="10FA9588"/>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893E3C"/>
    <w:multiLevelType w:val="hybridMultilevel"/>
    <w:tmpl w:val="16FC0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A6584C"/>
    <w:multiLevelType w:val="hybridMultilevel"/>
    <w:tmpl w:val="502CF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C3165E"/>
    <w:multiLevelType w:val="hybridMultilevel"/>
    <w:tmpl w:val="8116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F065E9"/>
    <w:multiLevelType w:val="hybridMultilevel"/>
    <w:tmpl w:val="EC24A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13826">
    <w:abstractNumId w:val="17"/>
  </w:num>
  <w:num w:numId="2" w16cid:durableId="1149982972">
    <w:abstractNumId w:val="6"/>
  </w:num>
  <w:num w:numId="3" w16cid:durableId="1360668529">
    <w:abstractNumId w:val="5"/>
  </w:num>
  <w:num w:numId="4" w16cid:durableId="694888479">
    <w:abstractNumId w:val="16"/>
  </w:num>
  <w:num w:numId="5" w16cid:durableId="1910190498">
    <w:abstractNumId w:val="10"/>
  </w:num>
  <w:num w:numId="6" w16cid:durableId="1360662095">
    <w:abstractNumId w:val="13"/>
  </w:num>
  <w:num w:numId="7" w16cid:durableId="786849975">
    <w:abstractNumId w:val="15"/>
  </w:num>
  <w:num w:numId="8" w16cid:durableId="502747578">
    <w:abstractNumId w:val="14"/>
  </w:num>
  <w:num w:numId="9" w16cid:durableId="2015380588">
    <w:abstractNumId w:val="7"/>
  </w:num>
  <w:num w:numId="10" w16cid:durableId="2040154668">
    <w:abstractNumId w:val="20"/>
  </w:num>
  <w:num w:numId="11" w16cid:durableId="7486066">
    <w:abstractNumId w:val="21"/>
  </w:num>
  <w:num w:numId="12" w16cid:durableId="627511879">
    <w:abstractNumId w:val="30"/>
  </w:num>
  <w:num w:numId="13" w16cid:durableId="1587958960">
    <w:abstractNumId w:val="2"/>
  </w:num>
  <w:num w:numId="14" w16cid:durableId="1169714679">
    <w:abstractNumId w:val="8"/>
  </w:num>
  <w:num w:numId="15" w16cid:durableId="919607458">
    <w:abstractNumId w:val="22"/>
  </w:num>
  <w:num w:numId="16" w16cid:durableId="2086145979">
    <w:abstractNumId w:val="11"/>
  </w:num>
  <w:num w:numId="17" w16cid:durableId="708382805">
    <w:abstractNumId w:val="18"/>
  </w:num>
  <w:num w:numId="18" w16cid:durableId="1639531101">
    <w:abstractNumId w:val="1"/>
  </w:num>
  <w:num w:numId="19" w16cid:durableId="201023351">
    <w:abstractNumId w:val="3"/>
  </w:num>
  <w:num w:numId="20" w16cid:durableId="1066953081">
    <w:abstractNumId w:val="27"/>
  </w:num>
  <w:num w:numId="21" w16cid:durableId="1995405957">
    <w:abstractNumId w:val="12"/>
  </w:num>
  <w:num w:numId="22" w16cid:durableId="1649090759">
    <w:abstractNumId w:val="26"/>
  </w:num>
  <w:num w:numId="23" w16cid:durableId="1241331258">
    <w:abstractNumId w:val="19"/>
  </w:num>
  <w:num w:numId="24" w16cid:durableId="408425445">
    <w:abstractNumId w:val="4"/>
  </w:num>
  <w:num w:numId="25" w16cid:durableId="973025786">
    <w:abstractNumId w:val="25"/>
    <w:lvlOverride w:ilvl="0">
      <w:lvl w:ilvl="0">
        <w:start w:val="1"/>
        <w:numFmt w:val="bullet"/>
        <w:lvlText w:val=""/>
        <w:lvlJc w:val="left"/>
        <w:pPr>
          <w:ind w:left="1080" w:hanging="360"/>
        </w:pPr>
        <w:rPr>
          <w:rFonts w:ascii="Wingdings" w:hAnsi="Wingdings" w:hint="default"/>
          <w:b/>
          <w:i w:val="0"/>
          <w:color w:val="E28521"/>
          <w:sz w:val="24"/>
          <w:szCs w:val="24"/>
        </w:rPr>
      </w:lvl>
    </w:lvlOverride>
  </w:num>
  <w:num w:numId="26" w16cid:durableId="99498328">
    <w:abstractNumId w:val="28"/>
  </w:num>
  <w:num w:numId="27" w16cid:durableId="81612713">
    <w:abstractNumId w:val="23"/>
  </w:num>
  <w:num w:numId="28" w16cid:durableId="936598596">
    <w:abstractNumId w:val="0"/>
  </w:num>
  <w:num w:numId="29" w16cid:durableId="845436540">
    <w:abstractNumId w:val="31"/>
  </w:num>
  <w:num w:numId="30" w16cid:durableId="1086920921">
    <w:abstractNumId w:val="24"/>
  </w:num>
  <w:num w:numId="31" w16cid:durableId="382946757">
    <w:abstractNumId w:val="32"/>
  </w:num>
  <w:num w:numId="32" w16cid:durableId="1409576622">
    <w:abstractNumId w:val="9"/>
  </w:num>
  <w:num w:numId="33" w16cid:durableId="2148535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C2"/>
    <w:rsid w:val="00006B02"/>
    <w:rsid w:val="00006D26"/>
    <w:rsid w:val="00007BDE"/>
    <w:rsid w:val="000125F3"/>
    <w:rsid w:val="00014F68"/>
    <w:rsid w:val="0002190C"/>
    <w:rsid w:val="00030C22"/>
    <w:rsid w:val="00032390"/>
    <w:rsid w:val="0003603B"/>
    <w:rsid w:val="00043D42"/>
    <w:rsid w:val="00051091"/>
    <w:rsid w:val="00056FFB"/>
    <w:rsid w:val="00076146"/>
    <w:rsid w:val="0007624F"/>
    <w:rsid w:val="000808F3"/>
    <w:rsid w:val="0008207E"/>
    <w:rsid w:val="00086F4E"/>
    <w:rsid w:val="00094A0D"/>
    <w:rsid w:val="000A5D6C"/>
    <w:rsid w:val="000A74D7"/>
    <w:rsid w:val="000D0A2A"/>
    <w:rsid w:val="000D1DAA"/>
    <w:rsid w:val="000D3FCB"/>
    <w:rsid w:val="000D4A78"/>
    <w:rsid w:val="000F0FDB"/>
    <w:rsid w:val="000F1E14"/>
    <w:rsid w:val="000F6D88"/>
    <w:rsid w:val="00113114"/>
    <w:rsid w:val="0011666A"/>
    <w:rsid w:val="0012247C"/>
    <w:rsid w:val="001257AF"/>
    <w:rsid w:val="001472F4"/>
    <w:rsid w:val="0015661A"/>
    <w:rsid w:val="001574D3"/>
    <w:rsid w:val="00161152"/>
    <w:rsid w:val="001616EE"/>
    <w:rsid w:val="00163532"/>
    <w:rsid w:val="00166240"/>
    <w:rsid w:val="00167A31"/>
    <w:rsid w:val="00174313"/>
    <w:rsid w:val="00174E70"/>
    <w:rsid w:val="00176632"/>
    <w:rsid w:val="001860A8"/>
    <w:rsid w:val="001A0F70"/>
    <w:rsid w:val="001A329D"/>
    <w:rsid w:val="001A4C6C"/>
    <w:rsid w:val="001B111D"/>
    <w:rsid w:val="001C03B7"/>
    <w:rsid w:val="001D21B1"/>
    <w:rsid w:val="001E0CF4"/>
    <w:rsid w:val="001E4A3B"/>
    <w:rsid w:val="001F0C9A"/>
    <w:rsid w:val="001F3EC7"/>
    <w:rsid w:val="001F694A"/>
    <w:rsid w:val="00200FAC"/>
    <w:rsid w:val="0020151F"/>
    <w:rsid w:val="00204A54"/>
    <w:rsid w:val="0020643D"/>
    <w:rsid w:val="002123C2"/>
    <w:rsid w:val="00215046"/>
    <w:rsid w:val="00222A97"/>
    <w:rsid w:val="002259FC"/>
    <w:rsid w:val="00231AED"/>
    <w:rsid w:val="00231D56"/>
    <w:rsid w:val="00231DDF"/>
    <w:rsid w:val="002415C7"/>
    <w:rsid w:val="0024610A"/>
    <w:rsid w:val="00252CAB"/>
    <w:rsid w:val="002536F4"/>
    <w:rsid w:val="002636CA"/>
    <w:rsid w:val="00267B36"/>
    <w:rsid w:val="00270A58"/>
    <w:rsid w:val="0027236D"/>
    <w:rsid w:val="00280C6C"/>
    <w:rsid w:val="00294558"/>
    <w:rsid w:val="002A0D06"/>
    <w:rsid w:val="002B6AF4"/>
    <w:rsid w:val="002C1D6D"/>
    <w:rsid w:val="002C4C7C"/>
    <w:rsid w:val="002C73ED"/>
    <w:rsid w:val="002D39D2"/>
    <w:rsid w:val="002E041D"/>
    <w:rsid w:val="002E0C25"/>
    <w:rsid w:val="002E3675"/>
    <w:rsid w:val="002E6CE8"/>
    <w:rsid w:val="002E7DA5"/>
    <w:rsid w:val="002F01CD"/>
    <w:rsid w:val="002F07FF"/>
    <w:rsid w:val="002F2AC5"/>
    <w:rsid w:val="002F541A"/>
    <w:rsid w:val="002F5F89"/>
    <w:rsid w:val="00301353"/>
    <w:rsid w:val="003102F2"/>
    <w:rsid w:val="003135AE"/>
    <w:rsid w:val="0032214F"/>
    <w:rsid w:val="003250D3"/>
    <w:rsid w:val="0033200D"/>
    <w:rsid w:val="0034241C"/>
    <w:rsid w:val="00342FD0"/>
    <w:rsid w:val="00353B62"/>
    <w:rsid w:val="00356B3D"/>
    <w:rsid w:val="003660A3"/>
    <w:rsid w:val="00372DB8"/>
    <w:rsid w:val="00381697"/>
    <w:rsid w:val="00382625"/>
    <w:rsid w:val="00393351"/>
    <w:rsid w:val="003963CE"/>
    <w:rsid w:val="00397260"/>
    <w:rsid w:val="003A4FB0"/>
    <w:rsid w:val="003A6BCA"/>
    <w:rsid w:val="003A7938"/>
    <w:rsid w:val="003B2F2B"/>
    <w:rsid w:val="003B42A2"/>
    <w:rsid w:val="003C02C8"/>
    <w:rsid w:val="003D31F2"/>
    <w:rsid w:val="003E0B1D"/>
    <w:rsid w:val="003E5A09"/>
    <w:rsid w:val="003E6B3A"/>
    <w:rsid w:val="003F4351"/>
    <w:rsid w:val="003F66FA"/>
    <w:rsid w:val="004019BB"/>
    <w:rsid w:val="0040759F"/>
    <w:rsid w:val="00407BE0"/>
    <w:rsid w:val="0042016C"/>
    <w:rsid w:val="0042470F"/>
    <w:rsid w:val="004305CE"/>
    <w:rsid w:val="004325FB"/>
    <w:rsid w:val="0043728A"/>
    <w:rsid w:val="004445C7"/>
    <w:rsid w:val="00444AF1"/>
    <w:rsid w:val="004478B3"/>
    <w:rsid w:val="00451061"/>
    <w:rsid w:val="0045649D"/>
    <w:rsid w:val="00457FD8"/>
    <w:rsid w:val="00477D32"/>
    <w:rsid w:val="00482610"/>
    <w:rsid w:val="00485676"/>
    <w:rsid w:val="00491167"/>
    <w:rsid w:val="004A0EE7"/>
    <w:rsid w:val="004A4AB3"/>
    <w:rsid w:val="004B6498"/>
    <w:rsid w:val="004C10F9"/>
    <w:rsid w:val="004C7ED5"/>
    <w:rsid w:val="004D15BD"/>
    <w:rsid w:val="004D789E"/>
    <w:rsid w:val="004E1065"/>
    <w:rsid w:val="004E47A3"/>
    <w:rsid w:val="004F25EE"/>
    <w:rsid w:val="004F29A0"/>
    <w:rsid w:val="0051206A"/>
    <w:rsid w:val="005206E9"/>
    <w:rsid w:val="00532791"/>
    <w:rsid w:val="00533551"/>
    <w:rsid w:val="00544235"/>
    <w:rsid w:val="00546B72"/>
    <w:rsid w:val="00547FDF"/>
    <w:rsid w:val="00550DE3"/>
    <w:rsid w:val="0055485F"/>
    <w:rsid w:val="00555745"/>
    <w:rsid w:val="00564973"/>
    <w:rsid w:val="00570588"/>
    <w:rsid w:val="00573374"/>
    <w:rsid w:val="00577430"/>
    <w:rsid w:val="005857BC"/>
    <w:rsid w:val="00592B55"/>
    <w:rsid w:val="00596BA3"/>
    <w:rsid w:val="005A6F5A"/>
    <w:rsid w:val="005B3CCC"/>
    <w:rsid w:val="005B3CCE"/>
    <w:rsid w:val="005C23CD"/>
    <w:rsid w:val="005C6C1D"/>
    <w:rsid w:val="005C7D9C"/>
    <w:rsid w:val="005D29B4"/>
    <w:rsid w:val="005D31FE"/>
    <w:rsid w:val="005F4230"/>
    <w:rsid w:val="00601532"/>
    <w:rsid w:val="00621434"/>
    <w:rsid w:val="00623E03"/>
    <w:rsid w:val="00631AA7"/>
    <w:rsid w:val="0063603F"/>
    <w:rsid w:val="00643D1F"/>
    <w:rsid w:val="00645ACD"/>
    <w:rsid w:val="0066778E"/>
    <w:rsid w:val="006819E3"/>
    <w:rsid w:val="00685F2B"/>
    <w:rsid w:val="0068601C"/>
    <w:rsid w:val="00697777"/>
    <w:rsid w:val="006A0A54"/>
    <w:rsid w:val="006A1A1C"/>
    <w:rsid w:val="006D0D3B"/>
    <w:rsid w:val="006E13B5"/>
    <w:rsid w:val="006E32C0"/>
    <w:rsid w:val="006E781A"/>
    <w:rsid w:val="006F1EBB"/>
    <w:rsid w:val="00700792"/>
    <w:rsid w:val="00700A17"/>
    <w:rsid w:val="007025F1"/>
    <w:rsid w:val="007116ED"/>
    <w:rsid w:val="007131B9"/>
    <w:rsid w:val="00717A36"/>
    <w:rsid w:val="00724904"/>
    <w:rsid w:val="007338F6"/>
    <w:rsid w:val="00733E18"/>
    <w:rsid w:val="00735A72"/>
    <w:rsid w:val="00743211"/>
    <w:rsid w:val="00743F65"/>
    <w:rsid w:val="00744CE8"/>
    <w:rsid w:val="007470EB"/>
    <w:rsid w:val="00747AF9"/>
    <w:rsid w:val="00757C22"/>
    <w:rsid w:val="007618EA"/>
    <w:rsid w:val="00774EB2"/>
    <w:rsid w:val="00782682"/>
    <w:rsid w:val="00783E7A"/>
    <w:rsid w:val="0079364D"/>
    <w:rsid w:val="007944D2"/>
    <w:rsid w:val="00797055"/>
    <w:rsid w:val="007B2E02"/>
    <w:rsid w:val="007B48A1"/>
    <w:rsid w:val="007C2CF0"/>
    <w:rsid w:val="007C559C"/>
    <w:rsid w:val="007C644F"/>
    <w:rsid w:val="007E638A"/>
    <w:rsid w:val="007F197F"/>
    <w:rsid w:val="0080613F"/>
    <w:rsid w:val="00806391"/>
    <w:rsid w:val="008135CE"/>
    <w:rsid w:val="008250DD"/>
    <w:rsid w:val="00833F0F"/>
    <w:rsid w:val="00844745"/>
    <w:rsid w:val="00845120"/>
    <w:rsid w:val="00845EB2"/>
    <w:rsid w:val="008530BF"/>
    <w:rsid w:val="00855264"/>
    <w:rsid w:val="008759E7"/>
    <w:rsid w:val="0088199F"/>
    <w:rsid w:val="00882BED"/>
    <w:rsid w:val="0088362A"/>
    <w:rsid w:val="008A197C"/>
    <w:rsid w:val="008A3933"/>
    <w:rsid w:val="008B4FF6"/>
    <w:rsid w:val="008C0CF9"/>
    <w:rsid w:val="008C3FE7"/>
    <w:rsid w:val="008C5379"/>
    <w:rsid w:val="008D1003"/>
    <w:rsid w:val="008D65D4"/>
    <w:rsid w:val="008F5113"/>
    <w:rsid w:val="008F642A"/>
    <w:rsid w:val="008F6E4D"/>
    <w:rsid w:val="008F741D"/>
    <w:rsid w:val="00901232"/>
    <w:rsid w:val="00903340"/>
    <w:rsid w:val="00906BE3"/>
    <w:rsid w:val="0090747F"/>
    <w:rsid w:val="00907D3E"/>
    <w:rsid w:val="00917A65"/>
    <w:rsid w:val="00920B91"/>
    <w:rsid w:val="009266F7"/>
    <w:rsid w:val="00933D87"/>
    <w:rsid w:val="009363EF"/>
    <w:rsid w:val="009366A5"/>
    <w:rsid w:val="00940535"/>
    <w:rsid w:val="009421C4"/>
    <w:rsid w:val="00966D4C"/>
    <w:rsid w:val="00971A94"/>
    <w:rsid w:val="0097445C"/>
    <w:rsid w:val="00984BD9"/>
    <w:rsid w:val="0099059B"/>
    <w:rsid w:val="00990C84"/>
    <w:rsid w:val="0099300D"/>
    <w:rsid w:val="0099504F"/>
    <w:rsid w:val="009970C6"/>
    <w:rsid w:val="009A0CB7"/>
    <w:rsid w:val="009A71DC"/>
    <w:rsid w:val="009B4CA1"/>
    <w:rsid w:val="009B741F"/>
    <w:rsid w:val="009C35CA"/>
    <w:rsid w:val="009D2D48"/>
    <w:rsid w:val="009D5F80"/>
    <w:rsid w:val="009E18CA"/>
    <w:rsid w:val="009E493C"/>
    <w:rsid w:val="009E6104"/>
    <w:rsid w:val="009F29B9"/>
    <w:rsid w:val="009F4B90"/>
    <w:rsid w:val="00A14527"/>
    <w:rsid w:val="00A16A10"/>
    <w:rsid w:val="00A225A7"/>
    <w:rsid w:val="00A26FCC"/>
    <w:rsid w:val="00A335D1"/>
    <w:rsid w:val="00A362B4"/>
    <w:rsid w:val="00A366EB"/>
    <w:rsid w:val="00A4112B"/>
    <w:rsid w:val="00A4263C"/>
    <w:rsid w:val="00A44FFF"/>
    <w:rsid w:val="00A50D93"/>
    <w:rsid w:val="00A64BA1"/>
    <w:rsid w:val="00A67AE3"/>
    <w:rsid w:val="00A74415"/>
    <w:rsid w:val="00A75F76"/>
    <w:rsid w:val="00A94E43"/>
    <w:rsid w:val="00AB05E3"/>
    <w:rsid w:val="00AB59EF"/>
    <w:rsid w:val="00AD2595"/>
    <w:rsid w:val="00AE7880"/>
    <w:rsid w:val="00AF11A7"/>
    <w:rsid w:val="00B0457B"/>
    <w:rsid w:val="00B06976"/>
    <w:rsid w:val="00B230DE"/>
    <w:rsid w:val="00B24A31"/>
    <w:rsid w:val="00B24B38"/>
    <w:rsid w:val="00B35D9B"/>
    <w:rsid w:val="00B40191"/>
    <w:rsid w:val="00B4519C"/>
    <w:rsid w:val="00B5042F"/>
    <w:rsid w:val="00B5196C"/>
    <w:rsid w:val="00B554F9"/>
    <w:rsid w:val="00B73CEB"/>
    <w:rsid w:val="00B74EF3"/>
    <w:rsid w:val="00B76DCF"/>
    <w:rsid w:val="00B7702D"/>
    <w:rsid w:val="00B77C97"/>
    <w:rsid w:val="00B8451C"/>
    <w:rsid w:val="00B96B60"/>
    <w:rsid w:val="00BA2057"/>
    <w:rsid w:val="00BA5EA3"/>
    <w:rsid w:val="00BA6E70"/>
    <w:rsid w:val="00BB0233"/>
    <w:rsid w:val="00BB2195"/>
    <w:rsid w:val="00BB21A0"/>
    <w:rsid w:val="00BB2947"/>
    <w:rsid w:val="00BB309C"/>
    <w:rsid w:val="00BC00DC"/>
    <w:rsid w:val="00BC54D4"/>
    <w:rsid w:val="00BC58CE"/>
    <w:rsid w:val="00BD0357"/>
    <w:rsid w:val="00BD6FD3"/>
    <w:rsid w:val="00BD796D"/>
    <w:rsid w:val="00BE26C7"/>
    <w:rsid w:val="00BF15B8"/>
    <w:rsid w:val="00BF2AFB"/>
    <w:rsid w:val="00BF4166"/>
    <w:rsid w:val="00C02BDC"/>
    <w:rsid w:val="00C11075"/>
    <w:rsid w:val="00C117FB"/>
    <w:rsid w:val="00C12DCB"/>
    <w:rsid w:val="00C1643C"/>
    <w:rsid w:val="00C24158"/>
    <w:rsid w:val="00C24B4C"/>
    <w:rsid w:val="00C26AE4"/>
    <w:rsid w:val="00C31011"/>
    <w:rsid w:val="00C45348"/>
    <w:rsid w:val="00C563D5"/>
    <w:rsid w:val="00C56A5D"/>
    <w:rsid w:val="00C56E6F"/>
    <w:rsid w:val="00C60E9A"/>
    <w:rsid w:val="00C67172"/>
    <w:rsid w:val="00C80D4D"/>
    <w:rsid w:val="00C82D17"/>
    <w:rsid w:val="00C83AE6"/>
    <w:rsid w:val="00C85DEB"/>
    <w:rsid w:val="00C87558"/>
    <w:rsid w:val="00C90112"/>
    <w:rsid w:val="00C944A9"/>
    <w:rsid w:val="00C94931"/>
    <w:rsid w:val="00C9511F"/>
    <w:rsid w:val="00CA4D14"/>
    <w:rsid w:val="00CB2B87"/>
    <w:rsid w:val="00CB4946"/>
    <w:rsid w:val="00CC71BF"/>
    <w:rsid w:val="00CD049D"/>
    <w:rsid w:val="00CD216B"/>
    <w:rsid w:val="00CD6E1B"/>
    <w:rsid w:val="00CE405C"/>
    <w:rsid w:val="00CE6144"/>
    <w:rsid w:val="00CF15A4"/>
    <w:rsid w:val="00CF295D"/>
    <w:rsid w:val="00CF48CE"/>
    <w:rsid w:val="00CF4C60"/>
    <w:rsid w:val="00CF5678"/>
    <w:rsid w:val="00CF6FA4"/>
    <w:rsid w:val="00D0630D"/>
    <w:rsid w:val="00D130A8"/>
    <w:rsid w:val="00D20433"/>
    <w:rsid w:val="00D22302"/>
    <w:rsid w:val="00D24F86"/>
    <w:rsid w:val="00D279FB"/>
    <w:rsid w:val="00D40CCE"/>
    <w:rsid w:val="00D4171C"/>
    <w:rsid w:val="00D44A9D"/>
    <w:rsid w:val="00D54287"/>
    <w:rsid w:val="00D6462D"/>
    <w:rsid w:val="00D659A6"/>
    <w:rsid w:val="00D81055"/>
    <w:rsid w:val="00D86719"/>
    <w:rsid w:val="00D86C22"/>
    <w:rsid w:val="00DA3248"/>
    <w:rsid w:val="00DA670D"/>
    <w:rsid w:val="00DA69A1"/>
    <w:rsid w:val="00DA71B5"/>
    <w:rsid w:val="00DB4504"/>
    <w:rsid w:val="00DB4B83"/>
    <w:rsid w:val="00DB4DB7"/>
    <w:rsid w:val="00DB72D3"/>
    <w:rsid w:val="00DC63FB"/>
    <w:rsid w:val="00DD1CB5"/>
    <w:rsid w:val="00DD4182"/>
    <w:rsid w:val="00DD5E81"/>
    <w:rsid w:val="00DD7467"/>
    <w:rsid w:val="00DE1AF5"/>
    <w:rsid w:val="00DE2279"/>
    <w:rsid w:val="00DE35E2"/>
    <w:rsid w:val="00DF0E6E"/>
    <w:rsid w:val="00DF551B"/>
    <w:rsid w:val="00E02476"/>
    <w:rsid w:val="00E13B85"/>
    <w:rsid w:val="00E154AB"/>
    <w:rsid w:val="00E22D85"/>
    <w:rsid w:val="00E250E1"/>
    <w:rsid w:val="00E26698"/>
    <w:rsid w:val="00E333BE"/>
    <w:rsid w:val="00E4096A"/>
    <w:rsid w:val="00E42E60"/>
    <w:rsid w:val="00E50612"/>
    <w:rsid w:val="00E6415C"/>
    <w:rsid w:val="00E703ED"/>
    <w:rsid w:val="00E70C1D"/>
    <w:rsid w:val="00E7306A"/>
    <w:rsid w:val="00E768BF"/>
    <w:rsid w:val="00E9197D"/>
    <w:rsid w:val="00EA5D37"/>
    <w:rsid w:val="00EB3A99"/>
    <w:rsid w:val="00EC2EAA"/>
    <w:rsid w:val="00EC342F"/>
    <w:rsid w:val="00ED00FB"/>
    <w:rsid w:val="00ED3785"/>
    <w:rsid w:val="00ED57EC"/>
    <w:rsid w:val="00ED79B0"/>
    <w:rsid w:val="00EE3C17"/>
    <w:rsid w:val="00EF04E4"/>
    <w:rsid w:val="00EF11BB"/>
    <w:rsid w:val="00EF56DE"/>
    <w:rsid w:val="00F114D6"/>
    <w:rsid w:val="00F12FFB"/>
    <w:rsid w:val="00F13972"/>
    <w:rsid w:val="00F1496E"/>
    <w:rsid w:val="00F1729C"/>
    <w:rsid w:val="00F26680"/>
    <w:rsid w:val="00F269B1"/>
    <w:rsid w:val="00F2754F"/>
    <w:rsid w:val="00F3453D"/>
    <w:rsid w:val="00F36A2B"/>
    <w:rsid w:val="00F60F50"/>
    <w:rsid w:val="00F71E79"/>
    <w:rsid w:val="00F72DA4"/>
    <w:rsid w:val="00F85E40"/>
    <w:rsid w:val="00F95AB8"/>
    <w:rsid w:val="00FA2E43"/>
    <w:rsid w:val="00FB0D62"/>
    <w:rsid w:val="00FB1F72"/>
    <w:rsid w:val="00FB6233"/>
    <w:rsid w:val="00FB6A64"/>
    <w:rsid w:val="00FC23A8"/>
    <w:rsid w:val="00FC4898"/>
    <w:rsid w:val="00FE44DA"/>
    <w:rsid w:val="00FE7B57"/>
    <w:rsid w:val="00FF19FF"/>
    <w:rsid w:val="00FF2496"/>
    <w:rsid w:val="00FF7AF9"/>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FF6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78E"/>
    <w:rPr>
      <w:rFonts w:ascii="Arial" w:hAnsi="Arial" w:cs="Arial"/>
      <w:sz w:val="20"/>
      <w:szCs w:val="20"/>
    </w:rPr>
  </w:style>
  <w:style w:type="paragraph" w:styleId="Heading1">
    <w:name w:val="heading 1"/>
    <w:basedOn w:val="Normal"/>
    <w:next w:val="Normal"/>
    <w:link w:val="Heading1Char"/>
    <w:qFormat/>
    <w:rsid w:val="002123C2"/>
    <w:pPr>
      <w:keepNext/>
      <w:keepLines/>
      <w:spacing w:before="160" w:after="160"/>
      <w:outlineLvl w:val="0"/>
    </w:pPr>
    <w:rPr>
      <w:rFonts w:eastAsiaTheme="majorEastAsia"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724904"/>
    <w:pPr>
      <w:spacing w:after="120"/>
      <w:outlineLvl w:val="1"/>
    </w:pPr>
    <w:rPr>
      <w:rFonts w:eastAsia="Calibri" w:cs="Times New Roman"/>
      <w:b/>
      <w:color w:val="E15D15"/>
      <w:sz w:val="28"/>
      <w:szCs w:val="28"/>
    </w:rPr>
  </w:style>
  <w:style w:type="paragraph" w:styleId="Heading3">
    <w:name w:val="heading 3"/>
    <w:basedOn w:val="Normal"/>
    <w:next w:val="Normal"/>
    <w:link w:val="Heading3Char"/>
    <w:unhideWhenUsed/>
    <w:qFormat/>
    <w:rsid w:val="002123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pPr>
      <w:spacing w:after="0" w:line="240" w:lineRule="auto"/>
    </w:pPr>
  </w:style>
  <w:style w:type="paragraph" w:styleId="Caption">
    <w:name w:val="caption"/>
    <w:basedOn w:val="Normal"/>
    <w:next w:val="Normal"/>
    <w:uiPriority w:val="35"/>
    <w:unhideWhenUsed/>
    <w:qFormat/>
    <w:rsid w:val="002123C2"/>
    <w:pPr>
      <w:spacing w:line="240" w:lineRule="auto"/>
    </w:pPr>
    <w:rPr>
      <w:b/>
      <w:bCs/>
      <w:color w:val="4F81BD" w:themeColor="accent1"/>
      <w:sz w:val="18"/>
      <w:szCs w:val="18"/>
    </w:rPr>
  </w:style>
  <w:style w:type="paragraph" w:styleId="Header">
    <w:name w:val="header"/>
    <w:basedOn w:val="Normal"/>
    <w:link w:val="HeaderChar"/>
    <w:uiPriority w:val="99"/>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2123C2"/>
    <w:rPr>
      <w:rFonts w:ascii="Arial" w:eastAsiaTheme="majorEastAsia" w:hAnsi="Arial" w:cstheme="majorBidi"/>
      <w:b/>
      <w:bCs/>
      <w:color w:val="365F91" w:themeColor="accent1" w:themeShade="BF"/>
      <w:sz w:val="32"/>
      <w:szCs w:val="28"/>
    </w:rPr>
  </w:style>
  <w:style w:type="character" w:customStyle="1" w:styleId="Heading3Char">
    <w:name w:val="Heading 3 Char"/>
    <w:basedOn w:val="DefaultParagraphFont"/>
    <w:link w:val="Heading3"/>
    <w:rsid w:val="002123C2"/>
    <w:rPr>
      <w:rFonts w:asciiTheme="majorHAnsi" w:eastAsiaTheme="majorEastAsia" w:hAnsiTheme="majorHAnsi" w:cstheme="majorBidi"/>
      <w:b/>
      <w:bCs/>
      <w:color w:val="4F81BD" w:themeColor="accent1"/>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themeColor="followedHyperlink"/>
      <w:u w:val="single"/>
    </w:rPr>
  </w:style>
  <w:style w:type="paragraph" w:customStyle="1" w:styleId="Bullet">
    <w:name w:val="Bullet"/>
    <w:basedOn w:val="NormalWeb"/>
    <w:link w:val="BulletChar"/>
    <w:qFormat/>
    <w:rsid w:val="006E781A"/>
    <w:pPr>
      <w:numPr>
        <w:numId w:val="3"/>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eastAsia="Times New Roman" w:hAnsi="Arial" w:cs="Arial"/>
      <w:sz w:val="20"/>
      <w:szCs w:val="20"/>
    </w:rPr>
  </w:style>
  <w:style w:type="table" w:styleId="TableGrid">
    <w:name w:val="Table Grid"/>
    <w:basedOn w:val="TableNormal"/>
    <w:uiPriority w:val="99"/>
    <w:rsid w:val="00C944A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B4519C"/>
    <w:rPr>
      <w:sz w:val="16"/>
      <w:szCs w:val="16"/>
    </w:rPr>
  </w:style>
  <w:style w:type="paragraph" w:styleId="CommentText">
    <w:name w:val="annotation text"/>
    <w:basedOn w:val="Normal"/>
    <w:link w:val="CommentTextChar"/>
    <w:uiPriority w:val="99"/>
    <w:semiHidden/>
    <w:unhideWhenUsed/>
    <w:rsid w:val="00B4519C"/>
    <w:pPr>
      <w:spacing w:line="240" w:lineRule="auto"/>
    </w:pPr>
  </w:style>
  <w:style w:type="character" w:customStyle="1" w:styleId="CommentTextChar">
    <w:name w:val="Comment Text Char"/>
    <w:basedOn w:val="DefaultParagraphFont"/>
    <w:link w:val="CommentText"/>
    <w:uiPriority w:val="99"/>
    <w:semiHidden/>
    <w:rsid w:val="00B4519C"/>
    <w:rPr>
      <w:sz w:val="20"/>
      <w:szCs w:val="20"/>
    </w:rPr>
  </w:style>
  <w:style w:type="paragraph" w:styleId="CommentSubject">
    <w:name w:val="annotation subject"/>
    <w:basedOn w:val="CommentText"/>
    <w:next w:val="CommentText"/>
    <w:link w:val="CommentSubjectChar"/>
    <w:uiPriority w:val="99"/>
    <w:semiHidden/>
    <w:unhideWhenUsed/>
    <w:rsid w:val="00B4519C"/>
    <w:rPr>
      <w:b/>
      <w:bCs/>
    </w:rPr>
  </w:style>
  <w:style w:type="character" w:customStyle="1" w:styleId="CommentSubjectChar">
    <w:name w:val="Comment Subject Char"/>
    <w:basedOn w:val="CommentTextChar"/>
    <w:link w:val="CommentSubject"/>
    <w:uiPriority w:val="99"/>
    <w:semiHidden/>
    <w:rsid w:val="00B4519C"/>
    <w:rPr>
      <w:b/>
      <w:bCs/>
      <w:sz w:val="20"/>
      <w:szCs w:val="20"/>
    </w:rPr>
  </w:style>
  <w:style w:type="paragraph" w:customStyle="1" w:styleId="Bullet1">
    <w:name w:val="Bullet 1"/>
    <w:basedOn w:val="Normal"/>
    <w:link w:val="Bullet1Char"/>
    <w:qFormat/>
    <w:rsid w:val="007131B9"/>
    <w:pPr>
      <w:numPr>
        <w:numId w:val="13"/>
      </w:numPr>
      <w:spacing w:before="160" w:after="160"/>
    </w:pPr>
    <w:rPr>
      <w:rFonts w:eastAsia="Calibri"/>
    </w:rPr>
  </w:style>
  <w:style w:type="paragraph" w:styleId="FootnoteText">
    <w:name w:val="footnote text"/>
    <w:basedOn w:val="Normal"/>
    <w:link w:val="FootnoteTextChar"/>
    <w:uiPriority w:val="99"/>
    <w:semiHidden/>
    <w:unhideWhenUsed/>
    <w:rsid w:val="00E703ED"/>
    <w:pPr>
      <w:spacing w:after="0" w:line="240" w:lineRule="auto"/>
    </w:pPr>
  </w:style>
  <w:style w:type="character" w:customStyle="1" w:styleId="FootnoteTextChar">
    <w:name w:val="Footnote Text Char"/>
    <w:basedOn w:val="DefaultParagraphFont"/>
    <w:link w:val="FootnoteText"/>
    <w:uiPriority w:val="99"/>
    <w:semiHidden/>
    <w:rsid w:val="00E703ED"/>
    <w:rPr>
      <w:sz w:val="20"/>
      <w:szCs w:val="20"/>
    </w:rPr>
  </w:style>
  <w:style w:type="character" w:styleId="FootnoteReference">
    <w:name w:val="footnote reference"/>
    <w:rsid w:val="00E703ED"/>
    <w:rPr>
      <w:rFonts w:cs="Times New Roman"/>
      <w:vertAlign w:val="superscript"/>
    </w:rPr>
  </w:style>
  <w:style w:type="paragraph" w:styleId="Revision">
    <w:name w:val="Revision"/>
    <w:hidden/>
    <w:uiPriority w:val="99"/>
    <w:semiHidden/>
    <w:rsid w:val="00E250E1"/>
    <w:pPr>
      <w:spacing w:after="0" w:line="240" w:lineRule="auto"/>
    </w:pPr>
  </w:style>
  <w:style w:type="character" w:customStyle="1" w:styleId="Heading2Char">
    <w:name w:val="Heading 2 Char"/>
    <w:basedOn w:val="DefaultParagraphFont"/>
    <w:link w:val="Heading2"/>
    <w:uiPriority w:val="9"/>
    <w:rsid w:val="00724904"/>
    <w:rPr>
      <w:rFonts w:ascii="Arial" w:eastAsia="Calibri" w:hAnsi="Arial" w:cs="Times New Roman"/>
      <w:b/>
      <w:color w:val="E15D15"/>
      <w:sz w:val="28"/>
      <w:szCs w:val="28"/>
    </w:rPr>
  </w:style>
  <w:style w:type="numbering" w:customStyle="1" w:styleId="Bullet10">
    <w:name w:val="Bullet1"/>
    <w:uiPriority w:val="99"/>
    <w:rsid w:val="001C03B7"/>
    <w:pPr>
      <w:numPr>
        <w:numId w:val="24"/>
      </w:numPr>
    </w:pPr>
  </w:style>
  <w:style w:type="character" w:customStyle="1" w:styleId="Bullet1Char">
    <w:name w:val="Bullet 1 Char"/>
    <w:link w:val="Bullet1"/>
    <w:rsid w:val="001C03B7"/>
    <w:rPr>
      <w:rFonts w:ascii="Arial" w:eastAsia="Calibri" w:hAnsi="Arial" w:cs="Arial"/>
      <w:sz w:val="20"/>
      <w:szCs w:val="20"/>
    </w:rPr>
  </w:style>
  <w:style w:type="character" w:styleId="Emphasis">
    <w:name w:val="Emphasis"/>
    <w:uiPriority w:val="20"/>
    <w:qFormat/>
    <w:rsid w:val="000F1E14"/>
    <w:rPr>
      <w:b/>
    </w:rPr>
  </w:style>
  <w:style w:type="character" w:customStyle="1" w:styleId="apple-converted-space">
    <w:name w:val="apple-converted-space"/>
    <w:basedOn w:val="DefaultParagraphFont"/>
    <w:rsid w:val="00907D3E"/>
  </w:style>
  <w:style w:type="character" w:customStyle="1" w:styleId="UnresolvedMention1">
    <w:name w:val="Unresolved Mention1"/>
    <w:basedOn w:val="DefaultParagraphFont"/>
    <w:uiPriority w:val="99"/>
    <w:semiHidden/>
    <w:unhideWhenUsed/>
    <w:rsid w:val="00161152"/>
    <w:rPr>
      <w:color w:val="605E5C"/>
      <w:shd w:val="clear" w:color="auto" w:fill="E1DFDD"/>
    </w:rPr>
  </w:style>
  <w:style w:type="character" w:customStyle="1" w:styleId="UnresolvedMention2">
    <w:name w:val="Unresolved Mention2"/>
    <w:basedOn w:val="DefaultParagraphFont"/>
    <w:uiPriority w:val="99"/>
    <w:semiHidden/>
    <w:unhideWhenUsed/>
    <w:rsid w:val="00743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96545">
      <w:bodyDiv w:val="1"/>
      <w:marLeft w:val="0"/>
      <w:marRight w:val="0"/>
      <w:marTop w:val="0"/>
      <w:marBottom w:val="0"/>
      <w:divBdr>
        <w:top w:val="none" w:sz="0" w:space="0" w:color="auto"/>
        <w:left w:val="none" w:sz="0" w:space="0" w:color="auto"/>
        <w:bottom w:val="none" w:sz="0" w:space="0" w:color="auto"/>
        <w:right w:val="none" w:sz="0" w:space="0" w:color="auto"/>
      </w:divBdr>
      <w:divsChild>
        <w:div w:id="1677147888">
          <w:marLeft w:val="600"/>
          <w:marRight w:val="0"/>
          <w:marTop w:val="0"/>
          <w:marBottom w:val="0"/>
          <w:divBdr>
            <w:top w:val="none" w:sz="0" w:space="0" w:color="auto"/>
            <w:left w:val="none" w:sz="0" w:space="0" w:color="auto"/>
            <w:bottom w:val="none" w:sz="0" w:space="0" w:color="auto"/>
            <w:right w:val="none" w:sz="0" w:space="0" w:color="auto"/>
          </w:divBdr>
          <w:divsChild>
            <w:div w:id="354424424">
              <w:marLeft w:val="0"/>
              <w:marRight w:val="0"/>
              <w:marTop w:val="30"/>
              <w:marBottom w:val="60"/>
              <w:divBdr>
                <w:top w:val="none" w:sz="0" w:space="0" w:color="auto"/>
                <w:left w:val="none" w:sz="0" w:space="0" w:color="auto"/>
                <w:bottom w:val="none" w:sz="0" w:space="0" w:color="auto"/>
                <w:right w:val="none" w:sz="0" w:space="0" w:color="auto"/>
              </w:divBdr>
            </w:div>
            <w:div w:id="837424555">
              <w:marLeft w:val="0"/>
              <w:marRight w:val="0"/>
              <w:marTop w:val="30"/>
              <w:marBottom w:val="60"/>
              <w:divBdr>
                <w:top w:val="none" w:sz="0" w:space="0" w:color="auto"/>
                <w:left w:val="none" w:sz="0" w:space="0" w:color="auto"/>
                <w:bottom w:val="none" w:sz="0" w:space="0" w:color="auto"/>
                <w:right w:val="none" w:sz="0" w:space="0" w:color="auto"/>
              </w:divBdr>
            </w:div>
            <w:div w:id="1636713305">
              <w:marLeft w:val="0"/>
              <w:marRight w:val="0"/>
              <w:marTop w:val="30"/>
              <w:marBottom w:val="60"/>
              <w:divBdr>
                <w:top w:val="none" w:sz="0" w:space="0" w:color="auto"/>
                <w:left w:val="none" w:sz="0" w:space="0" w:color="auto"/>
                <w:bottom w:val="none" w:sz="0" w:space="0" w:color="auto"/>
                <w:right w:val="none" w:sz="0" w:space="0" w:color="auto"/>
              </w:divBdr>
            </w:div>
            <w:div w:id="1188372456">
              <w:marLeft w:val="0"/>
              <w:marRight w:val="0"/>
              <w:marTop w:val="30"/>
              <w:marBottom w:val="60"/>
              <w:divBdr>
                <w:top w:val="none" w:sz="0" w:space="0" w:color="auto"/>
                <w:left w:val="none" w:sz="0" w:space="0" w:color="auto"/>
                <w:bottom w:val="none" w:sz="0" w:space="0" w:color="auto"/>
                <w:right w:val="none" w:sz="0" w:space="0" w:color="auto"/>
              </w:divBdr>
            </w:div>
            <w:div w:id="577249082">
              <w:marLeft w:val="0"/>
              <w:marRight w:val="0"/>
              <w:marTop w:val="30"/>
              <w:marBottom w:val="60"/>
              <w:divBdr>
                <w:top w:val="none" w:sz="0" w:space="0" w:color="auto"/>
                <w:left w:val="none" w:sz="0" w:space="0" w:color="auto"/>
                <w:bottom w:val="none" w:sz="0" w:space="0" w:color="auto"/>
                <w:right w:val="none" w:sz="0" w:space="0" w:color="auto"/>
              </w:divBdr>
            </w:div>
            <w:div w:id="109786033">
              <w:marLeft w:val="0"/>
              <w:marRight w:val="0"/>
              <w:marTop w:val="30"/>
              <w:marBottom w:val="60"/>
              <w:divBdr>
                <w:top w:val="none" w:sz="0" w:space="0" w:color="auto"/>
                <w:left w:val="none" w:sz="0" w:space="0" w:color="auto"/>
                <w:bottom w:val="none" w:sz="0" w:space="0" w:color="auto"/>
                <w:right w:val="none" w:sz="0" w:space="0" w:color="auto"/>
              </w:divBdr>
            </w:div>
            <w:div w:id="372773122">
              <w:marLeft w:val="0"/>
              <w:marRight w:val="0"/>
              <w:marTop w:val="30"/>
              <w:marBottom w:val="60"/>
              <w:divBdr>
                <w:top w:val="none" w:sz="0" w:space="0" w:color="auto"/>
                <w:left w:val="none" w:sz="0" w:space="0" w:color="auto"/>
                <w:bottom w:val="none" w:sz="0" w:space="0" w:color="auto"/>
                <w:right w:val="none" w:sz="0" w:space="0" w:color="auto"/>
              </w:divBdr>
            </w:div>
            <w:div w:id="1965575410">
              <w:marLeft w:val="0"/>
              <w:marRight w:val="0"/>
              <w:marTop w:val="30"/>
              <w:marBottom w:val="60"/>
              <w:divBdr>
                <w:top w:val="none" w:sz="0" w:space="0" w:color="auto"/>
                <w:left w:val="none" w:sz="0" w:space="0" w:color="auto"/>
                <w:bottom w:val="none" w:sz="0" w:space="0" w:color="auto"/>
                <w:right w:val="none" w:sz="0" w:space="0" w:color="auto"/>
              </w:divBdr>
            </w:div>
            <w:div w:id="175509187">
              <w:marLeft w:val="0"/>
              <w:marRight w:val="0"/>
              <w:marTop w:val="30"/>
              <w:marBottom w:val="60"/>
              <w:divBdr>
                <w:top w:val="none" w:sz="0" w:space="0" w:color="auto"/>
                <w:left w:val="none" w:sz="0" w:space="0" w:color="auto"/>
                <w:bottom w:val="none" w:sz="0" w:space="0" w:color="auto"/>
                <w:right w:val="none" w:sz="0" w:space="0" w:color="auto"/>
              </w:divBdr>
            </w:div>
            <w:div w:id="1629628948">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 w:id="166214896">
      <w:bodyDiv w:val="1"/>
      <w:marLeft w:val="0"/>
      <w:marRight w:val="0"/>
      <w:marTop w:val="0"/>
      <w:marBottom w:val="0"/>
      <w:divBdr>
        <w:top w:val="none" w:sz="0" w:space="0" w:color="auto"/>
        <w:left w:val="none" w:sz="0" w:space="0" w:color="auto"/>
        <w:bottom w:val="none" w:sz="0" w:space="0" w:color="auto"/>
        <w:right w:val="none" w:sz="0" w:space="0" w:color="auto"/>
      </w:divBdr>
      <w:divsChild>
        <w:div w:id="379138805">
          <w:marLeft w:val="0"/>
          <w:marRight w:val="0"/>
          <w:marTop w:val="24"/>
          <w:marBottom w:val="48"/>
          <w:divBdr>
            <w:top w:val="none" w:sz="0" w:space="0" w:color="auto"/>
            <w:left w:val="none" w:sz="0" w:space="0" w:color="auto"/>
            <w:bottom w:val="none" w:sz="0" w:space="0" w:color="auto"/>
            <w:right w:val="none" w:sz="0" w:space="0" w:color="auto"/>
          </w:divBdr>
        </w:div>
        <w:div w:id="1715498826">
          <w:marLeft w:val="0"/>
          <w:marRight w:val="0"/>
          <w:marTop w:val="24"/>
          <w:marBottom w:val="48"/>
          <w:divBdr>
            <w:top w:val="none" w:sz="0" w:space="0" w:color="auto"/>
            <w:left w:val="none" w:sz="0" w:space="0" w:color="auto"/>
            <w:bottom w:val="none" w:sz="0" w:space="0" w:color="auto"/>
            <w:right w:val="none" w:sz="0" w:space="0" w:color="auto"/>
          </w:divBdr>
        </w:div>
      </w:divsChild>
    </w:div>
    <w:div w:id="369838092">
      <w:bodyDiv w:val="1"/>
      <w:marLeft w:val="0"/>
      <w:marRight w:val="0"/>
      <w:marTop w:val="0"/>
      <w:marBottom w:val="0"/>
      <w:divBdr>
        <w:top w:val="none" w:sz="0" w:space="0" w:color="auto"/>
        <w:left w:val="none" w:sz="0" w:space="0" w:color="auto"/>
        <w:bottom w:val="none" w:sz="0" w:space="0" w:color="auto"/>
        <w:right w:val="none" w:sz="0" w:space="0" w:color="auto"/>
      </w:divBdr>
    </w:div>
    <w:div w:id="549927636">
      <w:bodyDiv w:val="1"/>
      <w:marLeft w:val="0"/>
      <w:marRight w:val="0"/>
      <w:marTop w:val="0"/>
      <w:marBottom w:val="0"/>
      <w:divBdr>
        <w:top w:val="none" w:sz="0" w:space="0" w:color="auto"/>
        <w:left w:val="none" w:sz="0" w:space="0" w:color="auto"/>
        <w:bottom w:val="none" w:sz="0" w:space="0" w:color="auto"/>
        <w:right w:val="none" w:sz="0" w:space="0" w:color="auto"/>
      </w:divBdr>
      <w:divsChild>
        <w:div w:id="1673486794">
          <w:marLeft w:val="0"/>
          <w:marRight w:val="0"/>
          <w:marTop w:val="24"/>
          <w:marBottom w:val="48"/>
          <w:divBdr>
            <w:top w:val="none" w:sz="0" w:space="0" w:color="auto"/>
            <w:left w:val="none" w:sz="0" w:space="0" w:color="auto"/>
            <w:bottom w:val="none" w:sz="0" w:space="0" w:color="auto"/>
            <w:right w:val="none" w:sz="0" w:space="0" w:color="auto"/>
          </w:divBdr>
        </w:div>
        <w:div w:id="874583633">
          <w:marLeft w:val="0"/>
          <w:marRight w:val="0"/>
          <w:marTop w:val="24"/>
          <w:marBottom w:val="48"/>
          <w:divBdr>
            <w:top w:val="none" w:sz="0" w:space="0" w:color="auto"/>
            <w:left w:val="none" w:sz="0" w:space="0" w:color="auto"/>
            <w:bottom w:val="none" w:sz="0" w:space="0" w:color="auto"/>
            <w:right w:val="none" w:sz="0" w:space="0" w:color="auto"/>
          </w:divBdr>
        </w:div>
      </w:divsChild>
    </w:div>
    <w:div w:id="555363555">
      <w:bodyDiv w:val="1"/>
      <w:marLeft w:val="0"/>
      <w:marRight w:val="0"/>
      <w:marTop w:val="0"/>
      <w:marBottom w:val="0"/>
      <w:divBdr>
        <w:top w:val="none" w:sz="0" w:space="0" w:color="auto"/>
        <w:left w:val="none" w:sz="0" w:space="0" w:color="auto"/>
        <w:bottom w:val="none" w:sz="0" w:space="0" w:color="auto"/>
        <w:right w:val="none" w:sz="0" w:space="0" w:color="auto"/>
      </w:divBdr>
      <w:divsChild>
        <w:div w:id="1884173083">
          <w:marLeft w:val="0"/>
          <w:marRight w:val="0"/>
          <w:marTop w:val="30"/>
          <w:marBottom w:val="60"/>
          <w:divBdr>
            <w:top w:val="none" w:sz="0" w:space="0" w:color="auto"/>
            <w:left w:val="none" w:sz="0" w:space="0" w:color="auto"/>
            <w:bottom w:val="none" w:sz="0" w:space="0" w:color="auto"/>
            <w:right w:val="none" w:sz="0" w:space="0" w:color="auto"/>
          </w:divBdr>
        </w:div>
        <w:div w:id="492843612">
          <w:marLeft w:val="0"/>
          <w:marRight w:val="0"/>
          <w:marTop w:val="30"/>
          <w:marBottom w:val="60"/>
          <w:divBdr>
            <w:top w:val="none" w:sz="0" w:space="0" w:color="auto"/>
            <w:left w:val="none" w:sz="0" w:space="0" w:color="auto"/>
            <w:bottom w:val="none" w:sz="0" w:space="0" w:color="auto"/>
            <w:right w:val="none" w:sz="0" w:space="0" w:color="auto"/>
          </w:divBdr>
        </w:div>
        <w:div w:id="152067683">
          <w:marLeft w:val="0"/>
          <w:marRight w:val="0"/>
          <w:marTop w:val="30"/>
          <w:marBottom w:val="60"/>
          <w:divBdr>
            <w:top w:val="none" w:sz="0" w:space="0" w:color="auto"/>
            <w:left w:val="none" w:sz="0" w:space="0" w:color="auto"/>
            <w:bottom w:val="none" w:sz="0" w:space="0" w:color="auto"/>
            <w:right w:val="none" w:sz="0" w:space="0" w:color="auto"/>
          </w:divBdr>
        </w:div>
      </w:divsChild>
    </w:div>
    <w:div w:id="1424641473">
      <w:bodyDiv w:val="1"/>
      <w:marLeft w:val="0"/>
      <w:marRight w:val="0"/>
      <w:marTop w:val="0"/>
      <w:marBottom w:val="0"/>
      <w:divBdr>
        <w:top w:val="none" w:sz="0" w:space="0" w:color="auto"/>
        <w:left w:val="none" w:sz="0" w:space="0" w:color="auto"/>
        <w:bottom w:val="none" w:sz="0" w:space="0" w:color="auto"/>
        <w:right w:val="none" w:sz="0" w:space="0" w:color="auto"/>
      </w:divBdr>
      <w:divsChild>
        <w:div w:id="1983659663">
          <w:marLeft w:val="0"/>
          <w:marRight w:val="0"/>
          <w:marTop w:val="30"/>
          <w:marBottom w:val="60"/>
          <w:divBdr>
            <w:top w:val="none" w:sz="0" w:space="0" w:color="auto"/>
            <w:left w:val="none" w:sz="0" w:space="0" w:color="auto"/>
            <w:bottom w:val="none" w:sz="0" w:space="0" w:color="auto"/>
            <w:right w:val="none" w:sz="0" w:space="0" w:color="auto"/>
          </w:divBdr>
        </w:div>
        <w:div w:id="45103267">
          <w:marLeft w:val="0"/>
          <w:marRight w:val="0"/>
          <w:marTop w:val="30"/>
          <w:marBottom w:val="60"/>
          <w:divBdr>
            <w:top w:val="none" w:sz="0" w:space="0" w:color="auto"/>
            <w:left w:val="none" w:sz="0" w:space="0" w:color="auto"/>
            <w:bottom w:val="none" w:sz="0" w:space="0" w:color="auto"/>
            <w:right w:val="none" w:sz="0" w:space="0" w:color="auto"/>
          </w:divBdr>
        </w:div>
        <w:div w:id="1638145862">
          <w:marLeft w:val="0"/>
          <w:marRight w:val="0"/>
          <w:marTop w:val="30"/>
          <w:marBottom w:val="60"/>
          <w:divBdr>
            <w:top w:val="none" w:sz="0" w:space="0" w:color="auto"/>
            <w:left w:val="none" w:sz="0" w:space="0" w:color="auto"/>
            <w:bottom w:val="none" w:sz="0" w:space="0" w:color="auto"/>
            <w:right w:val="none" w:sz="0" w:space="0" w:color="auto"/>
          </w:divBdr>
        </w:div>
      </w:divsChild>
    </w:div>
    <w:div w:id="1467355552">
      <w:bodyDiv w:val="1"/>
      <w:marLeft w:val="0"/>
      <w:marRight w:val="0"/>
      <w:marTop w:val="0"/>
      <w:marBottom w:val="0"/>
      <w:divBdr>
        <w:top w:val="none" w:sz="0" w:space="0" w:color="auto"/>
        <w:left w:val="none" w:sz="0" w:space="0" w:color="auto"/>
        <w:bottom w:val="none" w:sz="0" w:space="0" w:color="auto"/>
        <w:right w:val="none" w:sz="0" w:space="0" w:color="auto"/>
      </w:divBdr>
    </w:div>
    <w:div w:id="1480076855">
      <w:bodyDiv w:val="1"/>
      <w:marLeft w:val="0"/>
      <w:marRight w:val="0"/>
      <w:marTop w:val="0"/>
      <w:marBottom w:val="0"/>
      <w:divBdr>
        <w:top w:val="none" w:sz="0" w:space="0" w:color="auto"/>
        <w:left w:val="none" w:sz="0" w:space="0" w:color="auto"/>
        <w:bottom w:val="none" w:sz="0" w:space="0" w:color="auto"/>
        <w:right w:val="none" w:sz="0" w:space="0" w:color="auto"/>
      </w:divBdr>
      <w:divsChild>
        <w:div w:id="1661880818">
          <w:marLeft w:val="547"/>
          <w:marRight w:val="0"/>
          <w:marTop w:val="134"/>
          <w:marBottom w:val="0"/>
          <w:divBdr>
            <w:top w:val="none" w:sz="0" w:space="0" w:color="auto"/>
            <w:left w:val="none" w:sz="0" w:space="0" w:color="auto"/>
            <w:bottom w:val="none" w:sz="0" w:space="0" w:color="auto"/>
            <w:right w:val="none" w:sz="0" w:space="0" w:color="auto"/>
          </w:divBdr>
        </w:div>
        <w:div w:id="1383555859">
          <w:marLeft w:val="547"/>
          <w:marRight w:val="0"/>
          <w:marTop w:val="134"/>
          <w:marBottom w:val="0"/>
          <w:divBdr>
            <w:top w:val="none" w:sz="0" w:space="0" w:color="auto"/>
            <w:left w:val="none" w:sz="0" w:space="0" w:color="auto"/>
            <w:bottom w:val="none" w:sz="0" w:space="0" w:color="auto"/>
            <w:right w:val="none" w:sz="0" w:space="0" w:color="auto"/>
          </w:divBdr>
        </w:div>
        <w:div w:id="170341686">
          <w:marLeft w:val="547"/>
          <w:marRight w:val="0"/>
          <w:marTop w:val="134"/>
          <w:marBottom w:val="0"/>
          <w:divBdr>
            <w:top w:val="none" w:sz="0" w:space="0" w:color="auto"/>
            <w:left w:val="none" w:sz="0" w:space="0" w:color="auto"/>
            <w:bottom w:val="none" w:sz="0" w:space="0" w:color="auto"/>
            <w:right w:val="none" w:sz="0" w:space="0" w:color="auto"/>
          </w:divBdr>
        </w:div>
        <w:div w:id="136338684">
          <w:marLeft w:val="547"/>
          <w:marRight w:val="0"/>
          <w:marTop w:val="134"/>
          <w:marBottom w:val="0"/>
          <w:divBdr>
            <w:top w:val="none" w:sz="0" w:space="0" w:color="auto"/>
            <w:left w:val="none" w:sz="0" w:space="0" w:color="auto"/>
            <w:bottom w:val="none" w:sz="0" w:space="0" w:color="auto"/>
            <w:right w:val="none" w:sz="0" w:space="0" w:color="auto"/>
          </w:divBdr>
        </w:div>
      </w:divsChild>
    </w:div>
    <w:div w:id="1518079753">
      <w:bodyDiv w:val="1"/>
      <w:marLeft w:val="0"/>
      <w:marRight w:val="0"/>
      <w:marTop w:val="0"/>
      <w:marBottom w:val="0"/>
      <w:divBdr>
        <w:top w:val="none" w:sz="0" w:space="0" w:color="auto"/>
        <w:left w:val="none" w:sz="0" w:space="0" w:color="auto"/>
        <w:bottom w:val="none" w:sz="0" w:space="0" w:color="auto"/>
        <w:right w:val="none" w:sz="0" w:space="0" w:color="auto"/>
      </w:divBdr>
    </w:div>
    <w:div w:id="2097164809">
      <w:bodyDiv w:val="1"/>
      <w:marLeft w:val="0"/>
      <w:marRight w:val="0"/>
      <w:marTop w:val="0"/>
      <w:marBottom w:val="0"/>
      <w:divBdr>
        <w:top w:val="none" w:sz="0" w:space="0" w:color="auto"/>
        <w:left w:val="none" w:sz="0" w:space="0" w:color="auto"/>
        <w:bottom w:val="none" w:sz="0" w:space="0" w:color="auto"/>
        <w:right w:val="none" w:sz="0" w:space="0" w:color="auto"/>
      </w:divBdr>
      <w:divsChild>
        <w:div w:id="1519662020">
          <w:marLeft w:val="0"/>
          <w:marRight w:val="0"/>
          <w:marTop w:val="30"/>
          <w:marBottom w:val="60"/>
          <w:divBdr>
            <w:top w:val="none" w:sz="0" w:space="0" w:color="auto"/>
            <w:left w:val="none" w:sz="0" w:space="0" w:color="auto"/>
            <w:bottom w:val="none" w:sz="0" w:space="0" w:color="auto"/>
            <w:right w:val="none" w:sz="0" w:space="0" w:color="auto"/>
          </w:divBdr>
        </w:div>
        <w:div w:id="2053380543">
          <w:marLeft w:val="0"/>
          <w:marRight w:val="0"/>
          <w:marTop w:val="30"/>
          <w:marBottom w:val="60"/>
          <w:divBdr>
            <w:top w:val="none" w:sz="0" w:space="0" w:color="auto"/>
            <w:left w:val="none" w:sz="0" w:space="0" w:color="auto"/>
            <w:bottom w:val="none" w:sz="0" w:space="0" w:color="auto"/>
            <w:right w:val="none" w:sz="0" w:space="0" w:color="auto"/>
          </w:divBdr>
        </w:div>
        <w:div w:id="1178618762">
          <w:marLeft w:val="0"/>
          <w:marRight w:val="0"/>
          <w:marTop w:val="30"/>
          <w:marBottom w:val="60"/>
          <w:divBdr>
            <w:top w:val="none" w:sz="0" w:space="0" w:color="auto"/>
            <w:left w:val="none" w:sz="0" w:space="0" w:color="auto"/>
            <w:bottom w:val="none" w:sz="0" w:space="0" w:color="auto"/>
            <w:right w:val="none" w:sz="0" w:space="0" w:color="auto"/>
          </w:divBdr>
        </w:div>
      </w:divsChild>
    </w:div>
    <w:div w:id="2101178590">
      <w:bodyDiv w:val="1"/>
      <w:marLeft w:val="0"/>
      <w:marRight w:val="0"/>
      <w:marTop w:val="0"/>
      <w:marBottom w:val="0"/>
      <w:divBdr>
        <w:top w:val="none" w:sz="0" w:space="0" w:color="auto"/>
        <w:left w:val="none" w:sz="0" w:space="0" w:color="auto"/>
        <w:bottom w:val="none" w:sz="0" w:space="0" w:color="auto"/>
        <w:right w:val="none" w:sz="0" w:space="0" w:color="auto"/>
      </w:divBdr>
      <w:divsChild>
        <w:div w:id="1157574101">
          <w:marLeft w:val="547"/>
          <w:marRight w:val="0"/>
          <w:marTop w:val="134"/>
          <w:marBottom w:val="0"/>
          <w:divBdr>
            <w:top w:val="none" w:sz="0" w:space="0" w:color="auto"/>
            <w:left w:val="none" w:sz="0" w:space="0" w:color="auto"/>
            <w:bottom w:val="none" w:sz="0" w:space="0" w:color="auto"/>
            <w:right w:val="none" w:sz="0" w:space="0" w:color="auto"/>
          </w:divBdr>
        </w:div>
        <w:div w:id="240876060">
          <w:marLeft w:val="547"/>
          <w:marRight w:val="0"/>
          <w:marTop w:val="134"/>
          <w:marBottom w:val="0"/>
          <w:divBdr>
            <w:top w:val="none" w:sz="0" w:space="0" w:color="auto"/>
            <w:left w:val="none" w:sz="0" w:space="0" w:color="auto"/>
            <w:bottom w:val="none" w:sz="0" w:space="0" w:color="auto"/>
            <w:right w:val="none" w:sz="0" w:space="0" w:color="auto"/>
          </w:divBdr>
        </w:div>
        <w:div w:id="1324318414">
          <w:marLeft w:val="547"/>
          <w:marRight w:val="0"/>
          <w:marTop w:val="134"/>
          <w:marBottom w:val="0"/>
          <w:divBdr>
            <w:top w:val="none" w:sz="0" w:space="0" w:color="auto"/>
            <w:left w:val="none" w:sz="0" w:space="0" w:color="auto"/>
            <w:bottom w:val="none" w:sz="0" w:space="0" w:color="auto"/>
            <w:right w:val="none" w:sz="0" w:space="0" w:color="auto"/>
          </w:divBdr>
        </w:div>
        <w:div w:id="88795991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sped/advisories/2018-1.pdf" TargetMode="External"/><Relationship Id="rId18" Type="http://schemas.openxmlformats.org/officeDocument/2006/relationships/hyperlink" Target="http://www.doe.mass.edu/sped/advisories/2018-1.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cfr.gov/cgi-bin/text-idx?SID=f8a3e1dcfedbaa7e7b4b6115f1012436&amp;mc=true&amp;node=se34.2.300_1144&amp;rgn=div8"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oe.mass.edu/sped/advisories/2018-1.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oe.mass.edu/sped/advisories/2018-1.pdf" TargetMode="External"/><Relationship Id="rId20" Type="http://schemas.openxmlformats.org/officeDocument/2006/relationships/hyperlink" Target="https://www.ecfr.gov/cgi-bin/text-idx?SID=f8a3e1dcfedbaa7e7b4b6115f1012436&amp;mc=true&amp;node=se34.2.300_1129&amp;rgn=div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IDEAequitableservices@doe.mass.edu" TargetMode="External"/><Relationship Id="rId23" Type="http://schemas.openxmlformats.org/officeDocument/2006/relationships/hyperlink" Target="http://www.doe.mass.edu/sped/advisories/2018-1.pdf" TargetMode="External"/><Relationship Id="rId10" Type="http://schemas.openxmlformats.org/officeDocument/2006/relationships/footnotes" Target="footnotes.xml"/><Relationship Id="rId19" Type="http://schemas.openxmlformats.org/officeDocument/2006/relationships/hyperlink" Target="https://www.ecfr.gov/cgi-bin/text-idx?SID=f8a3e1dcfedbaa7e7b4b6115f1012436&amp;mc=true&amp;node=se34.2.300_1142&amp;rgn=div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sped/advisories/2018-1.pdf" TargetMode="External"/><Relationship Id="rId22" Type="http://schemas.openxmlformats.org/officeDocument/2006/relationships/hyperlink" Target="https://sites.ed.gov/idea/files/Private_School_QA_April_2011.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DESE-231-57506</_dlc_DocId>
    <_dlc_DocIdUrl xmlns="733efe1c-5bbe-4968-87dc-d400e65c879f">
      <Url>https://sharepoint.doemass.org/ese/webteam/cps/_layouts/DocIdRedir.aspx?ID=DESE-231-57506</Url>
      <Description>DESE-231-57506</Description>
    </_dlc_DocIdUrl>
  </documentManagement>
</p:properties>
</file>

<file path=customXml/itemProps1.xml><?xml version="1.0" encoding="utf-8"?>
<ds:datastoreItem xmlns:ds="http://schemas.openxmlformats.org/officeDocument/2006/customXml" ds:itemID="{11987B8F-F5C1-40FD-9EA3-E2B1D7086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01224-5FC7-4D4C-B507-4A47F5896D19}">
  <ds:schemaRefs>
    <ds:schemaRef ds:uri="http://schemas.microsoft.com/sharepoint/events"/>
  </ds:schemaRefs>
</ds:datastoreItem>
</file>

<file path=customXml/itemProps3.xml><?xml version="1.0" encoding="utf-8"?>
<ds:datastoreItem xmlns:ds="http://schemas.openxmlformats.org/officeDocument/2006/customXml" ds:itemID="{3F8E0189-FC33-4E63-A56E-3B87A9C29207}">
  <ds:schemaRefs>
    <ds:schemaRef ds:uri="http://schemas.microsoft.com/sharepoint/v3/contenttype/forms"/>
  </ds:schemaRefs>
</ds:datastoreItem>
</file>

<file path=customXml/itemProps4.xml><?xml version="1.0" encoding="utf-8"?>
<ds:datastoreItem xmlns:ds="http://schemas.openxmlformats.org/officeDocument/2006/customXml" ds:itemID="{4EC1515F-99AE-4A40-A9E3-1717A34BE216}">
  <ds:schemaRefs>
    <ds:schemaRef ds:uri="http://schemas.openxmlformats.org/officeDocument/2006/bibliography"/>
  </ds:schemaRefs>
</ds:datastoreItem>
</file>

<file path=customXml/itemProps5.xml><?xml version="1.0" encoding="utf-8"?>
<ds:datastoreItem xmlns:ds="http://schemas.openxmlformats.org/officeDocument/2006/customXml" ds:itemID="{23B7FEBF-233A-427B-B7A0-B8AEDB10910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Quick Reference Guide: IDEA Proportionate Share</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 Equitable Services Quick Reference Guide</dc:title>
  <dc:subject/>
  <dc:creator>DESE</dc:creator>
  <cp:keywords/>
  <cp:lastModifiedBy>Zou, Dong (EOE)</cp:lastModifiedBy>
  <cp:revision>3</cp:revision>
  <cp:lastPrinted>2018-08-17T14:28:00Z</cp:lastPrinted>
  <dcterms:created xsi:type="dcterms:W3CDTF">2024-02-05T16:45:00Z</dcterms:created>
  <dcterms:modified xsi:type="dcterms:W3CDTF">2024-02-06T17:49:00Z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6 2024 12:00AM</vt:lpwstr>
  </property>
</Properties>
</file>