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41667" w14:textId="077CEA96" w:rsidR="43C6D3EA" w:rsidRDefault="43C6D3EA" w:rsidP="43C6D3EA">
      <w:pPr>
        <w:jc w:val="center"/>
      </w:pPr>
      <w:r>
        <w:rPr>
          <w:noProof/>
        </w:rPr>
        <w:drawing>
          <wp:anchor distT="0" distB="0" distL="114300" distR="114300" simplePos="0" relativeHeight="251658240" behindDoc="0" locked="0" layoutInCell="1" allowOverlap="1" wp14:anchorId="1C2CE291" wp14:editId="0E429D3C">
            <wp:simplePos x="0" y="0"/>
            <wp:positionH relativeFrom="margin">
              <wp:align>left</wp:align>
            </wp:positionH>
            <wp:positionV relativeFrom="paragraph">
              <wp:posOffset>0</wp:posOffset>
            </wp:positionV>
            <wp:extent cx="2705100" cy="568960"/>
            <wp:effectExtent l="0" t="0" r="0" b="2540"/>
            <wp:wrapNone/>
            <wp:docPr id="23445807" name="Picture 23445807"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5807" name="Picture 23445807" descr="DESE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5100" cy="568960"/>
                    </a:xfrm>
                    <a:prstGeom prst="rect">
                      <a:avLst/>
                    </a:prstGeom>
                  </pic:spPr>
                </pic:pic>
              </a:graphicData>
            </a:graphic>
            <wp14:sizeRelH relativeFrom="page">
              <wp14:pctWidth>0</wp14:pctWidth>
            </wp14:sizeRelH>
            <wp14:sizeRelV relativeFrom="page">
              <wp14:pctHeight>0</wp14:pctHeight>
            </wp14:sizeRelV>
          </wp:anchor>
        </w:drawing>
      </w:r>
    </w:p>
    <w:p w14:paraId="22588520" w14:textId="77777777" w:rsidR="005C0AA3" w:rsidRDefault="005C0AA3" w:rsidP="3F7F7619">
      <w:pPr>
        <w:jc w:val="center"/>
        <w:rPr>
          <w:b/>
          <w:bCs/>
        </w:rPr>
      </w:pPr>
    </w:p>
    <w:p w14:paraId="5BC9FB1F" w14:textId="6F00A085" w:rsidR="006053AA" w:rsidRPr="004B02CC" w:rsidRDefault="00BB2ABC" w:rsidP="3F7F7619">
      <w:pPr>
        <w:jc w:val="center"/>
        <w:rPr>
          <w:b/>
          <w:bCs/>
        </w:rPr>
      </w:pPr>
      <w:r w:rsidRPr="004B02CC">
        <w:rPr>
          <w:b/>
          <w:bCs/>
        </w:rPr>
        <w:t xml:space="preserve">Navigating </w:t>
      </w:r>
      <w:r w:rsidR="00CC57CF" w:rsidRPr="004B02CC">
        <w:rPr>
          <w:b/>
          <w:bCs/>
        </w:rPr>
        <w:t>Perkins (0400/0401)</w:t>
      </w:r>
      <w:r w:rsidR="00E62F5B" w:rsidRPr="004B02CC">
        <w:rPr>
          <w:b/>
          <w:bCs/>
        </w:rPr>
        <w:t xml:space="preserve"> </w:t>
      </w:r>
      <w:r w:rsidRPr="004B02CC">
        <w:rPr>
          <w:b/>
          <w:bCs/>
        </w:rPr>
        <w:t>in GEM$</w:t>
      </w:r>
    </w:p>
    <w:p w14:paraId="6EB3CB3F" w14:textId="337DEAEC" w:rsidR="006053AA" w:rsidRDefault="006053AA" w:rsidP="006053AA">
      <w:r>
        <w:t>This addendum is a guide as districts</w:t>
      </w:r>
      <w:r w:rsidR="60A54EC8">
        <w:t xml:space="preserve">/LEAs </w:t>
      </w:r>
      <w:r w:rsidR="005135CC">
        <w:t>develop</w:t>
      </w:r>
      <w:r>
        <w:t xml:space="preserve"> </w:t>
      </w:r>
      <w:r w:rsidR="39B5A260">
        <w:t xml:space="preserve">and reconcile </w:t>
      </w:r>
      <w:r>
        <w:t xml:space="preserve">their </w:t>
      </w:r>
      <w:r w:rsidR="00CC57CF">
        <w:t xml:space="preserve">Perkins 0400/0401 </w:t>
      </w:r>
      <w:r>
        <w:t>budgets in GEM$. The grant writer and LEA fiscal representative should review each budget</w:t>
      </w:r>
      <w:r w:rsidR="00EE1427">
        <w:t xml:space="preserve"> item</w:t>
      </w:r>
      <w:r>
        <w:t xml:space="preserve"> to ensure the object and function codes are correct. </w:t>
      </w:r>
      <w:r w:rsidR="00EE1427">
        <w:t>Districts should also</w:t>
      </w:r>
      <w:r>
        <w:t xml:space="preserve"> review the Chart of Accounts Guidance listed in the </w:t>
      </w:r>
      <w:hyperlink r:id="rId7">
        <w:r w:rsidRPr="4D18B08A">
          <w:rPr>
            <w:rStyle w:val="Hyperlink"/>
          </w:rPr>
          <w:t>GEM$ DESE Resource</w:t>
        </w:r>
        <w:r w:rsidR="009D1FD9" w:rsidRPr="4D18B08A">
          <w:rPr>
            <w:rStyle w:val="Hyperlink"/>
          </w:rPr>
          <w:t>s</w:t>
        </w:r>
      </w:hyperlink>
      <w:r>
        <w:t>.</w:t>
      </w:r>
    </w:p>
    <w:p w14:paraId="02891AD0" w14:textId="1D3E6B8C" w:rsidR="006053AA" w:rsidRDefault="006053AA" w:rsidP="4D18B08A">
      <w:pPr>
        <w:rPr>
          <w:b/>
          <w:bCs/>
        </w:rPr>
      </w:pPr>
      <w:r>
        <w:t>Please note:</w:t>
      </w:r>
    </w:p>
    <w:p w14:paraId="60D658D4" w14:textId="0FCA8C6C" w:rsidR="006053AA" w:rsidRDefault="006053AA" w:rsidP="47BEA335">
      <w:pPr>
        <w:pStyle w:val="ListParagraph"/>
        <w:numPr>
          <w:ilvl w:val="0"/>
          <w:numId w:val="2"/>
        </w:numPr>
      </w:pPr>
      <w:r>
        <w:t xml:space="preserve">The function code in </w:t>
      </w:r>
      <w:r w:rsidR="003C7999">
        <w:t xml:space="preserve">the </w:t>
      </w:r>
      <w:r>
        <w:t>GEM$ budgets automatically defaults to COMM (community services)</w:t>
      </w:r>
    </w:p>
    <w:p w14:paraId="1A1AB0DC" w14:textId="324154CE" w:rsidR="006053AA" w:rsidRDefault="006053AA" w:rsidP="006053AA">
      <w:pPr>
        <w:pStyle w:val="ListParagraph"/>
        <w:numPr>
          <w:ilvl w:val="0"/>
          <w:numId w:val="2"/>
        </w:numPr>
      </w:pPr>
      <w:r>
        <w:t>01M is the object code for all positions that are required to take MTRS</w:t>
      </w:r>
      <w:r w:rsidR="3A6BDCAA">
        <w:t xml:space="preserve"> (Massachusetts Teacher Retirement System – </w:t>
      </w:r>
      <w:r w:rsidR="1FD43C04">
        <w:t>Non-Applicable</w:t>
      </w:r>
      <w:r w:rsidR="3A6BDCAA">
        <w:t xml:space="preserve"> for 0401 applicants</w:t>
      </w:r>
      <w:r w:rsidR="37343BE8">
        <w:t>)</w:t>
      </w:r>
      <w:r w:rsidR="3A6BDCAA">
        <w:t>.</w:t>
      </w:r>
      <w:r>
        <w:t xml:space="preserve"> </w:t>
      </w:r>
    </w:p>
    <w:p w14:paraId="0CFFAB5C" w14:textId="16161383" w:rsidR="006053AA" w:rsidRDefault="006053AA" w:rsidP="006053AA">
      <w:pPr>
        <w:pStyle w:val="ListParagraph"/>
        <w:numPr>
          <w:ilvl w:val="0"/>
          <w:numId w:val="2"/>
        </w:numPr>
        <w:rPr>
          <w:iCs/>
        </w:rPr>
      </w:pPr>
      <w:r w:rsidRPr="004B3090">
        <w:rPr>
          <w:iCs/>
        </w:rPr>
        <w:t xml:space="preserve">01NM is the object code for positions that </w:t>
      </w:r>
      <w:r w:rsidRPr="004B3090">
        <w:rPr>
          <w:i/>
        </w:rPr>
        <w:t>are not</w:t>
      </w:r>
      <w:r w:rsidRPr="004B3090">
        <w:rPr>
          <w:iCs/>
        </w:rPr>
        <w:t xml:space="preserve"> </w:t>
      </w:r>
      <w:r w:rsidR="005E430E">
        <w:rPr>
          <w:iCs/>
        </w:rPr>
        <w:t xml:space="preserve">part of </w:t>
      </w:r>
      <w:r w:rsidRPr="004B3090">
        <w:rPr>
          <w:iCs/>
        </w:rPr>
        <w:t>MTRS.</w:t>
      </w:r>
    </w:p>
    <w:p w14:paraId="475DAE2E" w14:textId="411913CD" w:rsidR="006053AA" w:rsidRDefault="006053AA" w:rsidP="006053AA">
      <w:pPr>
        <w:pStyle w:val="ListParagraph"/>
        <w:numPr>
          <w:ilvl w:val="0"/>
          <w:numId w:val="2"/>
        </w:numPr>
        <w:rPr>
          <w:iCs/>
        </w:rPr>
      </w:pPr>
      <w:r w:rsidRPr="004B3090">
        <w:rPr>
          <w:iCs/>
        </w:rPr>
        <w:t>04</w:t>
      </w:r>
      <w:r w:rsidR="008150BC">
        <w:rPr>
          <w:iCs/>
        </w:rPr>
        <w:t>C</w:t>
      </w:r>
      <w:r w:rsidRPr="004B3090">
        <w:rPr>
          <w:iCs/>
        </w:rPr>
        <w:t xml:space="preserve"> is the object code for</w:t>
      </w:r>
      <w:r w:rsidR="00461AF9">
        <w:rPr>
          <w:iCs/>
        </w:rPr>
        <w:t xml:space="preserve"> contract</w:t>
      </w:r>
      <w:r w:rsidRPr="004B3090">
        <w:rPr>
          <w:iCs/>
        </w:rPr>
        <w:t xml:space="preserve"> items &lt;$25,000.  </w:t>
      </w:r>
    </w:p>
    <w:p w14:paraId="6FEFF8AB" w14:textId="5ACF4BA9" w:rsidR="006053AA" w:rsidRDefault="006053AA" w:rsidP="47BEA335">
      <w:pPr>
        <w:pStyle w:val="ListParagraph"/>
        <w:numPr>
          <w:ilvl w:val="0"/>
          <w:numId w:val="2"/>
        </w:numPr>
        <w:ind w:right="-450"/>
      </w:pPr>
      <w:r>
        <w:t xml:space="preserve">Any </w:t>
      </w:r>
      <w:r w:rsidR="00461AF9">
        <w:t>contract</w:t>
      </w:r>
      <w:r>
        <w:t xml:space="preserve"> over $25,000 should be object code 04MC</w:t>
      </w:r>
      <w:r w:rsidR="47B19942">
        <w:t xml:space="preserve">, except in cases where the contractor is </w:t>
      </w:r>
      <w:r w:rsidR="47B19942" w:rsidRPr="6CA0CD56">
        <w:rPr>
          <w:rFonts w:ascii="Segoe UI" w:eastAsia="Segoe UI" w:hAnsi="Segoe UI" w:cs="Segoe UI"/>
          <w:color w:val="000000" w:themeColor="text1"/>
          <w:sz w:val="19"/>
          <w:szCs w:val="19"/>
        </w:rPr>
        <w:t>filling a role that is usually carried out in-house, like for an independent contractor/contracted employee who serves as a nurse or speech pathologist and uses payroll, HR</w:t>
      </w:r>
      <w:r w:rsidR="2D6AA23F" w:rsidRPr="6CA0CD56">
        <w:rPr>
          <w:rFonts w:ascii="Segoe UI" w:eastAsia="Segoe UI" w:hAnsi="Segoe UI" w:cs="Segoe UI"/>
          <w:color w:val="000000" w:themeColor="text1"/>
          <w:sz w:val="19"/>
          <w:szCs w:val="19"/>
        </w:rPr>
        <w:t xml:space="preserve"> – </w:t>
      </w:r>
      <w:r w:rsidR="47B19942" w:rsidRPr="6CA0CD56">
        <w:rPr>
          <w:rFonts w:ascii="Segoe UI" w:eastAsia="Segoe UI" w:hAnsi="Segoe UI" w:cs="Segoe UI"/>
          <w:color w:val="000000" w:themeColor="text1"/>
          <w:sz w:val="19"/>
          <w:szCs w:val="19"/>
        </w:rPr>
        <w:t>th</w:t>
      </w:r>
      <w:r w:rsidR="2D6AA23F" w:rsidRPr="6CA0CD56">
        <w:rPr>
          <w:rFonts w:ascii="Segoe UI" w:eastAsia="Segoe UI" w:hAnsi="Segoe UI" w:cs="Segoe UI"/>
          <w:color w:val="000000" w:themeColor="text1"/>
          <w:sz w:val="19"/>
          <w:szCs w:val="19"/>
        </w:rPr>
        <w:t xml:space="preserve">ese contracts belong in </w:t>
      </w:r>
      <w:proofErr w:type="gramStart"/>
      <w:r w:rsidR="2D6AA23F" w:rsidRPr="6CA0CD56">
        <w:rPr>
          <w:rFonts w:ascii="Segoe UI" w:eastAsia="Segoe UI" w:hAnsi="Segoe UI" w:cs="Segoe UI"/>
          <w:color w:val="000000" w:themeColor="text1"/>
          <w:sz w:val="19"/>
          <w:szCs w:val="19"/>
        </w:rPr>
        <w:t>04C</w:t>
      </w:r>
      <w:proofErr w:type="gramEnd"/>
    </w:p>
    <w:p w14:paraId="1D99488B" w14:textId="2AC4092E" w:rsidR="005E5DC1" w:rsidRPr="00E16320" w:rsidRDefault="00E16320" w:rsidP="4D18B08A">
      <w:pPr>
        <w:rPr>
          <w:sz w:val="28"/>
          <w:szCs w:val="28"/>
        </w:rPr>
      </w:pPr>
      <w:r w:rsidRPr="4D18B08A">
        <w:rPr>
          <w:rStyle w:val="cf01"/>
          <w:rFonts w:asciiTheme="minorHAnsi" w:hAnsiTheme="minorHAnsi" w:cstheme="minorBidi"/>
          <w:sz w:val="22"/>
          <w:szCs w:val="22"/>
        </w:rPr>
        <w:t>While these represent the functions and objects for most expenses identified here, but there may be some departures for special circumstances. Please check with your business office if you believe an expense should be coded differently than indicated here.</w:t>
      </w:r>
    </w:p>
    <w:p w14:paraId="0FD713A3" w14:textId="540549B8" w:rsidR="5C77EC3D" w:rsidRDefault="5C77EC3D" w:rsidP="4D18B08A">
      <w:r w:rsidRPr="4D18B08A">
        <w:rPr>
          <w:b/>
          <w:bCs/>
        </w:rPr>
        <w:t>Object and Functions Code Suggestions</w:t>
      </w:r>
    </w:p>
    <w:tbl>
      <w:tblPr>
        <w:tblStyle w:val="TableGrid"/>
        <w:tblW w:w="10630" w:type="dxa"/>
        <w:tblLayout w:type="fixed"/>
        <w:tblLook w:val="04A0" w:firstRow="1" w:lastRow="0" w:firstColumn="1" w:lastColumn="0" w:noHBand="0" w:noVBand="1"/>
      </w:tblPr>
      <w:tblGrid>
        <w:gridCol w:w="2875"/>
        <w:gridCol w:w="4500"/>
        <w:gridCol w:w="3255"/>
      </w:tblGrid>
      <w:tr w:rsidR="006053AA" w:rsidRPr="00C40092" w14:paraId="79945FFE" w14:textId="77777777" w:rsidTr="5B5289F3">
        <w:trPr>
          <w:trHeight w:val="795"/>
        </w:trPr>
        <w:tc>
          <w:tcPr>
            <w:tcW w:w="2875" w:type="dxa"/>
          </w:tcPr>
          <w:p w14:paraId="6423AFC8" w14:textId="2D00E30E" w:rsidR="006053AA" w:rsidRPr="00C40092" w:rsidRDefault="006053AA" w:rsidP="006871F5">
            <w:pPr>
              <w:jc w:val="center"/>
              <w:rPr>
                <w:b/>
                <w:bCs/>
                <w:iCs/>
              </w:rPr>
            </w:pPr>
            <w:r w:rsidRPr="00C40092">
              <w:rPr>
                <w:b/>
                <w:bCs/>
                <w:iCs/>
              </w:rPr>
              <w:t>Allowable</w:t>
            </w:r>
            <w:r w:rsidR="00881D8A">
              <w:rPr>
                <w:b/>
                <w:bCs/>
                <w:iCs/>
              </w:rPr>
              <w:t xml:space="preserve"> Perkins</w:t>
            </w:r>
            <w:r w:rsidRPr="00C40092">
              <w:rPr>
                <w:b/>
                <w:bCs/>
                <w:iCs/>
              </w:rPr>
              <w:t xml:space="preserve"> cost</w:t>
            </w:r>
          </w:p>
        </w:tc>
        <w:tc>
          <w:tcPr>
            <w:tcW w:w="4500" w:type="dxa"/>
          </w:tcPr>
          <w:p w14:paraId="481B68A4" w14:textId="77777777" w:rsidR="006053AA" w:rsidRPr="00C40092" w:rsidRDefault="006053AA" w:rsidP="006871F5">
            <w:pPr>
              <w:jc w:val="center"/>
              <w:rPr>
                <w:b/>
                <w:bCs/>
                <w:iCs/>
              </w:rPr>
            </w:pPr>
            <w:r w:rsidRPr="00C40092">
              <w:rPr>
                <w:b/>
                <w:bCs/>
                <w:iCs/>
              </w:rPr>
              <w:t>Object Code</w:t>
            </w:r>
          </w:p>
        </w:tc>
        <w:tc>
          <w:tcPr>
            <w:tcW w:w="3255" w:type="dxa"/>
          </w:tcPr>
          <w:p w14:paraId="5E8A4560" w14:textId="77777777" w:rsidR="006053AA" w:rsidRPr="00C40092" w:rsidRDefault="006053AA" w:rsidP="006871F5">
            <w:pPr>
              <w:jc w:val="center"/>
              <w:rPr>
                <w:b/>
                <w:bCs/>
                <w:iCs/>
              </w:rPr>
            </w:pPr>
            <w:r w:rsidRPr="00C40092">
              <w:rPr>
                <w:b/>
                <w:bCs/>
                <w:iCs/>
              </w:rPr>
              <w:t>Function Code</w:t>
            </w:r>
          </w:p>
        </w:tc>
      </w:tr>
      <w:tr w:rsidR="006053AA" w14:paraId="75E67C10" w14:textId="77777777" w:rsidTr="5B5289F3">
        <w:trPr>
          <w:trHeight w:val="341"/>
        </w:trPr>
        <w:tc>
          <w:tcPr>
            <w:tcW w:w="2875" w:type="dxa"/>
          </w:tcPr>
          <w:p w14:paraId="4C339799" w14:textId="209A81B0" w:rsidR="006053AA" w:rsidRDefault="1DAA0DBD" w:rsidP="3C491F15">
            <w:r>
              <w:t xml:space="preserve">CTE </w:t>
            </w:r>
            <w:r w:rsidR="2725B5D5">
              <w:t xml:space="preserve">Student Group Transportation </w:t>
            </w:r>
          </w:p>
        </w:tc>
        <w:tc>
          <w:tcPr>
            <w:tcW w:w="4500" w:type="dxa"/>
          </w:tcPr>
          <w:p w14:paraId="27B7C0B7" w14:textId="1C417677" w:rsidR="006053AA" w:rsidRDefault="3B9041E5" w:rsidP="001C17B1">
            <w:pPr>
              <w:pStyle w:val="NoSpacing"/>
              <w:jc w:val="center"/>
            </w:pPr>
            <w:r>
              <w:t>04C Contracted Services</w:t>
            </w:r>
          </w:p>
          <w:p w14:paraId="2461ECE1" w14:textId="6A6FBC2E" w:rsidR="006053AA" w:rsidRDefault="3B9041E5" w:rsidP="001C17B1">
            <w:pPr>
              <w:pStyle w:val="NoSpacing"/>
              <w:jc w:val="center"/>
            </w:pPr>
            <w:r>
              <w:t>or</w:t>
            </w:r>
          </w:p>
          <w:p w14:paraId="724B9A07" w14:textId="4EB4EB8D" w:rsidR="006053AA" w:rsidRDefault="22B18560" w:rsidP="001C17B1">
            <w:pPr>
              <w:pStyle w:val="NoSpacing"/>
              <w:jc w:val="center"/>
            </w:pPr>
            <w:r>
              <w:t>06-Other Expenses</w:t>
            </w:r>
          </w:p>
        </w:tc>
        <w:tc>
          <w:tcPr>
            <w:tcW w:w="3255" w:type="dxa"/>
          </w:tcPr>
          <w:p w14:paraId="5960E964" w14:textId="470E6375" w:rsidR="006053AA" w:rsidRDefault="22B18560" w:rsidP="001C17B1">
            <w:pPr>
              <w:jc w:val="center"/>
            </w:pPr>
            <w:r>
              <w:t>SERV-Pupil Services</w:t>
            </w:r>
          </w:p>
        </w:tc>
      </w:tr>
      <w:tr w:rsidR="00300BC8" w14:paraId="22D40870" w14:textId="77777777" w:rsidTr="5B5289F3">
        <w:trPr>
          <w:trHeight w:val="300"/>
        </w:trPr>
        <w:tc>
          <w:tcPr>
            <w:tcW w:w="2875" w:type="dxa"/>
          </w:tcPr>
          <w:p w14:paraId="7C304FE4" w14:textId="1DA27B94" w:rsidR="00300BC8" w:rsidRDefault="00300BC8" w:rsidP="00300BC8">
            <w:r>
              <w:t>Counseling and Guidance specific to CTE programs</w:t>
            </w:r>
          </w:p>
        </w:tc>
        <w:tc>
          <w:tcPr>
            <w:tcW w:w="4500" w:type="dxa"/>
          </w:tcPr>
          <w:p w14:paraId="7D6B9003" w14:textId="04C3985E" w:rsidR="00300BC8" w:rsidRPr="00CF740A" w:rsidRDefault="00300BC8" w:rsidP="001C17B1">
            <w:pPr>
              <w:pStyle w:val="NoSpacing"/>
              <w:jc w:val="center"/>
              <w:rPr>
                <w:lang w:val="fr-FR"/>
              </w:rPr>
            </w:pPr>
            <w:r w:rsidRPr="00CF740A">
              <w:rPr>
                <w:lang w:val="fr-FR"/>
              </w:rPr>
              <w:t>01M –Professional Salaries (MTRS)</w:t>
            </w:r>
          </w:p>
          <w:p w14:paraId="2280CC96" w14:textId="5EB8F915" w:rsidR="00300BC8" w:rsidRPr="00CF740A" w:rsidRDefault="00300BC8" w:rsidP="001C17B1">
            <w:pPr>
              <w:pStyle w:val="NoSpacing"/>
              <w:jc w:val="center"/>
              <w:rPr>
                <w:lang w:val="fr-FR"/>
              </w:rPr>
            </w:pPr>
            <w:r w:rsidRPr="00CF740A">
              <w:rPr>
                <w:lang w:val="fr-FR"/>
              </w:rPr>
              <w:t>or</w:t>
            </w:r>
          </w:p>
          <w:p w14:paraId="423555F5" w14:textId="77777777" w:rsidR="00300BC8" w:rsidRPr="00CF740A" w:rsidRDefault="00300BC8" w:rsidP="001C17B1">
            <w:pPr>
              <w:pStyle w:val="NoSpacing"/>
              <w:jc w:val="center"/>
              <w:rPr>
                <w:lang w:val="fr-FR"/>
              </w:rPr>
            </w:pPr>
            <w:r w:rsidRPr="00CF740A">
              <w:rPr>
                <w:lang w:val="fr-FR"/>
              </w:rPr>
              <w:t>O1NM Professional Salaries (Non –MTRS)</w:t>
            </w:r>
          </w:p>
          <w:p w14:paraId="132F6C14" w14:textId="77777777" w:rsidR="00300BC8" w:rsidRDefault="00300BC8" w:rsidP="001C17B1">
            <w:pPr>
              <w:pStyle w:val="NoSpacing"/>
              <w:jc w:val="center"/>
            </w:pPr>
            <w:r>
              <w:t>or</w:t>
            </w:r>
          </w:p>
          <w:p w14:paraId="6475E12D" w14:textId="1D51E71A" w:rsidR="00300BC8" w:rsidRDefault="00300BC8" w:rsidP="001C17B1">
            <w:pPr>
              <w:pStyle w:val="NoSpacing"/>
              <w:jc w:val="center"/>
            </w:pPr>
            <w:r>
              <w:t>04C Contracted Services</w:t>
            </w:r>
          </w:p>
        </w:tc>
        <w:tc>
          <w:tcPr>
            <w:tcW w:w="3255" w:type="dxa"/>
          </w:tcPr>
          <w:p w14:paraId="3E1F1535" w14:textId="46883612" w:rsidR="00300BC8" w:rsidRDefault="00300BC8" w:rsidP="001C17B1">
            <w:pPr>
              <w:jc w:val="center"/>
            </w:pPr>
            <w:r>
              <w:t>GUID - Guidance, Counseling, and Testing</w:t>
            </w:r>
          </w:p>
          <w:p w14:paraId="194C6539" w14:textId="24316012" w:rsidR="00300BC8" w:rsidRDefault="00300BC8" w:rsidP="001C17B1">
            <w:pPr>
              <w:jc w:val="center"/>
            </w:pPr>
          </w:p>
        </w:tc>
      </w:tr>
      <w:tr w:rsidR="00300BC8" w14:paraId="011FB160" w14:textId="77777777" w:rsidTr="5B5289F3">
        <w:trPr>
          <w:trHeight w:val="300"/>
        </w:trPr>
        <w:tc>
          <w:tcPr>
            <w:tcW w:w="2875" w:type="dxa"/>
          </w:tcPr>
          <w:p w14:paraId="46310EB8" w14:textId="254D46B2" w:rsidR="00300BC8" w:rsidRDefault="00300BC8" w:rsidP="00300BC8">
            <w:r>
              <w:t>CTE Curriculum Development</w:t>
            </w:r>
          </w:p>
        </w:tc>
        <w:tc>
          <w:tcPr>
            <w:tcW w:w="4500" w:type="dxa"/>
          </w:tcPr>
          <w:p w14:paraId="209DEA64" w14:textId="77777777" w:rsidR="00300BC8" w:rsidRDefault="00300BC8" w:rsidP="001C17B1">
            <w:pPr>
              <w:pStyle w:val="NoSpacing"/>
              <w:jc w:val="center"/>
            </w:pPr>
            <w:r>
              <w:t>04C Contracted Services</w:t>
            </w:r>
          </w:p>
          <w:p w14:paraId="630E86BA" w14:textId="77777777" w:rsidR="00300BC8" w:rsidRDefault="00300BC8" w:rsidP="001C17B1">
            <w:pPr>
              <w:pStyle w:val="NoSpacing"/>
              <w:jc w:val="center"/>
            </w:pPr>
          </w:p>
        </w:tc>
        <w:tc>
          <w:tcPr>
            <w:tcW w:w="3255" w:type="dxa"/>
          </w:tcPr>
          <w:p w14:paraId="3F537E43" w14:textId="6535BBFE" w:rsidR="00300BC8" w:rsidRDefault="00300BC8" w:rsidP="001C17B1">
            <w:pPr>
              <w:jc w:val="center"/>
            </w:pPr>
            <w:r>
              <w:t>LDRS - Instructional Leadership</w:t>
            </w:r>
          </w:p>
        </w:tc>
      </w:tr>
      <w:tr w:rsidR="43F1C6DB" w14:paraId="1B0E408E" w14:textId="77777777" w:rsidTr="5B5289F3">
        <w:trPr>
          <w:trHeight w:val="300"/>
        </w:trPr>
        <w:tc>
          <w:tcPr>
            <w:tcW w:w="2875" w:type="dxa"/>
          </w:tcPr>
          <w:p w14:paraId="3C81CAA9" w14:textId="5574CD1F" w:rsidR="1C3D5FC7" w:rsidRDefault="1C3D5FC7" w:rsidP="43F1C6DB">
            <w:r>
              <w:t>Occupational certifications and licenses</w:t>
            </w:r>
            <w:r w:rsidR="22F618FE">
              <w:t xml:space="preserve"> </w:t>
            </w:r>
            <w:r w:rsidR="533B9DA0">
              <w:t>(</w:t>
            </w:r>
            <w:r w:rsidR="22F618FE">
              <w:t>student testing</w:t>
            </w:r>
            <w:r w:rsidR="20B96E86">
              <w:t xml:space="preserve"> fees</w:t>
            </w:r>
            <w:r w:rsidR="22F618FE">
              <w:t xml:space="preserve"> and certifications, </w:t>
            </w:r>
            <w:r w:rsidR="17C2E714">
              <w:t>i.e.</w:t>
            </w:r>
            <w:proofErr w:type="gramStart"/>
            <w:r w:rsidR="506BE280">
              <w:t xml:space="preserve">, </w:t>
            </w:r>
            <w:r w:rsidR="22F618FE">
              <w:t xml:space="preserve"> OSHA</w:t>
            </w:r>
            <w:proofErr w:type="gramEnd"/>
            <w:r w:rsidR="22F618FE">
              <w:t xml:space="preserve">, Adobe) </w:t>
            </w:r>
          </w:p>
        </w:tc>
        <w:tc>
          <w:tcPr>
            <w:tcW w:w="4500" w:type="dxa"/>
          </w:tcPr>
          <w:p w14:paraId="1778741D" w14:textId="4CB270D7" w:rsidR="43F1C6DB" w:rsidRDefault="43F1C6DB" w:rsidP="43F1C6DB">
            <w:pPr>
              <w:pStyle w:val="NoSpacing"/>
              <w:jc w:val="center"/>
            </w:pPr>
          </w:p>
          <w:p w14:paraId="3750374F" w14:textId="1853E47E" w:rsidR="43F1C6DB" w:rsidRDefault="0DB84A87" w:rsidP="43F1C6DB">
            <w:pPr>
              <w:pStyle w:val="NoSpacing"/>
              <w:jc w:val="center"/>
            </w:pPr>
            <w:r>
              <w:t xml:space="preserve"> 06-Other Expenses</w:t>
            </w:r>
          </w:p>
        </w:tc>
        <w:tc>
          <w:tcPr>
            <w:tcW w:w="3255" w:type="dxa"/>
          </w:tcPr>
          <w:p w14:paraId="4A2EBDEA" w14:textId="03919766" w:rsidR="43F1C6DB" w:rsidRDefault="25D60D87" w:rsidP="6CA0CD56">
            <w:pPr>
              <w:jc w:val="center"/>
            </w:pPr>
            <w:r>
              <w:t>GUID - Guidance, Counseling, and Testing</w:t>
            </w:r>
          </w:p>
          <w:p w14:paraId="32A5E473" w14:textId="0C965E09" w:rsidR="43F1C6DB" w:rsidRDefault="43F1C6DB" w:rsidP="43F1C6DB">
            <w:pPr>
              <w:jc w:val="center"/>
            </w:pPr>
          </w:p>
        </w:tc>
      </w:tr>
      <w:tr w:rsidR="00626AAE" w14:paraId="194416A7" w14:textId="77777777" w:rsidTr="5B5289F3">
        <w:trPr>
          <w:trHeight w:val="300"/>
        </w:trPr>
        <w:tc>
          <w:tcPr>
            <w:tcW w:w="2875" w:type="dxa"/>
          </w:tcPr>
          <w:p w14:paraId="451A6590" w14:textId="39BC8041" w:rsidR="00626AAE" w:rsidRDefault="00626AAE" w:rsidP="00626AAE">
            <w:r>
              <w:t xml:space="preserve">Post Secondary Linkage Dual Enrollment Educators/Staff </w:t>
            </w:r>
          </w:p>
        </w:tc>
        <w:tc>
          <w:tcPr>
            <w:tcW w:w="4500" w:type="dxa"/>
          </w:tcPr>
          <w:p w14:paraId="6FB46041" w14:textId="425B309B" w:rsidR="00626AAE" w:rsidRDefault="00626AAE" w:rsidP="001C17B1">
            <w:pPr>
              <w:pStyle w:val="NoSpacing"/>
              <w:jc w:val="center"/>
            </w:pPr>
            <w:r>
              <w:t>03-Other Salaries</w:t>
            </w:r>
          </w:p>
        </w:tc>
        <w:tc>
          <w:tcPr>
            <w:tcW w:w="3255" w:type="dxa"/>
          </w:tcPr>
          <w:p w14:paraId="3F4D73B7" w14:textId="02251D38" w:rsidR="00626AAE" w:rsidRDefault="00626AAE" w:rsidP="6CA0CD56">
            <w:pPr>
              <w:jc w:val="center"/>
            </w:pPr>
            <w:r>
              <w:t>TSER-Other Teaching Services</w:t>
            </w:r>
          </w:p>
        </w:tc>
      </w:tr>
      <w:tr w:rsidR="00626AAE" w14:paraId="4C041629" w14:textId="77777777" w:rsidTr="5B5289F3">
        <w:tc>
          <w:tcPr>
            <w:tcW w:w="2875" w:type="dxa"/>
          </w:tcPr>
          <w:p w14:paraId="263270BE" w14:textId="1BF414DA" w:rsidR="00626AAE" w:rsidRDefault="00626AAE" w:rsidP="00626AAE">
            <w:r>
              <w:t xml:space="preserve">Post Secondary Linkage Dual Enrollment Courses/Tuition </w:t>
            </w:r>
          </w:p>
        </w:tc>
        <w:tc>
          <w:tcPr>
            <w:tcW w:w="4500" w:type="dxa"/>
          </w:tcPr>
          <w:p w14:paraId="23104A47" w14:textId="17F38CB0" w:rsidR="00626AAE" w:rsidRDefault="00626AAE" w:rsidP="001C17B1">
            <w:pPr>
              <w:pStyle w:val="NoSpacing"/>
              <w:jc w:val="center"/>
            </w:pPr>
            <w:r>
              <w:t>04C Contracted Services</w:t>
            </w:r>
          </w:p>
          <w:p w14:paraId="0C52F4DE" w14:textId="71525420" w:rsidR="00626AAE" w:rsidRDefault="27AEEB05" w:rsidP="001C17B1">
            <w:pPr>
              <w:pStyle w:val="NoSpacing"/>
              <w:jc w:val="center"/>
            </w:pPr>
            <w:r>
              <w:t>o</w:t>
            </w:r>
            <w:r w:rsidR="00626AAE">
              <w:t>r</w:t>
            </w:r>
          </w:p>
          <w:p w14:paraId="781BF778" w14:textId="52E491DE" w:rsidR="00626AAE" w:rsidRDefault="00626AAE" w:rsidP="001C17B1">
            <w:pPr>
              <w:pStyle w:val="NoSpacing"/>
              <w:jc w:val="center"/>
            </w:pPr>
            <w:r>
              <w:t>06-Other Expenses</w:t>
            </w:r>
          </w:p>
        </w:tc>
        <w:tc>
          <w:tcPr>
            <w:tcW w:w="3255" w:type="dxa"/>
          </w:tcPr>
          <w:p w14:paraId="63F1BD9D" w14:textId="176BE1E1" w:rsidR="00626AAE" w:rsidRDefault="00626AAE" w:rsidP="001C17B1">
            <w:pPr>
              <w:jc w:val="center"/>
            </w:pPr>
            <w:r>
              <w:t>TSER –Other Teaching Services</w:t>
            </w:r>
          </w:p>
        </w:tc>
      </w:tr>
      <w:tr w:rsidR="001C17B1" w14:paraId="53D7EBF0" w14:textId="77777777" w:rsidTr="5B5289F3">
        <w:tc>
          <w:tcPr>
            <w:tcW w:w="2875" w:type="dxa"/>
          </w:tcPr>
          <w:p w14:paraId="61FA8A85" w14:textId="2BF2E84E" w:rsidR="001C17B1" w:rsidRDefault="001C17B1" w:rsidP="001C17B1">
            <w:r>
              <w:lastRenderedPageBreak/>
              <w:t xml:space="preserve">Professional Development Membership Fees/Dues/Travel costs </w:t>
            </w:r>
          </w:p>
        </w:tc>
        <w:tc>
          <w:tcPr>
            <w:tcW w:w="4500" w:type="dxa"/>
          </w:tcPr>
          <w:p w14:paraId="63A0EE80" w14:textId="20C6B7BA" w:rsidR="001C17B1" w:rsidRDefault="001C17B1" w:rsidP="001C17B1">
            <w:pPr>
              <w:pStyle w:val="NoSpacing"/>
              <w:jc w:val="center"/>
            </w:pPr>
            <w:r>
              <w:t>06-Other Expenses</w:t>
            </w:r>
          </w:p>
        </w:tc>
        <w:tc>
          <w:tcPr>
            <w:tcW w:w="3255" w:type="dxa"/>
          </w:tcPr>
          <w:p w14:paraId="2FEA8AB4" w14:textId="028327AD" w:rsidR="001C17B1" w:rsidRDefault="001C17B1" w:rsidP="001C17B1">
            <w:pPr>
              <w:jc w:val="center"/>
            </w:pPr>
            <w:r>
              <w:t>PDEV-Professional Development</w:t>
            </w:r>
          </w:p>
        </w:tc>
      </w:tr>
      <w:tr w:rsidR="00626AAE" w14:paraId="635455A0" w14:textId="77777777" w:rsidTr="5B5289F3">
        <w:tc>
          <w:tcPr>
            <w:tcW w:w="2875" w:type="dxa"/>
          </w:tcPr>
          <w:p w14:paraId="7A61EDA5" w14:textId="05DB727A" w:rsidR="00626AAE" w:rsidRDefault="6F1D60A4" w:rsidP="6CA0CD56">
            <w:r>
              <w:t xml:space="preserve">Stipends for CTE Educator and CTE Administrators: supporting </w:t>
            </w:r>
            <w:r w:rsidR="6ACC5F06">
              <w:t>CTE Extracurricular</w:t>
            </w:r>
            <w:r>
              <w:t xml:space="preserve"> activities (</w:t>
            </w:r>
            <w:r w:rsidR="41CAF83D">
              <w:t>I.</w:t>
            </w:r>
            <w:r>
              <w:t>e.</w:t>
            </w:r>
            <w:r w:rsidR="77D030FF">
              <w:t>,</w:t>
            </w:r>
            <w:r>
              <w:t xml:space="preserve"> </w:t>
            </w:r>
            <w:r w:rsidR="3D463476">
              <w:t>Career Tech Student Organizations (</w:t>
            </w:r>
            <w:r w:rsidR="589D6DBB">
              <w:t>CTSOs</w:t>
            </w:r>
            <w:r w:rsidR="10E70BAE">
              <w:t>)</w:t>
            </w:r>
            <w:r w:rsidR="21476710">
              <w:t>,</w:t>
            </w:r>
            <w:r w:rsidR="589D6DBB">
              <w:t xml:space="preserve"> </w:t>
            </w:r>
            <w:r>
              <w:t>Student clubs, Committees, Orientation events)</w:t>
            </w:r>
          </w:p>
        </w:tc>
        <w:tc>
          <w:tcPr>
            <w:tcW w:w="4500" w:type="dxa"/>
          </w:tcPr>
          <w:p w14:paraId="069F8090" w14:textId="7FACBD30" w:rsidR="00626AAE" w:rsidRPr="00CF740A" w:rsidRDefault="00626AAE" w:rsidP="001C17B1">
            <w:pPr>
              <w:pStyle w:val="NoSpacing"/>
              <w:jc w:val="center"/>
              <w:rPr>
                <w:lang w:val="fr-FR"/>
              </w:rPr>
            </w:pPr>
            <w:r w:rsidRPr="00CF740A">
              <w:rPr>
                <w:lang w:val="fr-FR"/>
              </w:rPr>
              <w:t>01M –Professional Salaries (MTRS)</w:t>
            </w:r>
            <w:r w:rsidR="59A2F4AB" w:rsidRPr="00CF740A">
              <w:rPr>
                <w:lang w:val="fr-FR"/>
              </w:rPr>
              <w:t xml:space="preserve"> </w:t>
            </w:r>
          </w:p>
          <w:p w14:paraId="37316F92" w14:textId="10894C2C" w:rsidR="00626AAE" w:rsidRPr="00CF740A" w:rsidRDefault="225633FA" w:rsidP="001C17B1">
            <w:pPr>
              <w:pStyle w:val="NoSpacing"/>
              <w:jc w:val="center"/>
              <w:rPr>
                <w:lang w:val="fr-FR"/>
              </w:rPr>
            </w:pPr>
            <w:r w:rsidRPr="00CF740A">
              <w:rPr>
                <w:lang w:val="fr-FR"/>
              </w:rPr>
              <w:t>o</w:t>
            </w:r>
            <w:r w:rsidR="00626AAE" w:rsidRPr="00CF740A">
              <w:rPr>
                <w:lang w:val="fr-FR"/>
              </w:rPr>
              <w:t>r</w:t>
            </w:r>
          </w:p>
          <w:p w14:paraId="3FD2DF7A" w14:textId="35FBCC27" w:rsidR="00626AAE" w:rsidRPr="00CF740A" w:rsidRDefault="00626AAE" w:rsidP="001C17B1">
            <w:pPr>
              <w:pStyle w:val="NoSpacing"/>
              <w:jc w:val="center"/>
              <w:rPr>
                <w:lang w:val="fr-FR"/>
              </w:rPr>
            </w:pPr>
            <w:r w:rsidRPr="00CF740A">
              <w:rPr>
                <w:lang w:val="fr-FR"/>
              </w:rPr>
              <w:t>O1NM Professional Salaries (Non –MTRS)</w:t>
            </w:r>
          </w:p>
          <w:p w14:paraId="18735369" w14:textId="44FA20E7" w:rsidR="00626AAE" w:rsidRDefault="3CDC62AA" w:rsidP="001C17B1">
            <w:pPr>
              <w:pStyle w:val="NoSpacing"/>
              <w:jc w:val="center"/>
            </w:pPr>
            <w:r>
              <w:t>o</w:t>
            </w:r>
            <w:r w:rsidR="00626AAE">
              <w:t>r</w:t>
            </w:r>
          </w:p>
          <w:p w14:paraId="73CF1DB6" w14:textId="2BBEF0B5" w:rsidR="00626AAE" w:rsidRDefault="00626AAE" w:rsidP="001C17B1">
            <w:pPr>
              <w:pStyle w:val="NoSpacing"/>
              <w:jc w:val="center"/>
            </w:pPr>
            <w:r>
              <w:t>03 – Other Salaries</w:t>
            </w:r>
          </w:p>
          <w:p w14:paraId="21480AA9" w14:textId="0447B108" w:rsidR="00626AAE" w:rsidRDefault="2428F696" w:rsidP="001C17B1">
            <w:pPr>
              <w:pStyle w:val="NoSpacing"/>
              <w:jc w:val="center"/>
            </w:pPr>
            <w:r>
              <w:t>o</w:t>
            </w:r>
            <w:r w:rsidR="00626AAE">
              <w:t>r</w:t>
            </w:r>
          </w:p>
          <w:p w14:paraId="19E6D4B8" w14:textId="5D4766F9" w:rsidR="00626AAE" w:rsidRDefault="00626AAE" w:rsidP="001C17B1">
            <w:pPr>
              <w:pStyle w:val="NoSpacing"/>
              <w:jc w:val="center"/>
            </w:pPr>
            <w:r>
              <w:t>06-Other Expenses</w:t>
            </w:r>
          </w:p>
        </w:tc>
        <w:tc>
          <w:tcPr>
            <w:tcW w:w="3255" w:type="dxa"/>
          </w:tcPr>
          <w:p w14:paraId="0989A1AD" w14:textId="53E01A78" w:rsidR="00626AAE" w:rsidRDefault="059848D3" w:rsidP="001C17B1">
            <w:pPr>
              <w:jc w:val="center"/>
            </w:pPr>
            <w:r>
              <w:t>TCHER</w:t>
            </w:r>
            <w:r w:rsidR="30BF88FF">
              <w:t xml:space="preserve"> - Teachers</w:t>
            </w:r>
          </w:p>
          <w:p w14:paraId="477B6166" w14:textId="2F3E51AC" w:rsidR="00626AAE" w:rsidRDefault="00626AAE" w:rsidP="6CA0CD56">
            <w:pPr>
              <w:jc w:val="center"/>
            </w:pPr>
          </w:p>
        </w:tc>
      </w:tr>
      <w:tr w:rsidR="00626AAE" w14:paraId="6C38A4DF" w14:textId="77777777" w:rsidTr="5B5289F3">
        <w:trPr>
          <w:trHeight w:val="795"/>
        </w:trPr>
        <w:tc>
          <w:tcPr>
            <w:tcW w:w="2875" w:type="dxa"/>
          </w:tcPr>
          <w:p w14:paraId="641A6A0B" w14:textId="7AF74EB8" w:rsidR="00626AAE" w:rsidRDefault="00626AAE" w:rsidP="00626AAE">
            <w:r>
              <w:t>Stipends for CTE Educators and CTE Administrators: Providing or attending Professional Development</w:t>
            </w:r>
          </w:p>
          <w:p w14:paraId="02A16802" w14:textId="5DD888FF" w:rsidR="00626AAE" w:rsidRDefault="00626AAE" w:rsidP="00626AAE"/>
        </w:tc>
        <w:tc>
          <w:tcPr>
            <w:tcW w:w="4500" w:type="dxa"/>
          </w:tcPr>
          <w:p w14:paraId="13A38E4D" w14:textId="4964EF8A" w:rsidR="00626AAE" w:rsidRPr="00CF740A" w:rsidRDefault="00626AAE" w:rsidP="001C17B1">
            <w:pPr>
              <w:pStyle w:val="NoSpacing"/>
              <w:jc w:val="center"/>
              <w:rPr>
                <w:lang w:val="fr-FR"/>
              </w:rPr>
            </w:pPr>
            <w:r w:rsidRPr="00CF740A">
              <w:rPr>
                <w:lang w:val="fr-FR"/>
              </w:rPr>
              <w:t>01M –Professional Salaries (MTRS)</w:t>
            </w:r>
          </w:p>
          <w:p w14:paraId="46C707D6" w14:textId="6369B39D" w:rsidR="00626AAE" w:rsidRPr="00CF740A" w:rsidRDefault="4665A4E0" w:rsidP="001C17B1">
            <w:pPr>
              <w:pStyle w:val="NoSpacing"/>
              <w:jc w:val="center"/>
              <w:rPr>
                <w:lang w:val="fr-FR"/>
              </w:rPr>
            </w:pPr>
            <w:r w:rsidRPr="00CF740A">
              <w:rPr>
                <w:lang w:val="fr-FR"/>
              </w:rPr>
              <w:t>o</w:t>
            </w:r>
            <w:r w:rsidR="00626AAE" w:rsidRPr="00CF740A">
              <w:rPr>
                <w:lang w:val="fr-FR"/>
              </w:rPr>
              <w:t>r</w:t>
            </w:r>
          </w:p>
          <w:p w14:paraId="076A5A77" w14:textId="35FBCC27" w:rsidR="00626AAE" w:rsidRPr="00CF740A" w:rsidRDefault="00626AAE" w:rsidP="001C17B1">
            <w:pPr>
              <w:pStyle w:val="NoSpacing"/>
              <w:jc w:val="center"/>
              <w:rPr>
                <w:lang w:val="fr-FR"/>
              </w:rPr>
            </w:pPr>
            <w:r w:rsidRPr="00CF740A">
              <w:rPr>
                <w:lang w:val="fr-FR"/>
              </w:rPr>
              <w:t>O1NM Professional Salaries (Non –MTRS)</w:t>
            </w:r>
          </w:p>
          <w:p w14:paraId="6D248EBA" w14:textId="56D5622E" w:rsidR="00626AAE" w:rsidRDefault="10D93830" w:rsidP="001C17B1">
            <w:pPr>
              <w:pStyle w:val="NoSpacing"/>
              <w:jc w:val="center"/>
            </w:pPr>
            <w:r>
              <w:t>o</w:t>
            </w:r>
            <w:r w:rsidR="00626AAE">
              <w:t>r</w:t>
            </w:r>
          </w:p>
          <w:p w14:paraId="12644408" w14:textId="2BBEF0B5" w:rsidR="00626AAE" w:rsidRDefault="00626AAE" w:rsidP="001C17B1">
            <w:pPr>
              <w:pStyle w:val="NoSpacing"/>
              <w:jc w:val="center"/>
            </w:pPr>
            <w:r>
              <w:t>03 – Other Salaries</w:t>
            </w:r>
          </w:p>
          <w:p w14:paraId="0C15CDA0" w14:textId="3EDB934B" w:rsidR="00626AAE" w:rsidRDefault="32C5B260" w:rsidP="001C17B1">
            <w:pPr>
              <w:pStyle w:val="NoSpacing"/>
              <w:jc w:val="center"/>
            </w:pPr>
            <w:r>
              <w:t>o</w:t>
            </w:r>
            <w:r w:rsidR="00626AAE">
              <w:t>r</w:t>
            </w:r>
          </w:p>
          <w:p w14:paraId="051FD46B" w14:textId="5DCDF3C3" w:rsidR="00626AAE" w:rsidRDefault="00626AAE" w:rsidP="001C17B1">
            <w:pPr>
              <w:pStyle w:val="NoSpacing"/>
              <w:jc w:val="center"/>
            </w:pPr>
            <w:r>
              <w:t>06-Other Expenses</w:t>
            </w:r>
          </w:p>
        </w:tc>
        <w:tc>
          <w:tcPr>
            <w:tcW w:w="3255" w:type="dxa"/>
          </w:tcPr>
          <w:p w14:paraId="4AD221FB" w14:textId="4FD3267B" w:rsidR="00626AAE" w:rsidRDefault="00626AAE" w:rsidP="001C17B1">
            <w:pPr>
              <w:jc w:val="center"/>
            </w:pPr>
            <w:r>
              <w:t>PDEV-Professional Development</w:t>
            </w:r>
          </w:p>
          <w:p w14:paraId="3124CF7C" w14:textId="10A54A62" w:rsidR="00626AAE" w:rsidRDefault="00626AAE" w:rsidP="001C17B1">
            <w:pPr>
              <w:jc w:val="center"/>
            </w:pPr>
          </w:p>
        </w:tc>
      </w:tr>
      <w:tr w:rsidR="001C17B1" w14:paraId="447FC109" w14:textId="77777777" w:rsidTr="5B5289F3">
        <w:tc>
          <w:tcPr>
            <w:tcW w:w="2875" w:type="dxa"/>
          </w:tcPr>
          <w:p w14:paraId="1E37B283" w14:textId="0625688C" w:rsidR="001C17B1" w:rsidRDefault="001C17B1" w:rsidP="001C17B1">
            <w:r>
              <w:t xml:space="preserve">Tutoring Services specific and supplemental CTE program improvement and support </w:t>
            </w:r>
          </w:p>
        </w:tc>
        <w:tc>
          <w:tcPr>
            <w:tcW w:w="4500" w:type="dxa"/>
          </w:tcPr>
          <w:p w14:paraId="59C81CA9" w14:textId="642888FE" w:rsidR="001C17B1" w:rsidRDefault="001C17B1" w:rsidP="001C17B1">
            <w:pPr>
              <w:jc w:val="center"/>
            </w:pPr>
            <w:r>
              <w:t>03 – Other Salaries</w:t>
            </w:r>
          </w:p>
        </w:tc>
        <w:tc>
          <w:tcPr>
            <w:tcW w:w="3255" w:type="dxa"/>
          </w:tcPr>
          <w:p w14:paraId="6D006DC3" w14:textId="5DD16EB7" w:rsidR="001C17B1" w:rsidRDefault="58FEB17D" w:rsidP="001C17B1">
            <w:pPr>
              <w:jc w:val="center"/>
            </w:pPr>
            <w:r>
              <w:t>PARA</w:t>
            </w:r>
            <w:r w:rsidR="78D0357F">
              <w:t>- Paraprofessionals</w:t>
            </w:r>
          </w:p>
        </w:tc>
      </w:tr>
    </w:tbl>
    <w:p w14:paraId="384285C0" w14:textId="438F72E1" w:rsidR="715E7AFC" w:rsidRDefault="715E7AFC"/>
    <w:p w14:paraId="07CEE186" w14:textId="30A53B11" w:rsidR="04309369" w:rsidRDefault="04309369" w:rsidP="4D18B08A">
      <w:pPr>
        <w:rPr>
          <w:b/>
          <w:bCs/>
        </w:rPr>
      </w:pPr>
      <w:r w:rsidRPr="4D18B08A">
        <w:rPr>
          <w:b/>
          <w:bCs/>
        </w:rPr>
        <w:t xml:space="preserve">Reconciling Capital Expense Forms </w:t>
      </w:r>
    </w:p>
    <w:p w14:paraId="4820DB25" w14:textId="12EE9652" w:rsidR="61AEE7EA" w:rsidRDefault="61AEE7EA" w:rsidP="3F7F7619">
      <w:r>
        <w:t xml:space="preserve">Equipment and Capital Expense should be submitted with original application or revised </w:t>
      </w:r>
      <w:proofErr w:type="gramStart"/>
      <w:r>
        <w:t>applications</w:t>
      </w:r>
      <w:proofErr w:type="gramEnd"/>
      <w:r>
        <w:t xml:space="preserve"> </w:t>
      </w:r>
    </w:p>
    <w:p w14:paraId="219ED75A" w14:textId="2B07EC77" w:rsidR="07100AD6" w:rsidRDefault="07100AD6" w:rsidP="6CA0CD56">
      <w:pPr>
        <w:pStyle w:val="ListParagraph"/>
        <w:numPr>
          <w:ilvl w:val="0"/>
          <w:numId w:val="1"/>
        </w:numPr>
      </w:pPr>
      <w:r w:rsidRPr="6CA0CD56">
        <w:rPr>
          <w:b/>
          <w:bCs/>
        </w:rPr>
        <w:t xml:space="preserve">Capital expenditures are: </w:t>
      </w:r>
      <w:r>
        <w:t xml:space="preserve"> </w:t>
      </w:r>
    </w:p>
    <w:p w14:paraId="2E49F894" w14:textId="313AD763" w:rsidR="61AEE7EA" w:rsidRDefault="61AEE7EA" w:rsidP="6CA0CD56">
      <w:pPr>
        <w:pStyle w:val="ListParagraph"/>
        <w:numPr>
          <w:ilvl w:val="1"/>
          <w:numId w:val="1"/>
        </w:numPr>
      </w:pPr>
      <w:r>
        <w:t xml:space="preserve">Tangible or intangible (software) asset that has useful life greater than one year (or upgrade to existing asset) and meets or exceeds the capitalization level of the organization (usually $5,000) </w:t>
      </w:r>
    </w:p>
    <w:p w14:paraId="43A920CB" w14:textId="406709C7" w:rsidR="61AEE7EA" w:rsidRDefault="61AEE7EA" w:rsidP="3F7F7619">
      <w:pPr>
        <w:pStyle w:val="ListParagraph"/>
        <w:numPr>
          <w:ilvl w:val="0"/>
          <w:numId w:val="1"/>
        </w:numPr>
        <w:rPr>
          <w:b/>
          <w:bCs/>
        </w:rPr>
      </w:pPr>
      <w:r w:rsidRPr="3F7F7619">
        <w:rPr>
          <w:b/>
          <w:bCs/>
        </w:rPr>
        <w:t xml:space="preserve">Capital Expenditures form required for: </w:t>
      </w:r>
    </w:p>
    <w:p w14:paraId="303F4C17" w14:textId="263B506B" w:rsidR="61AEE7EA" w:rsidRDefault="61AEE7EA" w:rsidP="3F7F7619">
      <w:pPr>
        <w:pStyle w:val="ListParagraph"/>
        <w:numPr>
          <w:ilvl w:val="1"/>
          <w:numId w:val="1"/>
        </w:numPr>
      </w:pPr>
      <w:r>
        <w:t xml:space="preserve">Equipment or capital expenditure of $30,000 or more </w:t>
      </w:r>
    </w:p>
    <w:p w14:paraId="1119EABA" w14:textId="0D8F234B" w:rsidR="6CA0CD56" w:rsidRDefault="61AEE7EA" w:rsidP="5B5289F3">
      <w:pPr>
        <w:pStyle w:val="ListParagraph"/>
        <w:numPr>
          <w:ilvl w:val="1"/>
          <w:numId w:val="1"/>
        </w:numPr>
      </w:pPr>
      <w:r>
        <w:t>Form available in Capital Expense sectio</w:t>
      </w:r>
      <w:r w:rsidR="0F29A21A">
        <w:t>n of the application or available here</w:t>
      </w:r>
      <w:r>
        <w:t xml:space="preserve"> at: (https://www.doe.mass.edu/federalgrants/resources/)  </w:t>
      </w:r>
    </w:p>
    <w:p w14:paraId="2C8F7383" w14:textId="50A17B6A" w:rsidR="61AEE7EA" w:rsidRDefault="61AEE7EA" w:rsidP="5B5289F3">
      <w:pPr>
        <w:rPr>
          <w:b/>
          <w:bCs/>
        </w:rPr>
      </w:pPr>
    </w:p>
    <w:p w14:paraId="0ACFFF25" w14:textId="19381737" w:rsidR="61AEE7EA" w:rsidRDefault="61AEE7EA" w:rsidP="5B5289F3">
      <w:pPr>
        <w:rPr>
          <w:b/>
          <w:bCs/>
        </w:rPr>
      </w:pPr>
      <w:r w:rsidRPr="5B5289F3">
        <w:rPr>
          <w:b/>
          <w:bCs/>
        </w:rPr>
        <w:t xml:space="preserve">Submit completed, signed </w:t>
      </w:r>
      <w:r w:rsidR="532D6486" w:rsidRPr="5B5289F3">
        <w:rPr>
          <w:b/>
          <w:bCs/>
        </w:rPr>
        <w:t xml:space="preserve">Capital expense </w:t>
      </w:r>
      <w:proofErr w:type="gramStart"/>
      <w:r w:rsidRPr="5B5289F3">
        <w:rPr>
          <w:b/>
          <w:bCs/>
        </w:rPr>
        <w:t>form</w:t>
      </w:r>
      <w:proofErr w:type="gramEnd"/>
      <w:r w:rsidR="5F080EC0" w:rsidRPr="5B5289F3">
        <w:rPr>
          <w:b/>
          <w:bCs/>
        </w:rPr>
        <w:t xml:space="preserve"> and accompanying</w:t>
      </w:r>
      <w:r w:rsidRPr="5B5289F3">
        <w:rPr>
          <w:b/>
          <w:bCs/>
        </w:rPr>
        <w:t xml:space="preserve"> required documentation</w:t>
      </w:r>
      <w:r w:rsidR="5CCE62A9" w:rsidRPr="5B5289F3">
        <w:rPr>
          <w:b/>
          <w:bCs/>
        </w:rPr>
        <w:t xml:space="preserve"> with application submission or revision submission. </w:t>
      </w:r>
    </w:p>
    <w:p w14:paraId="554463D5" w14:textId="2D1C6A1A" w:rsidR="53C45DCD" w:rsidRDefault="53C45DCD" w:rsidP="3F7F7619">
      <w:r>
        <w:rPr>
          <w:noProof/>
        </w:rPr>
        <w:lastRenderedPageBreak/>
        <w:drawing>
          <wp:inline distT="0" distB="0" distL="0" distR="0" wp14:anchorId="489EF33B" wp14:editId="55C524DC">
            <wp:extent cx="4572000" cy="3590925"/>
            <wp:effectExtent l="0" t="0" r="0" b="0"/>
            <wp:docPr id="843436880" name="Picture 843436880" descr="Sections page for 0400/0401 application in GEM$ with &quot;Capital Expenditures Request for Approval (Equipment Over $30k)&quot; circled with a red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36880" name="Picture 843436880" descr="Sections page for 0400/0401 application in GEM$ with &quot;Capital Expenditures Request for Approval (Equipment Over $30k)&quot; circled with a red circle"/>
                    <pic:cNvPicPr/>
                  </pic:nvPicPr>
                  <pic:blipFill>
                    <a:blip r:embed="rId8">
                      <a:extLst>
                        <a:ext uri="{28A0092B-C50C-407E-A947-70E740481C1C}">
                          <a14:useLocalDpi xmlns:a14="http://schemas.microsoft.com/office/drawing/2010/main" val="0"/>
                        </a:ext>
                      </a:extLst>
                    </a:blip>
                    <a:stretch>
                      <a:fillRect/>
                    </a:stretch>
                  </pic:blipFill>
                  <pic:spPr>
                    <a:xfrm>
                      <a:off x="0" y="0"/>
                      <a:ext cx="4572000" cy="3590925"/>
                    </a:xfrm>
                    <a:prstGeom prst="rect">
                      <a:avLst/>
                    </a:prstGeom>
                  </pic:spPr>
                </pic:pic>
              </a:graphicData>
            </a:graphic>
          </wp:inline>
        </w:drawing>
      </w:r>
      <w:r>
        <w:br/>
      </w:r>
    </w:p>
    <w:p w14:paraId="18AF7650" w14:textId="6B73EDFE" w:rsidR="109CB8F6" w:rsidRDefault="109CB8F6" w:rsidP="3F7F7619">
      <w:pPr>
        <w:rPr>
          <w:b/>
          <w:bCs/>
        </w:rPr>
      </w:pPr>
      <w:r w:rsidRPr="6CA0CD56">
        <w:rPr>
          <w:b/>
          <w:bCs/>
        </w:rPr>
        <w:t>When completing reimbursement requests or the grant closeout period. The capital expense should be reconciled by attaching a final purchase order or invoice</w:t>
      </w:r>
      <w:r w:rsidR="6D0974BC" w:rsidRPr="6CA0CD56">
        <w:rPr>
          <w:b/>
          <w:bCs/>
        </w:rPr>
        <w:t xml:space="preserve"> in the related documents section of the </w:t>
      </w:r>
      <w:r w:rsidR="294FDE24" w:rsidRPr="6CA0CD56">
        <w:rPr>
          <w:b/>
          <w:bCs/>
        </w:rPr>
        <w:t>R</w:t>
      </w:r>
      <w:r w:rsidR="6D0974BC" w:rsidRPr="6CA0CD56">
        <w:rPr>
          <w:b/>
          <w:bCs/>
        </w:rPr>
        <w:t xml:space="preserve">eimbursement </w:t>
      </w:r>
      <w:r w:rsidR="4EF4055F" w:rsidRPr="6CA0CD56">
        <w:rPr>
          <w:b/>
          <w:bCs/>
        </w:rPr>
        <w:t>R</w:t>
      </w:r>
      <w:r w:rsidR="6D0974BC" w:rsidRPr="6CA0CD56">
        <w:rPr>
          <w:b/>
          <w:bCs/>
        </w:rPr>
        <w:t>equest</w:t>
      </w:r>
      <w:r w:rsidRPr="6CA0CD56">
        <w:rPr>
          <w:b/>
          <w:bCs/>
        </w:rPr>
        <w:t xml:space="preserve">. </w:t>
      </w:r>
    </w:p>
    <w:p w14:paraId="046BDFE9" w14:textId="7EA4A44C" w:rsidR="06CE0F03" w:rsidRDefault="06CE0F03" w:rsidP="3F7F7619">
      <w:r>
        <w:rPr>
          <w:noProof/>
        </w:rPr>
        <w:drawing>
          <wp:inline distT="0" distB="0" distL="0" distR="0" wp14:anchorId="2D890422" wp14:editId="64DE973A">
            <wp:extent cx="6019800" cy="1743234"/>
            <wp:effectExtent l="0" t="0" r="0" b="0"/>
            <wp:docPr id="1906920480" name="Picture 1906920480" descr="Reimbursement Request screen in GEM$ with &quot;related documents&quot;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20480" name="Picture 1906920480" descr="Reimbursement Request screen in GEM$ with &quot;related documents&quot; highligh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19800" cy="1743234"/>
                    </a:xfrm>
                    <a:prstGeom prst="rect">
                      <a:avLst/>
                    </a:prstGeom>
                  </pic:spPr>
                </pic:pic>
              </a:graphicData>
            </a:graphic>
          </wp:inline>
        </w:drawing>
      </w:r>
    </w:p>
    <w:p w14:paraId="5C9BD024" w14:textId="54B60DC2" w:rsidR="3F7F7619" w:rsidRDefault="3F7F7619" w:rsidP="3F7F7619">
      <w:pPr>
        <w:rPr>
          <w:b/>
          <w:bCs/>
        </w:rPr>
      </w:pPr>
    </w:p>
    <w:sectPr w:rsidR="3F7F76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D5D9C"/>
    <w:multiLevelType w:val="hybridMultilevel"/>
    <w:tmpl w:val="171C0726"/>
    <w:lvl w:ilvl="0" w:tplc="8B0A6480">
      <w:start w:val="1"/>
      <w:numFmt w:val="bullet"/>
      <w:lvlText w:val=""/>
      <w:lvlJc w:val="left"/>
      <w:pPr>
        <w:ind w:left="720" w:hanging="360"/>
      </w:pPr>
      <w:rPr>
        <w:rFonts w:ascii="Symbol" w:hAnsi="Symbol" w:hint="default"/>
      </w:rPr>
    </w:lvl>
    <w:lvl w:ilvl="1" w:tplc="E3D88A82">
      <w:start w:val="1"/>
      <w:numFmt w:val="bullet"/>
      <w:lvlText w:val="o"/>
      <w:lvlJc w:val="left"/>
      <w:pPr>
        <w:ind w:left="1440" w:hanging="360"/>
      </w:pPr>
      <w:rPr>
        <w:rFonts w:ascii="Courier New" w:hAnsi="Courier New" w:hint="default"/>
      </w:rPr>
    </w:lvl>
    <w:lvl w:ilvl="2" w:tplc="0CBAB2E0">
      <w:start w:val="1"/>
      <w:numFmt w:val="bullet"/>
      <w:lvlText w:val=""/>
      <w:lvlJc w:val="left"/>
      <w:pPr>
        <w:ind w:left="2160" w:hanging="360"/>
      </w:pPr>
      <w:rPr>
        <w:rFonts w:ascii="Wingdings" w:hAnsi="Wingdings" w:hint="default"/>
      </w:rPr>
    </w:lvl>
    <w:lvl w:ilvl="3" w:tplc="D2045F4E">
      <w:start w:val="1"/>
      <w:numFmt w:val="bullet"/>
      <w:lvlText w:val=""/>
      <w:lvlJc w:val="left"/>
      <w:pPr>
        <w:ind w:left="2880" w:hanging="360"/>
      </w:pPr>
      <w:rPr>
        <w:rFonts w:ascii="Symbol" w:hAnsi="Symbol" w:hint="default"/>
      </w:rPr>
    </w:lvl>
    <w:lvl w:ilvl="4" w:tplc="9CCE18DC">
      <w:start w:val="1"/>
      <w:numFmt w:val="bullet"/>
      <w:lvlText w:val="o"/>
      <w:lvlJc w:val="left"/>
      <w:pPr>
        <w:ind w:left="3600" w:hanging="360"/>
      </w:pPr>
      <w:rPr>
        <w:rFonts w:ascii="Courier New" w:hAnsi="Courier New" w:hint="default"/>
      </w:rPr>
    </w:lvl>
    <w:lvl w:ilvl="5" w:tplc="1CF064E4">
      <w:start w:val="1"/>
      <w:numFmt w:val="bullet"/>
      <w:lvlText w:val=""/>
      <w:lvlJc w:val="left"/>
      <w:pPr>
        <w:ind w:left="4320" w:hanging="360"/>
      </w:pPr>
      <w:rPr>
        <w:rFonts w:ascii="Wingdings" w:hAnsi="Wingdings" w:hint="default"/>
      </w:rPr>
    </w:lvl>
    <w:lvl w:ilvl="6" w:tplc="E17AA57C">
      <w:start w:val="1"/>
      <w:numFmt w:val="bullet"/>
      <w:lvlText w:val=""/>
      <w:lvlJc w:val="left"/>
      <w:pPr>
        <w:ind w:left="5040" w:hanging="360"/>
      </w:pPr>
      <w:rPr>
        <w:rFonts w:ascii="Symbol" w:hAnsi="Symbol" w:hint="default"/>
      </w:rPr>
    </w:lvl>
    <w:lvl w:ilvl="7" w:tplc="3704E652">
      <w:start w:val="1"/>
      <w:numFmt w:val="bullet"/>
      <w:lvlText w:val="o"/>
      <w:lvlJc w:val="left"/>
      <w:pPr>
        <w:ind w:left="5760" w:hanging="360"/>
      </w:pPr>
      <w:rPr>
        <w:rFonts w:ascii="Courier New" w:hAnsi="Courier New" w:hint="default"/>
      </w:rPr>
    </w:lvl>
    <w:lvl w:ilvl="8" w:tplc="94E4990A">
      <w:start w:val="1"/>
      <w:numFmt w:val="bullet"/>
      <w:lvlText w:val=""/>
      <w:lvlJc w:val="left"/>
      <w:pPr>
        <w:ind w:left="6480" w:hanging="360"/>
      </w:pPr>
      <w:rPr>
        <w:rFonts w:ascii="Wingdings" w:hAnsi="Wingdings" w:hint="default"/>
      </w:rPr>
    </w:lvl>
  </w:abstractNum>
  <w:abstractNum w:abstractNumId="1" w15:restartNumberingAfterBreak="0">
    <w:nsid w:val="3069686F"/>
    <w:multiLevelType w:val="hybridMultilevel"/>
    <w:tmpl w:val="6392342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272252486">
    <w:abstractNumId w:val="0"/>
  </w:num>
  <w:num w:numId="2" w16cid:durableId="1408697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AA"/>
    <w:rsid w:val="00160A75"/>
    <w:rsid w:val="001C17B1"/>
    <w:rsid w:val="00300BC8"/>
    <w:rsid w:val="003C7999"/>
    <w:rsid w:val="004343AB"/>
    <w:rsid w:val="00461AF9"/>
    <w:rsid w:val="004B02CC"/>
    <w:rsid w:val="0050651B"/>
    <w:rsid w:val="005135CC"/>
    <w:rsid w:val="005C0AA3"/>
    <w:rsid w:val="005E430E"/>
    <w:rsid w:val="005E5DC1"/>
    <w:rsid w:val="006053AA"/>
    <w:rsid w:val="00626AAE"/>
    <w:rsid w:val="006871F5"/>
    <w:rsid w:val="00691505"/>
    <w:rsid w:val="00745451"/>
    <w:rsid w:val="0076150A"/>
    <w:rsid w:val="007836FF"/>
    <w:rsid w:val="007A073E"/>
    <w:rsid w:val="007F1724"/>
    <w:rsid w:val="008150BC"/>
    <w:rsid w:val="00821F35"/>
    <w:rsid w:val="0083239C"/>
    <w:rsid w:val="00836B24"/>
    <w:rsid w:val="00881D8A"/>
    <w:rsid w:val="00896F5A"/>
    <w:rsid w:val="009A3EA9"/>
    <w:rsid w:val="009D1FD9"/>
    <w:rsid w:val="00BA5541"/>
    <w:rsid w:val="00BB2ABC"/>
    <w:rsid w:val="00C26DB0"/>
    <w:rsid w:val="00C90FCF"/>
    <w:rsid w:val="00CC57CF"/>
    <w:rsid w:val="00CF740A"/>
    <w:rsid w:val="00D0079F"/>
    <w:rsid w:val="00E05993"/>
    <w:rsid w:val="00E16320"/>
    <w:rsid w:val="00E62F5B"/>
    <w:rsid w:val="00EE1427"/>
    <w:rsid w:val="00F96FB6"/>
    <w:rsid w:val="02589FA6"/>
    <w:rsid w:val="04309369"/>
    <w:rsid w:val="0455AEDF"/>
    <w:rsid w:val="04D8E421"/>
    <w:rsid w:val="059848D3"/>
    <w:rsid w:val="06CE0F03"/>
    <w:rsid w:val="07100AD6"/>
    <w:rsid w:val="07977580"/>
    <w:rsid w:val="07DC9F40"/>
    <w:rsid w:val="09A82FAA"/>
    <w:rsid w:val="0A4E6E65"/>
    <w:rsid w:val="0B4D45BE"/>
    <w:rsid w:val="0CE9161F"/>
    <w:rsid w:val="0D85F3EE"/>
    <w:rsid w:val="0DB84A87"/>
    <w:rsid w:val="0F29A21A"/>
    <w:rsid w:val="109CB8F6"/>
    <w:rsid w:val="10C14656"/>
    <w:rsid w:val="10D93830"/>
    <w:rsid w:val="10E70BAE"/>
    <w:rsid w:val="113665BB"/>
    <w:rsid w:val="1335E993"/>
    <w:rsid w:val="13375A97"/>
    <w:rsid w:val="139B9E55"/>
    <w:rsid w:val="143B9F96"/>
    <w:rsid w:val="1466F803"/>
    <w:rsid w:val="14C7E133"/>
    <w:rsid w:val="159A5FCB"/>
    <w:rsid w:val="15C8B2A2"/>
    <w:rsid w:val="164E8612"/>
    <w:rsid w:val="17437759"/>
    <w:rsid w:val="17C2E714"/>
    <w:rsid w:val="18C474F6"/>
    <w:rsid w:val="1A09F81D"/>
    <w:rsid w:val="1C3D5FC7"/>
    <w:rsid w:val="1C90E916"/>
    <w:rsid w:val="1D6A2A56"/>
    <w:rsid w:val="1DAA0DBD"/>
    <w:rsid w:val="1EA2F7D0"/>
    <w:rsid w:val="1FD43C04"/>
    <w:rsid w:val="1FDF4324"/>
    <w:rsid w:val="2061895E"/>
    <w:rsid w:val="20B96E86"/>
    <w:rsid w:val="20E5BB80"/>
    <w:rsid w:val="21476710"/>
    <w:rsid w:val="225633FA"/>
    <w:rsid w:val="229EDBDD"/>
    <w:rsid w:val="22B18560"/>
    <w:rsid w:val="22D3E389"/>
    <w:rsid w:val="22F618FE"/>
    <w:rsid w:val="2428F696"/>
    <w:rsid w:val="25D60D87"/>
    <w:rsid w:val="2725B5D5"/>
    <w:rsid w:val="2747B109"/>
    <w:rsid w:val="27AEEB05"/>
    <w:rsid w:val="27FCA562"/>
    <w:rsid w:val="2839A978"/>
    <w:rsid w:val="28A03257"/>
    <w:rsid w:val="294FDE24"/>
    <w:rsid w:val="2A9A0F11"/>
    <w:rsid w:val="2B3779AD"/>
    <w:rsid w:val="2C1AD20E"/>
    <w:rsid w:val="2C35DF72"/>
    <w:rsid w:val="2CBACF9A"/>
    <w:rsid w:val="2D2ADB10"/>
    <w:rsid w:val="2D6AA23F"/>
    <w:rsid w:val="2DB594C1"/>
    <w:rsid w:val="2DC5E002"/>
    <w:rsid w:val="2DDE81E0"/>
    <w:rsid w:val="300F9955"/>
    <w:rsid w:val="30BF88FF"/>
    <w:rsid w:val="3148AEEE"/>
    <w:rsid w:val="31FD7CDC"/>
    <w:rsid w:val="320FE682"/>
    <w:rsid w:val="3265980D"/>
    <w:rsid w:val="32C5B260"/>
    <w:rsid w:val="33E8E0E2"/>
    <w:rsid w:val="35527B73"/>
    <w:rsid w:val="3602F7B4"/>
    <w:rsid w:val="37343BE8"/>
    <w:rsid w:val="37C1A7C8"/>
    <w:rsid w:val="39B5A260"/>
    <w:rsid w:val="3A6BDCAA"/>
    <w:rsid w:val="3B210597"/>
    <w:rsid w:val="3B9041E5"/>
    <w:rsid w:val="3C07AD0B"/>
    <w:rsid w:val="3C491F15"/>
    <w:rsid w:val="3CDC62AA"/>
    <w:rsid w:val="3D3D1199"/>
    <w:rsid w:val="3D463476"/>
    <w:rsid w:val="3ECCEF28"/>
    <w:rsid w:val="3F7F7619"/>
    <w:rsid w:val="40006B57"/>
    <w:rsid w:val="4074B848"/>
    <w:rsid w:val="413DFA6E"/>
    <w:rsid w:val="4144C072"/>
    <w:rsid w:val="419348E7"/>
    <w:rsid w:val="41CAF83D"/>
    <w:rsid w:val="42A0271E"/>
    <w:rsid w:val="43ABDA00"/>
    <w:rsid w:val="43C6D3EA"/>
    <w:rsid w:val="43F1C6DB"/>
    <w:rsid w:val="449184DD"/>
    <w:rsid w:val="44DA1DEF"/>
    <w:rsid w:val="45B50177"/>
    <w:rsid w:val="4665A4E0"/>
    <w:rsid w:val="46EB7718"/>
    <w:rsid w:val="47B19942"/>
    <w:rsid w:val="47BEA335"/>
    <w:rsid w:val="4834BCEA"/>
    <w:rsid w:val="49BBACAD"/>
    <w:rsid w:val="4AF7F3EE"/>
    <w:rsid w:val="4B653532"/>
    <w:rsid w:val="4D18B08A"/>
    <w:rsid w:val="4D6D67B7"/>
    <w:rsid w:val="4E0C4727"/>
    <w:rsid w:val="4EF4055F"/>
    <w:rsid w:val="4F73ED83"/>
    <w:rsid w:val="50447F18"/>
    <w:rsid w:val="505C12E6"/>
    <w:rsid w:val="506BE280"/>
    <w:rsid w:val="52769EB0"/>
    <w:rsid w:val="532D6486"/>
    <w:rsid w:val="533B9DA0"/>
    <w:rsid w:val="53C45DCD"/>
    <w:rsid w:val="54966E49"/>
    <w:rsid w:val="54F93F87"/>
    <w:rsid w:val="5596BA64"/>
    <w:rsid w:val="561B538E"/>
    <w:rsid w:val="58833C2F"/>
    <w:rsid w:val="589D6DBB"/>
    <w:rsid w:val="58FEB17D"/>
    <w:rsid w:val="5962E5E3"/>
    <w:rsid w:val="597BC47F"/>
    <w:rsid w:val="59A2F4AB"/>
    <w:rsid w:val="5AD03F8B"/>
    <w:rsid w:val="5B5289F3"/>
    <w:rsid w:val="5C77EC3D"/>
    <w:rsid w:val="5CCE62A9"/>
    <w:rsid w:val="5D56AD52"/>
    <w:rsid w:val="5E4DA600"/>
    <w:rsid w:val="5F080EC0"/>
    <w:rsid w:val="5F8163BF"/>
    <w:rsid w:val="60A54EC8"/>
    <w:rsid w:val="61AEE7EA"/>
    <w:rsid w:val="6234A649"/>
    <w:rsid w:val="65A1F320"/>
    <w:rsid w:val="6748E35D"/>
    <w:rsid w:val="6751A4DC"/>
    <w:rsid w:val="68C1B4C5"/>
    <w:rsid w:val="698EB8D0"/>
    <w:rsid w:val="6A2F7C70"/>
    <w:rsid w:val="6ACC5F06"/>
    <w:rsid w:val="6BCB4CD1"/>
    <w:rsid w:val="6C9297F2"/>
    <w:rsid w:val="6CA0CD56"/>
    <w:rsid w:val="6CAED10C"/>
    <w:rsid w:val="6CC4C3AE"/>
    <w:rsid w:val="6D0974BC"/>
    <w:rsid w:val="6D44FE99"/>
    <w:rsid w:val="6D7E0455"/>
    <w:rsid w:val="6E4AA16D"/>
    <w:rsid w:val="6E5FDEFC"/>
    <w:rsid w:val="6EE125D0"/>
    <w:rsid w:val="6EEF7A1B"/>
    <w:rsid w:val="6EFA00F4"/>
    <w:rsid w:val="6F0E1B1A"/>
    <w:rsid w:val="6F0F4AC7"/>
    <w:rsid w:val="6F1D60A4"/>
    <w:rsid w:val="6FCB469B"/>
    <w:rsid w:val="708B4A7C"/>
    <w:rsid w:val="7095D155"/>
    <w:rsid w:val="71401565"/>
    <w:rsid w:val="715E7AFC"/>
    <w:rsid w:val="7274552B"/>
    <w:rsid w:val="738E122E"/>
    <w:rsid w:val="73B4401D"/>
    <w:rsid w:val="7486ED2D"/>
    <w:rsid w:val="7489E285"/>
    <w:rsid w:val="7622BD8E"/>
    <w:rsid w:val="762B01E8"/>
    <w:rsid w:val="766960B2"/>
    <w:rsid w:val="76749A31"/>
    <w:rsid w:val="76BE6B04"/>
    <w:rsid w:val="77CD5208"/>
    <w:rsid w:val="77D030FF"/>
    <w:rsid w:val="78106A92"/>
    <w:rsid w:val="787BBCEC"/>
    <w:rsid w:val="78D0357F"/>
    <w:rsid w:val="79590084"/>
    <w:rsid w:val="79AC3EE4"/>
    <w:rsid w:val="7AEC34E5"/>
    <w:rsid w:val="7C63C4CD"/>
    <w:rsid w:val="7C90A146"/>
    <w:rsid w:val="7D2C50A6"/>
    <w:rsid w:val="7E2C71A7"/>
    <w:rsid w:val="7E6683B9"/>
    <w:rsid w:val="7EBBC131"/>
    <w:rsid w:val="7EC8210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C3CF"/>
  <w15:chartTrackingRefBased/>
  <w15:docId w15:val="{7B40750D-A638-45A6-A5D7-2AF10CAE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3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5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53AA"/>
    <w:pPr>
      <w:ind w:left="720"/>
      <w:contextualSpacing/>
    </w:pPr>
  </w:style>
  <w:style w:type="character" w:styleId="CommentReference">
    <w:name w:val="annotation reference"/>
    <w:basedOn w:val="DefaultParagraphFont"/>
    <w:rsid w:val="006053AA"/>
    <w:rPr>
      <w:sz w:val="16"/>
      <w:szCs w:val="16"/>
    </w:rPr>
  </w:style>
  <w:style w:type="paragraph" w:styleId="CommentText">
    <w:name w:val="annotation text"/>
    <w:basedOn w:val="Normal"/>
    <w:link w:val="CommentTextChar"/>
    <w:rsid w:val="006053A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053AA"/>
    <w:rPr>
      <w:rFonts w:ascii="Times New Roman" w:eastAsia="Times New Roman" w:hAnsi="Times New Roman" w:cs="Times New Roman"/>
      <w:sz w:val="20"/>
      <w:szCs w:val="20"/>
    </w:rPr>
  </w:style>
  <w:style w:type="paragraph" w:styleId="Revision">
    <w:name w:val="Revision"/>
    <w:hidden/>
    <w:uiPriority w:val="99"/>
    <w:semiHidden/>
    <w:rsid w:val="005E5DC1"/>
    <w:pPr>
      <w:spacing w:after="0" w:line="240" w:lineRule="auto"/>
    </w:pPr>
  </w:style>
  <w:style w:type="character" w:styleId="Hyperlink">
    <w:name w:val="Hyperlink"/>
    <w:basedOn w:val="DefaultParagraphFont"/>
    <w:uiPriority w:val="99"/>
    <w:unhideWhenUsed/>
    <w:rsid w:val="009D1FD9"/>
    <w:rPr>
      <w:color w:val="0563C1" w:themeColor="hyperlink"/>
      <w:u w:val="single"/>
    </w:rPr>
  </w:style>
  <w:style w:type="character" w:styleId="UnresolvedMention">
    <w:name w:val="Unresolved Mention"/>
    <w:basedOn w:val="DefaultParagraphFont"/>
    <w:uiPriority w:val="99"/>
    <w:semiHidden/>
    <w:unhideWhenUsed/>
    <w:rsid w:val="009D1F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1FD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D1FD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15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0BC"/>
    <w:rPr>
      <w:rFonts w:ascii="Segoe UI" w:hAnsi="Segoe UI" w:cs="Segoe UI"/>
      <w:sz w:val="18"/>
      <w:szCs w:val="18"/>
    </w:rPr>
  </w:style>
  <w:style w:type="character" w:customStyle="1" w:styleId="cf01">
    <w:name w:val="cf01"/>
    <w:basedOn w:val="DefaultParagraphFont"/>
    <w:rsid w:val="00E16320"/>
    <w:rPr>
      <w:rFonts w:ascii="Segoe UI" w:hAnsi="Segoe UI" w:cs="Segoe UI" w:hint="default"/>
      <w:sz w:val="18"/>
      <w:szCs w:val="18"/>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mass.egrantsmanagement.com/DocumentLibrary/Default.aspx?ccipSessionKey=6383819255776934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07A73-5CA6-4C60-8C0B-04BA2B4C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Navigating Perkins in GEM$</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Navigating Perkins in GEM$</dc:title>
  <dc:subject/>
  <dc:creator>DESE</dc:creator>
  <cp:keywords/>
  <dc:description/>
  <cp:lastModifiedBy>Zou, Dong (EOE)</cp:lastModifiedBy>
  <cp:revision>6</cp:revision>
  <dcterms:created xsi:type="dcterms:W3CDTF">2024-05-21T13:53:00Z</dcterms:created>
  <dcterms:modified xsi:type="dcterms:W3CDTF">2024-05-21T14:03:00Z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21 2024 12:00AM</vt:lpwstr>
  </property>
</Properties>
</file>