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8001" w14:textId="47AE5CF5" w:rsidR="00DE2B12" w:rsidRPr="001E2AEA" w:rsidRDefault="009B412E" w:rsidP="5F1998C7">
      <w:pPr>
        <w:spacing w:after="0" w:line="240" w:lineRule="auto"/>
        <w:rPr>
          <w:b/>
          <w:bCs/>
          <w:color w:val="1F497D" w:themeColor="text2"/>
          <w:sz w:val="28"/>
          <w:szCs w:val="28"/>
        </w:rPr>
      </w:pPr>
      <w:r>
        <w:br/>
      </w:r>
      <w:r w:rsidR="001F6CD2" w:rsidRPr="5F1998C7">
        <w:rPr>
          <w:b/>
          <w:bCs/>
          <w:color w:val="1F497D" w:themeColor="text2"/>
          <w:sz w:val="28"/>
          <w:szCs w:val="28"/>
        </w:rPr>
        <w:t xml:space="preserve">Carl D. Perkins Career &amp; Technical Education </w:t>
      </w:r>
      <w:r w:rsidR="5F1998C7">
        <w:rPr>
          <w:noProof/>
        </w:rPr>
        <w:drawing>
          <wp:anchor distT="0" distB="0" distL="114300" distR="114300" simplePos="0" relativeHeight="251658240" behindDoc="0" locked="0" layoutInCell="1" allowOverlap="1" wp14:anchorId="0F09A73F" wp14:editId="126F63EF">
            <wp:simplePos x="0" y="0"/>
            <wp:positionH relativeFrom="column">
              <wp:align>right</wp:align>
            </wp:positionH>
            <wp:positionV relativeFrom="paragraph">
              <wp:posOffset>0</wp:posOffset>
            </wp:positionV>
            <wp:extent cx="1304925" cy="782955"/>
            <wp:effectExtent l="0" t="0" r="0" b="0"/>
            <wp:wrapNone/>
            <wp:docPr id="148389894" name="Picture 148389894"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9894" name="Picture 148389894" descr="MA Department of Elementary and Secondary Educat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925" cy="782955"/>
                    </a:xfrm>
                    <a:prstGeom prst="rect">
                      <a:avLst/>
                    </a:prstGeom>
                  </pic:spPr>
                </pic:pic>
              </a:graphicData>
            </a:graphic>
            <wp14:sizeRelH relativeFrom="page">
              <wp14:pctWidth>0</wp14:pctWidth>
            </wp14:sizeRelH>
            <wp14:sizeRelV relativeFrom="page">
              <wp14:pctHeight>0</wp14:pctHeight>
            </wp14:sizeRelV>
          </wp:anchor>
        </w:drawing>
      </w:r>
    </w:p>
    <w:p w14:paraId="432D9EEC" w14:textId="64959A57" w:rsidR="00811F57" w:rsidRPr="00AB1465" w:rsidRDefault="00DE2B12" w:rsidP="00C004F4">
      <w:pPr>
        <w:spacing w:after="0" w:line="240" w:lineRule="auto"/>
        <w:rPr>
          <w:b/>
          <w:color w:val="1F497D" w:themeColor="text2"/>
          <w:sz w:val="24"/>
          <w:szCs w:val="24"/>
        </w:rPr>
      </w:pPr>
      <w:r w:rsidRPr="4A9856E1">
        <w:rPr>
          <w:b/>
          <w:color w:val="1F497D" w:themeColor="text2"/>
          <w:sz w:val="24"/>
          <w:szCs w:val="24"/>
        </w:rPr>
        <w:t>Posts</w:t>
      </w:r>
      <w:r w:rsidR="001F6CD2" w:rsidRPr="4A9856E1">
        <w:rPr>
          <w:b/>
          <w:color w:val="1F497D" w:themeColor="text2"/>
          <w:sz w:val="24"/>
          <w:szCs w:val="24"/>
        </w:rPr>
        <w:t>econdary Allocation Grant</w:t>
      </w:r>
      <w:r w:rsidR="00056E07" w:rsidRPr="4A9856E1">
        <w:rPr>
          <w:b/>
          <w:color w:val="1F497D" w:themeColor="text2"/>
          <w:sz w:val="24"/>
          <w:szCs w:val="24"/>
        </w:rPr>
        <w:t>:</w:t>
      </w:r>
      <w:r w:rsidR="00972D90" w:rsidRPr="4A9856E1">
        <w:rPr>
          <w:b/>
          <w:color w:val="1F497D" w:themeColor="text2"/>
          <w:sz w:val="24"/>
          <w:szCs w:val="24"/>
        </w:rPr>
        <w:t xml:space="preserve"> Quick Reference Guide</w:t>
      </w:r>
      <w:r w:rsidR="00AB1465" w:rsidRPr="4A9856E1">
        <w:rPr>
          <w:b/>
          <w:color w:val="1F497D" w:themeColor="text2"/>
          <w:sz w:val="24"/>
          <w:szCs w:val="24"/>
        </w:rPr>
        <w:t xml:space="preserve"> – Fund Code </w:t>
      </w:r>
      <w:r w:rsidR="30E3713D" w:rsidRPr="4A9856E1">
        <w:rPr>
          <w:b/>
          <w:bCs/>
          <w:color w:val="1F497D" w:themeColor="text2"/>
          <w:sz w:val="24"/>
          <w:szCs w:val="24"/>
        </w:rPr>
        <w:t>0</w:t>
      </w:r>
      <w:r w:rsidR="00AB1465" w:rsidRPr="4A9856E1">
        <w:rPr>
          <w:b/>
          <w:bCs/>
          <w:color w:val="1F497D" w:themeColor="text2"/>
          <w:sz w:val="24"/>
          <w:szCs w:val="24"/>
        </w:rPr>
        <w:t>401</w:t>
      </w:r>
      <w:r w:rsidR="00972D90" w:rsidRPr="4A9856E1">
        <w:rPr>
          <w:b/>
          <w:color w:val="1F497D" w:themeColor="text2"/>
          <w:sz w:val="24"/>
          <w:szCs w:val="24"/>
        </w:rPr>
        <w:t xml:space="preserve"> </w:t>
      </w:r>
    </w:p>
    <w:p w14:paraId="5EAE1173" w14:textId="3CCEAAE3" w:rsidR="00AF429B" w:rsidRPr="00A025B1" w:rsidRDefault="00AB1465" w:rsidP="00F96B69">
      <w:pPr>
        <w:spacing w:after="0" w:line="240" w:lineRule="auto"/>
        <w:rPr>
          <w:rFonts w:ascii="Calibri" w:hAnsi="Calibri" w:cs="Calibri"/>
          <w:b/>
          <w:color w:val="3A7C22"/>
          <w:sz w:val="10"/>
          <w:szCs w:val="10"/>
        </w:rPr>
      </w:pPr>
      <w:r w:rsidRPr="00A025B1">
        <w:rPr>
          <w:rFonts w:ascii="Calibri" w:hAnsi="Calibri" w:cs="Calibri"/>
          <w:b/>
          <w:color w:val="3A7C22"/>
          <w:sz w:val="24"/>
          <w:szCs w:val="24"/>
        </w:rPr>
        <w:t xml:space="preserve">Improving </w:t>
      </w:r>
      <w:r w:rsidR="001424A9" w:rsidRPr="00A025B1">
        <w:rPr>
          <w:rFonts w:ascii="Calibri" w:hAnsi="Calibri" w:cs="Calibri"/>
          <w:b/>
          <w:color w:val="3A7C22"/>
          <w:sz w:val="24"/>
          <w:szCs w:val="24"/>
        </w:rPr>
        <w:t>C</w:t>
      </w:r>
      <w:r w:rsidRPr="00A025B1">
        <w:rPr>
          <w:rFonts w:ascii="Calibri" w:hAnsi="Calibri" w:cs="Calibri"/>
          <w:b/>
          <w:color w:val="3A7C22"/>
          <w:sz w:val="24"/>
          <w:szCs w:val="24"/>
        </w:rPr>
        <w:t xml:space="preserve">areer and </w:t>
      </w:r>
      <w:r w:rsidR="001424A9" w:rsidRPr="00A025B1">
        <w:rPr>
          <w:rFonts w:ascii="Calibri" w:hAnsi="Calibri" w:cs="Calibri"/>
          <w:b/>
          <w:color w:val="3A7C22"/>
          <w:sz w:val="24"/>
          <w:szCs w:val="24"/>
        </w:rPr>
        <w:t>T</w:t>
      </w:r>
      <w:r w:rsidRPr="00A025B1">
        <w:rPr>
          <w:rFonts w:ascii="Calibri" w:hAnsi="Calibri" w:cs="Calibri"/>
          <w:b/>
          <w:color w:val="3A7C22"/>
          <w:sz w:val="24"/>
          <w:szCs w:val="24"/>
        </w:rPr>
        <w:t xml:space="preserve">echnical </w:t>
      </w:r>
      <w:r w:rsidR="001424A9" w:rsidRPr="00A025B1">
        <w:rPr>
          <w:rFonts w:ascii="Calibri" w:hAnsi="Calibri" w:cs="Calibri"/>
          <w:b/>
          <w:color w:val="3A7C22"/>
          <w:sz w:val="24"/>
          <w:szCs w:val="24"/>
        </w:rPr>
        <w:t>E</w:t>
      </w:r>
      <w:r w:rsidRPr="00A025B1">
        <w:rPr>
          <w:rFonts w:ascii="Calibri" w:hAnsi="Calibri" w:cs="Calibri"/>
          <w:b/>
          <w:color w:val="3A7C22"/>
          <w:sz w:val="24"/>
          <w:szCs w:val="24"/>
        </w:rPr>
        <w:t>ducation</w:t>
      </w:r>
      <w:r w:rsidR="001F6CD2" w:rsidRPr="00A025B1">
        <w:rPr>
          <w:rFonts w:ascii="Calibri" w:hAnsi="Calibri" w:cs="Calibri"/>
          <w:b/>
          <w:color w:val="3A7C22"/>
          <w:sz w:val="24"/>
          <w:szCs w:val="24"/>
        </w:rPr>
        <w:t xml:space="preserve"> </w:t>
      </w:r>
      <w:r w:rsidR="00A025B1" w:rsidRPr="00A025B1">
        <w:rPr>
          <w:rFonts w:ascii="Calibri" w:hAnsi="Calibri" w:cs="Calibri"/>
          <w:b/>
          <w:color w:val="3A7C22"/>
          <w:sz w:val="24"/>
          <w:szCs w:val="24"/>
        </w:rPr>
        <w:br/>
      </w:r>
    </w:p>
    <w:p w14:paraId="039439A5" w14:textId="068E6C8D" w:rsidR="00056E07" w:rsidRPr="00750EB9" w:rsidRDefault="001F6CD2" w:rsidP="00E35D8B">
      <w:pPr>
        <w:spacing w:after="0" w:line="240" w:lineRule="auto"/>
        <w:rPr>
          <w:b/>
          <w:color w:val="E36C0A" w:themeColor="accent6" w:themeShade="BF"/>
          <w:sz w:val="20"/>
          <w:szCs w:val="20"/>
        </w:rPr>
      </w:pPr>
      <w:r w:rsidRPr="00750EB9">
        <w:rPr>
          <w:b/>
          <w:color w:val="1F497D" w:themeColor="text2"/>
          <w:sz w:val="20"/>
          <w:szCs w:val="20"/>
        </w:rPr>
        <w:t xml:space="preserve">Purpose and </w:t>
      </w:r>
      <w:r w:rsidR="009B412E" w:rsidRPr="00750EB9">
        <w:rPr>
          <w:b/>
          <w:color w:val="1F497D" w:themeColor="text2"/>
          <w:sz w:val="20"/>
          <w:szCs w:val="20"/>
        </w:rPr>
        <w:t xml:space="preserve">Priorities of </w:t>
      </w:r>
      <w:r w:rsidRPr="00750EB9">
        <w:rPr>
          <w:b/>
          <w:color w:val="1F497D" w:themeColor="text2"/>
          <w:sz w:val="20"/>
          <w:szCs w:val="20"/>
        </w:rPr>
        <w:t xml:space="preserve">Perkins </w:t>
      </w:r>
      <w:r w:rsidR="00373898" w:rsidRPr="00750EB9">
        <w:rPr>
          <w:b/>
          <w:color w:val="1F497D" w:themeColor="text2"/>
          <w:sz w:val="20"/>
          <w:szCs w:val="20"/>
        </w:rPr>
        <w:t>Posts</w:t>
      </w:r>
      <w:r w:rsidRPr="00750EB9">
        <w:rPr>
          <w:b/>
          <w:color w:val="1F497D" w:themeColor="text2"/>
          <w:sz w:val="20"/>
          <w:szCs w:val="20"/>
        </w:rPr>
        <w:t>econdary Allocation Grant</w:t>
      </w:r>
      <w:r w:rsidR="009B412E" w:rsidRPr="00750EB9">
        <w:rPr>
          <w:b/>
          <w:color w:val="1F497D" w:themeColor="text2"/>
          <w:sz w:val="20"/>
          <w:szCs w:val="20"/>
        </w:rPr>
        <w:t>:</w:t>
      </w:r>
      <w:r w:rsidR="009B412E" w:rsidRPr="00750EB9">
        <w:rPr>
          <w:color w:val="1F497D" w:themeColor="text2"/>
          <w:sz w:val="20"/>
          <w:szCs w:val="20"/>
        </w:rPr>
        <w:t xml:space="preserve"> </w:t>
      </w:r>
    </w:p>
    <w:p w14:paraId="687422B7" w14:textId="77777777" w:rsidR="009E4C8F" w:rsidRPr="00787EE2" w:rsidRDefault="00787EE2" w:rsidP="00DF0721">
      <w:pPr>
        <w:pStyle w:val="ListParagraph"/>
        <w:numPr>
          <w:ilvl w:val="0"/>
          <w:numId w:val="44"/>
        </w:numPr>
        <w:spacing w:line="240" w:lineRule="auto"/>
        <w:rPr>
          <w:sz w:val="20"/>
          <w:szCs w:val="20"/>
        </w:rPr>
      </w:pPr>
      <w:r w:rsidRPr="009E4C8F">
        <w:rPr>
          <w:sz w:val="20"/>
          <w:szCs w:val="20"/>
        </w:rPr>
        <w:t>A</w:t>
      </w:r>
      <w:r w:rsidR="001F6CD2" w:rsidRPr="009E4C8F">
        <w:rPr>
          <w:sz w:val="20"/>
          <w:szCs w:val="20"/>
        </w:rPr>
        <w:t>ssist</w:t>
      </w:r>
      <w:r w:rsidR="00373898" w:rsidRPr="009E4C8F">
        <w:rPr>
          <w:sz w:val="20"/>
          <w:szCs w:val="20"/>
        </w:rPr>
        <w:t xml:space="preserve"> </w:t>
      </w:r>
      <w:r w:rsidR="00373898" w:rsidRPr="009E4C8F">
        <w:rPr>
          <w:b/>
          <w:sz w:val="20"/>
          <w:szCs w:val="20"/>
        </w:rPr>
        <w:t>public two-year colleges</w:t>
      </w:r>
      <w:r w:rsidR="00373898" w:rsidRPr="009E4C8F">
        <w:rPr>
          <w:sz w:val="20"/>
          <w:szCs w:val="20"/>
        </w:rPr>
        <w:t xml:space="preserve"> in improving secondary level programs </w:t>
      </w:r>
      <w:r w:rsidR="001F6CD2" w:rsidRPr="009E4C8F">
        <w:rPr>
          <w:sz w:val="20"/>
          <w:szCs w:val="20"/>
        </w:rPr>
        <w:t xml:space="preserve">that meet the definition of career and technical education as contained in the </w:t>
      </w:r>
      <w:r w:rsidR="009E4C8F" w:rsidRPr="002E748B">
        <w:rPr>
          <w:sz w:val="20"/>
        </w:rPr>
        <w:t>Strengthening Career and Technical Education for the 21</w:t>
      </w:r>
      <w:r w:rsidR="009E4C8F" w:rsidRPr="002E748B">
        <w:rPr>
          <w:sz w:val="20"/>
          <w:vertAlign w:val="superscript"/>
        </w:rPr>
        <w:t>st</w:t>
      </w:r>
      <w:r w:rsidR="009E4C8F" w:rsidRPr="002E748B">
        <w:rPr>
          <w:sz w:val="20"/>
        </w:rPr>
        <w:t xml:space="preserve"> Century Act P.L. 115-224 </w:t>
      </w:r>
      <w:r w:rsidR="009E4C8F">
        <w:rPr>
          <w:sz w:val="20"/>
          <w:szCs w:val="20"/>
        </w:rPr>
        <w:t xml:space="preserve">(Perkins </w:t>
      </w:r>
      <w:r w:rsidR="009E4C8F" w:rsidRPr="00787EE2">
        <w:rPr>
          <w:sz w:val="20"/>
          <w:szCs w:val="20"/>
        </w:rPr>
        <w:t>V).</w:t>
      </w:r>
    </w:p>
    <w:p w14:paraId="460FDAE8" w14:textId="76F9B965" w:rsidR="001E2AEA" w:rsidRPr="00F95429" w:rsidRDefault="009E4C8F" w:rsidP="00750EB9">
      <w:pPr>
        <w:pStyle w:val="ListParagraph"/>
        <w:numPr>
          <w:ilvl w:val="0"/>
          <w:numId w:val="44"/>
        </w:numPr>
        <w:spacing w:line="240" w:lineRule="auto"/>
        <w:rPr>
          <w:sz w:val="20"/>
          <w:szCs w:val="20"/>
        </w:rPr>
      </w:pPr>
      <w:r>
        <w:rPr>
          <w:sz w:val="20"/>
          <w:szCs w:val="20"/>
        </w:rPr>
        <w:t>Support career and technical education programs that are sufficient size, scope and quality to be effective</w:t>
      </w:r>
      <w:r w:rsidRPr="00787EE2">
        <w:rPr>
          <w:sz w:val="20"/>
          <w:szCs w:val="20"/>
        </w:rPr>
        <w:t>.</w:t>
      </w:r>
    </w:p>
    <w:p w14:paraId="1218571D" w14:textId="29589318" w:rsidR="001750EA" w:rsidRPr="00750EB9" w:rsidRDefault="001750EA" w:rsidP="001E2AEA">
      <w:pPr>
        <w:spacing w:after="0" w:line="240" w:lineRule="auto"/>
        <w:rPr>
          <w:sz w:val="20"/>
          <w:szCs w:val="20"/>
        </w:rPr>
      </w:pPr>
      <w:r w:rsidRPr="00750EB9">
        <w:rPr>
          <w:b/>
          <w:bCs/>
          <w:color w:val="1F497D" w:themeColor="text2"/>
          <w:sz w:val="20"/>
          <w:szCs w:val="20"/>
        </w:rPr>
        <w:t>Required Spending</w:t>
      </w:r>
      <w:r w:rsidRPr="00750EB9">
        <w:rPr>
          <w:color w:val="1F497D" w:themeColor="text2"/>
          <w:sz w:val="20"/>
          <w:szCs w:val="20"/>
        </w:rPr>
        <w:t>:</w:t>
      </w:r>
    </w:p>
    <w:p w14:paraId="36F191F6" w14:textId="479F7237" w:rsidR="00513A0E" w:rsidRPr="001E2AEA" w:rsidRDefault="00513A0E" w:rsidP="00513A0E">
      <w:pPr>
        <w:pStyle w:val="ListParagraph"/>
        <w:numPr>
          <w:ilvl w:val="0"/>
          <w:numId w:val="45"/>
        </w:numPr>
        <w:spacing w:after="0" w:line="240" w:lineRule="auto"/>
        <w:rPr>
          <w:rFonts w:eastAsiaTheme="minorEastAsia"/>
          <w:color w:val="000000" w:themeColor="text1"/>
          <w:sz w:val="20"/>
          <w:szCs w:val="20"/>
        </w:rPr>
      </w:pPr>
      <w:r w:rsidRPr="0FD89152">
        <w:rPr>
          <w:rFonts w:ascii="Calibri" w:eastAsia="Calibri" w:hAnsi="Calibri" w:cs="Calibri"/>
          <w:color w:val="000000" w:themeColor="text1"/>
          <w:sz w:val="20"/>
          <w:szCs w:val="20"/>
        </w:rPr>
        <w:t xml:space="preserve">Fulfill the six categories of </w:t>
      </w:r>
      <w:hyperlink r:id="rId13" w:history="1">
        <w:r w:rsidRPr="0FD89152">
          <w:rPr>
            <w:rFonts w:ascii="Calibri" w:eastAsia="Calibri" w:hAnsi="Calibri" w:cs="Calibri"/>
            <w:b/>
            <w:bCs/>
            <w:color w:val="000000" w:themeColor="text1"/>
            <w:sz w:val="20"/>
            <w:szCs w:val="20"/>
          </w:rPr>
          <w:t xml:space="preserve">Required Use of Funds from </w:t>
        </w:r>
        <w:r w:rsidR="00615DD6">
          <w:rPr>
            <w:rStyle w:val="Hyperlink"/>
            <w:rFonts w:ascii="Calibri" w:eastAsia="Calibri" w:hAnsi="Calibri" w:cs="Calibri"/>
            <w:b/>
            <w:bCs/>
            <w:sz w:val="20"/>
            <w:szCs w:val="20"/>
          </w:rPr>
          <w:t xml:space="preserve">Section 135(b) </w:t>
        </w:r>
        <w:r w:rsidRPr="0FD89152">
          <w:rPr>
            <w:rStyle w:val="Hyperlink"/>
            <w:rFonts w:ascii="Calibri" w:eastAsia="Calibri" w:hAnsi="Calibri" w:cs="Calibri"/>
            <w:b/>
            <w:bCs/>
            <w:sz w:val="20"/>
            <w:szCs w:val="20"/>
          </w:rPr>
          <w:t>of Perkins V</w:t>
        </w:r>
      </w:hyperlink>
      <w:r w:rsidRPr="0FD89152">
        <w:rPr>
          <w:rFonts w:ascii="Calibri" w:eastAsia="Calibri" w:hAnsi="Calibri" w:cs="Calibri"/>
          <w:color w:val="000000" w:themeColor="text1"/>
          <w:sz w:val="20"/>
          <w:szCs w:val="20"/>
        </w:rPr>
        <w:t xml:space="preserve">. Note that one strategy may satisfy multiple required uses of funds, and multiple strategies may satisfy the same required use, as long as each is met at least once. Refer to </w:t>
      </w:r>
      <w:hyperlink r:id="rId14" w:history="1">
        <w:r w:rsidRPr="0FD89152">
          <w:rPr>
            <w:rStyle w:val="Hyperlink"/>
            <w:sz w:val="20"/>
            <w:szCs w:val="20"/>
          </w:rPr>
          <w:t>resource guide</w:t>
        </w:r>
      </w:hyperlink>
      <w:r w:rsidRPr="0FD89152">
        <w:rPr>
          <w:rFonts w:ascii="Calibri" w:eastAsia="Calibri" w:hAnsi="Calibri" w:cs="Calibri"/>
          <w:b/>
          <w:bCs/>
          <w:color w:val="000000" w:themeColor="text1"/>
          <w:sz w:val="20"/>
          <w:szCs w:val="20"/>
        </w:rPr>
        <w:t xml:space="preserve"> </w:t>
      </w:r>
      <w:r w:rsidRPr="0FD89152">
        <w:rPr>
          <w:rFonts w:ascii="Calibri" w:eastAsia="Calibri" w:hAnsi="Calibri" w:cs="Calibri"/>
          <w:color w:val="000000" w:themeColor="text1"/>
          <w:sz w:val="20"/>
          <w:szCs w:val="20"/>
        </w:rPr>
        <w:t xml:space="preserve">for more details. </w:t>
      </w:r>
    </w:p>
    <w:p w14:paraId="254CDD78" w14:textId="567FCA68" w:rsidR="00836274" w:rsidRPr="001E2AEA" w:rsidRDefault="00304970" w:rsidP="00DF0721">
      <w:pPr>
        <w:pStyle w:val="ListParagraph"/>
        <w:numPr>
          <w:ilvl w:val="0"/>
          <w:numId w:val="45"/>
        </w:numPr>
        <w:spacing w:after="0" w:line="240" w:lineRule="auto"/>
        <w:rPr>
          <w:sz w:val="20"/>
          <w:szCs w:val="20"/>
        </w:rPr>
      </w:pPr>
      <w:r w:rsidRPr="00936CE2">
        <w:rPr>
          <w:sz w:val="20"/>
          <w:szCs w:val="20"/>
        </w:rPr>
        <w:t xml:space="preserve">A portion of each Perkins allocation (no minimum amount is defined) must be spent on </w:t>
      </w:r>
      <w:r w:rsidRPr="00304970">
        <w:rPr>
          <w:b/>
          <w:bCs/>
          <w:sz w:val="20"/>
          <w:szCs w:val="20"/>
        </w:rPr>
        <w:t>High Quality Professional Development</w:t>
      </w:r>
      <w:r w:rsidRPr="00936CE2">
        <w:rPr>
          <w:sz w:val="20"/>
          <w:szCs w:val="20"/>
        </w:rPr>
        <w:t xml:space="preserve"> (HQPD). </w:t>
      </w:r>
      <w:r>
        <w:rPr>
          <w:b/>
          <w:bCs/>
          <w:sz w:val="20"/>
          <w:szCs w:val="20"/>
        </w:rPr>
        <w:t>HQPD</w:t>
      </w:r>
      <w:r w:rsidR="001750EA" w:rsidRPr="6BB58AB9">
        <w:rPr>
          <w:sz w:val="20"/>
          <w:szCs w:val="20"/>
        </w:rPr>
        <w:t xml:space="preserve"> activities are sustained (not stand-alone, 1-day, or short-term workshops), intensive, collaborative, job-embedded, data-driven, and classroom-focused. </w:t>
      </w:r>
    </w:p>
    <w:p w14:paraId="7190E895" w14:textId="2CF7C53B" w:rsidR="2AA8B9DC" w:rsidRDefault="00853B86" w:rsidP="00DF0721">
      <w:pPr>
        <w:pStyle w:val="ListParagraph"/>
        <w:numPr>
          <w:ilvl w:val="0"/>
          <w:numId w:val="45"/>
        </w:numPr>
        <w:spacing w:after="0" w:line="240" w:lineRule="auto"/>
        <w:rPr>
          <w:sz w:val="20"/>
          <w:szCs w:val="20"/>
        </w:rPr>
      </w:pPr>
      <w:r w:rsidRPr="7A9E3EAC">
        <w:rPr>
          <w:b/>
          <w:bCs/>
          <w:sz w:val="20"/>
          <w:szCs w:val="20"/>
        </w:rPr>
        <w:t>Secondary-Postsecondary Linkages</w:t>
      </w:r>
      <w:r w:rsidRPr="7A9E3EAC">
        <w:rPr>
          <w:b/>
          <w:bCs/>
          <w:i/>
          <w:iCs/>
          <w:sz w:val="20"/>
          <w:szCs w:val="20"/>
        </w:rPr>
        <w:t xml:space="preserve"> - A minimum of 20% of the Perkins Postsecondary allocations funds must be used for secondary-postsecondary linkage activities and services. </w:t>
      </w:r>
      <w:r w:rsidRPr="7A9E3EAC">
        <w:rPr>
          <w:sz w:val="20"/>
          <w:szCs w:val="20"/>
        </w:rPr>
        <w:t xml:space="preserve">For a definition and samples of Secondary-Postsecondary Linkages, please </w:t>
      </w:r>
      <w:r w:rsidR="000959E8" w:rsidRPr="7A9E3EAC">
        <w:rPr>
          <w:sz w:val="20"/>
          <w:szCs w:val="20"/>
        </w:rPr>
        <w:t>connect with</w:t>
      </w:r>
      <w:r w:rsidRPr="7A9E3EAC">
        <w:rPr>
          <w:sz w:val="20"/>
          <w:szCs w:val="20"/>
        </w:rPr>
        <w:t xml:space="preserve"> the Office for College, Career, and Technical Education</w:t>
      </w:r>
      <w:r w:rsidR="000959E8" w:rsidRPr="7A9E3EAC">
        <w:rPr>
          <w:sz w:val="20"/>
          <w:szCs w:val="20"/>
        </w:rPr>
        <w:t>.</w:t>
      </w:r>
    </w:p>
    <w:p w14:paraId="7DB535C3" w14:textId="7A4B4F90" w:rsidR="7A9E3EAC" w:rsidRPr="00DF0721" w:rsidRDefault="7A9E3EAC" w:rsidP="7A9E3EAC">
      <w:pPr>
        <w:spacing w:after="0" w:line="240" w:lineRule="auto"/>
        <w:rPr>
          <w:sz w:val="10"/>
          <w:szCs w:val="10"/>
        </w:rPr>
      </w:pPr>
    </w:p>
    <w:p w14:paraId="690FB429" w14:textId="572F13AA" w:rsidR="523E06D3" w:rsidRPr="00DF0721" w:rsidRDefault="523E06D3" w:rsidP="7A9E3EAC">
      <w:pPr>
        <w:spacing w:line="240" w:lineRule="auto"/>
        <w:rPr>
          <w:rFonts w:ascii="Calibri" w:eastAsia="Calibri" w:hAnsi="Calibri" w:cs="Calibri"/>
          <w:sz w:val="20"/>
          <w:szCs w:val="20"/>
        </w:rPr>
      </w:pPr>
      <w:r w:rsidRPr="34514189">
        <w:rPr>
          <w:rFonts w:ascii="Calibri" w:eastAsia="Calibri" w:hAnsi="Calibri" w:cs="Calibri"/>
          <w:sz w:val="20"/>
          <w:szCs w:val="20"/>
        </w:rPr>
        <w:t xml:space="preserve">This allowable cost guide </w:t>
      </w:r>
      <w:r w:rsidR="2AB702C7" w:rsidRPr="34514189">
        <w:rPr>
          <w:rFonts w:ascii="Calibri" w:eastAsia="Calibri" w:hAnsi="Calibri" w:cs="Calibri"/>
          <w:sz w:val="20"/>
          <w:szCs w:val="20"/>
        </w:rPr>
        <w:t xml:space="preserve">helps to align the Chart of Accounts object and function codes to the </w:t>
      </w:r>
      <w:r w:rsidRPr="34514189">
        <w:rPr>
          <w:rFonts w:ascii="Calibri" w:eastAsia="Calibri" w:hAnsi="Calibri" w:cs="Calibri"/>
          <w:sz w:val="20"/>
          <w:szCs w:val="20"/>
        </w:rPr>
        <w:t xml:space="preserve">Massachusetts Grants for Education Management System (GEM$) for the submission of </w:t>
      </w:r>
      <w:r w:rsidR="64F2CBF7" w:rsidRPr="34514189">
        <w:rPr>
          <w:rFonts w:ascii="Calibri" w:eastAsia="Calibri" w:hAnsi="Calibri" w:cs="Calibri"/>
          <w:sz w:val="20"/>
          <w:szCs w:val="20"/>
        </w:rPr>
        <w:t xml:space="preserve">this </w:t>
      </w:r>
      <w:r w:rsidRPr="34514189">
        <w:rPr>
          <w:rFonts w:ascii="Calibri" w:eastAsia="Calibri" w:hAnsi="Calibri" w:cs="Calibri"/>
          <w:sz w:val="20"/>
          <w:szCs w:val="20"/>
        </w:rPr>
        <w:t>federal entitlement grant</w:t>
      </w:r>
      <w:r w:rsidR="4B07394F" w:rsidRPr="34514189">
        <w:rPr>
          <w:rFonts w:ascii="Calibri" w:eastAsia="Calibri" w:hAnsi="Calibri" w:cs="Calibri"/>
          <w:sz w:val="20"/>
          <w:szCs w:val="20"/>
        </w:rPr>
        <w:t xml:space="preserve">. </w:t>
      </w:r>
      <w:r w:rsidRPr="34514189">
        <w:rPr>
          <w:rFonts w:ascii="Calibri" w:eastAsia="Calibri" w:hAnsi="Calibri" w:cs="Calibri"/>
          <w:sz w:val="20"/>
          <w:szCs w:val="20"/>
        </w:rPr>
        <w:t xml:space="preserve">While the function and object codes are correct for most expenses identified here, there may be situations where a different combination is </w:t>
      </w:r>
      <w:r w:rsidR="00E43DA5" w:rsidRPr="34514189">
        <w:rPr>
          <w:rFonts w:ascii="Calibri" w:eastAsia="Calibri" w:hAnsi="Calibri" w:cs="Calibri"/>
          <w:sz w:val="20"/>
          <w:szCs w:val="20"/>
        </w:rPr>
        <w:t>correct. Check</w:t>
      </w:r>
      <w:r w:rsidR="1848B09B" w:rsidRPr="34514189">
        <w:rPr>
          <w:rFonts w:ascii="Calibri" w:eastAsia="Calibri" w:hAnsi="Calibri" w:cs="Calibri"/>
          <w:sz w:val="20"/>
          <w:szCs w:val="20"/>
        </w:rPr>
        <w:t xml:space="preserve"> with </w:t>
      </w:r>
      <w:r w:rsidRPr="34514189">
        <w:rPr>
          <w:rFonts w:ascii="Calibri" w:eastAsia="Calibri" w:hAnsi="Calibri" w:cs="Calibri"/>
          <w:sz w:val="20"/>
          <w:szCs w:val="20"/>
        </w:rPr>
        <w:t xml:space="preserve">your business officer if you believe an expense should be coded differently than indicated </w:t>
      </w:r>
      <w:r w:rsidR="56FA8205" w:rsidRPr="34514189">
        <w:rPr>
          <w:rFonts w:ascii="Calibri" w:eastAsia="Calibri" w:hAnsi="Calibri" w:cs="Calibri"/>
          <w:sz w:val="20"/>
          <w:szCs w:val="20"/>
        </w:rPr>
        <w:t>in the guidance provided</w:t>
      </w:r>
      <w:r w:rsidRPr="34514189">
        <w:rPr>
          <w:rFonts w:ascii="Calibri" w:eastAsia="Calibri" w:hAnsi="Calibri" w:cs="Calibri"/>
          <w:sz w:val="20"/>
          <w:szCs w:val="20"/>
        </w:rPr>
        <w:t xml:space="preserve">. </w:t>
      </w:r>
      <w:r w:rsidR="00B26B57" w:rsidRPr="34514189">
        <w:rPr>
          <w:rFonts w:ascii="Calibri" w:eastAsia="Calibri" w:hAnsi="Calibri" w:cs="Calibri"/>
          <w:sz w:val="20"/>
          <w:szCs w:val="20"/>
        </w:rPr>
        <w:t xml:space="preserve">Districts should also review the Chart of Accounts Guidance listed in the </w:t>
      </w:r>
      <w:hyperlink r:id="rId15">
        <w:r w:rsidR="00B26B57" w:rsidRPr="34514189">
          <w:rPr>
            <w:rStyle w:val="Hyperlink"/>
            <w:rFonts w:ascii="Calibri" w:eastAsia="Calibri" w:hAnsi="Calibri" w:cs="Calibri"/>
            <w:sz w:val="20"/>
            <w:szCs w:val="20"/>
          </w:rPr>
          <w:t>GEM$ DESE Resources</w:t>
        </w:r>
      </w:hyperlink>
      <w:r w:rsidR="00B26B57" w:rsidRPr="34514189">
        <w:rPr>
          <w:rFonts w:ascii="Calibri" w:eastAsia="Calibri" w:hAnsi="Calibri" w:cs="Calibri"/>
          <w:sz w:val="20"/>
          <w:szCs w:val="20"/>
        </w:rPr>
        <w:t xml:space="preserve"> prior to submission. </w:t>
      </w:r>
      <w:r w:rsidRPr="34514189">
        <w:rPr>
          <w:rFonts w:ascii="Calibri" w:eastAsia="Calibri" w:hAnsi="Calibri" w:cs="Calibri"/>
          <w:sz w:val="20"/>
          <w:szCs w:val="20"/>
        </w:rPr>
        <w:t xml:space="preserve">Additionally, </w:t>
      </w:r>
      <w:r w:rsidR="0094CE59" w:rsidRPr="34514189">
        <w:rPr>
          <w:rFonts w:ascii="Calibri" w:eastAsia="Calibri" w:hAnsi="Calibri" w:cs="Calibri"/>
          <w:sz w:val="20"/>
          <w:szCs w:val="20"/>
        </w:rPr>
        <w:t xml:space="preserve">grantees </w:t>
      </w:r>
      <w:r w:rsidRPr="34514189">
        <w:rPr>
          <w:rFonts w:ascii="Calibri" w:eastAsia="Calibri" w:hAnsi="Calibri" w:cs="Calibri"/>
          <w:sz w:val="20"/>
          <w:szCs w:val="20"/>
        </w:rPr>
        <w:t>should write a clear Narrative Description with sufficient detail about each line item.</w:t>
      </w:r>
    </w:p>
    <w:tbl>
      <w:tblPr>
        <w:tblStyle w:val="TableGrid"/>
        <w:tblW w:w="10890" w:type="dxa"/>
        <w:tblInd w:w="-10" w:type="dxa"/>
        <w:tblLayout w:type="fixed"/>
        <w:tblLook w:val="04A0" w:firstRow="1" w:lastRow="0" w:firstColumn="1" w:lastColumn="0" w:noHBand="0" w:noVBand="1"/>
      </w:tblPr>
      <w:tblGrid>
        <w:gridCol w:w="810"/>
        <w:gridCol w:w="9090"/>
        <w:gridCol w:w="990"/>
      </w:tblGrid>
      <w:tr w:rsidR="4555A26B" w14:paraId="52C3CE7B" w14:textId="77777777" w:rsidTr="34514189">
        <w:trPr>
          <w:trHeight w:val="180"/>
        </w:trPr>
        <w:tc>
          <w:tcPr>
            <w:tcW w:w="810" w:type="dxa"/>
            <w:tcBorders>
              <w:top w:val="single" w:sz="8" w:space="0" w:color="auto"/>
              <w:left w:val="single" w:sz="8" w:space="0" w:color="auto"/>
              <w:bottom w:val="nil"/>
              <w:right w:val="single" w:sz="8" w:space="0" w:color="auto"/>
            </w:tcBorders>
            <w:shd w:val="clear" w:color="auto" w:fill="153D63"/>
            <w:tcMar>
              <w:left w:w="108" w:type="dxa"/>
              <w:right w:w="108" w:type="dxa"/>
            </w:tcMar>
          </w:tcPr>
          <w:p w14:paraId="52BFD9D8" w14:textId="7EAF68B2" w:rsidR="4555A26B" w:rsidRPr="002220D1" w:rsidRDefault="4555A26B" w:rsidP="4555A26B">
            <w:pPr>
              <w:jc w:val="center"/>
            </w:pPr>
            <w:r w:rsidRPr="002220D1">
              <w:rPr>
                <w:rFonts w:cs="Calibri"/>
                <w:b/>
                <w:bCs/>
                <w:color w:val="FFFFFF" w:themeColor="background1"/>
              </w:rPr>
              <w:t>Object Code</w:t>
            </w:r>
          </w:p>
        </w:tc>
        <w:tc>
          <w:tcPr>
            <w:tcW w:w="9090" w:type="dxa"/>
            <w:tcBorders>
              <w:top w:val="single" w:sz="8" w:space="0" w:color="auto"/>
              <w:left w:val="single" w:sz="8" w:space="0" w:color="auto"/>
              <w:bottom w:val="nil"/>
              <w:right w:val="single" w:sz="8" w:space="0" w:color="auto"/>
            </w:tcBorders>
            <w:shd w:val="clear" w:color="auto" w:fill="153D63"/>
            <w:tcMar>
              <w:left w:w="108" w:type="dxa"/>
              <w:right w:w="108" w:type="dxa"/>
            </w:tcMar>
          </w:tcPr>
          <w:p w14:paraId="6008CF52" w14:textId="72064CE5" w:rsidR="4555A26B" w:rsidRPr="002220D1" w:rsidRDefault="4555A26B" w:rsidP="4555A26B">
            <w:pPr>
              <w:jc w:val="center"/>
            </w:pPr>
            <w:r w:rsidRPr="002220D1">
              <w:rPr>
                <w:rFonts w:cs="Calibri"/>
                <w:b/>
                <w:bCs/>
                <w:color w:val="FFFFFF" w:themeColor="background1"/>
              </w:rPr>
              <w:t>Allowable Cost</w:t>
            </w:r>
          </w:p>
        </w:tc>
        <w:tc>
          <w:tcPr>
            <w:tcW w:w="990" w:type="dxa"/>
            <w:tcBorders>
              <w:top w:val="single" w:sz="8" w:space="0" w:color="auto"/>
              <w:left w:val="single" w:sz="8" w:space="0" w:color="auto"/>
              <w:bottom w:val="nil"/>
              <w:right w:val="single" w:sz="8" w:space="0" w:color="auto"/>
            </w:tcBorders>
            <w:shd w:val="clear" w:color="auto" w:fill="153D63"/>
            <w:tcMar>
              <w:left w:w="108" w:type="dxa"/>
              <w:right w:w="108" w:type="dxa"/>
            </w:tcMar>
          </w:tcPr>
          <w:p w14:paraId="1078DCFF" w14:textId="03A98FF4" w:rsidR="4555A26B" w:rsidRPr="002220D1" w:rsidRDefault="4555A26B" w:rsidP="4555A26B">
            <w:pPr>
              <w:jc w:val="center"/>
            </w:pPr>
            <w:r w:rsidRPr="002220D1">
              <w:rPr>
                <w:rFonts w:cs="Calibri"/>
                <w:b/>
                <w:bCs/>
                <w:color w:val="FFFFFF" w:themeColor="background1"/>
              </w:rPr>
              <w:t>Function Code</w:t>
            </w:r>
          </w:p>
        </w:tc>
      </w:tr>
      <w:tr w:rsidR="4555A26B" w14:paraId="5CF8A967" w14:textId="77777777" w:rsidTr="34514189">
        <w:trPr>
          <w:trHeight w:val="300"/>
        </w:trPr>
        <w:tc>
          <w:tcPr>
            <w:tcW w:w="810" w:type="dxa"/>
            <w:tcBorders>
              <w:top w:val="nil"/>
              <w:left w:val="single" w:sz="8" w:space="0" w:color="auto"/>
              <w:bottom w:val="single" w:sz="8" w:space="0" w:color="auto"/>
              <w:right w:val="nil"/>
            </w:tcBorders>
            <w:shd w:val="clear" w:color="auto" w:fill="DAE9F7"/>
            <w:tcMar>
              <w:left w:w="108" w:type="dxa"/>
              <w:right w:w="108" w:type="dxa"/>
            </w:tcMar>
          </w:tcPr>
          <w:p w14:paraId="1A6C42E3" w14:textId="3E22F498" w:rsidR="4555A26B" w:rsidRDefault="4555A26B" w:rsidP="4555A26B">
            <w:pPr>
              <w:jc w:val="center"/>
            </w:pPr>
            <w:r w:rsidRPr="4555A26B">
              <w:rPr>
                <w:rFonts w:cs="Calibri"/>
              </w:rPr>
              <w:t xml:space="preserve"> </w:t>
            </w:r>
          </w:p>
        </w:tc>
        <w:tc>
          <w:tcPr>
            <w:tcW w:w="9090" w:type="dxa"/>
            <w:tcBorders>
              <w:top w:val="nil"/>
              <w:left w:val="nil"/>
              <w:bottom w:val="single" w:sz="8" w:space="0" w:color="auto"/>
              <w:right w:val="nil"/>
            </w:tcBorders>
            <w:shd w:val="clear" w:color="auto" w:fill="DAE9F7"/>
            <w:tcMar>
              <w:left w:w="108" w:type="dxa"/>
              <w:right w:w="108" w:type="dxa"/>
            </w:tcMar>
          </w:tcPr>
          <w:p w14:paraId="41B4AD65" w14:textId="1949B4EF" w:rsidR="4555A26B" w:rsidRDefault="4555A26B" w:rsidP="4555A26B">
            <w:pPr>
              <w:jc w:val="center"/>
            </w:pPr>
            <w:r w:rsidRPr="4555A26B">
              <w:rPr>
                <w:rFonts w:cs="Calibri"/>
                <w:b/>
                <w:bCs/>
                <w:color w:val="000000" w:themeColor="text1"/>
              </w:rPr>
              <w:t>Professional Salaries/Stipends</w:t>
            </w:r>
          </w:p>
        </w:tc>
        <w:tc>
          <w:tcPr>
            <w:tcW w:w="990" w:type="dxa"/>
            <w:tcBorders>
              <w:top w:val="nil"/>
              <w:left w:val="nil"/>
              <w:bottom w:val="single" w:sz="8" w:space="0" w:color="auto"/>
              <w:right w:val="single" w:sz="8" w:space="0" w:color="auto"/>
            </w:tcBorders>
            <w:shd w:val="clear" w:color="auto" w:fill="DAE9F7"/>
            <w:tcMar>
              <w:left w:w="108" w:type="dxa"/>
              <w:right w:w="108" w:type="dxa"/>
            </w:tcMar>
          </w:tcPr>
          <w:p w14:paraId="5154D110" w14:textId="39BD93A7" w:rsidR="4555A26B" w:rsidRDefault="4555A26B" w:rsidP="4555A26B">
            <w:pPr>
              <w:jc w:val="center"/>
            </w:pPr>
            <w:r w:rsidRPr="4555A26B">
              <w:rPr>
                <w:rFonts w:cs="Calibri"/>
              </w:rPr>
              <w:t xml:space="preserve"> </w:t>
            </w:r>
          </w:p>
        </w:tc>
      </w:tr>
      <w:tr w:rsidR="4555A26B" w14:paraId="4E62AB81"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C817100" w14:textId="17428C8B" w:rsidR="4555A26B" w:rsidRPr="002220D1" w:rsidRDefault="4555A26B" w:rsidP="00F95429">
            <w:r w:rsidRPr="002220D1">
              <w:rPr>
                <w:rFonts w:cs="Calibri"/>
              </w:rPr>
              <w:t>01NM</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6B8E25E7" w14:textId="4412380D" w:rsidR="00E07121" w:rsidRDefault="5C5C7E14" w:rsidP="00F95429">
            <w:pPr>
              <w:pStyle w:val="NoSpacing"/>
            </w:pPr>
            <w:r>
              <w:t xml:space="preserve">Technical instructor positions </w:t>
            </w:r>
            <w:r w:rsidR="1AE821C7">
              <w:t xml:space="preserve">and </w:t>
            </w:r>
            <w:r w:rsidR="004E1BAF">
              <w:t>t</w:t>
            </w:r>
            <w:r>
              <w:t>echnical instructional aide positions</w:t>
            </w:r>
          </w:p>
          <w:p w14:paraId="4A4650C8" w14:textId="77777777" w:rsidR="00C034F6" w:rsidRPr="000930F8" w:rsidRDefault="00C034F6" w:rsidP="00F95429">
            <w:pPr>
              <w:pStyle w:val="NoSpacing"/>
              <w:rPr>
                <w:rFonts w:cs="Calibri"/>
                <w:b/>
                <w:bCs/>
                <w:sz w:val="10"/>
                <w:szCs w:val="10"/>
              </w:rPr>
            </w:pPr>
          </w:p>
          <w:p w14:paraId="4CECDC18" w14:textId="09FD15A8" w:rsidR="4555A26B" w:rsidRDefault="6C2E32A3" w:rsidP="00F95429">
            <w:pPr>
              <w:pStyle w:val="NoSpacing"/>
              <w:rPr>
                <w:sz w:val="22"/>
                <w:szCs w:val="22"/>
              </w:rPr>
            </w:pPr>
            <w:r w:rsidRPr="76FF4860">
              <w:rPr>
                <w:rFonts w:cs="Calibri"/>
                <w:b/>
                <w:bCs/>
              </w:rPr>
              <w:t>UNALLOWABLE:</w:t>
            </w:r>
            <w:r w:rsidRPr="76FF4860">
              <w:rPr>
                <w:rFonts w:cs="Calibri"/>
              </w:rPr>
              <w:t xml:space="preserve"> </w:t>
            </w:r>
            <w:r w:rsidR="3101C05E" w:rsidRPr="76FF4860">
              <w:t>Salaries or wages of any instructional/professional staff whose responsibilities are not directly related to a Perkins program</w:t>
            </w:r>
            <w:r w:rsidR="00015A89">
              <w:t xml:space="preserve">; </w:t>
            </w:r>
            <w:r w:rsidR="3101C05E" w:rsidRPr="76FF4860">
              <w:t>Any position that has been previously funded with local funds</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29034BF" w14:textId="4C7CA14E" w:rsidR="4555A26B" w:rsidRPr="00C37F76" w:rsidRDefault="4555A26B" w:rsidP="4555A26B">
            <w:pPr>
              <w:jc w:val="center"/>
            </w:pPr>
            <w:r w:rsidRPr="00C37F76">
              <w:rPr>
                <w:rFonts w:cs="Calibri"/>
              </w:rPr>
              <w:t>TCHR</w:t>
            </w:r>
          </w:p>
        </w:tc>
      </w:tr>
      <w:tr w:rsidR="2AA8B9DC" w14:paraId="25687035"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DB460CB" w14:textId="2367DB0B" w:rsidR="2AA8B9DC" w:rsidRPr="002220D1" w:rsidRDefault="2AA8B9DC" w:rsidP="2AA8B9DC">
            <w:pPr>
              <w:jc w:val="center"/>
            </w:pPr>
            <w:r w:rsidRPr="002220D1">
              <w:rPr>
                <w:rFonts w:cs="Calibri"/>
              </w:rPr>
              <w:t>01NM</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35680F66" w14:textId="4D3473B8" w:rsidR="2AA8B9DC" w:rsidRDefault="2AA8B9DC" w:rsidP="7A9E3EAC">
            <w:pPr>
              <w:pStyle w:val="NoSpacing"/>
            </w:pPr>
            <w:r>
              <w:t xml:space="preserve">Counseling and </w:t>
            </w:r>
            <w:r w:rsidR="004E1BAF">
              <w:t>g</w:t>
            </w:r>
            <w:r>
              <w:t>uidance specific to CTE programs</w:t>
            </w:r>
          </w:p>
          <w:p w14:paraId="42550ED2" w14:textId="77777777" w:rsidR="00C034F6" w:rsidRPr="000930F8" w:rsidRDefault="00C034F6" w:rsidP="00F95429">
            <w:pPr>
              <w:pStyle w:val="NoSpacing"/>
              <w:rPr>
                <w:rFonts w:cs="Calibri"/>
                <w:b/>
                <w:bCs/>
                <w:sz w:val="10"/>
                <w:szCs w:val="10"/>
              </w:rPr>
            </w:pPr>
          </w:p>
          <w:p w14:paraId="796E0E71" w14:textId="0695F7EE" w:rsidR="2AA8B9DC" w:rsidRDefault="2AA8B9DC" w:rsidP="00F95429">
            <w:pPr>
              <w:pStyle w:val="NoSpacing"/>
            </w:pPr>
            <w:r w:rsidRPr="2AA8B9DC">
              <w:rPr>
                <w:rFonts w:cs="Calibri"/>
                <w:b/>
                <w:bCs/>
              </w:rPr>
              <w:t>UNALLOWABLE</w:t>
            </w:r>
            <w:r w:rsidRPr="2AA8B9DC">
              <w:rPr>
                <w:rFonts w:cs="Calibri"/>
              </w:rPr>
              <w:t>: Routine guidance or school adjustment counselor services</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74E684D7" w14:textId="395949BB" w:rsidR="2AA8B9DC" w:rsidRPr="00C37F76" w:rsidRDefault="2AA8B9DC" w:rsidP="2AA8B9DC">
            <w:pPr>
              <w:jc w:val="center"/>
            </w:pPr>
            <w:r w:rsidRPr="00C37F76">
              <w:rPr>
                <w:rFonts w:cs="Calibri"/>
              </w:rPr>
              <w:t>GUID</w:t>
            </w:r>
          </w:p>
        </w:tc>
      </w:tr>
      <w:tr w:rsidR="4555A26B" w14:paraId="541A5E6B"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20232EE" w14:textId="32508174" w:rsidR="4555A26B" w:rsidRPr="002220D1" w:rsidRDefault="4555A26B" w:rsidP="4555A26B">
            <w:pPr>
              <w:jc w:val="center"/>
            </w:pPr>
            <w:r w:rsidRPr="002220D1">
              <w:rPr>
                <w:rFonts w:cs="Calibri"/>
              </w:rPr>
              <w:t>01NM</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08CE2378" w14:textId="73357B06" w:rsidR="4555A26B" w:rsidRPr="00E07121" w:rsidRDefault="01260BC8" w:rsidP="00F95429">
            <w:pPr>
              <w:pStyle w:val="NoSpacing"/>
            </w:pPr>
            <w:r w:rsidRPr="76FF4860">
              <w:t>Other instructional or professional staff providing services in a Perkins program</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4E4228EC" w14:textId="4D66D08B" w:rsidR="4555A26B" w:rsidRPr="00C37F76" w:rsidRDefault="4555A26B" w:rsidP="4555A26B">
            <w:pPr>
              <w:jc w:val="center"/>
            </w:pPr>
            <w:r w:rsidRPr="00C37F76">
              <w:rPr>
                <w:rFonts w:cs="Calibri"/>
              </w:rPr>
              <w:t>TSER</w:t>
            </w:r>
          </w:p>
        </w:tc>
      </w:tr>
      <w:tr w:rsidR="4555A26B" w14:paraId="7F37F4DB"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885908F" w14:textId="04BFE3F9" w:rsidR="4555A26B" w:rsidRPr="002220D1" w:rsidRDefault="6C2E32A3" w:rsidP="76FF4860">
            <w:pPr>
              <w:jc w:val="center"/>
              <w:rPr>
                <w:rFonts w:cs="Calibri"/>
              </w:rPr>
            </w:pPr>
            <w:r w:rsidRPr="002220D1">
              <w:rPr>
                <w:rFonts w:cs="Calibri"/>
              </w:rPr>
              <w:t>01NM</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0872831B" w14:textId="4DAD03C6" w:rsidR="00F95429" w:rsidRDefault="61FB3C81" w:rsidP="00F95429">
            <w:pPr>
              <w:pStyle w:val="NoSpacing"/>
            </w:pPr>
            <w:r>
              <w:t>Stipends for any staff employed by the recipient postsecondary education institution to perform tasks outside their work hours and normal duties that support a Perkins program</w:t>
            </w:r>
          </w:p>
          <w:p w14:paraId="61FC7A12" w14:textId="77777777" w:rsidR="00C034F6" w:rsidRPr="000930F8" w:rsidRDefault="00C034F6" w:rsidP="00F95429">
            <w:pPr>
              <w:pStyle w:val="NoSpacing"/>
              <w:rPr>
                <w:rFonts w:cs="Calibri"/>
                <w:b/>
                <w:bCs/>
                <w:sz w:val="10"/>
                <w:szCs w:val="10"/>
              </w:rPr>
            </w:pPr>
          </w:p>
          <w:p w14:paraId="78063F1A" w14:textId="67DC7F44" w:rsidR="4555A26B" w:rsidRDefault="6FA0F158" w:rsidP="00F95429">
            <w:pPr>
              <w:pStyle w:val="NoSpacing"/>
              <w:rPr>
                <w:sz w:val="22"/>
                <w:szCs w:val="22"/>
              </w:rPr>
            </w:pPr>
            <w:r w:rsidRPr="34514189">
              <w:rPr>
                <w:rFonts w:cs="Calibri"/>
                <w:b/>
                <w:bCs/>
              </w:rPr>
              <w:t xml:space="preserve">UNALLOWABLE: </w:t>
            </w:r>
            <w:r>
              <w:t>Stipends for work that is part of the individual’s normal duties</w:t>
            </w:r>
            <w:r w:rsidR="00F95429">
              <w:t xml:space="preserve">, </w:t>
            </w:r>
            <w:r>
              <w:t xml:space="preserve">for work that is performed during the individual’s normal </w:t>
            </w:r>
            <w:r w:rsidR="00E32036">
              <w:t>workday</w:t>
            </w:r>
            <w:r w:rsidR="00F95429">
              <w:t>,</w:t>
            </w:r>
            <w:r w:rsidR="00015A89">
              <w:t xml:space="preserve"> or</w:t>
            </w:r>
            <w:r w:rsidR="00F95429">
              <w:t xml:space="preserve"> </w:t>
            </w:r>
            <w:r>
              <w:t>for individuals who are not employed by the recipient postsecondary education institution</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3DF579E2" w14:textId="58BE1F96" w:rsidR="4555A26B" w:rsidRPr="00C37F76" w:rsidRDefault="4555A26B" w:rsidP="4555A26B">
            <w:pPr>
              <w:jc w:val="center"/>
            </w:pPr>
            <w:r w:rsidRPr="00C37F76">
              <w:rPr>
                <w:rFonts w:cs="Calibri"/>
              </w:rPr>
              <w:t>TCHR</w:t>
            </w:r>
          </w:p>
        </w:tc>
      </w:tr>
      <w:tr w:rsidR="4555A26B" w14:paraId="54B3EDD6" w14:textId="77777777" w:rsidTr="34514189">
        <w:trPr>
          <w:trHeight w:val="300"/>
        </w:trPr>
        <w:tc>
          <w:tcPr>
            <w:tcW w:w="810"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49526B5F" w14:textId="06A3CBEB" w:rsidR="4555A26B" w:rsidRPr="002220D1" w:rsidRDefault="4555A26B" w:rsidP="4555A26B">
            <w:pPr>
              <w:jc w:val="center"/>
            </w:pPr>
            <w:r w:rsidRPr="002220D1">
              <w:rPr>
                <w:rFonts w:cs="Calibri"/>
                <w:b/>
                <w:bCs/>
              </w:rPr>
              <w:t xml:space="preserve"> </w:t>
            </w:r>
          </w:p>
        </w:tc>
        <w:tc>
          <w:tcPr>
            <w:tcW w:w="9090" w:type="dxa"/>
            <w:tcBorders>
              <w:top w:val="single" w:sz="8" w:space="0" w:color="auto"/>
              <w:left w:val="nil"/>
              <w:bottom w:val="single" w:sz="8" w:space="0" w:color="auto"/>
              <w:right w:val="nil"/>
            </w:tcBorders>
            <w:shd w:val="clear" w:color="auto" w:fill="DAE9F7"/>
            <w:tcMar>
              <w:left w:w="108" w:type="dxa"/>
              <w:right w:w="108" w:type="dxa"/>
            </w:tcMar>
          </w:tcPr>
          <w:p w14:paraId="76BCD9D1" w14:textId="3431FE56" w:rsidR="4555A26B" w:rsidRDefault="4555A26B" w:rsidP="4555A26B">
            <w:pPr>
              <w:jc w:val="center"/>
            </w:pPr>
            <w:r w:rsidRPr="4555A26B">
              <w:rPr>
                <w:rFonts w:cs="Calibri"/>
                <w:b/>
                <w:bCs/>
                <w:color w:val="000000" w:themeColor="text1"/>
              </w:rPr>
              <w:t>Clerical Salaries</w:t>
            </w:r>
          </w:p>
        </w:tc>
        <w:tc>
          <w:tcPr>
            <w:tcW w:w="990"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59382575" w14:textId="03554DD2" w:rsidR="4555A26B" w:rsidRPr="00C37F76" w:rsidRDefault="4555A26B" w:rsidP="4555A26B">
            <w:pPr>
              <w:jc w:val="center"/>
            </w:pPr>
            <w:r w:rsidRPr="00C37F76">
              <w:rPr>
                <w:rFonts w:cs="Calibri"/>
              </w:rPr>
              <w:t xml:space="preserve"> </w:t>
            </w:r>
          </w:p>
        </w:tc>
      </w:tr>
      <w:tr w:rsidR="4555A26B" w14:paraId="79408406" w14:textId="77777777" w:rsidTr="34514189">
        <w:trPr>
          <w:trHeight w:val="42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E0E733F" w14:textId="075C7E0E" w:rsidR="4555A26B" w:rsidRPr="002220D1" w:rsidRDefault="4555A26B" w:rsidP="4555A26B">
            <w:pPr>
              <w:jc w:val="center"/>
            </w:pPr>
            <w:r w:rsidRPr="002220D1">
              <w:rPr>
                <w:rFonts w:cs="Calibri"/>
              </w:rPr>
              <w:t>02</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3BC9DC44" w14:textId="14F0629E" w:rsidR="5DA2F0DA" w:rsidRPr="00F95429" w:rsidRDefault="5DA2F0DA" w:rsidP="00F95429">
            <w:pPr>
              <w:pStyle w:val="NoSpacing"/>
            </w:pPr>
            <w:r>
              <w:t xml:space="preserve">Salary for </w:t>
            </w:r>
            <w:r w:rsidR="004E1BAF">
              <w:t>c</w:t>
            </w:r>
            <w:r>
              <w:t xml:space="preserve">lerical or administrative support directly related to a Perkins program (only for time spent on those activities). Time and activity logs required to document time allocations.   </w:t>
            </w:r>
          </w:p>
          <w:p w14:paraId="75D028E8" w14:textId="26E3D2F0" w:rsidR="4555A26B" w:rsidRPr="000930F8" w:rsidRDefault="4555A26B" w:rsidP="00F95429">
            <w:pPr>
              <w:pStyle w:val="NoSpacing"/>
              <w:rPr>
                <w:sz w:val="10"/>
                <w:szCs w:val="10"/>
              </w:rPr>
            </w:pPr>
            <w:r w:rsidRPr="00F95429">
              <w:t xml:space="preserve"> </w:t>
            </w:r>
          </w:p>
          <w:p w14:paraId="3C086413" w14:textId="3513464A" w:rsidR="4555A26B" w:rsidRPr="00F95429" w:rsidRDefault="6C2E32A3" w:rsidP="00F95429">
            <w:pPr>
              <w:pStyle w:val="NoSpacing"/>
            </w:pPr>
            <w:r w:rsidRPr="00F95429">
              <w:rPr>
                <w:b/>
                <w:bCs/>
              </w:rPr>
              <w:t>UNALLOWABLE</w:t>
            </w:r>
            <w:r w:rsidRPr="00F95429">
              <w:t xml:space="preserve">: </w:t>
            </w:r>
            <w:r w:rsidR="7A4F8F18" w:rsidRPr="00F95429">
              <w:t xml:space="preserve">Salaries for administrators for time spent on duties unrelated to grant activities </w:t>
            </w:r>
          </w:p>
          <w:p w14:paraId="5984DC25" w14:textId="72228DFD" w:rsidR="4555A26B" w:rsidRDefault="7A4F8F18" w:rsidP="00F95429">
            <w:pPr>
              <w:pStyle w:val="NoSpacing"/>
            </w:pPr>
            <w:r w:rsidRPr="00F95429">
              <w:t>Administrator salaries and indirect costs combined cannot exceed 5% of grant</w:t>
            </w:r>
            <w:r w:rsidRPr="76FF4860">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6D41C97" w14:textId="7EF1706F" w:rsidR="00E07121" w:rsidRPr="00C37F76" w:rsidRDefault="4555A26B" w:rsidP="00CF7E8D">
            <w:pPr>
              <w:jc w:val="center"/>
            </w:pPr>
            <w:r w:rsidRPr="00C37F76">
              <w:rPr>
                <w:rFonts w:cs="Calibri"/>
              </w:rPr>
              <w:t>ADMN</w:t>
            </w:r>
          </w:p>
          <w:p w14:paraId="7CCD0219" w14:textId="53255B73" w:rsidR="4555A26B" w:rsidRPr="00C37F76" w:rsidRDefault="4555A26B" w:rsidP="4555A26B"/>
        </w:tc>
      </w:tr>
      <w:tr w:rsidR="4555A26B" w14:paraId="6C89DE83" w14:textId="77777777" w:rsidTr="34514189">
        <w:trPr>
          <w:trHeight w:val="285"/>
        </w:trPr>
        <w:tc>
          <w:tcPr>
            <w:tcW w:w="810"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6E6216F3" w14:textId="3739F08D" w:rsidR="4555A26B" w:rsidRPr="002220D1" w:rsidRDefault="4555A26B" w:rsidP="4555A26B">
            <w:pPr>
              <w:jc w:val="center"/>
            </w:pPr>
            <w:r w:rsidRPr="002220D1">
              <w:rPr>
                <w:rFonts w:cs="Calibri"/>
                <w:b/>
                <w:bCs/>
              </w:rPr>
              <w:t xml:space="preserve"> </w:t>
            </w:r>
          </w:p>
        </w:tc>
        <w:tc>
          <w:tcPr>
            <w:tcW w:w="9090" w:type="dxa"/>
            <w:tcBorders>
              <w:top w:val="single" w:sz="8" w:space="0" w:color="auto"/>
              <w:left w:val="nil"/>
              <w:bottom w:val="single" w:sz="8" w:space="0" w:color="auto"/>
              <w:right w:val="nil"/>
            </w:tcBorders>
            <w:shd w:val="clear" w:color="auto" w:fill="DAE9F7"/>
            <w:tcMar>
              <w:left w:w="108" w:type="dxa"/>
              <w:right w:w="108" w:type="dxa"/>
            </w:tcMar>
          </w:tcPr>
          <w:p w14:paraId="429E9E56" w14:textId="3875EEF6" w:rsidR="4555A26B" w:rsidRDefault="4555A26B" w:rsidP="4555A26B">
            <w:pPr>
              <w:jc w:val="center"/>
            </w:pPr>
            <w:r w:rsidRPr="4555A26B">
              <w:rPr>
                <w:rFonts w:cs="Calibri"/>
                <w:b/>
                <w:bCs/>
                <w:color w:val="000000" w:themeColor="text1"/>
              </w:rPr>
              <w:t xml:space="preserve">Other Salaries </w:t>
            </w:r>
          </w:p>
        </w:tc>
        <w:tc>
          <w:tcPr>
            <w:tcW w:w="990"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519CFA14" w14:textId="0149BF7A" w:rsidR="4555A26B" w:rsidRPr="00C37F76" w:rsidRDefault="4555A26B" w:rsidP="4555A26B">
            <w:pPr>
              <w:jc w:val="center"/>
            </w:pPr>
            <w:r w:rsidRPr="00C37F76">
              <w:rPr>
                <w:rFonts w:cs="Calibri"/>
                <w:b/>
                <w:bCs/>
              </w:rPr>
              <w:t xml:space="preserve"> </w:t>
            </w:r>
          </w:p>
        </w:tc>
      </w:tr>
      <w:tr w:rsidR="4555A26B" w14:paraId="4750ACA5"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3E2B64C" w14:textId="07EFF5C5" w:rsidR="4555A26B" w:rsidRPr="002220D1" w:rsidRDefault="4555A26B" w:rsidP="4555A26B">
            <w:pPr>
              <w:jc w:val="center"/>
            </w:pPr>
            <w:r w:rsidRPr="002220D1">
              <w:rPr>
                <w:rFonts w:cs="Calibri"/>
              </w:rPr>
              <w:t>03</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24934E8F" w14:textId="71B01F73" w:rsidR="00F95429" w:rsidRDefault="278F4CE0" w:rsidP="00F95429">
            <w:pPr>
              <w:pStyle w:val="NoSpacing"/>
            </w:pPr>
            <w:r w:rsidRPr="76FF4860">
              <w:rPr>
                <w:rFonts w:cs="Calibri"/>
              </w:rPr>
              <w:t xml:space="preserve">Salary for paraprofessionals who work </w:t>
            </w:r>
            <w:r w:rsidRPr="76FF4860">
              <w:t>providing supplemental services in a Perkins program</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5B48320B" w14:textId="142D03B9" w:rsidR="4555A26B" w:rsidRPr="00C37F76" w:rsidRDefault="4555A26B" w:rsidP="4555A26B">
            <w:pPr>
              <w:jc w:val="center"/>
            </w:pPr>
            <w:r w:rsidRPr="00C37F76">
              <w:rPr>
                <w:rFonts w:cs="Calibri"/>
              </w:rPr>
              <w:t>PARA</w:t>
            </w:r>
          </w:p>
        </w:tc>
      </w:tr>
      <w:tr w:rsidR="4555A26B" w14:paraId="5CAD46ED" w14:textId="77777777" w:rsidTr="34514189">
        <w:trPr>
          <w:trHeight w:val="300"/>
        </w:trPr>
        <w:tc>
          <w:tcPr>
            <w:tcW w:w="810"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0BF71ED4" w14:textId="0766BDB5" w:rsidR="4555A26B" w:rsidRPr="002220D1" w:rsidRDefault="4555A26B" w:rsidP="4555A26B">
            <w:pPr>
              <w:jc w:val="center"/>
            </w:pPr>
            <w:r w:rsidRPr="002220D1">
              <w:rPr>
                <w:rFonts w:cs="Calibri"/>
                <w:b/>
                <w:bCs/>
              </w:rPr>
              <w:t xml:space="preserve"> </w:t>
            </w:r>
          </w:p>
        </w:tc>
        <w:tc>
          <w:tcPr>
            <w:tcW w:w="9090" w:type="dxa"/>
            <w:tcBorders>
              <w:top w:val="single" w:sz="8" w:space="0" w:color="auto"/>
              <w:left w:val="nil"/>
              <w:bottom w:val="single" w:sz="8" w:space="0" w:color="auto"/>
              <w:right w:val="nil"/>
            </w:tcBorders>
            <w:shd w:val="clear" w:color="auto" w:fill="DAE9F7"/>
            <w:tcMar>
              <w:left w:w="108" w:type="dxa"/>
              <w:right w:w="108" w:type="dxa"/>
            </w:tcMar>
          </w:tcPr>
          <w:p w14:paraId="18A43E32" w14:textId="5B7E54D3" w:rsidR="4555A26B" w:rsidRDefault="4555A26B" w:rsidP="4555A26B">
            <w:pPr>
              <w:jc w:val="center"/>
            </w:pPr>
            <w:r w:rsidRPr="4555A26B">
              <w:rPr>
                <w:rFonts w:cs="Calibri"/>
                <w:b/>
                <w:bCs/>
                <w:color w:val="000000" w:themeColor="text1"/>
              </w:rPr>
              <w:t>Contracted Services (04C/04MC)</w:t>
            </w:r>
          </w:p>
        </w:tc>
        <w:tc>
          <w:tcPr>
            <w:tcW w:w="990"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0C5E6264" w14:textId="64522F33" w:rsidR="4555A26B" w:rsidRPr="00C37F76" w:rsidRDefault="4555A26B" w:rsidP="4555A26B">
            <w:pPr>
              <w:jc w:val="center"/>
            </w:pPr>
            <w:r w:rsidRPr="00C37F76">
              <w:rPr>
                <w:rFonts w:cs="Calibri"/>
                <w:b/>
                <w:bCs/>
              </w:rPr>
              <w:t xml:space="preserve"> </w:t>
            </w:r>
          </w:p>
        </w:tc>
      </w:tr>
      <w:tr w:rsidR="4555A26B" w14:paraId="311BF202"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1EBA869" w14:textId="77777777" w:rsidR="00F95429" w:rsidRPr="00615DD6" w:rsidRDefault="66C19456" w:rsidP="4555A26B">
            <w:pPr>
              <w:jc w:val="center"/>
              <w:rPr>
                <w:rFonts w:cs="Calibri"/>
                <w:sz w:val="18"/>
                <w:szCs w:val="18"/>
              </w:rPr>
            </w:pPr>
            <w:r w:rsidRPr="00615DD6">
              <w:rPr>
                <w:rFonts w:cs="Calibri"/>
                <w:sz w:val="18"/>
                <w:szCs w:val="18"/>
              </w:rPr>
              <w:t>04C/</w:t>
            </w:r>
          </w:p>
          <w:p w14:paraId="4D1C87C6" w14:textId="6A8CAD92" w:rsidR="4555A26B" w:rsidRPr="00615DD6" w:rsidRDefault="6C2E32A3" w:rsidP="4555A26B">
            <w:pPr>
              <w:jc w:val="center"/>
              <w:rPr>
                <w:sz w:val="18"/>
                <w:szCs w:val="18"/>
              </w:rPr>
            </w:pPr>
            <w:r w:rsidRPr="00615DD6">
              <w:rPr>
                <w:rFonts w:cs="Calibri"/>
                <w:sz w:val="18"/>
                <w:szCs w:val="18"/>
              </w:rPr>
              <w:t>04MC</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6664867F" w14:textId="77EFFC84" w:rsidR="4555A26B" w:rsidRPr="00F95429" w:rsidRDefault="45F64875" w:rsidP="00F95429">
            <w:pPr>
              <w:pStyle w:val="NoSpacing"/>
            </w:pPr>
            <w:r w:rsidRPr="00F95429">
              <w:t xml:space="preserve">CTE </w:t>
            </w:r>
            <w:r w:rsidR="004E1BAF">
              <w:t>c</w:t>
            </w:r>
            <w:r w:rsidRPr="00F95429">
              <w:t xml:space="preserve">urriculum </w:t>
            </w:r>
            <w:r w:rsidR="004E1BAF">
              <w:t>d</w:t>
            </w:r>
            <w:r w:rsidRPr="00F95429">
              <w:t xml:space="preserve">evelopment </w:t>
            </w:r>
            <w:r w:rsidR="00F85731">
              <w:t xml:space="preserve">and </w:t>
            </w:r>
            <w:r w:rsidR="004E1BAF">
              <w:t>i</w:t>
            </w:r>
            <w:r w:rsidR="00F85731">
              <w:t>mprovement</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79266F1" w14:textId="704841B1" w:rsidR="4555A26B" w:rsidRPr="00C37F76" w:rsidRDefault="05DBCEF7" w:rsidP="76FF4860">
            <w:pPr>
              <w:jc w:val="center"/>
            </w:pPr>
            <w:r w:rsidRPr="00C37F76">
              <w:rPr>
                <w:rFonts w:cs="Calibri"/>
              </w:rPr>
              <w:t xml:space="preserve"> LDRS</w:t>
            </w:r>
          </w:p>
        </w:tc>
      </w:tr>
      <w:tr w:rsidR="4555A26B" w14:paraId="7CB04D89"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52CD2CA" w14:textId="77777777" w:rsidR="00F95429" w:rsidRPr="00615DD6" w:rsidRDefault="4555A26B" w:rsidP="00F95429">
            <w:pPr>
              <w:jc w:val="center"/>
              <w:rPr>
                <w:rFonts w:cs="Calibri"/>
                <w:sz w:val="18"/>
                <w:szCs w:val="18"/>
              </w:rPr>
            </w:pPr>
            <w:r w:rsidRPr="00615DD6">
              <w:rPr>
                <w:rFonts w:cs="Calibri"/>
                <w:sz w:val="18"/>
                <w:szCs w:val="18"/>
              </w:rPr>
              <w:t>04C/</w:t>
            </w:r>
          </w:p>
          <w:p w14:paraId="68003E9C" w14:textId="5015F38A" w:rsidR="4555A26B" w:rsidRPr="00615DD6" w:rsidRDefault="4555A26B" w:rsidP="00F95429">
            <w:pPr>
              <w:jc w:val="center"/>
              <w:rPr>
                <w:rFonts w:cs="Calibri"/>
                <w:sz w:val="18"/>
                <w:szCs w:val="18"/>
              </w:rPr>
            </w:pPr>
            <w:r w:rsidRPr="00615DD6">
              <w:rPr>
                <w:rFonts w:cs="Calibri"/>
                <w:sz w:val="18"/>
                <w:szCs w:val="18"/>
              </w:rPr>
              <w:t>04MC</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504E2FCE" w14:textId="08A3F52D" w:rsidR="4555A26B" w:rsidRPr="00F95429" w:rsidRDefault="49871F11" w:rsidP="00F95429">
            <w:pPr>
              <w:pStyle w:val="NoSpacing"/>
            </w:pPr>
            <w:r>
              <w:t>Post Secondary Linkage Dual Enrollment Courses/</w:t>
            </w:r>
            <w:r w:rsidR="004E1BAF">
              <w:t>t</w:t>
            </w:r>
            <w:r>
              <w:t>uition</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BAE1793" w14:textId="58B2154A" w:rsidR="4555A26B" w:rsidRPr="00C37F76" w:rsidRDefault="4555A26B" w:rsidP="4555A26B">
            <w:pPr>
              <w:jc w:val="center"/>
            </w:pPr>
            <w:r w:rsidRPr="00C37F76">
              <w:rPr>
                <w:rFonts w:cs="Calibri"/>
              </w:rPr>
              <w:t>TSER</w:t>
            </w:r>
          </w:p>
        </w:tc>
      </w:tr>
      <w:tr w:rsidR="4555A26B" w14:paraId="702CF2CA" w14:textId="77777777" w:rsidTr="34514189">
        <w:trPr>
          <w:trHeight w:val="300"/>
        </w:trPr>
        <w:tc>
          <w:tcPr>
            <w:tcW w:w="810"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0C9B5B88" w14:textId="7B88FB46" w:rsidR="4555A26B" w:rsidRPr="002220D1" w:rsidRDefault="4555A26B" w:rsidP="4555A26B">
            <w:pPr>
              <w:jc w:val="center"/>
            </w:pPr>
            <w:r w:rsidRPr="002220D1">
              <w:rPr>
                <w:rFonts w:cs="Calibri"/>
              </w:rPr>
              <w:lastRenderedPageBreak/>
              <w:t xml:space="preserve"> </w:t>
            </w:r>
          </w:p>
        </w:tc>
        <w:tc>
          <w:tcPr>
            <w:tcW w:w="9090" w:type="dxa"/>
            <w:tcBorders>
              <w:top w:val="single" w:sz="8" w:space="0" w:color="auto"/>
              <w:left w:val="nil"/>
              <w:bottom w:val="single" w:sz="8" w:space="0" w:color="auto"/>
              <w:right w:val="nil"/>
            </w:tcBorders>
            <w:shd w:val="clear" w:color="auto" w:fill="DAE9F7"/>
            <w:tcMar>
              <w:left w:w="108" w:type="dxa"/>
              <w:right w:w="108" w:type="dxa"/>
            </w:tcMar>
          </w:tcPr>
          <w:p w14:paraId="30C0C00B" w14:textId="07C138C5" w:rsidR="4555A26B" w:rsidRDefault="4555A26B" w:rsidP="4555A26B">
            <w:pPr>
              <w:jc w:val="center"/>
            </w:pPr>
            <w:r w:rsidRPr="4555A26B">
              <w:rPr>
                <w:rFonts w:cs="Calibri"/>
                <w:b/>
                <w:bCs/>
                <w:color w:val="000000" w:themeColor="text1"/>
              </w:rPr>
              <w:t>Supplies and Materials</w:t>
            </w:r>
          </w:p>
        </w:tc>
        <w:tc>
          <w:tcPr>
            <w:tcW w:w="990"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5351C5B6" w14:textId="31536F84" w:rsidR="4555A26B" w:rsidRPr="00C37F76" w:rsidRDefault="4555A26B" w:rsidP="4555A26B">
            <w:pPr>
              <w:jc w:val="center"/>
            </w:pPr>
            <w:r w:rsidRPr="00C37F76">
              <w:rPr>
                <w:rFonts w:cs="Calibri"/>
              </w:rPr>
              <w:t xml:space="preserve"> </w:t>
            </w:r>
          </w:p>
        </w:tc>
      </w:tr>
      <w:tr w:rsidR="4555A26B" w14:paraId="79AE106F"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5D90347" w14:textId="1569E12B" w:rsidR="4555A26B" w:rsidRPr="002220D1" w:rsidRDefault="4555A26B" w:rsidP="4555A26B">
            <w:pPr>
              <w:jc w:val="center"/>
            </w:pPr>
            <w:r w:rsidRPr="002220D1">
              <w:rPr>
                <w:rFonts w:cs="Calibri"/>
              </w:rPr>
              <w:t>05</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0A6C6336" w14:textId="7F13CCE3" w:rsidR="07042EC8" w:rsidRDefault="07042EC8" w:rsidP="76FF4860">
            <w:r w:rsidRPr="76FF4860">
              <w:rPr>
                <w:rFonts w:cs="Calibri"/>
              </w:rPr>
              <w:t>Materials, supplies and fabricated parts necessary to carry out the grant</w:t>
            </w:r>
            <w:r w:rsidR="2661E5A8" w:rsidRPr="76FF4860">
              <w:rPr>
                <w:rFonts w:cs="Calibri"/>
              </w:rPr>
              <w:t xml:space="preserve"> with a per unit cost of less than $5,000</w:t>
            </w:r>
            <w:r w:rsidRPr="76FF4860">
              <w:rPr>
                <w:rFonts w:cs="Calibri"/>
              </w:rPr>
              <w:t xml:space="preserve">. Materials and supplies purchased must represent the most current and relevant technology. </w:t>
            </w:r>
          </w:p>
          <w:p w14:paraId="0EA11F28" w14:textId="77777777" w:rsidR="00C034F6" w:rsidRDefault="4555A26B" w:rsidP="76FF4860">
            <w:pPr>
              <w:rPr>
                <w:rFonts w:cs="Calibri"/>
                <w:sz w:val="12"/>
                <w:szCs w:val="12"/>
              </w:rPr>
            </w:pPr>
            <w:r w:rsidRPr="7A9E3EAC">
              <w:rPr>
                <w:rFonts w:cs="Calibri"/>
                <w:sz w:val="12"/>
                <w:szCs w:val="12"/>
              </w:rPr>
              <w:t xml:space="preserve"> </w:t>
            </w:r>
          </w:p>
          <w:p w14:paraId="4F48CF7B" w14:textId="5D61DE7C" w:rsidR="4555A26B" w:rsidRDefault="12D39D8D" w:rsidP="76FF4860">
            <w:pPr>
              <w:rPr>
                <w:sz w:val="22"/>
                <w:szCs w:val="22"/>
              </w:rPr>
            </w:pPr>
            <w:r w:rsidRPr="7A9E3EAC">
              <w:rPr>
                <w:rFonts w:cs="Calibri"/>
                <w:b/>
                <w:bCs/>
              </w:rPr>
              <w:t>UNALLOWABLE:</w:t>
            </w:r>
            <w:r w:rsidRPr="7A9E3EAC">
              <w:rPr>
                <w:rFonts w:cs="Calibri"/>
              </w:rPr>
              <w:t xml:space="preserve"> </w:t>
            </w:r>
            <w:r w:rsidR="79643DA2" w:rsidRPr="7A9E3EAC">
              <w:rPr>
                <w:rFonts w:cs="Calibri"/>
              </w:rPr>
              <w:t>Consumable, routine and general office and program supplies</w:t>
            </w:r>
            <w:r w:rsidR="1A503A0B" w:rsidRPr="7A9E3EAC">
              <w:rPr>
                <w:rFonts w:cs="Calibri"/>
              </w:rPr>
              <w:t>, s</w:t>
            </w:r>
            <w:r w:rsidR="1ECC06D7">
              <w:t>upplies that are typically and reasonably provided by the recipient postsecondary education institution</w:t>
            </w:r>
            <w:r w:rsidR="30A9A255">
              <w:t>.</w:t>
            </w:r>
          </w:p>
          <w:p w14:paraId="7E048B1E" w14:textId="05067CC8" w:rsidR="4555A26B" w:rsidRDefault="6B1814BB" w:rsidP="76FF4860">
            <w:pPr>
              <w:rPr>
                <w:rFonts w:cs="Calibri"/>
              </w:rPr>
            </w:pPr>
            <w:r w:rsidRPr="76FF4860">
              <w:rPr>
                <w:rFonts w:cs="Calibri"/>
              </w:rPr>
              <w:t>Exceptions for consumable supplies would be those supplies used specifically for career and technical education program improvement.</w:t>
            </w:r>
            <w:r w:rsidR="5C102F24" w:rsidRPr="76FF4860">
              <w:rPr>
                <w:rFonts w:cs="Calibri"/>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161AD0EF" w14:textId="1A4C9EF2" w:rsidR="4555A26B" w:rsidRPr="00C37F76" w:rsidRDefault="4555A26B" w:rsidP="4555A26B">
            <w:pPr>
              <w:jc w:val="center"/>
            </w:pPr>
            <w:r w:rsidRPr="00C37F76">
              <w:rPr>
                <w:rFonts w:cs="Calibri"/>
              </w:rPr>
              <w:t>MATL</w:t>
            </w:r>
          </w:p>
        </w:tc>
      </w:tr>
      <w:tr w:rsidR="4555A26B" w14:paraId="65A506D7" w14:textId="77777777" w:rsidTr="34514189">
        <w:trPr>
          <w:trHeight w:val="300"/>
        </w:trPr>
        <w:tc>
          <w:tcPr>
            <w:tcW w:w="810"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70A4106E" w14:textId="196D41AA" w:rsidR="4555A26B" w:rsidRPr="002220D1" w:rsidRDefault="4555A26B" w:rsidP="4555A26B">
            <w:pPr>
              <w:jc w:val="center"/>
            </w:pPr>
            <w:r w:rsidRPr="002220D1">
              <w:rPr>
                <w:rFonts w:cs="Calibri"/>
              </w:rPr>
              <w:t xml:space="preserve"> </w:t>
            </w:r>
          </w:p>
        </w:tc>
        <w:tc>
          <w:tcPr>
            <w:tcW w:w="9090" w:type="dxa"/>
            <w:tcBorders>
              <w:top w:val="single" w:sz="8" w:space="0" w:color="auto"/>
              <w:left w:val="nil"/>
              <w:bottom w:val="single" w:sz="8" w:space="0" w:color="auto"/>
              <w:right w:val="nil"/>
            </w:tcBorders>
            <w:shd w:val="clear" w:color="auto" w:fill="DAE9F7"/>
            <w:tcMar>
              <w:left w:w="108" w:type="dxa"/>
              <w:right w:w="108" w:type="dxa"/>
            </w:tcMar>
          </w:tcPr>
          <w:p w14:paraId="46112186" w14:textId="4B94BD17" w:rsidR="4555A26B" w:rsidRDefault="4555A26B" w:rsidP="4555A26B">
            <w:pPr>
              <w:jc w:val="center"/>
            </w:pPr>
            <w:r w:rsidRPr="4555A26B">
              <w:rPr>
                <w:rFonts w:cs="Calibri"/>
                <w:b/>
                <w:bCs/>
                <w:color w:val="000000" w:themeColor="text1"/>
              </w:rPr>
              <w:t>Other Expenses</w:t>
            </w:r>
          </w:p>
        </w:tc>
        <w:tc>
          <w:tcPr>
            <w:tcW w:w="990"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14D5F389" w14:textId="73060192" w:rsidR="4555A26B" w:rsidRPr="00C37F76" w:rsidRDefault="4555A26B" w:rsidP="4555A26B">
            <w:pPr>
              <w:jc w:val="center"/>
            </w:pPr>
            <w:r w:rsidRPr="00C37F76">
              <w:rPr>
                <w:rFonts w:cs="Calibri"/>
              </w:rPr>
              <w:t xml:space="preserve"> </w:t>
            </w:r>
          </w:p>
        </w:tc>
      </w:tr>
      <w:tr w:rsidR="4555A26B" w14:paraId="3F5EBB5A"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6E9E07F" w14:textId="34041A23" w:rsidR="4555A26B" w:rsidRPr="002220D1" w:rsidRDefault="4555A26B" w:rsidP="4555A26B">
            <w:pPr>
              <w:jc w:val="center"/>
            </w:pPr>
            <w:r w:rsidRPr="002220D1">
              <w:rPr>
                <w:rFonts w:cs="Calibri"/>
              </w:rPr>
              <w:t>06</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41288C11" w14:textId="6AE639EE" w:rsidR="4555A26B" w:rsidRDefault="4555A26B" w:rsidP="4555A26B">
            <w:r w:rsidRPr="4555A26B">
              <w:rPr>
                <w:rFonts w:cs="Calibri"/>
              </w:rPr>
              <w:t>Fringe benefits</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1A42360D" w14:textId="184165B9" w:rsidR="4555A26B" w:rsidRPr="00C37F76" w:rsidRDefault="4555A26B" w:rsidP="4555A26B">
            <w:pPr>
              <w:jc w:val="center"/>
            </w:pPr>
            <w:r w:rsidRPr="00C37F76">
              <w:rPr>
                <w:rFonts w:cs="Calibri"/>
              </w:rPr>
              <w:t>BENE</w:t>
            </w:r>
          </w:p>
        </w:tc>
      </w:tr>
      <w:tr w:rsidR="76FF4860" w14:paraId="0A6CC27A"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2F748FC" w14:textId="4355FBEC" w:rsidR="5A111E49" w:rsidRPr="002220D1" w:rsidRDefault="5A111E49" w:rsidP="76FF4860">
            <w:pPr>
              <w:jc w:val="center"/>
              <w:rPr>
                <w:rFonts w:cs="Calibri"/>
              </w:rPr>
            </w:pPr>
            <w:r w:rsidRPr="002220D1">
              <w:rPr>
                <w:rFonts w:cs="Calibri"/>
              </w:rPr>
              <w:t>06</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23F26685" w14:textId="1B2C52A4" w:rsidR="5A111E49" w:rsidRDefault="5A111E49" w:rsidP="76FF4860">
            <w:pPr>
              <w:rPr>
                <w:rFonts w:cs="Calibri"/>
              </w:rPr>
            </w:pPr>
            <w:r w:rsidRPr="7A9E3EAC">
              <w:rPr>
                <w:rFonts w:cs="Calibri"/>
              </w:rPr>
              <w:t xml:space="preserve">Occupational certifications and licenses </w:t>
            </w:r>
            <w:r w:rsidR="0497F845" w:rsidRPr="7A9E3EAC">
              <w:rPr>
                <w:rFonts w:cs="Calibri"/>
              </w:rPr>
              <w:t>(</w:t>
            </w:r>
            <w:r w:rsidRPr="7A9E3EAC">
              <w:rPr>
                <w:rFonts w:cs="Calibri"/>
              </w:rPr>
              <w:t>i.e.</w:t>
            </w:r>
            <w:r w:rsidR="005E0DEF" w:rsidRPr="7A9E3EAC">
              <w:rPr>
                <w:rFonts w:cs="Calibri"/>
              </w:rPr>
              <w:t>, OSHA</w:t>
            </w:r>
            <w:r w:rsidRPr="7A9E3EAC">
              <w:rPr>
                <w:rFonts w:cs="Calibri"/>
              </w:rPr>
              <w:t xml:space="preserve">, Adobe)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6C99074E" w14:textId="786FAFDA" w:rsidR="5A111E49" w:rsidRPr="00C37F76" w:rsidRDefault="5A111E49" w:rsidP="76FF4860">
            <w:pPr>
              <w:jc w:val="center"/>
              <w:rPr>
                <w:rFonts w:cs="Calibri"/>
              </w:rPr>
            </w:pPr>
            <w:r w:rsidRPr="00C37F76">
              <w:rPr>
                <w:rFonts w:cs="Calibri"/>
              </w:rPr>
              <w:t>GUID</w:t>
            </w:r>
          </w:p>
        </w:tc>
      </w:tr>
      <w:tr w:rsidR="76FF4860" w14:paraId="3054F257"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4E0534B" w14:textId="6DD39809" w:rsidR="1AA10CFF" w:rsidRPr="002220D1" w:rsidRDefault="1AA10CFF" w:rsidP="76FF4860">
            <w:pPr>
              <w:jc w:val="center"/>
              <w:rPr>
                <w:rFonts w:cs="Calibri"/>
              </w:rPr>
            </w:pPr>
            <w:r w:rsidRPr="002220D1">
              <w:rPr>
                <w:rFonts w:cs="Calibri"/>
              </w:rPr>
              <w:t>06</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36D844F3" w14:textId="6F466570" w:rsidR="76FF4860" w:rsidRDefault="2A2777F6" w:rsidP="2AA8B9DC">
            <w:pPr>
              <w:spacing w:line="276" w:lineRule="auto"/>
              <w:rPr>
                <w:rFonts w:cs="Calibri"/>
              </w:rPr>
            </w:pPr>
            <w:r w:rsidRPr="2AA8B9DC">
              <w:rPr>
                <w:rFonts w:cs="Calibri"/>
              </w:rPr>
              <w:t xml:space="preserve">Professional Development </w:t>
            </w:r>
            <w:r w:rsidR="004E1BAF">
              <w:rPr>
                <w:rFonts w:cs="Calibri"/>
              </w:rPr>
              <w:t>m</w:t>
            </w:r>
            <w:r w:rsidRPr="2AA8B9DC">
              <w:rPr>
                <w:rFonts w:cs="Calibri"/>
              </w:rPr>
              <w:t xml:space="preserve">embership </w:t>
            </w:r>
            <w:r w:rsidR="004E1BAF">
              <w:rPr>
                <w:rFonts w:cs="Calibri"/>
              </w:rPr>
              <w:t>f</w:t>
            </w:r>
            <w:r w:rsidRPr="2AA8B9DC">
              <w:rPr>
                <w:rFonts w:cs="Calibri"/>
              </w:rPr>
              <w:t>ees/</w:t>
            </w:r>
            <w:r w:rsidR="004E1BAF">
              <w:rPr>
                <w:rFonts w:cs="Calibri"/>
              </w:rPr>
              <w:t>d</w:t>
            </w:r>
            <w:r w:rsidRPr="2AA8B9DC">
              <w:rPr>
                <w:rFonts w:cs="Calibri"/>
              </w:rPr>
              <w:t>ues/</w:t>
            </w:r>
            <w:r w:rsidR="004E1BAF">
              <w:rPr>
                <w:rFonts w:cs="Calibri"/>
              </w:rPr>
              <w:t>t</w:t>
            </w:r>
            <w:r w:rsidRPr="2AA8B9DC">
              <w:rPr>
                <w:rFonts w:cs="Calibri"/>
              </w:rPr>
              <w:t xml:space="preserve">ravel costs  </w:t>
            </w:r>
          </w:p>
          <w:p w14:paraId="46C53520" w14:textId="77777777" w:rsidR="00C034F6" w:rsidRPr="00E85EEF" w:rsidRDefault="00C034F6" w:rsidP="7A9E3EAC">
            <w:pPr>
              <w:rPr>
                <w:rFonts w:cs="Calibri"/>
                <w:b/>
                <w:bCs/>
                <w:sz w:val="10"/>
                <w:szCs w:val="10"/>
              </w:rPr>
            </w:pPr>
          </w:p>
          <w:p w14:paraId="39590032" w14:textId="5634E86B" w:rsidR="11A24F20" w:rsidRDefault="2A2777F6" w:rsidP="7A9E3EAC">
            <w:pPr>
              <w:rPr>
                <w:sz w:val="22"/>
                <w:szCs w:val="22"/>
              </w:rPr>
            </w:pPr>
            <w:r w:rsidRPr="7A9E3EAC">
              <w:rPr>
                <w:rFonts w:cs="Calibri"/>
                <w:b/>
                <w:bCs/>
              </w:rPr>
              <w:t xml:space="preserve">UNALLOWABLE: </w:t>
            </w:r>
            <w:r w:rsidRPr="7A9E3EAC">
              <w:rPr>
                <w:rFonts w:cs="Calibri"/>
              </w:rPr>
              <w:t>Membership/subscriptions not related to career and technical education, Individual memberships</w:t>
            </w:r>
            <w:r w:rsidR="31077639" w:rsidRPr="7A9E3EAC">
              <w:rPr>
                <w:rFonts w:cs="Calibri"/>
              </w:rPr>
              <w:t>,</w:t>
            </w:r>
            <w:r w:rsidR="14B98252">
              <w:t xml:space="preserve"> A course or PD training which outcomes only benefits individual instructors and not programs and students</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71848A95" w14:textId="572251D6" w:rsidR="1F146E82" w:rsidRPr="00C37F76" w:rsidRDefault="1F146E82" w:rsidP="76FF4860">
            <w:pPr>
              <w:jc w:val="center"/>
              <w:rPr>
                <w:rFonts w:cs="Calibri"/>
              </w:rPr>
            </w:pPr>
            <w:r w:rsidRPr="00C37F76">
              <w:rPr>
                <w:rFonts w:cs="Calibri"/>
              </w:rPr>
              <w:t>PDEV</w:t>
            </w:r>
          </w:p>
        </w:tc>
      </w:tr>
      <w:tr w:rsidR="2AA8B9DC" w14:paraId="297E04DD"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2D4AC9D" w14:textId="21252516" w:rsidR="69664467" w:rsidRPr="00C37F76" w:rsidRDefault="69664467" w:rsidP="2AA8B9DC">
            <w:pPr>
              <w:jc w:val="center"/>
              <w:rPr>
                <w:rFonts w:cs="Calibri"/>
              </w:rPr>
            </w:pPr>
            <w:r w:rsidRPr="00C37F76">
              <w:rPr>
                <w:rFonts w:cs="Calibri"/>
              </w:rPr>
              <w:t>06</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72F7886B" w14:textId="1F0D1A11" w:rsidR="69664467" w:rsidRDefault="69664467" w:rsidP="2AA8B9DC">
            <w:pPr>
              <w:rPr>
                <w:rFonts w:cs="Calibri"/>
              </w:rPr>
            </w:pPr>
            <w:r w:rsidRPr="2AA8B9DC">
              <w:rPr>
                <w:rFonts w:cs="Calibri"/>
              </w:rPr>
              <w:t>Transportation costs for students</w:t>
            </w:r>
            <w:r w:rsidR="4B5AE4E1" w:rsidRPr="2AA8B9DC">
              <w:rPr>
                <w:rFonts w:cs="Calibri"/>
              </w:rPr>
              <w:t xml:space="preserve"> enrolled in career/technical education programs on field trips including college/registered apprenticeship program visits</w:t>
            </w:r>
          </w:p>
          <w:p w14:paraId="4330F293" w14:textId="77777777" w:rsidR="00C034F6" w:rsidRPr="00E85EEF" w:rsidRDefault="00C034F6" w:rsidP="7A9E3EAC">
            <w:pPr>
              <w:rPr>
                <w:rFonts w:cs="Calibri"/>
                <w:b/>
                <w:bCs/>
                <w:sz w:val="10"/>
                <w:szCs w:val="10"/>
              </w:rPr>
            </w:pPr>
          </w:p>
          <w:p w14:paraId="17CCDA31" w14:textId="7C3828A9" w:rsidR="69664467" w:rsidRDefault="69664467" w:rsidP="7A9E3EAC">
            <w:pPr>
              <w:rPr>
                <w:b/>
                <w:bCs/>
              </w:rPr>
            </w:pPr>
            <w:r w:rsidRPr="34514189">
              <w:rPr>
                <w:rFonts w:cs="Calibri"/>
                <w:b/>
                <w:bCs/>
              </w:rPr>
              <w:t xml:space="preserve">UNALLOWABLE: </w:t>
            </w:r>
            <w:r>
              <w:t xml:space="preserve">Cash, credit card, voucher </w:t>
            </w:r>
            <w:r w:rsidR="00674771">
              <w:t>or other payment</w:t>
            </w:r>
            <w:r w:rsidRPr="34514189">
              <w:rPr>
                <w:i/>
                <w:iCs/>
              </w:rPr>
              <w:t>.</w:t>
            </w:r>
            <w:r>
              <w:t xml:space="preserve"> provided to an individual student for transportation</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48C8732A" w14:textId="2E5A4EC1" w:rsidR="69664467" w:rsidRPr="00C37F76" w:rsidRDefault="69664467" w:rsidP="2AA8B9DC">
            <w:pPr>
              <w:jc w:val="center"/>
              <w:rPr>
                <w:rFonts w:cs="Calibri"/>
              </w:rPr>
            </w:pPr>
            <w:r w:rsidRPr="00C37F76">
              <w:rPr>
                <w:rFonts w:cs="Calibri"/>
              </w:rPr>
              <w:t>SERV</w:t>
            </w:r>
          </w:p>
        </w:tc>
      </w:tr>
      <w:tr w:rsidR="76FF4860" w14:paraId="49A2226C"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7366C13" w14:textId="67F836FE" w:rsidR="3BDA29BC" w:rsidRPr="002220D1" w:rsidRDefault="3BDA29BC" w:rsidP="76FF4860">
            <w:pPr>
              <w:jc w:val="center"/>
              <w:rPr>
                <w:rFonts w:cs="Calibri"/>
              </w:rPr>
            </w:pPr>
            <w:r w:rsidRPr="002220D1">
              <w:rPr>
                <w:rFonts w:cs="Calibri"/>
              </w:rPr>
              <w:t xml:space="preserve">06 </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2F22860C" w14:textId="77777777" w:rsidR="2826657B" w:rsidRDefault="2826657B" w:rsidP="76FF4860">
            <w:r w:rsidRPr="76FF4860">
              <w:rPr>
                <w:rFonts w:cs="Calibri"/>
              </w:rPr>
              <w:t>Food for a program-related activity when the activity overlaps a mealtime, or for simple refreshment when it would be impractical or relatively inconvenient for the participants to purchase sustenance</w:t>
            </w:r>
            <w:r w:rsidR="48BE4100" w:rsidRPr="76FF4860">
              <w:rPr>
                <w:rFonts w:cs="Calibri"/>
              </w:rPr>
              <w:t xml:space="preserve">. </w:t>
            </w:r>
            <w:r w:rsidR="6C1522A5" w:rsidRPr="76FF4860">
              <w:rPr>
                <w:rFonts w:cs="Calibri"/>
              </w:rPr>
              <w:t>Please refer to</w:t>
            </w:r>
            <w:r w:rsidR="48BE4100" w:rsidRPr="76FF4860">
              <w:rPr>
                <w:rFonts w:cs="Calibri"/>
              </w:rPr>
              <w:t xml:space="preserve"> </w:t>
            </w:r>
            <w:hyperlink r:id="rId16">
              <w:r w:rsidR="21FB9335" w:rsidRPr="76FF4860">
                <w:rPr>
                  <w:rStyle w:val="Hyperlink"/>
                  <w:rFonts w:cs="Calibri"/>
                </w:rPr>
                <w:t>Food, Conferences, and Meetings Federal Guidance</w:t>
              </w:r>
            </w:hyperlink>
          </w:p>
          <w:p w14:paraId="552171AB" w14:textId="5CD9EE77" w:rsidR="00AF08B1" w:rsidRPr="00AF08B1" w:rsidRDefault="00AF08B1" w:rsidP="76FF4860">
            <w:pPr>
              <w:rPr>
                <w:rFonts w:cs="Calibri"/>
                <w:sz w:val="8"/>
                <w:szCs w:val="8"/>
              </w:rPr>
            </w:pP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B992134" w14:textId="53277E7E" w:rsidR="48BE4100" w:rsidRPr="00C37F76" w:rsidRDefault="48BE4100" w:rsidP="76FF4860">
            <w:pPr>
              <w:jc w:val="center"/>
              <w:rPr>
                <w:rFonts w:cs="Calibri"/>
              </w:rPr>
            </w:pPr>
            <w:r w:rsidRPr="00C37F76">
              <w:rPr>
                <w:rFonts w:cs="Calibri"/>
              </w:rPr>
              <w:t>SERV</w:t>
            </w:r>
          </w:p>
        </w:tc>
      </w:tr>
      <w:tr w:rsidR="4555A26B" w14:paraId="28DB4121" w14:textId="77777777" w:rsidTr="34514189">
        <w:trPr>
          <w:trHeight w:val="300"/>
        </w:trPr>
        <w:tc>
          <w:tcPr>
            <w:tcW w:w="810"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23BB5E86" w14:textId="08E4112C" w:rsidR="4555A26B" w:rsidRPr="002220D1" w:rsidRDefault="4555A26B" w:rsidP="4555A26B">
            <w:pPr>
              <w:jc w:val="center"/>
            </w:pPr>
            <w:r w:rsidRPr="002220D1">
              <w:rPr>
                <w:rFonts w:cs="Calibri"/>
              </w:rPr>
              <w:t xml:space="preserve"> </w:t>
            </w:r>
          </w:p>
        </w:tc>
        <w:tc>
          <w:tcPr>
            <w:tcW w:w="9090" w:type="dxa"/>
            <w:tcBorders>
              <w:top w:val="single" w:sz="8" w:space="0" w:color="auto"/>
              <w:left w:val="nil"/>
              <w:bottom w:val="single" w:sz="8" w:space="0" w:color="auto"/>
              <w:right w:val="nil"/>
            </w:tcBorders>
            <w:shd w:val="clear" w:color="auto" w:fill="DAE9F7"/>
            <w:tcMar>
              <w:left w:w="108" w:type="dxa"/>
              <w:right w:w="108" w:type="dxa"/>
            </w:tcMar>
          </w:tcPr>
          <w:p w14:paraId="6BA55D7F" w14:textId="7749A60B" w:rsidR="4555A26B" w:rsidRDefault="4555A26B" w:rsidP="4555A26B">
            <w:pPr>
              <w:jc w:val="center"/>
            </w:pPr>
            <w:r w:rsidRPr="4555A26B">
              <w:rPr>
                <w:rFonts w:cs="Calibri"/>
                <w:b/>
                <w:bCs/>
                <w:color w:val="000000" w:themeColor="text1"/>
              </w:rPr>
              <w:t>Equipment</w:t>
            </w:r>
          </w:p>
        </w:tc>
        <w:tc>
          <w:tcPr>
            <w:tcW w:w="990"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381A8044" w14:textId="451B324E" w:rsidR="4555A26B" w:rsidRPr="00C37F76" w:rsidRDefault="4555A26B" w:rsidP="4555A26B">
            <w:pPr>
              <w:jc w:val="center"/>
            </w:pPr>
            <w:r w:rsidRPr="00C37F76">
              <w:rPr>
                <w:rFonts w:cs="Calibri"/>
              </w:rPr>
              <w:t xml:space="preserve"> </w:t>
            </w:r>
          </w:p>
        </w:tc>
      </w:tr>
      <w:tr w:rsidR="4555A26B" w14:paraId="07F47CA1" w14:textId="77777777" w:rsidTr="34514189">
        <w:trPr>
          <w:trHeight w:val="300"/>
        </w:trPr>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FE19AA9" w14:textId="68991269" w:rsidR="4555A26B" w:rsidRPr="002220D1" w:rsidRDefault="4555A26B" w:rsidP="4555A26B">
            <w:pPr>
              <w:jc w:val="center"/>
            </w:pPr>
            <w:r w:rsidRPr="002220D1">
              <w:rPr>
                <w:rFonts w:cs="Calibri"/>
              </w:rPr>
              <w:t>07</w:t>
            </w:r>
          </w:p>
        </w:tc>
        <w:tc>
          <w:tcPr>
            <w:tcW w:w="9090" w:type="dxa"/>
            <w:tcBorders>
              <w:top w:val="single" w:sz="8" w:space="0" w:color="auto"/>
              <w:left w:val="single" w:sz="8" w:space="0" w:color="auto"/>
              <w:bottom w:val="single" w:sz="8" w:space="0" w:color="auto"/>
              <w:right w:val="single" w:sz="8" w:space="0" w:color="auto"/>
            </w:tcBorders>
            <w:tcMar>
              <w:left w:w="108" w:type="dxa"/>
              <w:right w:w="108" w:type="dxa"/>
            </w:tcMar>
          </w:tcPr>
          <w:p w14:paraId="2B8C4658" w14:textId="62A08E48" w:rsidR="00F95429" w:rsidRDefault="467CD4E8" w:rsidP="00F95429">
            <w:pPr>
              <w:rPr>
                <w:rFonts w:cs="Calibri"/>
              </w:rPr>
            </w:pPr>
            <w:r w:rsidRPr="76FF4860">
              <w:rPr>
                <w:rFonts w:cs="Calibri"/>
              </w:rPr>
              <w:t xml:space="preserve">Equipment with a per unit cost of $5,000 or more and a </w:t>
            </w:r>
            <w:r w:rsidR="00165B3D" w:rsidRPr="76FF4860">
              <w:rPr>
                <w:rFonts w:cs="Calibri"/>
              </w:rPr>
              <w:t>us</w:t>
            </w:r>
            <w:r w:rsidR="00165B3D">
              <w:rPr>
                <w:rFonts w:cs="Calibri"/>
              </w:rPr>
              <w:t>eful</w:t>
            </w:r>
            <w:r w:rsidR="00165B3D" w:rsidRPr="76FF4860">
              <w:rPr>
                <w:rFonts w:cs="Calibri"/>
              </w:rPr>
              <w:t xml:space="preserve"> </w:t>
            </w:r>
            <w:r w:rsidRPr="76FF4860">
              <w:rPr>
                <w:rFonts w:cs="Calibri"/>
              </w:rPr>
              <w:t xml:space="preserve">life of </w:t>
            </w:r>
            <w:r w:rsidR="00165B3D">
              <w:rPr>
                <w:rFonts w:cs="Calibri"/>
              </w:rPr>
              <w:t>more than</w:t>
            </w:r>
            <w:r w:rsidRPr="76FF4860">
              <w:rPr>
                <w:rFonts w:cs="Calibri"/>
              </w:rPr>
              <w:t xml:space="preserve"> one year that directly improves a Perkins program and benefits students in those programs. </w:t>
            </w:r>
          </w:p>
          <w:p w14:paraId="16905794" w14:textId="77777777" w:rsidR="00C034F6" w:rsidRPr="00E85EEF" w:rsidRDefault="00C034F6" w:rsidP="7A9E3EAC">
            <w:pPr>
              <w:rPr>
                <w:rFonts w:cs="Calibri"/>
                <w:b/>
                <w:bCs/>
                <w:sz w:val="10"/>
                <w:szCs w:val="10"/>
              </w:rPr>
            </w:pPr>
          </w:p>
          <w:p w14:paraId="747A74B3" w14:textId="47D6CD57" w:rsidR="4555A26B" w:rsidRDefault="4555A26B" w:rsidP="7A9E3EAC">
            <w:pPr>
              <w:rPr>
                <w:sz w:val="22"/>
                <w:szCs w:val="22"/>
              </w:rPr>
            </w:pPr>
            <w:r w:rsidRPr="7A9E3EAC">
              <w:rPr>
                <w:rFonts w:cs="Calibri"/>
                <w:b/>
                <w:bCs/>
              </w:rPr>
              <w:t>UNALLOWABLE:</w:t>
            </w:r>
            <w:r w:rsidRPr="7A9E3EAC">
              <w:rPr>
                <w:rFonts w:cs="Calibri"/>
              </w:rPr>
              <w:t xml:space="preserve"> </w:t>
            </w:r>
            <w:r w:rsidR="34946359">
              <w:t>Equipment used by programs that do not meet the definition of a Perkins program or that are shared between Perkins and non-Perkins programs where Perkins programs do not have priority for the equipment’s use</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0D96CE28" w14:textId="18BB158C" w:rsidR="4555A26B" w:rsidRPr="00C37F76" w:rsidRDefault="4555A26B" w:rsidP="4555A26B">
            <w:pPr>
              <w:jc w:val="center"/>
            </w:pPr>
            <w:r w:rsidRPr="00C37F76">
              <w:rPr>
                <w:rFonts w:cs="Calibri"/>
              </w:rPr>
              <w:t>EQUIP</w:t>
            </w:r>
          </w:p>
        </w:tc>
      </w:tr>
      <w:tr w:rsidR="4555A26B" w14:paraId="4A765164" w14:textId="77777777" w:rsidTr="34514189">
        <w:trPr>
          <w:trHeight w:val="300"/>
        </w:trPr>
        <w:tc>
          <w:tcPr>
            <w:tcW w:w="810"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02ABA2E2" w14:textId="6D82617E" w:rsidR="4555A26B" w:rsidRPr="002220D1" w:rsidRDefault="4555A26B" w:rsidP="4555A26B">
            <w:pPr>
              <w:jc w:val="center"/>
            </w:pPr>
            <w:r w:rsidRPr="002220D1">
              <w:rPr>
                <w:rFonts w:cs="Calibri"/>
              </w:rPr>
              <w:t xml:space="preserve"> </w:t>
            </w:r>
          </w:p>
        </w:tc>
        <w:tc>
          <w:tcPr>
            <w:tcW w:w="9090" w:type="dxa"/>
            <w:tcBorders>
              <w:top w:val="single" w:sz="8" w:space="0" w:color="auto"/>
              <w:left w:val="nil"/>
              <w:bottom w:val="single" w:sz="8" w:space="0" w:color="auto"/>
              <w:right w:val="nil"/>
            </w:tcBorders>
            <w:shd w:val="clear" w:color="auto" w:fill="DAE9F7"/>
            <w:tcMar>
              <w:left w:w="108" w:type="dxa"/>
              <w:right w:w="108" w:type="dxa"/>
            </w:tcMar>
          </w:tcPr>
          <w:p w14:paraId="785D4BF3" w14:textId="67D5A771" w:rsidR="4555A26B" w:rsidRDefault="4555A26B" w:rsidP="4555A26B">
            <w:pPr>
              <w:jc w:val="center"/>
            </w:pPr>
            <w:r w:rsidRPr="4555A26B">
              <w:rPr>
                <w:rFonts w:cs="Calibri"/>
                <w:b/>
                <w:bCs/>
                <w:color w:val="000000" w:themeColor="text1"/>
              </w:rPr>
              <w:t>Indirect Costs</w:t>
            </w:r>
          </w:p>
        </w:tc>
        <w:tc>
          <w:tcPr>
            <w:tcW w:w="990"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104CC54D" w14:textId="23B26032" w:rsidR="4555A26B" w:rsidRPr="00C37F76" w:rsidRDefault="4555A26B" w:rsidP="4555A26B">
            <w:pPr>
              <w:jc w:val="center"/>
            </w:pPr>
            <w:r w:rsidRPr="00C37F76">
              <w:rPr>
                <w:rFonts w:cs="Calibri"/>
              </w:rPr>
              <w:t xml:space="preserve"> </w:t>
            </w:r>
          </w:p>
        </w:tc>
      </w:tr>
      <w:tr w:rsidR="4555A26B" w14:paraId="6E38E347" w14:textId="77777777" w:rsidTr="34514189">
        <w:trPr>
          <w:trHeight w:val="300"/>
        </w:trPr>
        <w:tc>
          <w:tcPr>
            <w:tcW w:w="810" w:type="dxa"/>
            <w:tcBorders>
              <w:top w:val="single" w:sz="8" w:space="0" w:color="auto"/>
              <w:left w:val="single" w:sz="8" w:space="0" w:color="auto"/>
              <w:bottom w:val="single" w:sz="4" w:space="0" w:color="auto"/>
              <w:right w:val="single" w:sz="8" w:space="0" w:color="auto"/>
            </w:tcBorders>
            <w:tcMar>
              <w:left w:w="108" w:type="dxa"/>
              <w:right w:w="108" w:type="dxa"/>
            </w:tcMar>
          </w:tcPr>
          <w:p w14:paraId="14CDF040" w14:textId="5B2A813F" w:rsidR="4555A26B" w:rsidRPr="002220D1" w:rsidRDefault="4555A26B" w:rsidP="4555A26B">
            <w:pPr>
              <w:jc w:val="center"/>
            </w:pPr>
            <w:r w:rsidRPr="002220D1">
              <w:rPr>
                <w:rFonts w:cs="Calibri"/>
              </w:rPr>
              <w:t>08</w:t>
            </w:r>
          </w:p>
        </w:tc>
        <w:tc>
          <w:tcPr>
            <w:tcW w:w="9090" w:type="dxa"/>
            <w:tcBorders>
              <w:top w:val="single" w:sz="8" w:space="0" w:color="auto"/>
              <w:left w:val="single" w:sz="8" w:space="0" w:color="auto"/>
              <w:bottom w:val="single" w:sz="4" w:space="0" w:color="auto"/>
              <w:right w:val="single" w:sz="8" w:space="0" w:color="auto"/>
            </w:tcBorders>
            <w:tcMar>
              <w:left w:w="108" w:type="dxa"/>
              <w:right w:w="108" w:type="dxa"/>
            </w:tcMar>
          </w:tcPr>
          <w:p w14:paraId="5CF218CC" w14:textId="429BE797" w:rsidR="4555A26B" w:rsidRDefault="20FBC122" w:rsidP="2AA8B9DC">
            <w:pPr>
              <w:rPr>
                <w:rFonts w:cs="Calibri"/>
              </w:rPr>
            </w:pPr>
            <w:r w:rsidRPr="2AA8B9DC">
              <w:rPr>
                <w:rFonts w:cs="Calibri"/>
              </w:rPr>
              <w:t xml:space="preserve">Approved </w:t>
            </w:r>
            <w:r w:rsidR="004E1BAF">
              <w:rPr>
                <w:rFonts w:cs="Calibri"/>
              </w:rPr>
              <w:t>i</w:t>
            </w:r>
            <w:r w:rsidR="58C097A2" w:rsidRPr="2AA8B9DC">
              <w:rPr>
                <w:rFonts w:cs="Calibri"/>
              </w:rPr>
              <w:t>ndirect cost rate</w:t>
            </w:r>
            <w:r w:rsidR="3B413E37" w:rsidRPr="2AA8B9DC">
              <w:rPr>
                <w:rFonts w:cs="Calibri"/>
              </w:rPr>
              <w:t xml:space="preserve">. Please refer to </w:t>
            </w:r>
            <w:hyperlink r:id="rId17">
              <w:r w:rsidR="0D4FACE2" w:rsidRPr="2AA8B9DC">
                <w:rPr>
                  <w:rStyle w:val="Hyperlink"/>
                  <w:rFonts w:cs="Calibri"/>
                </w:rPr>
                <w:t>E</w:t>
              </w:r>
              <w:r w:rsidR="3B413E37" w:rsidRPr="2AA8B9DC">
                <w:rPr>
                  <w:rStyle w:val="Hyperlink"/>
                  <w:rFonts w:cs="Calibri"/>
                </w:rPr>
                <w:t xml:space="preserve">ssential </w:t>
              </w:r>
              <w:r w:rsidR="7C50804B" w:rsidRPr="2AA8B9DC">
                <w:rPr>
                  <w:rStyle w:val="Hyperlink"/>
                  <w:rFonts w:cs="Calibri"/>
                </w:rPr>
                <w:t>I</w:t>
              </w:r>
              <w:r w:rsidR="3B413E37" w:rsidRPr="2AA8B9DC">
                <w:rPr>
                  <w:rStyle w:val="Hyperlink"/>
                  <w:rFonts w:cs="Calibri"/>
                </w:rPr>
                <w:t>nformation</w:t>
              </w:r>
              <w:r w:rsidR="474FEFE0" w:rsidRPr="2AA8B9DC">
                <w:rPr>
                  <w:rStyle w:val="Hyperlink"/>
                  <w:rFonts w:cs="Calibri"/>
                </w:rPr>
                <w:t>.</w:t>
              </w:r>
            </w:hyperlink>
          </w:p>
          <w:p w14:paraId="549A697D" w14:textId="77777777" w:rsidR="00C034F6" w:rsidRPr="00E85EEF" w:rsidRDefault="00C034F6" w:rsidP="2AA8B9DC">
            <w:pPr>
              <w:rPr>
                <w:rFonts w:cs="Calibri"/>
                <w:b/>
                <w:bCs/>
                <w:sz w:val="10"/>
                <w:szCs w:val="10"/>
              </w:rPr>
            </w:pPr>
          </w:p>
          <w:p w14:paraId="0F46660C" w14:textId="3A7C7B7E" w:rsidR="2490DB9D" w:rsidRPr="00F95429" w:rsidRDefault="39BC49FD" w:rsidP="2AA8B9DC">
            <w:pPr>
              <w:rPr>
                <w:rFonts w:cs="Calibri"/>
              </w:rPr>
            </w:pPr>
            <w:r w:rsidRPr="2AA8B9DC">
              <w:rPr>
                <w:rFonts w:cs="Calibri"/>
                <w:b/>
                <w:bCs/>
              </w:rPr>
              <w:t>UNALLOWABLE:</w:t>
            </w:r>
            <w:r w:rsidR="00F95429">
              <w:rPr>
                <w:rFonts w:cs="Calibri"/>
              </w:rPr>
              <w:t xml:space="preserve"> </w:t>
            </w:r>
            <w:r w:rsidRPr="2AA8B9DC">
              <w:t>Administrator salaries and indirect costs combined cannot exceed 5% of grant</w:t>
            </w:r>
          </w:p>
        </w:tc>
        <w:tc>
          <w:tcPr>
            <w:tcW w:w="990" w:type="dxa"/>
            <w:tcBorders>
              <w:top w:val="single" w:sz="8" w:space="0" w:color="auto"/>
              <w:left w:val="single" w:sz="8" w:space="0" w:color="auto"/>
              <w:bottom w:val="single" w:sz="4" w:space="0" w:color="auto"/>
              <w:right w:val="single" w:sz="8" w:space="0" w:color="auto"/>
            </w:tcBorders>
            <w:tcMar>
              <w:left w:w="108" w:type="dxa"/>
              <w:right w:w="108" w:type="dxa"/>
            </w:tcMar>
          </w:tcPr>
          <w:p w14:paraId="11BC1ABA" w14:textId="5D42EAAC" w:rsidR="4555A26B" w:rsidRPr="00C37F76" w:rsidRDefault="4555A26B" w:rsidP="4555A26B">
            <w:pPr>
              <w:jc w:val="center"/>
            </w:pPr>
            <w:r w:rsidRPr="00C37F76">
              <w:rPr>
                <w:rFonts w:cs="Calibri"/>
              </w:rPr>
              <w:t>INDIRECT</w:t>
            </w:r>
          </w:p>
        </w:tc>
      </w:tr>
      <w:tr w:rsidR="00F95429" w14:paraId="327FCCBC" w14:textId="77777777" w:rsidTr="34514189">
        <w:trPr>
          <w:trHeight w:val="300"/>
        </w:trPr>
        <w:tc>
          <w:tcPr>
            <w:tcW w:w="810" w:type="dxa"/>
            <w:tcBorders>
              <w:top w:val="single" w:sz="4" w:space="0" w:color="auto"/>
              <w:left w:val="nil"/>
              <w:bottom w:val="nil"/>
              <w:right w:val="nil"/>
            </w:tcBorders>
            <w:tcMar>
              <w:left w:w="108" w:type="dxa"/>
              <w:right w:w="108" w:type="dxa"/>
            </w:tcMar>
          </w:tcPr>
          <w:p w14:paraId="4C65713A" w14:textId="5B59C618" w:rsidR="00F95429" w:rsidRPr="002220D1" w:rsidRDefault="002D0249" w:rsidP="00C034F6">
            <w:pPr>
              <w:rPr>
                <w:rFonts w:cs="Calibri"/>
                <w:sz w:val="12"/>
                <w:szCs w:val="12"/>
              </w:rPr>
            </w:pPr>
            <w:r>
              <w:rPr>
                <w:rFonts w:cs="Calibri"/>
                <w:sz w:val="18"/>
                <w:szCs w:val="18"/>
              </w:rPr>
              <w:t xml:space="preserve"> </w:t>
            </w:r>
          </w:p>
        </w:tc>
        <w:tc>
          <w:tcPr>
            <w:tcW w:w="9090" w:type="dxa"/>
            <w:tcBorders>
              <w:top w:val="single" w:sz="4" w:space="0" w:color="auto"/>
              <w:left w:val="nil"/>
              <w:bottom w:val="nil"/>
              <w:right w:val="nil"/>
            </w:tcBorders>
            <w:tcMar>
              <w:left w:w="108" w:type="dxa"/>
              <w:right w:w="108" w:type="dxa"/>
            </w:tcMar>
          </w:tcPr>
          <w:p w14:paraId="6AB59E47" w14:textId="77777777" w:rsidR="00F95429" w:rsidRPr="2AA8B9DC" w:rsidRDefault="00F95429" w:rsidP="2AA8B9DC">
            <w:pPr>
              <w:rPr>
                <w:rFonts w:cs="Calibri"/>
              </w:rPr>
            </w:pPr>
          </w:p>
        </w:tc>
        <w:tc>
          <w:tcPr>
            <w:tcW w:w="990" w:type="dxa"/>
            <w:tcBorders>
              <w:top w:val="single" w:sz="4" w:space="0" w:color="auto"/>
              <w:left w:val="nil"/>
              <w:bottom w:val="nil"/>
              <w:right w:val="nil"/>
            </w:tcBorders>
            <w:tcMar>
              <w:left w:w="108" w:type="dxa"/>
              <w:right w:w="108" w:type="dxa"/>
            </w:tcMar>
          </w:tcPr>
          <w:p w14:paraId="5485F7C9" w14:textId="52122380" w:rsidR="00F95429" w:rsidRPr="00F95429" w:rsidRDefault="005B1BDB" w:rsidP="4555A26B">
            <w:pPr>
              <w:jc w:val="center"/>
              <w:rPr>
                <w:rFonts w:cs="Calibri"/>
                <w:sz w:val="18"/>
                <w:szCs w:val="18"/>
              </w:rPr>
            </w:pPr>
            <w:r>
              <w:rPr>
                <w:noProof/>
                <w:sz w:val="36"/>
                <w:szCs w:val="36"/>
              </w:rPr>
              <mc:AlternateContent>
                <mc:Choice Requires="wps">
                  <w:drawing>
                    <wp:anchor distT="0" distB="0" distL="114300" distR="114300" simplePos="0" relativeHeight="251658242" behindDoc="0" locked="0" layoutInCell="1" allowOverlap="1" wp14:anchorId="239F7F2A" wp14:editId="04503830">
                      <wp:simplePos x="0" y="0"/>
                      <wp:positionH relativeFrom="margin">
                        <wp:posOffset>-3088005</wp:posOffset>
                      </wp:positionH>
                      <wp:positionV relativeFrom="paragraph">
                        <wp:posOffset>221615</wp:posOffset>
                      </wp:positionV>
                      <wp:extent cx="3543300" cy="1209675"/>
                      <wp:effectExtent l="38100" t="38100" r="114300" b="123825"/>
                      <wp:wrapNone/>
                      <wp:docPr id="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096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4FE352C" w14:textId="6EABA3B2" w:rsidR="009E4C8F" w:rsidRPr="00CF7E8D" w:rsidRDefault="009E4C8F" w:rsidP="00BD1A2F">
                                  <w:pPr>
                                    <w:spacing w:after="0"/>
                                    <w:rPr>
                                      <w:b/>
                                      <w:color w:val="1F497D" w:themeColor="text2"/>
                                      <w:szCs w:val="24"/>
                                    </w:rPr>
                                  </w:pPr>
                                  <w:r w:rsidRPr="00CF7E8D">
                                    <w:rPr>
                                      <w:b/>
                                      <w:color w:val="1F497D" w:themeColor="text2"/>
                                      <w:szCs w:val="24"/>
                                    </w:rPr>
                                    <w:t>Inter</w:t>
                                  </w:r>
                                  <w:r w:rsidR="003D7E7E" w:rsidRPr="00CF7E8D">
                                    <w:rPr>
                                      <w:b/>
                                      <w:color w:val="1F497D" w:themeColor="text2"/>
                                      <w:szCs w:val="24"/>
                                    </w:rPr>
                                    <w:t>departmental</w:t>
                                  </w:r>
                                  <w:r w:rsidRPr="00CF7E8D">
                                    <w:rPr>
                                      <w:b/>
                                      <w:color w:val="1F497D" w:themeColor="text2"/>
                                      <w:szCs w:val="24"/>
                                    </w:rPr>
                                    <w:t xml:space="preserve"> </w:t>
                                  </w:r>
                                  <w:r w:rsidR="00BD1A2F" w:rsidRPr="00CF7E8D">
                                    <w:rPr>
                                      <w:b/>
                                      <w:color w:val="1F497D" w:themeColor="text2"/>
                                      <w:szCs w:val="24"/>
                                    </w:rPr>
                                    <w:t xml:space="preserve">Service </w:t>
                                  </w:r>
                                  <w:r w:rsidRPr="00CF7E8D">
                                    <w:rPr>
                                      <w:b/>
                                      <w:color w:val="1F497D" w:themeColor="text2"/>
                                      <w:szCs w:val="24"/>
                                    </w:rPr>
                                    <w:t>Agreement</w:t>
                                  </w:r>
                                </w:p>
                                <w:p w14:paraId="744A7087" w14:textId="77777777" w:rsidR="006E4BCC" w:rsidRPr="00615DD6" w:rsidRDefault="006E4BCC" w:rsidP="00BD1A2F">
                                  <w:pPr>
                                    <w:spacing w:after="0"/>
                                    <w:rPr>
                                      <w:b/>
                                      <w:color w:val="365F91" w:themeColor="accent1" w:themeShade="BF"/>
                                      <w:sz w:val="4"/>
                                      <w:szCs w:val="2"/>
                                    </w:rPr>
                                  </w:pPr>
                                </w:p>
                                <w:p w14:paraId="174AB8AC" w14:textId="4E78B40D" w:rsidR="009E4C8F" w:rsidRPr="006D5DA1" w:rsidRDefault="009E4C8F" w:rsidP="00836274">
                                  <w:pPr>
                                    <w:spacing w:after="0" w:line="240" w:lineRule="auto"/>
                                    <w:rPr>
                                      <w:color w:val="365F91" w:themeColor="accent1" w:themeShade="BF"/>
                                      <w:sz w:val="18"/>
                                      <w:szCs w:val="20"/>
                                    </w:rPr>
                                  </w:pPr>
                                  <w:r w:rsidRPr="006D5DA1">
                                    <w:rPr>
                                      <w:sz w:val="18"/>
                                      <w:szCs w:val="20"/>
                                    </w:rPr>
                                    <w:t xml:space="preserve">Community Colleges eligible to receive Perkins Postsecondary funds are required to take an additional step to obtain funds through the </w:t>
                                  </w:r>
                                  <w:r w:rsidR="008A6343" w:rsidRPr="006D5DA1">
                                    <w:rPr>
                                      <w:sz w:val="18"/>
                                      <w:szCs w:val="20"/>
                                    </w:rPr>
                                    <w:t>Interdepartmental Service</w:t>
                                  </w:r>
                                  <w:r w:rsidRPr="006D5DA1">
                                    <w:rPr>
                                      <w:sz w:val="18"/>
                                      <w:szCs w:val="20"/>
                                    </w:rPr>
                                    <w:t xml:space="preserve"> Agreement (ISA) process.  This process will add 4 to 6 weeks to the process timeline. Therefore, it is important to keep</w:t>
                                  </w:r>
                                  <w:r w:rsidR="00BD1A2F" w:rsidRPr="006D5DA1">
                                    <w:rPr>
                                      <w:sz w:val="18"/>
                                      <w:szCs w:val="20"/>
                                    </w:rPr>
                                    <w:t xml:space="preserve"> this</w:t>
                                  </w:r>
                                  <w:r w:rsidRPr="006D5DA1">
                                    <w:rPr>
                                      <w:sz w:val="18"/>
                                      <w:szCs w:val="20"/>
                                    </w:rPr>
                                    <w:t xml:space="preserve"> in </w:t>
                                  </w:r>
                                  <w:r w:rsidR="00615DD6" w:rsidRPr="006D5DA1">
                                    <w:rPr>
                                      <w:sz w:val="18"/>
                                      <w:szCs w:val="20"/>
                                    </w:rPr>
                                    <w:t>mind and</w:t>
                                  </w:r>
                                  <w:r w:rsidRPr="006D5DA1">
                                    <w:rPr>
                                      <w:sz w:val="18"/>
                                      <w:szCs w:val="20"/>
                                    </w:rPr>
                                    <w:t xml:space="preserve"> submit your completed application in a timely fashion.</w:t>
                                  </w:r>
                                </w:p>
                                <w:p w14:paraId="289B503D" w14:textId="77777777" w:rsidR="000C2E1B" w:rsidRPr="005019E3" w:rsidRDefault="000C2E1B" w:rsidP="005019E3">
                                  <w:pPr>
                                    <w:spacing w:after="0" w:line="240" w:lineRule="auto"/>
                                    <w:rPr>
                                      <w:color w:val="365F91" w:themeColor="accent1" w:themeShade="B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F7F2A" id="_x0000_t202" coordsize="21600,21600" o:spt="202" path="m,l,21600r21600,l21600,xe">
                      <v:stroke joinstyle="miter"/>
                      <v:path gradientshapeok="t" o:connecttype="rect"/>
                    </v:shapetype>
                    <v:shape id="Text Box 16" o:spid="_x0000_s1026" type="#_x0000_t202" alt="&quot;&quot;" style="position:absolute;left:0;text-align:left;margin-left:-243.15pt;margin-top:17.45pt;width:279pt;height:9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" strokecolor="#365f91 [2404]" strokeweight=".25pt">
                      <v:shadow on="t" color="black" opacity="26214f" origin="-.5,-.5" offset=".74836mm,.74836mm"/>
                      <v:textbox>
                        <w:txbxContent>
                          <w:p w14:paraId="34FE352C" w14:textId="6EABA3B2" w:rsidR="009E4C8F" w:rsidRPr="00CF7E8D" w:rsidRDefault="009E4C8F" w:rsidP="00BD1A2F">
                            <w:pPr>
                              <w:spacing w:after="0"/>
                              <w:rPr>
                                <w:b/>
                                <w:color w:val="1F497D" w:themeColor="text2"/>
                                <w:szCs w:val="24"/>
                              </w:rPr>
                            </w:pPr>
                            <w:r w:rsidRPr="00CF7E8D">
                              <w:rPr>
                                <w:b/>
                                <w:color w:val="1F497D" w:themeColor="text2"/>
                                <w:szCs w:val="24"/>
                              </w:rPr>
                              <w:t>Inter</w:t>
                            </w:r>
                            <w:r w:rsidR="003D7E7E" w:rsidRPr="00CF7E8D">
                              <w:rPr>
                                <w:b/>
                                <w:color w:val="1F497D" w:themeColor="text2"/>
                                <w:szCs w:val="24"/>
                              </w:rPr>
                              <w:t>departmental</w:t>
                            </w:r>
                            <w:r w:rsidRPr="00CF7E8D">
                              <w:rPr>
                                <w:b/>
                                <w:color w:val="1F497D" w:themeColor="text2"/>
                                <w:szCs w:val="24"/>
                              </w:rPr>
                              <w:t xml:space="preserve"> </w:t>
                            </w:r>
                            <w:r w:rsidR="00BD1A2F" w:rsidRPr="00CF7E8D">
                              <w:rPr>
                                <w:b/>
                                <w:color w:val="1F497D" w:themeColor="text2"/>
                                <w:szCs w:val="24"/>
                              </w:rPr>
                              <w:t xml:space="preserve">Service </w:t>
                            </w:r>
                            <w:r w:rsidRPr="00CF7E8D">
                              <w:rPr>
                                <w:b/>
                                <w:color w:val="1F497D" w:themeColor="text2"/>
                                <w:szCs w:val="24"/>
                              </w:rPr>
                              <w:t>Agreement</w:t>
                            </w:r>
                          </w:p>
                          <w:p w14:paraId="744A7087" w14:textId="77777777" w:rsidR="006E4BCC" w:rsidRPr="00615DD6" w:rsidRDefault="006E4BCC" w:rsidP="00BD1A2F">
                            <w:pPr>
                              <w:spacing w:after="0"/>
                              <w:rPr>
                                <w:b/>
                                <w:color w:val="365F91" w:themeColor="accent1" w:themeShade="BF"/>
                                <w:sz w:val="4"/>
                                <w:szCs w:val="2"/>
                              </w:rPr>
                            </w:pPr>
                          </w:p>
                          <w:p w14:paraId="174AB8AC" w14:textId="4E78B40D" w:rsidR="009E4C8F" w:rsidRPr="006D5DA1" w:rsidRDefault="009E4C8F" w:rsidP="00836274">
                            <w:pPr>
                              <w:spacing w:after="0" w:line="240" w:lineRule="auto"/>
                              <w:rPr>
                                <w:color w:val="365F91" w:themeColor="accent1" w:themeShade="BF"/>
                                <w:sz w:val="18"/>
                                <w:szCs w:val="20"/>
                              </w:rPr>
                            </w:pPr>
                            <w:r w:rsidRPr="006D5DA1">
                              <w:rPr>
                                <w:sz w:val="18"/>
                                <w:szCs w:val="20"/>
                              </w:rPr>
                              <w:t xml:space="preserve">Community Colleges eligible to receive Perkins Postsecondary funds are required to take an additional step to obtain funds through the </w:t>
                            </w:r>
                            <w:r w:rsidR="008A6343" w:rsidRPr="006D5DA1">
                              <w:rPr>
                                <w:sz w:val="18"/>
                                <w:szCs w:val="20"/>
                              </w:rPr>
                              <w:t>Interdepartmental Service</w:t>
                            </w:r>
                            <w:r w:rsidRPr="006D5DA1">
                              <w:rPr>
                                <w:sz w:val="18"/>
                                <w:szCs w:val="20"/>
                              </w:rPr>
                              <w:t xml:space="preserve"> Agreement (ISA) process.  This process will add 4 to 6 weeks to the process timeline. Therefore, it is important to keep</w:t>
                            </w:r>
                            <w:r w:rsidR="00BD1A2F" w:rsidRPr="006D5DA1">
                              <w:rPr>
                                <w:sz w:val="18"/>
                                <w:szCs w:val="20"/>
                              </w:rPr>
                              <w:t xml:space="preserve"> this</w:t>
                            </w:r>
                            <w:r w:rsidRPr="006D5DA1">
                              <w:rPr>
                                <w:sz w:val="18"/>
                                <w:szCs w:val="20"/>
                              </w:rPr>
                              <w:t xml:space="preserve"> in </w:t>
                            </w:r>
                            <w:r w:rsidR="00615DD6" w:rsidRPr="006D5DA1">
                              <w:rPr>
                                <w:sz w:val="18"/>
                                <w:szCs w:val="20"/>
                              </w:rPr>
                              <w:t>mind and</w:t>
                            </w:r>
                            <w:r w:rsidRPr="006D5DA1">
                              <w:rPr>
                                <w:sz w:val="18"/>
                                <w:szCs w:val="20"/>
                              </w:rPr>
                              <w:t xml:space="preserve"> submit your completed application in a timely fashion.</w:t>
                            </w:r>
                          </w:p>
                          <w:p w14:paraId="289B503D" w14:textId="77777777" w:rsidR="000C2E1B" w:rsidRPr="005019E3" w:rsidRDefault="000C2E1B" w:rsidP="005019E3">
                            <w:pPr>
                              <w:spacing w:after="0" w:line="240" w:lineRule="auto"/>
                              <w:rPr>
                                <w:color w:val="365F91" w:themeColor="accent1" w:themeShade="BF"/>
                                <w:sz w:val="20"/>
                              </w:rPr>
                            </w:pPr>
                          </w:p>
                        </w:txbxContent>
                      </v:textbox>
                      <w10:wrap anchorx="margin"/>
                    </v:shape>
                  </w:pict>
                </mc:Fallback>
              </mc:AlternateContent>
            </w:r>
          </w:p>
        </w:tc>
      </w:tr>
    </w:tbl>
    <w:p w14:paraId="2ACF15C6" w14:textId="1621ED59" w:rsidR="00CF5E4A" w:rsidRDefault="4555A26B" w:rsidP="00CF5E4A">
      <w:pPr>
        <w:rPr>
          <w:sz w:val="8"/>
          <w:szCs w:val="8"/>
        </w:rPr>
      </w:pPr>
      <w:r>
        <w:rPr>
          <w:noProof/>
        </w:rPr>
        <mc:AlternateContent>
          <mc:Choice Requires="wps">
            <w:drawing>
              <wp:inline distT="0" distB="0" distL="114300" distR="114300" wp14:anchorId="1A095D13" wp14:editId="7F66AB0A">
                <wp:extent cx="2971800" cy="1155700"/>
                <wp:effectExtent l="38100" t="38100" r="114300" b="120650"/>
                <wp:docPr id="1034514886"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5570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4DBA08A8" w14:textId="0EFBDA65" w:rsidR="00DF4F96" w:rsidRPr="001E2AEA" w:rsidRDefault="008A6343" w:rsidP="00596C87">
                            <w:pPr>
                              <w:spacing w:after="0"/>
                              <w:rPr>
                                <w:b/>
                                <w:color w:val="1F497D" w:themeColor="text2"/>
                                <w:szCs w:val="24"/>
                              </w:rPr>
                            </w:pPr>
                            <w:r>
                              <w:rPr>
                                <w:b/>
                                <w:color w:val="1F497D" w:themeColor="text2"/>
                                <w:szCs w:val="24"/>
                              </w:rPr>
                              <w:t>Revisions</w:t>
                            </w:r>
                          </w:p>
                          <w:p w14:paraId="0BB3E0F6" w14:textId="77777777" w:rsidR="0024197A" w:rsidRPr="008553EE" w:rsidRDefault="0024197A" w:rsidP="008553EE">
                            <w:pPr>
                              <w:spacing w:after="0" w:line="240" w:lineRule="auto"/>
                              <w:ind w:right="35"/>
                              <w:rPr>
                                <w:rFonts w:cstheme="minorHAnsi"/>
                                <w:b/>
                                <w:bCs/>
                                <w:sz w:val="18"/>
                                <w:szCs w:val="18"/>
                              </w:rPr>
                            </w:pPr>
                            <w:r w:rsidRPr="008553EE">
                              <w:rPr>
                                <w:rFonts w:cstheme="minorHAnsi"/>
                                <w:sz w:val="18"/>
                                <w:szCs w:val="18"/>
                              </w:rPr>
                              <w:t>Required when there is any significant change in program objectives; any increase or decrease in the total amount of the grant; an increase in a line of the budget that exceeds $100 or 10% of the line (whichever is greater), or exceeds $10,000.</w:t>
                            </w:r>
                          </w:p>
                        </w:txbxContent>
                      </wps:txbx>
                      <wps:bodyPr rot="0" vert="horz" wrap="square" lIns="91440" tIns="45720" rIns="91440" bIns="45720" anchor="t" anchorCtr="0" upright="1">
                        <a:noAutofit/>
                      </wps:bodyPr>
                    </wps:wsp>
                  </a:graphicData>
                </a:graphic>
              </wp:inline>
            </w:drawing>
          </mc:Choice>
          <mc:Fallback>
            <w:pict>
              <v:shape w14:anchorId="1A095D13" id="Text Box 17" o:spid="_x0000_s1027" type="#_x0000_t202" alt="&quot;&quot;" style="width:234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" strokecolor="#365f91 [2404]" strokeweight=".25pt">
                <v:shadow on="t" color="black" opacity="26214f" origin="-.5,-.5" offset=".74836mm,.74836mm"/>
                <v:textbox>
                  <w:txbxContent>
                    <w:p w14:paraId="4DBA08A8" w14:textId="0EFBDA65" w:rsidR="00DF4F96" w:rsidRPr="001E2AEA" w:rsidRDefault="008A6343" w:rsidP="00596C87">
                      <w:pPr>
                        <w:spacing w:after="0"/>
                        <w:rPr>
                          <w:b/>
                          <w:color w:val="1F497D" w:themeColor="text2"/>
                          <w:szCs w:val="24"/>
                        </w:rPr>
                      </w:pPr>
                      <w:r>
                        <w:rPr>
                          <w:b/>
                          <w:color w:val="1F497D" w:themeColor="text2"/>
                          <w:szCs w:val="24"/>
                        </w:rPr>
                        <w:t>Revisions</w:t>
                      </w:r>
                    </w:p>
                    <w:p w14:paraId="0BB3E0F6" w14:textId="77777777" w:rsidR="0024197A" w:rsidRPr="008553EE" w:rsidRDefault="0024197A" w:rsidP="008553EE">
                      <w:pPr>
                        <w:spacing w:after="0" w:line="240" w:lineRule="auto"/>
                        <w:ind w:right="35"/>
                        <w:rPr>
                          <w:rFonts w:cstheme="minorHAnsi"/>
                          <w:b/>
                          <w:bCs/>
                          <w:sz w:val="18"/>
                          <w:szCs w:val="18"/>
                        </w:rPr>
                      </w:pPr>
                      <w:r w:rsidRPr="008553EE">
                        <w:rPr>
                          <w:rFonts w:cstheme="minorHAnsi"/>
                          <w:sz w:val="18"/>
                          <w:szCs w:val="18"/>
                        </w:rPr>
                        <w:t>Required when there is any significant change in program objectives; any increase or decrease in the total amount of the grant; an increase in a line of the budget that exceeds $100 or 10% of the line (whichever is greater), or exceeds $10,000.</w:t>
                      </w:r>
                    </w:p>
                  </w:txbxContent>
                </v:textbox>
                <w10:anchorlock/>
              </v:shape>
            </w:pict>
          </mc:Fallback>
        </mc:AlternateContent>
      </w:r>
    </w:p>
    <w:p w14:paraId="3B63F1C5" w14:textId="371054FB" w:rsidR="00F95429" w:rsidRPr="00CF5E4A" w:rsidRDefault="008553EE" w:rsidP="00CF5E4A">
      <w:pPr>
        <w:rPr>
          <w:sz w:val="8"/>
          <w:szCs w:val="8"/>
        </w:rPr>
      </w:pPr>
      <w:r>
        <w:rPr>
          <w:noProof/>
          <w:sz w:val="36"/>
          <w:szCs w:val="36"/>
        </w:rPr>
        <mc:AlternateContent>
          <mc:Choice Requires="wps">
            <w:drawing>
              <wp:anchor distT="0" distB="0" distL="114300" distR="114300" simplePos="0" relativeHeight="251658241" behindDoc="0" locked="0" layoutInCell="1" allowOverlap="1" wp14:anchorId="2D14679C" wp14:editId="600ADDE2">
                <wp:simplePos x="0" y="0"/>
                <wp:positionH relativeFrom="margin">
                  <wp:posOffset>3270250</wp:posOffset>
                </wp:positionH>
                <wp:positionV relativeFrom="paragraph">
                  <wp:posOffset>8890</wp:posOffset>
                </wp:positionV>
                <wp:extent cx="3562350" cy="1123950"/>
                <wp:effectExtent l="38100" t="38100" r="114300" b="114300"/>
                <wp:wrapNone/>
                <wp:docPr id="2"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239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AE19A5D" w14:textId="77777777" w:rsidR="00DF4F96" w:rsidRPr="001E2AEA" w:rsidRDefault="000C2E1B" w:rsidP="00596C87">
                            <w:pPr>
                              <w:spacing w:after="0"/>
                              <w:rPr>
                                <w:b/>
                                <w:color w:val="1F497D" w:themeColor="text2"/>
                                <w:szCs w:val="24"/>
                              </w:rPr>
                            </w:pPr>
                            <w:r w:rsidRPr="001E2AEA">
                              <w:rPr>
                                <w:b/>
                                <w:color w:val="1F497D" w:themeColor="text2"/>
                                <w:szCs w:val="24"/>
                              </w:rPr>
                              <w:t>Supplement not Supplant</w:t>
                            </w:r>
                          </w:p>
                          <w:p w14:paraId="1BEBCD29" w14:textId="77777777" w:rsidR="00BD1A2F" w:rsidRPr="00F95429" w:rsidRDefault="00BD1A2F" w:rsidP="00BD1A2F">
                            <w:pPr>
                              <w:spacing w:line="240" w:lineRule="auto"/>
                              <w:rPr>
                                <w:sz w:val="18"/>
                                <w:szCs w:val="18"/>
                              </w:rPr>
                            </w:pPr>
                            <w:r w:rsidRPr="00F95429">
                              <w:rPr>
                                <w:sz w:val="18"/>
                                <w:szCs w:val="18"/>
                              </w:rPr>
                              <w:t>Funds made available under Perkins V should supplement and not supplant local/state funds. Perkins V funds are to be used to improve career and technical education programs. The expectation is that local/state funds would provide for the infrastructure, staff, supplies/materials, staff travel, equipment, etc.</w:t>
                            </w:r>
                          </w:p>
                          <w:p w14:paraId="402A5C89" w14:textId="77777777" w:rsidR="004727F3" w:rsidRPr="00BD1A2F" w:rsidRDefault="004727F3" w:rsidP="00BD1A2F">
                            <w:pPr>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679C" id="_x0000_s1028" type="#_x0000_t202" alt="&quot;&quot;" style="position:absolute;margin-left:257.5pt;margin-top:.7pt;width:280.5pt;height:8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" strokecolor="#365f91 [2404]" strokeweight=".25pt">
                <v:shadow on="t" color="black" opacity="26214f" origin="-.5,-.5" offset=".74836mm,.74836mm"/>
                <v:textbox>
                  <w:txbxContent>
                    <w:p w14:paraId="5AE19A5D" w14:textId="77777777" w:rsidR="00DF4F96" w:rsidRPr="001E2AEA" w:rsidRDefault="000C2E1B" w:rsidP="00596C87">
                      <w:pPr>
                        <w:spacing w:after="0"/>
                        <w:rPr>
                          <w:b/>
                          <w:color w:val="1F497D" w:themeColor="text2"/>
                          <w:szCs w:val="24"/>
                        </w:rPr>
                      </w:pPr>
                      <w:r w:rsidRPr="001E2AEA">
                        <w:rPr>
                          <w:b/>
                          <w:color w:val="1F497D" w:themeColor="text2"/>
                          <w:szCs w:val="24"/>
                        </w:rPr>
                        <w:t>Supplement not Supplant</w:t>
                      </w:r>
                    </w:p>
                    <w:p w14:paraId="1BEBCD29" w14:textId="77777777" w:rsidR="00BD1A2F" w:rsidRPr="00F95429" w:rsidRDefault="00BD1A2F" w:rsidP="00BD1A2F">
                      <w:pPr>
                        <w:spacing w:line="240" w:lineRule="auto"/>
                        <w:rPr>
                          <w:sz w:val="18"/>
                          <w:szCs w:val="18"/>
                        </w:rPr>
                      </w:pPr>
                      <w:r w:rsidRPr="00F95429">
                        <w:rPr>
                          <w:sz w:val="18"/>
                          <w:szCs w:val="18"/>
                        </w:rPr>
                        <w:t>Funds made available under Perkins V should supplement and not supplant local/state funds. Perkins V funds are to be used to improve career and technical education programs. The expectation is that local/state funds would provide for the infrastructure, staff, supplies/materials, staff travel, equipment, etc.</w:t>
                      </w:r>
                    </w:p>
                    <w:p w14:paraId="402A5C89" w14:textId="77777777" w:rsidR="004727F3" w:rsidRPr="00BD1A2F" w:rsidRDefault="004727F3" w:rsidP="00BD1A2F">
                      <w:pPr>
                        <w:spacing w:line="240" w:lineRule="auto"/>
                        <w:rPr>
                          <w:sz w:val="20"/>
                        </w:rPr>
                      </w:pPr>
                    </w:p>
                  </w:txbxContent>
                </v:textbox>
                <w10:wrap anchorx="margin"/>
              </v:shape>
            </w:pict>
          </mc:Fallback>
        </mc:AlternateContent>
      </w:r>
      <w:r w:rsidR="00C37F76" w:rsidRPr="005019E3">
        <w:rPr>
          <w:noProof/>
          <w:sz w:val="24"/>
          <w:szCs w:val="24"/>
        </w:rPr>
        <mc:AlternateContent>
          <mc:Choice Requires="wps">
            <w:drawing>
              <wp:anchor distT="0" distB="0" distL="114300" distR="114300" simplePos="0" relativeHeight="251658243" behindDoc="0" locked="0" layoutInCell="1" allowOverlap="1" wp14:anchorId="694F6961" wp14:editId="7B6A18AE">
                <wp:simplePos x="0" y="0"/>
                <wp:positionH relativeFrom="margin">
                  <wp:align>left</wp:align>
                </wp:positionH>
                <wp:positionV relativeFrom="paragraph">
                  <wp:posOffset>15240</wp:posOffset>
                </wp:positionV>
                <wp:extent cx="2981325" cy="1130300"/>
                <wp:effectExtent l="38100" t="38100" r="123825" b="107950"/>
                <wp:wrapNone/>
                <wp:docPr id="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3030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31AD035" w14:textId="77777777" w:rsidR="00F95429" w:rsidRPr="00EF7CFE" w:rsidRDefault="00F95429" w:rsidP="00F95429">
                            <w:pPr>
                              <w:spacing w:after="0"/>
                              <w:rPr>
                                <w:b/>
                                <w:color w:val="1F497D" w:themeColor="text2"/>
                                <w:sz w:val="18"/>
                                <w:szCs w:val="18"/>
                              </w:rPr>
                            </w:pPr>
                            <w:r w:rsidRPr="00EF7CFE">
                              <w:rPr>
                                <w:b/>
                                <w:color w:val="1F497D" w:themeColor="text2"/>
                                <w:szCs w:val="24"/>
                              </w:rPr>
                              <w:t>Additional Resources</w:t>
                            </w:r>
                          </w:p>
                          <w:p w14:paraId="46B2729F" w14:textId="77777777" w:rsidR="00F95429" w:rsidRPr="00EF7CFE" w:rsidRDefault="00F95429" w:rsidP="00F95429">
                            <w:pPr>
                              <w:pStyle w:val="ListParagraph"/>
                              <w:numPr>
                                <w:ilvl w:val="0"/>
                                <w:numId w:val="43"/>
                              </w:numPr>
                              <w:spacing w:after="0"/>
                              <w:rPr>
                                <w:b/>
                                <w:color w:val="1F497D" w:themeColor="text2"/>
                                <w:sz w:val="18"/>
                                <w:szCs w:val="18"/>
                              </w:rPr>
                            </w:pPr>
                            <w:hyperlink r:id="rId18" w:history="1">
                              <w:r w:rsidRPr="00EF7CFE">
                                <w:rPr>
                                  <w:rStyle w:val="Hyperlink"/>
                                  <w:rFonts w:cstheme="minorHAnsi"/>
                                  <w:color w:val="0060C7"/>
                                  <w:sz w:val="18"/>
                                  <w:szCs w:val="18"/>
                                </w:rPr>
                                <w:t>Perkins V: Allowable Cost Guidance for the Strengthening Career and Technical Education for the 21st Century Act (Fund Codes 0400 and 0401) Entitlement Grant</w:t>
                              </w:r>
                            </w:hyperlink>
                          </w:p>
                          <w:p w14:paraId="46E410C8" w14:textId="77777777" w:rsidR="00F95429" w:rsidRPr="00EF7CFE" w:rsidRDefault="00F95429" w:rsidP="00F95429">
                            <w:pPr>
                              <w:pStyle w:val="ListParagraph"/>
                              <w:numPr>
                                <w:ilvl w:val="0"/>
                                <w:numId w:val="43"/>
                              </w:numPr>
                              <w:spacing w:after="160" w:line="240" w:lineRule="auto"/>
                              <w:rPr>
                                <w:rFonts w:cstheme="minorHAnsi"/>
                                <w:sz w:val="18"/>
                                <w:szCs w:val="18"/>
                              </w:rPr>
                            </w:pPr>
                            <w:hyperlink r:id="rId19" w:history="1">
                              <w:r w:rsidRPr="00EF7CFE">
                                <w:rPr>
                                  <w:rStyle w:val="Hyperlink"/>
                                  <w:rFonts w:cstheme="minorHAnsi"/>
                                  <w:color w:val="0056B3"/>
                                  <w:sz w:val="18"/>
                                  <w:szCs w:val="18"/>
                                  <w:shd w:val="clear" w:color="auto" w:fill="FFFFFF"/>
                                </w:rPr>
                                <w:t>Navigating Perkins in GEM$</w:t>
                              </w:r>
                            </w:hyperlink>
                          </w:p>
                          <w:p w14:paraId="36B7C63A" w14:textId="4BE60A02" w:rsidR="00E07121" w:rsidRPr="00E07121" w:rsidRDefault="00E07121" w:rsidP="00E07121">
                            <w:pPr>
                              <w:spacing w:after="0"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6961" id="_x0000_s1029" type="#_x0000_t202" alt="&quot;&quot;" style="position:absolute;margin-left:0;margin-top:1.2pt;width:234.75pt;height:89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" strokecolor="#365f91 [2404]" strokeweight=".25pt">
                <v:shadow on="t" color="black" opacity="26214f" origin="-.5,-.5" offset=".74836mm,.74836mm"/>
                <v:textbox>
                  <w:txbxContent>
                    <w:p w14:paraId="531AD035" w14:textId="77777777" w:rsidR="00F95429" w:rsidRPr="00EF7CFE" w:rsidRDefault="00F95429" w:rsidP="00F95429">
                      <w:pPr>
                        <w:spacing w:after="0"/>
                        <w:rPr>
                          <w:b/>
                          <w:color w:val="1F497D" w:themeColor="text2"/>
                          <w:sz w:val="18"/>
                          <w:szCs w:val="18"/>
                        </w:rPr>
                      </w:pPr>
                      <w:r w:rsidRPr="00EF7CFE">
                        <w:rPr>
                          <w:b/>
                          <w:color w:val="1F497D" w:themeColor="text2"/>
                          <w:szCs w:val="24"/>
                        </w:rPr>
                        <w:t>Additional Resources</w:t>
                      </w:r>
                    </w:p>
                    <w:p w14:paraId="46B2729F" w14:textId="77777777" w:rsidR="00F95429" w:rsidRPr="00EF7CFE" w:rsidRDefault="00F95429" w:rsidP="00F95429">
                      <w:pPr>
                        <w:pStyle w:val="ListParagraph"/>
                        <w:numPr>
                          <w:ilvl w:val="0"/>
                          <w:numId w:val="43"/>
                        </w:numPr>
                        <w:spacing w:after="0"/>
                        <w:rPr>
                          <w:b/>
                          <w:color w:val="1F497D" w:themeColor="text2"/>
                          <w:sz w:val="18"/>
                          <w:szCs w:val="18"/>
                        </w:rPr>
                      </w:pPr>
                      <w:hyperlink r:id="rId20" w:history="1">
                        <w:r w:rsidRPr="00EF7CFE">
                          <w:rPr>
                            <w:rStyle w:val="Hyperlink"/>
                            <w:rFonts w:cstheme="minorHAnsi"/>
                            <w:color w:val="0060C7"/>
                            <w:sz w:val="18"/>
                            <w:szCs w:val="18"/>
                          </w:rPr>
                          <w:t>Perkins V: Allowable Cost Guidance for the Strengthening Career and Technical Education for the 21st Century Act (Fund Codes 0400 and 0401) Entitlement Grant</w:t>
                        </w:r>
                      </w:hyperlink>
                    </w:p>
                    <w:p w14:paraId="46E410C8" w14:textId="77777777" w:rsidR="00F95429" w:rsidRPr="00EF7CFE" w:rsidRDefault="00F95429" w:rsidP="00F95429">
                      <w:pPr>
                        <w:pStyle w:val="ListParagraph"/>
                        <w:numPr>
                          <w:ilvl w:val="0"/>
                          <w:numId w:val="43"/>
                        </w:numPr>
                        <w:spacing w:after="160" w:line="240" w:lineRule="auto"/>
                        <w:rPr>
                          <w:rFonts w:cstheme="minorHAnsi"/>
                          <w:sz w:val="18"/>
                          <w:szCs w:val="18"/>
                        </w:rPr>
                      </w:pPr>
                      <w:hyperlink r:id="rId21" w:history="1">
                        <w:r w:rsidRPr="00EF7CFE">
                          <w:rPr>
                            <w:rStyle w:val="Hyperlink"/>
                            <w:rFonts w:cstheme="minorHAnsi"/>
                            <w:color w:val="0056B3"/>
                            <w:sz w:val="18"/>
                            <w:szCs w:val="18"/>
                            <w:shd w:val="clear" w:color="auto" w:fill="FFFFFF"/>
                          </w:rPr>
                          <w:t>Navigating Perkins in GEM$</w:t>
                        </w:r>
                      </w:hyperlink>
                    </w:p>
                    <w:p w14:paraId="36B7C63A" w14:textId="4BE60A02" w:rsidR="00E07121" w:rsidRPr="00E07121" w:rsidRDefault="00E07121" w:rsidP="00E07121">
                      <w:pPr>
                        <w:spacing w:after="0" w:line="240" w:lineRule="auto"/>
                        <w:rPr>
                          <w:sz w:val="20"/>
                        </w:rPr>
                      </w:pPr>
                    </w:p>
                  </w:txbxContent>
                </v:textbox>
                <w10:wrap anchorx="margin"/>
              </v:shape>
            </w:pict>
          </mc:Fallback>
        </mc:AlternateContent>
      </w:r>
    </w:p>
    <w:p w14:paraId="1A4D4120" w14:textId="27E42A7F" w:rsidR="00CF5E4A" w:rsidRPr="00CF5E4A" w:rsidRDefault="00CF5E4A" w:rsidP="2AA8B9DC">
      <w:pPr>
        <w:rPr>
          <w:sz w:val="8"/>
          <w:szCs w:val="8"/>
        </w:rPr>
      </w:pPr>
    </w:p>
    <w:p w14:paraId="29365475" w14:textId="6AB19F7F" w:rsidR="00CF5E4A" w:rsidRPr="00CF5E4A" w:rsidRDefault="00CF5E4A" w:rsidP="2AA8B9DC">
      <w:pPr>
        <w:tabs>
          <w:tab w:val="left" w:pos="4350"/>
        </w:tabs>
      </w:pPr>
    </w:p>
    <w:sectPr w:rsidR="00CF5E4A" w:rsidRPr="00CF5E4A" w:rsidSect="006E277C">
      <w:headerReference w:type="default" r:id="rId22"/>
      <w:footerReference w:type="default" r:id="rId23"/>
      <w:headerReference w:type="first" r:id="rId24"/>
      <w:footerReference w:type="first" r:id="rId25"/>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AC7CC" w14:textId="77777777" w:rsidR="00BE0CE7" w:rsidRDefault="00BE0CE7" w:rsidP="002123C2">
      <w:pPr>
        <w:spacing w:after="0" w:line="240" w:lineRule="auto"/>
      </w:pPr>
      <w:r>
        <w:separator/>
      </w:r>
    </w:p>
  </w:endnote>
  <w:endnote w:type="continuationSeparator" w:id="0">
    <w:p w14:paraId="57B3CCF5" w14:textId="77777777" w:rsidR="00BE0CE7" w:rsidRDefault="00BE0CE7" w:rsidP="002123C2">
      <w:pPr>
        <w:spacing w:after="0" w:line="240" w:lineRule="auto"/>
      </w:pPr>
      <w:r>
        <w:continuationSeparator/>
      </w:r>
    </w:p>
  </w:endnote>
  <w:endnote w:type="continuationNotice" w:id="1">
    <w:p w14:paraId="29D0988B" w14:textId="77777777" w:rsidR="00BE0CE7" w:rsidRDefault="00BE0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63DA" w14:textId="77777777" w:rsidR="00750EB9" w:rsidRDefault="00750EB9" w:rsidP="00750EB9">
    <w:pPr>
      <w:pStyle w:val="Footer"/>
      <w:rPr>
        <w:sz w:val="20"/>
        <w:szCs w:val="20"/>
      </w:rPr>
    </w:pPr>
    <w:r w:rsidRPr="2AA8B9DC">
      <w:rPr>
        <w:sz w:val="20"/>
        <w:szCs w:val="20"/>
      </w:rPr>
      <w:t>Updated April 2025</w:t>
    </w:r>
  </w:p>
  <w:p w14:paraId="04BD803C" w14:textId="77777777" w:rsidR="00750EB9" w:rsidRPr="001E2AEA" w:rsidRDefault="00750EB9" w:rsidP="00750EB9">
    <w:pPr>
      <w:pStyle w:val="Footer"/>
      <w:rPr>
        <w:sz w:val="18"/>
        <w:szCs w:val="18"/>
      </w:rPr>
    </w:pPr>
    <w:r w:rsidRPr="001E2AEA">
      <w:rPr>
        <w:rFonts w:cstheme="minorHAnsi"/>
        <w:i/>
        <w:iCs/>
        <w:sz w:val="16"/>
        <w:szCs w:val="16"/>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74DF634E" w14:textId="1FDDA759" w:rsidR="00DF4F96" w:rsidRDefault="0040634D" w:rsidP="0040634D">
    <w:pPr>
      <w:tabs>
        <w:tab w:val="left" w:pos="4260"/>
      </w:tabs>
      <w:spacing w:before="60" w:after="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070E" w14:textId="77777777" w:rsidR="000930F8" w:rsidRPr="00E70AF7" w:rsidRDefault="000930F8" w:rsidP="000930F8">
    <w:pPr>
      <w:pStyle w:val="Footer"/>
      <w:jc w:val="center"/>
      <w:rPr>
        <w:rFonts w:ascii="Calibri" w:hAnsi="Calibri" w:cs="Calibri"/>
        <w:b/>
        <w:bCs/>
        <w:sz w:val="20"/>
        <w:szCs w:val="20"/>
      </w:rPr>
    </w:pPr>
    <w:r w:rsidRPr="00E70AF7">
      <w:rPr>
        <w:rFonts w:ascii="Calibri" w:hAnsi="Calibri" w:cs="Calibri"/>
        <w:b/>
        <w:bCs/>
        <w:sz w:val="20"/>
        <w:szCs w:val="20"/>
      </w:rPr>
      <w:t>Please note: This is not an exhaustive</w:t>
    </w:r>
    <w:r>
      <w:rPr>
        <w:rFonts w:ascii="Calibri" w:hAnsi="Calibri" w:cs="Calibri"/>
        <w:b/>
        <w:bCs/>
        <w:sz w:val="20"/>
        <w:szCs w:val="20"/>
      </w:rPr>
      <w:t xml:space="preserve"> list of allowable costs. </w:t>
    </w:r>
    <w:r w:rsidRPr="00E70AF7">
      <w:rPr>
        <w:rFonts w:ascii="Calibri" w:hAnsi="Calibri" w:cs="Calibri"/>
        <w:b/>
        <w:bCs/>
        <w:sz w:val="20"/>
        <w:szCs w:val="20"/>
      </w:rPr>
      <w:t xml:space="preserve">Contact </w:t>
    </w:r>
    <w:r>
      <w:rPr>
        <w:rFonts w:ascii="Calibri" w:hAnsi="Calibri" w:cs="Calibri"/>
        <w:b/>
        <w:bCs/>
        <w:sz w:val="20"/>
        <w:szCs w:val="20"/>
      </w:rPr>
      <w:t>your liaison</w:t>
    </w:r>
    <w:r w:rsidRPr="00E70AF7">
      <w:rPr>
        <w:rFonts w:ascii="Calibri" w:hAnsi="Calibri" w:cs="Calibri"/>
        <w:b/>
        <w:bCs/>
        <w:sz w:val="20"/>
        <w:szCs w:val="20"/>
      </w:rPr>
      <w:t xml:space="preserve"> for more specific guidance as needed.</w:t>
    </w:r>
  </w:p>
  <w:p w14:paraId="16739F40" w14:textId="77777777" w:rsidR="000930F8" w:rsidRDefault="00093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B246" w14:textId="77777777" w:rsidR="00BE0CE7" w:rsidRDefault="00BE0CE7" w:rsidP="002123C2">
      <w:pPr>
        <w:spacing w:after="0" w:line="240" w:lineRule="auto"/>
      </w:pPr>
      <w:r>
        <w:separator/>
      </w:r>
    </w:p>
  </w:footnote>
  <w:footnote w:type="continuationSeparator" w:id="0">
    <w:p w14:paraId="43CE34ED" w14:textId="77777777" w:rsidR="00BE0CE7" w:rsidRDefault="00BE0CE7" w:rsidP="002123C2">
      <w:pPr>
        <w:spacing w:after="0" w:line="240" w:lineRule="auto"/>
      </w:pPr>
      <w:r>
        <w:continuationSeparator/>
      </w:r>
    </w:p>
  </w:footnote>
  <w:footnote w:type="continuationNotice" w:id="1">
    <w:p w14:paraId="6EFDE44E" w14:textId="77777777" w:rsidR="00BE0CE7" w:rsidRDefault="00BE0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1A80" w14:textId="77777777" w:rsidR="00DF4F96" w:rsidRPr="00F71E79" w:rsidRDefault="00DF4F96" w:rsidP="002E041D">
    <w:pPr>
      <w:pStyle w:val="Heading1"/>
      <w:tabs>
        <w:tab w:val="left" w:pos="337"/>
        <w:tab w:val="center" w:pos="5112"/>
      </w:tabs>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6FF4860" w14:paraId="037BE784" w14:textId="77777777" w:rsidTr="76FF4860">
      <w:trPr>
        <w:trHeight w:val="300"/>
      </w:trPr>
      <w:tc>
        <w:tcPr>
          <w:tcW w:w="3600" w:type="dxa"/>
        </w:tcPr>
        <w:p w14:paraId="593DB396" w14:textId="34FA4BDE" w:rsidR="76FF4860" w:rsidRDefault="76FF4860" w:rsidP="76FF4860">
          <w:pPr>
            <w:pStyle w:val="Header"/>
            <w:ind w:left="-115"/>
          </w:pPr>
        </w:p>
      </w:tc>
      <w:tc>
        <w:tcPr>
          <w:tcW w:w="3600" w:type="dxa"/>
        </w:tcPr>
        <w:p w14:paraId="551AC689" w14:textId="77D92C0E" w:rsidR="76FF4860" w:rsidRDefault="76FF4860" w:rsidP="76FF4860">
          <w:pPr>
            <w:pStyle w:val="Header"/>
            <w:jc w:val="center"/>
          </w:pPr>
        </w:p>
      </w:tc>
      <w:tc>
        <w:tcPr>
          <w:tcW w:w="3600" w:type="dxa"/>
        </w:tcPr>
        <w:p w14:paraId="66EFD1B0" w14:textId="64227C97" w:rsidR="76FF4860" w:rsidRDefault="76FF4860" w:rsidP="76FF4860">
          <w:pPr>
            <w:pStyle w:val="Header"/>
            <w:ind w:right="-115"/>
            <w:jc w:val="right"/>
          </w:pPr>
        </w:p>
      </w:tc>
    </w:tr>
  </w:tbl>
  <w:p w14:paraId="533104A2" w14:textId="77195F84" w:rsidR="76FF4860" w:rsidRDefault="76FF4860" w:rsidP="76FF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E7B42"/>
    <w:multiLevelType w:val="hybridMultilevel"/>
    <w:tmpl w:val="DDE6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45F23"/>
    <w:multiLevelType w:val="hybridMultilevel"/>
    <w:tmpl w:val="0724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A41B2"/>
    <w:multiLevelType w:val="hybridMultilevel"/>
    <w:tmpl w:val="0D8CF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005AF"/>
    <w:multiLevelType w:val="hybridMultilevel"/>
    <w:tmpl w:val="7474F726"/>
    <w:lvl w:ilvl="0" w:tplc="F0A47526">
      <w:start w:val="1"/>
      <w:numFmt w:val="bullet"/>
      <w:lvlText w:val=""/>
      <w:lvlJc w:val="left"/>
      <w:pPr>
        <w:ind w:left="360" w:hanging="360"/>
      </w:pPr>
      <w:rPr>
        <w:rFonts w:ascii="Symbol" w:hAnsi="Symbol" w:hint="default"/>
      </w:rPr>
    </w:lvl>
    <w:lvl w:ilvl="1" w:tplc="93A00C00">
      <w:start w:val="1"/>
      <w:numFmt w:val="bullet"/>
      <w:lvlText w:val="o"/>
      <w:lvlJc w:val="left"/>
      <w:pPr>
        <w:ind w:left="1080" w:hanging="360"/>
      </w:pPr>
      <w:rPr>
        <w:rFonts w:ascii="Courier New" w:hAnsi="Courier New" w:hint="default"/>
      </w:rPr>
    </w:lvl>
    <w:lvl w:ilvl="2" w:tplc="A4C82B84">
      <w:start w:val="1"/>
      <w:numFmt w:val="bullet"/>
      <w:lvlText w:val=""/>
      <w:lvlJc w:val="left"/>
      <w:pPr>
        <w:ind w:left="1800" w:hanging="360"/>
      </w:pPr>
      <w:rPr>
        <w:rFonts w:ascii="Wingdings" w:hAnsi="Wingdings" w:hint="default"/>
      </w:rPr>
    </w:lvl>
    <w:lvl w:ilvl="3" w:tplc="F5623D5C">
      <w:start w:val="1"/>
      <w:numFmt w:val="bullet"/>
      <w:lvlText w:val=""/>
      <w:lvlJc w:val="left"/>
      <w:pPr>
        <w:ind w:left="2520" w:hanging="360"/>
      </w:pPr>
      <w:rPr>
        <w:rFonts w:ascii="Symbol" w:hAnsi="Symbol" w:hint="default"/>
      </w:rPr>
    </w:lvl>
    <w:lvl w:ilvl="4" w:tplc="79DEC962">
      <w:start w:val="1"/>
      <w:numFmt w:val="bullet"/>
      <w:lvlText w:val="o"/>
      <w:lvlJc w:val="left"/>
      <w:pPr>
        <w:ind w:left="3240" w:hanging="360"/>
      </w:pPr>
      <w:rPr>
        <w:rFonts w:ascii="Courier New" w:hAnsi="Courier New" w:hint="default"/>
      </w:rPr>
    </w:lvl>
    <w:lvl w:ilvl="5" w:tplc="6052BF9A">
      <w:start w:val="1"/>
      <w:numFmt w:val="bullet"/>
      <w:lvlText w:val=""/>
      <w:lvlJc w:val="left"/>
      <w:pPr>
        <w:ind w:left="3960" w:hanging="360"/>
      </w:pPr>
      <w:rPr>
        <w:rFonts w:ascii="Wingdings" w:hAnsi="Wingdings" w:hint="default"/>
      </w:rPr>
    </w:lvl>
    <w:lvl w:ilvl="6" w:tplc="14A2E676">
      <w:start w:val="1"/>
      <w:numFmt w:val="bullet"/>
      <w:lvlText w:val=""/>
      <w:lvlJc w:val="left"/>
      <w:pPr>
        <w:ind w:left="4680" w:hanging="360"/>
      </w:pPr>
      <w:rPr>
        <w:rFonts w:ascii="Symbol" w:hAnsi="Symbol" w:hint="default"/>
      </w:rPr>
    </w:lvl>
    <w:lvl w:ilvl="7" w:tplc="D67A88D0">
      <w:start w:val="1"/>
      <w:numFmt w:val="bullet"/>
      <w:lvlText w:val="o"/>
      <w:lvlJc w:val="left"/>
      <w:pPr>
        <w:ind w:left="5400" w:hanging="360"/>
      </w:pPr>
      <w:rPr>
        <w:rFonts w:ascii="Courier New" w:hAnsi="Courier New" w:hint="default"/>
      </w:rPr>
    </w:lvl>
    <w:lvl w:ilvl="8" w:tplc="214CC578">
      <w:start w:val="1"/>
      <w:numFmt w:val="bullet"/>
      <w:lvlText w:val=""/>
      <w:lvlJc w:val="left"/>
      <w:pPr>
        <w:ind w:left="6120" w:hanging="360"/>
      </w:pPr>
      <w:rPr>
        <w:rFonts w:ascii="Wingdings" w:hAnsi="Wingdings" w:hint="default"/>
      </w:rPr>
    </w:lvl>
  </w:abstractNum>
  <w:abstractNum w:abstractNumId="11"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A0940"/>
    <w:multiLevelType w:val="hybridMultilevel"/>
    <w:tmpl w:val="4B8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94DB9"/>
    <w:multiLevelType w:val="hybridMultilevel"/>
    <w:tmpl w:val="A760A26C"/>
    <w:lvl w:ilvl="0" w:tplc="04090001">
      <w:start w:val="1"/>
      <w:numFmt w:val="bullet"/>
      <w:lvlText w:val=""/>
      <w:lvlJc w:val="left"/>
      <w:pPr>
        <w:ind w:left="720" w:hanging="360"/>
      </w:pPr>
      <w:rPr>
        <w:rFonts w:ascii="Symbol" w:hAnsi="Symbol" w:hint="default"/>
      </w:rPr>
    </w:lvl>
    <w:lvl w:ilvl="1" w:tplc="B5FE54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E5735"/>
    <w:multiLevelType w:val="hybridMultilevel"/>
    <w:tmpl w:val="40D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7229A0"/>
    <w:multiLevelType w:val="hybridMultilevel"/>
    <w:tmpl w:val="1034D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417D3"/>
    <w:multiLevelType w:val="hybridMultilevel"/>
    <w:tmpl w:val="7D52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5330DC"/>
    <w:multiLevelType w:val="hybridMultilevel"/>
    <w:tmpl w:val="295E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36892"/>
    <w:multiLevelType w:val="hybridMultilevel"/>
    <w:tmpl w:val="F486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2118C"/>
    <w:multiLevelType w:val="hybridMultilevel"/>
    <w:tmpl w:val="AA3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B42296"/>
    <w:multiLevelType w:val="hybridMultilevel"/>
    <w:tmpl w:val="325EB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882BA6"/>
    <w:multiLevelType w:val="hybridMultilevel"/>
    <w:tmpl w:val="748C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919D6"/>
    <w:multiLevelType w:val="hybridMultilevel"/>
    <w:tmpl w:val="D366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14874"/>
    <w:multiLevelType w:val="hybridMultilevel"/>
    <w:tmpl w:val="06CE4A3C"/>
    <w:lvl w:ilvl="0" w:tplc="48C874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706158">
    <w:abstractNumId w:val="27"/>
  </w:num>
  <w:num w:numId="2" w16cid:durableId="2017491024">
    <w:abstractNumId w:val="12"/>
  </w:num>
  <w:num w:numId="3" w16cid:durableId="1924487459">
    <w:abstractNumId w:val="11"/>
  </w:num>
  <w:num w:numId="4" w16cid:durableId="1296176894">
    <w:abstractNumId w:val="26"/>
  </w:num>
  <w:num w:numId="5" w16cid:durableId="618220294">
    <w:abstractNumId w:val="14"/>
  </w:num>
  <w:num w:numId="6" w16cid:durableId="338046594">
    <w:abstractNumId w:val="21"/>
  </w:num>
  <w:num w:numId="7" w16cid:durableId="605161140">
    <w:abstractNumId w:val="23"/>
  </w:num>
  <w:num w:numId="8" w16cid:durableId="168839089">
    <w:abstractNumId w:val="22"/>
  </w:num>
  <w:num w:numId="9" w16cid:durableId="558127034">
    <w:abstractNumId w:val="13"/>
  </w:num>
  <w:num w:numId="10" w16cid:durableId="1111627679">
    <w:abstractNumId w:val="28"/>
  </w:num>
  <w:num w:numId="11" w16cid:durableId="367336717">
    <w:abstractNumId w:val="29"/>
  </w:num>
  <w:num w:numId="12" w16cid:durableId="1015809589">
    <w:abstractNumId w:val="39"/>
  </w:num>
  <w:num w:numId="13" w16cid:durableId="1656645597">
    <w:abstractNumId w:val="2"/>
  </w:num>
  <w:num w:numId="14" w16cid:durableId="1597597552">
    <w:abstractNumId w:val="7"/>
  </w:num>
  <w:num w:numId="15" w16cid:durableId="1102191882">
    <w:abstractNumId w:val="44"/>
  </w:num>
  <w:num w:numId="16" w16cid:durableId="2133622152">
    <w:abstractNumId w:val="41"/>
  </w:num>
  <w:num w:numId="17" w16cid:durableId="227496466">
    <w:abstractNumId w:val="15"/>
  </w:num>
  <w:num w:numId="18" w16cid:durableId="256714737">
    <w:abstractNumId w:val="38"/>
  </w:num>
  <w:num w:numId="19" w16cid:durableId="1109197554">
    <w:abstractNumId w:val="24"/>
  </w:num>
  <w:num w:numId="20" w16cid:durableId="1044865135">
    <w:abstractNumId w:val="19"/>
  </w:num>
  <w:num w:numId="21" w16cid:durableId="1918976311">
    <w:abstractNumId w:val="1"/>
  </w:num>
  <w:num w:numId="22" w16cid:durableId="445543210">
    <w:abstractNumId w:val="36"/>
  </w:num>
  <w:num w:numId="23" w16cid:durableId="1472209054">
    <w:abstractNumId w:val="42"/>
  </w:num>
  <w:num w:numId="24" w16cid:durableId="1383553301">
    <w:abstractNumId w:val="18"/>
  </w:num>
  <w:num w:numId="25" w16cid:durableId="633602620">
    <w:abstractNumId w:val="5"/>
  </w:num>
  <w:num w:numId="26" w16cid:durableId="94600817">
    <w:abstractNumId w:val="31"/>
  </w:num>
  <w:num w:numId="27" w16cid:durableId="448084522">
    <w:abstractNumId w:val="0"/>
  </w:num>
  <w:num w:numId="28" w16cid:durableId="986251746">
    <w:abstractNumId w:val="3"/>
  </w:num>
  <w:num w:numId="29" w16cid:durableId="1793355871">
    <w:abstractNumId w:val="16"/>
  </w:num>
  <w:num w:numId="30" w16cid:durableId="2128229412">
    <w:abstractNumId w:val="6"/>
  </w:num>
  <w:num w:numId="31" w16cid:durableId="1067651805">
    <w:abstractNumId w:val="25"/>
  </w:num>
  <w:num w:numId="32" w16cid:durableId="1597178754">
    <w:abstractNumId w:val="35"/>
  </w:num>
  <w:num w:numId="33" w16cid:durableId="251202839">
    <w:abstractNumId w:val="17"/>
  </w:num>
  <w:num w:numId="34" w16cid:durableId="2053000640">
    <w:abstractNumId w:val="40"/>
  </w:num>
  <w:num w:numId="35" w16cid:durableId="1737975066">
    <w:abstractNumId w:val="20"/>
  </w:num>
  <w:num w:numId="36" w16cid:durableId="1746344408">
    <w:abstractNumId w:val="30"/>
  </w:num>
  <w:num w:numId="37" w16cid:durableId="1492477887">
    <w:abstractNumId w:val="32"/>
  </w:num>
  <w:num w:numId="38" w16cid:durableId="1904944607">
    <w:abstractNumId w:val="37"/>
  </w:num>
  <w:num w:numId="39" w16cid:durableId="355158783">
    <w:abstractNumId w:val="43"/>
  </w:num>
  <w:num w:numId="40" w16cid:durableId="706368537">
    <w:abstractNumId w:val="9"/>
  </w:num>
  <w:num w:numId="41" w16cid:durableId="221412181">
    <w:abstractNumId w:val="10"/>
  </w:num>
  <w:num w:numId="42" w16cid:durableId="1232429595">
    <w:abstractNumId w:val="16"/>
  </w:num>
  <w:num w:numId="43" w16cid:durableId="495457331">
    <w:abstractNumId w:val="8"/>
  </w:num>
  <w:num w:numId="44" w16cid:durableId="1373459633">
    <w:abstractNumId w:val="33"/>
  </w:num>
  <w:num w:numId="45" w16cid:durableId="43603168">
    <w:abstractNumId w:val="34"/>
  </w:num>
  <w:num w:numId="46" w16cid:durableId="202482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6B02"/>
    <w:rsid w:val="00007BDE"/>
    <w:rsid w:val="000125F3"/>
    <w:rsid w:val="00015A89"/>
    <w:rsid w:val="0002190C"/>
    <w:rsid w:val="00032390"/>
    <w:rsid w:val="000418B5"/>
    <w:rsid w:val="00043D42"/>
    <w:rsid w:val="00044154"/>
    <w:rsid w:val="0004546F"/>
    <w:rsid w:val="00052455"/>
    <w:rsid w:val="00054C3D"/>
    <w:rsid w:val="00056E07"/>
    <w:rsid w:val="00056FFB"/>
    <w:rsid w:val="0007070A"/>
    <w:rsid w:val="00073356"/>
    <w:rsid w:val="00076146"/>
    <w:rsid w:val="0007624F"/>
    <w:rsid w:val="0007729A"/>
    <w:rsid w:val="000808F3"/>
    <w:rsid w:val="0008207E"/>
    <w:rsid w:val="00084041"/>
    <w:rsid w:val="00086F4E"/>
    <w:rsid w:val="0009055F"/>
    <w:rsid w:val="000930F8"/>
    <w:rsid w:val="000959E8"/>
    <w:rsid w:val="00096C36"/>
    <w:rsid w:val="000A1148"/>
    <w:rsid w:val="000A59BE"/>
    <w:rsid w:val="000A5D6C"/>
    <w:rsid w:val="000A6682"/>
    <w:rsid w:val="000A6A4C"/>
    <w:rsid w:val="000A74D7"/>
    <w:rsid w:val="000B6AFC"/>
    <w:rsid w:val="000C2E1B"/>
    <w:rsid w:val="000D13F0"/>
    <w:rsid w:val="000D1DAA"/>
    <w:rsid w:val="000D3FCB"/>
    <w:rsid w:val="000D4A11"/>
    <w:rsid w:val="000D4A78"/>
    <w:rsid w:val="000E1DC7"/>
    <w:rsid w:val="000F210C"/>
    <w:rsid w:val="000F6D88"/>
    <w:rsid w:val="00103171"/>
    <w:rsid w:val="00111FAA"/>
    <w:rsid w:val="0012247C"/>
    <w:rsid w:val="001257AF"/>
    <w:rsid w:val="001424A9"/>
    <w:rsid w:val="00142DB2"/>
    <w:rsid w:val="00144928"/>
    <w:rsid w:val="001513A6"/>
    <w:rsid w:val="001564EB"/>
    <w:rsid w:val="001574D3"/>
    <w:rsid w:val="001603B5"/>
    <w:rsid w:val="00161728"/>
    <w:rsid w:val="00162813"/>
    <w:rsid w:val="00165B3D"/>
    <w:rsid w:val="00166240"/>
    <w:rsid w:val="00174313"/>
    <w:rsid w:val="00174E70"/>
    <w:rsid w:val="001750EA"/>
    <w:rsid w:val="00175467"/>
    <w:rsid w:val="0017769A"/>
    <w:rsid w:val="00180AA0"/>
    <w:rsid w:val="001860A8"/>
    <w:rsid w:val="00186E2D"/>
    <w:rsid w:val="001A2855"/>
    <w:rsid w:val="001A5C00"/>
    <w:rsid w:val="001A5D09"/>
    <w:rsid w:val="001B111D"/>
    <w:rsid w:val="001B55D7"/>
    <w:rsid w:val="001C06DC"/>
    <w:rsid w:val="001C1094"/>
    <w:rsid w:val="001C5770"/>
    <w:rsid w:val="001E2AEA"/>
    <w:rsid w:val="001E3706"/>
    <w:rsid w:val="001E3D99"/>
    <w:rsid w:val="001E4A3B"/>
    <w:rsid w:val="001E639B"/>
    <w:rsid w:val="001E70EA"/>
    <w:rsid w:val="001E7E32"/>
    <w:rsid w:val="001F0C9A"/>
    <w:rsid w:val="001F3EC7"/>
    <w:rsid w:val="001F6CD2"/>
    <w:rsid w:val="00200FAC"/>
    <w:rsid w:val="0020151F"/>
    <w:rsid w:val="00202B15"/>
    <w:rsid w:val="00205019"/>
    <w:rsid w:val="0020643D"/>
    <w:rsid w:val="002123C2"/>
    <w:rsid w:val="002220D1"/>
    <w:rsid w:val="002251D1"/>
    <w:rsid w:val="002259FC"/>
    <w:rsid w:val="00231D56"/>
    <w:rsid w:val="00231DDF"/>
    <w:rsid w:val="002357D0"/>
    <w:rsid w:val="0024197A"/>
    <w:rsid w:val="002433E6"/>
    <w:rsid w:val="0024610A"/>
    <w:rsid w:val="00247627"/>
    <w:rsid w:val="002636CA"/>
    <w:rsid w:val="00267B36"/>
    <w:rsid w:val="00270A58"/>
    <w:rsid w:val="00271597"/>
    <w:rsid w:val="00273CAD"/>
    <w:rsid w:val="0028324E"/>
    <w:rsid w:val="00294558"/>
    <w:rsid w:val="00294BC2"/>
    <w:rsid w:val="00295F3C"/>
    <w:rsid w:val="00297058"/>
    <w:rsid w:val="00297D3B"/>
    <w:rsid w:val="002A0ACD"/>
    <w:rsid w:val="002A0D06"/>
    <w:rsid w:val="002C03DD"/>
    <w:rsid w:val="002C6066"/>
    <w:rsid w:val="002D0249"/>
    <w:rsid w:val="002D39D2"/>
    <w:rsid w:val="002D3A79"/>
    <w:rsid w:val="002D3C40"/>
    <w:rsid w:val="002D5FD6"/>
    <w:rsid w:val="002E041D"/>
    <w:rsid w:val="002E075C"/>
    <w:rsid w:val="002E11CC"/>
    <w:rsid w:val="002E6BD1"/>
    <w:rsid w:val="002E6CE8"/>
    <w:rsid w:val="002F2AC5"/>
    <w:rsid w:val="00301353"/>
    <w:rsid w:val="00303678"/>
    <w:rsid w:val="00304970"/>
    <w:rsid w:val="003049E7"/>
    <w:rsid w:val="003102F2"/>
    <w:rsid w:val="003135AE"/>
    <w:rsid w:val="003178E1"/>
    <w:rsid w:val="003250D3"/>
    <w:rsid w:val="00327D1C"/>
    <w:rsid w:val="0033200D"/>
    <w:rsid w:val="00333555"/>
    <w:rsid w:val="0034241C"/>
    <w:rsid w:val="00342FD0"/>
    <w:rsid w:val="003461A7"/>
    <w:rsid w:val="003511BC"/>
    <w:rsid w:val="00356B3D"/>
    <w:rsid w:val="0036578E"/>
    <w:rsid w:val="00365C2F"/>
    <w:rsid w:val="003660A3"/>
    <w:rsid w:val="00373898"/>
    <w:rsid w:val="00382625"/>
    <w:rsid w:val="00397260"/>
    <w:rsid w:val="00397946"/>
    <w:rsid w:val="003A2FAF"/>
    <w:rsid w:val="003A4FB0"/>
    <w:rsid w:val="003A6BCA"/>
    <w:rsid w:val="003A7938"/>
    <w:rsid w:val="003B2F2B"/>
    <w:rsid w:val="003B6176"/>
    <w:rsid w:val="003D31F2"/>
    <w:rsid w:val="003D7E7E"/>
    <w:rsid w:val="003E6DB7"/>
    <w:rsid w:val="003F5B64"/>
    <w:rsid w:val="003F66FA"/>
    <w:rsid w:val="004019BB"/>
    <w:rsid w:val="0040634D"/>
    <w:rsid w:val="004075DC"/>
    <w:rsid w:val="00407BE0"/>
    <w:rsid w:val="0041057F"/>
    <w:rsid w:val="00411DA1"/>
    <w:rsid w:val="0042016C"/>
    <w:rsid w:val="0042470F"/>
    <w:rsid w:val="0042798F"/>
    <w:rsid w:val="004305CE"/>
    <w:rsid w:val="004312CF"/>
    <w:rsid w:val="0043728A"/>
    <w:rsid w:val="00451061"/>
    <w:rsid w:val="004530D9"/>
    <w:rsid w:val="00453C71"/>
    <w:rsid w:val="00454167"/>
    <w:rsid w:val="004662EA"/>
    <w:rsid w:val="004727F3"/>
    <w:rsid w:val="00477D32"/>
    <w:rsid w:val="00482610"/>
    <w:rsid w:val="00485676"/>
    <w:rsid w:val="00491B01"/>
    <w:rsid w:val="0049246A"/>
    <w:rsid w:val="00494828"/>
    <w:rsid w:val="00495029"/>
    <w:rsid w:val="004A2B62"/>
    <w:rsid w:val="004A3319"/>
    <w:rsid w:val="004A4AB3"/>
    <w:rsid w:val="004A9FC1"/>
    <w:rsid w:val="004B6498"/>
    <w:rsid w:val="004C6514"/>
    <w:rsid w:val="004C7ED5"/>
    <w:rsid w:val="004D1423"/>
    <w:rsid w:val="004D2DE5"/>
    <w:rsid w:val="004E0E81"/>
    <w:rsid w:val="004E1065"/>
    <w:rsid w:val="004E1BAF"/>
    <w:rsid w:val="004F29A0"/>
    <w:rsid w:val="005019E3"/>
    <w:rsid w:val="00510D00"/>
    <w:rsid w:val="00513A0E"/>
    <w:rsid w:val="005206E9"/>
    <w:rsid w:val="00522F8C"/>
    <w:rsid w:val="00532791"/>
    <w:rsid w:val="00533551"/>
    <w:rsid w:val="00544235"/>
    <w:rsid w:val="00545BCF"/>
    <w:rsid w:val="00546B72"/>
    <w:rsid w:val="00547FDF"/>
    <w:rsid w:val="00551669"/>
    <w:rsid w:val="00553323"/>
    <w:rsid w:val="00555745"/>
    <w:rsid w:val="00564973"/>
    <w:rsid w:val="00570588"/>
    <w:rsid w:val="00577430"/>
    <w:rsid w:val="005834A0"/>
    <w:rsid w:val="005857BC"/>
    <w:rsid w:val="005863A1"/>
    <w:rsid w:val="00592B55"/>
    <w:rsid w:val="00596C87"/>
    <w:rsid w:val="00596FAF"/>
    <w:rsid w:val="005B1BDB"/>
    <w:rsid w:val="005C23CD"/>
    <w:rsid w:val="005C6C1D"/>
    <w:rsid w:val="005C7CC9"/>
    <w:rsid w:val="005C7D9C"/>
    <w:rsid w:val="005D29B4"/>
    <w:rsid w:val="005D31FE"/>
    <w:rsid w:val="005E0DEF"/>
    <w:rsid w:val="00601532"/>
    <w:rsid w:val="00615DD6"/>
    <w:rsid w:val="00621434"/>
    <w:rsid w:val="00622F64"/>
    <w:rsid w:val="00623E03"/>
    <w:rsid w:val="00624057"/>
    <w:rsid w:val="00631AA7"/>
    <w:rsid w:val="0063603F"/>
    <w:rsid w:val="00643D1F"/>
    <w:rsid w:val="00666031"/>
    <w:rsid w:val="00674771"/>
    <w:rsid w:val="006819E3"/>
    <w:rsid w:val="0068601C"/>
    <w:rsid w:val="006A67EF"/>
    <w:rsid w:val="006B6D02"/>
    <w:rsid w:val="006C09C0"/>
    <w:rsid w:val="006D5DA1"/>
    <w:rsid w:val="006E13B5"/>
    <w:rsid w:val="006E277C"/>
    <w:rsid w:val="006E4BCC"/>
    <w:rsid w:val="006E781A"/>
    <w:rsid w:val="006F2BB5"/>
    <w:rsid w:val="007025F1"/>
    <w:rsid w:val="00704FE4"/>
    <w:rsid w:val="007131B9"/>
    <w:rsid w:val="007303A2"/>
    <w:rsid w:val="00731A74"/>
    <w:rsid w:val="00733320"/>
    <w:rsid w:val="007338F6"/>
    <w:rsid w:val="00735A72"/>
    <w:rsid w:val="00743F65"/>
    <w:rsid w:val="00744CE8"/>
    <w:rsid w:val="007470EB"/>
    <w:rsid w:val="00747AF9"/>
    <w:rsid w:val="00750EB9"/>
    <w:rsid w:val="007575AB"/>
    <w:rsid w:val="0076431E"/>
    <w:rsid w:val="0076693A"/>
    <w:rsid w:val="007676A4"/>
    <w:rsid w:val="00774943"/>
    <w:rsid w:val="00774EB2"/>
    <w:rsid w:val="00783E7A"/>
    <w:rsid w:val="00784595"/>
    <w:rsid w:val="00787EE2"/>
    <w:rsid w:val="007944D2"/>
    <w:rsid w:val="00797A9A"/>
    <w:rsid w:val="007A46FB"/>
    <w:rsid w:val="007A4788"/>
    <w:rsid w:val="007B2E02"/>
    <w:rsid w:val="007B352E"/>
    <w:rsid w:val="007B48A1"/>
    <w:rsid w:val="007C559C"/>
    <w:rsid w:val="007D140F"/>
    <w:rsid w:val="007D4C3A"/>
    <w:rsid w:val="007E1AC6"/>
    <w:rsid w:val="007E638A"/>
    <w:rsid w:val="007E78B5"/>
    <w:rsid w:val="00801680"/>
    <w:rsid w:val="00806391"/>
    <w:rsid w:val="00811F57"/>
    <w:rsid w:val="008135CE"/>
    <w:rsid w:val="008250B6"/>
    <w:rsid w:val="0083258B"/>
    <w:rsid w:val="00833F0F"/>
    <w:rsid w:val="00836274"/>
    <w:rsid w:val="0084306A"/>
    <w:rsid w:val="00844745"/>
    <w:rsid w:val="00845120"/>
    <w:rsid w:val="0085137F"/>
    <w:rsid w:val="008530BF"/>
    <w:rsid w:val="00853B86"/>
    <w:rsid w:val="008553EE"/>
    <w:rsid w:val="00860DF1"/>
    <w:rsid w:val="00870464"/>
    <w:rsid w:val="00871263"/>
    <w:rsid w:val="00873D07"/>
    <w:rsid w:val="0087528C"/>
    <w:rsid w:val="00885653"/>
    <w:rsid w:val="008A197C"/>
    <w:rsid w:val="008A316B"/>
    <w:rsid w:val="008A468A"/>
    <w:rsid w:val="008A4FB9"/>
    <w:rsid w:val="008A6343"/>
    <w:rsid w:val="008B0E17"/>
    <w:rsid w:val="008C0CF9"/>
    <w:rsid w:val="008C385C"/>
    <w:rsid w:val="008D1003"/>
    <w:rsid w:val="008D5EF6"/>
    <w:rsid w:val="008D6D24"/>
    <w:rsid w:val="008D7359"/>
    <w:rsid w:val="008E0075"/>
    <w:rsid w:val="00900869"/>
    <w:rsid w:val="00903340"/>
    <w:rsid w:val="00907F9D"/>
    <w:rsid w:val="00910ACA"/>
    <w:rsid w:val="0092051A"/>
    <w:rsid w:val="00926A88"/>
    <w:rsid w:val="00932CFB"/>
    <w:rsid w:val="0093452A"/>
    <w:rsid w:val="009363EF"/>
    <w:rsid w:val="00936CE2"/>
    <w:rsid w:val="0093F7E9"/>
    <w:rsid w:val="00940535"/>
    <w:rsid w:val="009421C4"/>
    <w:rsid w:val="00947562"/>
    <w:rsid w:val="0094CE59"/>
    <w:rsid w:val="00961FAC"/>
    <w:rsid w:val="00965002"/>
    <w:rsid w:val="00966D4C"/>
    <w:rsid w:val="00971A94"/>
    <w:rsid w:val="00972D90"/>
    <w:rsid w:val="0097445C"/>
    <w:rsid w:val="0099059B"/>
    <w:rsid w:val="0099300D"/>
    <w:rsid w:val="00994049"/>
    <w:rsid w:val="0099504F"/>
    <w:rsid w:val="00996EE9"/>
    <w:rsid w:val="009A0CB7"/>
    <w:rsid w:val="009B412E"/>
    <w:rsid w:val="009B741F"/>
    <w:rsid w:val="009D072A"/>
    <w:rsid w:val="009D2D48"/>
    <w:rsid w:val="009D5F80"/>
    <w:rsid w:val="009D7A8A"/>
    <w:rsid w:val="009E493C"/>
    <w:rsid w:val="009E4C8F"/>
    <w:rsid w:val="009F29B9"/>
    <w:rsid w:val="009F4B90"/>
    <w:rsid w:val="009F512A"/>
    <w:rsid w:val="00A025B1"/>
    <w:rsid w:val="00A02804"/>
    <w:rsid w:val="00A16A10"/>
    <w:rsid w:val="00A17144"/>
    <w:rsid w:val="00A225A7"/>
    <w:rsid w:val="00A2639A"/>
    <w:rsid w:val="00A26FCC"/>
    <w:rsid w:val="00A30D9E"/>
    <w:rsid w:val="00A362B4"/>
    <w:rsid w:val="00A366EB"/>
    <w:rsid w:val="00A4263C"/>
    <w:rsid w:val="00A44FFF"/>
    <w:rsid w:val="00A50D93"/>
    <w:rsid w:val="00A51EDC"/>
    <w:rsid w:val="00A57752"/>
    <w:rsid w:val="00A64E07"/>
    <w:rsid w:val="00A759BC"/>
    <w:rsid w:val="00A90A20"/>
    <w:rsid w:val="00A94E43"/>
    <w:rsid w:val="00AB05E3"/>
    <w:rsid w:val="00AB1465"/>
    <w:rsid w:val="00AC17AA"/>
    <w:rsid w:val="00AD1C20"/>
    <w:rsid w:val="00AD5EB7"/>
    <w:rsid w:val="00AF08B1"/>
    <w:rsid w:val="00AF11A7"/>
    <w:rsid w:val="00AF2677"/>
    <w:rsid w:val="00AF429B"/>
    <w:rsid w:val="00B00277"/>
    <w:rsid w:val="00B12A87"/>
    <w:rsid w:val="00B13EB9"/>
    <w:rsid w:val="00B16149"/>
    <w:rsid w:val="00B21926"/>
    <w:rsid w:val="00B230DE"/>
    <w:rsid w:val="00B26B57"/>
    <w:rsid w:val="00B34B51"/>
    <w:rsid w:val="00B40191"/>
    <w:rsid w:val="00B4519C"/>
    <w:rsid w:val="00B5042F"/>
    <w:rsid w:val="00B5196C"/>
    <w:rsid w:val="00B554F9"/>
    <w:rsid w:val="00B570C5"/>
    <w:rsid w:val="00B71891"/>
    <w:rsid w:val="00B73CEB"/>
    <w:rsid w:val="00B7702D"/>
    <w:rsid w:val="00B77C97"/>
    <w:rsid w:val="00B9186E"/>
    <w:rsid w:val="00B96605"/>
    <w:rsid w:val="00B96B60"/>
    <w:rsid w:val="00BA5EA3"/>
    <w:rsid w:val="00BB2195"/>
    <w:rsid w:val="00BB21A0"/>
    <w:rsid w:val="00BC54D4"/>
    <w:rsid w:val="00BC58CE"/>
    <w:rsid w:val="00BD0357"/>
    <w:rsid w:val="00BD0978"/>
    <w:rsid w:val="00BD11C4"/>
    <w:rsid w:val="00BD1A2F"/>
    <w:rsid w:val="00BD6FD3"/>
    <w:rsid w:val="00BE0CE7"/>
    <w:rsid w:val="00BE26C7"/>
    <w:rsid w:val="00BF07D2"/>
    <w:rsid w:val="00BF2AFB"/>
    <w:rsid w:val="00BF4166"/>
    <w:rsid w:val="00C004F4"/>
    <w:rsid w:val="00C02FD1"/>
    <w:rsid w:val="00C034F6"/>
    <w:rsid w:val="00C11075"/>
    <w:rsid w:val="00C117FB"/>
    <w:rsid w:val="00C2154C"/>
    <w:rsid w:val="00C26AE4"/>
    <w:rsid w:val="00C31011"/>
    <w:rsid w:val="00C364F2"/>
    <w:rsid w:val="00C37F76"/>
    <w:rsid w:val="00C56E6F"/>
    <w:rsid w:val="00C64A67"/>
    <w:rsid w:val="00C672AE"/>
    <w:rsid w:val="00C80D4D"/>
    <w:rsid w:val="00C80EFD"/>
    <w:rsid w:val="00C83AE6"/>
    <w:rsid w:val="00C85DEB"/>
    <w:rsid w:val="00C91EAE"/>
    <w:rsid w:val="00C944A9"/>
    <w:rsid w:val="00C94931"/>
    <w:rsid w:val="00CA1481"/>
    <w:rsid w:val="00CA1899"/>
    <w:rsid w:val="00CA3513"/>
    <w:rsid w:val="00CA4D14"/>
    <w:rsid w:val="00CB2B87"/>
    <w:rsid w:val="00CB77C5"/>
    <w:rsid w:val="00CC71BF"/>
    <w:rsid w:val="00CD049D"/>
    <w:rsid w:val="00CD216B"/>
    <w:rsid w:val="00CE405C"/>
    <w:rsid w:val="00CE6144"/>
    <w:rsid w:val="00CF48CE"/>
    <w:rsid w:val="00CF4C60"/>
    <w:rsid w:val="00CF5678"/>
    <w:rsid w:val="00CF5E4A"/>
    <w:rsid w:val="00CF7E8D"/>
    <w:rsid w:val="00D0630D"/>
    <w:rsid w:val="00D130A8"/>
    <w:rsid w:val="00D20433"/>
    <w:rsid w:val="00D22302"/>
    <w:rsid w:val="00D279FB"/>
    <w:rsid w:val="00D30875"/>
    <w:rsid w:val="00D44A9D"/>
    <w:rsid w:val="00D462B0"/>
    <w:rsid w:val="00D54287"/>
    <w:rsid w:val="00D659A6"/>
    <w:rsid w:val="00D73ADB"/>
    <w:rsid w:val="00D81055"/>
    <w:rsid w:val="00D86719"/>
    <w:rsid w:val="00D905A0"/>
    <w:rsid w:val="00DA4E55"/>
    <w:rsid w:val="00DA670D"/>
    <w:rsid w:val="00DB4504"/>
    <w:rsid w:val="00DB4B83"/>
    <w:rsid w:val="00DB72D3"/>
    <w:rsid w:val="00DC63F5"/>
    <w:rsid w:val="00DC63FB"/>
    <w:rsid w:val="00DD1CB5"/>
    <w:rsid w:val="00DD5E81"/>
    <w:rsid w:val="00DD7467"/>
    <w:rsid w:val="00DE2279"/>
    <w:rsid w:val="00DE2B12"/>
    <w:rsid w:val="00DE35E2"/>
    <w:rsid w:val="00DF0721"/>
    <w:rsid w:val="00DF4F96"/>
    <w:rsid w:val="00DF551B"/>
    <w:rsid w:val="00E02476"/>
    <w:rsid w:val="00E07121"/>
    <w:rsid w:val="00E157F2"/>
    <w:rsid w:val="00E250E1"/>
    <w:rsid w:val="00E26698"/>
    <w:rsid w:val="00E32036"/>
    <w:rsid w:val="00E35D8B"/>
    <w:rsid w:val="00E4096A"/>
    <w:rsid w:val="00E43DA5"/>
    <w:rsid w:val="00E47503"/>
    <w:rsid w:val="00E656C3"/>
    <w:rsid w:val="00E6581A"/>
    <w:rsid w:val="00E703ED"/>
    <w:rsid w:val="00E70C1D"/>
    <w:rsid w:val="00E7306A"/>
    <w:rsid w:val="00E76259"/>
    <w:rsid w:val="00E768BF"/>
    <w:rsid w:val="00E85EEF"/>
    <w:rsid w:val="00E92DA3"/>
    <w:rsid w:val="00EB3A99"/>
    <w:rsid w:val="00EC25E8"/>
    <w:rsid w:val="00EC2EAA"/>
    <w:rsid w:val="00EC342F"/>
    <w:rsid w:val="00EC7716"/>
    <w:rsid w:val="00EC7F66"/>
    <w:rsid w:val="00ED00FB"/>
    <w:rsid w:val="00ED403D"/>
    <w:rsid w:val="00ED57EC"/>
    <w:rsid w:val="00EE3C17"/>
    <w:rsid w:val="00EF11BB"/>
    <w:rsid w:val="00EF550F"/>
    <w:rsid w:val="00EF56DE"/>
    <w:rsid w:val="00EF5AA2"/>
    <w:rsid w:val="00F02FD1"/>
    <w:rsid w:val="00F04ACF"/>
    <w:rsid w:val="00F05108"/>
    <w:rsid w:val="00F114D6"/>
    <w:rsid w:val="00F1496E"/>
    <w:rsid w:val="00F16206"/>
    <w:rsid w:val="00F1693C"/>
    <w:rsid w:val="00F2601C"/>
    <w:rsid w:val="00F2754F"/>
    <w:rsid w:val="00F31FB8"/>
    <w:rsid w:val="00F416E7"/>
    <w:rsid w:val="00F44F01"/>
    <w:rsid w:val="00F53E9D"/>
    <w:rsid w:val="00F71E79"/>
    <w:rsid w:val="00F7421B"/>
    <w:rsid w:val="00F77BC0"/>
    <w:rsid w:val="00F804A8"/>
    <w:rsid w:val="00F82D1B"/>
    <w:rsid w:val="00F83C79"/>
    <w:rsid w:val="00F85731"/>
    <w:rsid w:val="00F91A82"/>
    <w:rsid w:val="00F95429"/>
    <w:rsid w:val="00F95AB8"/>
    <w:rsid w:val="00F96B69"/>
    <w:rsid w:val="00FA2E43"/>
    <w:rsid w:val="00FA34A8"/>
    <w:rsid w:val="00FA77BF"/>
    <w:rsid w:val="00FB0670"/>
    <w:rsid w:val="00FB0D62"/>
    <w:rsid w:val="00FD2069"/>
    <w:rsid w:val="00FD7E8C"/>
    <w:rsid w:val="00FD7F2C"/>
    <w:rsid w:val="00FE7B57"/>
    <w:rsid w:val="00FF7AF9"/>
    <w:rsid w:val="01260BC8"/>
    <w:rsid w:val="0263D430"/>
    <w:rsid w:val="0305447B"/>
    <w:rsid w:val="030754E0"/>
    <w:rsid w:val="03292B7D"/>
    <w:rsid w:val="0497F845"/>
    <w:rsid w:val="04F07764"/>
    <w:rsid w:val="05072697"/>
    <w:rsid w:val="05DBCEF7"/>
    <w:rsid w:val="07042EC8"/>
    <w:rsid w:val="0753F825"/>
    <w:rsid w:val="07A737E2"/>
    <w:rsid w:val="080EFC85"/>
    <w:rsid w:val="09603CD0"/>
    <w:rsid w:val="0B19C5EE"/>
    <w:rsid w:val="0B540ACA"/>
    <w:rsid w:val="0BDC97BB"/>
    <w:rsid w:val="0D236CCC"/>
    <w:rsid w:val="0D4FACE2"/>
    <w:rsid w:val="0EB76D5E"/>
    <w:rsid w:val="0ECAD8B3"/>
    <w:rsid w:val="0F1BA7D1"/>
    <w:rsid w:val="11883DCF"/>
    <w:rsid w:val="11A24F20"/>
    <w:rsid w:val="12D39D8D"/>
    <w:rsid w:val="14259A9D"/>
    <w:rsid w:val="14A70703"/>
    <w:rsid w:val="14B98252"/>
    <w:rsid w:val="14ECE13E"/>
    <w:rsid w:val="16424038"/>
    <w:rsid w:val="16A49998"/>
    <w:rsid w:val="177987A1"/>
    <w:rsid w:val="18070D11"/>
    <w:rsid w:val="183C864C"/>
    <w:rsid w:val="1848B09B"/>
    <w:rsid w:val="196903A4"/>
    <w:rsid w:val="1A503A0B"/>
    <w:rsid w:val="1AA10CFF"/>
    <w:rsid w:val="1AE821C7"/>
    <w:rsid w:val="1B2B1A9E"/>
    <w:rsid w:val="1BC2580A"/>
    <w:rsid w:val="1C0CAAA3"/>
    <w:rsid w:val="1C37E586"/>
    <w:rsid w:val="1C5922E5"/>
    <w:rsid w:val="1C695C71"/>
    <w:rsid w:val="1DC82693"/>
    <w:rsid w:val="1ECC06D7"/>
    <w:rsid w:val="1F146E82"/>
    <w:rsid w:val="1F2B782D"/>
    <w:rsid w:val="1F418E44"/>
    <w:rsid w:val="1FCB1E04"/>
    <w:rsid w:val="1FDE5166"/>
    <w:rsid w:val="2042CAF4"/>
    <w:rsid w:val="20DAD68C"/>
    <w:rsid w:val="20EA9C9D"/>
    <w:rsid w:val="20FBC122"/>
    <w:rsid w:val="21FB9335"/>
    <w:rsid w:val="2369084B"/>
    <w:rsid w:val="2490DB9D"/>
    <w:rsid w:val="25D5EFBA"/>
    <w:rsid w:val="264941A7"/>
    <w:rsid w:val="2656D36D"/>
    <w:rsid w:val="2661E5A8"/>
    <w:rsid w:val="26A63A35"/>
    <w:rsid w:val="278F4CE0"/>
    <w:rsid w:val="2826657B"/>
    <w:rsid w:val="286D94B0"/>
    <w:rsid w:val="2A2777F6"/>
    <w:rsid w:val="2A2E5C75"/>
    <w:rsid w:val="2A57664E"/>
    <w:rsid w:val="2A79CF98"/>
    <w:rsid w:val="2AA8B9DC"/>
    <w:rsid w:val="2AB702C7"/>
    <w:rsid w:val="2B4D7666"/>
    <w:rsid w:val="2B75482A"/>
    <w:rsid w:val="2C0544F9"/>
    <w:rsid w:val="2E8E6666"/>
    <w:rsid w:val="2F01C807"/>
    <w:rsid w:val="2F74C53C"/>
    <w:rsid w:val="30A9A255"/>
    <w:rsid w:val="30E3713D"/>
    <w:rsid w:val="3101C05E"/>
    <w:rsid w:val="31077639"/>
    <w:rsid w:val="3140B183"/>
    <w:rsid w:val="32716BA4"/>
    <w:rsid w:val="331BF924"/>
    <w:rsid w:val="3357C2D3"/>
    <w:rsid w:val="3376E81C"/>
    <w:rsid w:val="339BD785"/>
    <w:rsid w:val="33A08721"/>
    <w:rsid w:val="34514189"/>
    <w:rsid w:val="34946359"/>
    <w:rsid w:val="34E92F64"/>
    <w:rsid w:val="354EE3E4"/>
    <w:rsid w:val="3675FD91"/>
    <w:rsid w:val="369BAF2E"/>
    <w:rsid w:val="36FCD42F"/>
    <w:rsid w:val="38348B82"/>
    <w:rsid w:val="39BC49FD"/>
    <w:rsid w:val="3A3ECE6C"/>
    <w:rsid w:val="3B2229C3"/>
    <w:rsid w:val="3B413E37"/>
    <w:rsid w:val="3BDA29BC"/>
    <w:rsid w:val="3C2BEAFD"/>
    <w:rsid w:val="3C690B80"/>
    <w:rsid w:val="3E2448CB"/>
    <w:rsid w:val="3E39B0EA"/>
    <w:rsid w:val="3E47AAF3"/>
    <w:rsid w:val="3F209DE3"/>
    <w:rsid w:val="410F1B01"/>
    <w:rsid w:val="41E13D1D"/>
    <w:rsid w:val="4272F5CB"/>
    <w:rsid w:val="42AB9071"/>
    <w:rsid w:val="4331B8CA"/>
    <w:rsid w:val="43F1B18C"/>
    <w:rsid w:val="4543C84E"/>
    <w:rsid w:val="4555A26B"/>
    <w:rsid w:val="45F64875"/>
    <w:rsid w:val="467CD4E8"/>
    <w:rsid w:val="474FEFE0"/>
    <w:rsid w:val="48091507"/>
    <w:rsid w:val="48A0A6CA"/>
    <w:rsid w:val="48BE4100"/>
    <w:rsid w:val="49871F11"/>
    <w:rsid w:val="4A9856E1"/>
    <w:rsid w:val="4AB6596A"/>
    <w:rsid w:val="4B07394F"/>
    <w:rsid w:val="4B5AE4E1"/>
    <w:rsid w:val="4BD3616C"/>
    <w:rsid w:val="4C209F6E"/>
    <w:rsid w:val="4D378199"/>
    <w:rsid w:val="4D572E2F"/>
    <w:rsid w:val="4DE420A7"/>
    <w:rsid w:val="4EDC0828"/>
    <w:rsid w:val="4F93B8B1"/>
    <w:rsid w:val="4FE35C07"/>
    <w:rsid w:val="500AD04D"/>
    <w:rsid w:val="50B91203"/>
    <w:rsid w:val="5215A64A"/>
    <w:rsid w:val="5222E4F3"/>
    <w:rsid w:val="523E06D3"/>
    <w:rsid w:val="53622DAE"/>
    <w:rsid w:val="54524F26"/>
    <w:rsid w:val="548824B4"/>
    <w:rsid w:val="557FA451"/>
    <w:rsid w:val="566A0DB2"/>
    <w:rsid w:val="56FA8205"/>
    <w:rsid w:val="57CEC5EB"/>
    <w:rsid w:val="57DE22BC"/>
    <w:rsid w:val="58188DBA"/>
    <w:rsid w:val="58446A2C"/>
    <w:rsid w:val="58C097A2"/>
    <w:rsid w:val="5A111E49"/>
    <w:rsid w:val="5C102F24"/>
    <w:rsid w:val="5C5C7E14"/>
    <w:rsid w:val="5CBF1398"/>
    <w:rsid w:val="5D338D96"/>
    <w:rsid w:val="5DA2F0DA"/>
    <w:rsid w:val="5E8FD81E"/>
    <w:rsid w:val="5F1998C7"/>
    <w:rsid w:val="61357904"/>
    <w:rsid w:val="61AE4323"/>
    <w:rsid w:val="61FB3C81"/>
    <w:rsid w:val="648F90E2"/>
    <w:rsid w:val="64F2CBF7"/>
    <w:rsid w:val="6679D953"/>
    <w:rsid w:val="6681330A"/>
    <w:rsid w:val="66C19456"/>
    <w:rsid w:val="678953DF"/>
    <w:rsid w:val="69664467"/>
    <w:rsid w:val="6B1814BB"/>
    <w:rsid w:val="6BB58AB9"/>
    <w:rsid w:val="6BFB3AC5"/>
    <w:rsid w:val="6C1522A5"/>
    <w:rsid w:val="6C2E32A3"/>
    <w:rsid w:val="6C4F08AC"/>
    <w:rsid w:val="6C7F1525"/>
    <w:rsid w:val="6CDFA946"/>
    <w:rsid w:val="6DF1DA9C"/>
    <w:rsid w:val="6EBC23FE"/>
    <w:rsid w:val="6F60C5A8"/>
    <w:rsid w:val="6FA0F158"/>
    <w:rsid w:val="6FDC6FC0"/>
    <w:rsid w:val="704F313A"/>
    <w:rsid w:val="71D90C4A"/>
    <w:rsid w:val="72FD9C6E"/>
    <w:rsid w:val="731FFD36"/>
    <w:rsid w:val="73AFDF2A"/>
    <w:rsid w:val="744FBB63"/>
    <w:rsid w:val="74840FBE"/>
    <w:rsid w:val="74F8F258"/>
    <w:rsid w:val="76FF4860"/>
    <w:rsid w:val="7767F0AD"/>
    <w:rsid w:val="777F0063"/>
    <w:rsid w:val="782F50D1"/>
    <w:rsid w:val="789F8855"/>
    <w:rsid w:val="78E609CD"/>
    <w:rsid w:val="79643DA2"/>
    <w:rsid w:val="79C5A7DD"/>
    <w:rsid w:val="7A31D000"/>
    <w:rsid w:val="7A4F8F18"/>
    <w:rsid w:val="7A9E3EAC"/>
    <w:rsid w:val="7C50804B"/>
    <w:rsid w:val="7D4798EC"/>
    <w:rsid w:val="7D5EF8F7"/>
    <w:rsid w:val="7E6AB0BC"/>
    <w:rsid w:val="7F120E87"/>
    <w:rsid w:val="7F173D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D91E"/>
  <w15:docId w15:val="{DA6C88B1-5863-455C-8CE1-05C9A752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E9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41">
      <w:bodyDiv w:val="1"/>
      <w:marLeft w:val="0"/>
      <w:marRight w:val="0"/>
      <w:marTop w:val="0"/>
      <w:marBottom w:val="0"/>
      <w:divBdr>
        <w:top w:val="none" w:sz="0" w:space="0" w:color="auto"/>
        <w:left w:val="none" w:sz="0" w:space="0" w:color="auto"/>
        <w:bottom w:val="none" w:sz="0" w:space="0" w:color="auto"/>
        <w:right w:val="none" w:sz="0" w:space="0" w:color="auto"/>
      </w:divBdr>
    </w:div>
    <w:div w:id="268201249">
      <w:bodyDiv w:val="1"/>
      <w:marLeft w:val="0"/>
      <w:marRight w:val="0"/>
      <w:marTop w:val="0"/>
      <w:marBottom w:val="0"/>
      <w:divBdr>
        <w:top w:val="none" w:sz="0" w:space="0" w:color="auto"/>
        <w:left w:val="none" w:sz="0" w:space="0" w:color="auto"/>
        <w:bottom w:val="none" w:sz="0" w:space="0" w:color="auto"/>
        <w:right w:val="none" w:sz="0" w:space="0" w:color="auto"/>
      </w:divBdr>
    </w:div>
    <w:div w:id="505826068">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69110682">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ederalgrants/perkins/required-use-of-funds.docx" TargetMode="External"/><Relationship Id="rId18" Type="http://schemas.openxmlformats.org/officeDocument/2006/relationships/hyperlink" Target="https://www.doe.mass.edu/federalgrants/perkins/allowable-cos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federalgrants/perkins/navigating-perkins.doc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oe.mass.edu/grants/essential.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federalgrants/resources/faqs-food-and-conferences.pdf" TargetMode="External"/><Relationship Id="rId20" Type="http://schemas.openxmlformats.org/officeDocument/2006/relationships/hyperlink" Target="https://www.doe.mass.edu/federalgrants/perkins/allowable-cos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ass.egrantsmanagement.com/DocumentLibrary/Default.aspx?ccipSessionKey=638779912156287168"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federalgrants/perkins/navigating-perki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ederalgrants/perkins/required-use-of-funds.doc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DESE-231-61847</_dlc_DocId>
    <_dlc_DocIdUrl xmlns="733efe1c-5bbe-4968-87dc-d400e65c879f">
      <Url>https://sharepoint.doemass.org/ese/webteam/cps/_layouts/DocIdRedir.aspx?ID=DESE-231-61847</Url>
      <Description>DESE-231-61847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E9D3A1B-3073-4F4C-BA0C-C7D41AD1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EC92A-EF2D-4978-A5D8-0D859B0F7FE2}">
  <ds:schemaRefs>
    <ds:schemaRef ds:uri="http://schemas.openxmlformats.org/officeDocument/2006/bibliography"/>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922</Words>
  <Characters>5601</Characters>
  <Application>Microsoft Office Word</Application>
  <DocSecurity>0</DocSecurity>
  <Lines>169</Lines>
  <Paragraphs>105</Paragraphs>
  <ScaleCrop>false</ScaleCrop>
  <HeadingPairs>
    <vt:vector size="2" baseType="variant">
      <vt:variant>
        <vt:lpstr>Title</vt:lpstr>
      </vt:variant>
      <vt:variant>
        <vt:i4>1</vt:i4>
      </vt:variant>
    </vt:vector>
  </HeadingPairs>
  <TitlesOfParts>
    <vt:vector size="1" baseType="lpstr">
      <vt:lpstr>Quick Reference Guide Perkins Post Secondary</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0401 Quick Reference Guide</dc:title>
  <dc:subject/>
  <dc:creator>DESE</dc:creator>
  <cp:keywords/>
  <cp:lastModifiedBy>Zou, Dong (EOE)</cp:lastModifiedBy>
  <cp:revision>17</cp:revision>
  <cp:lastPrinted>2019-06-11T21:46:00Z</cp:lastPrinted>
  <dcterms:created xsi:type="dcterms:W3CDTF">2025-04-08T13:12:00Z</dcterms:created>
  <dcterms:modified xsi:type="dcterms:W3CDTF">2025-04-16T18:07:00Z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2025 12:00AM</vt:lpwstr>
  </property>
</Properties>
</file>