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EDF77" w14:textId="717A3415" w:rsidR="00B7342E" w:rsidRDefault="009B412E" w:rsidP="6590BC40">
      <w:pPr>
        <w:spacing w:after="0" w:line="240" w:lineRule="auto"/>
        <w:rPr>
          <w:b/>
          <w:color w:val="1F497D" w:themeColor="text2"/>
          <w:sz w:val="32"/>
          <w:szCs w:val="32"/>
        </w:rPr>
      </w:pPr>
      <w:r w:rsidRPr="00817C40">
        <w:rPr>
          <w:b/>
          <w:noProof/>
          <w:color w:val="1F497D" w:themeColor="text2"/>
          <w:sz w:val="32"/>
          <w:szCs w:val="32"/>
        </w:rPr>
        <w:drawing>
          <wp:anchor distT="0" distB="0" distL="114300" distR="114300" simplePos="0" relativeHeight="251658240" behindDoc="0" locked="0" layoutInCell="1" allowOverlap="1" wp14:anchorId="0A193C06" wp14:editId="30C878BC">
            <wp:simplePos x="0" y="0"/>
            <wp:positionH relativeFrom="margin">
              <wp:align>right</wp:align>
            </wp:positionH>
            <wp:positionV relativeFrom="margin">
              <wp:posOffset>-91440</wp:posOffset>
            </wp:positionV>
            <wp:extent cx="1871345" cy="741680"/>
            <wp:effectExtent l="0" t="0" r="0" b="127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reative\DESE-Elem-Secondary-Education\Logo\DESE-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1345"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7C40" w:rsidRPr="6590BC40">
        <w:rPr>
          <w:b/>
          <w:bCs/>
          <w:i/>
          <w:iCs/>
          <w:noProof/>
          <w:color w:val="1F497D" w:themeColor="text2"/>
          <w:sz w:val="32"/>
          <w:szCs w:val="32"/>
        </w:rPr>
        <w:t>Strengthening Career and Technical Education for the</w:t>
      </w:r>
      <w:r w:rsidR="00B7342E" w:rsidRPr="6590BC40">
        <w:rPr>
          <w:b/>
          <w:bCs/>
          <w:i/>
          <w:iCs/>
          <w:noProof/>
          <w:color w:val="1F497D" w:themeColor="text2"/>
          <w:sz w:val="32"/>
          <w:szCs w:val="32"/>
        </w:rPr>
        <w:t xml:space="preserve"> </w:t>
      </w:r>
    </w:p>
    <w:p w14:paraId="0A82FFC9" w14:textId="65EC5A6A" w:rsidR="00856EB7" w:rsidRDefault="00817C40" w:rsidP="00E24D66">
      <w:pPr>
        <w:spacing w:after="0" w:line="240" w:lineRule="auto"/>
        <w:rPr>
          <w:b/>
          <w:color w:val="1F497D" w:themeColor="text2"/>
          <w:sz w:val="32"/>
          <w:szCs w:val="32"/>
        </w:rPr>
      </w:pPr>
      <w:r w:rsidRPr="00817C40">
        <w:rPr>
          <w:b/>
          <w:i/>
          <w:noProof/>
          <w:color w:val="1F497D" w:themeColor="text2"/>
          <w:sz w:val="32"/>
          <w:szCs w:val="32"/>
        </w:rPr>
        <w:t>21st Century Act</w:t>
      </w:r>
      <w:r w:rsidRPr="00817C40">
        <w:rPr>
          <w:b/>
          <w:noProof/>
          <w:color w:val="1F497D" w:themeColor="text2"/>
          <w:sz w:val="32"/>
          <w:szCs w:val="32"/>
        </w:rPr>
        <w:t xml:space="preserve"> (Perkins V)</w:t>
      </w:r>
      <w:r w:rsidRPr="00817C40">
        <w:rPr>
          <w:noProof/>
          <w:color w:val="1F497D" w:themeColor="text2"/>
        </w:rPr>
        <w:t xml:space="preserve"> </w:t>
      </w:r>
      <w:r w:rsidR="001F6CD2">
        <w:rPr>
          <w:b/>
          <w:color w:val="1F497D" w:themeColor="text2"/>
          <w:sz w:val="32"/>
          <w:szCs w:val="32"/>
        </w:rPr>
        <w:t xml:space="preserve"> </w:t>
      </w:r>
    </w:p>
    <w:p w14:paraId="76C01360" w14:textId="7BBBA279" w:rsidR="00811F57" w:rsidRPr="00CA4B70" w:rsidRDefault="008E2075" w:rsidP="00E24D66">
      <w:pPr>
        <w:spacing w:after="0" w:line="240" w:lineRule="auto"/>
        <w:rPr>
          <w:b/>
          <w:color w:val="1F497D" w:themeColor="text2"/>
          <w:sz w:val="24"/>
          <w:szCs w:val="24"/>
        </w:rPr>
      </w:pPr>
      <w:r>
        <w:rPr>
          <w:b/>
          <w:color w:val="1F497D" w:themeColor="text2"/>
          <w:sz w:val="24"/>
          <w:szCs w:val="24"/>
        </w:rPr>
        <w:t xml:space="preserve">Required Use of Funds Resource Guide - </w:t>
      </w:r>
      <w:r w:rsidR="00CA4B70" w:rsidRPr="6E667898">
        <w:rPr>
          <w:b/>
          <w:color w:val="1F497D" w:themeColor="text2"/>
          <w:sz w:val="24"/>
          <w:szCs w:val="24"/>
        </w:rPr>
        <w:t>Fund Code</w:t>
      </w:r>
      <w:r w:rsidR="00817C40" w:rsidRPr="6E667898">
        <w:rPr>
          <w:b/>
          <w:color w:val="1F497D" w:themeColor="text2"/>
          <w:sz w:val="24"/>
          <w:szCs w:val="24"/>
        </w:rPr>
        <w:t>s</w:t>
      </w:r>
      <w:r w:rsidR="00CA4B70" w:rsidRPr="6E667898">
        <w:rPr>
          <w:b/>
          <w:color w:val="1F497D" w:themeColor="text2"/>
          <w:sz w:val="24"/>
          <w:szCs w:val="24"/>
        </w:rPr>
        <w:t xml:space="preserve"> 400</w:t>
      </w:r>
      <w:r w:rsidR="00E118C9" w:rsidRPr="6E667898">
        <w:rPr>
          <w:b/>
          <w:color w:val="1F497D" w:themeColor="text2"/>
          <w:sz w:val="24"/>
          <w:szCs w:val="24"/>
        </w:rPr>
        <w:t xml:space="preserve"> </w:t>
      </w:r>
      <w:r w:rsidR="00D56762" w:rsidRPr="6E667898">
        <w:rPr>
          <w:b/>
          <w:color w:val="1F497D" w:themeColor="text2"/>
          <w:sz w:val="24"/>
          <w:szCs w:val="24"/>
        </w:rPr>
        <w:t>and 401</w:t>
      </w:r>
      <w:r w:rsidR="3BA9695D" w:rsidRPr="6E667898">
        <w:rPr>
          <w:b/>
          <w:bCs/>
          <w:color w:val="1F497D" w:themeColor="text2"/>
          <w:sz w:val="24"/>
          <w:szCs w:val="24"/>
        </w:rPr>
        <w:t xml:space="preserve"> </w:t>
      </w:r>
    </w:p>
    <w:p w14:paraId="41B434CC" w14:textId="770F6F81" w:rsidR="00965002" w:rsidRDefault="00D56638" w:rsidP="00E24D66">
      <w:pPr>
        <w:spacing w:after="0" w:line="240" w:lineRule="auto"/>
        <w:rPr>
          <w:b/>
          <w:color w:val="E36C0A" w:themeColor="accent6" w:themeShade="BF"/>
          <w:sz w:val="24"/>
          <w:szCs w:val="32"/>
        </w:rPr>
      </w:pPr>
      <w:r w:rsidRPr="00EC2965">
        <w:rPr>
          <w:b/>
          <w:color w:val="984806" w:themeColor="accent6" w:themeShade="80"/>
          <w:sz w:val="24"/>
          <w:szCs w:val="32"/>
        </w:rPr>
        <w:t xml:space="preserve">The Six Categories of Required Use of Funds </w:t>
      </w:r>
      <w:r w:rsidR="00964CC5" w:rsidRPr="00EC2965">
        <w:rPr>
          <w:b/>
          <w:color w:val="984806" w:themeColor="accent6" w:themeShade="80"/>
          <w:sz w:val="24"/>
          <w:szCs w:val="32"/>
        </w:rPr>
        <w:t>(</w:t>
      </w:r>
      <w:r w:rsidR="00817C40" w:rsidRPr="00EC2965">
        <w:rPr>
          <w:b/>
          <w:color w:val="984806" w:themeColor="accent6" w:themeShade="80"/>
          <w:sz w:val="24"/>
          <w:szCs w:val="32"/>
        </w:rPr>
        <w:t>Section 135(b)</w:t>
      </w:r>
      <w:r w:rsidR="00964CC5" w:rsidRPr="00EC2965">
        <w:rPr>
          <w:b/>
          <w:color w:val="984806" w:themeColor="accent6" w:themeShade="80"/>
          <w:sz w:val="24"/>
          <w:szCs w:val="32"/>
        </w:rPr>
        <w:t>)</w:t>
      </w:r>
      <w:r w:rsidR="002A4762" w:rsidRPr="00EC2965">
        <w:rPr>
          <w:b/>
          <w:color w:val="984806" w:themeColor="accent6" w:themeShade="80"/>
          <w:sz w:val="24"/>
          <w:szCs w:val="32"/>
        </w:rPr>
        <w:t xml:space="preserve"> and </w:t>
      </w:r>
      <w:r w:rsidR="008E2075" w:rsidRPr="00EC2965">
        <w:rPr>
          <w:b/>
          <w:color w:val="984806" w:themeColor="accent6" w:themeShade="80"/>
          <w:sz w:val="24"/>
          <w:szCs w:val="32"/>
        </w:rPr>
        <w:t>E</w:t>
      </w:r>
      <w:r w:rsidR="002A4762" w:rsidRPr="00EC2965">
        <w:rPr>
          <w:b/>
          <w:color w:val="984806" w:themeColor="accent6" w:themeShade="80"/>
          <w:sz w:val="24"/>
          <w:szCs w:val="32"/>
        </w:rPr>
        <w:t xml:space="preserve">xamples of </w:t>
      </w:r>
      <w:r w:rsidR="00B15173" w:rsidRPr="00EC2965">
        <w:rPr>
          <w:b/>
          <w:color w:val="984806" w:themeColor="accent6" w:themeShade="80"/>
          <w:sz w:val="24"/>
          <w:szCs w:val="32"/>
        </w:rPr>
        <w:t>How They</w:t>
      </w:r>
      <w:r w:rsidR="00344B96">
        <w:rPr>
          <w:b/>
          <w:color w:val="E36C0A" w:themeColor="accent6" w:themeShade="BF"/>
          <w:sz w:val="24"/>
          <w:szCs w:val="32"/>
        </w:rPr>
        <w:t xml:space="preserve"> </w:t>
      </w:r>
      <w:r w:rsidR="00B15173" w:rsidRPr="00EC2965">
        <w:rPr>
          <w:b/>
          <w:color w:val="984806" w:themeColor="accent6" w:themeShade="80"/>
          <w:sz w:val="24"/>
          <w:szCs w:val="32"/>
        </w:rPr>
        <w:t>C</w:t>
      </w:r>
      <w:r w:rsidR="00344B96" w:rsidRPr="00EC2965">
        <w:rPr>
          <w:b/>
          <w:color w:val="984806" w:themeColor="accent6" w:themeShade="80"/>
          <w:sz w:val="24"/>
          <w:szCs w:val="32"/>
        </w:rPr>
        <w:t xml:space="preserve">an </w:t>
      </w:r>
      <w:r w:rsidR="00B15173" w:rsidRPr="00EC2965">
        <w:rPr>
          <w:b/>
          <w:color w:val="984806" w:themeColor="accent6" w:themeShade="80"/>
          <w:sz w:val="24"/>
          <w:szCs w:val="32"/>
        </w:rPr>
        <w:t>B</w:t>
      </w:r>
      <w:r w:rsidR="00344B96" w:rsidRPr="00EC2965">
        <w:rPr>
          <w:b/>
          <w:color w:val="984806" w:themeColor="accent6" w:themeShade="80"/>
          <w:sz w:val="24"/>
          <w:szCs w:val="32"/>
        </w:rPr>
        <w:t xml:space="preserve">e </w:t>
      </w:r>
      <w:r w:rsidR="00B15173" w:rsidRPr="00EC2965">
        <w:rPr>
          <w:b/>
          <w:color w:val="984806" w:themeColor="accent6" w:themeShade="80"/>
          <w:sz w:val="24"/>
          <w:szCs w:val="32"/>
        </w:rPr>
        <w:t>M</w:t>
      </w:r>
      <w:r w:rsidR="00344B96" w:rsidRPr="00EC2965">
        <w:rPr>
          <w:b/>
          <w:color w:val="984806" w:themeColor="accent6" w:themeShade="80"/>
          <w:sz w:val="24"/>
          <w:szCs w:val="32"/>
        </w:rPr>
        <w:t xml:space="preserve">et </w:t>
      </w:r>
    </w:p>
    <w:p w14:paraId="1D7C6BC8" w14:textId="4A508A77" w:rsidR="00817C40" w:rsidRPr="00817C40" w:rsidRDefault="05DE1DD3" w:rsidP="00E24D66">
      <w:r>
        <w:t xml:space="preserve">There are six categories of required use of funds </w:t>
      </w:r>
      <w:r w:rsidR="20040A99">
        <w:t>to ensure</w:t>
      </w:r>
      <w:r>
        <w:t xml:space="preserve"> CTE programs </w:t>
      </w:r>
      <w:r w:rsidR="6C31CEB5">
        <w:t>are</w:t>
      </w:r>
      <w:r>
        <w:t xml:space="preserve"> of sufficient size, scope, and quality to be effective.</w:t>
      </w:r>
      <w:r w:rsidR="500489EC">
        <w:t xml:space="preserve"> </w:t>
      </w:r>
      <w:r w:rsidR="6C31CEB5">
        <w:t>A</w:t>
      </w:r>
      <w:r w:rsidR="500489EC">
        <w:t xml:space="preserve">pplicants </w:t>
      </w:r>
      <w:r w:rsidR="6C31CEB5">
        <w:t>must use</w:t>
      </w:r>
      <w:r w:rsidR="5AF92102">
        <w:t xml:space="preserve"> Perkins funding in whole or part for strategies or activities</w:t>
      </w:r>
      <w:r w:rsidR="6C31CEB5">
        <w:t xml:space="preserve"> that meet</w:t>
      </w:r>
      <w:r w:rsidR="5AF92102">
        <w:t xml:space="preserve"> the required use</w:t>
      </w:r>
      <w:r w:rsidR="6C31CEB5">
        <w:t>s</w:t>
      </w:r>
      <w:r w:rsidR="5AF92102">
        <w:t xml:space="preserve"> of funds</w:t>
      </w:r>
      <w:r w:rsidR="6C31CEB5">
        <w:t xml:space="preserve"> and indicate which strategies satisfy each required use</w:t>
      </w:r>
      <w:r w:rsidR="5AF92102">
        <w:t xml:space="preserve"> on the grant </w:t>
      </w:r>
      <w:r w:rsidR="005D33CE">
        <w:t>application (</w:t>
      </w:r>
      <w:r w:rsidR="6C31CEB5">
        <w:t>Performance, Priorities</w:t>
      </w:r>
      <w:r w:rsidR="004D003E">
        <w:t xml:space="preserve"> Tab</w:t>
      </w:r>
      <w:r w:rsidR="6C31CEB5">
        <w:t>)</w:t>
      </w:r>
      <w:r w:rsidR="5AF92102">
        <w:t xml:space="preserve">. </w:t>
      </w:r>
      <w:r w:rsidR="6C31CEB5">
        <w:t xml:space="preserve">Note that one strategy may satisfy multiple required uses of funds, and multiple strategies may satisfy the same required use, as long as each is met at least once. </w:t>
      </w:r>
      <w:r w:rsidR="5AF92102">
        <w:t xml:space="preserve">This resource guide provides examples of Perkins grant-funded activities that meet one or more of the six categories of required use of funds. </w:t>
      </w:r>
    </w:p>
    <w:p w14:paraId="458FDC3A" w14:textId="55B552D5" w:rsidR="6E667898" w:rsidRDefault="6E667898" w:rsidP="00E24D66">
      <w:pPr>
        <w:rPr>
          <w:b/>
          <w:bCs/>
          <w:color w:val="1F497D" w:themeColor="text2"/>
          <w:sz w:val="24"/>
          <w:szCs w:val="24"/>
        </w:rPr>
      </w:pPr>
      <w:r w:rsidRPr="6E667898">
        <w:rPr>
          <w:b/>
          <w:bCs/>
          <w:color w:val="1F497D" w:themeColor="text2"/>
          <w:sz w:val="24"/>
          <w:szCs w:val="24"/>
        </w:rPr>
        <w:t>Six Categories of Required Use of Funds</w:t>
      </w:r>
    </w:p>
    <w:tbl>
      <w:tblPr>
        <w:tblStyle w:val="TableGrid"/>
        <w:tblW w:w="0" w:type="auto"/>
        <w:tblLayout w:type="fixed"/>
        <w:tblLook w:val="06A0" w:firstRow="1" w:lastRow="0" w:firstColumn="1" w:lastColumn="0" w:noHBand="1" w:noVBand="1"/>
      </w:tblPr>
      <w:tblGrid>
        <w:gridCol w:w="14400"/>
      </w:tblGrid>
      <w:tr w:rsidR="6E667898" w14:paraId="11EEC61F" w14:textId="77777777" w:rsidTr="6E667898">
        <w:tc>
          <w:tcPr>
            <w:tcW w:w="14400" w:type="dxa"/>
          </w:tcPr>
          <w:p w14:paraId="413CDBD7" w14:textId="03CC2083" w:rsidR="6E667898" w:rsidRPr="00C51FF2" w:rsidRDefault="6E667898" w:rsidP="00E24D66">
            <w:pPr>
              <w:rPr>
                <w:rFonts w:asciiTheme="minorHAnsi" w:eastAsiaTheme="minorEastAsia" w:hAnsiTheme="minorHAnsi" w:cstheme="minorBidi"/>
                <w:b/>
                <w:bCs/>
                <w:sz w:val="24"/>
                <w:szCs w:val="24"/>
              </w:rPr>
            </w:pPr>
            <w:r w:rsidRPr="00C51FF2">
              <w:rPr>
                <w:rFonts w:asciiTheme="minorHAnsi" w:eastAsiaTheme="minorEastAsia" w:hAnsiTheme="minorHAnsi" w:cstheme="minorBidi"/>
                <w:b/>
                <w:bCs/>
                <w:sz w:val="24"/>
                <w:szCs w:val="24"/>
              </w:rPr>
              <w:t>1. Offering students career exploration and career development activities</w:t>
            </w:r>
          </w:p>
          <w:p w14:paraId="16E0B088" w14:textId="03CF7637" w:rsidR="6E667898" w:rsidRPr="00C51FF2" w:rsidRDefault="6E667898" w:rsidP="00E24D66">
            <w:pPr>
              <w:rPr>
                <w:rFonts w:asciiTheme="minorHAnsi" w:eastAsiaTheme="minorEastAsia" w:hAnsiTheme="minorHAnsi" w:cstheme="minorBidi"/>
                <w:sz w:val="24"/>
                <w:szCs w:val="24"/>
              </w:rPr>
            </w:pPr>
            <w:r w:rsidRPr="00C51FF2">
              <w:rPr>
                <w:rFonts w:asciiTheme="minorHAnsi" w:eastAsiaTheme="minorEastAsia" w:hAnsiTheme="minorHAnsi" w:cstheme="minorBidi"/>
                <w:sz w:val="24"/>
                <w:szCs w:val="24"/>
              </w:rPr>
              <w:t xml:space="preserve"> </w:t>
            </w:r>
            <w:r w:rsidR="663B862C" w:rsidRPr="00C51FF2">
              <w:rPr>
                <w:rFonts w:asciiTheme="minorHAnsi" w:eastAsiaTheme="minorEastAsia" w:hAnsiTheme="minorHAnsi" w:cstheme="minorBidi"/>
                <w:sz w:val="24"/>
                <w:szCs w:val="24"/>
              </w:rPr>
              <w:t>Provide career exploration and career development activities through an organized, systematic framework designed to aid students, including in the middle grades, before enrolling and while participating in a career and technical education program, in making informed plans and decisions about future education and career opportunities and programs of study.</w:t>
            </w:r>
          </w:p>
        </w:tc>
      </w:tr>
      <w:tr w:rsidR="6E667898" w14:paraId="0F18D075" w14:textId="77777777" w:rsidTr="6E667898">
        <w:tc>
          <w:tcPr>
            <w:tcW w:w="14400" w:type="dxa"/>
          </w:tcPr>
          <w:p w14:paraId="44AA5898" w14:textId="75BEF814" w:rsidR="6E667898" w:rsidRPr="00C51FF2" w:rsidRDefault="6E667898" w:rsidP="00E24D66">
            <w:pPr>
              <w:rPr>
                <w:rFonts w:asciiTheme="minorHAnsi" w:eastAsiaTheme="minorEastAsia" w:hAnsiTheme="minorHAnsi" w:cstheme="minorBidi"/>
                <w:b/>
                <w:bCs/>
                <w:sz w:val="24"/>
                <w:szCs w:val="24"/>
              </w:rPr>
            </w:pPr>
            <w:r w:rsidRPr="00C51FF2">
              <w:rPr>
                <w:rFonts w:asciiTheme="minorHAnsi" w:eastAsiaTheme="minorEastAsia" w:hAnsiTheme="minorHAnsi" w:cstheme="minorBidi"/>
                <w:b/>
                <w:bCs/>
                <w:sz w:val="24"/>
                <w:szCs w:val="24"/>
              </w:rPr>
              <w:t>2. Providing instructors professional development</w:t>
            </w:r>
          </w:p>
          <w:p w14:paraId="7C7DA77F" w14:textId="0A8F4A2F" w:rsidR="6E667898" w:rsidRPr="00C51FF2" w:rsidRDefault="6E667898" w:rsidP="00E24D66">
            <w:pPr>
              <w:rPr>
                <w:rFonts w:asciiTheme="minorHAnsi" w:eastAsiaTheme="minorEastAsia" w:hAnsiTheme="minorHAnsi" w:cstheme="minorBidi"/>
                <w:sz w:val="24"/>
                <w:szCs w:val="24"/>
              </w:rPr>
            </w:pPr>
            <w:r w:rsidRPr="00C51FF2">
              <w:rPr>
                <w:rFonts w:asciiTheme="minorHAnsi" w:eastAsiaTheme="minorEastAsia" w:hAnsiTheme="minorHAnsi" w:cstheme="minorBidi"/>
                <w:sz w:val="24"/>
                <w:szCs w:val="24"/>
              </w:rPr>
              <w:t>Provide professional development for teachers, faculty, school leaders, administrators, specialized instructional support personnel, career guidance and academic counselors, or paraprofessionals’ Provide within career and technical education the skills necessary to pursue high-skill, high-wage or in-demand industry sectors or occupations.</w:t>
            </w:r>
          </w:p>
        </w:tc>
      </w:tr>
      <w:tr w:rsidR="6E667898" w14:paraId="2D025568" w14:textId="77777777" w:rsidTr="6E667898">
        <w:tc>
          <w:tcPr>
            <w:tcW w:w="14400" w:type="dxa"/>
          </w:tcPr>
          <w:p w14:paraId="0984414C" w14:textId="183DED47" w:rsidR="6E667898" w:rsidRPr="00C51FF2" w:rsidRDefault="6E667898" w:rsidP="00E24D66">
            <w:pPr>
              <w:rPr>
                <w:rFonts w:asciiTheme="minorHAnsi" w:eastAsiaTheme="minorEastAsia" w:hAnsiTheme="minorHAnsi" w:cstheme="minorBidi"/>
                <w:b/>
                <w:bCs/>
                <w:color w:val="000000" w:themeColor="text1"/>
                <w:sz w:val="24"/>
                <w:szCs w:val="24"/>
              </w:rPr>
            </w:pPr>
            <w:r w:rsidRPr="00C51FF2">
              <w:rPr>
                <w:rFonts w:asciiTheme="minorHAnsi" w:eastAsiaTheme="minorEastAsia" w:hAnsiTheme="minorHAnsi" w:cstheme="minorBidi"/>
                <w:b/>
                <w:bCs/>
                <w:sz w:val="24"/>
                <w:szCs w:val="24"/>
              </w:rPr>
              <w:t xml:space="preserve">3. Building the skills students need to pursue careers in high skill, </w:t>
            </w:r>
            <w:proofErr w:type="gramStart"/>
            <w:r w:rsidRPr="00C51FF2">
              <w:rPr>
                <w:rFonts w:asciiTheme="minorHAnsi" w:eastAsiaTheme="minorEastAsia" w:hAnsiTheme="minorHAnsi" w:cstheme="minorBidi"/>
                <w:b/>
                <w:bCs/>
                <w:sz w:val="24"/>
                <w:szCs w:val="24"/>
              </w:rPr>
              <w:t>wage</w:t>
            </w:r>
            <w:proofErr w:type="gramEnd"/>
            <w:r w:rsidRPr="00C51FF2">
              <w:rPr>
                <w:rFonts w:asciiTheme="minorHAnsi" w:eastAsiaTheme="minorEastAsia" w:hAnsiTheme="minorHAnsi" w:cstheme="minorBidi"/>
                <w:b/>
                <w:bCs/>
                <w:sz w:val="24"/>
                <w:szCs w:val="24"/>
              </w:rPr>
              <w:t xml:space="preserve"> or in-demand industries</w:t>
            </w:r>
          </w:p>
          <w:p w14:paraId="67A72D0C" w14:textId="387C5E6D" w:rsidR="6E667898" w:rsidRPr="00C51FF2" w:rsidRDefault="6E667898" w:rsidP="00E24D66">
            <w:pPr>
              <w:rPr>
                <w:rFonts w:asciiTheme="minorHAnsi" w:eastAsiaTheme="minorEastAsia" w:hAnsiTheme="minorHAnsi" w:cstheme="minorBidi"/>
                <w:sz w:val="24"/>
                <w:szCs w:val="24"/>
              </w:rPr>
            </w:pPr>
            <w:r w:rsidRPr="00C51FF2">
              <w:rPr>
                <w:rFonts w:asciiTheme="minorHAnsi" w:eastAsiaTheme="minorEastAsia" w:hAnsiTheme="minorHAnsi" w:cstheme="minorBidi"/>
                <w:sz w:val="24"/>
                <w:szCs w:val="24"/>
              </w:rPr>
              <w:t>Provide within career and technical education the skills necessary to pursue high-skill, high-wage or in-demand industry sectors or occupations.</w:t>
            </w:r>
          </w:p>
        </w:tc>
      </w:tr>
      <w:tr w:rsidR="6E667898" w14:paraId="7C7628BC" w14:textId="77777777" w:rsidTr="00C51FF2">
        <w:trPr>
          <w:trHeight w:val="1223"/>
        </w:trPr>
        <w:tc>
          <w:tcPr>
            <w:tcW w:w="14400" w:type="dxa"/>
          </w:tcPr>
          <w:p w14:paraId="19EDC1D2" w14:textId="768E49B2" w:rsidR="6E667898" w:rsidRPr="00C51FF2" w:rsidRDefault="6E667898" w:rsidP="00E24D66">
            <w:pPr>
              <w:rPr>
                <w:rFonts w:asciiTheme="minorHAnsi" w:eastAsiaTheme="minorEastAsia" w:hAnsiTheme="minorHAnsi" w:cstheme="minorBidi"/>
                <w:b/>
                <w:bCs/>
                <w:color w:val="000000" w:themeColor="text1"/>
                <w:sz w:val="24"/>
                <w:szCs w:val="24"/>
              </w:rPr>
            </w:pPr>
            <w:r w:rsidRPr="00C51FF2">
              <w:rPr>
                <w:rFonts w:asciiTheme="minorHAnsi" w:eastAsiaTheme="minorEastAsia" w:hAnsiTheme="minorHAnsi" w:cstheme="minorBidi"/>
                <w:b/>
                <w:bCs/>
                <w:sz w:val="24"/>
                <w:szCs w:val="24"/>
              </w:rPr>
              <w:t>4. Supporting integration of academic skills into CTE programs and programs of study</w:t>
            </w:r>
          </w:p>
          <w:p w14:paraId="12EA6850" w14:textId="756594F1" w:rsidR="6AD7B161" w:rsidRPr="00C51FF2" w:rsidRDefault="6AD7B161" w:rsidP="00E24D66">
            <w:pPr>
              <w:rPr>
                <w:rFonts w:asciiTheme="minorHAnsi" w:eastAsiaTheme="minorEastAsia" w:hAnsiTheme="minorHAnsi" w:cstheme="minorBidi"/>
                <w:color w:val="000000" w:themeColor="text1"/>
                <w:sz w:val="24"/>
                <w:szCs w:val="24"/>
              </w:rPr>
            </w:pPr>
            <w:r w:rsidRPr="00C51FF2">
              <w:rPr>
                <w:rFonts w:asciiTheme="minorHAnsi" w:eastAsiaTheme="minorEastAsia" w:hAnsiTheme="minorHAnsi" w:cstheme="minorBidi"/>
                <w:color w:val="000000" w:themeColor="text1"/>
                <w:sz w:val="24"/>
                <w:szCs w:val="24"/>
              </w:rPr>
              <w:t>Support integration of academic skills into career and technical education programs and programs of study to support—</w:t>
            </w:r>
          </w:p>
          <w:p w14:paraId="615FA24A" w14:textId="1079DF93" w:rsidR="6AD7B161" w:rsidRPr="00C51FF2" w:rsidRDefault="6AD7B161" w:rsidP="00C250EF">
            <w:pPr>
              <w:pStyle w:val="ListParagraph"/>
              <w:numPr>
                <w:ilvl w:val="0"/>
                <w:numId w:val="9"/>
              </w:numPr>
              <w:rPr>
                <w:rFonts w:asciiTheme="minorHAnsi" w:eastAsiaTheme="minorEastAsia" w:hAnsiTheme="minorHAnsi" w:cstheme="minorBidi"/>
                <w:sz w:val="24"/>
                <w:szCs w:val="24"/>
              </w:rPr>
            </w:pPr>
            <w:r w:rsidRPr="00C51FF2">
              <w:rPr>
                <w:rFonts w:asciiTheme="minorHAnsi" w:eastAsiaTheme="minorEastAsia" w:hAnsiTheme="minorHAnsi" w:cstheme="minorBidi"/>
                <w:sz w:val="24"/>
                <w:szCs w:val="24"/>
              </w:rPr>
              <w:t xml:space="preserve">CTE participants at the secondary school level in meeting </w:t>
            </w:r>
            <w:hyperlink r:id="rId13">
              <w:r w:rsidRPr="00C51FF2">
                <w:rPr>
                  <w:rStyle w:val="Hyperlink"/>
                  <w:rFonts w:asciiTheme="minorHAnsi" w:eastAsiaTheme="minorEastAsia" w:hAnsiTheme="minorHAnsi" w:cstheme="minorBidi"/>
                  <w:sz w:val="24"/>
                  <w:szCs w:val="24"/>
                </w:rPr>
                <w:t>Massachusetts accountability standards</w:t>
              </w:r>
            </w:hyperlink>
            <w:r w:rsidRPr="00C51FF2">
              <w:rPr>
                <w:rFonts w:asciiTheme="minorHAnsi" w:eastAsiaTheme="minorEastAsia" w:hAnsiTheme="minorHAnsi" w:cstheme="minorBidi"/>
                <w:sz w:val="24"/>
                <w:szCs w:val="24"/>
              </w:rPr>
              <w:t>; and</w:t>
            </w:r>
          </w:p>
          <w:p w14:paraId="08EEFD93" w14:textId="546BCA5F" w:rsidR="6AD7B161" w:rsidRPr="00C51FF2" w:rsidRDefault="6AD7B161" w:rsidP="00E24D66">
            <w:pPr>
              <w:ind w:left="720"/>
              <w:rPr>
                <w:rFonts w:asciiTheme="minorHAnsi" w:eastAsiaTheme="minorEastAsia" w:hAnsiTheme="minorHAnsi" w:cstheme="minorBidi"/>
                <w:b/>
                <w:bCs/>
                <w:sz w:val="24"/>
                <w:szCs w:val="24"/>
              </w:rPr>
            </w:pPr>
            <w:r w:rsidRPr="00C51FF2">
              <w:rPr>
                <w:rFonts w:asciiTheme="minorHAnsi" w:eastAsiaTheme="minorEastAsia" w:hAnsiTheme="minorHAnsi" w:cstheme="minorBidi"/>
                <w:sz w:val="24"/>
                <w:szCs w:val="24"/>
              </w:rPr>
              <w:t>b.     CTE participants at the postsecondary level in achieving academic skills;</w:t>
            </w:r>
          </w:p>
        </w:tc>
      </w:tr>
      <w:tr w:rsidR="6E667898" w14:paraId="4B307F34" w14:textId="77777777" w:rsidTr="00C51FF2">
        <w:trPr>
          <w:trHeight w:val="1205"/>
        </w:trPr>
        <w:tc>
          <w:tcPr>
            <w:tcW w:w="14400" w:type="dxa"/>
          </w:tcPr>
          <w:p w14:paraId="7A65E1D5" w14:textId="04CC89E6" w:rsidR="6E667898" w:rsidRPr="00C51FF2" w:rsidRDefault="6E667898" w:rsidP="00E24D66">
            <w:pPr>
              <w:rPr>
                <w:rFonts w:asciiTheme="minorHAnsi" w:eastAsiaTheme="minorEastAsia" w:hAnsiTheme="minorHAnsi" w:cstheme="minorBidi"/>
                <w:b/>
                <w:bCs/>
                <w:sz w:val="24"/>
                <w:szCs w:val="24"/>
              </w:rPr>
            </w:pPr>
            <w:r w:rsidRPr="00C51FF2">
              <w:rPr>
                <w:rFonts w:asciiTheme="minorHAnsi" w:eastAsiaTheme="minorEastAsia" w:hAnsiTheme="minorHAnsi" w:cstheme="minorBidi"/>
                <w:b/>
                <w:bCs/>
                <w:sz w:val="24"/>
                <w:szCs w:val="24"/>
              </w:rPr>
              <w:t>5. Planning and carrying out elements supporting implementation of CTE programs and programs of study that increase student achievement</w:t>
            </w:r>
          </w:p>
          <w:p w14:paraId="74011E36" w14:textId="39EE0E0C" w:rsidR="663B862C" w:rsidRPr="00C51FF2" w:rsidRDefault="663B862C" w:rsidP="00E24D66">
            <w:pPr>
              <w:rPr>
                <w:rFonts w:asciiTheme="minorHAnsi" w:eastAsiaTheme="minorEastAsia" w:hAnsiTheme="minorHAnsi" w:cstheme="minorBidi"/>
                <w:b/>
                <w:bCs/>
                <w:sz w:val="24"/>
                <w:szCs w:val="24"/>
              </w:rPr>
            </w:pPr>
            <w:r w:rsidRPr="00C51FF2">
              <w:rPr>
                <w:rFonts w:asciiTheme="minorHAnsi" w:eastAsiaTheme="minorEastAsia" w:hAnsiTheme="minorHAnsi" w:cstheme="minorBidi"/>
                <w:sz w:val="24"/>
                <w:szCs w:val="24"/>
              </w:rPr>
              <w:t>Plan and carry out elements that support the implementation of career and technical education programs and programs of study and that result in increasing student achievement of the local levels of performance</w:t>
            </w:r>
          </w:p>
        </w:tc>
      </w:tr>
      <w:tr w:rsidR="6E667898" w14:paraId="1E12FB53" w14:textId="77777777" w:rsidTr="00C51FF2">
        <w:trPr>
          <w:trHeight w:val="1097"/>
        </w:trPr>
        <w:tc>
          <w:tcPr>
            <w:tcW w:w="14400" w:type="dxa"/>
          </w:tcPr>
          <w:p w14:paraId="12375D62" w14:textId="6ECEB8B2" w:rsidR="6E667898" w:rsidRPr="00C51FF2" w:rsidRDefault="6E667898" w:rsidP="00E24D66">
            <w:pPr>
              <w:rPr>
                <w:rFonts w:asciiTheme="minorHAnsi" w:eastAsiaTheme="minorEastAsia" w:hAnsiTheme="minorHAnsi" w:cstheme="minorBidi"/>
                <w:b/>
                <w:bCs/>
                <w:sz w:val="24"/>
                <w:szCs w:val="24"/>
              </w:rPr>
            </w:pPr>
            <w:r w:rsidRPr="00C51FF2">
              <w:rPr>
                <w:rFonts w:asciiTheme="minorHAnsi" w:eastAsiaTheme="minorEastAsia" w:hAnsiTheme="minorHAnsi" w:cstheme="minorBidi"/>
                <w:b/>
                <w:bCs/>
                <w:sz w:val="24"/>
                <w:szCs w:val="24"/>
              </w:rPr>
              <w:t xml:space="preserve">6. Developing and Implementing evaluations of Perkins-funded activities </w:t>
            </w:r>
          </w:p>
          <w:p w14:paraId="15EF2BD2" w14:textId="3F283640" w:rsidR="6AD7B161" w:rsidRPr="00C51FF2" w:rsidRDefault="6AD7B161" w:rsidP="00E24D66">
            <w:pPr>
              <w:rPr>
                <w:rFonts w:asciiTheme="minorHAnsi" w:eastAsiaTheme="minorEastAsia" w:hAnsiTheme="minorHAnsi" w:cstheme="minorBidi"/>
                <w:b/>
                <w:bCs/>
                <w:sz w:val="24"/>
                <w:szCs w:val="24"/>
              </w:rPr>
            </w:pPr>
            <w:r w:rsidRPr="00C51FF2">
              <w:rPr>
                <w:rFonts w:asciiTheme="minorHAnsi" w:eastAsiaTheme="minorEastAsia" w:hAnsiTheme="minorHAnsi" w:cstheme="minorBidi"/>
                <w:sz w:val="24"/>
                <w:szCs w:val="24"/>
              </w:rPr>
              <w:t>Develop and implement evaluations of the activities carried out with funds under this part, including evaluations necessary to complete the comprehensive needs assessment.</w:t>
            </w:r>
          </w:p>
        </w:tc>
      </w:tr>
    </w:tbl>
    <w:p w14:paraId="4E806CE2" w14:textId="40D51454" w:rsidR="6E667898" w:rsidRDefault="6E667898" w:rsidP="00E24D66">
      <w:pPr>
        <w:rPr>
          <w:b/>
          <w:bCs/>
          <w:color w:val="1F497D" w:themeColor="text2"/>
          <w:sz w:val="24"/>
          <w:szCs w:val="24"/>
        </w:rPr>
      </w:pPr>
    </w:p>
    <w:tbl>
      <w:tblPr>
        <w:tblStyle w:val="TableGrid"/>
        <w:tblW w:w="14305" w:type="dxa"/>
        <w:tblLook w:val="04A0" w:firstRow="1" w:lastRow="0" w:firstColumn="1" w:lastColumn="0" w:noHBand="0" w:noVBand="1"/>
      </w:tblPr>
      <w:tblGrid>
        <w:gridCol w:w="5350"/>
        <w:gridCol w:w="1575"/>
        <w:gridCol w:w="1501"/>
        <w:gridCol w:w="1333"/>
        <w:gridCol w:w="1509"/>
        <w:gridCol w:w="1608"/>
        <w:gridCol w:w="1429"/>
      </w:tblGrid>
      <w:tr w:rsidR="009D2909" w:rsidRPr="00167BCF" w14:paraId="736895BD" w14:textId="17F60E67" w:rsidTr="0B8A440C">
        <w:trPr>
          <w:trHeight w:val="1790"/>
        </w:trPr>
        <w:tc>
          <w:tcPr>
            <w:tcW w:w="5350" w:type="dxa"/>
            <w:shd w:val="clear" w:color="auto" w:fill="C6D9F1" w:themeFill="text2" w:themeFillTint="33"/>
          </w:tcPr>
          <w:p w14:paraId="15BF4C5E" w14:textId="2A6158C1" w:rsidR="00D814FA" w:rsidRPr="00167BCF" w:rsidRDefault="05D42B03" w:rsidP="0B8A440C">
            <w:pPr>
              <w:rPr>
                <w:b/>
                <w:bCs/>
                <w:sz w:val="24"/>
                <w:szCs w:val="24"/>
              </w:rPr>
            </w:pPr>
            <w:r w:rsidRPr="0B8A440C">
              <w:rPr>
                <w:b/>
                <w:bCs/>
                <w:sz w:val="24"/>
                <w:szCs w:val="24"/>
              </w:rPr>
              <w:lastRenderedPageBreak/>
              <w:t>Examples</w:t>
            </w:r>
            <w:r w:rsidR="3F417018" w:rsidRPr="0B8A440C">
              <w:rPr>
                <w:b/>
                <w:bCs/>
                <w:sz w:val="24"/>
                <w:szCs w:val="24"/>
              </w:rPr>
              <w:t xml:space="preserve"> of Required Use of Funds </w:t>
            </w:r>
          </w:p>
        </w:tc>
        <w:tc>
          <w:tcPr>
            <w:tcW w:w="1575" w:type="dxa"/>
            <w:shd w:val="clear" w:color="auto" w:fill="C6D9F1" w:themeFill="text2" w:themeFillTint="33"/>
          </w:tcPr>
          <w:p w14:paraId="66E17C40" w14:textId="0D38C79C" w:rsidR="00D814FA" w:rsidRPr="00167BCF" w:rsidRDefault="05D42B03" w:rsidP="0B8A440C">
            <w:pPr>
              <w:rPr>
                <w:rFonts w:asciiTheme="minorHAnsi" w:eastAsiaTheme="minorEastAsia" w:hAnsiTheme="minorHAnsi" w:cstheme="minorBidi"/>
                <w:b/>
                <w:bCs/>
                <w:sz w:val="16"/>
                <w:szCs w:val="16"/>
              </w:rPr>
            </w:pPr>
            <w:r w:rsidRPr="0B8A440C">
              <w:rPr>
                <w:rFonts w:asciiTheme="minorHAnsi" w:eastAsiaTheme="minorEastAsia" w:hAnsiTheme="minorHAnsi" w:cstheme="minorBidi"/>
                <w:b/>
                <w:bCs/>
                <w:sz w:val="16"/>
                <w:szCs w:val="16"/>
              </w:rPr>
              <w:t>1. Offering students career exploration and career development activities</w:t>
            </w:r>
          </w:p>
        </w:tc>
        <w:tc>
          <w:tcPr>
            <w:tcW w:w="1501" w:type="dxa"/>
            <w:shd w:val="clear" w:color="auto" w:fill="C6D9F1" w:themeFill="text2" w:themeFillTint="33"/>
          </w:tcPr>
          <w:p w14:paraId="2A30A8FC" w14:textId="77777777" w:rsidR="00D814FA" w:rsidRDefault="05D42B03" w:rsidP="0B8A440C">
            <w:pPr>
              <w:rPr>
                <w:rFonts w:asciiTheme="minorHAnsi" w:eastAsiaTheme="minorEastAsia" w:hAnsiTheme="minorHAnsi" w:cstheme="minorBidi"/>
                <w:b/>
                <w:bCs/>
                <w:sz w:val="16"/>
                <w:szCs w:val="16"/>
              </w:rPr>
            </w:pPr>
            <w:r w:rsidRPr="0B8A440C">
              <w:rPr>
                <w:rFonts w:asciiTheme="minorHAnsi" w:eastAsiaTheme="minorEastAsia" w:hAnsiTheme="minorHAnsi" w:cstheme="minorBidi"/>
                <w:b/>
                <w:bCs/>
                <w:sz w:val="16"/>
                <w:szCs w:val="16"/>
              </w:rPr>
              <w:t>2. Providing instructors professional development</w:t>
            </w:r>
          </w:p>
          <w:p w14:paraId="1BC19E9E" w14:textId="77777777" w:rsidR="00D814FA" w:rsidRPr="6E667898" w:rsidRDefault="00D814FA" w:rsidP="0B8A440C">
            <w:pPr>
              <w:rPr>
                <w:rFonts w:eastAsiaTheme="minorEastAsia"/>
                <w:b/>
                <w:bCs/>
                <w:sz w:val="16"/>
                <w:szCs w:val="16"/>
              </w:rPr>
            </w:pPr>
          </w:p>
        </w:tc>
        <w:tc>
          <w:tcPr>
            <w:tcW w:w="1333" w:type="dxa"/>
            <w:shd w:val="clear" w:color="auto" w:fill="C6D9F1" w:themeFill="text2" w:themeFillTint="33"/>
          </w:tcPr>
          <w:p w14:paraId="5DBF31A8" w14:textId="4211BF1B" w:rsidR="00D814FA" w:rsidRPr="00AA1274" w:rsidRDefault="05D42B03" w:rsidP="0B8A440C">
            <w:pPr>
              <w:rPr>
                <w:rFonts w:asciiTheme="minorHAnsi" w:eastAsiaTheme="minorEastAsia" w:hAnsiTheme="minorHAnsi" w:cstheme="minorBidi"/>
                <w:b/>
                <w:bCs/>
                <w:color w:val="000000" w:themeColor="text1"/>
                <w:sz w:val="16"/>
                <w:szCs w:val="16"/>
              </w:rPr>
            </w:pPr>
            <w:r w:rsidRPr="0B8A440C">
              <w:rPr>
                <w:rFonts w:asciiTheme="minorHAnsi" w:eastAsiaTheme="minorEastAsia" w:hAnsiTheme="minorHAnsi" w:cstheme="minorBidi"/>
                <w:b/>
                <w:bCs/>
                <w:sz w:val="16"/>
                <w:szCs w:val="16"/>
              </w:rPr>
              <w:t xml:space="preserve">3. Building the skills students need to pursue careers in high skill, </w:t>
            </w:r>
            <w:r w:rsidR="5390E055" w:rsidRPr="0B8A440C">
              <w:rPr>
                <w:rFonts w:asciiTheme="minorHAnsi" w:eastAsiaTheme="minorEastAsia" w:hAnsiTheme="minorHAnsi" w:cstheme="minorBidi"/>
                <w:b/>
                <w:bCs/>
                <w:sz w:val="16"/>
                <w:szCs w:val="16"/>
              </w:rPr>
              <w:t>wage,</w:t>
            </w:r>
            <w:r w:rsidRPr="0B8A440C">
              <w:rPr>
                <w:rFonts w:asciiTheme="minorHAnsi" w:eastAsiaTheme="minorEastAsia" w:hAnsiTheme="minorHAnsi" w:cstheme="minorBidi"/>
                <w:b/>
                <w:bCs/>
                <w:sz w:val="16"/>
                <w:szCs w:val="16"/>
              </w:rPr>
              <w:t xml:space="preserve"> or in-demand industries</w:t>
            </w:r>
          </w:p>
        </w:tc>
        <w:tc>
          <w:tcPr>
            <w:tcW w:w="1509" w:type="dxa"/>
            <w:shd w:val="clear" w:color="auto" w:fill="C6D9F1" w:themeFill="text2" w:themeFillTint="33"/>
          </w:tcPr>
          <w:p w14:paraId="41A83BB6" w14:textId="77777777" w:rsidR="00D814FA" w:rsidRDefault="05D42B03" w:rsidP="0B8A440C">
            <w:pPr>
              <w:rPr>
                <w:rFonts w:asciiTheme="minorHAnsi" w:eastAsiaTheme="minorEastAsia" w:hAnsiTheme="minorHAnsi" w:cstheme="minorBidi"/>
                <w:b/>
                <w:bCs/>
                <w:color w:val="000000" w:themeColor="text1"/>
                <w:sz w:val="16"/>
                <w:szCs w:val="16"/>
              </w:rPr>
            </w:pPr>
            <w:r w:rsidRPr="0B8A440C">
              <w:rPr>
                <w:rFonts w:asciiTheme="minorHAnsi" w:eastAsiaTheme="minorEastAsia" w:hAnsiTheme="minorHAnsi" w:cstheme="minorBidi"/>
                <w:b/>
                <w:bCs/>
                <w:sz w:val="16"/>
                <w:szCs w:val="16"/>
              </w:rPr>
              <w:t>4. Supporting integration of academic skills into CTE programs and programs of study</w:t>
            </w:r>
          </w:p>
          <w:p w14:paraId="7809EFB6" w14:textId="77777777" w:rsidR="00D814FA" w:rsidRPr="6E667898" w:rsidRDefault="00D814FA" w:rsidP="0B8A440C">
            <w:pPr>
              <w:rPr>
                <w:rFonts w:eastAsiaTheme="minorEastAsia"/>
                <w:b/>
                <w:bCs/>
                <w:sz w:val="16"/>
                <w:szCs w:val="16"/>
              </w:rPr>
            </w:pPr>
          </w:p>
        </w:tc>
        <w:tc>
          <w:tcPr>
            <w:tcW w:w="1608" w:type="dxa"/>
            <w:shd w:val="clear" w:color="auto" w:fill="C6D9F1" w:themeFill="text2" w:themeFillTint="33"/>
          </w:tcPr>
          <w:p w14:paraId="153AFBFE" w14:textId="4E7FE55C" w:rsidR="00D814FA" w:rsidRPr="00AA1274" w:rsidRDefault="05D42B03" w:rsidP="0B8A440C">
            <w:pPr>
              <w:rPr>
                <w:rFonts w:asciiTheme="minorHAnsi" w:eastAsiaTheme="minorEastAsia" w:hAnsiTheme="minorHAnsi" w:cstheme="minorBidi"/>
                <w:b/>
                <w:bCs/>
                <w:sz w:val="16"/>
                <w:szCs w:val="16"/>
              </w:rPr>
            </w:pPr>
            <w:r w:rsidRPr="0B8A440C">
              <w:rPr>
                <w:rFonts w:asciiTheme="minorHAnsi" w:eastAsiaTheme="minorEastAsia" w:hAnsiTheme="minorHAnsi" w:cstheme="minorBidi"/>
                <w:b/>
                <w:bCs/>
                <w:sz w:val="16"/>
                <w:szCs w:val="16"/>
              </w:rPr>
              <w:t>5. Planning and carrying out elements supporting implementation of CTE programs and programs of study that increase student achievement</w:t>
            </w:r>
          </w:p>
        </w:tc>
        <w:tc>
          <w:tcPr>
            <w:tcW w:w="1429" w:type="dxa"/>
            <w:shd w:val="clear" w:color="auto" w:fill="C6D9F1" w:themeFill="text2" w:themeFillTint="33"/>
          </w:tcPr>
          <w:p w14:paraId="33D0357F" w14:textId="77777777" w:rsidR="00D814FA" w:rsidRDefault="05D42B03" w:rsidP="0B8A440C">
            <w:pPr>
              <w:rPr>
                <w:rFonts w:asciiTheme="minorHAnsi" w:eastAsiaTheme="minorEastAsia" w:hAnsiTheme="minorHAnsi" w:cstheme="minorBidi"/>
                <w:b/>
                <w:bCs/>
                <w:sz w:val="16"/>
                <w:szCs w:val="16"/>
              </w:rPr>
            </w:pPr>
            <w:r w:rsidRPr="0B8A440C">
              <w:rPr>
                <w:rFonts w:asciiTheme="minorHAnsi" w:eastAsiaTheme="minorEastAsia" w:hAnsiTheme="minorHAnsi" w:cstheme="minorBidi"/>
                <w:b/>
                <w:bCs/>
                <w:sz w:val="16"/>
                <w:szCs w:val="16"/>
              </w:rPr>
              <w:t>6. Developing and Implementing evaluations of Perkins-funded activities</w:t>
            </w:r>
          </w:p>
          <w:p w14:paraId="55933D9D" w14:textId="77777777" w:rsidR="00D814FA" w:rsidRPr="6E667898" w:rsidRDefault="00D814FA" w:rsidP="0B8A440C">
            <w:pPr>
              <w:rPr>
                <w:rFonts w:eastAsiaTheme="minorEastAsia"/>
                <w:b/>
                <w:bCs/>
                <w:sz w:val="16"/>
                <w:szCs w:val="16"/>
              </w:rPr>
            </w:pPr>
          </w:p>
        </w:tc>
      </w:tr>
      <w:tr w:rsidR="00801B85" w14:paraId="23FC97A2" w14:textId="7706FCD8" w:rsidTr="0B8A440C">
        <w:trPr>
          <w:trHeight w:val="1470"/>
        </w:trPr>
        <w:tc>
          <w:tcPr>
            <w:tcW w:w="5350" w:type="dxa"/>
          </w:tcPr>
          <w:p w14:paraId="0E45627C" w14:textId="498C68E8" w:rsidR="004D2828" w:rsidRPr="000B338D" w:rsidRDefault="7FB0422B" w:rsidP="0B8A440C">
            <w:pPr>
              <w:rPr>
                <w:rFonts w:cs="Calibri"/>
              </w:rPr>
            </w:pPr>
            <w:r w:rsidRPr="0B8A440C">
              <w:rPr>
                <w:rFonts w:cs="Calibri"/>
              </w:rPr>
              <w:t>Introductory courses or activities focused on career exploration and career awareness, including non-traditional fields</w:t>
            </w:r>
          </w:p>
        </w:tc>
        <w:tc>
          <w:tcPr>
            <w:tcW w:w="1575" w:type="dxa"/>
            <w:shd w:val="clear" w:color="auto" w:fill="9BBB59" w:themeFill="accent3"/>
          </w:tcPr>
          <w:p w14:paraId="16DFD50A" w14:textId="5F150E78" w:rsidR="004D2828" w:rsidRPr="00763F63" w:rsidRDefault="7FB0422B" w:rsidP="0B8A440C">
            <w:pPr>
              <w:pStyle w:val="ListParagraph"/>
              <w:ind w:left="0"/>
              <w:rPr>
                <w:rFonts w:cstheme="minorBidi"/>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tcPr>
          <w:p w14:paraId="152CA6B8" w14:textId="696A9806" w:rsidR="004D2828" w:rsidRPr="00763F63" w:rsidRDefault="7FB0422B"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tc>
        <w:tc>
          <w:tcPr>
            <w:tcW w:w="1333" w:type="dxa"/>
            <w:shd w:val="clear" w:color="auto" w:fill="9BBB59" w:themeFill="accent3"/>
          </w:tcPr>
          <w:p w14:paraId="48F2DD58" w14:textId="73CC27F3" w:rsidR="004D2828" w:rsidRPr="00763F63" w:rsidRDefault="7FB0422B"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tc>
        <w:tc>
          <w:tcPr>
            <w:tcW w:w="1509" w:type="dxa"/>
          </w:tcPr>
          <w:p w14:paraId="4C5C8F0D" w14:textId="4DEA7417" w:rsidR="004D2828" w:rsidRPr="00763F63" w:rsidRDefault="7FB0422B"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tc>
        <w:tc>
          <w:tcPr>
            <w:tcW w:w="1608" w:type="dxa"/>
          </w:tcPr>
          <w:p w14:paraId="753DECA6" w14:textId="36CBC08C" w:rsidR="004D2828" w:rsidRPr="00763F63" w:rsidRDefault="7FB0422B"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tc>
        <w:tc>
          <w:tcPr>
            <w:tcW w:w="1429" w:type="dxa"/>
          </w:tcPr>
          <w:p w14:paraId="621EE4E6" w14:textId="605C06AD" w:rsidR="004D2828" w:rsidRPr="00763F63" w:rsidRDefault="7FB0422B"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tc>
      </w:tr>
      <w:tr w:rsidR="00627CC7" w14:paraId="3B2E8192" w14:textId="427AE521" w:rsidTr="0B8A440C">
        <w:trPr>
          <w:trHeight w:val="1695"/>
        </w:trPr>
        <w:tc>
          <w:tcPr>
            <w:tcW w:w="5350" w:type="dxa"/>
          </w:tcPr>
          <w:p w14:paraId="37EEFC7D" w14:textId="3F39A6CB" w:rsidR="004D2828" w:rsidRDefault="7FB0422B" w:rsidP="0B8A440C">
            <w:pPr>
              <w:rPr>
                <w:rFonts w:cs="Calibri"/>
              </w:rPr>
            </w:pPr>
            <w:r w:rsidRPr="0B8A440C">
              <w:rPr>
                <w:rFonts w:cs="Calibri"/>
              </w:rPr>
              <w:t>Readily available career and labor market information, including information on—</w:t>
            </w:r>
          </w:p>
          <w:p w14:paraId="357C617F" w14:textId="0CD4AA07" w:rsidR="004D2828" w:rsidRDefault="7FB0422B" w:rsidP="00C250EF">
            <w:pPr>
              <w:pStyle w:val="ListParagraph"/>
              <w:numPr>
                <w:ilvl w:val="0"/>
                <w:numId w:val="11"/>
              </w:numPr>
              <w:rPr>
                <w:rFonts w:asciiTheme="minorHAnsi" w:eastAsiaTheme="minorEastAsia" w:hAnsiTheme="minorHAnsi" w:cstheme="minorBidi"/>
              </w:rPr>
            </w:pPr>
            <w:r w:rsidRPr="0B8A440C">
              <w:rPr>
                <w:rFonts w:cs="Calibri"/>
                <w:sz w:val="18"/>
                <w:szCs w:val="18"/>
              </w:rPr>
              <w:t xml:space="preserve">occupational supply and </w:t>
            </w:r>
            <w:proofErr w:type="gramStart"/>
            <w:r w:rsidRPr="0B8A440C">
              <w:rPr>
                <w:rFonts w:cs="Calibri"/>
                <w:sz w:val="18"/>
                <w:szCs w:val="18"/>
              </w:rPr>
              <w:t>demand;</w:t>
            </w:r>
            <w:proofErr w:type="gramEnd"/>
          </w:p>
          <w:p w14:paraId="0402BA3E" w14:textId="1D488088" w:rsidR="004D2828" w:rsidRDefault="7FB0422B" w:rsidP="00C250EF">
            <w:pPr>
              <w:pStyle w:val="ListParagraph"/>
              <w:numPr>
                <w:ilvl w:val="0"/>
                <w:numId w:val="11"/>
              </w:numPr>
              <w:rPr>
                <w:rFonts w:asciiTheme="minorHAnsi" w:eastAsiaTheme="minorEastAsia" w:hAnsiTheme="minorHAnsi" w:cstheme="minorBidi"/>
              </w:rPr>
            </w:pPr>
            <w:r w:rsidRPr="0B8A440C">
              <w:rPr>
                <w:rFonts w:cs="Calibri"/>
                <w:sz w:val="18"/>
                <w:szCs w:val="18"/>
              </w:rPr>
              <w:t xml:space="preserve">educational </w:t>
            </w:r>
            <w:proofErr w:type="gramStart"/>
            <w:r w:rsidRPr="0B8A440C">
              <w:rPr>
                <w:rFonts w:cs="Calibri"/>
                <w:sz w:val="18"/>
                <w:szCs w:val="18"/>
              </w:rPr>
              <w:t>requirements;</w:t>
            </w:r>
            <w:proofErr w:type="gramEnd"/>
          </w:p>
          <w:p w14:paraId="7C1C1797" w14:textId="33CC49F6" w:rsidR="004D2828" w:rsidRDefault="7FB0422B" w:rsidP="00C250EF">
            <w:pPr>
              <w:pStyle w:val="ListParagraph"/>
              <w:numPr>
                <w:ilvl w:val="0"/>
                <w:numId w:val="11"/>
              </w:numPr>
              <w:rPr>
                <w:rFonts w:asciiTheme="minorHAnsi" w:eastAsiaTheme="minorEastAsia" w:hAnsiTheme="minorHAnsi" w:cstheme="minorBidi"/>
              </w:rPr>
            </w:pPr>
            <w:r w:rsidRPr="0B8A440C">
              <w:rPr>
                <w:rFonts w:cs="Calibri"/>
                <w:sz w:val="18"/>
                <w:szCs w:val="18"/>
              </w:rPr>
              <w:t>other information on careers aligned to Massachusetts or local economic priorities; and</w:t>
            </w:r>
          </w:p>
          <w:p w14:paraId="47AD930F" w14:textId="6B287F66" w:rsidR="004D2828" w:rsidRDefault="7FB0422B" w:rsidP="00C250EF">
            <w:pPr>
              <w:pStyle w:val="ListParagraph"/>
              <w:numPr>
                <w:ilvl w:val="0"/>
                <w:numId w:val="11"/>
              </w:numPr>
              <w:rPr>
                <w:rFonts w:asciiTheme="minorHAnsi" w:eastAsiaTheme="minorEastAsia" w:hAnsiTheme="minorHAnsi" w:cstheme="minorBidi"/>
              </w:rPr>
            </w:pPr>
            <w:r w:rsidRPr="0B8A440C">
              <w:rPr>
                <w:rFonts w:cs="Calibri"/>
                <w:sz w:val="18"/>
                <w:szCs w:val="18"/>
              </w:rPr>
              <w:t>employment sectors</w:t>
            </w:r>
          </w:p>
        </w:tc>
        <w:tc>
          <w:tcPr>
            <w:tcW w:w="1575" w:type="dxa"/>
            <w:shd w:val="clear" w:color="auto" w:fill="9BBB59" w:themeFill="accent3"/>
          </w:tcPr>
          <w:p w14:paraId="1DCB26FC" w14:textId="79211748" w:rsidR="004D2828" w:rsidRPr="00763F63" w:rsidRDefault="7FB0422B" w:rsidP="0B8A440C">
            <w:pPr>
              <w:rPr>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tcPr>
          <w:p w14:paraId="058714F4" w14:textId="77777777" w:rsidR="004D2828" w:rsidRPr="00763F63" w:rsidRDefault="7FB0422B"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p w14:paraId="75F976D7" w14:textId="77777777" w:rsidR="004D2828" w:rsidRPr="00763F63" w:rsidRDefault="004D2828" w:rsidP="0B8A440C">
            <w:pPr>
              <w:pStyle w:val="ListParagraph"/>
              <w:rPr>
                <w:sz w:val="14"/>
                <w:szCs w:val="14"/>
              </w:rPr>
            </w:pPr>
          </w:p>
        </w:tc>
        <w:tc>
          <w:tcPr>
            <w:tcW w:w="1333" w:type="dxa"/>
            <w:shd w:val="clear" w:color="auto" w:fill="9BBB59" w:themeFill="accent3"/>
          </w:tcPr>
          <w:p w14:paraId="2A3B886B" w14:textId="77777777" w:rsidR="004D2828" w:rsidRPr="00763F63" w:rsidRDefault="7FB0422B"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p w14:paraId="4A9E13CB" w14:textId="1359C579" w:rsidR="004D2828" w:rsidRPr="00763F63" w:rsidRDefault="004D2828" w:rsidP="0B8A440C">
            <w:pPr>
              <w:pStyle w:val="ListParagraph"/>
              <w:rPr>
                <w:rFonts w:cstheme="minorBidi"/>
                <w:sz w:val="14"/>
                <w:szCs w:val="14"/>
              </w:rPr>
            </w:pPr>
          </w:p>
        </w:tc>
        <w:tc>
          <w:tcPr>
            <w:tcW w:w="1509" w:type="dxa"/>
          </w:tcPr>
          <w:p w14:paraId="48ED380E" w14:textId="77777777" w:rsidR="004D2828" w:rsidRPr="00763F63" w:rsidRDefault="7FB0422B"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p w14:paraId="237A685D" w14:textId="77777777" w:rsidR="004D2828" w:rsidRPr="00763F63" w:rsidRDefault="004D2828" w:rsidP="0B8A440C">
            <w:pPr>
              <w:pStyle w:val="ListParagraph"/>
              <w:rPr>
                <w:sz w:val="14"/>
                <w:szCs w:val="14"/>
              </w:rPr>
            </w:pPr>
          </w:p>
        </w:tc>
        <w:tc>
          <w:tcPr>
            <w:tcW w:w="1608" w:type="dxa"/>
          </w:tcPr>
          <w:p w14:paraId="7E29A21D" w14:textId="16A26ED9" w:rsidR="004D2828" w:rsidRPr="00763F63" w:rsidRDefault="7FB0422B"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tc>
        <w:tc>
          <w:tcPr>
            <w:tcW w:w="1429" w:type="dxa"/>
            <w:shd w:val="clear" w:color="auto" w:fill="9BBB59" w:themeFill="accent3"/>
          </w:tcPr>
          <w:p w14:paraId="519994FF" w14:textId="77777777" w:rsidR="004D2828" w:rsidRPr="00763F63" w:rsidRDefault="7FB0422B"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p w14:paraId="7FB4F22F" w14:textId="77777777" w:rsidR="004D2828" w:rsidRPr="00763F63" w:rsidRDefault="004D2828" w:rsidP="0B8A440C">
            <w:pPr>
              <w:pStyle w:val="ListParagraph"/>
              <w:rPr>
                <w:sz w:val="14"/>
                <w:szCs w:val="14"/>
              </w:rPr>
            </w:pPr>
          </w:p>
        </w:tc>
      </w:tr>
      <w:tr w:rsidR="00627CC7" w14:paraId="0F6DF3B6" w14:textId="38A34EF3" w:rsidTr="0B8A440C">
        <w:trPr>
          <w:trHeight w:val="720"/>
        </w:trPr>
        <w:tc>
          <w:tcPr>
            <w:tcW w:w="5350" w:type="dxa"/>
          </w:tcPr>
          <w:p w14:paraId="3F29CC29" w14:textId="17C2E500" w:rsidR="009D2909" w:rsidRDefault="58B74766" w:rsidP="0B8A440C">
            <w:pPr>
              <w:rPr>
                <w:rFonts w:cs="Calibri"/>
              </w:rPr>
            </w:pPr>
            <w:r w:rsidRPr="0B8A440C">
              <w:rPr>
                <w:rFonts w:cs="Calibri"/>
              </w:rPr>
              <w:t>Programs and activities related to the development of student graduation and career plans. Including but not limited to:</w:t>
            </w:r>
          </w:p>
          <w:p w14:paraId="4917DA64" w14:textId="5D7729B3" w:rsidR="009D2909" w:rsidRDefault="57A8C92B" w:rsidP="0B8A440C">
            <w:pPr>
              <w:pStyle w:val="ListParagraph"/>
              <w:numPr>
                <w:ilvl w:val="0"/>
                <w:numId w:val="1"/>
              </w:numPr>
              <w:rPr>
                <w:sz w:val="16"/>
                <w:szCs w:val="16"/>
              </w:rPr>
            </w:pPr>
            <w:r w:rsidRPr="0B8A440C">
              <w:rPr>
                <w:rFonts w:cs="Calibri"/>
                <w:sz w:val="18"/>
                <w:szCs w:val="18"/>
              </w:rPr>
              <w:t>C</w:t>
            </w:r>
            <w:r w:rsidR="28D0D65A" w:rsidRPr="0B8A440C">
              <w:rPr>
                <w:rFonts w:cs="Calibri"/>
                <w:sz w:val="18"/>
                <w:szCs w:val="18"/>
              </w:rPr>
              <w:t>urriculum aligned with the requirements for a program of study</w:t>
            </w:r>
          </w:p>
          <w:p w14:paraId="3685AF60" w14:textId="250E2E8C" w:rsidR="009D2909" w:rsidRDefault="58B74766" w:rsidP="0B8A440C">
            <w:pPr>
              <w:pStyle w:val="ListParagraph"/>
              <w:numPr>
                <w:ilvl w:val="0"/>
                <w:numId w:val="1"/>
              </w:numPr>
              <w:rPr>
                <w:rFonts w:asciiTheme="minorHAnsi" w:eastAsiaTheme="minorEastAsia" w:hAnsiTheme="minorHAnsi" w:cstheme="minorBidi"/>
                <w:sz w:val="18"/>
                <w:szCs w:val="18"/>
              </w:rPr>
            </w:pPr>
            <w:r w:rsidRPr="0B8A440C">
              <w:rPr>
                <w:rFonts w:cs="Calibri"/>
                <w:sz w:val="18"/>
                <w:szCs w:val="18"/>
              </w:rPr>
              <w:t>Providing students with strong experience in, and comprehensive understanding of, all aspects of an industry</w:t>
            </w:r>
          </w:p>
          <w:p w14:paraId="07542D4E" w14:textId="2D3FAF9E" w:rsidR="009D2909" w:rsidRDefault="5BAECABB" w:rsidP="0B8A440C">
            <w:pPr>
              <w:pStyle w:val="ListParagraph"/>
              <w:numPr>
                <w:ilvl w:val="0"/>
                <w:numId w:val="1"/>
              </w:numPr>
              <w:rPr>
                <w:rFonts w:asciiTheme="minorHAnsi" w:eastAsiaTheme="minorEastAsia" w:hAnsiTheme="minorHAnsi" w:cstheme="minorBidi"/>
                <w:sz w:val="18"/>
                <w:szCs w:val="18"/>
              </w:rPr>
            </w:pPr>
            <w:r w:rsidRPr="0B8A440C">
              <w:rPr>
                <w:rFonts w:cs="Calibri"/>
                <w:sz w:val="18"/>
                <w:szCs w:val="18"/>
              </w:rPr>
              <w:t>S</w:t>
            </w:r>
            <w:r w:rsidR="5DB7BE4B" w:rsidRPr="0B8A440C">
              <w:rPr>
                <w:rFonts w:cs="Calibri"/>
                <w:sz w:val="18"/>
                <w:szCs w:val="18"/>
              </w:rPr>
              <w:t>upporting the integration of employability skills into career and technical education programs and programs of study, including through family and consumer science programs</w:t>
            </w:r>
          </w:p>
          <w:p w14:paraId="4C0C20E6" w14:textId="33987DD3" w:rsidR="009D2909" w:rsidRDefault="13A5D672" w:rsidP="0B8A440C">
            <w:pPr>
              <w:pStyle w:val="ListParagraph"/>
              <w:numPr>
                <w:ilvl w:val="0"/>
                <w:numId w:val="1"/>
              </w:numPr>
              <w:rPr>
                <w:rFonts w:asciiTheme="minorHAnsi" w:eastAsiaTheme="minorEastAsia" w:hAnsiTheme="minorHAnsi" w:cstheme="minorBidi"/>
                <w:sz w:val="18"/>
                <w:szCs w:val="18"/>
              </w:rPr>
            </w:pPr>
            <w:r w:rsidRPr="0B8A440C">
              <w:rPr>
                <w:rFonts w:cs="Calibri"/>
                <w:sz w:val="18"/>
                <w:szCs w:val="18"/>
              </w:rPr>
              <w:t xml:space="preserve">Developing a </w:t>
            </w:r>
            <w:r w:rsidR="28D0D65A" w:rsidRPr="0B8A440C">
              <w:rPr>
                <w:rFonts w:cs="Calibri"/>
                <w:sz w:val="18"/>
                <w:szCs w:val="18"/>
              </w:rPr>
              <w:t>continuum of work-based learning opportunities, including simulated work environments</w:t>
            </w:r>
          </w:p>
          <w:p w14:paraId="0CEA4283" w14:textId="641BCCF4" w:rsidR="009D2909" w:rsidRDefault="13A5D672" w:rsidP="0B8A440C">
            <w:pPr>
              <w:pStyle w:val="ListParagraph"/>
              <w:numPr>
                <w:ilvl w:val="0"/>
                <w:numId w:val="1"/>
              </w:numPr>
              <w:rPr>
                <w:rFonts w:asciiTheme="minorHAnsi" w:eastAsiaTheme="minorEastAsia" w:hAnsiTheme="minorHAnsi" w:cstheme="minorBidi"/>
                <w:sz w:val="18"/>
                <w:szCs w:val="18"/>
              </w:rPr>
            </w:pPr>
            <w:r w:rsidRPr="0B8A440C">
              <w:rPr>
                <w:rFonts w:cs="Calibri"/>
                <w:sz w:val="18"/>
                <w:szCs w:val="18"/>
              </w:rPr>
              <w:t>I</w:t>
            </w:r>
            <w:r w:rsidR="28D0D65A" w:rsidRPr="0B8A440C">
              <w:rPr>
                <w:rFonts w:cs="Calibri"/>
                <w:sz w:val="18"/>
                <w:szCs w:val="18"/>
              </w:rPr>
              <w:t>ndustry-recognized certification examinations or other assessments leading toward a recognized postsecondary credential</w:t>
            </w:r>
          </w:p>
          <w:p w14:paraId="50AFCDC3" w14:textId="30DD50D1" w:rsidR="009D2909" w:rsidRDefault="5BAECABB" w:rsidP="0B8A440C">
            <w:pPr>
              <w:pStyle w:val="ListParagraph"/>
              <w:numPr>
                <w:ilvl w:val="0"/>
                <w:numId w:val="1"/>
              </w:numPr>
              <w:rPr>
                <w:rFonts w:asciiTheme="minorHAnsi" w:eastAsiaTheme="minorEastAsia" w:hAnsiTheme="minorHAnsi" w:cstheme="minorBidi"/>
                <w:sz w:val="18"/>
                <w:szCs w:val="18"/>
              </w:rPr>
            </w:pPr>
            <w:r w:rsidRPr="0B8A440C">
              <w:rPr>
                <w:rFonts w:cs="Calibri"/>
                <w:sz w:val="18"/>
                <w:szCs w:val="18"/>
              </w:rPr>
              <w:t>S</w:t>
            </w:r>
            <w:r w:rsidR="7AD54BA4" w:rsidRPr="0B8A440C">
              <w:rPr>
                <w:rFonts w:cs="Calibri"/>
                <w:sz w:val="18"/>
                <w:szCs w:val="18"/>
              </w:rPr>
              <w:t>upporting the integration of arts and design skills, when appropriate, into career and technical education programs and programs of study</w:t>
            </w:r>
          </w:p>
          <w:p w14:paraId="6164AF0F" w14:textId="46516226" w:rsidR="009D2909" w:rsidRDefault="5BAECABB" w:rsidP="0B8A440C">
            <w:pPr>
              <w:pStyle w:val="ListParagraph"/>
              <w:numPr>
                <w:ilvl w:val="0"/>
                <w:numId w:val="1"/>
              </w:numPr>
              <w:rPr>
                <w:rFonts w:asciiTheme="minorHAnsi" w:eastAsiaTheme="minorEastAsia" w:hAnsiTheme="minorHAnsi" w:cstheme="minorBidi"/>
                <w:sz w:val="18"/>
                <w:szCs w:val="18"/>
              </w:rPr>
            </w:pPr>
            <w:r w:rsidRPr="0B8A440C">
              <w:rPr>
                <w:rFonts w:cs="Calibri"/>
                <w:sz w:val="18"/>
                <w:szCs w:val="18"/>
              </w:rPr>
              <w:t>M</w:t>
            </w:r>
            <w:r w:rsidR="5DB7BE4B" w:rsidRPr="0B8A440C">
              <w:rPr>
                <w:rFonts w:cs="Calibri"/>
                <w:sz w:val="18"/>
                <w:szCs w:val="18"/>
              </w:rPr>
              <w:t>aking all forms of instructional content widely available, which may include use of open educational resources</w:t>
            </w:r>
          </w:p>
          <w:p w14:paraId="5CC0473E" w14:textId="2392AAEF" w:rsidR="009D2909" w:rsidRDefault="2706D496" w:rsidP="0B8A440C">
            <w:pPr>
              <w:pStyle w:val="ListParagraph"/>
              <w:numPr>
                <w:ilvl w:val="0"/>
                <w:numId w:val="1"/>
              </w:numPr>
              <w:rPr>
                <w:rFonts w:asciiTheme="minorHAnsi" w:eastAsiaTheme="minorEastAsia" w:hAnsiTheme="minorHAnsi" w:cstheme="minorBidi"/>
                <w:sz w:val="18"/>
                <w:szCs w:val="18"/>
              </w:rPr>
            </w:pPr>
            <w:r w:rsidRPr="0B8A440C">
              <w:rPr>
                <w:rFonts w:cs="Calibri"/>
                <w:sz w:val="18"/>
                <w:szCs w:val="18"/>
              </w:rPr>
              <w:t>Where appropriate, expanding opportunities for CTE concentrators to participate in accelerated learning programs, including dual or concurrent enrollment programs, early college high schools, and the development or implementation of articulation agreements as part of a career and technical education program of study</w:t>
            </w:r>
          </w:p>
          <w:p w14:paraId="4BB69E7A" w14:textId="053DC5A6" w:rsidR="0B8A440C" w:rsidRDefault="0B8A440C" w:rsidP="0B8A440C">
            <w:pPr>
              <w:pStyle w:val="ListParagraph"/>
              <w:numPr>
                <w:ilvl w:val="0"/>
                <w:numId w:val="1"/>
              </w:numPr>
              <w:rPr>
                <w:rFonts w:asciiTheme="minorHAnsi" w:eastAsiaTheme="minorEastAsia" w:hAnsiTheme="minorHAnsi" w:cstheme="minorBidi"/>
                <w:sz w:val="18"/>
                <w:szCs w:val="18"/>
              </w:rPr>
            </w:pPr>
            <w:r w:rsidRPr="0B8A440C">
              <w:rPr>
                <w:rFonts w:cs="Calibri"/>
                <w:sz w:val="18"/>
                <w:szCs w:val="18"/>
              </w:rPr>
              <w:lastRenderedPageBreak/>
              <w:t>Advance knowledge of career opportunities and assists students in making informed decisions about future education and employment goals, including non-traditional fields</w:t>
            </w:r>
          </w:p>
          <w:p w14:paraId="7717E2BB" w14:textId="3C151496" w:rsidR="009D2909" w:rsidRDefault="2706D496" w:rsidP="0B8A440C">
            <w:pPr>
              <w:pStyle w:val="ListParagraph"/>
              <w:numPr>
                <w:ilvl w:val="0"/>
                <w:numId w:val="1"/>
              </w:numPr>
              <w:rPr>
                <w:rFonts w:asciiTheme="minorHAnsi" w:eastAsiaTheme="minorEastAsia" w:hAnsiTheme="minorHAnsi" w:cstheme="minorBidi"/>
                <w:sz w:val="18"/>
                <w:szCs w:val="18"/>
              </w:rPr>
            </w:pPr>
            <w:r w:rsidRPr="0B8A440C">
              <w:rPr>
                <w:rFonts w:cs="Calibri"/>
                <w:sz w:val="18"/>
                <w:szCs w:val="18"/>
              </w:rPr>
              <w:t>Appropriate equipment, technology, and instructional materials (including support for library resources) aligned with business and industry needs, including machinery, testing equipment, tools, implements, hardware and software, and other new and emerging instructional materials</w:t>
            </w:r>
          </w:p>
        </w:tc>
        <w:tc>
          <w:tcPr>
            <w:tcW w:w="1575" w:type="dxa"/>
            <w:shd w:val="clear" w:color="auto" w:fill="9BBB59" w:themeFill="accent3"/>
          </w:tcPr>
          <w:p w14:paraId="636A7FB7" w14:textId="5D308DB0" w:rsidR="009D2909" w:rsidRPr="00763F63" w:rsidRDefault="58B74766" w:rsidP="0B8A440C">
            <w:pPr>
              <w:pStyle w:val="ListParagraph"/>
              <w:ind w:left="0"/>
              <w:rPr>
                <w:rFonts w:cstheme="minorBidi"/>
                <w:sz w:val="14"/>
                <w:szCs w:val="14"/>
              </w:rPr>
            </w:pPr>
            <w:r w:rsidRPr="0B8A440C">
              <w:rPr>
                <w:rFonts w:asciiTheme="minorHAnsi" w:eastAsiaTheme="minorEastAsia" w:hAnsiTheme="minorHAnsi" w:cstheme="minorBidi"/>
                <w:sz w:val="14"/>
                <w:szCs w:val="14"/>
              </w:rPr>
              <w:lastRenderedPageBreak/>
              <w:t>1. Offering students career exploration and career development activities</w:t>
            </w:r>
          </w:p>
        </w:tc>
        <w:tc>
          <w:tcPr>
            <w:tcW w:w="1501" w:type="dxa"/>
          </w:tcPr>
          <w:p w14:paraId="2AB87E8B" w14:textId="77777777" w:rsidR="009D2909" w:rsidRPr="00763F63" w:rsidRDefault="58B74766"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p w14:paraId="50691FE4" w14:textId="77777777" w:rsidR="009D2909" w:rsidRPr="00763F63" w:rsidRDefault="009D2909" w:rsidP="0B8A440C">
            <w:pPr>
              <w:pStyle w:val="ListParagraph"/>
              <w:rPr>
                <w:sz w:val="14"/>
                <w:szCs w:val="14"/>
              </w:rPr>
            </w:pPr>
          </w:p>
        </w:tc>
        <w:tc>
          <w:tcPr>
            <w:tcW w:w="1333" w:type="dxa"/>
            <w:shd w:val="clear" w:color="auto" w:fill="9BBB59" w:themeFill="accent3"/>
          </w:tcPr>
          <w:p w14:paraId="02DB59AA" w14:textId="77777777" w:rsidR="009D2909" w:rsidRPr="00763F63" w:rsidRDefault="58B74766"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p w14:paraId="138CDACF" w14:textId="6FDB701E" w:rsidR="009D2909" w:rsidRPr="00763F63" w:rsidRDefault="009D2909" w:rsidP="0B8A440C">
            <w:pPr>
              <w:pStyle w:val="ListParagraph"/>
              <w:rPr>
                <w:rFonts w:cstheme="minorBidi"/>
                <w:sz w:val="14"/>
                <w:szCs w:val="14"/>
              </w:rPr>
            </w:pPr>
          </w:p>
        </w:tc>
        <w:tc>
          <w:tcPr>
            <w:tcW w:w="1509" w:type="dxa"/>
            <w:shd w:val="clear" w:color="auto" w:fill="9BBB59" w:themeFill="accent3"/>
          </w:tcPr>
          <w:p w14:paraId="340B86F5" w14:textId="77777777" w:rsidR="009D2909" w:rsidRPr="00763F63" w:rsidRDefault="58B74766"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p w14:paraId="062A39C2" w14:textId="77777777" w:rsidR="009D2909" w:rsidRPr="00763F63" w:rsidRDefault="009D2909" w:rsidP="0B8A440C">
            <w:pPr>
              <w:pStyle w:val="ListParagraph"/>
              <w:rPr>
                <w:sz w:val="14"/>
                <w:szCs w:val="14"/>
              </w:rPr>
            </w:pPr>
          </w:p>
        </w:tc>
        <w:tc>
          <w:tcPr>
            <w:tcW w:w="1608" w:type="dxa"/>
            <w:shd w:val="clear" w:color="auto" w:fill="9BBB59" w:themeFill="accent3"/>
          </w:tcPr>
          <w:p w14:paraId="39452153" w14:textId="77777777" w:rsidR="009D2909" w:rsidRPr="00763F63" w:rsidRDefault="58B74766"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p w14:paraId="1604CFFA" w14:textId="77777777" w:rsidR="009D2909" w:rsidRPr="00763F63" w:rsidRDefault="009D2909" w:rsidP="0B8A440C">
            <w:pPr>
              <w:pStyle w:val="ListParagraph"/>
              <w:rPr>
                <w:sz w:val="14"/>
                <w:szCs w:val="14"/>
              </w:rPr>
            </w:pPr>
          </w:p>
        </w:tc>
        <w:tc>
          <w:tcPr>
            <w:tcW w:w="1429" w:type="dxa"/>
            <w:shd w:val="clear" w:color="auto" w:fill="9BBB59" w:themeFill="accent3"/>
          </w:tcPr>
          <w:p w14:paraId="2C1C4019" w14:textId="77777777" w:rsidR="009D2909" w:rsidRPr="00763F63" w:rsidRDefault="58B74766"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p w14:paraId="6C188D60" w14:textId="77777777" w:rsidR="009D2909" w:rsidRPr="00763F63" w:rsidRDefault="009D2909" w:rsidP="0B8A440C">
            <w:pPr>
              <w:pStyle w:val="ListParagraph"/>
              <w:rPr>
                <w:sz w:val="14"/>
                <w:szCs w:val="14"/>
              </w:rPr>
            </w:pPr>
          </w:p>
        </w:tc>
      </w:tr>
      <w:tr w:rsidR="00627CC7" w14:paraId="7CD12883" w14:textId="691C6BB7" w:rsidTr="0B8A440C">
        <w:trPr>
          <w:trHeight w:val="620"/>
        </w:trPr>
        <w:tc>
          <w:tcPr>
            <w:tcW w:w="5350" w:type="dxa"/>
          </w:tcPr>
          <w:p w14:paraId="140B4776" w14:textId="06AF3C47" w:rsidR="009D2909" w:rsidRDefault="58B74766" w:rsidP="0B8A440C">
            <w:pPr>
              <w:rPr>
                <w:rFonts w:cs="Calibri"/>
              </w:rPr>
            </w:pPr>
            <w:r w:rsidRPr="0B8A440C">
              <w:rPr>
                <w:rFonts w:cs="Calibri"/>
              </w:rPr>
              <w:t>Career guidance and academic counseling</w:t>
            </w:r>
          </w:p>
          <w:p w14:paraId="1FC8DA8B" w14:textId="5535BFC8" w:rsidR="009D2909" w:rsidRDefault="58B74766" w:rsidP="0B8A440C">
            <w:pPr>
              <w:pStyle w:val="ListParagraph"/>
              <w:numPr>
                <w:ilvl w:val="0"/>
                <w:numId w:val="2"/>
              </w:numPr>
              <w:rPr>
                <w:rFonts w:asciiTheme="minorHAnsi" w:eastAsiaTheme="minorEastAsia" w:hAnsiTheme="minorHAnsi" w:cstheme="minorBidi"/>
              </w:rPr>
            </w:pPr>
            <w:r w:rsidRPr="0B8A440C">
              <w:rPr>
                <w:rFonts w:cs="Calibri"/>
                <w:sz w:val="18"/>
                <w:szCs w:val="18"/>
              </w:rPr>
              <w:t>Staff that provide information on postsecondary education and career options</w:t>
            </w:r>
          </w:p>
          <w:p w14:paraId="3CA2FDAB" w14:textId="6D68F75F" w:rsidR="009D2909" w:rsidRDefault="5BAECABB" w:rsidP="0B8A440C">
            <w:pPr>
              <w:pStyle w:val="ListParagraph"/>
              <w:numPr>
                <w:ilvl w:val="0"/>
                <w:numId w:val="2"/>
              </w:numPr>
              <w:rPr>
                <w:rFonts w:asciiTheme="minorHAnsi" w:eastAsiaTheme="minorEastAsia" w:hAnsiTheme="minorHAnsi" w:cstheme="minorBidi"/>
              </w:rPr>
            </w:pPr>
            <w:r w:rsidRPr="0B8A440C">
              <w:rPr>
                <w:rFonts w:cs="Calibri"/>
                <w:sz w:val="18"/>
                <w:szCs w:val="18"/>
              </w:rPr>
              <w:t>Activities for I</w:t>
            </w:r>
            <w:r w:rsidR="28D0D65A" w:rsidRPr="0B8A440C">
              <w:rPr>
                <w:rFonts w:cs="Calibri"/>
                <w:sz w:val="18"/>
                <w:szCs w:val="18"/>
              </w:rPr>
              <w:t>mproving career guidance and academic counseling programs that assist students in making informed academic and career and technical education decisions, including academic and financial aid counselin</w:t>
            </w:r>
            <w:r w:rsidR="28D0D65A" w:rsidRPr="0B8A440C">
              <w:rPr>
                <w:rFonts w:cs="Calibri"/>
              </w:rPr>
              <w:t>g</w:t>
            </w:r>
          </w:p>
        </w:tc>
        <w:tc>
          <w:tcPr>
            <w:tcW w:w="1575" w:type="dxa"/>
            <w:shd w:val="clear" w:color="auto" w:fill="9BBB59" w:themeFill="accent3"/>
          </w:tcPr>
          <w:p w14:paraId="5BF8CFF3" w14:textId="16A99EEC" w:rsidR="009D2909" w:rsidRPr="00763F63" w:rsidRDefault="58B74766" w:rsidP="0B8A440C">
            <w:pPr>
              <w:pStyle w:val="ListParagraph"/>
              <w:ind w:left="0"/>
              <w:rPr>
                <w:rFonts w:cstheme="minorBidi"/>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tcPr>
          <w:p w14:paraId="044271BF" w14:textId="77777777" w:rsidR="009D2909" w:rsidRPr="00763F63" w:rsidRDefault="58B74766"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p w14:paraId="36E230C3" w14:textId="77777777" w:rsidR="009D2909" w:rsidRPr="00763F63" w:rsidRDefault="009D2909" w:rsidP="0B8A440C">
            <w:pPr>
              <w:pStyle w:val="ListParagraph"/>
              <w:rPr>
                <w:sz w:val="14"/>
                <w:szCs w:val="14"/>
              </w:rPr>
            </w:pPr>
          </w:p>
        </w:tc>
        <w:tc>
          <w:tcPr>
            <w:tcW w:w="1333" w:type="dxa"/>
            <w:shd w:val="clear" w:color="auto" w:fill="9BBB59" w:themeFill="accent3"/>
          </w:tcPr>
          <w:p w14:paraId="04124DBC" w14:textId="77777777" w:rsidR="009D2909" w:rsidRPr="00763F63" w:rsidRDefault="58B74766"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p w14:paraId="41C29A1E" w14:textId="01F1DE1A" w:rsidR="009D2909" w:rsidRPr="00763F63" w:rsidRDefault="009D2909" w:rsidP="0B8A440C">
            <w:pPr>
              <w:pStyle w:val="ListParagraph"/>
              <w:rPr>
                <w:rFonts w:cstheme="minorBidi"/>
                <w:sz w:val="14"/>
                <w:szCs w:val="14"/>
              </w:rPr>
            </w:pPr>
          </w:p>
        </w:tc>
        <w:tc>
          <w:tcPr>
            <w:tcW w:w="1509" w:type="dxa"/>
            <w:shd w:val="clear" w:color="auto" w:fill="9BBB59" w:themeFill="accent3"/>
          </w:tcPr>
          <w:p w14:paraId="4D3CD241" w14:textId="77777777" w:rsidR="009D2909" w:rsidRPr="00763F63" w:rsidRDefault="58B74766"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p w14:paraId="5569AC73" w14:textId="77777777" w:rsidR="009D2909" w:rsidRPr="00763F63" w:rsidRDefault="009D2909" w:rsidP="0B8A440C">
            <w:pPr>
              <w:pStyle w:val="ListParagraph"/>
              <w:rPr>
                <w:sz w:val="14"/>
                <w:szCs w:val="14"/>
              </w:rPr>
            </w:pPr>
          </w:p>
        </w:tc>
        <w:tc>
          <w:tcPr>
            <w:tcW w:w="1608" w:type="dxa"/>
            <w:shd w:val="clear" w:color="auto" w:fill="9BBB59" w:themeFill="accent3"/>
          </w:tcPr>
          <w:p w14:paraId="315AE0DB" w14:textId="77777777" w:rsidR="009D2909" w:rsidRPr="00763F63" w:rsidRDefault="58B74766"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p w14:paraId="38512C85" w14:textId="77777777" w:rsidR="009D2909" w:rsidRPr="00763F63" w:rsidRDefault="009D2909" w:rsidP="0B8A440C">
            <w:pPr>
              <w:pStyle w:val="ListParagraph"/>
              <w:rPr>
                <w:sz w:val="14"/>
                <w:szCs w:val="14"/>
              </w:rPr>
            </w:pPr>
          </w:p>
        </w:tc>
        <w:tc>
          <w:tcPr>
            <w:tcW w:w="1429" w:type="dxa"/>
          </w:tcPr>
          <w:p w14:paraId="0670F1DA" w14:textId="77777777" w:rsidR="009D2909" w:rsidRPr="00763F63" w:rsidRDefault="58B74766"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p w14:paraId="025D2E77" w14:textId="77777777" w:rsidR="009D2909" w:rsidRPr="00763F63" w:rsidRDefault="009D2909" w:rsidP="0B8A440C">
            <w:pPr>
              <w:pStyle w:val="ListParagraph"/>
              <w:rPr>
                <w:sz w:val="14"/>
                <w:szCs w:val="14"/>
              </w:rPr>
            </w:pPr>
          </w:p>
        </w:tc>
      </w:tr>
      <w:tr w:rsidR="00801B85" w14:paraId="0988D6B6" w14:textId="5173AFD7" w:rsidTr="0B8A440C">
        <w:trPr>
          <w:trHeight w:val="720"/>
        </w:trPr>
        <w:tc>
          <w:tcPr>
            <w:tcW w:w="5350" w:type="dxa"/>
          </w:tcPr>
          <w:p w14:paraId="0D310F74" w14:textId="44BD447C" w:rsidR="009D2909" w:rsidRDefault="58B74766" w:rsidP="0B8A440C">
            <w:pPr>
              <w:rPr>
                <w:rFonts w:cs="Calibri"/>
              </w:rPr>
            </w:pPr>
            <w:r w:rsidRPr="0B8A440C">
              <w:rPr>
                <w:rFonts w:cs="Calibri"/>
              </w:rPr>
              <w:t>Professional development on:</w:t>
            </w:r>
          </w:p>
          <w:p w14:paraId="14DB8830" w14:textId="5027A9A3" w:rsidR="009D2909" w:rsidRDefault="58B74766" w:rsidP="0B8A440C">
            <w:pPr>
              <w:pStyle w:val="ListParagraph"/>
              <w:numPr>
                <w:ilvl w:val="0"/>
                <w:numId w:val="5"/>
              </w:numPr>
              <w:rPr>
                <w:rFonts w:asciiTheme="minorHAnsi" w:eastAsiaTheme="minorEastAsia" w:hAnsiTheme="minorHAnsi" w:cstheme="minorBidi"/>
                <w:sz w:val="18"/>
                <w:szCs w:val="18"/>
              </w:rPr>
            </w:pPr>
            <w:r w:rsidRPr="0B8A440C">
              <w:rPr>
                <w:rFonts w:cs="Calibri"/>
                <w:sz w:val="18"/>
                <w:szCs w:val="18"/>
              </w:rPr>
              <w:t>supporting individualized academic and career and technical education instructional approaches, including the integration of academic and career and technical education standards and curricula</w:t>
            </w:r>
          </w:p>
          <w:p w14:paraId="359212FF" w14:textId="400D6A11" w:rsidR="009D2909" w:rsidRDefault="58B74766" w:rsidP="0B8A440C">
            <w:pPr>
              <w:pStyle w:val="ListParagraph"/>
              <w:numPr>
                <w:ilvl w:val="0"/>
                <w:numId w:val="5"/>
              </w:numPr>
              <w:rPr>
                <w:rFonts w:asciiTheme="minorHAnsi" w:eastAsiaTheme="minorEastAsia" w:hAnsiTheme="minorHAnsi" w:cstheme="minorBidi"/>
                <w:sz w:val="18"/>
                <w:szCs w:val="18"/>
              </w:rPr>
            </w:pPr>
            <w:r w:rsidRPr="0B8A440C">
              <w:rPr>
                <w:rFonts w:cs="Calibri"/>
                <w:sz w:val="18"/>
                <w:szCs w:val="18"/>
              </w:rPr>
              <w:t>ensuring labor market information is used to inform the programs, guidance, and advisement offered to students, including information provided under section 15(e)(2)(C) of the Wagner-</w:t>
            </w:r>
            <w:proofErr w:type="spellStart"/>
            <w:r w:rsidRPr="0B8A440C">
              <w:rPr>
                <w:rFonts w:cs="Calibri"/>
                <w:sz w:val="18"/>
                <w:szCs w:val="18"/>
              </w:rPr>
              <w:t>Peyser</w:t>
            </w:r>
            <w:proofErr w:type="spellEnd"/>
            <w:r w:rsidRPr="0B8A440C">
              <w:rPr>
                <w:rFonts w:cs="Calibri"/>
                <w:sz w:val="18"/>
                <w:szCs w:val="18"/>
              </w:rPr>
              <w:t xml:space="preserve"> Act</w:t>
            </w:r>
          </w:p>
        </w:tc>
        <w:tc>
          <w:tcPr>
            <w:tcW w:w="1575" w:type="dxa"/>
          </w:tcPr>
          <w:p w14:paraId="40AC2C06" w14:textId="42200A6E" w:rsidR="009D2909" w:rsidRPr="00763F63" w:rsidRDefault="58B74766" w:rsidP="0B8A440C">
            <w:pPr>
              <w:pStyle w:val="ListParagraph"/>
              <w:ind w:left="0"/>
              <w:rPr>
                <w:rFonts w:cstheme="minorBidi"/>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shd w:val="clear" w:color="auto" w:fill="9BBB59" w:themeFill="accent3"/>
          </w:tcPr>
          <w:p w14:paraId="623CE48B" w14:textId="77777777" w:rsidR="009D2909" w:rsidRPr="00763F63" w:rsidRDefault="58B74766"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p w14:paraId="21F2AF56" w14:textId="77777777" w:rsidR="009D2909" w:rsidRPr="00763F63" w:rsidRDefault="009D2909" w:rsidP="0B8A440C">
            <w:pPr>
              <w:pStyle w:val="ListParagraph"/>
              <w:rPr>
                <w:sz w:val="14"/>
                <w:szCs w:val="14"/>
              </w:rPr>
            </w:pPr>
          </w:p>
        </w:tc>
        <w:tc>
          <w:tcPr>
            <w:tcW w:w="1333" w:type="dxa"/>
            <w:shd w:val="clear" w:color="auto" w:fill="9BBB59" w:themeFill="accent3"/>
          </w:tcPr>
          <w:p w14:paraId="55188661" w14:textId="77777777" w:rsidR="009D2909" w:rsidRPr="00763F63" w:rsidRDefault="58B74766"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p w14:paraId="44E2ADB1" w14:textId="4E049C72" w:rsidR="009D2909" w:rsidRPr="00763F63" w:rsidRDefault="009D2909" w:rsidP="0B8A440C">
            <w:pPr>
              <w:pStyle w:val="ListParagraph"/>
              <w:rPr>
                <w:rFonts w:cstheme="minorBidi"/>
                <w:sz w:val="14"/>
                <w:szCs w:val="14"/>
              </w:rPr>
            </w:pPr>
          </w:p>
        </w:tc>
        <w:tc>
          <w:tcPr>
            <w:tcW w:w="1509" w:type="dxa"/>
            <w:shd w:val="clear" w:color="auto" w:fill="9BBB59" w:themeFill="accent3"/>
          </w:tcPr>
          <w:p w14:paraId="28E827EF" w14:textId="77777777" w:rsidR="009D2909" w:rsidRPr="00763F63" w:rsidRDefault="58B74766"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p w14:paraId="31BE733B" w14:textId="77777777" w:rsidR="009D2909" w:rsidRPr="00763F63" w:rsidRDefault="009D2909" w:rsidP="0B8A440C">
            <w:pPr>
              <w:pStyle w:val="ListParagraph"/>
              <w:rPr>
                <w:sz w:val="14"/>
                <w:szCs w:val="14"/>
              </w:rPr>
            </w:pPr>
          </w:p>
        </w:tc>
        <w:tc>
          <w:tcPr>
            <w:tcW w:w="1608" w:type="dxa"/>
            <w:shd w:val="clear" w:color="auto" w:fill="9BBB59" w:themeFill="accent3"/>
          </w:tcPr>
          <w:p w14:paraId="6D50B67E" w14:textId="77777777" w:rsidR="009D2909" w:rsidRPr="00763F63" w:rsidRDefault="58B74766"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p w14:paraId="4AD0AEFF" w14:textId="77777777" w:rsidR="009D2909" w:rsidRPr="00763F63" w:rsidRDefault="009D2909" w:rsidP="0B8A440C">
            <w:pPr>
              <w:pStyle w:val="ListParagraph"/>
              <w:rPr>
                <w:sz w:val="14"/>
                <w:szCs w:val="14"/>
              </w:rPr>
            </w:pPr>
          </w:p>
        </w:tc>
        <w:tc>
          <w:tcPr>
            <w:tcW w:w="1429" w:type="dxa"/>
          </w:tcPr>
          <w:p w14:paraId="4C75E23B" w14:textId="77777777" w:rsidR="009D2909" w:rsidRPr="00763F63" w:rsidRDefault="58B74766"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p w14:paraId="5E2DAA90" w14:textId="77777777" w:rsidR="009D2909" w:rsidRPr="00763F63" w:rsidRDefault="009D2909" w:rsidP="0B8A440C">
            <w:pPr>
              <w:pStyle w:val="ListParagraph"/>
              <w:rPr>
                <w:sz w:val="14"/>
                <w:szCs w:val="14"/>
              </w:rPr>
            </w:pPr>
          </w:p>
        </w:tc>
      </w:tr>
      <w:tr w:rsidR="004B13B7" w14:paraId="2F0B720F" w14:textId="622D0C7D" w:rsidTr="0B8A440C">
        <w:trPr>
          <w:trHeight w:val="1610"/>
        </w:trPr>
        <w:tc>
          <w:tcPr>
            <w:tcW w:w="5350" w:type="dxa"/>
          </w:tcPr>
          <w:p w14:paraId="660BEE4A" w14:textId="7D16C807" w:rsidR="00801B85" w:rsidRDefault="5B9CE2BF" w:rsidP="0B8A440C">
            <w:pPr>
              <w:rPr>
                <w:rFonts w:cs="Calibri"/>
              </w:rPr>
            </w:pPr>
            <w:r w:rsidRPr="0B8A440C">
              <w:rPr>
                <w:rFonts w:cs="Calibri"/>
              </w:rPr>
              <w:t>Providing teachers, faculty, school leaders, administrators, specialized instructional support personnel, career guidance and academic counselors, or paraprofessionals, as appropriate, with opportunities to advance knowledge, skills, and understanding of:</w:t>
            </w:r>
          </w:p>
          <w:p w14:paraId="20718032" w14:textId="422B8740" w:rsidR="00801B85" w:rsidRDefault="5B9CE2BF" w:rsidP="0B8A440C">
            <w:pPr>
              <w:pStyle w:val="ListParagraph"/>
              <w:numPr>
                <w:ilvl w:val="0"/>
                <w:numId w:val="3"/>
              </w:numPr>
              <w:rPr>
                <w:rFonts w:asciiTheme="minorHAnsi" w:eastAsiaTheme="minorEastAsia" w:hAnsiTheme="minorHAnsi" w:cstheme="minorBidi"/>
                <w:sz w:val="18"/>
                <w:szCs w:val="18"/>
              </w:rPr>
            </w:pPr>
            <w:r w:rsidRPr="0B8A440C">
              <w:rPr>
                <w:rFonts w:cs="Calibri"/>
                <w:sz w:val="18"/>
                <w:szCs w:val="18"/>
              </w:rPr>
              <w:t>all aspects of an industry, including the latest workplace equipment, technologies, standards, and credentials</w:t>
            </w:r>
          </w:p>
          <w:p w14:paraId="7A92C1C1" w14:textId="28CCD420" w:rsidR="00801B85" w:rsidRDefault="3A6E9F2E" w:rsidP="0B8A440C">
            <w:pPr>
              <w:pStyle w:val="ListParagraph"/>
              <w:numPr>
                <w:ilvl w:val="0"/>
                <w:numId w:val="3"/>
              </w:numPr>
              <w:rPr>
                <w:rFonts w:asciiTheme="minorHAnsi" w:eastAsiaTheme="minorEastAsia" w:hAnsiTheme="minorHAnsi" w:cstheme="minorBidi"/>
                <w:sz w:val="18"/>
                <w:szCs w:val="18"/>
              </w:rPr>
            </w:pPr>
            <w:r w:rsidRPr="0B8A440C">
              <w:rPr>
                <w:rFonts w:cs="Calibri"/>
                <w:sz w:val="18"/>
                <w:szCs w:val="18"/>
              </w:rPr>
              <w:t>pedagogical practices, including, to the extent the eligible recipient determines that such evidence is reasonably available, evidence-based pedagogical practices</w:t>
            </w:r>
          </w:p>
        </w:tc>
        <w:tc>
          <w:tcPr>
            <w:tcW w:w="1575" w:type="dxa"/>
          </w:tcPr>
          <w:p w14:paraId="26B68235" w14:textId="4FBD40D5" w:rsidR="00801B85" w:rsidRPr="00763F63" w:rsidRDefault="5B9CE2BF" w:rsidP="0B8A440C">
            <w:pPr>
              <w:pStyle w:val="ListParagraph"/>
              <w:ind w:left="0"/>
              <w:rPr>
                <w:rFonts w:cstheme="minorBidi"/>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shd w:val="clear" w:color="auto" w:fill="9BBB59" w:themeFill="accent3"/>
          </w:tcPr>
          <w:p w14:paraId="2A6D1A80" w14:textId="77777777" w:rsidR="00801B85" w:rsidRPr="00763F63" w:rsidRDefault="5B9CE2BF"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p w14:paraId="1CDD151B" w14:textId="77777777" w:rsidR="00801B85" w:rsidRPr="00763F63" w:rsidRDefault="00801B85" w:rsidP="0B8A440C">
            <w:pPr>
              <w:pStyle w:val="ListParagraph"/>
              <w:rPr>
                <w:sz w:val="14"/>
                <w:szCs w:val="14"/>
              </w:rPr>
            </w:pPr>
          </w:p>
        </w:tc>
        <w:tc>
          <w:tcPr>
            <w:tcW w:w="1333" w:type="dxa"/>
            <w:shd w:val="clear" w:color="auto" w:fill="9BBB59" w:themeFill="accent3"/>
          </w:tcPr>
          <w:p w14:paraId="369E624A" w14:textId="77777777" w:rsidR="00801B85" w:rsidRPr="00763F63" w:rsidRDefault="5B9CE2BF"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p w14:paraId="53CDFDFF" w14:textId="2549D780" w:rsidR="00801B85" w:rsidRPr="00763F63" w:rsidRDefault="00801B85" w:rsidP="0B8A440C">
            <w:pPr>
              <w:pStyle w:val="ListParagraph"/>
              <w:rPr>
                <w:rFonts w:cstheme="minorBidi"/>
                <w:sz w:val="14"/>
                <w:szCs w:val="14"/>
              </w:rPr>
            </w:pPr>
          </w:p>
        </w:tc>
        <w:tc>
          <w:tcPr>
            <w:tcW w:w="1509" w:type="dxa"/>
            <w:shd w:val="clear" w:color="auto" w:fill="9BBB59" w:themeFill="accent3"/>
          </w:tcPr>
          <w:p w14:paraId="752D76CA" w14:textId="77777777" w:rsidR="00801B85" w:rsidRPr="00763F63" w:rsidRDefault="5B9CE2BF"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p w14:paraId="5D7A2FE2" w14:textId="77777777" w:rsidR="00801B85" w:rsidRPr="00763F63" w:rsidRDefault="00801B85" w:rsidP="0B8A440C">
            <w:pPr>
              <w:pStyle w:val="ListParagraph"/>
              <w:rPr>
                <w:sz w:val="14"/>
                <w:szCs w:val="14"/>
              </w:rPr>
            </w:pPr>
          </w:p>
        </w:tc>
        <w:tc>
          <w:tcPr>
            <w:tcW w:w="1608" w:type="dxa"/>
            <w:shd w:val="clear" w:color="auto" w:fill="9BBB59" w:themeFill="accent3"/>
          </w:tcPr>
          <w:p w14:paraId="3EAED20D" w14:textId="3640171B" w:rsidR="00801B85" w:rsidRPr="00763F63" w:rsidRDefault="5B9CE2BF"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tc>
        <w:tc>
          <w:tcPr>
            <w:tcW w:w="1429" w:type="dxa"/>
            <w:shd w:val="clear" w:color="auto" w:fill="9BBB59" w:themeFill="accent3"/>
          </w:tcPr>
          <w:p w14:paraId="7DDE0635" w14:textId="77777777" w:rsidR="00801B85" w:rsidRPr="00763F63" w:rsidRDefault="5B9CE2BF"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p w14:paraId="75450374" w14:textId="77777777" w:rsidR="00801B85" w:rsidRPr="00763F63" w:rsidRDefault="00801B85" w:rsidP="0B8A440C">
            <w:pPr>
              <w:pStyle w:val="ListParagraph"/>
              <w:rPr>
                <w:sz w:val="14"/>
                <w:szCs w:val="14"/>
              </w:rPr>
            </w:pPr>
          </w:p>
        </w:tc>
      </w:tr>
      <w:tr w:rsidR="00725D3E" w14:paraId="4FFC9801" w14:textId="7632F311" w:rsidTr="0B8A440C">
        <w:trPr>
          <w:trHeight w:val="1665"/>
        </w:trPr>
        <w:tc>
          <w:tcPr>
            <w:tcW w:w="5350" w:type="dxa"/>
          </w:tcPr>
          <w:p w14:paraId="0A91F26E" w14:textId="4861D159" w:rsidR="00DC7BC1" w:rsidRDefault="64FE1109" w:rsidP="0B8A440C">
            <w:pPr>
              <w:rPr>
                <w:rFonts w:cs="Calibri"/>
              </w:rPr>
            </w:pPr>
            <w:r w:rsidRPr="0B8A440C">
              <w:rPr>
                <w:rFonts w:cs="Calibri"/>
              </w:rPr>
              <w:t>S</w:t>
            </w:r>
            <w:r w:rsidR="3A6E9F2E" w:rsidRPr="0B8A440C">
              <w:rPr>
                <w:rFonts w:cs="Calibri"/>
              </w:rPr>
              <w:t>upporting school leaders and administrators in:</w:t>
            </w:r>
          </w:p>
          <w:p w14:paraId="70D3716B" w14:textId="44D7066D" w:rsidR="00DC7BC1" w:rsidRDefault="3A6E9F2E" w:rsidP="0B8A440C">
            <w:pPr>
              <w:pStyle w:val="ListParagraph"/>
              <w:numPr>
                <w:ilvl w:val="0"/>
                <w:numId w:val="6"/>
              </w:numPr>
              <w:rPr>
                <w:rFonts w:asciiTheme="minorHAnsi" w:eastAsiaTheme="minorEastAsia" w:hAnsiTheme="minorHAnsi" w:cstheme="minorBidi"/>
                <w:sz w:val="18"/>
                <w:szCs w:val="18"/>
              </w:rPr>
            </w:pPr>
            <w:r w:rsidRPr="0B8A440C">
              <w:rPr>
                <w:rFonts w:cs="Calibri"/>
                <w:sz w:val="18"/>
                <w:szCs w:val="18"/>
              </w:rPr>
              <w:t>managing career and technical education programs in the schools, institutions, or local educational agencies</w:t>
            </w:r>
          </w:p>
          <w:p w14:paraId="78FF7245" w14:textId="135E6E72" w:rsidR="00DC7BC1" w:rsidRDefault="3A6E9F2E" w:rsidP="0B8A440C">
            <w:pPr>
              <w:pStyle w:val="ListParagraph"/>
              <w:numPr>
                <w:ilvl w:val="0"/>
                <w:numId w:val="6"/>
              </w:numPr>
              <w:rPr>
                <w:rFonts w:asciiTheme="minorHAnsi" w:eastAsiaTheme="minorEastAsia" w:hAnsiTheme="minorHAnsi" w:cstheme="minorBidi"/>
                <w:sz w:val="18"/>
                <w:szCs w:val="18"/>
              </w:rPr>
            </w:pPr>
            <w:r w:rsidRPr="0B8A440C">
              <w:rPr>
                <w:rFonts w:cs="Calibri"/>
                <w:sz w:val="18"/>
                <w:szCs w:val="18"/>
              </w:rPr>
              <w:t>the implementation of strategies to improve student achievement and close gaps in student participation and performance in career and technical education programs</w:t>
            </w:r>
          </w:p>
        </w:tc>
        <w:tc>
          <w:tcPr>
            <w:tcW w:w="1575" w:type="dxa"/>
          </w:tcPr>
          <w:p w14:paraId="411022B4" w14:textId="17BD53A7" w:rsidR="00DC7BC1" w:rsidRPr="00763F63" w:rsidRDefault="3A6E9F2E" w:rsidP="0B8A440C">
            <w:pPr>
              <w:pStyle w:val="ListParagraph"/>
              <w:ind w:left="0"/>
              <w:rPr>
                <w:rFonts w:cstheme="minorBidi"/>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shd w:val="clear" w:color="auto" w:fill="9BBB59" w:themeFill="accent3"/>
          </w:tcPr>
          <w:p w14:paraId="7D1651C3" w14:textId="1A210165" w:rsidR="00DC7BC1" w:rsidRPr="00763F63" w:rsidRDefault="3A6E9F2E"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tc>
        <w:tc>
          <w:tcPr>
            <w:tcW w:w="1333" w:type="dxa"/>
          </w:tcPr>
          <w:p w14:paraId="60182164" w14:textId="2B84C004" w:rsidR="00DC7BC1" w:rsidRPr="00763F63" w:rsidRDefault="3A6E9F2E"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tc>
        <w:tc>
          <w:tcPr>
            <w:tcW w:w="1509" w:type="dxa"/>
          </w:tcPr>
          <w:p w14:paraId="6222F583" w14:textId="4108D648" w:rsidR="00DC7BC1" w:rsidRPr="00763F63" w:rsidRDefault="3A6E9F2E"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tc>
        <w:tc>
          <w:tcPr>
            <w:tcW w:w="1608" w:type="dxa"/>
            <w:shd w:val="clear" w:color="auto" w:fill="9BBB59" w:themeFill="accent3"/>
          </w:tcPr>
          <w:p w14:paraId="5B972118" w14:textId="319F9D43" w:rsidR="00DC7BC1" w:rsidRPr="00763F63" w:rsidRDefault="3A6E9F2E"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tc>
        <w:tc>
          <w:tcPr>
            <w:tcW w:w="1429" w:type="dxa"/>
          </w:tcPr>
          <w:p w14:paraId="1BA3BC61" w14:textId="7B882F86" w:rsidR="00DC7BC1" w:rsidRPr="00763F63" w:rsidRDefault="3A6E9F2E"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tc>
      </w:tr>
      <w:tr w:rsidR="001D211B" w14:paraId="66C3D1F6" w14:textId="31E2A930" w:rsidTr="0B8A440C">
        <w:trPr>
          <w:trHeight w:val="1230"/>
        </w:trPr>
        <w:tc>
          <w:tcPr>
            <w:tcW w:w="5350" w:type="dxa"/>
          </w:tcPr>
          <w:p w14:paraId="3B0A0C5F" w14:textId="6E1CD637" w:rsidR="005E3561" w:rsidRDefault="41F04D13" w:rsidP="0B8A440C">
            <w:pPr>
              <w:rPr>
                <w:rFonts w:cs="Calibri"/>
              </w:rPr>
            </w:pPr>
            <w:r w:rsidRPr="0B8A440C">
              <w:rPr>
                <w:rFonts w:cs="Calibri"/>
              </w:rPr>
              <w:lastRenderedPageBreak/>
              <w:t>T</w:t>
            </w:r>
            <w:r w:rsidR="28D0D65A" w:rsidRPr="0B8A440C">
              <w:rPr>
                <w:rFonts w:cs="Calibri"/>
              </w:rPr>
              <w:t>raining teachers, faculty, school leaders, administrators, specialized instructional support personnel, career guidance and academic counselors, or paraprofessionals, as appropriate to:</w:t>
            </w:r>
          </w:p>
          <w:p w14:paraId="2D24ACEE" w14:textId="1FE5D36D" w:rsidR="005E3561" w:rsidRDefault="28D0D65A" w:rsidP="0B8A440C">
            <w:pPr>
              <w:pStyle w:val="ListParagraph"/>
              <w:numPr>
                <w:ilvl w:val="0"/>
                <w:numId w:val="4"/>
              </w:numPr>
              <w:rPr>
                <w:rFonts w:asciiTheme="minorHAnsi" w:eastAsiaTheme="minorEastAsia" w:hAnsiTheme="minorHAnsi" w:cstheme="minorBidi"/>
                <w:sz w:val="18"/>
                <w:szCs w:val="18"/>
              </w:rPr>
            </w:pPr>
            <w:r w:rsidRPr="0B8A440C">
              <w:rPr>
                <w:rFonts w:cs="Calibri"/>
                <w:sz w:val="18"/>
                <w:szCs w:val="18"/>
              </w:rPr>
              <w:t xml:space="preserve"> provide appropriate accommodations for individuals with disabilities, and students with disabilities who are provided accommodations under the Rehabilitation Act of 1973 or IDEA</w:t>
            </w:r>
          </w:p>
          <w:p w14:paraId="3E036834" w14:textId="07C81032" w:rsidR="005E3561" w:rsidRDefault="28D0D65A" w:rsidP="0B8A440C">
            <w:pPr>
              <w:pStyle w:val="ListParagraph"/>
              <w:numPr>
                <w:ilvl w:val="0"/>
                <w:numId w:val="4"/>
              </w:numPr>
              <w:rPr>
                <w:rFonts w:asciiTheme="minorHAnsi" w:eastAsiaTheme="minorEastAsia" w:hAnsiTheme="minorHAnsi" w:cstheme="minorBidi"/>
                <w:sz w:val="18"/>
                <w:szCs w:val="18"/>
              </w:rPr>
            </w:pPr>
            <w:r w:rsidRPr="0B8A440C">
              <w:rPr>
                <w:rFonts w:cs="Calibri"/>
                <w:sz w:val="18"/>
                <w:szCs w:val="18"/>
              </w:rPr>
              <w:t>effectively teach students, including a particular focus on students with disabilities and English learners, which may include universal design for learning, multi-tier systems of supports, and positive behavioral interventions and support</w:t>
            </w:r>
          </w:p>
        </w:tc>
        <w:tc>
          <w:tcPr>
            <w:tcW w:w="1575" w:type="dxa"/>
          </w:tcPr>
          <w:p w14:paraId="3CF5A690" w14:textId="424B39D8" w:rsidR="005E3561" w:rsidRPr="00763F63" w:rsidRDefault="28D0D65A" w:rsidP="0B8A440C">
            <w:pPr>
              <w:pStyle w:val="ListParagraph"/>
              <w:ind w:left="0"/>
              <w:rPr>
                <w:rFonts w:cstheme="minorBidi"/>
                <w:b/>
                <w:bCs/>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shd w:val="clear" w:color="auto" w:fill="9BBB59" w:themeFill="accent3"/>
          </w:tcPr>
          <w:p w14:paraId="5AF6F2DA" w14:textId="77777777"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p w14:paraId="30412B9F" w14:textId="77777777" w:rsidR="005E3561" w:rsidRPr="00763F63" w:rsidRDefault="005E3561" w:rsidP="0B8A440C">
            <w:pPr>
              <w:pStyle w:val="ListParagraph"/>
              <w:rPr>
                <w:sz w:val="14"/>
                <w:szCs w:val="14"/>
              </w:rPr>
            </w:pPr>
          </w:p>
        </w:tc>
        <w:tc>
          <w:tcPr>
            <w:tcW w:w="1333" w:type="dxa"/>
          </w:tcPr>
          <w:p w14:paraId="4ECF77CD" w14:textId="77777777" w:rsidR="005E3561" w:rsidRPr="00763F63" w:rsidRDefault="28D0D65A"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p w14:paraId="5DF60F32" w14:textId="5186824A" w:rsidR="005E3561" w:rsidRPr="00763F63" w:rsidRDefault="005E3561" w:rsidP="0B8A440C">
            <w:pPr>
              <w:pStyle w:val="ListParagraph"/>
              <w:rPr>
                <w:rFonts w:cstheme="minorBidi"/>
                <w:sz w:val="14"/>
                <w:szCs w:val="14"/>
              </w:rPr>
            </w:pPr>
          </w:p>
        </w:tc>
        <w:tc>
          <w:tcPr>
            <w:tcW w:w="1509" w:type="dxa"/>
          </w:tcPr>
          <w:p w14:paraId="0833CED0" w14:textId="77777777" w:rsidR="005E3561" w:rsidRPr="00763F63" w:rsidRDefault="28D0D65A"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p w14:paraId="78107AFD" w14:textId="77777777" w:rsidR="005E3561" w:rsidRPr="00763F63" w:rsidRDefault="005E3561" w:rsidP="0B8A440C">
            <w:pPr>
              <w:pStyle w:val="ListParagraph"/>
              <w:rPr>
                <w:sz w:val="14"/>
                <w:szCs w:val="14"/>
              </w:rPr>
            </w:pPr>
          </w:p>
        </w:tc>
        <w:tc>
          <w:tcPr>
            <w:tcW w:w="1608" w:type="dxa"/>
            <w:shd w:val="clear" w:color="auto" w:fill="9BBB59" w:themeFill="accent3"/>
          </w:tcPr>
          <w:p w14:paraId="1F6B9819" w14:textId="6A20B906"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tc>
        <w:tc>
          <w:tcPr>
            <w:tcW w:w="1429" w:type="dxa"/>
            <w:shd w:val="clear" w:color="auto" w:fill="9BBB59" w:themeFill="accent3"/>
          </w:tcPr>
          <w:p w14:paraId="6145167F" w14:textId="77777777"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p w14:paraId="5F816DF4" w14:textId="77777777" w:rsidR="005E3561" w:rsidRPr="00763F63" w:rsidRDefault="005E3561" w:rsidP="0B8A440C">
            <w:pPr>
              <w:pStyle w:val="ListParagraph"/>
              <w:rPr>
                <w:sz w:val="14"/>
                <w:szCs w:val="14"/>
              </w:rPr>
            </w:pPr>
          </w:p>
        </w:tc>
      </w:tr>
      <w:tr w:rsidR="008F4213" w14:paraId="51B28D7C" w14:textId="4BB32EB3" w:rsidTr="00AA1CBD">
        <w:trPr>
          <w:trHeight w:val="1277"/>
        </w:trPr>
        <w:tc>
          <w:tcPr>
            <w:tcW w:w="5350" w:type="dxa"/>
          </w:tcPr>
          <w:p w14:paraId="6325B605" w14:textId="60F6C250" w:rsidR="005E3561" w:rsidRDefault="41F04D13" w:rsidP="0B8A440C">
            <w:pPr>
              <w:rPr>
                <w:rFonts w:cs="Calibri"/>
              </w:rPr>
            </w:pPr>
            <w:r w:rsidRPr="0B8A440C">
              <w:rPr>
                <w:rFonts w:cs="Calibri"/>
              </w:rPr>
              <w:t>T</w:t>
            </w:r>
            <w:r w:rsidR="28D0D65A" w:rsidRPr="0B8A440C">
              <w:rPr>
                <w:rFonts w:cs="Calibri"/>
              </w:rPr>
              <w:t>raining for the effective use of community spaces that provide access to tools, technology, and knowledge for learners and entrepreneurs, such as makerspaces or libraries</w:t>
            </w:r>
          </w:p>
        </w:tc>
        <w:tc>
          <w:tcPr>
            <w:tcW w:w="1575" w:type="dxa"/>
          </w:tcPr>
          <w:p w14:paraId="2D1EE8F6" w14:textId="34EDDF2A" w:rsidR="005E3561" w:rsidRPr="00763F63" w:rsidRDefault="28D0D65A" w:rsidP="0B8A440C">
            <w:pPr>
              <w:pStyle w:val="ListParagraph"/>
              <w:ind w:left="0"/>
              <w:rPr>
                <w:rFonts w:cstheme="minorBidi"/>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shd w:val="clear" w:color="auto" w:fill="9BBB59" w:themeFill="accent3"/>
          </w:tcPr>
          <w:p w14:paraId="18E2B72A" w14:textId="6A7F69D8"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tc>
        <w:tc>
          <w:tcPr>
            <w:tcW w:w="1333" w:type="dxa"/>
            <w:shd w:val="clear" w:color="auto" w:fill="9BBB59" w:themeFill="accent3"/>
          </w:tcPr>
          <w:p w14:paraId="178C041A" w14:textId="2A3B79A5" w:rsidR="005E3561" w:rsidRPr="00763F63" w:rsidRDefault="28D0D65A"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tc>
        <w:tc>
          <w:tcPr>
            <w:tcW w:w="1509" w:type="dxa"/>
          </w:tcPr>
          <w:p w14:paraId="52538111" w14:textId="77777777" w:rsidR="005E3561" w:rsidRPr="00763F63" w:rsidRDefault="28D0D65A"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p w14:paraId="7CFCD162" w14:textId="77777777" w:rsidR="005E3561" w:rsidRPr="00763F63" w:rsidRDefault="005E3561" w:rsidP="0B8A440C">
            <w:pPr>
              <w:pStyle w:val="ListParagraph"/>
              <w:ind w:left="0"/>
              <w:rPr>
                <w:sz w:val="14"/>
                <w:szCs w:val="14"/>
              </w:rPr>
            </w:pPr>
          </w:p>
        </w:tc>
        <w:tc>
          <w:tcPr>
            <w:tcW w:w="1608" w:type="dxa"/>
          </w:tcPr>
          <w:p w14:paraId="55AFA0FB" w14:textId="515F5676"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tc>
        <w:tc>
          <w:tcPr>
            <w:tcW w:w="1429" w:type="dxa"/>
            <w:shd w:val="clear" w:color="auto" w:fill="9BBB59" w:themeFill="accent3"/>
          </w:tcPr>
          <w:p w14:paraId="3413753A" w14:textId="03FB7556"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tc>
      </w:tr>
      <w:tr w:rsidR="00F97924" w14:paraId="0F1B2EF6" w14:textId="6E0A49C6" w:rsidTr="0B8A440C">
        <w:trPr>
          <w:trHeight w:val="2610"/>
        </w:trPr>
        <w:tc>
          <w:tcPr>
            <w:tcW w:w="5350" w:type="dxa"/>
          </w:tcPr>
          <w:p w14:paraId="4F2A821A" w14:textId="2465CF77" w:rsidR="005E3561" w:rsidRDefault="13A5D672" w:rsidP="0B8A440C">
            <w:pPr>
              <w:rPr>
                <w:rFonts w:cs="Calibri"/>
              </w:rPr>
            </w:pPr>
            <w:r w:rsidRPr="0B8A440C">
              <w:rPr>
                <w:rFonts w:cs="Calibri"/>
              </w:rPr>
              <w:t>S</w:t>
            </w:r>
            <w:r w:rsidR="28D0D65A" w:rsidRPr="0B8A440C">
              <w:rPr>
                <w:rFonts w:cs="Calibri"/>
              </w:rPr>
              <w:t>ustainable relationships among education, business and industry, and other community stakeholders, including industry or sector partnerships in the local area, where applicable, that are designed to facilitate the process of continuously updating and aligning programs of study with skills that are in demand in the State, regional, or local economy, and in collaboration with business outreach staff in one-stop centers, as defined in section 3 of WIOA, and other appropriate organizations, including community-based and youth-serving organizations</w:t>
            </w:r>
          </w:p>
        </w:tc>
        <w:tc>
          <w:tcPr>
            <w:tcW w:w="1575" w:type="dxa"/>
            <w:shd w:val="clear" w:color="auto" w:fill="9BBB59" w:themeFill="accent3"/>
          </w:tcPr>
          <w:p w14:paraId="55DBEC86" w14:textId="2BA95413" w:rsidR="005E3561" w:rsidRPr="00763F63" w:rsidRDefault="28D0D65A" w:rsidP="0B8A440C">
            <w:pPr>
              <w:pStyle w:val="ListParagraph"/>
              <w:ind w:left="0"/>
              <w:rPr>
                <w:rFonts w:cstheme="minorBidi"/>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tcPr>
          <w:p w14:paraId="1A0B2429" w14:textId="77777777"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p w14:paraId="03745D7F" w14:textId="77777777" w:rsidR="005E3561" w:rsidRPr="00763F63" w:rsidRDefault="005E3561" w:rsidP="0B8A440C">
            <w:pPr>
              <w:pStyle w:val="ListParagraph"/>
              <w:rPr>
                <w:sz w:val="14"/>
                <w:szCs w:val="14"/>
              </w:rPr>
            </w:pPr>
          </w:p>
        </w:tc>
        <w:tc>
          <w:tcPr>
            <w:tcW w:w="1333" w:type="dxa"/>
            <w:shd w:val="clear" w:color="auto" w:fill="9BBB59" w:themeFill="accent3"/>
          </w:tcPr>
          <w:p w14:paraId="19789C28" w14:textId="155FB9EC" w:rsidR="005E3561" w:rsidRPr="00763F63" w:rsidRDefault="28D0D65A"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tc>
        <w:tc>
          <w:tcPr>
            <w:tcW w:w="1509" w:type="dxa"/>
          </w:tcPr>
          <w:p w14:paraId="19C31715" w14:textId="2A8FA315" w:rsidR="005E3561" w:rsidRPr="00763F63" w:rsidRDefault="28D0D65A"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tc>
        <w:tc>
          <w:tcPr>
            <w:tcW w:w="1608" w:type="dxa"/>
            <w:shd w:val="clear" w:color="auto" w:fill="9BBB59" w:themeFill="accent3"/>
          </w:tcPr>
          <w:p w14:paraId="1D625C37" w14:textId="0517682A"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tc>
        <w:tc>
          <w:tcPr>
            <w:tcW w:w="1429" w:type="dxa"/>
            <w:shd w:val="clear" w:color="auto" w:fill="9BBB59" w:themeFill="accent3"/>
          </w:tcPr>
          <w:p w14:paraId="1BBD2E83" w14:textId="1D7B9D34"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tc>
      </w:tr>
      <w:tr w:rsidR="006C44F9" w14:paraId="752DCE12" w14:textId="74D33BD3" w:rsidTr="0B8A440C">
        <w:trPr>
          <w:trHeight w:val="1455"/>
        </w:trPr>
        <w:tc>
          <w:tcPr>
            <w:tcW w:w="5350" w:type="dxa"/>
          </w:tcPr>
          <w:p w14:paraId="30D198A0" w14:textId="253CE3AA" w:rsidR="005E3561" w:rsidRDefault="5BAECABB" w:rsidP="0B8A440C">
            <w:pPr>
              <w:rPr>
                <w:rFonts w:cs="Calibri"/>
              </w:rPr>
            </w:pPr>
            <w:r w:rsidRPr="0B8A440C">
              <w:rPr>
                <w:rFonts w:cs="Calibri"/>
              </w:rPr>
              <w:t>E</w:t>
            </w:r>
            <w:r w:rsidR="28D0D65A" w:rsidRPr="0B8A440C">
              <w:rPr>
                <w:rFonts w:cs="Calibri"/>
              </w:rPr>
              <w:t>fforts to recruit and retain career and technical education program teachers, faculty, school leaders, administrators, specialized instructional support personnel, career guidance and academic counselors, and paraprofessionals</w:t>
            </w:r>
          </w:p>
        </w:tc>
        <w:tc>
          <w:tcPr>
            <w:tcW w:w="1575" w:type="dxa"/>
          </w:tcPr>
          <w:p w14:paraId="19B85D25" w14:textId="3FC8AEE3" w:rsidR="005E3561" w:rsidRPr="00763F63" w:rsidRDefault="28D0D65A" w:rsidP="0B8A440C">
            <w:pPr>
              <w:pStyle w:val="ListParagraph"/>
              <w:ind w:left="0"/>
              <w:rPr>
                <w:rFonts w:cstheme="minorBidi"/>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shd w:val="clear" w:color="auto" w:fill="9BBB59" w:themeFill="accent3"/>
          </w:tcPr>
          <w:p w14:paraId="10EA003A" w14:textId="77777777"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p w14:paraId="5E99B5B1" w14:textId="77777777" w:rsidR="005E3561" w:rsidRPr="00763F63" w:rsidRDefault="005E3561" w:rsidP="0B8A440C">
            <w:pPr>
              <w:pStyle w:val="ListParagraph"/>
              <w:rPr>
                <w:sz w:val="14"/>
                <w:szCs w:val="14"/>
              </w:rPr>
            </w:pPr>
          </w:p>
        </w:tc>
        <w:tc>
          <w:tcPr>
            <w:tcW w:w="1333" w:type="dxa"/>
          </w:tcPr>
          <w:p w14:paraId="7C1768AA" w14:textId="77777777" w:rsidR="005E3561" w:rsidRPr="00763F63" w:rsidRDefault="28D0D65A"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p w14:paraId="754EE651" w14:textId="7D707732" w:rsidR="005E3561" w:rsidRPr="00763F63" w:rsidRDefault="005E3561" w:rsidP="0B8A440C">
            <w:pPr>
              <w:pStyle w:val="ListParagraph"/>
              <w:rPr>
                <w:rFonts w:cstheme="minorBidi"/>
                <w:sz w:val="14"/>
                <w:szCs w:val="14"/>
              </w:rPr>
            </w:pPr>
          </w:p>
        </w:tc>
        <w:tc>
          <w:tcPr>
            <w:tcW w:w="1509" w:type="dxa"/>
          </w:tcPr>
          <w:p w14:paraId="2917396C" w14:textId="77777777" w:rsidR="005E3561" w:rsidRPr="00763F63" w:rsidRDefault="28D0D65A"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p w14:paraId="6C52DBC7" w14:textId="77777777" w:rsidR="005E3561" w:rsidRPr="00763F63" w:rsidRDefault="005E3561" w:rsidP="0B8A440C">
            <w:pPr>
              <w:pStyle w:val="ListParagraph"/>
              <w:rPr>
                <w:sz w:val="14"/>
                <w:szCs w:val="14"/>
              </w:rPr>
            </w:pPr>
          </w:p>
        </w:tc>
        <w:tc>
          <w:tcPr>
            <w:tcW w:w="1608" w:type="dxa"/>
            <w:shd w:val="clear" w:color="auto" w:fill="9BBB59" w:themeFill="accent3"/>
          </w:tcPr>
          <w:p w14:paraId="7B029ADB" w14:textId="77777777"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p w14:paraId="1FC6E3C4" w14:textId="77777777" w:rsidR="005E3561" w:rsidRPr="00763F63" w:rsidRDefault="005E3561" w:rsidP="0B8A440C">
            <w:pPr>
              <w:pStyle w:val="ListParagraph"/>
              <w:rPr>
                <w:sz w:val="14"/>
                <w:szCs w:val="14"/>
              </w:rPr>
            </w:pPr>
          </w:p>
        </w:tc>
        <w:tc>
          <w:tcPr>
            <w:tcW w:w="1429" w:type="dxa"/>
          </w:tcPr>
          <w:p w14:paraId="2DFBAD5C" w14:textId="77777777"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p w14:paraId="66AB108D" w14:textId="77777777" w:rsidR="005E3561" w:rsidRPr="00763F63" w:rsidRDefault="005E3561" w:rsidP="0B8A440C">
            <w:pPr>
              <w:pStyle w:val="ListParagraph"/>
              <w:rPr>
                <w:sz w:val="14"/>
                <w:szCs w:val="14"/>
              </w:rPr>
            </w:pPr>
          </w:p>
        </w:tc>
      </w:tr>
      <w:tr w:rsidR="00052586" w14:paraId="7DFBD46F" w14:textId="0EDA4A12" w:rsidTr="0B8A440C">
        <w:trPr>
          <w:trHeight w:val="1455"/>
        </w:trPr>
        <w:tc>
          <w:tcPr>
            <w:tcW w:w="5350" w:type="dxa"/>
          </w:tcPr>
          <w:p w14:paraId="263CFA69" w14:textId="344032D8" w:rsidR="005E3561" w:rsidRDefault="5BAECABB" w:rsidP="0B8A440C">
            <w:pPr>
              <w:rPr>
                <w:rFonts w:cs="Calibri"/>
              </w:rPr>
            </w:pPr>
            <w:r w:rsidRPr="0B8A440C">
              <w:rPr>
                <w:rFonts w:cs="Calibri"/>
              </w:rPr>
              <w:t>W</w:t>
            </w:r>
            <w:r w:rsidR="28D0D65A" w:rsidRPr="0B8A440C">
              <w:rPr>
                <w:rFonts w:cs="Calibri"/>
              </w:rPr>
              <w:t>here applicable, coordination with other education and workforce development programs and initiatives, including career pathways and sector partnerships developed under WIOA and other Federal laws and initiatives that provide students with transition-related services, including IDEA</w:t>
            </w:r>
          </w:p>
        </w:tc>
        <w:tc>
          <w:tcPr>
            <w:tcW w:w="1575" w:type="dxa"/>
            <w:shd w:val="clear" w:color="auto" w:fill="9BBB59" w:themeFill="accent3"/>
          </w:tcPr>
          <w:p w14:paraId="2347E222" w14:textId="41AAA97A" w:rsidR="005E3561" w:rsidRPr="00763F63" w:rsidRDefault="28D0D65A" w:rsidP="0B8A440C">
            <w:pPr>
              <w:pStyle w:val="ListParagraph"/>
              <w:ind w:left="0"/>
              <w:rPr>
                <w:rFonts w:cstheme="minorBidi"/>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tcPr>
          <w:p w14:paraId="4B34757A" w14:textId="77777777"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p w14:paraId="21F8DDC4" w14:textId="77777777" w:rsidR="005E3561" w:rsidRPr="00763F63" w:rsidRDefault="005E3561" w:rsidP="0B8A440C">
            <w:pPr>
              <w:pStyle w:val="ListParagraph"/>
              <w:rPr>
                <w:sz w:val="14"/>
                <w:szCs w:val="14"/>
              </w:rPr>
            </w:pPr>
          </w:p>
        </w:tc>
        <w:tc>
          <w:tcPr>
            <w:tcW w:w="1333" w:type="dxa"/>
            <w:shd w:val="clear" w:color="auto" w:fill="9BBB59" w:themeFill="accent3"/>
          </w:tcPr>
          <w:p w14:paraId="368BA017" w14:textId="77777777" w:rsidR="005E3561" w:rsidRPr="00763F63" w:rsidRDefault="28D0D65A"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p w14:paraId="6D667BD7" w14:textId="336AC448" w:rsidR="005E3561" w:rsidRPr="00763F63" w:rsidRDefault="005E3561" w:rsidP="0B8A440C">
            <w:pPr>
              <w:pStyle w:val="ListParagraph"/>
              <w:rPr>
                <w:rFonts w:cstheme="minorBidi"/>
                <w:sz w:val="14"/>
                <w:szCs w:val="14"/>
              </w:rPr>
            </w:pPr>
          </w:p>
        </w:tc>
        <w:tc>
          <w:tcPr>
            <w:tcW w:w="1509" w:type="dxa"/>
            <w:shd w:val="clear" w:color="auto" w:fill="9BBB59" w:themeFill="accent3"/>
          </w:tcPr>
          <w:p w14:paraId="258952DF" w14:textId="77777777" w:rsidR="005E3561" w:rsidRPr="00763F63" w:rsidRDefault="28D0D65A"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p w14:paraId="45B85515" w14:textId="77777777" w:rsidR="005E3561" w:rsidRPr="00763F63" w:rsidRDefault="005E3561" w:rsidP="0B8A440C">
            <w:pPr>
              <w:pStyle w:val="ListParagraph"/>
              <w:rPr>
                <w:sz w:val="14"/>
                <w:szCs w:val="14"/>
              </w:rPr>
            </w:pPr>
          </w:p>
        </w:tc>
        <w:tc>
          <w:tcPr>
            <w:tcW w:w="1608" w:type="dxa"/>
            <w:shd w:val="clear" w:color="auto" w:fill="9BBB59" w:themeFill="accent3"/>
          </w:tcPr>
          <w:p w14:paraId="203CF78D" w14:textId="77777777"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p w14:paraId="274E7C68" w14:textId="77777777" w:rsidR="005E3561" w:rsidRPr="00763F63" w:rsidRDefault="005E3561" w:rsidP="0B8A440C">
            <w:pPr>
              <w:pStyle w:val="ListParagraph"/>
              <w:rPr>
                <w:sz w:val="14"/>
                <w:szCs w:val="14"/>
              </w:rPr>
            </w:pPr>
          </w:p>
        </w:tc>
        <w:tc>
          <w:tcPr>
            <w:tcW w:w="1429" w:type="dxa"/>
          </w:tcPr>
          <w:p w14:paraId="5DF19B16" w14:textId="77777777"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p w14:paraId="675854FA" w14:textId="77777777" w:rsidR="005E3561" w:rsidRPr="00763F63" w:rsidRDefault="005E3561" w:rsidP="0B8A440C">
            <w:pPr>
              <w:pStyle w:val="ListParagraph"/>
              <w:rPr>
                <w:sz w:val="14"/>
                <w:szCs w:val="14"/>
              </w:rPr>
            </w:pPr>
          </w:p>
        </w:tc>
      </w:tr>
      <w:tr w:rsidR="00052586" w14:paraId="711D9A2F" w14:textId="1907F6C2" w:rsidTr="00E653C1">
        <w:trPr>
          <w:trHeight w:val="1250"/>
        </w:trPr>
        <w:tc>
          <w:tcPr>
            <w:tcW w:w="5350" w:type="dxa"/>
          </w:tcPr>
          <w:p w14:paraId="467B22A5" w14:textId="77777777" w:rsidR="009421EB" w:rsidRDefault="5BAECABB" w:rsidP="0B8A440C">
            <w:pPr>
              <w:rPr>
                <w:rFonts w:cs="Calibri"/>
              </w:rPr>
            </w:pPr>
            <w:r w:rsidRPr="0B8A440C">
              <w:rPr>
                <w:rFonts w:cs="Calibri"/>
              </w:rPr>
              <w:lastRenderedPageBreak/>
              <w:t>E</w:t>
            </w:r>
            <w:r w:rsidR="28D0D65A" w:rsidRPr="0B8A440C">
              <w:rPr>
                <w:rFonts w:cs="Calibri"/>
              </w:rPr>
              <w:t>xpanding opportunities for students to participate in</w:t>
            </w:r>
            <w:r w:rsidR="3D3250E3" w:rsidRPr="0B8A440C">
              <w:rPr>
                <w:rFonts w:cs="Calibri"/>
              </w:rPr>
              <w:t>:</w:t>
            </w:r>
          </w:p>
          <w:p w14:paraId="6812DACE" w14:textId="77777777" w:rsidR="009421EB" w:rsidRPr="009421EB" w:rsidRDefault="28D0D65A" w:rsidP="00C250EF">
            <w:pPr>
              <w:pStyle w:val="ListParagraph"/>
              <w:numPr>
                <w:ilvl w:val="0"/>
                <w:numId w:val="12"/>
              </w:numPr>
              <w:rPr>
                <w:rFonts w:cs="Calibri"/>
              </w:rPr>
            </w:pPr>
            <w:r w:rsidRPr="0B8A440C">
              <w:rPr>
                <w:rFonts w:cs="Calibri"/>
              </w:rPr>
              <w:t>distance career and technical education</w:t>
            </w:r>
          </w:p>
          <w:p w14:paraId="7A5475C5" w14:textId="78BB5FF3" w:rsidR="005E3561" w:rsidRPr="009421EB" w:rsidRDefault="28D0D65A" w:rsidP="00C250EF">
            <w:pPr>
              <w:pStyle w:val="ListParagraph"/>
              <w:numPr>
                <w:ilvl w:val="0"/>
                <w:numId w:val="12"/>
              </w:numPr>
              <w:rPr>
                <w:rFonts w:cs="Calibri"/>
              </w:rPr>
            </w:pPr>
            <w:r w:rsidRPr="0B8A440C">
              <w:rPr>
                <w:rFonts w:cs="Calibri"/>
              </w:rPr>
              <w:t>blended learning programs</w:t>
            </w:r>
          </w:p>
          <w:p w14:paraId="1097D505" w14:textId="1536F756" w:rsidR="009421EB" w:rsidRPr="009421EB" w:rsidRDefault="3D3250E3" w:rsidP="00C250EF">
            <w:pPr>
              <w:pStyle w:val="ListParagraph"/>
              <w:numPr>
                <w:ilvl w:val="0"/>
                <w:numId w:val="12"/>
              </w:numPr>
              <w:rPr>
                <w:rFonts w:cs="Calibri"/>
              </w:rPr>
            </w:pPr>
            <w:r w:rsidRPr="0B8A440C">
              <w:rPr>
                <w:rFonts w:cs="Calibri"/>
              </w:rPr>
              <w:t>competency-based education programs</w:t>
            </w:r>
          </w:p>
        </w:tc>
        <w:tc>
          <w:tcPr>
            <w:tcW w:w="1575" w:type="dxa"/>
            <w:shd w:val="clear" w:color="auto" w:fill="9BBB59" w:themeFill="accent3"/>
          </w:tcPr>
          <w:p w14:paraId="31079EAF" w14:textId="7F41684F" w:rsidR="005E3561" w:rsidRPr="00763F63" w:rsidRDefault="28D0D65A" w:rsidP="0B8A440C">
            <w:pPr>
              <w:pStyle w:val="ListParagraph"/>
              <w:ind w:left="0"/>
              <w:rPr>
                <w:rFonts w:cstheme="minorBidi"/>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tcPr>
          <w:p w14:paraId="6125064B" w14:textId="04640485"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tc>
        <w:tc>
          <w:tcPr>
            <w:tcW w:w="1333" w:type="dxa"/>
            <w:shd w:val="clear" w:color="auto" w:fill="9BBB59" w:themeFill="accent3"/>
          </w:tcPr>
          <w:p w14:paraId="6D588A0B" w14:textId="77777777" w:rsidR="005E3561" w:rsidRPr="00763F63" w:rsidRDefault="28D0D65A"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p w14:paraId="6C2DAAD6" w14:textId="61E9CB31" w:rsidR="005E3561" w:rsidRPr="00763F63" w:rsidRDefault="005E3561" w:rsidP="0B8A440C">
            <w:pPr>
              <w:pStyle w:val="ListParagraph"/>
              <w:rPr>
                <w:rFonts w:cstheme="minorBidi"/>
                <w:sz w:val="14"/>
                <w:szCs w:val="14"/>
              </w:rPr>
            </w:pPr>
          </w:p>
        </w:tc>
        <w:tc>
          <w:tcPr>
            <w:tcW w:w="1509" w:type="dxa"/>
            <w:shd w:val="clear" w:color="auto" w:fill="9BBB59" w:themeFill="accent3"/>
          </w:tcPr>
          <w:p w14:paraId="060D4A7B" w14:textId="54B44000" w:rsidR="005E3561" w:rsidRPr="00763F63" w:rsidRDefault="28D0D65A"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tc>
        <w:tc>
          <w:tcPr>
            <w:tcW w:w="1608" w:type="dxa"/>
            <w:shd w:val="clear" w:color="auto" w:fill="9BBB59" w:themeFill="accent3"/>
          </w:tcPr>
          <w:p w14:paraId="11E3849B" w14:textId="7C6FB167"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tc>
        <w:tc>
          <w:tcPr>
            <w:tcW w:w="1429" w:type="dxa"/>
          </w:tcPr>
          <w:p w14:paraId="345A4594" w14:textId="77777777" w:rsidR="005E3561" w:rsidRPr="00763F63" w:rsidRDefault="28D0D65A"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p w14:paraId="619240DF" w14:textId="77777777" w:rsidR="005E3561" w:rsidRPr="00763F63" w:rsidRDefault="005E3561" w:rsidP="0B8A440C">
            <w:pPr>
              <w:pStyle w:val="ListParagraph"/>
              <w:rPr>
                <w:sz w:val="14"/>
                <w:szCs w:val="14"/>
              </w:rPr>
            </w:pPr>
          </w:p>
        </w:tc>
      </w:tr>
      <w:tr w:rsidR="00B94388" w14:paraId="6A3A4F43" w14:textId="5DB7897E" w:rsidTr="00E653C1">
        <w:trPr>
          <w:trHeight w:val="1205"/>
        </w:trPr>
        <w:tc>
          <w:tcPr>
            <w:tcW w:w="5350" w:type="dxa"/>
          </w:tcPr>
          <w:p w14:paraId="0D5E5735" w14:textId="4E8F6FA2" w:rsidR="0044515D" w:rsidRDefault="5BAECABB" w:rsidP="00E653C1">
            <w:pPr>
              <w:rPr>
                <w:rFonts w:cs="Calibri"/>
              </w:rPr>
            </w:pPr>
            <w:r w:rsidRPr="0B8A440C">
              <w:rPr>
                <w:rFonts w:cs="Calibri"/>
              </w:rPr>
              <w:t>P</w:t>
            </w:r>
            <w:r w:rsidR="7AD54BA4" w:rsidRPr="0B8A440C">
              <w:rPr>
                <w:rFonts w:cs="Calibri"/>
              </w:rPr>
              <w:t>artnering with a qualified intermediary to improve training, the development of public-private partnerships, systems development, capacity-building, and scalability of the delivery of high-quality career and technical education</w:t>
            </w:r>
          </w:p>
        </w:tc>
        <w:tc>
          <w:tcPr>
            <w:tcW w:w="1575" w:type="dxa"/>
            <w:shd w:val="clear" w:color="auto" w:fill="9BBB59" w:themeFill="accent3"/>
          </w:tcPr>
          <w:p w14:paraId="41120889" w14:textId="0CE71553" w:rsidR="0044515D" w:rsidRPr="00763F63" w:rsidRDefault="7AD54BA4" w:rsidP="00E653C1">
            <w:pPr>
              <w:pStyle w:val="ListParagraph"/>
              <w:ind w:left="0"/>
              <w:rPr>
                <w:rFonts w:cstheme="minorBidi"/>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shd w:val="clear" w:color="auto" w:fill="9BBB59" w:themeFill="accent3"/>
          </w:tcPr>
          <w:p w14:paraId="6C2E85CE" w14:textId="7600A69E" w:rsidR="0044515D" w:rsidRPr="00E653C1" w:rsidRDefault="7AD54BA4" w:rsidP="00E653C1">
            <w:pPr>
              <w:spacing w:after="200"/>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tc>
        <w:tc>
          <w:tcPr>
            <w:tcW w:w="1333" w:type="dxa"/>
            <w:shd w:val="clear" w:color="auto" w:fill="9BBB59" w:themeFill="accent3"/>
          </w:tcPr>
          <w:p w14:paraId="271200AB" w14:textId="08744966" w:rsidR="0044515D" w:rsidRPr="00E653C1" w:rsidRDefault="7AD54BA4" w:rsidP="00E653C1">
            <w:pPr>
              <w:spacing w:after="200"/>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tc>
        <w:tc>
          <w:tcPr>
            <w:tcW w:w="1509" w:type="dxa"/>
          </w:tcPr>
          <w:p w14:paraId="0BB67D2A" w14:textId="77777777" w:rsidR="0044515D" w:rsidRPr="00763F63" w:rsidRDefault="7AD54BA4" w:rsidP="00E653C1">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p w14:paraId="1EC0F363" w14:textId="77777777" w:rsidR="0044515D" w:rsidRPr="00763F63" w:rsidRDefault="0044515D" w:rsidP="00E653C1">
            <w:pPr>
              <w:pStyle w:val="ListParagraph"/>
              <w:rPr>
                <w:sz w:val="14"/>
                <w:szCs w:val="14"/>
              </w:rPr>
            </w:pPr>
          </w:p>
        </w:tc>
        <w:tc>
          <w:tcPr>
            <w:tcW w:w="1608" w:type="dxa"/>
            <w:shd w:val="clear" w:color="auto" w:fill="9BBB59" w:themeFill="accent3"/>
          </w:tcPr>
          <w:p w14:paraId="72EC591F" w14:textId="77777777" w:rsidR="0044515D" w:rsidRPr="00763F63" w:rsidRDefault="7AD54BA4" w:rsidP="00E653C1">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p w14:paraId="373D5434" w14:textId="77777777" w:rsidR="0044515D" w:rsidRPr="00763F63" w:rsidRDefault="0044515D" w:rsidP="00E653C1">
            <w:pPr>
              <w:pStyle w:val="ListParagraph"/>
              <w:rPr>
                <w:sz w:val="14"/>
                <w:szCs w:val="14"/>
              </w:rPr>
            </w:pPr>
          </w:p>
        </w:tc>
        <w:tc>
          <w:tcPr>
            <w:tcW w:w="1429" w:type="dxa"/>
          </w:tcPr>
          <w:p w14:paraId="7023E22F" w14:textId="77777777" w:rsidR="0044515D" w:rsidRPr="00763F63" w:rsidRDefault="7AD54BA4" w:rsidP="00E653C1">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p w14:paraId="65229ECF" w14:textId="77777777" w:rsidR="0044515D" w:rsidRPr="00763F63" w:rsidRDefault="0044515D" w:rsidP="00E653C1">
            <w:pPr>
              <w:pStyle w:val="ListParagraph"/>
              <w:rPr>
                <w:sz w:val="14"/>
                <w:szCs w:val="14"/>
              </w:rPr>
            </w:pPr>
          </w:p>
        </w:tc>
      </w:tr>
      <w:tr w:rsidR="00CE17D0" w14:paraId="13D57855" w14:textId="3AF2F1BA" w:rsidTr="0B8A440C">
        <w:trPr>
          <w:trHeight w:val="720"/>
        </w:trPr>
        <w:tc>
          <w:tcPr>
            <w:tcW w:w="5350" w:type="dxa"/>
          </w:tcPr>
          <w:p w14:paraId="55D62CA9" w14:textId="60BE2A68" w:rsidR="0044515D" w:rsidRDefault="5BAECABB" w:rsidP="0B8A440C">
            <w:pPr>
              <w:rPr>
                <w:rFonts w:cs="Calibri"/>
              </w:rPr>
            </w:pPr>
            <w:r w:rsidRPr="0B8A440C">
              <w:rPr>
                <w:rFonts w:cs="Calibri"/>
              </w:rPr>
              <w:t>S</w:t>
            </w:r>
            <w:r w:rsidR="7AD54BA4" w:rsidRPr="0B8A440C">
              <w:rPr>
                <w:rFonts w:cs="Calibri"/>
              </w:rPr>
              <w:t xml:space="preserve">upport to reduce or eliminate out-of-pocket expenses for special populations participating in career and technical education, including those participating in dual or concurrent enrollment programs or early college high school programs, and supporting the costs associated with fees, transportation, </w:t>
            </w:r>
            <w:proofErr w:type="gramStart"/>
            <w:r w:rsidR="7AD54BA4" w:rsidRPr="0B8A440C">
              <w:rPr>
                <w:rFonts w:cs="Calibri"/>
              </w:rPr>
              <w:t>child care</w:t>
            </w:r>
            <w:proofErr w:type="gramEnd"/>
            <w:r w:rsidR="7AD54BA4" w:rsidRPr="0B8A440C">
              <w:rPr>
                <w:rFonts w:cs="Calibri"/>
              </w:rPr>
              <w:t>, or mobility challenges for those special populations</w:t>
            </w:r>
          </w:p>
        </w:tc>
        <w:tc>
          <w:tcPr>
            <w:tcW w:w="1575" w:type="dxa"/>
          </w:tcPr>
          <w:p w14:paraId="03F2FB9C" w14:textId="15F63A4C" w:rsidR="0044515D" w:rsidRPr="00763F63" w:rsidRDefault="7AD54BA4" w:rsidP="0B8A440C">
            <w:pPr>
              <w:pStyle w:val="ListParagraph"/>
              <w:ind w:left="0"/>
              <w:rPr>
                <w:rFonts w:cstheme="minorBidi"/>
                <w:sz w:val="14"/>
                <w:szCs w:val="14"/>
              </w:rPr>
            </w:pPr>
            <w:r w:rsidRPr="0B8A440C">
              <w:rPr>
                <w:rFonts w:asciiTheme="minorHAnsi" w:eastAsiaTheme="minorEastAsia" w:hAnsiTheme="minorHAnsi" w:cstheme="minorBidi"/>
                <w:sz w:val="14"/>
                <w:szCs w:val="14"/>
              </w:rPr>
              <w:t>1. Offering students career exploration and career development activities</w:t>
            </w:r>
          </w:p>
        </w:tc>
        <w:tc>
          <w:tcPr>
            <w:tcW w:w="1501" w:type="dxa"/>
          </w:tcPr>
          <w:p w14:paraId="22273EF7" w14:textId="77777777" w:rsidR="0044515D" w:rsidRPr="00763F63" w:rsidRDefault="7AD54BA4"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2. Providing instructors professional development</w:t>
            </w:r>
          </w:p>
          <w:p w14:paraId="75ABBD48" w14:textId="77777777" w:rsidR="0044515D" w:rsidRPr="00763F63" w:rsidRDefault="0044515D" w:rsidP="0B8A440C">
            <w:pPr>
              <w:pStyle w:val="ListParagraph"/>
              <w:rPr>
                <w:sz w:val="14"/>
                <w:szCs w:val="14"/>
              </w:rPr>
            </w:pPr>
          </w:p>
        </w:tc>
        <w:tc>
          <w:tcPr>
            <w:tcW w:w="1333" w:type="dxa"/>
            <w:shd w:val="clear" w:color="auto" w:fill="9BBB59" w:themeFill="accent3"/>
          </w:tcPr>
          <w:p w14:paraId="56A75CE6" w14:textId="77777777" w:rsidR="0044515D" w:rsidRPr="00763F63" w:rsidRDefault="7AD54BA4"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3. Building the skills students need to pursue careers in high skill, wage, or in-demand industries</w:t>
            </w:r>
          </w:p>
          <w:p w14:paraId="192889E6" w14:textId="1637CC77" w:rsidR="0044515D" w:rsidRPr="00763F63" w:rsidRDefault="0044515D" w:rsidP="0B8A440C">
            <w:pPr>
              <w:pStyle w:val="ListParagraph"/>
              <w:rPr>
                <w:rFonts w:cstheme="minorBidi"/>
                <w:sz w:val="14"/>
                <w:szCs w:val="14"/>
              </w:rPr>
            </w:pPr>
          </w:p>
        </w:tc>
        <w:tc>
          <w:tcPr>
            <w:tcW w:w="1509" w:type="dxa"/>
          </w:tcPr>
          <w:p w14:paraId="6DA3D538" w14:textId="77777777" w:rsidR="0044515D" w:rsidRPr="00763F63" w:rsidRDefault="7AD54BA4" w:rsidP="0B8A440C">
            <w:pPr>
              <w:rPr>
                <w:rFonts w:asciiTheme="minorHAnsi" w:eastAsiaTheme="minorEastAsia" w:hAnsiTheme="minorHAnsi" w:cstheme="minorBidi"/>
                <w:color w:val="000000" w:themeColor="text1"/>
                <w:sz w:val="14"/>
                <w:szCs w:val="14"/>
              </w:rPr>
            </w:pPr>
            <w:r w:rsidRPr="0B8A440C">
              <w:rPr>
                <w:rFonts w:asciiTheme="minorHAnsi" w:eastAsiaTheme="minorEastAsia" w:hAnsiTheme="minorHAnsi" w:cstheme="minorBidi"/>
                <w:sz w:val="14"/>
                <w:szCs w:val="14"/>
              </w:rPr>
              <w:t>4. Supporting integration of academic skills into CTE programs and programs of study</w:t>
            </w:r>
          </w:p>
          <w:p w14:paraId="125A5D39" w14:textId="77777777" w:rsidR="0044515D" w:rsidRPr="00763F63" w:rsidRDefault="0044515D" w:rsidP="0B8A440C">
            <w:pPr>
              <w:pStyle w:val="ListParagraph"/>
              <w:rPr>
                <w:sz w:val="14"/>
                <w:szCs w:val="14"/>
              </w:rPr>
            </w:pPr>
          </w:p>
        </w:tc>
        <w:tc>
          <w:tcPr>
            <w:tcW w:w="1608" w:type="dxa"/>
            <w:shd w:val="clear" w:color="auto" w:fill="9BBB59" w:themeFill="accent3"/>
          </w:tcPr>
          <w:p w14:paraId="4137B43D" w14:textId="77777777" w:rsidR="0044515D" w:rsidRPr="00763F63" w:rsidRDefault="7AD54BA4"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5. Planning and carrying out elements supporting implementation of CTE programs and programs of study that increase student achievement</w:t>
            </w:r>
          </w:p>
          <w:p w14:paraId="21F96424" w14:textId="77777777" w:rsidR="0044515D" w:rsidRPr="00763F63" w:rsidRDefault="0044515D" w:rsidP="0B8A440C">
            <w:pPr>
              <w:pStyle w:val="ListParagraph"/>
              <w:rPr>
                <w:sz w:val="14"/>
                <w:szCs w:val="14"/>
              </w:rPr>
            </w:pPr>
          </w:p>
        </w:tc>
        <w:tc>
          <w:tcPr>
            <w:tcW w:w="1429" w:type="dxa"/>
          </w:tcPr>
          <w:p w14:paraId="110A5B69" w14:textId="77777777" w:rsidR="0044515D" w:rsidRPr="00763F63" w:rsidRDefault="7AD54BA4" w:rsidP="0B8A440C">
            <w:pPr>
              <w:rPr>
                <w:rFonts w:asciiTheme="minorHAnsi" w:eastAsiaTheme="minorEastAsia" w:hAnsiTheme="minorHAnsi" w:cstheme="minorBidi"/>
                <w:sz w:val="14"/>
                <w:szCs w:val="14"/>
              </w:rPr>
            </w:pPr>
            <w:r w:rsidRPr="0B8A440C">
              <w:rPr>
                <w:rFonts w:asciiTheme="minorHAnsi" w:eastAsiaTheme="minorEastAsia" w:hAnsiTheme="minorHAnsi" w:cstheme="minorBidi"/>
                <w:sz w:val="14"/>
                <w:szCs w:val="14"/>
              </w:rPr>
              <w:t>6. Developing and Implementing evaluations of Perkins-funded activities</w:t>
            </w:r>
          </w:p>
          <w:p w14:paraId="1530527A" w14:textId="77777777" w:rsidR="0044515D" w:rsidRPr="00763F63" w:rsidRDefault="0044515D" w:rsidP="0B8A440C">
            <w:pPr>
              <w:pStyle w:val="ListParagraph"/>
              <w:rPr>
                <w:sz w:val="14"/>
                <w:szCs w:val="14"/>
              </w:rPr>
            </w:pPr>
          </w:p>
        </w:tc>
      </w:tr>
    </w:tbl>
    <w:p w14:paraId="395A57BE" w14:textId="4B57A337" w:rsidR="0042798F" w:rsidRPr="00E653C1" w:rsidRDefault="0042798F" w:rsidP="00E24D66">
      <w:pPr>
        <w:spacing w:after="0" w:line="240" w:lineRule="auto"/>
        <w:rPr>
          <w:b/>
          <w:sz w:val="36"/>
          <w:szCs w:val="36"/>
        </w:rPr>
      </w:pPr>
    </w:p>
    <w:p w14:paraId="6336B330" w14:textId="77777777" w:rsidR="00A1463F" w:rsidRPr="00E653C1" w:rsidRDefault="00A1463F" w:rsidP="00E24D66">
      <w:pPr>
        <w:pStyle w:val="NormalWeb"/>
        <w:shd w:val="clear" w:color="auto" w:fill="FFFFFF"/>
        <w:spacing w:before="0" w:beforeAutospacing="0" w:after="0" w:afterAutospacing="0"/>
        <w:rPr>
          <w:color w:val="201F1E"/>
          <w:sz w:val="28"/>
          <w:szCs w:val="28"/>
        </w:rPr>
      </w:pPr>
      <w:r w:rsidRPr="00E653C1">
        <w:rPr>
          <w:rFonts w:ascii="Calibri" w:hAnsi="Calibri" w:cs="Calibri"/>
          <w:b/>
          <w:bCs/>
          <w:color w:val="201F1E"/>
          <w:sz w:val="22"/>
          <w:szCs w:val="22"/>
          <w:bdr w:val="none" w:sz="0" w:space="0" w:color="auto" w:frame="1"/>
        </w:rPr>
        <w:t>Who to contact:</w:t>
      </w:r>
    </w:p>
    <w:p w14:paraId="44852FB9" w14:textId="7012A92E" w:rsidR="00A1463F" w:rsidRPr="00E653C1" w:rsidRDefault="00A1463F" w:rsidP="00C250EF">
      <w:pPr>
        <w:numPr>
          <w:ilvl w:val="0"/>
          <w:numId w:val="10"/>
        </w:numPr>
        <w:shd w:val="clear" w:color="auto" w:fill="FFFFFF"/>
        <w:spacing w:after="0" w:line="240" w:lineRule="auto"/>
        <w:rPr>
          <w:color w:val="201F1E"/>
          <w:sz w:val="28"/>
          <w:szCs w:val="28"/>
        </w:rPr>
      </w:pPr>
      <w:r w:rsidRPr="00E653C1">
        <w:rPr>
          <w:rFonts w:ascii="Calibri" w:hAnsi="Calibri" w:cs="Calibri"/>
          <w:color w:val="201F1E"/>
          <w:bdr w:val="none" w:sz="0" w:space="0" w:color="auto" w:frame="1"/>
        </w:rPr>
        <w:t>For programmatic questions, please contact the </w:t>
      </w:r>
      <w:r w:rsidRPr="00E653C1">
        <w:rPr>
          <w:rFonts w:ascii="Calibri" w:hAnsi="Calibri" w:cs="Calibri"/>
          <w:b/>
          <w:bCs/>
          <w:color w:val="201F1E"/>
          <w:bdr w:val="none" w:sz="0" w:space="0" w:color="auto" w:frame="1"/>
        </w:rPr>
        <w:t>Office for College, Career, and Technical Education (CCTE)</w:t>
      </w:r>
      <w:r w:rsidRPr="00E653C1">
        <w:rPr>
          <w:rFonts w:ascii="Calibri" w:hAnsi="Calibri" w:cs="Calibri"/>
          <w:color w:val="201F1E"/>
          <w:bdr w:val="none" w:sz="0" w:space="0" w:color="auto" w:frame="1"/>
        </w:rPr>
        <w:t> which oversees High Quality College and Career Pathways. Please contact the CCTE Office at 781-338-3910 or </w:t>
      </w:r>
      <w:hyperlink r:id="rId14" w:tgtFrame="_blank" w:history="1">
        <w:r w:rsidRPr="00E653C1">
          <w:rPr>
            <w:rStyle w:val="Hyperlink"/>
            <w:rFonts w:ascii="Calibri" w:hAnsi="Calibri" w:cs="Calibri"/>
            <w:bdr w:val="none" w:sz="0" w:space="0" w:color="auto" w:frame="1"/>
          </w:rPr>
          <w:t>CCTE@mass.gov</w:t>
        </w:r>
      </w:hyperlink>
      <w:r w:rsidRPr="00E653C1">
        <w:rPr>
          <w:rFonts w:ascii="Calibri" w:hAnsi="Calibri" w:cs="Calibri"/>
          <w:color w:val="201F1E"/>
          <w:bdr w:val="none" w:sz="0" w:space="0" w:color="auto" w:frame="1"/>
        </w:rPr>
        <w:t> or </w:t>
      </w:r>
      <w:r w:rsidRPr="00E653C1">
        <w:rPr>
          <w:rFonts w:ascii="Calibri" w:hAnsi="Calibri" w:cs="Calibri"/>
          <w:color w:val="000000"/>
          <w:bdr w:val="none" w:sz="0" w:space="0" w:color="auto" w:frame="1"/>
          <w:shd w:val="clear" w:color="auto" w:fill="FFFFFF"/>
        </w:rPr>
        <w:t>go to the </w:t>
      </w:r>
      <w:hyperlink r:id="rId15" w:tgtFrame="_blank" w:history="1">
        <w:r w:rsidRPr="00E653C1">
          <w:rPr>
            <w:rStyle w:val="Hyperlink"/>
            <w:rFonts w:ascii="Calibri" w:hAnsi="Calibri" w:cs="Calibri"/>
            <w:bdr w:val="none" w:sz="0" w:space="0" w:color="auto" w:frame="1"/>
          </w:rPr>
          <w:t>list of CCTE district liaisons</w:t>
        </w:r>
      </w:hyperlink>
      <w:r w:rsidRPr="00E653C1">
        <w:rPr>
          <w:rFonts w:ascii="Calibri" w:hAnsi="Calibri" w:cs="Calibri"/>
          <w:color w:val="201F1E"/>
          <w:bdr w:val="none" w:sz="0" w:space="0" w:color="auto" w:frame="1"/>
        </w:rPr>
        <w:t>.</w:t>
      </w:r>
    </w:p>
    <w:p w14:paraId="2426B36A" w14:textId="1C5585AD" w:rsidR="0050366E" w:rsidRPr="00E653C1" w:rsidRDefault="6065FC04" w:rsidP="00C250EF">
      <w:pPr>
        <w:numPr>
          <w:ilvl w:val="0"/>
          <w:numId w:val="10"/>
        </w:numPr>
        <w:shd w:val="clear" w:color="auto" w:fill="FFFFFF" w:themeFill="background1"/>
        <w:spacing w:after="0" w:line="240" w:lineRule="auto"/>
        <w:rPr>
          <w:color w:val="201F1E"/>
          <w:sz w:val="28"/>
          <w:szCs w:val="28"/>
        </w:rPr>
      </w:pPr>
      <w:r w:rsidRPr="00E653C1">
        <w:rPr>
          <w:rFonts w:ascii="Calibri" w:hAnsi="Calibri" w:cs="Calibri"/>
          <w:color w:val="201F1E"/>
          <w:bdr w:val="none" w:sz="0" w:space="0" w:color="auto" w:frame="1"/>
        </w:rPr>
        <w:t xml:space="preserve">For Perkins Fund Code 400 &amp; 401 </w:t>
      </w:r>
      <w:r w:rsidRPr="00E653C1">
        <w:rPr>
          <w:rFonts w:ascii="Calibri" w:hAnsi="Calibri" w:cs="Calibri"/>
          <w:b/>
          <w:bCs/>
          <w:color w:val="201F1E"/>
          <w:u w:val="single"/>
          <w:bdr w:val="none" w:sz="0" w:space="0" w:color="auto" w:frame="1"/>
        </w:rPr>
        <w:t>grant application questions</w:t>
      </w:r>
      <w:r w:rsidRPr="00E653C1">
        <w:rPr>
          <w:rFonts w:ascii="Calibri" w:hAnsi="Calibri" w:cs="Calibri"/>
          <w:color w:val="201F1E"/>
          <w:bdr w:val="none" w:sz="0" w:space="0" w:color="auto" w:frame="1"/>
        </w:rPr>
        <w:t>, please contact the </w:t>
      </w:r>
      <w:hyperlink r:id="rId16">
        <w:r w:rsidRPr="00E653C1">
          <w:rPr>
            <w:rStyle w:val="Hyperlink"/>
          </w:rPr>
          <w:t>Federal Grant Programs</w:t>
        </w:r>
      </w:hyperlink>
      <w:r w:rsidRPr="00E653C1">
        <w:rPr>
          <w:rFonts w:ascii="Calibri" w:hAnsi="Calibri" w:cs="Calibri"/>
          <w:color w:val="201F1E"/>
          <w:bdr w:val="none" w:sz="0" w:space="0" w:color="auto" w:frame="1"/>
        </w:rPr>
        <w:t xml:space="preserve"> office, which oversees federal grants, at 781-338-6230 or contact your </w:t>
      </w:r>
      <w:hyperlink r:id="rId17" w:tgtFrame="_blank" w:history="1">
        <w:r w:rsidRPr="00E653C1">
          <w:rPr>
            <w:rStyle w:val="Hyperlink"/>
            <w:rFonts w:ascii="Calibri" w:hAnsi="Calibri" w:cs="Calibri"/>
            <w:bdr w:val="none" w:sz="0" w:space="0" w:color="auto" w:frame="1"/>
          </w:rPr>
          <w:t>federal grants liaison</w:t>
        </w:r>
      </w:hyperlink>
      <w:r w:rsidRPr="00E653C1">
        <w:rPr>
          <w:rFonts w:ascii="Calibri" w:hAnsi="Calibri" w:cs="Calibri"/>
          <w:color w:val="201F1E"/>
          <w:bdr w:val="none" w:sz="0" w:space="0" w:color="auto" w:frame="1"/>
        </w:rPr>
        <w:t xml:space="preserve"> directly. </w:t>
      </w:r>
    </w:p>
    <w:p w14:paraId="5B0D4597" w14:textId="290AF35B" w:rsidR="00817C40" w:rsidRPr="00E653C1" w:rsidRDefault="0050366E" w:rsidP="00C250EF">
      <w:pPr>
        <w:numPr>
          <w:ilvl w:val="0"/>
          <w:numId w:val="10"/>
        </w:numPr>
        <w:shd w:val="clear" w:color="auto" w:fill="FFFFFF"/>
        <w:spacing w:after="0" w:line="240" w:lineRule="auto"/>
        <w:rPr>
          <w:color w:val="201F1E"/>
          <w:sz w:val="28"/>
          <w:szCs w:val="28"/>
        </w:rPr>
      </w:pPr>
      <w:r w:rsidRPr="00E653C1">
        <w:rPr>
          <w:rFonts w:ascii="Calibri" w:hAnsi="Calibri" w:cs="Calibri"/>
          <w:color w:val="201F1E"/>
          <w:bdr w:val="none" w:sz="0" w:space="0" w:color="auto" w:frame="1"/>
        </w:rPr>
        <w:t> </w:t>
      </w:r>
      <w:r w:rsidR="00A1463F" w:rsidRPr="00E653C1">
        <w:rPr>
          <w:rFonts w:ascii="Calibri" w:hAnsi="Calibri" w:cs="Calibri"/>
          <w:color w:val="201F1E"/>
          <w:bdr w:val="none" w:sz="0" w:space="0" w:color="auto" w:frame="1"/>
        </w:rPr>
        <w:t>For programmatic and grant questions related to correctional agencies, please contact Karen DeCoster, Corrections Education Specialist in the </w:t>
      </w:r>
      <w:r w:rsidR="00A1463F" w:rsidRPr="00E653C1">
        <w:rPr>
          <w:rFonts w:ascii="Calibri" w:hAnsi="Calibri" w:cs="Calibri"/>
          <w:b/>
          <w:bCs/>
          <w:color w:val="201F1E"/>
          <w:bdr w:val="none" w:sz="0" w:space="0" w:color="auto" w:frame="1"/>
        </w:rPr>
        <w:t>Office for Adult &amp; Community Learning Services (ACLS), </w:t>
      </w:r>
      <w:r w:rsidR="00A1463F" w:rsidRPr="00E653C1">
        <w:rPr>
          <w:rFonts w:ascii="Calibri" w:hAnsi="Calibri" w:cs="Calibri"/>
          <w:color w:val="201F1E"/>
          <w:bdr w:val="none" w:sz="0" w:space="0" w:color="auto" w:frame="1"/>
        </w:rPr>
        <w:t>at 781-338-3815 or </w:t>
      </w:r>
      <w:hyperlink r:id="rId18" w:tgtFrame="_blank" w:history="1">
        <w:r w:rsidR="00A1463F" w:rsidRPr="00E653C1">
          <w:rPr>
            <w:rStyle w:val="Hyperlink"/>
            <w:rFonts w:ascii="Calibri" w:hAnsi="Calibri" w:cs="Calibri"/>
            <w:bdr w:val="none" w:sz="0" w:space="0" w:color="auto" w:frame="1"/>
          </w:rPr>
          <w:t>KarenA.DeCoster@mass.gov</w:t>
        </w:r>
      </w:hyperlink>
      <w:r w:rsidR="00A1463F" w:rsidRPr="00E653C1">
        <w:rPr>
          <w:rFonts w:ascii="Calibri" w:hAnsi="Calibri" w:cs="Calibri"/>
          <w:color w:val="201F1E"/>
          <w:bdr w:val="none" w:sz="0" w:space="0" w:color="auto" w:frame="1"/>
        </w:rPr>
        <w:t>.</w:t>
      </w:r>
    </w:p>
    <w:sectPr w:rsidR="00817C40" w:rsidRPr="00E653C1" w:rsidSect="009F512A">
      <w:headerReference w:type="default" r:id="rId19"/>
      <w:footerReference w:type="default" r:id="rId20"/>
      <w:pgSz w:w="15840" w:h="12240" w:orient="landscape"/>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2737C" w14:textId="77777777" w:rsidR="005C1366" w:rsidRDefault="005C1366" w:rsidP="002123C2">
      <w:pPr>
        <w:spacing w:after="0" w:line="240" w:lineRule="auto"/>
      </w:pPr>
      <w:r>
        <w:separator/>
      </w:r>
    </w:p>
  </w:endnote>
  <w:endnote w:type="continuationSeparator" w:id="0">
    <w:p w14:paraId="54A47FB0" w14:textId="77777777" w:rsidR="005C1366" w:rsidRDefault="005C1366" w:rsidP="002123C2">
      <w:pPr>
        <w:spacing w:after="0" w:line="240" w:lineRule="auto"/>
      </w:pPr>
      <w:r>
        <w:continuationSeparator/>
      </w:r>
    </w:p>
  </w:endnote>
  <w:endnote w:type="continuationNotice" w:id="1">
    <w:p w14:paraId="743DDF47" w14:textId="77777777" w:rsidR="005C1366" w:rsidRDefault="005C1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tblGrid>
    <w:tr w:rsidR="0077234E" w14:paraId="147A853A" w14:textId="77777777" w:rsidTr="6E667898">
      <w:tc>
        <w:tcPr>
          <w:tcW w:w="4800" w:type="dxa"/>
        </w:tcPr>
        <w:p w14:paraId="65DAC197" w14:textId="7F9793D4" w:rsidR="0077234E" w:rsidRDefault="0077234E" w:rsidP="00D44767">
          <w:pPr>
            <w:pStyle w:val="Header"/>
          </w:pPr>
          <w:r>
            <w:t xml:space="preserve">                   </w:t>
          </w:r>
        </w:p>
      </w:tc>
      <w:tc>
        <w:tcPr>
          <w:tcW w:w="4800" w:type="dxa"/>
        </w:tcPr>
        <w:p w14:paraId="77FDF091" w14:textId="74B62A34" w:rsidR="0077234E" w:rsidRDefault="0077234E" w:rsidP="00D44767">
          <w:pPr>
            <w:pStyle w:val="Header"/>
            <w:ind w:right="-115"/>
          </w:pPr>
        </w:p>
      </w:tc>
    </w:tr>
    <w:tr w:rsidR="0077234E" w14:paraId="32A1B173" w14:textId="77777777" w:rsidTr="6E667898">
      <w:tc>
        <w:tcPr>
          <w:tcW w:w="4800" w:type="dxa"/>
        </w:tcPr>
        <w:p w14:paraId="56AA9309" w14:textId="77777777" w:rsidR="0077234E" w:rsidRDefault="0077234E" w:rsidP="6E667898">
          <w:pPr>
            <w:pStyle w:val="Header"/>
            <w:jc w:val="right"/>
          </w:pPr>
        </w:p>
      </w:tc>
      <w:tc>
        <w:tcPr>
          <w:tcW w:w="4800" w:type="dxa"/>
        </w:tcPr>
        <w:p w14:paraId="68D79CA7" w14:textId="77777777" w:rsidR="0077234E" w:rsidRDefault="0077234E" w:rsidP="6E667898">
          <w:pPr>
            <w:pStyle w:val="Header"/>
            <w:ind w:right="-115"/>
            <w:jc w:val="right"/>
          </w:pPr>
        </w:p>
      </w:tc>
    </w:tr>
  </w:tbl>
  <w:p w14:paraId="2403AFB2" w14:textId="23D4B7CF" w:rsidR="00D56762" w:rsidRDefault="00D56762" w:rsidP="6E667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26CC3" w14:textId="77777777" w:rsidR="005C1366" w:rsidRDefault="005C1366" w:rsidP="002123C2">
      <w:pPr>
        <w:spacing w:after="0" w:line="240" w:lineRule="auto"/>
      </w:pPr>
      <w:r>
        <w:separator/>
      </w:r>
    </w:p>
  </w:footnote>
  <w:footnote w:type="continuationSeparator" w:id="0">
    <w:p w14:paraId="314533D9" w14:textId="77777777" w:rsidR="005C1366" w:rsidRDefault="005C1366" w:rsidP="002123C2">
      <w:pPr>
        <w:spacing w:after="0" w:line="240" w:lineRule="auto"/>
      </w:pPr>
      <w:r>
        <w:continuationSeparator/>
      </w:r>
    </w:p>
  </w:footnote>
  <w:footnote w:type="continuationNotice" w:id="1">
    <w:p w14:paraId="086F7639" w14:textId="77777777" w:rsidR="005C1366" w:rsidRDefault="005C1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E667898" w14:paraId="0852136C" w14:textId="77777777" w:rsidTr="6E667898">
      <w:tc>
        <w:tcPr>
          <w:tcW w:w="4800" w:type="dxa"/>
        </w:tcPr>
        <w:p w14:paraId="28210DD5" w14:textId="69038D93" w:rsidR="6E667898" w:rsidRDefault="6E667898" w:rsidP="6E667898">
          <w:pPr>
            <w:pStyle w:val="Header"/>
            <w:ind w:left="-115"/>
          </w:pPr>
        </w:p>
      </w:tc>
      <w:tc>
        <w:tcPr>
          <w:tcW w:w="4800" w:type="dxa"/>
        </w:tcPr>
        <w:p w14:paraId="04D55A52" w14:textId="380D59F3" w:rsidR="6E667898" w:rsidRDefault="6E667898" w:rsidP="6E667898">
          <w:pPr>
            <w:pStyle w:val="Header"/>
            <w:jc w:val="center"/>
          </w:pPr>
        </w:p>
      </w:tc>
      <w:tc>
        <w:tcPr>
          <w:tcW w:w="4800" w:type="dxa"/>
        </w:tcPr>
        <w:p w14:paraId="0E356876" w14:textId="0B290114" w:rsidR="6E667898" w:rsidRDefault="6E667898" w:rsidP="6E667898">
          <w:pPr>
            <w:pStyle w:val="Header"/>
            <w:ind w:right="-115"/>
            <w:jc w:val="right"/>
          </w:pPr>
        </w:p>
      </w:tc>
    </w:tr>
  </w:tbl>
  <w:p w14:paraId="50251225" w14:textId="484C01A3" w:rsidR="00D56762" w:rsidRPr="00F71E79" w:rsidRDefault="00D56762" w:rsidP="6E667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644C"/>
    <w:multiLevelType w:val="hybridMultilevel"/>
    <w:tmpl w:val="E180894E"/>
    <w:lvl w:ilvl="0" w:tplc="F6D4D06E">
      <w:start w:val="1"/>
      <w:numFmt w:val="bullet"/>
      <w:lvlText w:val="·"/>
      <w:lvlJc w:val="left"/>
      <w:pPr>
        <w:ind w:left="360" w:hanging="360"/>
      </w:pPr>
      <w:rPr>
        <w:rFonts w:ascii="Symbol" w:hAnsi="Symbol" w:hint="default"/>
      </w:rPr>
    </w:lvl>
    <w:lvl w:ilvl="1" w:tplc="9474A7C4">
      <w:start w:val="1"/>
      <w:numFmt w:val="bullet"/>
      <w:lvlText w:val="o"/>
      <w:lvlJc w:val="left"/>
      <w:pPr>
        <w:ind w:left="1080" w:hanging="360"/>
      </w:pPr>
      <w:rPr>
        <w:rFonts w:ascii="&quot;Courier New&quot;" w:hAnsi="&quot;Courier New&quot;" w:hint="default"/>
      </w:rPr>
    </w:lvl>
    <w:lvl w:ilvl="2" w:tplc="922E5A74">
      <w:start w:val="1"/>
      <w:numFmt w:val="bullet"/>
      <w:lvlText w:val=""/>
      <w:lvlJc w:val="left"/>
      <w:pPr>
        <w:ind w:left="1800" w:hanging="360"/>
      </w:pPr>
      <w:rPr>
        <w:rFonts w:ascii="Wingdings" w:hAnsi="Wingdings" w:hint="default"/>
      </w:rPr>
    </w:lvl>
    <w:lvl w:ilvl="3" w:tplc="A83C70CC">
      <w:start w:val="1"/>
      <w:numFmt w:val="bullet"/>
      <w:lvlText w:val=""/>
      <w:lvlJc w:val="left"/>
      <w:pPr>
        <w:ind w:left="2520" w:hanging="360"/>
      </w:pPr>
      <w:rPr>
        <w:rFonts w:ascii="Symbol" w:hAnsi="Symbol" w:hint="default"/>
      </w:rPr>
    </w:lvl>
    <w:lvl w:ilvl="4" w:tplc="C2DE3582">
      <w:start w:val="1"/>
      <w:numFmt w:val="bullet"/>
      <w:lvlText w:val="o"/>
      <w:lvlJc w:val="left"/>
      <w:pPr>
        <w:ind w:left="3240" w:hanging="360"/>
      </w:pPr>
      <w:rPr>
        <w:rFonts w:ascii="Courier New" w:hAnsi="Courier New" w:hint="default"/>
      </w:rPr>
    </w:lvl>
    <w:lvl w:ilvl="5" w:tplc="08F29802">
      <w:start w:val="1"/>
      <w:numFmt w:val="bullet"/>
      <w:lvlText w:val=""/>
      <w:lvlJc w:val="left"/>
      <w:pPr>
        <w:ind w:left="3960" w:hanging="360"/>
      </w:pPr>
      <w:rPr>
        <w:rFonts w:ascii="Wingdings" w:hAnsi="Wingdings" w:hint="default"/>
      </w:rPr>
    </w:lvl>
    <w:lvl w:ilvl="6" w:tplc="126C0F14">
      <w:start w:val="1"/>
      <w:numFmt w:val="bullet"/>
      <w:lvlText w:val=""/>
      <w:lvlJc w:val="left"/>
      <w:pPr>
        <w:ind w:left="4680" w:hanging="360"/>
      </w:pPr>
      <w:rPr>
        <w:rFonts w:ascii="Symbol" w:hAnsi="Symbol" w:hint="default"/>
      </w:rPr>
    </w:lvl>
    <w:lvl w:ilvl="7" w:tplc="BE8EE516">
      <w:start w:val="1"/>
      <w:numFmt w:val="bullet"/>
      <w:lvlText w:val="o"/>
      <w:lvlJc w:val="left"/>
      <w:pPr>
        <w:ind w:left="5400" w:hanging="360"/>
      </w:pPr>
      <w:rPr>
        <w:rFonts w:ascii="Courier New" w:hAnsi="Courier New" w:hint="default"/>
      </w:rPr>
    </w:lvl>
    <w:lvl w:ilvl="8" w:tplc="2D766470">
      <w:start w:val="1"/>
      <w:numFmt w:val="bullet"/>
      <w:lvlText w:val=""/>
      <w:lvlJc w:val="left"/>
      <w:pPr>
        <w:ind w:left="6120" w:hanging="360"/>
      </w:pPr>
      <w:rPr>
        <w:rFonts w:ascii="Wingdings" w:hAnsi="Wingdings" w:hint="default"/>
      </w:rPr>
    </w:lvl>
  </w:abstractNum>
  <w:abstractNum w:abstractNumId="1"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05F75"/>
    <w:multiLevelType w:val="multilevel"/>
    <w:tmpl w:val="C90A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703C3A"/>
    <w:multiLevelType w:val="hybridMultilevel"/>
    <w:tmpl w:val="FFFFFFFF"/>
    <w:lvl w:ilvl="0" w:tplc="97867056">
      <w:start w:val="1"/>
      <w:numFmt w:val="bullet"/>
      <w:lvlText w:val=""/>
      <w:lvlJc w:val="left"/>
      <w:pPr>
        <w:ind w:left="720" w:hanging="360"/>
      </w:pPr>
      <w:rPr>
        <w:rFonts w:ascii="Symbol" w:hAnsi="Symbol" w:hint="default"/>
      </w:rPr>
    </w:lvl>
    <w:lvl w:ilvl="1" w:tplc="F1D05A62">
      <w:start w:val="1"/>
      <w:numFmt w:val="bullet"/>
      <w:lvlText w:val="o"/>
      <w:lvlJc w:val="left"/>
      <w:pPr>
        <w:ind w:left="1440" w:hanging="360"/>
      </w:pPr>
      <w:rPr>
        <w:rFonts w:ascii="Courier New" w:hAnsi="Courier New" w:hint="default"/>
      </w:rPr>
    </w:lvl>
    <w:lvl w:ilvl="2" w:tplc="C0A88660">
      <w:start w:val="1"/>
      <w:numFmt w:val="bullet"/>
      <w:lvlText w:val=""/>
      <w:lvlJc w:val="left"/>
      <w:pPr>
        <w:ind w:left="2160" w:hanging="360"/>
      </w:pPr>
      <w:rPr>
        <w:rFonts w:ascii="Wingdings" w:hAnsi="Wingdings" w:hint="default"/>
      </w:rPr>
    </w:lvl>
    <w:lvl w:ilvl="3" w:tplc="A404C94C">
      <w:start w:val="1"/>
      <w:numFmt w:val="bullet"/>
      <w:lvlText w:val=""/>
      <w:lvlJc w:val="left"/>
      <w:pPr>
        <w:ind w:left="2880" w:hanging="360"/>
      </w:pPr>
      <w:rPr>
        <w:rFonts w:ascii="Symbol" w:hAnsi="Symbol" w:hint="default"/>
      </w:rPr>
    </w:lvl>
    <w:lvl w:ilvl="4" w:tplc="20CEFBD6">
      <w:start w:val="1"/>
      <w:numFmt w:val="bullet"/>
      <w:lvlText w:val="o"/>
      <w:lvlJc w:val="left"/>
      <w:pPr>
        <w:ind w:left="3600" w:hanging="360"/>
      </w:pPr>
      <w:rPr>
        <w:rFonts w:ascii="Courier New" w:hAnsi="Courier New" w:hint="default"/>
      </w:rPr>
    </w:lvl>
    <w:lvl w:ilvl="5" w:tplc="FC9EFB32">
      <w:start w:val="1"/>
      <w:numFmt w:val="bullet"/>
      <w:lvlText w:val=""/>
      <w:lvlJc w:val="left"/>
      <w:pPr>
        <w:ind w:left="4320" w:hanging="360"/>
      </w:pPr>
      <w:rPr>
        <w:rFonts w:ascii="Wingdings" w:hAnsi="Wingdings" w:hint="default"/>
      </w:rPr>
    </w:lvl>
    <w:lvl w:ilvl="6" w:tplc="30325316">
      <w:start w:val="1"/>
      <w:numFmt w:val="bullet"/>
      <w:lvlText w:val=""/>
      <w:lvlJc w:val="left"/>
      <w:pPr>
        <w:ind w:left="5040" w:hanging="360"/>
      </w:pPr>
      <w:rPr>
        <w:rFonts w:ascii="Symbol" w:hAnsi="Symbol" w:hint="default"/>
      </w:rPr>
    </w:lvl>
    <w:lvl w:ilvl="7" w:tplc="CA62A59A">
      <w:start w:val="1"/>
      <w:numFmt w:val="bullet"/>
      <w:lvlText w:val="o"/>
      <w:lvlJc w:val="left"/>
      <w:pPr>
        <w:ind w:left="5760" w:hanging="360"/>
      </w:pPr>
      <w:rPr>
        <w:rFonts w:ascii="Courier New" w:hAnsi="Courier New" w:hint="default"/>
      </w:rPr>
    </w:lvl>
    <w:lvl w:ilvl="8" w:tplc="80D045D4">
      <w:start w:val="1"/>
      <w:numFmt w:val="bullet"/>
      <w:lvlText w:val=""/>
      <w:lvlJc w:val="left"/>
      <w:pPr>
        <w:ind w:left="6480" w:hanging="360"/>
      </w:pPr>
      <w:rPr>
        <w:rFonts w:ascii="Wingdings" w:hAnsi="Wingdings" w:hint="default"/>
      </w:rPr>
    </w:lvl>
  </w:abstractNum>
  <w:abstractNum w:abstractNumId="5" w15:restartNumberingAfterBreak="0">
    <w:nsid w:val="2E8268CE"/>
    <w:multiLevelType w:val="hybridMultilevel"/>
    <w:tmpl w:val="5D341AF8"/>
    <w:lvl w:ilvl="0" w:tplc="4CF83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4037BB"/>
    <w:multiLevelType w:val="hybridMultilevel"/>
    <w:tmpl w:val="805A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D1608"/>
    <w:multiLevelType w:val="hybridMultilevel"/>
    <w:tmpl w:val="FFFFFFFF"/>
    <w:lvl w:ilvl="0" w:tplc="F0162832">
      <w:start w:val="1"/>
      <w:numFmt w:val="bullet"/>
      <w:lvlText w:val=""/>
      <w:lvlJc w:val="left"/>
      <w:pPr>
        <w:ind w:left="360" w:hanging="360"/>
      </w:pPr>
      <w:rPr>
        <w:rFonts w:ascii="Symbol" w:hAnsi="Symbol" w:hint="default"/>
      </w:rPr>
    </w:lvl>
    <w:lvl w:ilvl="1" w:tplc="58E0F6FC">
      <w:start w:val="1"/>
      <w:numFmt w:val="bullet"/>
      <w:lvlText w:val="o"/>
      <w:lvlJc w:val="left"/>
      <w:pPr>
        <w:ind w:left="1080" w:hanging="360"/>
      </w:pPr>
      <w:rPr>
        <w:rFonts w:ascii="Courier New" w:hAnsi="Courier New" w:hint="default"/>
      </w:rPr>
    </w:lvl>
    <w:lvl w:ilvl="2" w:tplc="B9046C2E">
      <w:start w:val="1"/>
      <w:numFmt w:val="bullet"/>
      <w:lvlText w:val=""/>
      <w:lvlJc w:val="left"/>
      <w:pPr>
        <w:ind w:left="1800" w:hanging="360"/>
      </w:pPr>
      <w:rPr>
        <w:rFonts w:ascii="Wingdings" w:hAnsi="Wingdings" w:hint="default"/>
      </w:rPr>
    </w:lvl>
    <w:lvl w:ilvl="3" w:tplc="79843E42">
      <w:start w:val="1"/>
      <w:numFmt w:val="bullet"/>
      <w:lvlText w:val=""/>
      <w:lvlJc w:val="left"/>
      <w:pPr>
        <w:ind w:left="2520" w:hanging="360"/>
      </w:pPr>
      <w:rPr>
        <w:rFonts w:ascii="Symbol" w:hAnsi="Symbol" w:hint="default"/>
      </w:rPr>
    </w:lvl>
    <w:lvl w:ilvl="4" w:tplc="C0AC055E">
      <w:start w:val="1"/>
      <w:numFmt w:val="bullet"/>
      <w:lvlText w:val="o"/>
      <w:lvlJc w:val="left"/>
      <w:pPr>
        <w:ind w:left="3240" w:hanging="360"/>
      </w:pPr>
      <w:rPr>
        <w:rFonts w:ascii="Courier New" w:hAnsi="Courier New" w:hint="default"/>
      </w:rPr>
    </w:lvl>
    <w:lvl w:ilvl="5" w:tplc="3048C1C0">
      <w:start w:val="1"/>
      <w:numFmt w:val="bullet"/>
      <w:lvlText w:val=""/>
      <w:lvlJc w:val="left"/>
      <w:pPr>
        <w:ind w:left="3960" w:hanging="360"/>
      </w:pPr>
      <w:rPr>
        <w:rFonts w:ascii="Wingdings" w:hAnsi="Wingdings" w:hint="default"/>
      </w:rPr>
    </w:lvl>
    <w:lvl w:ilvl="6" w:tplc="6F8A7BEE">
      <w:start w:val="1"/>
      <w:numFmt w:val="bullet"/>
      <w:lvlText w:val=""/>
      <w:lvlJc w:val="left"/>
      <w:pPr>
        <w:ind w:left="4680" w:hanging="360"/>
      </w:pPr>
      <w:rPr>
        <w:rFonts w:ascii="Symbol" w:hAnsi="Symbol" w:hint="default"/>
      </w:rPr>
    </w:lvl>
    <w:lvl w:ilvl="7" w:tplc="C338EFF0">
      <w:start w:val="1"/>
      <w:numFmt w:val="bullet"/>
      <w:lvlText w:val="o"/>
      <w:lvlJc w:val="left"/>
      <w:pPr>
        <w:ind w:left="5400" w:hanging="360"/>
      </w:pPr>
      <w:rPr>
        <w:rFonts w:ascii="Courier New" w:hAnsi="Courier New" w:hint="default"/>
      </w:rPr>
    </w:lvl>
    <w:lvl w:ilvl="8" w:tplc="724EA380">
      <w:start w:val="1"/>
      <w:numFmt w:val="bullet"/>
      <w:lvlText w:val=""/>
      <w:lvlJc w:val="left"/>
      <w:pPr>
        <w:ind w:left="6120" w:hanging="360"/>
      </w:pPr>
      <w:rPr>
        <w:rFonts w:ascii="Wingdings" w:hAnsi="Wingdings" w:hint="default"/>
      </w:rPr>
    </w:lvl>
  </w:abstractNum>
  <w:abstractNum w:abstractNumId="8" w15:restartNumberingAfterBreak="0">
    <w:nsid w:val="5E46616D"/>
    <w:multiLevelType w:val="hybridMultilevel"/>
    <w:tmpl w:val="FFFFFFFF"/>
    <w:lvl w:ilvl="0" w:tplc="D2F0D0D6">
      <w:start w:val="1"/>
      <w:numFmt w:val="bullet"/>
      <w:lvlText w:val=""/>
      <w:lvlJc w:val="left"/>
      <w:pPr>
        <w:ind w:left="360" w:hanging="360"/>
      </w:pPr>
      <w:rPr>
        <w:rFonts w:ascii="Symbol" w:hAnsi="Symbol" w:hint="default"/>
      </w:rPr>
    </w:lvl>
    <w:lvl w:ilvl="1" w:tplc="3DF672BA">
      <w:start w:val="1"/>
      <w:numFmt w:val="bullet"/>
      <w:lvlText w:val="o"/>
      <w:lvlJc w:val="left"/>
      <w:pPr>
        <w:ind w:left="1080" w:hanging="360"/>
      </w:pPr>
      <w:rPr>
        <w:rFonts w:ascii="Courier New" w:hAnsi="Courier New" w:hint="default"/>
      </w:rPr>
    </w:lvl>
    <w:lvl w:ilvl="2" w:tplc="E20CAB54">
      <w:start w:val="1"/>
      <w:numFmt w:val="bullet"/>
      <w:lvlText w:val=""/>
      <w:lvlJc w:val="left"/>
      <w:pPr>
        <w:ind w:left="1800" w:hanging="360"/>
      </w:pPr>
      <w:rPr>
        <w:rFonts w:ascii="Wingdings" w:hAnsi="Wingdings" w:hint="default"/>
      </w:rPr>
    </w:lvl>
    <w:lvl w:ilvl="3" w:tplc="284C32B8">
      <w:start w:val="1"/>
      <w:numFmt w:val="bullet"/>
      <w:lvlText w:val=""/>
      <w:lvlJc w:val="left"/>
      <w:pPr>
        <w:ind w:left="2520" w:hanging="360"/>
      </w:pPr>
      <w:rPr>
        <w:rFonts w:ascii="Symbol" w:hAnsi="Symbol" w:hint="default"/>
      </w:rPr>
    </w:lvl>
    <w:lvl w:ilvl="4" w:tplc="4D0E6C2A">
      <w:start w:val="1"/>
      <w:numFmt w:val="bullet"/>
      <w:lvlText w:val="o"/>
      <w:lvlJc w:val="left"/>
      <w:pPr>
        <w:ind w:left="3240" w:hanging="360"/>
      </w:pPr>
      <w:rPr>
        <w:rFonts w:ascii="Courier New" w:hAnsi="Courier New" w:hint="default"/>
      </w:rPr>
    </w:lvl>
    <w:lvl w:ilvl="5" w:tplc="F106122A">
      <w:start w:val="1"/>
      <w:numFmt w:val="bullet"/>
      <w:lvlText w:val=""/>
      <w:lvlJc w:val="left"/>
      <w:pPr>
        <w:ind w:left="3960" w:hanging="360"/>
      </w:pPr>
      <w:rPr>
        <w:rFonts w:ascii="Wingdings" w:hAnsi="Wingdings" w:hint="default"/>
      </w:rPr>
    </w:lvl>
    <w:lvl w:ilvl="6" w:tplc="3170238E">
      <w:start w:val="1"/>
      <w:numFmt w:val="bullet"/>
      <w:lvlText w:val=""/>
      <w:lvlJc w:val="left"/>
      <w:pPr>
        <w:ind w:left="4680" w:hanging="360"/>
      </w:pPr>
      <w:rPr>
        <w:rFonts w:ascii="Symbol" w:hAnsi="Symbol" w:hint="default"/>
      </w:rPr>
    </w:lvl>
    <w:lvl w:ilvl="7" w:tplc="8BEECE52">
      <w:start w:val="1"/>
      <w:numFmt w:val="bullet"/>
      <w:lvlText w:val="o"/>
      <w:lvlJc w:val="left"/>
      <w:pPr>
        <w:ind w:left="5400" w:hanging="360"/>
      </w:pPr>
      <w:rPr>
        <w:rFonts w:ascii="Courier New" w:hAnsi="Courier New" w:hint="default"/>
      </w:rPr>
    </w:lvl>
    <w:lvl w:ilvl="8" w:tplc="D6E250D2">
      <w:start w:val="1"/>
      <w:numFmt w:val="bullet"/>
      <w:lvlText w:val=""/>
      <w:lvlJc w:val="left"/>
      <w:pPr>
        <w:ind w:left="6120" w:hanging="360"/>
      </w:pPr>
      <w:rPr>
        <w:rFonts w:ascii="Wingdings" w:hAnsi="Wingdings" w:hint="default"/>
      </w:rPr>
    </w:lvl>
  </w:abstractNum>
  <w:abstractNum w:abstractNumId="9" w15:restartNumberingAfterBreak="0">
    <w:nsid w:val="5F686742"/>
    <w:multiLevelType w:val="hybridMultilevel"/>
    <w:tmpl w:val="FFFFFFFF"/>
    <w:lvl w:ilvl="0" w:tplc="3E9678CC">
      <w:start w:val="1"/>
      <w:numFmt w:val="bullet"/>
      <w:lvlText w:val=""/>
      <w:lvlJc w:val="left"/>
      <w:pPr>
        <w:ind w:left="360" w:hanging="360"/>
      </w:pPr>
      <w:rPr>
        <w:rFonts w:ascii="Symbol" w:hAnsi="Symbol" w:hint="default"/>
      </w:rPr>
    </w:lvl>
    <w:lvl w:ilvl="1" w:tplc="A93266E0">
      <w:start w:val="1"/>
      <w:numFmt w:val="bullet"/>
      <w:lvlText w:val="o"/>
      <w:lvlJc w:val="left"/>
      <w:pPr>
        <w:ind w:left="1080" w:hanging="360"/>
      </w:pPr>
      <w:rPr>
        <w:rFonts w:ascii="Courier New" w:hAnsi="Courier New" w:hint="default"/>
      </w:rPr>
    </w:lvl>
    <w:lvl w:ilvl="2" w:tplc="181EB5F8">
      <w:start w:val="1"/>
      <w:numFmt w:val="bullet"/>
      <w:lvlText w:val=""/>
      <w:lvlJc w:val="left"/>
      <w:pPr>
        <w:ind w:left="1800" w:hanging="360"/>
      </w:pPr>
      <w:rPr>
        <w:rFonts w:ascii="Wingdings" w:hAnsi="Wingdings" w:hint="default"/>
      </w:rPr>
    </w:lvl>
    <w:lvl w:ilvl="3" w:tplc="7FA69E6C">
      <w:start w:val="1"/>
      <w:numFmt w:val="bullet"/>
      <w:lvlText w:val=""/>
      <w:lvlJc w:val="left"/>
      <w:pPr>
        <w:ind w:left="2520" w:hanging="360"/>
      </w:pPr>
      <w:rPr>
        <w:rFonts w:ascii="Symbol" w:hAnsi="Symbol" w:hint="default"/>
      </w:rPr>
    </w:lvl>
    <w:lvl w:ilvl="4" w:tplc="094036D6">
      <w:start w:val="1"/>
      <w:numFmt w:val="bullet"/>
      <w:lvlText w:val="o"/>
      <w:lvlJc w:val="left"/>
      <w:pPr>
        <w:ind w:left="3240" w:hanging="360"/>
      </w:pPr>
      <w:rPr>
        <w:rFonts w:ascii="Courier New" w:hAnsi="Courier New" w:hint="default"/>
      </w:rPr>
    </w:lvl>
    <w:lvl w:ilvl="5" w:tplc="219E2CD6">
      <w:start w:val="1"/>
      <w:numFmt w:val="bullet"/>
      <w:lvlText w:val=""/>
      <w:lvlJc w:val="left"/>
      <w:pPr>
        <w:ind w:left="3960" w:hanging="360"/>
      </w:pPr>
      <w:rPr>
        <w:rFonts w:ascii="Wingdings" w:hAnsi="Wingdings" w:hint="default"/>
      </w:rPr>
    </w:lvl>
    <w:lvl w:ilvl="6" w:tplc="6E74CDD6">
      <w:start w:val="1"/>
      <w:numFmt w:val="bullet"/>
      <w:lvlText w:val=""/>
      <w:lvlJc w:val="left"/>
      <w:pPr>
        <w:ind w:left="4680" w:hanging="360"/>
      </w:pPr>
      <w:rPr>
        <w:rFonts w:ascii="Symbol" w:hAnsi="Symbol" w:hint="default"/>
      </w:rPr>
    </w:lvl>
    <w:lvl w:ilvl="7" w:tplc="3BE07916">
      <w:start w:val="1"/>
      <w:numFmt w:val="bullet"/>
      <w:lvlText w:val="o"/>
      <w:lvlJc w:val="left"/>
      <w:pPr>
        <w:ind w:left="5400" w:hanging="360"/>
      </w:pPr>
      <w:rPr>
        <w:rFonts w:ascii="Courier New" w:hAnsi="Courier New" w:hint="default"/>
      </w:rPr>
    </w:lvl>
    <w:lvl w:ilvl="8" w:tplc="BB6003EE">
      <w:start w:val="1"/>
      <w:numFmt w:val="bullet"/>
      <w:lvlText w:val=""/>
      <w:lvlJc w:val="left"/>
      <w:pPr>
        <w:ind w:left="6120" w:hanging="360"/>
      </w:pPr>
      <w:rPr>
        <w:rFonts w:ascii="Wingdings" w:hAnsi="Wingdings" w:hint="default"/>
      </w:rPr>
    </w:lvl>
  </w:abstractNum>
  <w:abstractNum w:abstractNumId="10" w15:restartNumberingAfterBreak="0">
    <w:nsid w:val="65B93316"/>
    <w:multiLevelType w:val="hybridMultilevel"/>
    <w:tmpl w:val="FFFFFFFF"/>
    <w:lvl w:ilvl="0" w:tplc="32CC1B44">
      <w:start w:val="1"/>
      <w:numFmt w:val="bullet"/>
      <w:lvlText w:val=""/>
      <w:lvlJc w:val="left"/>
      <w:pPr>
        <w:ind w:left="360" w:hanging="360"/>
      </w:pPr>
      <w:rPr>
        <w:rFonts w:ascii="Symbol" w:hAnsi="Symbol" w:hint="default"/>
      </w:rPr>
    </w:lvl>
    <w:lvl w:ilvl="1" w:tplc="6EBE033A">
      <w:start w:val="1"/>
      <w:numFmt w:val="bullet"/>
      <w:lvlText w:val="o"/>
      <w:lvlJc w:val="left"/>
      <w:pPr>
        <w:ind w:left="1080" w:hanging="360"/>
      </w:pPr>
      <w:rPr>
        <w:rFonts w:ascii="Courier New" w:hAnsi="Courier New" w:hint="default"/>
      </w:rPr>
    </w:lvl>
    <w:lvl w:ilvl="2" w:tplc="0352C77A">
      <w:start w:val="1"/>
      <w:numFmt w:val="bullet"/>
      <w:lvlText w:val=""/>
      <w:lvlJc w:val="left"/>
      <w:pPr>
        <w:ind w:left="1800" w:hanging="360"/>
      </w:pPr>
      <w:rPr>
        <w:rFonts w:ascii="Wingdings" w:hAnsi="Wingdings" w:hint="default"/>
      </w:rPr>
    </w:lvl>
    <w:lvl w:ilvl="3" w:tplc="39BAFDCC">
      <w:start w:val="1"/>
      <w:numFmt w:val="bullet"/>
      <w:lvlText w:val=""/>
      <w:lvlJc w:val="left"/>
      <w:pPr>
        <w:ind w:left="2520" w:hanging="360"/>
      </w:pPr>
      <w:rPr>
        <w:rFonts w:ascii="Symbol" w:hAnsi="Symbol" w:hint="default"/>
      </w:rPr>
    </w:lvl>
    <w:lvl w:ilvl="4" w:tplc="2E1685FC">
      <w:start w:val="1"/>
      <w:numFmt w:val="bullet"/>
      <w:lvlText w:val="o"/>
      <w:lvlJc w:val="left"/>
      <w:pPr>
        <w:ind w:left="3240" w:hanging="360"/>
      </w:pPr>
      <w:rPr>
        <w:rFonts w:ascii="Courier New" w:hAnsi="Courier New" w:hint="default"/>
      </w:rPr>
    </w:lvl>
    <w:lvl w:ilvl="5" w:tplc="8828DA72">
      <w:start w:val="1"/>
      <w:numFmt w:val="bullet"/>
      <w:lvlText w:val=""/>
      <w:lvlJc w:val="left"/>
      <w:pPr>
        <w:ind w:left="3960" w:hanging="360"/>
      </w:pPr>
      <w:rPr>
        <w:rFonts w:ascii="Wingdings" w:hAnsi="Wingdings" w:hint="default"/>
      </w:rPr>
    </w:lvl>
    <w:lvl w:ilvl="6" w:tplc="0A607DA8">
      <w:start w:val="1"/>
      <w:numFmt w:val="bullet"/>
      <w:lvlText w:val=""/>
      <w:lvlJc w:val="left"/>
      <w:pPr>
        <w:ind w:left="4680" w:hanging="360"/>
      </w:pPr>
      <w:rPr>
        <w:rFonts w:ascii="Symbol" w:hAnsi="Symbol" w:hint="default"/>
      </w:rPr>
    </w:lvl>
    <w:lvl w:ilvl="7" w:tplc="F5C6473A">
      <w:start w:val="1"/>
      <w:numFmt w:val="bullet"/>
      <w:lvlText w:val="o"/>
      <w:lvlJc w:val="left"/>
      <w:pPr>
        <w:ind w:left="5400" w:hanging="360"/>
      </w:pPr>
      <w:rPr>
        <w:rFonts w:ascii="Courier New" w:hAnsi="Courier New" w:hint="default"/>
      </w:rPr>
    </w:lvl>
    <w:lvl w:ilvl="8" w:tplc="D310C7E0">
      <w:start w:val="1"/>
      <w:numFmt w:val="bullet"/>
      <w:lvlText w:val=""/>
      <w:lvlJc w:val="left"/>
      <w:pPr>
        <w:ind w:left="6120" w:hanging="360"/>
      </w:pPr>
      <w:rPr>
        <w:rFonts w:ascii="Wingdings" w:hAnsi="Wingdings" w:hint="default"/>
      </w:rPr>
    </w:lvl>
  </w:abstractNum>
  <w:abstractNum w:abstractNumId="11" w15:restartNumberingAfterBreak="0">
    <w:nsid w:val="795E4BE8"/>
    <w:multiLevelType w:val="hybridMultilevel"/>
    <w:tmpl w:val="FFFFFFFF"/>
    <w:lvl w:ilvl="0" w:tplc="6C7A1AAE">
      <w:start w:val="1"/>
      <w:numFmt w:val="bullet"/>
      <w:lvlText w:val=""/>
      <w:lvlJc w:val="left"/>
      <w:pPr>
        <w:ind w:left="360" w:hanging="360"/>
      </w:pPr>
      <w:rPr>
        <w:rFonts w:ascii="Symbol" w:hAnsi="Symbol" w:hint="default"/>
      </w:rPr>
    </w:lvl>
    <w:lvl w:ilvl="1" w:tplc="E9CE2974">
      <w:start w:val="1"/>
      <w:numFmt w:val="bullet"/>
      <w:lvlText w:val="o"/>
      <w:lvlJc w:val="left"/>
      <w:pPr>
        <w:ind w:left="1080" w:hanging="360"/>
      </w:pPr>
      <w:rPr>
        <w:rFonts w:ascii="Courier New" w:hAnsi="Courier New" w:hint="default"/>
      </w:rPr>
    </w:lvl>
    <w:lvl w:ilvl="2" w:tplc="B3682C16">
      <w:start w:val="1"/>
      <w:numFmt w:val="bullet"/>
      <w:lvlText w:val=""/>
      <w:lvlJc w:val="left"/>
      <w:pPr>
        <w:ind w:left="1800" w:hanging="360"/>
      </w:pPr>
      <w:rPr>
        <w:rFonts w:ascii="Wingdings" w:hAnsi="Wingdings" w:hint="default"/>
      </w:rPr>
    </w:lvl>
    <w:lvl w:ilvl="3" w:tplc="B9FA2CD0">
      <w:start w:val="1"/>
      <w:numFmt w:val="bullet"/>
      <w:lvlText w:val=""/>
      <w:lvlJc w:val="left"/>
      <w:pPr>
        <w:ind w:left="2520" w:hanging="360"/>
      </w:pPr>
      <w:rPr>
        <w:rFonts w:ascii="Symbol" w:hAnsi="Symbol" w:hint="default"/>
      </w:rPr>
    </w:lvl>
    <w:lvl w:ilvl="4" w:tplc="7E309642">
      <w:start w:val="1"/>
      <w:numFmt w:val="bullet"/>
      <w:lvlText w:val="o"/>
      <w:lvlJc w:val="left"/>
      <w:pPr>
        <w:ind w:left="3240" w:hanging="360"/>
      </w:pPr>
      <w:rPr>
        <w:rFonts w:ascii="Courier New" w:hAnsi="Courier New" w:hint="default"/>
      </w:rPr>
    </w:lvl>
    <w:lvl w:ilvl="5" w:tplc="E014FEFE">
      <w:start w:val="1"/>
      <w:numFmt w:val="bullet"/>
      <w:lvlText w:val=""/>
      <w:lvlJc w:val="left"/>
      <w:pPr>
        <w:ind w:left="3960" w:hanging="360"/>
      </w:pPr>
      <w:rPr>
        <w:rFonts w:ascii="Wingdings" w:hAnsi="Wingdings" w:hint="default"/>
      </w:rPr>
    </w:lvl>
    <w:lvl w:ilvl="6" w:tplc="E97E2B12">
      <w:start w:val="1"/>
      <w:numFmt w:val="bullet"/>
      <w:lvlText w:val=""/>
      <w:lvlJc w:val="left"/>
      <w:pPr>
        <w:ind w:left="4680" w:hanging="360"/>
      </w:pPr>
      <w:rPr>
        <w:rFonts w:ascii="Symbol" w:hAnsi="Symbol" w:hint="default"/>
      </w:rPr>
    </w:lvl>
    <w:lvl w:ilvl="7" w:tplc="ADB0E942">
      <w:start w:val="1"/>
      <w:numFmt w:val="bullet"/>
      <w:lvlText w:val="o"/>
      <w:lvlJc w:val="left"/>
      <w:pPr>
        <w:ind w:left="5400" w:hanging="360"/>
      </w:pPr>
      <w:rPr>
        <w:rFonts w:ascii="Courier New" w:hAnsi="Courier New" w:hint="default"/>
      </w:rPr>
    </w:lvl>
    <w:lvl w:ilvl="8" w:tplc="4692E2A8">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8"/>
  </w:num>
  <w:num w:numId="4">
    <w:abstractNumId w:val="4"/>
  </w:num>
  <w:num w:numId="5">
    <w:abstractNumId w:val="10"/>
  </w:num>
  <w:num w:numId="6">
    <w:abstractNumId w:val="9"/>
  </w:num>
  <w:num w:numId="7">
    <w:abstractNumId w:val="3"/>
  </w:num>
  <w:num w:numId="8">
    <w:abstractNumId w:val="1"/>
  </w:num>
  <w:num w:numId="9">
    <w:abstractNumId w:val="5"/>
  </w:num>
  <w:num w:numId="10">
    <w:abstractNumId w:val="2"/>
  </w:num>
  <w:num w:numId="11">
    <w:abstractNumId w:val="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07BDE"/>
    <w:rsid w:val="00010429"/>
    <w:rsid w:val="000125F3"/>
    <w:rsid w:val="0002190C"/>
    <w:rsid w:val="00030D38"/>
    <w:rsid w:val="00032390"/>
    <w:rsid w:val="00037576"/>
    <w:rsid w:val="00043D42"/>
    <w:rsid w:val="00050989"/>
    <w:rsid w:val="00052586"/>
    <w:rsid w:val="00054204"/>
    <w:rsid w:val="00056E07"/>
    <w:rsid w:val="00056FFB"/>
    <w:rsid w:val="00076146"/>
    <w:rsid w:val="0007624F"/>
    <w:rsid w:val="0007729A"/>
    <w:rsid w:val="000808F3"/>
    <w:rsid w:val="0008207E"/>
    <w:rsid w:val="00084041"/>
    <w:rsid w:val="00086F4E"/>
    <w:rsid w:val="00092045"/>
    <w:rsid w:val="000A1148"/>
    <w:rsid w:val="000A5D6C"/>
    <w:rsid w:val="000A6682"/>
    <w:rsid w:val="000A6A4C"/>
    <w:rsid w:val="000A6AA6"/>
    <w:rsid w:val="000A74D7"/>
    <w:rsid w:val="000B338D"/>
    <w:rsid w:val="000C2E1B"/>
    <w:rsid w:val="000D13F0"/>
    <w:rsid w:val="000D1DAA"/>
    <w:rsid w:val="000D3FCB"/>
    <w:rsid w:val="000D4A11"/>
    <w:rsid w:val="000D4A78"/>
    <w:rsid w:val="000E5FFB"/>
    <w:rsid w:val="000F210C"/>
    <w:rsid w:val="000F6D88"/>
    <w:rsid w:val="001021FD"/>
    <w:rsid w:val="00105134"/>
    <w:rsid w:val="0012247C"/>
    <w:rsid w:val="001257AF"/>
    <w:rsid w:val="00127D90"/>
    <w:rsid w:val="00134B97"/>
    <w:rsid w:val="00142DB2"/>
    <w:rsid w:val="00144928"/>
    <w:rsid w:val="001513A6"/>
    <w:rsid w:val="001574D3"/>
    <w:rsid w:val="001600AB"/>
    <w:rsid w:val="00161728"/>
    <w:rsid w:val="00166240"/>
    <w:rsid w:val="00167BCF"/>
    <w:rsid w:val="00174313"/>
    <w:rsid w:val="00174E70"/>
    <w:rsid w:val="00175467"/>
    <w:rsid w:val="001860A8"/>
    <w:rsid w:val="00186E2D"/>
    <w:rsid w:val="001A1A0F"/>
    <w:rsid w:val="001A2855"/>
    <w:rsid w:val="001B111D"/>
    <w:rsid w:val="001B40BF"/>
    <w:rsid w:val="001C5770"/>
    <w:rsid w:val="001D211B"/>
    <w:rsid w:val="001E364B"/>
    <w:rsid w:val="001E3706"/>
    <w:rsid w:val="001E4A3B"/>
    <w:rsid w:val="001E7E32"/>
    <w:rsid w:val="001F0C9A"/>
    <w:rsid w:val="001F2AB6"/>
    <w:rsid w:val="001F3EC7"/>
    <w:rsid w:val="001F601B"/>
    <w:rsid w:val="001F6CD2"/>
    <w:rsid w:val="00200FAC"/>
    <w:rsid w:val="0020151F"/>
    <w:rsid w:val="00205019"/>
    <w:rsid w:val="0020643D"/>
    <w:rsid w:val="002123C2"/>
    <w:rsid w:val="002141B4"/>
    <w:rsid w:val="002251D1"/>
    <w:rsid w:val="002259FC"/>
    <w:rsid w:val="00231D56"/>
    <w:rsid w:val="00231DDF"/>
    <w:rsid w:val="002433E6"/>
    <w:rsid w:val="0024610A"/>
    <w:rsid w:val="00246361"/>
    <w:rsid w:val="00247627"/>
    <w:rsid w:val="002636CA"/>
    <w:rsid w:val="00267B36"/>
    <w:rsid w:val="00270A58"/>
    <w:rsid w:val="00271597"/>
    <w:rsid w:val="0028324E"/>
    <w:rsid w:val="00294558"/>
    <w:rsid w:val="00294BC2"/>
    <w:rsid w:val="002A0D06"/>
    <w:rsid w:val="002A4762"/>
    <w:rsid w:val="002B6620"/>
    <w:rsid w:val="002D0299"/>
    <w:rsid w:val="002D39D2"/>
    <w:rsid w:val="002E041D"/>
    <w:rsid w:val="002E075C"/>
    <w:rsid w:val="002E6CE8"/>
    <w:rsid w:val="002F2AC5"/>
    <w:rsid w:val="00301353"/>
    <w:rsid w:val="0030254B"/>
    <w:rsid w:val="003049E7"/>
    <w:rsid w:val="003067E8"/>
    <w:rsid w:val="003102F2"/>
    <w:rsid w:val="003135AE"/>
    <w:rsid w:val="003178E1"/>
    <w:rsid w:val="003235A2"/>
    <w:rsid w:val="003250D3"/>
    <w:rsid w:val="0033200D"/>
    <w:rsid w:val="00333555"/>
    <w:rsid w:val="0034241C"/>
    <w:rsid w:val="00342FD0"/>
    <w:rsid w:val="00344B96"/>
    <w:rsid w:val="0034570F"/>
    <w:rsid w:val="003461A7"/>
    <w:rsid w:val="003511BC"/>
    <w:rsid w:val="00356B3D"/>
    <w:rsid w:val="0036578E"/>
    <w:rsid w:val="003660A3"/>
    <w:rsid w:val="00382625"/>
    <w:rsid w:val="00397260"/>
    <w:rsid w:val="003A4FB0"/>
    <w:rsid w:val="003A6BCA"/>
    <w:rsid w:val="003A7938"/>
    <w:rsid w:val="003B2F2B"/>
    <w:rsid w:val="003B6176"/>
    <w:rsid w:val="003D31F2"/>
    <w:rsid w:val="003E12AB"/>
    <w:rsid w:val="003F5B64"/>
    <w:rsid w:val="003F66FA"/>
    <w:rsid w:val="004019BB"/>
    <w:rsid w:val="00403EB1"/>
    <w:rsid w:val="004075DC"/>
    <w:rsid w:val="00407BE0"/>
    <w:rsid w:val="00410435"/>
    <w:rsid w:val="00411DA1"/>
    <w:rsid w:val="004168A1"/>
    <w:rsid w:val="0042016C"/>
    <w:rsid w:val="0042470F"/>
    <w:rsid w:val="0042798F"/>
    <w:rsid w:val="004305CE"/>
    <w:rsid w:val="00430BD4"/>
    <w:rsid w:val="0043528C"/>
    <w:rsid w:val="0043728A"/>
    <w:rsid w:val="0044515D"/>
    <w:rsid w:val="00451061"/>
    <w:rsid w:val="0045319D"/>
    <w:rsid w:val="00453C71"/>
    <w:rsid w:val="00454167"/>
    <w:rsid w:val="004727F3"/>
    <w:rsid w:val="00477D32"/>
    <w:rsid w:val="00482610"/>
    <w:rsid w:val="00485676"/>
    <w:rsid w:val="00491B01"/>
    <w:rsid w:val="004A3319"/>
    <w:rsid w:val="004A4AB3"/>
    <w:rsid w:val="004B13B7"/>
    <w:rsid w:val="004B6498"/>
    <w:rsid w:val="004C296F"/>
    <w:rsid w:val="004C752A"/>
    <w:rsid w:val="004C7ED5"/>
    <w:rsid w:val="004D003E"/>
    <w:rsid w:val="004D1423"/>
    <w:rsid w:val="004D2828"/>
    <w:rsid w:val="004E0E81"/>
    <w:rsid w:val="004E1065"/>
    <w:rsid w:val="004F29A0"/>
    <w:rsid w:val="004F3145"/>
    <w:rsid w:val="0050366E"/>
    <w:rsid w:val="00505EBE"/>
    <w:rsid w:val="00506B0D"/>
    <w:rsid w:val="00510D00"/>
    <w:rsid w:val="00515C20"/>
    <w:rsid w:val="005206E9"/>
    <w:rsid w:val="00532791"/>
    <w:rsid w:val="00533551"/>
    <w:rsid w:val="00544235"/>
    <w:rsid w:val="005461C6"/>
    <w:rsid w:val="00546B72"/>
    <w:rsid w:val="00547FDF"/>
    <w:rsid w:val="005503F2"/>
    <w:rsid w:val="00551669"/>
    <w:rsid w:val="00553323"/>
    <w:rsid w:val="00555745"/>
    <w:rsid w:val="00564973"/>
    <w:rsid w:val="00570588"/>
    <w:rsid w:val="00577430"/>
    <w:rsid w:val="005857BC"/>
    <w:rsid w:val="005863A1"/>
    <w:rsid w:val="00592B55"/>
    <w:rsid w:val="00596C87"/>
    <w:rsid w:val="00597ED8"/>
    <w:rsid w:val="005C1366"/>
    <w:rsid w:val="005C23CD"/>
    <w:rsid w:val="005C6C1D"/>
    <w:rsid w:val="005C7CC9"/>
    <w:rsid w:val="005C7D9C"/>
    <w:rsid w:val="005D29B4"/>
    <w:rsid w:val="005D31FE"/>
    <w:rsid w:val="005D33CE"/>
    <w:rsid w:val="005E3561"/>
    <w:rsid w:val="005E427C"/>
    <w:rsid w:val="005F4E43"/>
    <w:rsid w:val="00601532"/>
    <w:rsid w:val="0060342B"/>
    <w:rsid w:val="00610577"/>
    <w:rsid w:val="006135FB"/>
    <w:rsid w:val="00621434"/>
    <w:rsid w:val="00623E03"/>
    <w:rsid w:val="00624057"/>
    <w:rsid w:val="00627CC7"/>
    <w:rsid w:val="00631AA7"/>
    <w:rsid w:val="0063603F"/>
    <w:rsid w:val="00643D1F"/>
    <w:rsid w:val="00654102"/>
    <w:rsid w:val="00661A56"/>
    <w:rsid w:val="00666031"/>
    <w:rsid w:val="00671449"/>
    <w:rsid w:val="006819E3"/>
    <w:rsid w:val="00682CE4"/>
    <w:rsid w:val="0068601C"/>
    <w:rsid w:val="00692189"/>
    <w:rsid w:val="006A67EF"/>
    <w:rsid w:val="006C09C0"/>
    <w:rsid w:val="006C44F9"/>
    <w:rsid w:val="006D6FC4"/>
    <w:rsid w:val="006E13B5"/>
    <w:rsid w:val="006E781A"/>
    <w:rsid w:val="006F2BB5"/>
    <w:rsid w:val="006F6D49"/>
    <w:rsid w:val="007025F1"/>
    <w:rsid w:val="00704FE4"/>
    <w:rsid w:val="007131B9"/>
    <w:rsid w:val="00725D3E"/>
    <w:rsid w:val="00733320"/>
    <w:rsid w:val="007338F6"/>
    <w:rsid w:val="00735A72"/>
    <w:rsid w:val="00743F65"/>
    <w:rsid w:val="00744CE8"/>
    <w:rsid w:val="007470EB"/>
    <w:rsid w:val="00747AF9"/>
    <w:rsid w:val="00751ABA"/>
    <w:rsid w:val="00753531"/>
    <w:rsid w:val="00763F63"/>
    <w:rsid w:val="007676A4"/>
    <w:rsid w:val="0077234E"/>
    <w:rsid w:val="00774EB2"/>
    <w:rsid w:val="00783E7A"/>
    <w:rsid w:val="00787EE2"/>
    <w:rsid w:val="007944D2"/>
    <w:rsid w:val="00796115"/>
    <w:rsid w:val="007B2E02"/>
    <w:rsid w:val="007B48A1"/>
    <w:rsid w:val="007C559C"/>
    <w:rsid w:val="007E0C46"/>
    <w:rsid w:val="007E638A"/>
    <w:rsid w:val="00800001"/>
    <w:rsid w:val="00801B85"/>
    <w:rsid w:val="00802635"/>
    <w:rsid w:val="00802FDB"/>
    <w:rsid w:val="0080592F"/>
    <w:rsid w:val="00806391"/>
    <w:rsid w:val="00811F57"/>
    <w:rsid w:val="008135CE"/>
    <w:rsid w:val="008157CC"/>
    <w:rsid w:val="00817C40"/>
    <w:rsid w:val="0082291E"/>
    <w:rsid w:val="00833F0F"/>
    <w:rsid w:val="00844745"/>
    <w:rsid w:val="00845120"/>
    <w:rsid w:val="008530BF"/>
    <w:rsid w:val="00856EB7"/>
    <w:rsid w:val="008636DE"/>
    <w:rsid w:val="00870464"/>
    <w:rsid w:val="00873D07"/>
    <w:rsid w:val="0087528C"/>
    <w:rsid w:val="00882EFB"/>
    <w:rsid w:val="008A1509"/>
    <w:rsid w:val="008A197C"/>
    <w:rsid w:val="008A316B"/>
    <w:rsid w:val="008A468A"/>
    <w:rsid w:val="008A4FB9"/>
    <w:rsid w:val="008B0C60"/>
    <w:rsid w:val="008C0CF9"/>
    <w:rsid w:val="008D1003"/>
    <w:rsid w:val="008D387C"/>
    <w:rsid w:val="008D5EF6"/>
    <w:rsid w:val="008D6D24"/>
    <w:rsid w:val="008D7359"/>
    <w:rsid w:val="008E0075"/>
    <w:rsid w:val="008E2075"/>
    <w:rsid w:val="008F4213"/>
    <w:rsid w:val="008F5CAE"/>
    <w:rsid w:val="00900869"/>
    <w:rsid w:val="00903340"/>
    <w:rsid w:val="00906233"/>
    <w:rsid w:val="00907F9D"/>
    <w:rsid w:val="00910ACA"/>
    <w:rsid w:val="009118B3"/>
    <w:rsid w:val="0092051A"/>
    <w:rsid w:val="00926A88"/>
    <w:rsid w:val="0093452A"/>
    <w:rsid w:val="009363EF"/>
    <w:rsid w:val="00940535"/>
    <w:rsid w:val="009421C4"/>
    <w:rsid w:val="009421EB"/>
    <w:rsid w:val="00955049"/>
    <w:rsid w:val="00964CC5"/>
    <w:rsid w:val="00965002"/>
    <w:rsid w:val="00966D4C"/>
    <w:rsid w:val="00971A94"/>
    <w:rsid w:val="00972D90"/>
    <w:rsid w:val="0097445C"/>
    <w:rsid w:val="009749AF"/>
    <w:rsid w:val="0099059B"/>
    <w:rsid w:val="0099300D"/>
    <w:rsid w:val="0099504F"/>
    <w:rsid w:val="009A0CB7"/>
    <w:rsid w:val="009B412E"/>
    <w:rsid w:val="009B741F"/>
    <w:rsid w:val="009D072A"/>
    <w:rsid w:val="009D2909"/>
    <w:rsid w:val="009D2D48"/>
    <w:rsid w:val="009D5F80"/>
    <w:rsid w:val="009D7797"/>
    <w:rsid w:val="009D7A8A"/>
    <w:rsid w:val="009E493C"/>
    <w:rsid w:val="009E527B"/>
    <w:rsid w:val="009E6E9F"/>
    <w:rsid w:val="009F29B9"/>
    <w:rsid w:val="009F2D51"/>
    <w:rsid w:val="009F4B90"/>
    <w:rsid w:val="009F512A"/>
    <w:rsid w:val="00A1463F"/>
    <w:rsid w:val="00A16A10"/>
    <w:rsid w:val="00A215CC"/>
    <w:rsid w:val="00A225A7"/>
    <w:rsid w:val="00A24CDE"/>
    <w:rsid w:val="00A26FCC"/>
    <w:rsid w:val="00A30D9E"/>
    <w:rsid w:val="00A362B4"/>
    <w:rsid w:val="00A366EB"/>
    <w:rsid w:val="00A4263C"/>
    <w:rsid w:val="00A44FFF"/>
    <w:rsid w:val="00A50D93"/>
    <w:rsid w:val="00A51EDC"/>
    <w:rsid w:val="00A74C21"/>
    <w:rsid w:val="00A759BC"/>
    <w:rsid w:val="00A8385E"/>
    <w:rsid w:val="00A94E43"/>
    <w:rsid w:val="00AA1274"/>
    <w:rsid w:val="00AA1CBD"/>
    <w:rsid w:val="00AB05E3"/>
    <w:rsid w:val="00AC17AA"/>
    <w:rsid w:val="00AC4CA1"/>
    <w:rsid w:val="00AD1C20"/>
    <w:rsid w:val="00AD5EB7"/>
    <w:rsid w:val="00AD753D"/>
    <w:rsid w:val="00AF11A7"/>
    <w:rsid w:val="00B00277"/>
    <w:rsid w:val="00B12A87"/>
    <w:rsid w:val="00B13EB9"/>
    <w:rsid w:val="00B15173"/>
    <w:rsid w:val="00B16149"/>
    <w:rsid w:val="00B2267B"/>
    <w:rsid w:val="00B230DE"/>
    <w:rsid w:val="00B31E48"/>
    <w:rsid w:val="00B34B51"/>
    <w:rsid w:val="00B3770F"/>
    <w:rsid w:val="00B40191"/>
    <w:rsid w:val="00B446F7"/>
    <w:rsid w:val="00B4519C"/>
    <w:rsid w:val="00B5042F"/>
    <w:rsid w:val="00B5196C"/>
    <w:rsid w:val="00B545D6"/>
    <w:rsid w:val="00B554F9"/>
    <w:rsid w:val="00B570C5"/>
    <w:rsid w:val="00B57215"/>
    <w:rsid w:val="00B7342E"/>
    <w:rsid w:val="00B73CEB"/>
    <w:rsid w:val="00B7702D"/>
    <w:rsid w:val="00B77C97"/>
    <w:rsid w:val="00B94388"/>
    <w:rsid w:val="00B96B60"/>
    <w:rsid w:val="00BA5EA3"/>
    <w:rsid w:val="00BB2195"/>
    <w:rsid w:val="00BB21A0"/>
    <w:rsid w:val="00BC51C7"/>
    <w:rsid w:val="00BC54D4"/>
    <w:rsid w:val="00BC58CE"/>
    <w:rsid w:val="00BD0357"/>
    <w:rsid w:val="00BD0978"/>
    <w:rsid w:val="00BD6FD3"/>
    <w:rsid w:val="00BE26C7"/>
    <w:rsid w:val="00BF2AFB"/>
    <w:rsid w:val="00BF4166"/>
    <w:rsid w:val="00C004F4"/>
    <w:rsid w:val="00C02FD1"/>
    <w:rsid w:val="00C033A7"/>
    <w:rsid w:val="00C10F45"/>
    <w:rsid w:val="00C11075"/>
    <w:rsid w:val="00C117FB"/>
    <w:rsid w:val="00C11A50"/>
    <w:rsid w:val="00C16076"/>
    <w:rsid w:val="00C17001"/>
    <w:rsid w:val="00C2154C"/>
    <w:rsid w:val="00C250EF"/>
    <w:rsid w:val="00C26AE4"/>
    <w:rsid w:val="00C31011"/>
    <w:rsid w:val="00C32C03"/>
    <w:rsid w:val="00C51FF2"/>
    <w:rsid w:val="00C56E6F"/>
    <w:rsid w:val="00C64A67"/>
    <w:rsid w:val="00C6537B"/>
    <w:rsid w:val="00C672AE"/>
    <w:rsid w:val="00C80D4D"/>
    <w:rsid w:val="00C83AE6"/>
    <w:rsid w:val="00C85DEB"/>
    <w:rsid w:val="00C91EAE"/>
    <w:rsid w:val="00C9329C"/>
    <w:rsid w:val="00C944A9"/>
    <w:rsid w:val="00C94931"/>
    <w:rsid w:val="00CA1899"/>
    <w:rsid w:val="00CA3513"/>
    <w:rsid w:val="00CA4B70"/>
    <w:rsid w:val="00CA4D14"/>
    <w:rsid w:val="00CB2B87"/>
    <w:rsid w:val="00CC3647"/>
    <w:rsid w:val="00CC71BF"/>
    <w:rsid w:val="00CD049D"/>
    <w:rsid w:val="00CD216B"/>
    <w:rsid w:val="00CE17D0"/>
    <w:rsid w:val="00CE1AD8"/>
    <w:rsid w:val="00CE405C"/>
    <w:rsid w:val="00CE6144"/>
    <w:rsid w:val="00CF48CE"/>
    <w:rsid w:val="00CF4C60"/>
    <w:rsid w:val="00CF5678"/>
    <w:rsid w:val="00D0630D"/>
    <w:rsid w:val="00D130A8"/>
    <w:rsid w:val="00D20433"/>
    <w:rsid w:val="00D22302"/>
    <w:rsid w:val="00D279FB"/>
    <w:rsid w:val="00D30875"/>
    <w:rsid w:val="00D44767"/>
    <w:rsid w:val="00D44A9D"/>
    <w:rsid w:val="00D462B0"/>
    <w:rsid w:val="00D54287"/>
    <w:rsid w:val="00D56638"/>
    <w:rsid w:val="00D56762"/>
    <w:rsid w:val="00D659A6"/>
    <w:rsid w:val="00D73ADB"/>
    <w:rsid w:val="00D81055"/>
    <w:rsid w:val="00D814FA"/>
    <w:rsid w:val="00D86719"/>
    <w:rsid w:val="00D905A0"/>
    <w:rsid w:val="00D95FF6"/>
    <w:rsid w:val="00DA235A"/>
    <w:rsid w:val="00DA4E55"/>
    <w:rsid w:val="00DA670D"/>
    <w:rsid w:val="00DB4504"/>
    <w:rsid w:val="00DB4B83"/>
    <w:rsid w:val="00DB72D3"/>
    <w:rsid w:val="00DC63FB"/>
    <w:rsid w:val="00DC7BC1"/>
    <w:rsid w:val="00DD1CB5"/>
    <w:rsid w:val="00DD5E81"/>
    <w:rsid w:val="00DD7467"/>
    <w:rsid w:val="00DE2279"/>
    <w:rsid w:val="00DE35E2"/>
    <w:rsid w:val="00DF4F96"/>
    <w:rsid w:val="00DF551B"/>
    <w:rsid w:val="00E02476"/>
    <w:rsid w:val="00E02736"/>
    <w:rsid w:val="00E118C9"/>
    <w:rsid w:val="00E175E7"/>
    <w:rsid w:val="00E24D66"/>
    <w:rsid w:val="00E250E1"/>
    <w:rsid w:val="00E26698"/>
    <w:rsid w:val="00E4096A"/>
    <w:rsid w:val="00E47503"/>
    <w:rsid w:val="00E47B58"/>
    <w:rsid w:val="00E5219E"/>
    <w:rsid w:val="00E653C1"/>
    <w:rsid w:val="00E6581A"/>
    <w:rsid w:val="00E703ED"/>
    <w:rsid w:val="00E70C1D"/>
    <w:rsid w:val="00E7306A"/>
    <w:rsid w:val="00E768BF"/>
    <w:rsid w:val="00EB3A99"/>
    <w:rsid w:val="00EC25E8"/>
    <w:rsid w:val="00EC2965"/>
    <w:rsid w:val="00EC2EAA"/>
    <w:rsid w:val="00EC342F"/>
    <w:rsid w:val="00EC4090"/>
    <w:rsid w:val="00EC7F66"/>
    <w:rsid w:val="00ED00FB"/>
    <w:rsid w:val="00ED57EC"/>
    <w:rsid w:val="00EE3C17"/>
    <w:rsid w:val="00EF11BB"/>
    <w:rsid w:val="00EF20F4"/>
    <w:rsid w:val="00EF550F"/>
    <w:rsid w:val="00EF56DE"/>
    <w:rsid w:val="00EF5AA2"/>
    <w:rsid w:val="00F02FD1"/>
    <w:rsid w:val="00F05108"/>
    <w:rsid w:val="00F114D6"/>
    <w:rsid w:val="00F1496E"/>
    <w:rsid w:val="00F17950"/>
    <w:rsid w:val="00F204CA"/>
    <w:rsid w:val="00F2601C"/>
    <w:rsid w:val="00F26E87"/>
    <w:rsid w:val="00F2754F"/>
    <w:rsid w:val="00F31FB8"/>
    <w:rsid w:val="00F33620"/>
    <w:rsid w:val="00F34B33"/>
    <w:rsid w:val="00F416E7"/>
    <w:rsid w:val="00F50465"/>
    <w:rsid w:val="00F53E9D"/>
    <w:rsid w:val="00F71E79"/>
    <w:rsid w:val="00F7421B"/>
    <w:rsid w:val="00F82D1B"/>
    <w:rsid w:val="00F90F1C"/>
    <w:rsid w:val="00F93595"/>
    <w:rsid w:val="00F95AB8"/>
    <w:rsid w:val="00F97924"/>
    <w:rsid w:val="00FA2E43"/>
    <w:rsid w:val="00FA34A8"/>
    <w:rsid w:val="00FB0D62"/>
    <w:rsid w:val="00FD2069"/>
    <w:rsid w:val="00FE0336"/>
    <w:rsid w:val="00FE6014"/>
    <w:rsid w:val="00FE7B57"/>
    <w:rsid w:val="00FF7AF9"/>
    <w:rsid w:val="01AB97DC"/>
    <w:rsid w:val="02C00A15"/>
    <w:rsid w:val="02C796B1"/>
    <w:rsid w:val="030437B6"/>
    <w:rsid w:val="037FC99F"/>
    <w:rsid w:val="03DF36F3"/>
    <w:rsid w:val="0426B300"/>
    <w:rsid w:val="04A02F55"/>
    <w:rsid w:val="04DB134A"/>
    <w:rsid w:val="05D42B03"/>
    <w:rsid w:val="05DE1DD3"/>
    <w:rsid w:val="068C525F"/>
    <w:rsid w:val="06CCB6C2"/>
    <w:rsid w:val="0718C55B"/>
    <w:rsid w:val="075D5C43"/>
    <w:rsid w:val="08089766"/>
    <w:rsid w:val="081243D2"/>
    <w:rsid w:val="087EEBFE"/>
    <w:rsid w:val="09561D00"/>
    <w:rsid w:val="09B70E68"/>
    <w:rsid w:val="0A7F51F5"/>
    <w:rsid w:val="0A84F716"/>
    <w:rsid w:val="0B8A440C"/>
    <w:rsid w:val="0BAC31C5"/>
    <w:rsid w:val="0BAD7145"/>
    <w:rsid w:val="0C5B66BC"/>
    <w:rsid w:val="0CB95F7B"/>
    <w:rsid w:val="0D29ED2E"/>
    <w:rsid w:val="0D79F7D6"/>
    <w:rsid w:val="0E357CB5"/>
    <w:rsid w:val="0E42A4C4"/>
    <w:rsid w:val="0EAA306B"/>
    <w:rsid w:val="0EEC3544"/>
    <w:rsid w:val="0FD7957A"/>
    <w:rsid w:val="1018691C"/>
    <w:rsid w:val="1018CDC3"/>
    <w:rsid w:val="109A0AC5"/>
    <w:rsid w:val="10C60C28"/>
    <w:rsid w:val="10CA9EB4"/>
    <w:rsid w:val="115412D7"/>
    <w:rsid w:val="116F0B1D"/>
    <w:rsid w:val="11B49E24"/>
    <w:rsid w:val="11DE479F"/>
    <w:rsid w:val="128B42A3"/>
    <w:rsid w:val="12A6FAB6"/>
    <w:rsid w:val="12F60DDF"/>
    <w:rsid w:val="1300C2E9"/>
    <w:rsid w:val="13A5D672"/>
    <w:rsid w:val="14AB069D"/>
    <w:rsid w:val="14CBC76E"/>
    <w:rsid w:val="156E5C45"/>
    <w:rsid w:val="1683D6D8"/>
    <w:rsid w:val="1773E4B4"/>
    <w:rsid w:val="179EDF60"/>
    <w:rsid w:val="17CCAC28"/>
    <w:rsid w:val="1802D0B8"/>
    <w:rsid w:val="181D4769"/>
    <w:rsid w:val="18D182B4"/>
    <w:rsid w:val="192FBF56"/>
    <w:rsid w:val="194A35BB"/>
    <w:rsid w:val="19A3FDEE"/>
    <w:rsid w:val="1A5623F1"/>
    <w:rsid w:val="1A627132"/>
    <w:rsid w:val="1A819874"/>
    <w:rsid w:val="1AAB5998"/>
    <w:rsid w:val="1AAFEC24"/>
    <w:rsid w:val="1AC02ADC"/>
    <w:rsid w:val="1B8059F0"/>
    <w:rsid w:val="1B8B183A"/>
    <w:rsid w:val="1BC75E4D"/>
    <w:rsid w:val="1BDF57BA"/>
    <w:rsid w:val="1C08592D"/>
    <w:rsid w:val="1C348D61"/>
    <w:rsid w:val="1C89C308"/>
    <w:rsid w:val="1C9CF025"/>
    <w:rsid w:val="1E1079D9"/>
    <w:rsid w:val="1EA49F64"/>
    <w:rsid w:val="1F2E5A71"/>
    <w:rsid w:val="1F7B0C15"/>
    <w:rsid w:val="1F8FDD59"/>
    <w:rsid w:val="1FCF9EB1"/>
    <w:rsid w:val="20040A99"/>
    <w:rsid w:val="20092846"/>
    <w:rsid w:val="2015C930"/>
    <w:rsid w:val="210E8451"/>
    <w:rsid w:val="21667C7F"/>
    <w:rsid w:val="21706148"/>
    <w:rsid w:val="2222F1EA"/>
    <w:rsid w:val="22E7D44D"/>
    <w:rsid w:val="22F59060"/>
    <w:rsid w:val="23998A16"/>
    <w:rsid w:val="23B64E62"/>
    <w:rsid w:val="23C4843E"/>
    <w:rsid w:val="251A39DC"/>
    <w:rsid w:val="2574AD40"/>
    <w:rsid w:val="25C4A52A"/>
    <w:rsid w:val="2619DAD1"/>
    <w:rsid w:val="264BBFF1"/>
    <w:rsid w:val="2706D496"/>
    <w:rsid w:val="273D89AB"/>
    <w:rsid w:val="274B5BFB"/>
    <w:rsid w:val="27635568"/>
    <w:rsid w:val="279E576A"/>
    <w:rsid w:val="2844F5E5"/>
    <w:rsid w:val="284CB09A"/>
    <w:rsid w:val="2852935C"/>
    <w:rsid w:val="28657355"/>
    <w:rsid w:val="28D0D65A"/>
    <w:rsid w:val="290A80D3"/>
    <w:rsid w:val="290BED2C"/>
    <w:rsid w:val="29486018"/>
    <w:rsid w:val="294F77C2"/>
    <w:rsid w:val="29895500"/>
    <w:rsid w:val="29D28B5F"/>
    <w:rsid w:val="2A2B1A0A"/>
    <w:rsid w:val="2A90FEA3"/>
    <w:rsid w:val="2BD10205"/>
    <w:rsid w:val="2C4BDA23"/>
    <w:rsid w:val="2CC0F5C2"/>
    <w:rsid w:val="2CC36432"/>
    <w:rsid w:val="2D4E1B5E"/>
    <w:rsid w:val="2D6AA757"/>
    <w:rsid w:val="2D7A1CC1"/>
    <w:rsid w:val="2DDB9FA9"/>
    <w:rsid w:val="2E9649AF"/>
    <w:rsid w:val="2EDF09DC"/>
    <w:rsid w:val="2FD52F36"/>
    <w:rsid w:val="2FF89684"/>
    <w:rsid w:val="301AEAEC"/>
    <w:rsid w:val="3047E86E"/>
    <w:rsid w:val="30DF506E"/>
    <w:rsid w:val="3170FF97"/>
    <w:rsid w:val="32A788E8"/>
    <w:rsid w:val="32E74A40"/>
    <w:rsid w:val="330D6D81"/>
    <w:rsid w:val="34CEC9AD"/>
    <w:rsid w:val="351B8C62"/>
    <w:rsid w:val="3538185B"/>
    <w:rsid w:val="35B58BA9"/>
    <w:rsid w:val="35D95C9B"/>
    <w:rsid w:val="36537BFB"/>
    <w:rsid w:val="36F62C94"/>
    <w:rsid w:val="38255F61"/>
    <w:rsid w:val="38DC50B9"/>
    <w:rsid w:val="39F48C30"/>
    <w:rsid w:val="3A6E9F2E"/>
    <w:rsid w:val="3AD307AD"/>
    <w:rsid w:val="3B0FEFD0"/>
    <w:rsid w:val="3B23F7C6"/>
    <w:rsid w:val="3BA9695D"/>
    <w:rsid w:val="3BC5DF11"/>
    <w:rsid w:val="3BCED34E"/>
    <w:rsid w:val="3C561FEB"/>
    <w:rsid w:val="3C8CD658"/>
    <w:rsid w:val="3D109280"/>
    <w:rsid w:val="3D3250E3"/>
    <w:rsid w:val="3D6D1352"/>
    <w:rsid w:val="3E02F3B2"/>
    <w:rsid w:val="3E872AAC"/>
    <w:rsid w:val="3F143EBD"/>
    <w:rsid w:val="3F417018"/>
    <w:rsid w:val="3F45688B"/>
    <w:rsid w:val="40749DEC"/>
    <w:rsid w:val="409ABC8D"/>
    <w:rsid w:val="41077B67"/>
    <w:rsid w:val="41793D07"/>
    <w:rsid w:val="41BE33F6"/>
    <w:rsid w:val="41F04D13"/>
    <w:rsid w:val="41F2EC2D"/>
    <w:rsid w:val="433C66C4"/>
    <w:rsid w:val="439C9D66"/>
    <w:rsid w:val="440C10CB"/>
    <w:rsid w:val="4415B61A"/>
    <w:rsid w:val="445355F5"/>
    <w:rsid w:val="44954B03"/>
    <w:rsid w:val="44A8F526"/>
    <w:rsid w:val="45094536"/>
    <w:rsid w:val="4526BFBE"/>
    <w:rsid w:val="4554F4C3"/>
    <w:rsid w:val="4563C722"/>
    <w:rsid w:val="457282D3"/>
    <w:rsid w:val="458BD26E"/>
    <w:rsid w:val="45BB6B39"/>
    <w:rsid w:val="4679DE7D"/>
    <w:rsid w:val="46A7BEAD"/>
    <w:rsid w:val="473CE44D"/>
    <w:rsid w:val="4752A21B"/>
    <w:rsid w:val="47FAAF89"/>
    <w:rsid w:val="49ED4F77"/>
    <w:rsid w:val="4A8B1DB6"/>
    <w:rsid w:val="4A90372A"/>
    <w:rsid w:val="4B090E2D"/>
    <w:rsid w:val="4B254A4C"/>
    <w:rsid w:val="4B32504B"/>
    <w:rsid w:val="4B4A5A48"/>
    <w:rsid w:val="4BF6AD27"/>
    <w:rsid w:val="4BFC804B"/>
    <w:rsid w:val="4C26133E"/>
    <w:rsid w:val="4C2C078B"/>
    <w:rsid w:val="4C61CC71"/>
    <w:rsid w:val="4CFC176E"/>
    <w:rsid w:val="4D13F274"/>
    <w:rsid w:val="4D5F966E"/>
    <w:rsid w:val="4DCAAB03"/>
    <w:rsid w:val="4E91DB44"/>
    <w:rsid w:val="4E9491AA"/>
    <w:rsid w:val="4EEE92A6"/>
    <w:rsid w:val="4F0716B2"/>
    <w:rsid w:val="500489EC"/>
    <w:rsid w:val="500604CF"/>
    <w:rsid w:val="50553B91"/>
    <w:rsid w:val="505A7128"/>
    <w:rsid w:val="50CC32C8"/>
    <w:rsid w:val="51292324"/>
    <w:rsid w:val="5390E055"/>
    <w:rsid w:val="53A2B3B6"/>
    <w:rsid w:val="540AF6C7"/>
    <w:rsid w:val="54137ACA"/>
    <w:rsid w:val="5433F83A"/>
    <w:rsid w:val="54725D6C"/>
    <w:rsid w:val="54853C6A"/>
    <w:rsid w:val="55642D1E"/>
    <w:rsid w:val="5601EB24"/>
    <w:rsid w:val="57058D25"/>
    <w:rsid w:val="57A8C92B"/>
    <w:rsid w:val="57FDC38C"/>
    <w:rsid w:val="5820F0C5"/>
    <w:rsid w:val="586DA269"/>
    <w:rsid w:val="5893229F"/>
    <w:rsid w:val="58A26F61"/>
    <w:rsid w:val="58A4ACED"/>
    <w:rsid w:val="58AB0ECD"/>
    <w:rsid w:val="58B4E321"/>
    <w:rsid w:val="58B74766"/>
    <w:rsid w:val="58CD58F1"/>
    <w:rsid w:val="5948A1A6"/>
    <w:rsid w:val="5A1C915F"/>
    <w:rsid w:val="5AA14180"/>
    <w:rsid w:val="5AEFD5E7"/>
    <w:rsid w:val="5AF92102"/>
    <w:rsid w:val="5B1FFB92"/>
    <w:rsid w:val="5B9CE2BF"/>
    <w:rsid w:val="5BAECABB"/>
    <w:rsid w:val="5C43A83E"/>
    <w:rsid w:val="5C7FAAF0"/>
    <w:rsid w:val="5D16D19E"/>
    <w:rsid w:val="5D1CC5EB"/>
    <w:rsid w:val="5D5617A1"/>
    <w:rsid w:val="5D88ECF1"/>
    <w:rsid w:val="5D9BD7DE"/>
    <w:rsid w:val="5DA2C945"/>
    <w:rsid w:val="5DB264F2"/>
    <w:rsid w:val="5DB7BE4B"/>
    <w:rsid w:val="5DC025AC"/>
    <w:rsid w:val="5E07A619"/>
    <w:rsid w:val="5E88D1A3"/>
    <w:rsid w:val="5F20791B"/>
    <w:rsid w:val="6065FC04"/>
    <w:rsid w:val="60A13256"/>
    <w:rsid w:val="61069D40"/>
    <w:rsid w:val="6137B817"/>
    <w:rsid w:val="619845D3"/>
    <w:rsid w:val="6200DB68"/>
    <w:rsid w:val="624F0654"/>
    <w:rsid w:val="637AA0BA"/>
    <w:rsid w:val="638F71FE"/>
    <w:rsid w:val="63B2F8E6"/>
    <w:rsid w:val="64868EF0"/>
    <w:rsid w:val="64FE1109"/>
    <w:rsid w:val="65450234"/>
    <w:rsid w:val="6574BA73"/>
    <w:rsid w:val="6590BC40"/>
    <w:rsid w:val="65D2867F"/>
    <w:rsid w:val="663B862C"/>
    <w:rsid w:val="6AD7B161"/>
    <w:rsid w:val="6B29EB3B"/>
    <w:rsid w:val="6B47D830"/>
    <w:rsid w:val="6B71E717"/>
    <w:rsid w:val="6BA1D9F1"/>
    <w:rsid w:val="6BD129C0"/>
    <w:rsid w:val="6BDED2CA"/>
    <w:rsid w:val="6C31CEB5"/>
    <w:rsid w:val="6C3BC326"/>
    <w:rsid w:val="6C825844"/>
    <w:rsid w:val="6CB1F014"/>
    <w:rsid w:val="6D1EC079"/>
    <w:rsid w:val="6D73F620"/>
    <w:rsid w:val="6E0A313F"/>
    <w:rsid w:val="6E61EC04"/>
    <w:rsid w:val="6E667898"/>
    <w:rsid w:val="6E6FA59E"/>
    <w:rsid w:val="6E879F0B"/>
    <w:rsid w:val="6E93EC4C"/>
    <w:rsid w:val="70490D8C"/>
    <w:rsid w:val="706DC330"/>
    <w:rsid w:val="70829474"/>
    <w:rsid w:val="71003511"/>
    <w:rsid w:val="715B8643"/>
    <w:rsid w:val="71CAF596"/>
    <w:rsid w:val="72F199C8"/>
    <w:rsid w:val="73609ED9"/>
    <w:rsid w:val="73C15873"/>
    <w:rsid w:val="74698E9F"/>
    <w:rsid w:val="74737E76"/>
    <w:rsid w:val="7566A9F1"/>
    <w:rsid w:val="76C8E743"/>
    <w:rsid w:val="773FAAF9"/>
    <w:rsid w:val="775D0CCE"/>
    <w:rsid w:val="775DD61C"/>
    <w:rsid w:val="78F43F03"/>
    <w:rsid w:val="79BAF99E"/>
    <w:rsid w:val="7AD54BA4"/>
    <w:rsid w:val="7AFF3B63"/>
    <w:rsid w:val="7B0B1E98"/>
    <w:rsid w:val="7B4FD993"/>
    <w:rsid w:val="7B639162"/>
    <w:rsid w:val="7B8695BB"/>
    <w:rsid w:val="7B960DFA"/>
    <w:rsid w:val="7C23C076"/>
    <w:rsid w:val="7C28F60D"/>
    <w:rsid w:val="7C4BD19A"/>
    <w:rsid w:val="7CC2B709"/>
    <w:rsid w:val="7CEE8696"/>
    <w:rsid w:val="7D8C3F01"/>
    <w:rsid w:val="7DA6A5E3"/>
    <w:rsid w:val="7DAA2728"/>
    <w:rsid w:val="7DAF29E6"/>
    <w:rsid w:val="7DFBDB8A"/>
    <w:rsid w:val="7EC20983"/>
    <w:rsid w:val="7ECDAEBC"/>
    <w:rsid w:val="7F724266"/>
    <w:rsid w:val="7FB04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45240"/>
  <w15:docId w15:val="{5A97DD00-2E9C-401B-A170-D2F5D34C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7"/>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8"/>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50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19555">
      <w:bodyDiv w:val="1"/>
      <w:marLeft w:val="0"/>
      <w:marRight w:val="0"/>
      <w:marTop w:val="0"/>
      <w:marBottom w:val="0"/>
      <w:divBdr>
        <w:top w:val="none" w:sz="0" w:space="0" w:color="auto"/>
        <w:left w:val="none" w:sz="0" w:space="0" w:color="auto"/>
        <w:bottom w:val="none" w:sz="0" w:space="0" w:color="auto"/>
        <w:right w:val="none" w:sz="0" w:space="0" w:color="auto"/>
      </w:divBdr>
    </w:div>
    <w:div w:id="1193153809">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ccountability/" TargetMode="External"/><Relationship Id="rId18" Type="http://schemas.openxmlformats.org/officeDocument/2006/relationships/hyperlink" Target="mailto:KarenA.DeCoster@mas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federalgrants/liaisons.xlsx" TargetMode="External"/><Relationship Id="rId2" Type="http://schemas.openxmlformats.org/officeDocument/2006/relationships/customXml" Target="../customXml/item2.xml"/><Relationship Id="rId16" Type="http://schemas.openxmlformats.org/officeDocument/2006/relationships/hyperlink" Target="https://www.doe.mass.edu/federalgra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ccte/cvte/liaisons.html"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CTE@mas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DESE-231-61995</_dlc_DocId>
    <_dlc_DocIdUrl xmlns="733efe1c-5bbe-4968-87dc-d400e65c879f">
      <Url>https://sharepoint.doemass.org/ese/webteam/cps/_layouts/DocIdRedir.aspx?ID=DESE-231-61995</Url>
      <Description>DESE-231-61995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26AE6-99CE-4C38-A38E-CCF170735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4.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5.xml><?xml version="1.0" encoding="utf-8"?>
<ds:datastoreItem xmlns:ds="http://schemas.openxmlformats.org/officeDocument/2006/customXml" ds:itemID="{E4A15E41-6EBC-48D5-B08F-4C41B5FD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Resource Guide: Perkins V Required Use of Funds</vt:lpstr>
    </vt:vector>
  </TitlesOfParts>
  <Company/>
  <LinksUpToDate>false</LinksUpToDate>
  <CharactersWithSpaces>18742</CharactersWithSpaces>
  <SharedDoc>false</SharedDoc>
  <HLinks>
    <vt:vector size="36" baseType="variant">
      <vt:variant>
        <vt:i4>6815755</vt:i4>
      </vt:variant>
      <vt:variant>
        <vt:i4>15</vt:i4>
      </vt:variant>
      <vt:variant>
        <vt:i4>0</vt:i4>
      </vt:variant>
      <vt:variant>
        <vt:i4>5</vt:i4>
      </vt:variant>
      <vt:variant>
        <vt:lpwstr>mailto:KarenA.DeCoster@mass.gov</vt:lpwstr>
      </vt:variant>
      <vt:variant>
        <vt:lpwstr/>
      </vt:variant>
      <vt:variant>
        <vt:i4>7995442</vt:i4>
      </vt:variant>
      <vt:variant>
        <vt:i4>12</vt:i4>
      </vt:variant>
      <vt:variant>
        <vt:i4>0</vt:i4>
      </vt:variant>
      <vt:variant>
        <vt:i4>5</vt:i4>
      </vt:variant>
      <vt:variant>
        <vt:lpwstr>http://www.doe.mass.edu/federalgrants/liaisons.xlsx</vt:lpwstr>
      </vt:variant>
      <vt:variant>
        <vt:lpwstr/>
      </vt:variant>
      <vt:variant>
        <vt:i4>7864361</vt:i4>
      </vt:variant>
      <vt:variant>
        <vt:i4>9</vt:i4>
      </vt:variant>
      <vt:variant>
        <vt:i4>0</vt:i4>
      </vt:variant>
      <vt:variant>
        <vt:i4>5</vt:i4>
      </vt:variant>
      <vt:variant>
        <vt:lpwstr>https://www.doe.mass.edu/federalgrants/</vt:lpwstr>
      </vt:variant>
      <vt:variant>
        <vt:lpwstr/>
      </vt:variant>
      <vt:variant>
        <vt:i4>7733362</vt:i4>
      </vt:variant>
      <vt:variant>
        <vt:i4>6</vt:i4>
      </vt:variant>
      <vt:variant>
        <vt:i4>0</vt:i4>
      </vt:variant>
      <vt:variant>
        <vt:i4>5</vt:i4>
      </vt:variant>
      <vt:variant>
        <vt:lpwstr>http://www.doe.mass.edu/ccte/cvte/liaisons.html</vt:lpwstr>
      </vt:variant>
      <vt:variant>
        <vt:lpwstr/>
      </vt:variant>
      <vt:variant>
        <vt:i4>3538963</vt:i4>
      </vt:variant>
      <vt:variant>
        <vt:i4>3</vt:i4>
      </vt:variant>
      <vt:variant>
        <vt:i4>0</vt:i4>
      </vt:variant>
      <vt:variant>
        <vt:i4>5</vt:i4>
      </vt:variant>
      <vt:variant>
        <vt:lpwstr>mailto:CCTE@mass.gov</vt:lpwstr>
      </vt:variant>
      <vt:variant>
        <vt:lpwstr/>
      </vt:variant>
      <vt:variant>
        <vt:i4>2818154</vt:i4>
      </vt:variant>
      <vt:variant>
        <vt:i4>0</vt:i4>
      </vt:variant>
      <vt:variant>
        <vt:i4>0</vt:i4>
      </vt:variant>
      <vt:variant>
        <vt:i4>5</vt:i4>
      </vt:variant>
      <vt:variant>
        <vt:lpwstr>http://www.doe.mass.edu/accountability/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Guide: Perkins V Required Use of Funds</dc:title>
  <dc:subject/>
  <dc:creator>DESE</dc:creator>
  <cp:keywords/>
  <cp:lastModifiedBy>Zou, Dong (EOE)</cp:lastModifiedBy>
  <cp:revision>5</cp:revision>
  <cp:lastPrinted>2018-03-08T21:31:00Z</cp:lastPrinted>
  <dcterms:created xsi:type="dcterms:W3CDTF">2022-06-09T15:18:00Z</dcterms:created>
  <dcterms:modified xsi:type="dcterms:W3CDTF">2022-06-09T15:46:00Z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2022</vt:lpwstr>
  </property>
</Properties>
</file>