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AD10" w14:textId="3361A193" w:rsidR="00841DF8" w:rsidRPr="009433A3" w:rsidRDefault="00841DF8" w:rsidP="009433A3">
      <w:pPr>
        <w:ind w:right="2070"/>
        <w:rPr>
          <w:b/>
          <w:color w:val="1F497D" w:themeColor="text2"/>
          <w:sz w:val="32"/>
          <w:szCs w:val="32"/>
        </w:rPr>
      </w:pPr>
      <w:r w:rsidRPr="009B412E">
        <w:rPr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 wp14:anchorId="68B1DD23" wp14:editId="5214B005">
            <wp:simplePos x="0" y="0"/>
            <wp:positionH relativeFrom="margin">
              <wp:posOffset>4743450</wp:posOffset>
            </wp:positionH>
            <wp:positionV relativeFrom="margin">
              <wp:posOffset>-257175</wp:posOffset>
            </wp:positionV>
            <wp:extent cx="1871345" cy="741680"/>
            <wp:effectExtent l="0" t="0" r="0" b="1270"/>
            <wp:wrapSquare wrapText="bothSides"/>
            <wp:docPr id="5" name="Picture 5" descr="ESE Logo" title="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reative\DESE-Elem-Secondary-Education\Logo\DESE-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F14" w:rsidRPr="00841DF8">
        <w:rPr>
          <w:b/>
          <w:color w:val="1F497D" w:themeColor="text2"/>
          <w:sz w:val="32"/>
          <w:szCs w:val="32"/>
        </w:rPr>
        <w:t>Summary of DESE Resources for Identifying and Addressing Equity Gaps related to Student Assignment</w:t>
      </w:r>
    </w:p>
    <w:p w14:paraId="7A01ACD1" w14:textId="0B41869A" w:rsidR="00867F6F" w:rsidRPr="00841DF8" w:rsidRDefault="00106EA0" w:rsidP="006B3F14">
      <w:pPr>
        <w:rPr>
          <w:b/>
          <w:color w:val="E36C0A" w:themeColor="accent6" w:themeShade="BF"/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90690" wp14:editId="1F1558E7">
                <wp:simplePos x="0" y="0"/>
                <wp:positionH relativeFrom="margin">
                  <wp:posOffset>4476750</wp:posOffset>
                </wp:positionH>
                <wp:positionV relativeFrom="paragraph">
                  <wp:posOffset>287020</wp:posOffset>
                </wp:positionV>
                <wp:extent cx="2047875" cy="1971675"/>
                <wp:effectExtent l="38100" t="38100" r="123825" b="123825"/>
                <wp:wrapSquare wrapText="bothSides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731669" w14:textId="1B7E12E7" w:rsidR="00D356B3" w:rsidRDefault="005D2714" w:rsidP="005D2714">
                            <w:pPr>
                              <w:spacing w:after="0"/>
                              <w:rPr>
                                <w:b/>
                                <w:color w:val="1F497D" w:themeColor="text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4"/>
                                <w:szCs w:val="28"/>
                              </w:rPr>
                              <w:t>For additional information on</w:t>
                            </w:r>
                            <w:r w:rsidR="00D356B3">
                              <w:rPr>
                                <w:b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using the SLE Report, see DESE’s resources:</w:t>
                            </w:r>
                          </w:p>
                          <w:p w14:paraId="1F2AF17F" w14:textId="77777777" w:rsidR="005D2714" w:rsidRPr="00A95C0B" w:rsidRDefault="00451182" w:rsidP="005D27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5D2714" w:rsidRPr="00A95C0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Accessing and Using the SLE Report</w:t>
                              </w:r>
                            </w:hyperlink>
                            <w:r w:rsidR="005D2714" w:rsidRPr="00A95C0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D7F5CB1" w14:textId="4ACEB8FE" w:rsidR="005D2714" w:rsidRPr="00A95C0B" w:rsidRDefault="005D2714" w:rsidP="005D2714">
                            <w:pPr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 w:rsidRPr="00A95C0B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4705A5">
                              <w:rPr>
                                <w:sz w:val="20"/>
                                <w:szCs w:val="20"/>
                              </w:rPr>
                              <w:instrText>HYPERLINK "https://www.doe.mass.edu/edeffectiveness/equitableaccess/playbooks/qrg-equitydata.pdf"</w:instrText>
                            </w:r>
                            <w:r w:rsidRPr="00A95C0B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A95C0B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 xml:space="preserve">Quick Reference Guide for Using Equitable Access Data </w:t>
                            </w:r>
                          </w:p>
                          <w:p w14:paraId="573A53D7" w14:textId="5181EF62" w:rsidR="005D2714" w:rsidRPr="00A95C0B" w:rsidRDefault="005D2714" w:rsidP="005D27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5C0B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hyperlink r:id="rId14" w:history="1">
                              <w:r w:rsidRPr="00A95C0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Examples of Questions the SLE Report Can and Cannot Answer</w:t>
                              </w:r>
                            </w:hyperlink>
                          </w:p>
                          <w:p w14:paraId="73AF4501" w14:textId="77777777" w:rsidR="005D2714" w:rsidRPr="00D14842" w:rsidRDefault="005D2714" w:rsidP="005D271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9069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52.5pt;margin-top:22.6pt;width:161.2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" strokecolor="#365f91 [2404]" strokeweight=".25pt">
                <v:shadow on="t" color="black" opacity="26214f" origin="-.5,-.5" offset=".74836mm,.74836mm"/>
                <v:textbox>
                  <w:txbxContent>
                    <w:p w14:paraId="73731669" w14:textId="1B7E12E7" w:rsidR="00D356B3" w:rsidRDefault="005D2714" w:rsidP="005D2714">
                      <w:pPr>
                        <w:spacing w:after="0"/>
                        <w:rPr>
                          <w:b/>
                          <w:color w:val="1F497D" w:themeColor="text2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color w:val="1F497D" w:themeColor="text2"/>
                          <w:sz w:val="24"/>
                          <w:szCs w:val="28"/>
                        </w:rPr>
                        <w:t>For additional information on</w:t>
                      </w:r>
                      <w:r w:rsidR="00D356B3">
                        <w:rPr>
                          <w:b/>
                          <w:color w:val="1F497D" w:themeColor="text2"/>
                          <w:sz w:val="24"/>
                          <w:szCs w:val="28"/>
                        </w:rPr>
                        <w:t xml:space="preserve"> using the SLE Report, see DESE’s resources:</w:t>
                      </w:r>
                    </w:p>
                    <w:p w14:paraId="1F2AF17F" w14:textId="77777777" w:rsidR="005D2714" w:rsidRPr="00A95C0B" w:rsidRDefault="00451182" w:rsidP="005D2714">
                      <w:pPr>
                        <w:rPr>
                          <w:sz w:val="20"/>
                          <w:szCs w:val="20"/>
                        </w:rPr>
                      </w:pPr>
                      <w:hyperlink r:id="rId15" w:history="1">
                        <w:r w:rsidR="005D2714" w:rsidRPr="00A95C0B">
                          <w:rPr>
                            <w:rStyle w:val="Hyperlink"/>
                            <w:sz w:val="20"/>
                            <w:szCs w:val="20"/>
                          </w:rPr>
                          <w:t>Accessing and Using the SLE Report</w:t>
                        </w:r>
                      </w:hyperlink>
                      <w:r w:rsidR="005D2714" w:rsidRPr="00A95C0B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D7F5CB1" w14:textId="4ACEB8FE" w:rsidR="005D2714" w:rsidRPr="00A95C0B" w:rsidRDefault="005D2714" w:rsidP="005D2714">
                      <w:pPr>
                        <w:rPr>
                          <w:rStyle w:val="Hyperlink"/>
                          <w:sz w:val="20"/>
                          <w:szCs w:val="20"/>
                        </w:rPr>
                      </w:pPr>
                      <w:r w:rsidRPr="00A95C0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4705A5">
                        <w:rPr>
                          <w:sz w:val="20"/>
                          <w:szCs w:val="20"/>
                        </w:rPr>
                        <w:instrText>HYPERLINK "https://www.doe.mass.edu/edeffectiveness/equitableaccess/playbooks/qrg-equitydata.pdf"</w:instrText>
                      </w:r>
                      <w:r w:rsidRPr="00A95C0B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Pr="00A95C0B">
                        <w:rPr>
                          <w:rStyle w:val="Hyperlink"/>
                          <w:sz w:val="20"/>
                          <w:szCs w:val="20"/>
                        </w:rPr>
                        <w:t xml:space="preserve">Quick Reference Guide for Using Equitable Access Data </w:t>
                      </w:r>
                    </w:p>
                    <w:p w14:paraId="573A53D7" w14:textId="5181EF62" w:rsidR="005D2714" w:rsidRPr="00A95C0B" w:rsidRDefault="005D2714" w:rsidP="005D2714">
                      <w:pPr>
                        <w:rPr>
                          <w:sz w:val="20"/>
                          <w:szCs w:val="20"/>
                        </w:rPr>
                      </w:pPr>
                      <w:r w:rsidRPr="00A95C0B">
                        <w:rPr>
                          <w:sz w:val="20"/>
                          <w:szCs w:val="20"/>
                        </w:rPr>
                        <w:fldChar w:fldCharType="end"/>
                      </w:r>
                      <w:hyperlink r:id="rId16" w:history="1">
                        <w:r w:rsidRPr="00A95C0B">
                          <w:rPr>
                            <w:rStyle w:val="Hyperlink"/>
                            <w:sz w:val="20"/>
                            <w:szCs w:val="20"/>
                          </w:rPr>
                          <w:t>Examples of Questions the SLE Report Can and Cannot Answer</w:t>
                        </w:r>
                      </w:hyperlink>
                    </w:p>
                    <w:p w14:paraId="73AF4501" w14:textId="77777777" w:rsidR="005D2714" w:rsidRPr="00D14842" w:rsidRDefault="005D2714" w:rsidP="005D271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3F14" w:rsidRPr="00841DF8">
        <w:rPr>
          <w:b/>
          <w:color w:val="E36C0A" w:themeColor="accent6" w:themeShade="BF"/>
          <w:sz w:val="28"/>
          <w:szCs w:val="28"/>
        </w:rPr>
        <w:t>What information does the Student Learning Experience (SLE) Report provide</w:t>
      </w:r>
      <w:r w:rsidR="00A72D0A">
        <w:rPr>
          <w:b/>
          <w:color w:val="E36C0A" w:themeColor="accent6" w:themeShade="BF"/>
          <w:sz w:val="28"/>
          <w:szCs w:val="28"/>
        </w:rPr>
        <w:t>?</w:t>
      </w:r>
    </w:p>
    <w:p w14:paraId="2D4FD8B2" w14:textId="6DAE2858" w:rsidR="00867F6F" w:rsidRPr="00A72D0A" w:rsidRDefault="00D356B3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="009C558D" w:rsidRPr="00A72D0A">
        <w:rPr>
          <w:sz w:val="20"/>
          <w:szCs w:val="20"/>
        </w:rPr>
        <w:t xml:space="preserve"> </w:t>
      </w:r>
      <w:hyperlink r:id="rId17" w:history="1">
        <w:r w:rsidRPr="00D356B3">
          <w:rPr>
            <w:rStyle w:val="Hyperlink"/>
            <w:sz w:val="20"/>
            <w:szCs w:val="20"/>
          </w:rPr>
          <w:t>Student Learning Experience (SLE) Report</w:t>
        </w:r>
      </w:hyperlink>
      <w:r w:rsidR="009C558D" w:rsidRPr="00A72D0A">
        <w:rPr>
          <w:sz w:val="20"/>
          <w:szCs w:val="20"/>
        </w:rPr>
        <w:t xml:space="preserve"> compares the rates at which groups of students—students of color, economically disadvantaged students, students with disabilities, and English learners—have </w:t>
      </w:r>
      <w:r w:rsidR="00E27258">
        <w:rPr>
          <w:sz w:val="20"/>
          <w:szCs w:val="20"/>
        </w:rPr>
        <w:t>had experiences with</w:t>
      </w:r>
      <w:r w:rsidR="009C558D" w:rsidRPr="00A72D0A">
        <w:rPr>
          <w:sz w:val="20"/>
          <w:szCs w:val="20"/>
        </w:rPr>
        <w:t xml:space="preserve"> teachers who are highly-rated, experienced, and </w:t>
      </w:r>
      <w:r w:rsidR="00E27258">
        <w:rPr>
          <w:sz w:val="20"/>
          <w:szCs w:val="20"/>
        </w:rPr>
        <w:t xml:space="preserve">teaching </w:t>
      </w:r>
      <w:r w:rsidR="009C558D" w:rsidRPr="00A72D0A">
        <w:rPr>
          <w:sz w:val="20"/>
          <w:szCs w:val="20"/>
        </w:rPr>
        <w:t>in</w:t>
      </w:r>
      <w:r w:rsidR="00E27258">
        <w:rPr>
          <w:sz w:val="20"/>
          <w:szCs w:val="20"/>
        </w:rPr>
        <w:t xml:space="preserve"> their licensure area (in-</w:t>
      </w:r>
      <w:r w:rsidR="009C558D" w:rsidRPr="00A72D0A">
        <w:rPr>
          <w:sz w:val="20"/>
          <w:szCs w:val="20"/>
        </w:rPr>
        <w:t>field</w:t>
      </w:r>
      <w:r w:rsidR="00E27258">
        <w:rPr>
          <w:sz w:val="20"/>
          <w:szCs w:val="20"/>
        </w:rPr>
        <w:t>)</w:t>
      </w:r>
      <w:r w:rsidR="009C558D" w:rsidRPr="00A72D0A">
        <w:rPr>
          <w:sz w:val="20"/>
          <w:szCs w:val="20"/>
        </w:rPr>
        <w:t xml:space="preserve">. </w:t>
      </w:r>
      <w:r w:rsidR="00D755CB">
        <w:rPr>
          <w:sz w:val="20"/>
          <w:szCs w:val="20"/>
        </w:rPr>
        <w:t>Research has shown that assignment to educators with these</w:t>
      </w:r>
      <w:r w:rsidR="00775EC9">
        <w:rPr>
          <w:sz w:val="20"/>
          <w:szCs w:val="20"/>
        </w:rPr>
        <w:t xml:space="preserve"> various characteristics has</w:t>
      </w:r>
      <w:r w:rsidR="00D755CB">
        <w:rPr>
          <w:sz w:val="20"/>
          <w:szCs w:val="20"/>
        </w:rPr>
        <w:t xml:space="preserve"> a compounding impact on student achievement.</w:t>
      </w:r>
      <w:r w:rsidR="00E93930">
        <w:rPr>
          <w:sz w:val="20"/>
          <w:szCs w:val="20"/>
        </w:rPr>
        <w:t xml:space="preserve"> </w:t>
      </w:r>
      <w:r w:rsidR="00775EC9">
        <w:rPr>
          <w:sz w:val="20"/>
          <w:szCs w:val="20"/>
        </w:rPr>
        <w:t>Massachusetts s</w:t>
      </w:r>
      <w:r w:rsidR="00E93930">
        <w:rPr>
          <w:sz w:val="20"/>
          <w:szCs w:val="20"/>
        </w:rPr>
        <w:t xml:space="preserve">tudents assigned to teachers rated </w:t>
      </w:r>
      <w:r w:rsidR="00775EC9">
        <w:rPr>
          <w:sz w:val="20"/>
          <w:szCs w:val="20"/>
        </w:rPr>
        <w:t>“</w:t>
      </w:r>
      <w:r w:rsidR="00E93930">
        <w:rPr>
          <w:sz w:val="20"/>
          <w:szCs w:val="20"/>
        </w:rPr>
        <w:t>exemplary</w:t>
      </w:r>
      <w:r w:rsidR="00775EC9">
        <w:rPr>
          <w:sz w:val="20"/>
          <w:szCs w:val="20"/>
        </w:rPr>
        <w:t>”</w:t>
      </w:r>
      <w:r w:rsidR="00E93930">
        <w:rPr>
          <w:sz w:val="20"/>
          <w:szCs w:val="20"/>
        </w:rPr>
        <w:t xml:space="preserve"> gain 18 to 19 weeks o</w:t>
      </w:r>
      <w:r w:rsidR="00775EC9">
        <w:rPr>
          <w:sz w:val="20"/>
          <w:szCs w:val="20"/>
        </w:rPr>
        <w:t>f additional learning, compared</w:t>
      </w:r>
      <w:r w:rsidR="00E93930">
        <w:rPr>
          <w:sz w:val="20"/>
          <w:szCs w:val="20"/>
        </w:rPr>
        <w:t xml:space="preserve"> to students assigned to teachers rated </w:t>
      </w:r>
      <w:r w:rsidR="00775EC9">
        <w:rPr>
          <w:sz w:val="20"/>
          <w:szCs w:val="20"/>
        </w:rPr>
        <w:t>“</w:t>
      </w:r>
      <w:r w:rsidR="00E93930">
        <w:rPr>
          <w:sz w:val="20"/>
          <w:szCs w:val="20"/>
        </w:rPr>
        <w:t>unsatisfactory.</w:t>
      </w:r>
      <w:r w:rsidR="00775EC9">
        <w:rPr>
          <w:sz w:val="20"/>
          <w:szCs w:val="20"/>
        </w:rPr>
        <w:t>”</w:t>
      </w:r>
      <w:r w:rsidR="00AC046F">
        <w:rPr>
          <w:sz w:val="20"/>
          <w:szCs w:val="20"/>
        </w:rPr>
        <w:t xml:space="preserve"> </w:t>
      </w:r>
      <w:r w:rsidR="00775EC9">
        <w:rPr>
          <w:sz w:val="20"/>
          <w:szCs w:val="20"/>
        </w:rPr>
        <w:t>And as compared to students of a first-year teacher, Massachusetts s</w:t>
      </w:r>
      <w:r w:rsidR="00E93930">
        <w:rPr>
          <w:sz w:val="20"/>
          <w:szCs w:val="20"/>
        </w:rPr>
        <w:t>tudents assigne</w:t>
      </w:r>
      <w:r w:rsidR="00775EC9">
        <w:rPr>
          <w:sz w:val="20"/>
          <w:szCs w:val="20"/>
        </w:rPr>
        <w:t>d to third-year teachers gain</w:t>
      </w:r>
      <w:r w:rsidR="00E93930">
        <w:rPr>
          <w:sz w:val="20"/>
          <w:szCs w:val="20"/>
        </w:rPr>
        <w:t xml:space="preserve"> one additional month of learning in a year</w:t>
      </w:r>
      <w:r w:rsidR="00AC046F">
        <w:rPr>
          <w:sz w:val="20"/>
          <w:szCs w:val="20"/>
        </w:rPr>
        <w:t>.</w:t>
      </w:r>
      <w:r w:rsidR="00AC046F" w:rsidRPr="00AC046F">
        <w:rPr>
          <w:rStyle w:val="FootnoteReference"/>
          <w:sz w:val="20"/>
          <w:szCs w:val="20"/>
        </w:rPr>
        <w:t xml:space="preserve"> </w:t>
      </w:r>
      <w:r w:rsidR="00AC046F">
        <w:rPr>
          <w:rStyle w:val="FootnoteReference"/>
          <w:sz w:val="20"/>
          <w:szCs w:val="20"/>
        </w:rPr>
        <w:footnoteReference w:id="1"/>
      </w:r>
    </w:p>
    <w:p w14:paraId="59414647" w14:textId="01DCC66E" w:rsidR="009C558D" w:rsidRPr="00A72D0A" w:rsidRDefault="009C558D">
      <w:pPr>
        <w:rPr>
          <w:sz w:val="20"/>
          <w:szCs w:val="20"/>
        </w:rPr>
      </w:pPr>
      <w:r w:rsidRPr="00A72D0A">
        <w:rPr>
          <w:sz w:val="20"/>
          <w:szCs w:val="20"/>
        </w:rPr>
        <w:t xml:space="preserve">The SLE Report calculates a </w:t>
      </w:r>
      <w:r w:rsidRPr="00D356B3">
        <w:rPr>
          <w:b/>
          <w:sz w:val="20"/>
          <w:szCs w:val="20"/>
        </w:rPr>
        <w:t>risk ratio</w:t>
      </w:r>
      <w:r w:rsidRPr="00A72D0A">
        <w:rPr>
          <w:sz w:val="20"/>
          <w:szCs w:val="20"/>
        </w:rPr>
        <w:t xml:space="preserve"> to help </w:t>
      </w:r>
      <w:r w:rsidR="00E27258">
        <w:rPr>
          <w:sz w:val="20"/>
          <w:szCs w:val="20"/>
        </w:rPr>
        <w:t>highlight differences in these students</w:t>
      </w:r>
      <w:r w:rsidR="00952643">
        <w:rPr>
          <w:sz w:val="20"/>
          <w:szCs w:val="20"/>
        </w:rPr>
        <w:t>’</w:t>
      </w:r>
      <w:r w:rsidR="00E27258">
        <w:rPr>
          <w:sz w:val="20"/>
          <w:szCs w:val="20"/>
        </w:rPr>
        <w:t xml:space="preserve"> experiences </w:t>
      </w:r>
      <w:r w:rsidR="00952643">
        <w:rPr>
          <w:sz w:val="20"/>
          <w:szCs w:val="20"/>
        </w:rPr>
        <w:t xml:space="preserve">with educators </w:t>
      </w:r>
      <w:r w:rsidR="00E27258">
        <w:rPr>
          <w:sz w:val="20"/>
          <w:szCs w:val="20"/>
        </w:rPr>
        <w:t xml:space="preserve">by </w:t>
      </w:r>
      <w:r w:rsidRPr="00A72D0A">
        <w:rPr>
          <w:sz w:val="20"/>
          <w:szCs w:val="20"/>
        </w:rPr>
        <w:t>mak</w:t>
      </w:r>
      <w:r w:rsidR="00E27258">
        <w:rPr>
          <w:sz w:val="20"/>
          <w:szCs w:val="20"/>
        </w:rPr>
        <w:t>ing</w:t>
      </w:r>
      <w:r w:rsidRPr="00A72D0A">
        <w:rPr>
          <w:sz w:val="20"/>
          <w:szCs w:val="20"/>
        </w:rPr>
        <w:t xml:space="preserve"> a compari</w:t>
      </w:r>
      <w:r w:rsidR="00A93613">
        <w:rPr>
          <w:sz w:val="20"/>
          <w:szCs w:val="20"/>
        </w:rPr>
        <w:t xml:space="preserve">son </w:t>
      </w:r>
      <w:r w:rsidR="00E27258">
        <w:rPr>
          <w:sz w:val="20"/>
          <w:szCs w:val="20"/>
        </w:rPr>
        <w:t>to other students in the district</w:t>
      </w:r>
      <w:r w:rsidR="00775EC9">
        <w:rPr>
          <w:sz w:val="20"/>
          <w:szCs w:val="20"/>
        </w:rPr>
        <w:t xml:space="preserve"> or school</w:t>
      </w:r>
      <w:r w:rsidR="00E27258">
        <w:rPr>
          <w:sz w:val="20"/>
          <w:szCs w:val="20"/>
        </w:rPr>
        <w:t xml:space="preserve">. </w:t>
      </w:r>
      <w:r w:rsidR="00952643" w:rsidRPr="00952643">
        <w:rPr>
          <w:sz w:val="20"/>
          <w:szCs w:val="20"/>
        </w:rPr>
        <w:t xml:space="preserve"> </w:t>
      </w:r>
      <w:r w:rsidR="00952643" w:rsidRPr="00A72D0A">
        <w:rPr>
          <w:sz w:val="20"/>
          <w:szCs w:val="20"/>
        </w:rPr>
        <w:t xml:space="preserve">A </w:t>
      </w:r>
      <w:r w:rsidR="00952643" w:rsidRPr="00D356B3">
        <w:rPr>
          <w:sz w:val="20"/>
          <w:szCs w:val="20"/>
        </w:rPr>
        <w:t>risk ratio</w:t>
      </w:r>
      <w:r w:rsidR="00952643" w:rsidRPr="00A72D0A">
        <w:rPr>
          <w:sz w:val="20"/>
          <w:szCs w:val="20"/>
        </w:rPr>
        <w:t xml:space="preserve"> shows the difference in rate</w:t>
      </w:r>
      <w:r w:rsidR="0079335A">
        <w:rPr>
          <w:sz w:val="20"/>
          <w:szCs w:val="20"/>
        </w:rPr>
        <w:t>s</w:t>
      </w:r>
      <w:r w:rsidR="00952643" w:rsidRPr="00A72D0A">
        <w:rPr>
          <w:sz w:val="20"/>
          <w:szCs w:val="20"/>
        </w:rPr>
        <w:t xml:space="preserve"> at which a historically disadvantaged group has been assigned to a teacher with the given characteristic (experienced, </w:t>
      </w:r>
      <w:proofErr w:type="gramStart"/>
      <w:r w:rsidR="00952643" w:rsidRPr="00A72D0A">
        <w:rPr>
          <w:sz w:val="20"/>
          <w:szCs w:val="20"/>
        </w:rPr>
        <w:t>highly-rated</w:t>
      </w:r>
      <w:proofErr w:type="gramEnd"/>
      <w:r w:rsidR="00952643" w:rsidRPr="00A72D0A">
        <w:rPr>
          <w:sz w:val="20"/>
          <w:szCs w:val="20"/>
        </w:rPr>
        <w:t>, in-field) compared to students not in that group.</w:t>
      </w:r>
      <w:r w:rsidR="003550E5">
        <w:rPr>
          <w:sz w:val="20"/>
          <w:szCs w:val="20"/>
        </w:rPr>
        <w:t xml:space="preserve"> </w:t>
      </w:r>
      <w:r w:rsidR="00E27258">
        <w:rPr>
          <w:sz w:val="20"/>
          <w:szCs w:val="20"/>
        </w:rPr>
        <w:t>F</w:t>
      </w:r>
      <w:r w:rsidR="00A93613">
        <w:rPr>
          <w:sz w:val="20"/>
          <w:szCs w:val="20"/>
        </w:rPr>
        <w:t>or example,</w:t>
      </w:r>
      <w:r w:rsidR="00E27258">
        <w:rPr>
          <w:sz w:val="20"/>
          <w:szCs w:val="20"/>
        </w:rPr>
        <w:t xml:space="preserve"> the report compares the</w:t>
      </w:r>
      <w:r w:rsidR="00A93613">
        <w:rPr>
          <w:sz w:val="20"/>
          <w:szCs w:val="20"/>
        </w:rPr>
        <w:t xml:space="preserve"> </w:t>
      </w:r>
      <w:r w:rsidR="00E27258">
        <w:rPr>
          <w:sz w:val="20"/>
          <w:szCs w:val="20"/>
        </w:rPr>
        <w:t>number of experiences with</w:t>
      </w:r>
      <w:r w:rsidRPr="00A72D0A">
        <w:rPr>
          <w:sz w:val="20"/>
          <w:szCs w:val="20"/>
        </w:rPr>
        <w:t xml:space="preserve"> experienced teachers </w:t>
      </w:r>
      <w:r w:rsidR="00952643">
        <w:rPr>
          <w:sz w:val="20"/>
          <w:szCs w:val="20"/>
        </w:rPr>
        <w:t>of</w:t>
      </w:r>
      <w:r w:rsidR="00952643" w:rsidRPr="00A72D0A">
        <w:rPr>
          <w:sz w:val="20"/>
          <w:szCs w:val="20"/>
        </w:rPr>
        <w:t xml:space="preserve"> </w:t>
      </w:r>
      <w:r w:rsidR="00D356B3">
        <w:rPr>
          <w:sz w:val="20"/>
          <w:szCs w:val="20"/>
        </w:rPr>
        <w:t>English learners (ELs)</w:t>
      </w:r>
      <w:r w:rsidRPr="00A72D0A">
        <w:rPr>
          <w:sz w:val="20"/>
          <w:szCs w:val="20"/>
        </w:rPr>
        <w:t xml:space="preserve"> </w:t>
      </w:r>
      <w:r w:rsidR="00952643">
        <w:rPr>
          <w:sz w:val="20"/>
          <w:szCs w:val="20"/>
        </w:rPr>
        <w:t>relative</w:t>
      </w:r>
      <w:r w:rsidR="00952643" w:rsidRPr="00A72D0A">
        <w:rPr>
          <w:sz w:val="20"/>
          <w:szCs w:val="20"/>
        </w:rPr>
        <w:t xml:space="preserve"> </w:t>
      </w:r>
      <w:r w:rsidRPr="00A72D0A">
        <w:rPr>
          <w:sz w:val="20"/>
          <w:szCs w:val="20"/>
        </w:rPr>
        <w:t>to</w:t>
      </w:r>
      <w:r w:rsidR="00952643">
        <w:rPr>
          <w:sz w:val="20"/>
          <w:szCs w:val="20"/>
        </w:rPr>
        <w:t xml:space="preserve"> other</w:t>
      </w:r>
      <w:r w:rsidRPr="00A72D0A">
        <w:rPr>
          <w:sz w:val="20"/>
          <w:szCs w:val="20"/>
        </w:rPr>
        <w:t xml:space="preserve"> students</w:t>
      </w:r>
      <w:r w:rsidR="00952643">
        <w:rPr>
          <w:sz w:val="20"/>
          <w:szCs w:val="20"/>
        </w:rPr>
        <w:t xml:space="preserve"> in the district</w:t>
      </w:r>
      <w:r w:rsidRPr="00A72D0A">
        <w:rPr>
          <w:sz w:val="20"/>
          <w:szCs w:val="20"/>
        </w:rPr>
        <w:t xml:space="preserve"> </w:t>
      </w:r>
      <w:r w:rsidR="00D356B3">
        <w:rPr>
          <w:sz w:val="20"/>
          <w:szCs w:val="20"/>
        </w:rPr>
        <w:t>who are not ELs.</w:t>
      </w:r>
      <w:r w:rsidRPr="00A72D0A">
        <w:rPr>
          <w:sz w:val="20"/>
          <w:szCs w:val="20"/>
        </w:rPr>
        <w:t xml:space="preserve"> </w:t>
      </w:r>
    </w:p>
    <w:p w14:paraId="68B14F23" w14:textId="10849A6F" w:rsidR="0079335A" w:rsidRPr="00106EA0" w:rsidRDefault="00326AFA" w:rsidP="006B3F1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Equity gaps </w:t>
      </w:r>
      <w:r>
        <w:rPr>
          <w:sz w:val="20"/>
          <w:szCs w:val="20"/>
        </w:rPr>
        <w:t xml:space="preserve">are highlighted in </w:t>
      </w:r>
      <w:r w:rsidRPr="00326AFA">
        <w:rPr>
          <w:b/>
          <w:color w:val="FF0000"/>
          <w:sz w:val="20"/>
          <w:szCs w:val="20"/>
        </w:rPr>
        <w:t>red</w:t>
      </w:r>
      <w:r>
        <w:rPr>
          <w:sz w:val="20"/>
          <w:szCs w:val="20"/>
        </w:rPr>
        <w:t xml:space="preserve"> in the report. An equity gap is when there is a</w:t>
      </w:r>
      <w:r w:rsidR="009C558D" w:rsidRPr="00326AFA">
        <w:rPr>
          <w:sz w:val="20"/>
          <w:szCs w:val="20"/>
        </w:rPr>
        <w:t xml:space="preserve"> risk ratio </w:t>
      </w:r>
      <w:r w:rsidR="009C558D" w:rsidRPr="00A72D0A">
        <w:rPr>
          <w:sz w:val="20"/>
          <w:szCs w:val="20"/>
        </w:rPr>
        <w:t>of 1.5 or greater, which means that the historically disadvantaged group has shown to be 1.5 times, or 50% more likely</w:t>
      </w:r>
      <w:r w:rsidR="00775EC9">
        <w:rPr>
          <w:sz w:val="20"/>
          <w:szCs w:val="20"/>
        </w:rPr>
        <w:t>,</w:t>
      </w:r>
      <w:r w:rsidR="009C558D" w:rsidRPr="00A72D0A">
        <w:rPr>
          <w:sz w:val="20"/>
          <w:szCs w:val="20"/>
        </w:rPr>
        <w:t xml:space="preserve"> </w:t>
      </w:r>
      <w:r w:rsidR="00AC046F">
        <w:rPr>
          <w:sz w:val="20"/>
          <w:szCs w:val="20"/>
        </w:rPr>
        <w:t xml:space="preserve">than their non-historically disadvantaged peers </w:t>
      </w:r>
      <w:r w:rsidR="009C558D" w:rsidRPr="00A72D0A">
        <w:rPr>
          <w:sz w:val="20"/>
          <w:szCs w:val="20"/>
        </w:rPr>
        <w:t xml:space="preserve">to </w:t>
      </w:r>
      <w:r w:rsidR="00325CA6">
        <w:rPr>
          <w:sz w:val="20"/>
          <w:szCs w:val="20"/>
        </w:rPr>
        <w:t>have experiences with</w:t>
      </w:r>
      <w:r>
        <w:rPr>
          <w:sz w:val="20"/>
          <w:szCs w:val="20"/>
        </w:rPr>
        <w:t xml:space="preserve"> </w:t>
      </w:r>
      <w:r w:rsidR="00325CA6">
        <w:rPr>
          <w:sz w:val="20"/>
          <w:szCs w:val="20"/>
        </w:rPr>
        <w:t>inexperienced, ineffective</w:t>
      </w:r>
      <w:r w:rsidR="00775EC9">
        <w:rPr>
          <w:sz w:val="20"/>
          <w:szCs w:val="20"/>
        </w:rPr>
        <w:t>,</w:t>
      </w:r>
      <w:r w:rsidR="00325CA6">
        <w:rPr>
          <w:sz w:val="20"/>
          <w:szCs w:val="20"/>
        </w:rPr>
        <w:t xml:space="preserve"> or out-of-field educators</w:t>
      </w:r>
      <w:r>
        <w:rPr>
          <w:sz w:val="20"/>
          <w:szCs w:val="20"/>
        </w:rPr>
        <w:t xml:space="preserve">. </w:t>
      </w:r>
    </w:p>
    <w:tbl>
      <w:tblPr>
        <w:tblStyle w:val="ListTable4-Accent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on Equity Gaps"/>
      </w:tblPr>
      <w:tblGrid>
        <w:gridCol w:w="2418"/>
        <w:gridCol w:w="1168"/>
        <w:gridCol w:w="1039"/>
        <w:gridCol w:w="1501"/>
        <w:gridCol w:w="1255"/>
        <w:gridCol w:w="1255"/>
        <w:gridCol w:w="809"/>
      </w:tblGrid>
      <w:tr w:rsidR="0032463E" w:rsidRPr="0032463E" w14:paraId="16FBF942" w14:textId="77777777" w:rsidTr="001A3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A7AB713" w14:textId="77777777" w:rsidR="0032463E" w:rsidRPr="00E93930" w:rsidRDefault="0032463E" w:rsidP="00037A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30CE372F" w14:textId="77777777" w:rsidR="0032463E" w:rsidRPr="00E93930" w:rsidRDefault="0032463E" w:rsidP="00324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7227D366" w14:textId="77777777" w:rsidR="0032463E" w:rsidRPr="00E93930" w:rsidRDefault="0032463E" w:rsidP="00324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Educators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7CE5DB46" w14:textId="08FA7186" w:rsidR="0032463E" w:rsidRPr="00E93930" w:rsidRDefault="0032463E" w:rsidP="00324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Learning Experiences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1A09F0" w14:textId="77777777" w:rsidR="0032463E" w:rsidRPr="00E93930" w:rsidRDefault="0032463E" w:rsidP="00324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Educator Experience</w:t>
            </w:r>
          </w:p>
        </w:tc>
      </w:tr>
      <w:tr w:rsidR="001C0912" w:rsidRPr="0032463E" w14:paraId="0B43B456" w14:textId="77777777" w:rsidTr="001A3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shd w:val="clear" w:color="auto" w:fill="8DB3E2" w:themeFill="text2" w:themeFillTint="66"/>
          </w:tcPr>
          <w:p w14:paraId="5B960DE0" w14:textId="77777777" w:rsidR="0032463E" w:rsidRPr="00E93930" w:rsidRDefault="0032463E" w:rsidP="00037AB8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8DB3E2" w:themeFill="text2" w:themeFillTint="66"/>
          </w:tcPr>
          <w:p w14:paraId="269F2D5B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>Total # of Students</w:t>
            </w:r>
          </w:p>
        </w:tc>
        <w:tc>
          <w:tcPr>
            <w:tcW w:w="1039" w:type="dxa"/>
            <w:shd w:val="clear" w:color="auto" w:fill="8DB3E2" w:themeFill="text2" w:themeFillTint="66"/>
          </w:tcPr>
          <w:p w14:paraId="439BD3E0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>Total # of Educators</w:t>
            </w:r>
          </w:p>
        </w:tc>
        <w:tc>
          <w:tcPr>
            <w:tcW w:w="1501" w:type="dxa"/>
            <w:shd w:val="clear" w:color="auto" w:fill="8DB3E2" w:themeFill="text2" w:themeFillTint="66"/>
          </w:tcPr>
          <w:p w14:paraId="4C1C0DB8" w14:textId="6889C93F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>Total # of Learning Exp</w:t>
            </w:r>
          </w:p>
        </w:tc>
        <w:tc>
          <w:tcPr>
            <w:tcW w:w="1255" w:type="dxa"/>
            <w:shd w:val="clear" w:color="auto" w:fill="8DB3E2" w:themeFill="text2" w:themeFillTint="66"/>
          </w:tcPr>
          <w:p w14:paraId="6B472169" w14:textId="7E7609DA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% L. Exp 3+ </w:t>
            </w:r>
            <w:proofErr w:type="spellStart"/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>Yrs</w:t>
            </w:r>
            <w:proofErr w:type="spellEnd"/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in MA</w:t>
            </w:r>
          </w:p>
        </w:tc>
        <w:tc>
          <w:tcPr>
            <w:tcW w:w="1255" w:type="dxa"/>
            <w:shd w:val="clear" w:color="auto" w:fill="8DB3E2" w:themeFill="text2" w:themeFillTint="66"/>
          </w:tcPr>
          <w:p w14:paraId="22D9A39F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% L. Exp 0-2 </w:t>
            </w:r>
            <w:proofErr w:type="spellStart"/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>Yrs</w:t>
            </w:r>
            <w:proofErr w:type="spellEnd"/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in MA</w:t>
            </w:r>
          </w:p>
        </w:tc>
        <w:tc>
          <w:tcPr>
            <w:tcW w:w="809" w:type="dxa"/>
            <w:shd w:val="clear" w:color="auto" w:fill="8DB3E2" w:themeFill="text2" w:themeFillTint="66"/>
          </w:tcPr>
          <w:p w14:paraId="1266C296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93930">
              <w:rPr>
                <w:rFonts w:cstheme="minorHAnsi"/>
                <w:color w:val="FFFFFF" w:themeColor="background1"/>
                <w:sz w:val="20"/>
                <w:szCs w:val="20"/>
              </w:rPr>
              <w:t>Risk Ratio</w:t>
            </w:r>
          </w:p>
        </w:tc>
      </w:tr>
      <w:tr w:rsidR="0032463E" w:rsidRPr="0032463E" w14:paraId="3A68C41C" w14:textId="77777777" w:rsidTr="001A3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14:paraId="3F69F16D" w14:textId="77777777" w:rsidR="0032463E" w:rsidRPr="00E93930" w:rsidRDefault="0032463E" w:rsidP="00037AB8">
            <w:pPr>
              <w:rPr>
                <w:rFonts w:cstheme="minorHAnsi"/>
                <w:b w:val="0"/>
                <w:sz w:val="20"/>
                <w:szCs w:val="20"/>
              </w:rPr>
            </w:pPr>
            <w:r w:rsidRPr="00E93930">
              <w:rPr>
                <w:rFonts w:cstheme="minorHAnsi"/>
                <w:b w:val="0"/>
                <w:sz w:val="20"/>
                <w:szCs w:val="20"/>
              </w:rPr>
              <w:t>District A (All Students)</w:t>
            </w:r>
          </w:p>
        </w:tc>
        <w:tc>
          <w:tcPr>
            <w:tcW w:w="1168" w:type="dxa"/>
          </w:tcPr>
          <w:p w14:paraId="5E5FC68D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2,269</w:t>
            </w:r>
          </w:p>
        </w:tc>
        <w:tc>
          <w:tcPr>
            <w:tcW w:w="1039" w:type="dxa"/>
          </w:tcPr>
          <w:p w14:paraId="1B50F4E7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1501" w:type="dxa"/>
          </w:tcPr>
          <w:p w14:paraId="0BD0080E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17,531</w:t>
            </w:r>
          </w:p>
        </w:tc>
        <w:tc>
          <w:tcPr>
            <w:tcW w:w="1255" w:type="dxa"/>
          </w:tcPr>
          <w:p w14:paraId="46D1B529" w14:textId="7608B2DF" w:rsidR="0032463E" w:rsidRPr="00E93930" w:rsidRDefault="00E704B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83.7</w:t>
            </w:r>
          </w:p>
        </w:tc>
        <w:tc>
          <w:tcPr>
            <w:tcW w:w="1255" w:type="dxa"/>
          </w:tcPr>
          <w:p w14:paraId="761FC8F2" w14:textId="4C125F86" w:rsidR="0032463E" w:rsidRPr="00E93930" w:rsidRDefault="00E704B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16.3</w:t>
            </w:r>
          </w:p>
        </w:tc>
        <w:tc>
          <w:tcPr>
            <w:tcW w:w="809" w:type="dxa"/>
          </w:tcPr>
          <w:p w14:paraId="3C6CF110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2463E" w:rsidRPr="0032463E" w14:paraId="1C510C80" w14:textId="77777777" w:rsidTr="001A3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shd w:val="clear" w:color="auto" w:fill="FFFFFF" w:themeFill="background1"/>
          </w:tcPr>
          <w:p w14:paraId="60384315" w14:textId="77777777" w:rsidR="0032463E" w:rsidRPr="00E93930" w:rsidRDefault="0032463E" w:rsidP="00037AB8">
            <w:pPr>
              <w:rPr>
                <w:rFonts w:cstheme="minorHAnsi"/>
                <w:b w:val="0"/>
                <w:sz w:val="20"/>
                <w:szCs w:val="20"/>
              </w:rPr>
            </w:pPr>
            <w:r w:rsidRPr="00E93930">
              <w:rPr>
                <w:rFonts w:cstheme="minorHAnsi"/>
                <w:b w:val="0"/>
                <w:sz w:val="20"/>
                <w:szCs w:val="20"/>
              </w:rPr>
              <w:t>District A (Non-Econ. disadvantaged)</w:t>
            </w:r>
          </w:p>
        </w:tc>
        <w:tc>
          <w:tcPr>
            <w:tcW w:w="1168" w:type="dxa"/>
            <w:shd w:val="clear" w:color="auto" w:fill="FFFFFF" w:themeFill="background1"/>
          </w:tcPr>
          <w:p w14:paraId="69725F75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2,068</w:t>
            </w:r>
          </w:p>
        </w:tc>
        <w:tc>
          <w:tcPr>
            <w:tcW w:w="1039" w:type="dxa"/>
            <w:shd w:val="clear" w:color="auto" w:fill="FFFFFF" w:themeFill="background1"/>
          </w:tcPr>
          <w:p w14:paraId="63C4FBBF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218</w:t>
            </w:r>
          </w:p>
        </w:tc>
        <w:tc>
          <w:tcPr>
            <w:tcW w:w="1501" w:type="dxa"/>
            <w:shd w:val="clear" w:color="auto" w:fill="FFFFFF" w:themeFill="background1"/>
          </w:tcPr>
          <w:p w14:paraId="16FAABFA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16,054</w:t>
            </w:r>
          </w:p>
        </w:tc>
        <w:tc>
          <w:tcPr>
            <w:tcW w:w="1255" w:type="dxa"/>
            <w:shd w:val="clear" w:color="auto" w:fill="FFFFFF" w:themeFill="background1"/>
          </w:tcPr>
          <w:p w14:paraId="29A44447" w14:textId="536885CB" w:rsidR="0032463E" w:rsidRPr="00E93930" w:rsidRDefault="00E704B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85.0</w:t>
            </w:r>
          </w:p>
        </w:tc>
        <w:tc>
          <w:tcPr>
            <w:tcW w:w="1255" w:type="dxa"/>
            <w:shd w:val="clear" w:color="auto" w:fill="FFFFFF" w:themeFill="background1"/>
          </w:tcPr>
          <w:p w14:paraId="1DDC22F3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15.0</w:t>
            </w:r>
          </w:p>
        </w:tc>
        <w:tc>
          <w:tcPr>
            <w:tcW w:w="809" w:type="dxa"/>
            <w:shd w:val="clear" w:color="auto" w:fill="FFFFFF" w:themeFill="background1"/>
          </w:tcPr>
          <w:p w14:paraId="21357EE0" w14:textId="77777777" w:rsidR="0032463E" w:rsidRPr="00E93930" w:rsidRDefault="0032463E" w:rsidP="00324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2463E" w:rsidRPr="0032463E" w14:paraId="2A5689FC" w14:textId="77777777" w:rsidTr="001A3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14:paraId="6C595C05" w14:textId="77777777" w:rsidR="0032463E" w:rsidRPr="00E93930" w:rsidRDefault="0032463E" w:rsidP="00037AB8">
            <w:pPr>
              <w:rPr>
                <w:rFonts w:cstheme="minorHAnsi"/>
                <w:b w:val="0"/>
                <w:sz w:val="20"/>
                <w:szCs w:val="20"/>
              </w:rPr>
            </w:pPr>
            <w:r w:rsidRPr="00E93930">
              <w:rPr>
                <w:rFonts w:cstheme="minorHAnsi"/>
                <w:b w:val="0"/>
                <w:sz w:val="20"/>
                <w:szCs w:val="20"/>
              </w:rPr>
              <w:t>District A (Econ. disadvantaged)</w:t>
            </w:r>
          </w:p>
        </w:tc>
        <w:tc>
          <w:tcPr>
            <w:tcW w:w="1168" w:type="dxa"/>
          </w:tcPr>
          <w:p w14:paraId="3B2C1DA2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201</w:t>
            </w:r>
          </w:p>
        </w:tc>
        <w:tc>
          <w:tcPr>
            <w:tcW w:w="1039" w:type="dxa"/>
          </w:tcPr>
          <w:p w14:paraId="2679A665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188</w:t>
            </w:r>
          </w:p>
        </w:tc>
        <w:tc>
          <w:tcPr>
            <w:tcW w:w="1501" w:type="dxa"/>
          </w:tcPr>
          <w:p w14:paraId="23F142AA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1,477</w:t>
            </w:r>
          </w:p>
        </w:tc>
        <w:tc>
          <w:tcPr>
            <w:tcW w:w="1255" w:type="dxa"/>
          </w:tcPr>
          <w:p w14:paraId="799742A7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70.0</w:t>
            </w:r>
          </w:p>
        </w:tc>
        <w:tc>
          <w:tcPr>
            <w:tcW w:w="1255" w:type="dxa"/>
          </w:tcPr>
          <w:p w14:paraId="3AE50B23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sz w:val="20"/>
                <w:szCs w:val="20"/>
              </w:rPr>
              <w:t>30.0</w:t>
            </w:r>
          </w:p>
        </w:tc>
        <w:tc>
          <w:tcPr>
            <w:tcW w:w="809" w:type="dxa"/>
          </w:tcPr>
          <w:p w14:paraId="7FE90AF6" w14:textId="77777777" w:rsidR="0032463E" w:rsidRPr="00E93930" w:rsidRDefault="0032463E" w:rsidP="00324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93930">
              <w:rPr>
                <w:rFonts w:cstheme="minorHAnsi"/>
                <w:color w:val="FF0000"/>
                <w:sz w:val="20"/>
                <w:szCs w:val="20"/>
              </w:rPr>
              <w:t>2.00</w:t>
            </w:r>
          </w:p>
        </w:tc>
      </w:tr>
    </w:tbl>
    <w:p w14:paraId="6B38E76C" w14:textId="3B84F484" w:rsidR="00867F6F" w:rsidRPr="0032463E" w:rsidRDefault="001A3E42" w:rsidP="001A3E42">
      <w:pPr>
        <w:spacing w:before="240"/>
        <w:rPr>
          <w:rFonts w:cstheme="minorHAnsi"/>
        </w:rPr>
      </w:pPr>
      <w:r w:rsidRPr="00D00453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76A54E8E" wp14:editId="14E2B447">
                <wp:extent cx="5943600" cy="507839"/>
                <wp:effectExtent l="0" t="0" r="19050" b="2603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078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9308934" w14:textId="77777777" w:rsidR="001A3E42" w:rsidRPr="00D00453" w:rsidRDefault="001A3E42" w:rsidP="001A3E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 w:rsidRPr="00D00453">
                              <w:rPr>
                                <w:sz w:val="16"/>
                                <w:szCs w:val="16"/>
                              </w:rPr>
                              <w:t xml:space="preserve">he sample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district above </w:t>
                            </w:r>
                            <w:r w:rsidRPr="00D00453">
                              <w:rPr>
                                <w:sz w:val="16"/>
                                <w:szCs w:val="16"/>
                              </w:rPr>
                              <w:t xml:space="preserve">has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 risk ratio related to educator experience for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economically disadvantaged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students as compared to non-economically disadvantaged students.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Economically disadvantaged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students are 2 times as likely to have been assigned to an inexperienced teacher (a teacher who has 0-2 years of MA public school teaching experience) as compared to their non-economically disadvantaged peers.</w:t>
                            </w:r>
                          </w:p>
                          <w:p w14:paraId="560C938A" w14:textId="77777777" w:rsidR="001A3E42" w:rsidRDefault="001A3E42" w:rsidP="001A3E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A54E8E" id="Text Box 2" o:spid="_x0000_s1027" type="#_x0000_t202" style="width:468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" filled="f" strokecolor="#7f7f7f [1612]">
                <v:textbox>
                  <w:txbxContent>
                    <w:p w14:paraId="79308934" w14:textId="77777777" w:rsidR="001A3E42" w:rsidRPr="00D00453" w:rsidRDefault="001A3E42" w:rsidP="001A3E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</w:t>
                      </w:r>
                      <w:r w:rsidRPr="00D00453">
                        <w:rPr>
                          <w:sz w:val="16"/>
                          <w:szCs w:val="16"/>
                        </w:rPr>
                        <w:t xml:space="preserve">he sample </w:t>
                      </w:r>
                      <w:r>
                        <w:rPr>
                          <w:sz w:val="16"/>
                          <w:szCs w:val="16"/>
                        </w:rPr>
                        <w:t xml:space="preserve">district above </w:t>
                      </w:r>
                      <w:r w:rsidRPr="00D00453">
                        <w:rPr>
                          <w:sz w:val="16"/>
                          <w:szCs w:val="16"/>
                        </w:rPr>
                        <w:t xml:space="preserve">has </w:t>
                      </w:r>
                      <w:r>
                        <w:rPr>
                          <w:sz w:val="16"/>
                          <w:szCs w:val="16"/>
                        </w:rPr>
                        <w:t xml:space="preserve">a risk ratio related to educator experience for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economically disadvantaged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students as compared to non-economically disadvantaged students.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Economically disadvantaged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students are 2 times as likely to have been assigned to an inexperienced teacher (a teacher who has 0-2 years of MA public school teaching experience) as compared to their non-economically disadvantaged peers.</w:t>
                      </w:r>
                    </w:p>
                    <w:p w14:paraId="560C938A" w14:textId="77777777" w:rsidR="001A3E42" w:rsidRDefault="001A3E42" w:rsidP="001A3E4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E36C0A" w:themeColor="accent6" w:themeShade="BF"/>
          <w:sz w:val="28"/>
          <w:szCs w:val="28"/>
        </w:rPr>
        <w:br/>
      </w:r>
      <w:r w:rsidR="00A93613">
        <w:rPr>
          <w:b/>
          <w:color w:val="E36C0A" w:themeColor="accent6" w:themeShade="BF"/>
          <w:sz w:val="28"/>
          <w:szCs w:val="28"/>
        </w:rPr>
        <w:t xml:space="preserve">What </w:t>
      </w:r>
      <w:r w:rsidR="00867F6F" w:rsidRPr="00841DF8">
        <w:rPr>
          <w:b/>
          <w:color w:val="E36C0A" w:themeColor="accent6" w:themeShade="BF"/>
          <w:sz w:val="28"/>
          <w:szCs w:val="28"/>
        </w:rPr>
        <w:t xml:space="preserve">steps </w:t>
      </w:r>
      <w:r w:rsidR="00A93613">
        <w:rPr>
          <w:b/>
          <w:color w:val="E36C0A" w:themeColor="accent6" w:themeShade="BF"/>
          <w:sz w:val="28"/>
          <w:szCs w:val="28"/>
        </w:rPr>
        <w:t xml:space="preserve">should </w:t>
      </w:r>
      <w:proofErr w:type="gramStart"/>
      <w:r w:rsidR="00B9642C" w:rsidRPr="00841DF8">
        <w:rPr>
          <w:b/>
          <w:color w:val="E36C0A" w:themeColor="accent6" w:themeShade="BF"/>
          <w:sz w:val="28"/>
          <w:szCs w:val="28"/>
        </w:rPr>
        <w:t>districts</w:t>
      </w:r>
      <w:proofErr w:type="gramEnd"/>
      <w:r w:rsidR="00A93613">
        <w:rPr>
          <w:b/>
          <w:color w:val="E36C0A" w:themeColor="accent6" w:themeShade="BF"/>
          <w:sz w:val="28"/>
          <w:szCs w:val="28"/>
        </w:rPr>
        <w:t xml:space="preserve"> and schools</w:t>
      </w:r>
      <w:r w:rsidR="00B9642C" w:rsidRPr="00841DF8">
        <w:rPr>
          <w:b/>
          <w:color w:val="E36C0A" w:themeColor="accent6" w:themeShade="BF"/>
          <w:sz w:val="28"/>
          <w:szCs w:val="28"/>
        </w:rPr>
        <w:t xml:space="preserve"> take </w:t>
      </w:r>
      <w:r w:rsidR="006B3F14" w:rsidRPr="00841DF8">
        <w:rPr>
          <w:b/>
          <w:color w:val="E36C0A" w:themeColor="accent6" w:themeShade="BF"/>
          <w:sz w:val="28"/>
          <w:szCs w:val="28"/>
        </w:rPr>
        <w:t>after analyzing the SLE Report?</w:t>
      </w:r>
    </w:p>
    <w:p w14:paraId="540136FC" w14:textId="67F57DDF" w:rsidR="00867F6F" w:rsidRPr="00A72D0A" w:rsidRDefault="006D3AD6">
      <w:pPr>
        <w:rPr>
          <w:sz w:val="20"/>
          <w:szCs w:val="20"/>
        </w:rPr>
      </w:pPr>
      <w:r>
        <w:rPr>
          <w:b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  <w:r w:rsidR="00593905" w:rsidRPr="00A72D0A">
        <w:rPr>
          <w:sz w:val="20"/>
          <w:szCs w:val="20"/>
        </w:rPr>
        <w:t xml:space="preserve">The </w:t>
      </w:r>
      <w:hyperlink r:id="rId18" w:history="1">
        <w:r w:rsidR="00593905" w:rsidRPr="00A72D0A">
          <w:rPr>
            <w:rStyle w:val="Hyperlink"/>
            <w:sz w:val="20"/>
            <w:szCs w:val="20"/>
          </w:rPr>
          <w:t>Equity Roadmap</w:t>
        </w:r>
      </w:hyperlink>
      <w:r w:rsidR="00593905" w:rsidRPr="00A72D0A">
        <w:rPr>
          <w:sz w:val="20"/>
          <w:szCs w:val="20"/>
        </w:rPr>
        <w:t xml:space="preserve"> provides more information on the three steps below, including </w:t>
      </w:r>
      <w:r w:rsidR="006B3F14" w:rsidRPr="00A72D0A">
        <w:rPr>
          <w:sz w:val="20"/>
          <w:szCs w:val="20"/>
        </w:rPr>
        <w:t xml:space="preserve">planning templates </w:t>
      </w:r>
      <w:r w:rsidR="00325CA6">
        <w:rPr>
          <w:sz w:val="20"/>
          <w:szCs w:val="20"/>
        </w:rPr>
        <w:t xml:space="preserve">and </w:t>
      </w:r>
      <w:r w:rsidR="006B3F14" w:rsidRPr="00A72D0A">
        <w:rPr>
          <w:sz w:val="20"/>
          <w:szCs w:val="20"/>
        </w:rPr>
        <w:t xml:space="preserve">suggestions </w:t>
      </w:r>
      <w:r w:rsidR="00325CA6">
        <w:rPr>
          <w:sz w:val="20"/>
          <w:szCs w:val="20"/>
        </w:rPr>
        <w:t>for addressing</w:t>
      </w:r>
      <w:r w:rsidR="006B3F14" w:rsidRPr="00A72D0A">
        <w:rPr>
          <w:sz w:val="20"/>
          <w:szCs w:val="20"/>
        </w:rPr>
        <w:t xml:space="preserve"> specific equity gaps. </w:t>
      </w:r>
    </w:p>
    <w:p w14:paraId="4DA73D69" w14:textId="27D09E59" w:rsidR="003B621D" w:rsidRPr="00A72D0A" w:rsidRDefault="003B621D">
      <w:pPr>
        <w:rPr>
          <w:color w:val="1F497D" w:themeColor="text2"/>
          <w:sz w:val="24"/>
          <w:szCs w:val="24"/>
        </w:rPr>
      </w:pPr>
      <w:r w:rsidRPr="00A72D0A">
        <w:rPr>
          <w:color w:val="1F497D" w:themeColor="text2"/>
          <w:sz w:val="24"/>
          <w:szCs w:val="24"/>
        </w:rPr>
        <w:t xml:space="preserve">1. </w:t>
      </w:r>
      <w:r w:rsidRPr="00A72D0A">
        <w:rPr>
          <w:b/>
          <w:color w:val="1F497D" w:themeColor="text2"/>
          <w:sz w:val="24"/>
          <w:szCs w:val="24"/>
        </w:rPr>
        <w:t>Use Additional Data</w:t>
      </w:r>
    </w:p>
    <w:p w14:paraId="23EBBE9C" w14:textId="57D19B39" w:rsidR="003B621D" w:rsidRDefault="003B621D" w:rsidP="005D2714">
      <w:pPr>
        <w:spacing w:after="0"/>
        <w:rPr>
          <w:sz w:val="20"/>
          <w:szCs w:val="20"/>
        </w:rPr>
      </w:pPr>
      <w:r w:rsidRPr="00A72D0A">
        <w:rPr>
          <w:sz w:val="20"/>
          <w:szCs w:val="20"/>
        </w:rPr>
        <w:t xml:space="preserve">Your district may have data that is more </w:t>
      </w:r>
      <w:proofErr w:type="gramStart"/>
      <w:r w:rsidRPr="00A72D0A">
        <w:rPr>
          <w:sz w:val="20"/>
          <w:szCs w:val="20"/>
        </w:rPr>
        <w:t>up-to-date</w:t>
      </w:r>
      <w:proofErr w:type="gramEnd"/>
      <w:r w:rsidRPr="00A72D0A">
        <w:rPr>
          <w:sz w:val="20"/>
          <w:szCs w:val="20"/>
        </w:rPr>
        <w:t xml:space="preserve"> than that found in the SLE report. To augment the SLE report, consider using local data, like new evaluations, student assignments, </w:t>
      </w:r>
      <w:r w:rsidR="00593905" w:rsidRPr="00A72D0A">
        <w:rPr>
          <w:sz w:val="20"/>
          <w:szCs w:val="20"/>
        </w:rPr>
        <w:t xml:space="preserve">or local benchmark assessments. </w:t>
      </w:r>
      <w:r w:rsidR="00C56595" w:rsidRPr="00A72D0A">
        <w:rPr>
          <w:sz w:val="20"/>
          <w:szCs w:val="20"/>
        </w:rPr>
        <w:t xml:space="preserve">The SLE report will help </w:t>
      </w:r>
      <w:r w:rsidR="00326AFA">
        <w:rPr>
          <w:sz w:val="20"/>
          <w:szCs w:val="20"/>
        </w:rPr>
        <w:t>bring to light</w:t>
      </w:r>
      <w:r w:rsidR="00C56595" w:rsidRPr="00A72D0A">
        <w:rPr>
          <w:sz w:val="20"/>
          <w:szCs w:val="20"/>
        </w:rPr>
        <w:t xml:space="preserve"> potential equity issues, but districts’ and schools’ local data will help determine how </w:t>
      </w:r>
      <w:r w:rsidR="0032463E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E87F9" wp14:editId="01E8DF40">
                <wp:simplePos x="0" y="0"/>
                <wp:positionH relativeFrom="column">
                  <wp:posOffset>4600575</wp:posOffset>
                </wp:positionH>
                <wp:positionV relativeFrom="paragraph">
                  <wp:posOffset>38100</wp:posOffset>
                </wp:positionV>
                <wp:extent cx="2047875" cy="2105025"/>
                <wp:effectExtent l="38100" t="38100" r="123825" b="123825"/>
                <wp:wrapSquare wrapText="bothSides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F49F2A" w14:textId="311A47E2" w:rsidR="00B53B37" w:rsidRDefault="00B53B37" w:rsidP="00B53B37">
                            <w:pPr>
                              <w:spacing w:after="0"/>
                            </w:pPr>
                            <w:r>
                              <w:rPr>
                                <w:b/>
                                <w:color w:val="1F497D" w:themeColor="text2"/>
                                <w:sz w:val="24"/>
                                <w:szCs w:val="28"/>
                              </w:rPr>
                              <w:t>Review DESE’s resources for mor</w:t>
                            </w:r>
                            <w:r w:rsidR="00106EA0">
                              <w:rPr>
                                <w:b/>
                                <w:color w:val="1F497D" w:themeColor="text2"/>
                                <w:sz w:val="24"/>
                                <w:szCs w:val="28"/>
                              </w:rPr>
                              <w:t>e detail on the strategies mentioned here</w:t>
                            </w:r>
                            <w:r>
                              <w:rPr>
                                <w:b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, as well as additional strategies: </w:t>
                            </w:r>
                          </w:p>
                          <w:p w14:paraId="12D99807" w14:textId="5B6B9D8A" w:rsidR="00B53B37" w:rsidRPr="001B2917" w:rsidRDefault="001B2917" w:rsidP="00B53B37">
                            <w:pPr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HYPERLINK "https://www.doe.mass.edu/edeffectiveness/equitableaccess/resources/roadmap.html"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53B37" w:rsidRPr="001B2917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Equity Roadmap: Potential Next Steps after the Student Learning Experience Report</w:t>
                            </w:r>
                          </w:p>
                          <w:p w14:paraId="40A9F9F8" w14:textId="1679A3F7" w:rsidR="00B53B37" w:rsidRPr="004739AB" w:rsidRDefault="001B2917" w:rsidP="00B53B37">
                            <w:pPr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4739AB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4739AB">
                              <w:rPr>
                                <w:sz w:val="20"/>
                                <w:szCs w:val="20"/>
                              </w:rPr>
                              <w:instrText xml:space="preserve"> HYPERLINK "https://www.doe.mass.edu/edeffectiveness/equitableaccess/playbooks/default.html" </w:instrText>
                            </w:r>
                            <w:r w:rsidR="004739AB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53B37" w:rsidRPr="004739AB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 xml:space="preserve">Equity Playbook II </w:t>
                            </w:r>
                          </w:p>
                          <w:p w14:paraId="53E76620" w14:textId="6F4BD548" w:rsidR="00B53B37" w:rsidRPr="002F5A13" w:rsidRDefault="004739AB" w:rsidP="00B53B37">
                            <w:pPr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2F5A13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2F5A13">
                              <w:rPr>
                                <w:sz w:val="20"/>
                                <w:szCs w:val="20"/>
                              </w:rPr>
                              <w:instrText xml:space="preserve"> HYPERLINK "https://www.doe.mass.edu/edeffectiveness/equitableaccess/plan/default.html" </w:instrText>
                            </w:r>
                            <w:r w:rsidR="002F5A13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53B37" w:rsidRPr="002F5A13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State Equity Plan</w:t>
                            </w:r>
                          </w:p>
                          <w:p w14:paraId="568DA401" w14:textId="0F40CFAD" w:rsidR="00B53B37" w:rsidRPr="00A95C0B" w:rsidRDefault="002F5A13" w:rsidP="00B53B3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B8B0B52" w14:textId="77777777" w:rsidR="00B53B37" w:rsidRPr="00D14842" w:rsidRDefault="00B53B37" w:rsidP="00B53B3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E87F9" id="_x0000_s1028" type="#_x0000_t202" style="position:absolute;margin-left:362.25pt;margin-top:3pt;width:161.25pt;height:1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" strokecolor="#365f91 [2404]" strokeweight=".25pt">
                <v:shadow on="t" color="black" opacity="26214f" origin="-.5,-.5" offset=".74836mm,.74836mm"/>
                <v:textbox>
                  <w:txbxContent>
                    <w:p w14:paraId="68F49F2A" w14:textId="311A47E2" w:rsidR="00B53B37" w:rsidRDefault="00B53B37" w:rsidP="00B53B37">
                      <w:pPr>
                        <w:spacing w:after="0"/>
                      </w:pPr>
                      <w:r>
                        <w:rPr>
                          <w:b/>
                          <w:color w:val="1F497D" w:themeColor="text2"/>
                          <w:sz w:val="24"/>
                          <w:szCs w:val="28"/>
                        </w:rPr>
                        <w:t>Review DESE’s resources for mor</w:t>
                      </w:r>
                      <w:r w:rsidR="00106EA0">
                        <w:rPr>
                          <w:b/>
                          <w:color w:val="1F497D" w:themeColor="text2"/>
                          <w:sz w:val="24"/>
                          <w:szCs w:val="28"/>
                        </w:rPr>
                        <w:t>e detail on the strategies mentioned here</w:t>
                      </w:r>
                      <w:r>
                        <w:rPr>
                          <w:b/>
                          <w:color w:val="1F497D" w:themeColor="text2"/>
                          <w:sz w:val="24"/>
                          <w:szCs w:val="28"/>
                        </w:rPr>
                        <w:t xml:space="preserve">, as well as additional strategies: </w:t>
                      </w:r>
                    </w:p>
                    <w:p w14:paraId="12D99807" w14:textId="5B6B9D8A" w:rsidR="00B53B37" w:rsidRPr="001B2917" w:rsidRDefault="001B2917" w:rsidP="00B53B37">
                      <w:pPr>
                        <w:rPr>
                          <w:rStyle w:val="Hyperlink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HYPERLINK "https://www.doe.mass.edu/edeffectiveness/equitableaccess/resources/roadmap.html"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B53B37" w:rsidRPr="001B2917">
                        <w:rPr>
                          <w:rStyle w:val="Hyperlink"/>
                          <w:sz w:val="20"/>
                          <w:szCs w:val="20"/>
                        </w:rPr>
                        <w:t>Equity Roadmap: Potential Next Steps after the Student Learning Experience Report</w:t>
                      </w:r>
                    </w:p>
                    <w:p w14:paraId="40A9F9F8" w14:textId="1679A3F7" w:rsidR="00B53B37" w:rsidRPr="004739AB" w:rsidRDefault="001B2917" w:rsidP="00B53B37">
                      <w:pPr>
                        <w:rPr>
                          <w:rStyle w:val="Hyperlink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  <w:r w:rsidR="004739A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4739AB">
                        <w:rPr>
                          <w:sz w:val="20"/>
                          <w:szCs w:val="20"/>
                        </w:rPr>
                        <w:instrText xml:space="preserve"> HYPERLINK "https://www.doe.mass.edu/edeffectiveness/equitableaccess/playbooks/default.html" </w:instrText>
                      </w:r>
                      <w:r w:rsidR="004739AB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B53B37" w:rsidRPr="004739AB">
                        <w:rPr>
                          <w:rStyle w:val="Hyperlink"/>
                          <w:sz w:val="20"/>
                          <w:szCs w:val="20"/>
                        </w:rPr>
                        <w:t xml:space="preserve">Equity Playbook II </w:t>
                      </w:r>
                    </w:p>
                    <w:p w14:paraId="53E76620" w14:textId="6F4BD548" w:rsidR="00B53B37" w:rsidRPr="002F5A13" w:rsidRDefault="004739AB" w:rsidP="00B53B37">
                      <w:pPr>
                        <w:rPr>
                          <w:rStyle w:val="Hyperlink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  <w:r w:rsidR="002F5A13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2F5A13">
                        <w:rPr>
                          <w:sz w:val="20"/>
                          <w:szCs w:val="20"/>
                        </w:rPr>
                        <w:instrText xml:space="preserve"> HYPERLINK "https://www.doe.mass.edu/edeffectiveness/equitableaccess/plan/default.html" </w:instrText>
                      </w:r>
                      <w:r w:rsidR="002F5A13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B53B37" w:rsidRPr="002F5A13">
                        <w:rPr>
                          <w:rStyle w:val="Hyperlink"/>
                          <w:sz w:val="20"/>
                          <w:szCs w:val="20"/>
                        </w:rPr>
                        <w:t>State Equity Plan</w:t>
                      </w:r>
                    </w:p>
                    <w:p w14:paraId="568DA401" w14:textId="0F40CFAD" w:rsidR="00B53B37" w:rsidRPr="00A95C0B" w:rsidRDefault="002F5A13" w:rsidP="00B53B3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  <w:p w14:paraId="0B8B0B52" w14:textId="77777777" w:rsidR="00B53B37" w:rsidRPr="00D14842" w:rsidRDefault="00B53B37" w:rsidP="00B53B3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6595" w:rsidRPr="00A72D0A">
        <w:rPr>
          <w:sz w:val="20"/>
          <w:szCs w:val="20"/>
        </w:rPr>
        <w:t xml:space="preserve">gaps are impacting </w:t>
      </w:r>
      <w:r w:rsidR="00326AFA" w:rsidRPr="00A72D0A">
        <w:rPr>
          <w:sz w:val="20"/>
          <w:szCs w:val="20"/>
        </w:rPr>
        <w:t>students</w:t>
      </w:r>
      <w:r w:rsidR="00C56595" w:rsidRPr="00A72D0A">
        <w:rPr>
          <w:sz w:val="20"/>
          <w:szCs w:val="20"/>
        </w:rPr>
        <w:t xml:space="preserve"> and which gaps to prioritize closing.</w:t>
      </w:r>
      <w:r w:rsidR="00F87462">
        <w:rPr>
          <w:sz w:val="20"/>
          <w:szCs w:val="20"/>
        </w:rPr>
        <w:t xml:space="preserve"> </w:t>
      </w:r>
      <w:r w:rsidR="00AC046F">
        <w:rPr>
          <w:sz w:val="20"/>
          <w:szCs w:val="20"/>
        </w:rPr>
        <w:t>T</w:t>
      </w:r>
      <w:r w:rsidR="00F87462">
        <w:rPr>
          <w:sz w:val="20"/>
          <w:szCs w:val="20"/>
        </w:rPr>
        <w:t>here are also other Edw</w:t>
      </w:r>
      <w:r w:rsidR="00AC046F">
        <w:rPr>
          <w:sz w:val="20"/>
          <w:szCs w:val="20"/>
        </w:rPr>
        <w:t>in Analytics reports that may</w:t>
      </w:r>
      <w:r w:rsidR="00F87462">
        <w:rPr>
          <w:sz w:val="20"/>
          <w:szCs w:val="20"/>
        </w:rPr>
        <w:t xml:space="preserve"> suppo</w:t>
      </w:r>
      <w:r w:rsidR="00AC046F">
        <w:rPr>
          <w:sz w:val="20"/>
          <w:szCs w:val="20"/>
        </w:rPr>
        <w:t>rt</w:t>
      </w:r>
      <w:r w:rsidR="00F87462">
        <w:rPr>
          <w:sz w:val="20"/>
          <w:szCs w:val="20"/>
        </w:rPr>
        <w:t xml:space="preserve"> further analyses</w:t>
      </w:r>
      <w:r w:rsidR="00AC046F">
        <w:rPr>
          <w:sz w:val="20"/>
          <w:szCs w:val="20"/>
        </w:rPr>
        <w:t xml:space="preserve"> including</w:t>
      </w:r>
      <w:r w:rsidR="0079335A">
        <w:rPr>
          <w:sz w:val="20"/>
          <w:szCs w:val="20"/>
        </w:rPr>
        <w:t xml:space="preserve">: </w:t>
      </w:r>
      <w:r w:rsidR="00F87462">
        <w:rPr>
          <w:sz w:val="20"/>
          <w:szCs w:val="20"/>
        </w:rPr>
        <w:t xml:space="preserve"> </w:t>
      </w:r>
    </w:p>
    <w:p w14:paraId="75034945" w14:textId="2C69510B" w:rsidR="00F87462" w:rsidRDefault="00F87462" w:rsidP="005D271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95A0B">
        <w:rPr>
          <w:sz w:val="20"/>
          <w:szCs w:val="20"/>
        </w:rPr>
        <w:t>EV319</w:t>
      </w:r>
      <w:r>
        <w:rPr>
          <w:sz w:val="20"/>
          <w:szCs w:val="20"/>
        </w:rPr>
        <w:t xml:space="preserve"> &amp; </w:t>
      </w:r>
      <w:r w:rsidRPr="00395A0B">
        <w:rPr>
          <w:sz w:val="20"/>
          <w:szCs w:val="20"/>
        </w:rPr>
        <w:t>901</w:t>
      </w:r>
      <w:r>
        <w:rPr>
          <w:sz w:val="20"/>
          <w:szCs w:val="20"/>
        </w:rPr>
        <w:t xml:space="preserve">: Educator Evaluation at the District, </w:t>
      </w:r>
      <w:proofErr w:type="gramStart"/>
      <w:r>
        <w:rPr>
          <w:sz w:val="20"/>
          <w:szCs w:val="20"/>
        </w:rPr>
        <w:t>School</w:t>
      </w:r>
      <w:proofErr w:type="gramEnd"/>
      <w:r>
        <w:rPr>
          <w:sz w:val="20"/>
          <w:szCs w:val="20"/>
        </w:rPr>
        <w:t xml:space="preserve"> and individual level</w:t>
      </w:r>
    </w:p>
    <w:p w14:paraId="78630B10" w14:textId="21534740" w:rsidR="00F87462" w:rsidRDefault="00F87462" w:rsidP="005D271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95A0B">
        <w:rPr>
          <w:sz w:val="20"/>
          <w:szCs w:val="20"/>
        </w:rPr>
        <w:t>EP903</w:t>
      </w:r>
      <w:r>
        <w:rPr>
          <w:sz w:val="20"/>
          <w:szCs w:val="20"/>
        </w:rPr>
        <w:t>: Teacher Preparation Partnership Pipeline (P3) Report</w:t>
      </w:r>
    </w:p>
    <w:p w14:paraId="3CE3D60F" w14:textId="60788D53" w:rsidR="00F87462" w:rsidRPr="005D2714" w:rsidRDefault="00F87462" w:rsidP="005D271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95A0B">
        <w:rPr>
          <w:sz w:val="20"/>
          <w:szCs w:val="20"/>
        </w:rPr>
        <w:t>ED206</w:t>
      </w:r>
      <w:r>
        <w:rPr>
          <w:sz w:val="20"/>
          <w:szCs w:val="20"/>
        </w:rPr>
        <w:t>: Staff by Federal Funding Source</w:t>
      </w:r>
      <w:r w:rsidR="0079335A">
        <w:rPr>
          <w:sz w:val="20"/>
          <w:szCs w:val="20"/>
        </w:rPr>
        <w:t xml:space="preserve">; </w:t>
      </w:r>
      <w:r w:rsidR="00715ECA">
        <w:rPr>
          <w:sz w:val="20"/>
          <w:szCs w:val="20"/>
        </w:rPr>
        <w:t xml:space="preserve">for comparison to other similar districts see publicly available </w:t>
      </w:r>
      <w:hyperlink r:id="rId19" w:history="1">
        <w:r w:rsidR="00715ECA" w:rsidRPr="00715ECA">
          <w:rPr>
            <w:rStyle w:val="Hyperlink"/>
            <w:sz w:val="20"/>
            <w:szCs w:val="20"/>
          </w:rPr>
          <w:t>District Analysis Review Tools</w:t>
        </w:r>
      </w:hyperlink>
      <w:r w:rsidR="00715ECA">
        <w:rPr>
          <w:sz w:val="20"/>
          <w:szCs w:val="20"/>
        </w:rPr>
        <w:t xml:space="preserve"> (DARTs)</w:t>
      </w:r>
    </w:p>
    <w:p w14:paraId="25FC3BDE" w14:textId="09579427" w:rsidR="003B621D" w:rsidRPr="00A72D0A" w:rsidRDefault="003B621D" w:rsidP="00CD582D">
      <w:pPr>
        <w:spacing w:after="80"/>
        <w:rPr>
          <w:b/>
          <w:color w:val="1F497D" w:themeColor="text2"/>
          <w:sz w:val="24"/>
          <w:szCs w:val="24"/>
        </w:rPr>
      </w:pPr>
      <w:r w:rsidRPr="00A72D0A">
        <w:rPr>
          <w:color w:val="1F497D" w:themeColor="text2"/>
          <w:sz w:val="24"/>
          <w:szCs w:val="24"/>
        </w:rPr>
        <w:t xml:space="preserve">2. </w:t>
      </w:r>
      <w:r w:rsidRPr="00A72D0A">
        <w:rPr>
          <w:b/>
          <w:color w:val="1F497D" w:themeColor="text2"/>
          <w:sz w:val="24"/>
          <w:szCs w:val="24"/>
        </w:rPr>
        <w:t>Ask self-assessment/stakeholder engagement questions to explore root ca</w:t>
      </w:r>
      <w:r w:rsidR="00593905" w:rsidRPr="00A72D0A">
        <w:rPr>
          <w:b/>
          <w:color w:val="1F497D" w:themeColor="text2"/>
          <w:sz w:val="24"/>
          <w:szCs w:val="24"/>
        </w:rPr>
        <w:t>uses</w:t>
      </w:r>
    </w:p>
    <w:p w14:paraId="58917B47" w14:textId="44DC5198" w:rsidR="00593905" w:rsidRDefault="00C56595" w:rsidP="007643A9">
      <w:pPr>
        <w:spacing w:after="80"/>
        <w:rPr>
          <w:sz w:val="20"/>
          <w:szCs w:val="20"/>
        </w:rPr>
      </w:pPr>
      <w:r w:rsidRPr="00A72D0A">
        <w:rPr>
          <w:sz w:val="20"/>
          <w:szCs w:val="20"/>
        </w:rPr>
        <w:t>Different districts may have similar equity gaps but different root causes, making self-assessment and stakeholder engagement questions a key part of determining next steps.</w:t>
      </w:r>
      <w:r w:rsidR="00C63A5E">
        <w:rPr>
          <w:sz w:val="20"/>
          <w:szCs w:val="20"/>
        </w:rPr>
        <w:t xml:space="preserve"> </w:t>
      </w:r>
      <w:hyperlink r:id="rId20" w:history="1">
        <w:r w:rsidR="00C63A5E" w:rsidRPr="007445CC">
          <w:rPr>
            <w:rStyle w:val="Hyperlink"/>
            <w:sz w:val="20"/>
            <w:szCs w:val="20"/>
          </w:rPr>
          <w:t>DESE’s District Data Team Toolkit</w:t>
        </w:r>
      </w:hyperlink>
      <w:r w:rsidR="00C63A5E">
        <w:rPr>
          <w:sz w:val="20"/>
          <w:szCs w:val="20"/>
        </w:rPr>
        <w:t xml:space="preserve"> includes various root cause protocols, including </w:t>
      </w:r>
      <w:hyperlink r:id="rId21" w:anchor="page=222" w:history="1">
        <w:r w:rsidR="00C63A5E" w:rsidRPr="00C63A5E">
          <w:rPr>
            <w:rStyle w:val="Hyperlink"/>
            <w:sz w:val="20"/>
            <w:szCs w:val="20"/>
          </w:rPr>
          <w:t>“Why, Why, Why?”</w:t>
        </w:r>
      </w:hyperlink>
      <w:r w:rsidR="00C63A5E">
        <w:rPr>
          <w:sz w:val="20"/>
          <w:szCs w:val="20"/>
        </w:rPr>
        <w:t xml:space="preserve"> </w:t>
      </w:r>
      <w:r w:rsidR="007643A9">
        <w:rPr>
          <w:sz w:val="20"/>
          <w:szCs w:val="20"/>
        </w:rPr>
        <w:t xml:space="preserve">Examples of </w:t>
      </w:r>
      <w:r w:rsidR="00C63A5E">
        <w:rPr>
          <w:sz w:val="20"/>
          <w:szCs w:val="20"/>
        </w:rPr>
        <w:t xml:space="preserve">SLE-specific questions to ask include: </w:t>
      </w:r>
    </w:p>
    <w:p w14:paraId="653ED745" w14:textId="26E5CC71" w:rsidR="00C63A5E" w:rsidRDefault="00C63A5E" w:rsidP="007643A9">
      <w:pPr>
        <w:spacing w:after="80"/>
        <w:rPr>
          <w:sz w:val="20"/>
          <w:szCs w:val="20"/>
        </w:rPr>
      </w:pPr>
      <w:r>
        <w:rPr>
          <w:sz w:val="20"/>
          <w:szCs w:val="20"/>
        </w:rPr>
        <w:tab/>
        <w:t>- How are students assigned to teachers each year?</w:t>
      </w:r>
    </w:p>
    <w:p w14:paraId="0B62D1F1" w14:textId="7EB96E2F" w:rsidR="00C63A5E" w:rsidRPr="00A72D0A" w:rsidRDefault="00C63A5E" w:rsidP="007643A9">
      <w:pPr>
        <w:spacing w:after="80"/>
        <w:rPr>
          <w:sz w:val="20"/>
          <w:szCs w:val="20"/>
        </w:rPr>
      </w:pPr>
      <w:r>
        <w:rPr>
          <w:sz w:val="20"/>
          <w:szCs w:val="20"/>
        </w:rPr>
        <w:tab/>
        <w:t>- How does the distribution of our educator evaluation ratings compare to gaps in performance?</w:t>
      </w:r>
    </w:p>
    <w:p w14:paraId="60334582" w14:textId="77777777" w:rsidR="00C56595" w:rsidRPr="00A72D0A" w:rsidRDefault="003B621D" w:rsidP="00CD582D">
      <w:pPr>
        <w:spacing w:after="80"/>
        <w:rPr>
          <w:b/>
          <w:color w:val="1F497D" w:themeColor="text2"/>
          <w:sz w:val="24"/>
          <w:szCs w:val="24"/>
        </w:rPr>
      </w:pPr>
      <w:r w:rsidRPr="00A72D0A">
        <w:rPr>
          <w:color w:val="1F497D" w:themeColor="text2"/>
          <w:sz w:val="24"/>
          <w:szCs w:val="24"/>
        </w:rPr>
        <w:t xml:space="preserve">3. </w:t>
      </w:r>
      <w:r w:rsidRPr="00A72D0A">
        <w:rPr>
          <w:b/>
          <w:color w:val="1F497D" w:themeColor="text2"/>
          <w:sz w:val="24"/>
          <w:szCs w:val="24"/>
        </w:rPr>
        <w:t>D</w:t>
      </w:r>
      <w:r w:rsidR="00593905" w:rsidRPr="00A72D0A">
        <w:rPr>
          <w:b/>
          <w:color w:val="1F497D" w:themeColor="text2"/>
          <w:sz w:val="24"/>
          <w:szCs w:val="24"/>
        </w:rPr>
        <w:t>evelop strategy starting points</w:t>
      </w:r>
      <w:r w:rsidR="00C56595" w:rsidRPr="00A72D0A">
        <w:rPr>
          <w:b/>
          <w:color w:val="1F497D" w:themeColor="text2"/>
          <w:sz w:val="24"/>
          <w:szCs w:val="24"/>
        </w:rPr>
        <w:t xml:space="preserve"> and monitor progress</w:t>
      </w:r>
    </w:p>
    <w:p w14:paraId="29FE6997" w14:textId="0B25E3E1" w:rsidR="003B621D" w:rsidRPr="00A72D0A" w:rsidRDefault="00593905" w:rsidP="00DC7EAA">
      <w:pPr>
        <w:spacing w:after="80"/>
        <w:rPr>
          <w:sz w:val="20"/>
          <w:szCs w:val="20"/>
        </w:rPr>
      </w:pPr>
      <w:r w:rsidRPr="00A72D0A">
        <w:rPr>
          <w:sz w:val="20"/>
          <w:szCs w:val="20"/>
        </w:rPr>
        <w:t xml:space="preserve">Since the SLE Report is primarily about student assignment, </w:t>
      </w:r>
      <w:r w:rsidR="00F81E45">
        <w:rPr>
          <w:sz w:val="20"/>
          <w:szCs w:val="20"/>
        </w:rPr>
        <w:t xml:space="preserve">strategic decisions </w:t>
      </w:r>
      <w:r w:rsidRPr="00A72D0A">
        <w:rPr>
          <w:sz w:val="20"/>
          <w:szCs w:val="20"/>
        </w:rPr>
        <w:t xml:space="preserve">related to student assignment practices </w:t>
      </w:r>
      <w:r w:rsidR="00F81E45">
        <w:rPr>
          <w:sz w:val="20"/>
          <w:szCs w:val="20"/>
        </w:rPr>
        <w:t>may</w:t>
      </w:r>
      <w:r w:rsidR="00F81E45" w:rsidRPr="00A72D0A">
        <w:rPr>
          <w:sz w:val="20"/>
          <w:szCs w:val="20"/>
        </w:rPr>
        <w:t xml:space="preserve"> </w:t>
      </w:r>
      <w:r w:rsidRPr="00A72D0A">
        <w:rPr>
          <w:sz w:val="20"/>
          <w:szCs w:val="20"/>
        </w:rPr>
        <w:t xml:space="preserve">help districts address equity gaps. In </w:t>
      </w:r>
      <w:r w:rsidR="00F81E45">
        <w:rPr>
          <w:sz w:val="20"/>
          <w:szCs w:val="20"/>
        </w:rPr>
        <w:t>many</w:t>
      </w:r>
      <w:r w:rsidR="00F81E45" w:rsidRPr="00A72D0A">
        <w:rPr>
          <w:sz w:val="20"/>
          <w:szCs w:val="20"/>
        </w:rPr>
        <w:t xml:space="preserve"> </w:t>
      </w:r>
      <w:r w:rsidRPr="00A72D0A">
        <w:rPr>
          <w:sz w:val="20"/>
          <w:szCs w:val="20"/>
        </w:rPr>
        <w:t xml:space="preserve">cases, however, districts may need to implement </w:t>
      </w:r>
      <w:r w:rsidR="00326AFA">
        <w:rPr>
          <w:sz w:val="20"/>
          <w:szCs w:val="20"/>
        </w:rPr>
        <w:t>other strategies to address root causes of equity gaps</w:t>
      </w:r>
      <w:r w:rsidR="005D2714">
        <w:rPr>
          <w:sz w:val="20"/>
          <w:szCs w:val="20"/>
        </w:rPr>
        <w:t>.</w:t>
      </w:r>
    </w:p>
    <w:p w14:paraId="202585C6" w14:textId="2F64C354" w:rsidR="003B621D" w:rsidRPr="00A72D0A" w:rsidRDefault="003B621D" w:rsidP="003B621D">
      <w:pPr>
        <w:pStyle w:val="ListParagraph"/>
        <w:numPr>
          <w:ilvl w:val="0"/>
          <w:numId w:val="1"/>
        </w:numPr>
        <w:rPr>
          <w:b/>
          <w:color w:val="1F497D" w:themeColor="text2"/>
          <w:sz w:val="24"/>
          <w:szCs w:val="24"/>
        </w:rPr>
      </w:pPr>
      <w:r w:rsidRPr="00A72D0A">
        <w:rPr>
          <w:b/>
          <w:color w:val="1F497D" w:themeColor="text2"/>
          <w:sz w:val="24"/>
          <w:szCs w:val="24"/>
        </w:rPr>
        <w:t xml:space="preserve">Strategies related to </w:t>
      </w:r>
      <w:r w:rsidR="004D7175" w:rsidRPr="00A72D0A">
        <w:rPr>
          <w:b/>
          <w:color w:val="1F497D" w:themeColor="text2"/>
          <w:sz w:val="24"/>
          <w:szCs w:val="24"/>
        </w:rPr>
        <w:t>student assignment practices</w:t>
      </w:r>
    </w:p>
    <w:p w14:paraId="6EE83B76" w14:textId="3842E634" w:rsidR="00A674A7" w:rsidRDefault="00A674A7" w:rsidP="007643A9">
      <w:pPr>
        <w:pStyle w:val="ListParagraph"/>
        <w:numPr>
          <w:ilvl w:val="1"/>
          <w:numId w:val="1"/>
        </w:numPr>
        <w:ind w:left="1350"/>
        <w:rPr>
          <w:sz w:val="20"/>
          <w:szCs w:val="20"/>
        </w:rPr>
      </w:pPr>
      <w:r w:rsidRPr="00B579AF">
        <w:rPr>
          <w:sz w:val="20"/>
          <w:szCs w:val="20"/>
          <w:u w:val="single"/>
        </w:rPr>
        <w:t>Incorporating an equity check into scheduling</w:t>
      </w:r>
      <w:r w:rsidR="007A1FED">
        <w:rPr>
          <w:sz w:val="20"/>
          <w:szCs w:val="20"/>
        </w:rPr>
        <w:t>: V</w:t>
      </w:r>
      <w:r w:rsidRPr="00A72D0A">
        <w:rPr>
          <w:sz w:val="20"/>
          <w:szCs w:val="20"/>
        </w:rPr>
        <w:t>arious factors may impact student assignment, including student relationships, course-levels, family input, teac</w:t>
      </w:r>
      <w:r w:rsidR="0026684C">
        <w:rPr>
          <w:sz w:val="20"/>
          <w:szCs w:val="20"/>
        </w:rPr>
        <w:t>her credentials</w:t>
      </w:r>
      <w:r w:rsidR="00106EA0">
        <w:rPr>
          <w:sz w:val="20"/>
          <w:szCs w:val="20"/>
        </w:rPr>
        <w:t>, and teacher preferences</w:t>
      </w:r>
      <w:r w:rsidR="0026684C">
        <w:rPr>
          <w:sz w:val="20"/>
          <w:szCs w:val="20"/>
        </w:rPr>
        <w:t xml:space="preserve">. </w:t>
      </w:r>
      <w:r w:rsidRPr="00A72D0A">
        <w:rPr>
          <w:sz w:val="20"/>
          <w:szCs w:val="20"/>
        </w:rPr>
        <w:t>Incorporating an equity chec</w:t>
      </w:r>
      <w:r w:rsidR="0026684C">
        <w:rPr>
          <w:sz w:val="20"/>
          <w:szCs w:val="20"/>
        </w:rPr>
        <w:t>k into the assignment process would help</w:t>
      </w:r>
      <w:r w:rsidRPr="00A72D0A">
        <w:rPr>
          <w:sz w:val="20"/>
          <w:szCs w:val="20"/>
        </w:rPr>
        <w:t xml:space="preserve"> ensure that </w:t>
      </w:r>
      <w:r w:rsidR="0026684C">
        <w:rPr>
          <w:sz w:val="20"/>
          <w:szCs w:val="20"/>
        </w:rPr>
        <w:t xml:space="preserve">all </w:t>
      </w:r>
      <w:r w:rsidR="0026684C" w:rsidRPr="00A72D0A">
        <w:rPr>
          <w:sz w:val="20"/>
          <w:szCs w:val="20"/>
        </w:rPr>
        <w:t>students</w:t>
      </w:r>
      <w:r w:rsidRPr="00A72D0A">
        <w:rPr>
          <w:sz w:val="20"/>
          <w:szCs w:val="20"/>
        </w:rPr>
        <w:t xml:space="preserve"> </w:t>
      </w:r>
      <w:r w:rsidR="0026684C" w:rsidRPr="00A72D0A">
        <w:rPr>
          <w:sz w:val="20"/>
          <w:szCs w:val="20"/>
        </w:rPr>
        <w:t>have</w:t>
      </w:r>
      <w:r w:rsidRPr="00A72D0A">
        <w:rPr>
          <w:sz w:val="20"/>
          <w:szCs w:val="20"/>
        </w:rPr>
        <w:t xml:space="preserve"> equitable access to experienced, in-f</w:t>
      </w:r>
      <w:r w:rsidR="0026684C">
        <w:rPr>
          <w:sz w:val="20"/>
          <w:szCs w:val="20"/>
        </w:rPr>
        <w:t>ield, and highly rated teachers.</w:t>
      </w:r>
    </w:p>
    <w:p w14:paraId="13D94ADD" w14:textId="6B95C470" w:rsidR="00715ECA" w:rsidRPr="005D2714" w:rsidRDefault="00715ECA" w:rsidP="007643A9">
      <w:pPr>
        <w:pStyle w:val="ListParagraph"/>
        <w:numPr>
          <w:ilvl w:val="0"/>
          <w:numId w:val="3"/>
        </w:numPr>
        <w:spacing w:after="0" w:line="240" w:lineRule="auto"/>
        <w:ind w:left="1710"/>
        <w:rPr>
          <w:rFonts w:eastAsia="FangSong" w:cs="KodchiangUPC"/>
          <w:sz w:val="20"/>
          <w:szCs w:val="20"/>
        </w:rPr>
      </w:pPr>
      <w:r>
        <w:rPr>
          <w:sz w:val="20"/>
          <w:szCs w:val="20"/>
        </w:rPr>
        <w:t xml:space="preserve">The </w:t>
      </w:r>
      <w:hyperlink r:id="rId22" w:history="1">
        <w:r w:rsidRPr="00AE3831">
          <w:rPr>
            <w:rStyle w:val="Hyperlink"/>
            <w:sz w:val="20"/>
            <w:szCs w:val="20"/>
          </w:rPr>
          <w:t>Master Schedule Review</w:t>
        </w:r>
      </w:hyperlink>
      <w:r>
        <w:rPr>
          <w:sz w:val="20"/>
          <w:szCs w:val="20"/>
        </w:rPr>
        <w:t xml:space="preserve">, a tool </w:t>
      </w:r>
      <w:r w:rsidRPr="008B6597">
        <w:rPr>
          <w:sz w:val="20"/>
          <w:szCs w:val="20"/>
        </w:rPr>
        <w:t xml:space="preserve">from the </w:t>
      </w:r>
      <w:hyperlink r:id="rId23" w:history="1">
        <w:r w:rsidRPr="008B6597">
          <w:rPr>
            <w:rStyle w:val="Hyperlink"/>
            <w:sz w:val="20"/>
            <w:szCs w:val="20"/>
          </w:rPr>
          <w:t>Guidebook for Inclusive Practice,</w:t>
        </w:r>
      </w:hyperlink>
      <w:r w:rsidRPr="008B6597">
        <w:rPr>
          <w:sz w:val="20"/>
          <w:szCs w:val="20"/>
        </w:rPr>
        <w:t xml:space="preserve"> </w:t>
      </w:r>
      <w:r>
        <w:rPr>
          <w:sz w:val="20"/>
          <w:szCs w:val="20"/>
        </w:rPr>
        <w:t>supports scheduling to meet the needs of diverse learners</w:t>
      </w:r>
    </w:p>
    <w:p w14:paraId="5E3E03EB" w14:textId="0264D98B" w:rsidR="00A674A7" w:rsidRDefault="00A674A7" w:rsidP="007643A9">
      <w:pPr>
        <w:pStyle w:val="ListParagraph"/>
        <w:numPr>
          <w:ilvl w:val="1"/>
          <w:numId w:val="1"/>
        </w:numPr>
        <w:ind w:left="1350"/>
        <w:rPr>
          <w:sz w:val="20"/>
          <w:szCs w:val="20"/>
        </w:rPr>
      </w:pPr>
      <w:r w:rsidRPr="00B579AF">
        <w:rPr>
          <w:sz w:val="20"/>
          <w:szCs w:val="20"/>
          <w:u w:val="single"/>
        </w:rPr>
        <w:t>Us</w:t>
      </w:r>
      <w:r w:rsidR="00106EA0">
        <w:rPr>
          <w:sz w:val="20"/>
          <w:szCs w:val="20"/>
          <w:u w:val="single"/>
        </w:rPr>
        <w:t>e the SLE Report data in</w:t>
      </w:r>
      <w:r w:rsidR="000F15C5" w:rsidRPr="00B579AF">
        <w:rPr>
          <w:sz w:val="20"/>
          <w:szCs w:val="20"/>
          <w:u w:val="single"/>
        </w:rPr>
        <w:t xml:space="preserve"> the student assignment process</w:t>
      </w:r>
      <w:r w:rsidR="007A1FED">
        <w:rPr>
          <w:sz w:val="20"/>
          <w:szCs w:val="20"/>
        </w:rPr>
        <w:t>: S</w:t>
      </w:r>
      <w:r w:rsidR="000F15C5" w:rsidRPr="00A72D0A">
        <w:rPr>
          <w:sz w:val="20"/>
          <w:szCs w:val="20"/>
        </w:rPr>
        <w:t xml:space="preserve">hare the SLE report with guidance counselors, school leaders, teachers, and </w:t>
      </w:r>
      <w:r w:rsidR="007643A9">
        <w:rPr>
          <w:sz w:val="20"/>
          <w:szCs w:val="20"/>
        </w:rPr>
        <w:t>staff</w:t>
      </w:r>
      <w:r w:rsidR="00106EA0">
        <w:rPr>
          <w:sz w:val="20"/>
          <w:szCs w:val="20"/>
        </w:rPr>
        <w:t xml:space="preserve"> involved in the</w:t>
      </w:r>
      <w:r w:rsidR="000F15C5" w:rsidRPr="00A72D0A">
        <w:rPr>
          <w:sz w:val="20"/>
          <w:szCs w:val="20"/>
        </w:rPr>
        <w:t xml:space="preserve"> student assignment process</w:t>
      </w:r>
      <w:r w:rsidR="00A93613">
        <w:rPr>
          <w:sz w:val="20"/>
          <w:szCs w:val="20"/>
        </w:rPr>
        <w:t>.</w:t>
      </w:r>
    </w:p>
    <w:p w14:paraId="70072C6B" w14:textId="73643323" w:rsidR="00DC7EAA" w:rsidRDefault="00B579AF" w:rsidP="00DC7EAA">
      <w:pPr>
        <w:pStyle w:val="ListParagraph"/>
        <w:numPr>
          <w:ilvl w:val="1"/>
          <w:numId w:val="1"/>
        </w:numPr>
        <w:spacing w:after="80"/>
        <w:ind w:left="1350"/>
        <w:rPr>
          <w:sz w:val="20"/>
          <w:szCs w:val="20"/>
        </w:rPr>
      </w:pPr>
      <w:r>
        <w:rPr>
          <w:sz w:val="20"/>
          <w:szCs w:val="20"/>
          <w:u w:val="single"/>
        </w:rPr>
        <w:t>Expand pathways for students to a variety of classes:</w:t>
      </w:r>
      <w:r>
        <w:rPr>
          <w:sz w:val="20"/>
          <w:szCs w:val="20"/>
        </w:rPr>
        <w:t xml:space="preserve"> </w:t>
      </w:r>
      <w:r w:rsidR="007A1FED">
        <w:rPr>
          <w:sz w:val="20"/>
          <w:szCs w:val="20"/>
        </w:rPr>
        <w:t>I</w:t>
      </w:r>
      <w:r w:rsidR="002B5AD6" w:rsidRPr="00A72D0A">
        <w:rPr>
          <w:sz w:val="20"/>
          <w:szCs w:val="20"/>
        </w:rPr>
        <w:t xml:space="preserve">ncrease enrollment of </w:t>
      </w:r>
      <w:proofErr w:type="gramStart"/>
      <w:r w:rsidR="00A93613">
        <w:rPr>
          <w:sz w:val="20"/>
          <w:szCs w:val="20"/>
        </w:rPr>
        <w:t>economically disadvantaged</w:t>
      </w:r>
      <w:proofErr w:type="gramEnd"/>
      <w:r w:rsidR="00A93613">
        <w:rPr>
          <w:sz w:val="20"/>
          <w:szCs w:val="20"/>
        </w:rPr>
        <w:t xml:space="preserve"> students</w:t>
      </w:r>
      <w:r w:rsidR="002B5AD6" w:rsidRPr="00A72D0A">
        <w:rPr>
          <w:sz w:val="20"/>
          <w:szCs w:val="20"/>
        </w:rPr>
        <w:t>, students of color, English learners, and students with disabilities in a range of classes, including advanced classes, to allow for assignment to a wider pool of teachers</w:t>
      </w:r>
      <w:r w:rsidR="00A93613">
        <w:rPr>
          <w:sz w:val="20"/>
          <w:szCs w:val="20"/>
        </w:rPr>
        <w:t>.</w:t>
      </w:r>
    </w:p>
    <w:p w14:paraId="660AA82B" w14:textId="77777777" w:rsidR="00CD582D" w:rsidRPr="00DC7EAA" w:rsidRDefault="00CD582D" w:rsidP="00CD582D">
      <w:pPr>
        <w:pStyle w:val="ListParagraph"/>
        <w:spacing w:after="80"/>
        <w:ind w:left="1350"/>
        <w:rPr>
          <w:sz w:val="20"/>
          <w:szCs w:val="20"/>
        </w:rPr>
      </w:pPr>
    </w:p>
    <w:p w14:paraId="6D75CC9E" w14:textId="7405ECD4" w:rsidR="004D7175" w:rsidRPr="00A72D0A" w:rsidRDefault="004D7175" w:rsidP="00DC7EAA">
      <w:pPr>
        <w:pStyle w:val="ListParagraph"/>
        <w:numPr>
          <w:ilvl w:val="0"/>
          <w:numId w:val="1"/>
        </w:numPr>
        <w:spacing w:before="160"/>
        <w:rPr>
          <w:color w:val="1F497D" w:themeColor="text2"/>
          <w:sz w:val="24"/>
          <w:szCs w:val="24"/>
        </w:rPr>
      </w:pPr>
      <w:r w:rsidRPr="00A72D0A">
        <w:rPr>
          <w:b/>
          <w:color w:val="1F497D" w:themeColor="text2"/>
          <w:sz w:val="24"/>
          <w:szCs w:val="24"/>
        </w:rPr>
        <w:t xml:space="preserve">Strategies related to </w:t>
      </w:r>
      <w:r w:rsidR="00F81E45">
        <w:rPr>
          <w:b/>
          <w:color w:val="1F497D" w:themeColor="text2"/>
          <w:sz w:val="24"/>
          <w:szCs w:val="24"/>
        </w:rPr>
        <w:t>systemic</w:t>
      </w:r>
      <w:r w:rsidR="00F81E45" w:rsidRPr="00A72D0A">
        <w:rPr>
          <w:b/>
          <w:color w:val="1F497D" w:themeColor="text2"/>
          <w:sz w:val="24"/>
          <w:szCs w:val="24"/>
        </w:rPr>
        <w:t xml:space="preserve"> </w:t>
      </w:r>
      <w:r w:rsidRPr="00A72D0A">
        <w:rPr>
          <w:b/>
          <w:color w:val="1F497D" w:themeColor="text2"/>
          <w:sz w:val="24"/>
          <w:szCs w:val="24"/>
        </w:rPr>
        <w:t>root causes of equity gaps</w:t>
      </w:r>
    </w:p>
    <w:p w14:paraId="5A178CCF" w14:textId="6366608B" w:rsidR="00B169E7" w:rsidRPr="00B91BC1" w:rsidRDefault="00B169E7" w:rsidP="007643A9">
      <w:pPr>
        <w:pStyle w:val="ListParagraph"/>
        <w:numPr>
          <w:ilvl w:val="1"/>
          <w:numId w:val="1"/>
        </w:numPr>
        <w:ind w:left="1350"/>
        <w:rPr>
          <w:sz w:val="20"/>
          <w:szCs w:val="20"/>
        </w:rPr>
      </w:pPr>
      <w:r w:rsidRPr="00B579AF">
        <w:rPr>
          <w:sz w:val="20"/>
          <w:szCs w:val="20"/>
          <w:u w:val="single"/>
        </w:rPr>
        <w:t>Educator Effectiveness</w:t>
      </w:r>
    </w:p>
    <w:p w14:paraId="49D5C750" w14:textId="36B3C8AF" w:rsidR="00527A02" w:rsidRPr="0032463E" w:rsidRDefault="00B169E7" w:rsidP="00D755CB">
      <w:pPr>
        <w:pStyle w:val="ListParagraph"/>
        <w:numPr>
          <w:ilvl w:val="2"/>
          <w:numId w:val="1"/>
        </w:numPr>
        <w:ind w:left="1620"/>
        <w:rPr>
          <w:sz w:val="20"/>
          <w:szCs w:val="20"/>
        </w:rPr>
      </w:pPr>
      <w:r w:rsidRPr="00B579AF">
        <w:rPr>
          <w:b/>
          <w:sz w:val="20"/>
          <w:szCs w:val="20"/>
        </w:rPr>
        <w:t xml:space="preserve">Establish a </w:t>
      </w:r>
      <w:hyperlink r:id="rId24" w:history="1">
        <w:r w:rsidRPr="00F87462">
          <w:rPr>
            <w:rStyle w:val="Hyperlink"/>
            <w:b/>
            <w:sz w:val="20"/>
            <w:szCs w:val="20"/>
          </w:rPr>
          <w:t>common vision for instructional practice</w:t>
        </w:r>
      </w:hyperlink>
      <w:r>
        <w:rPr>
          <w:sz w:val="20"/>
          <w:szCs w:val="20"/>
        </w:rPr>
        <w:t xml:space="preserve"> and a common set of shared expectation</w:t>
      </w:r>
      <w:r w:rsidR="00527A02">
        <w:rPr>
          <w:sz w:val="20"/>
          <w:szCs w:val="20"/>
        </w:rPr>
        <w:t>s</w:t>
      </w:r>
      <w:r>
        <w:rPr>
          <w:sz w:val="20"/>
          <w:szCs w:val="20"/>
        </w:rPr>
        <w:t xml:space="preserve"> for all students to increase the number of effective educators</w:t>
      </w:r>
      <w:r w:rsidR="00A9361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D099E04" w14:textId="42A64A3A" w:rsidR="00B169E7" w:rsidRDefault="00B169E7" w:rsidP="007643A9">
      <w:pPr>
        <w:pStyle w:val="ListParagraph"/>
        <w:numPr>
          <w:ilvl w:val="1"/>
          <w:numId w:val="1"/>
        </w:numPr>
        <w:ind w:left="1350"/>
        <w:rPr>
          <w:sz w:val="20"/>
          <w:szCs w:val="20"/>
        </w:rPr>
      </w:pPr>
      <w:r>
        <w:rPr>
          <w:sz w:val="20"/>
          <w:szCs w:val="20"/>
          <w:u w:val="single"/>
        </w:rPr>
        <w:t>Educator Experience</w:t>
      </w:r>
      <w:r w:rsidR="00CB1AE1">
        <w:rPr>
          <w:sz w:val="20"/>
          <w:szCs w:val="20"/>
          <w:u w:val="single"/>
        </w:rPr>
        <w:t xml:space="preserve"> &amp; Licensure</w:t>
      </w:r>
    </w:p>
    <w:p w14:paraId="31C81495" w14:textId="49BD988C" w:rsidR="00B169E7" w:rsidRPr="00094ADA" w:rsidRDefault="00094ADA" w:rsidP="007643A9">
      <w:pPr>
        <w:pStyle w:val="ListParagraph"/>
        <w:numPr>
          <w:ilvl w:val="2"/>
          <w:numId w:val="1"/>
        </w:numPr>
        <w:ind w:left="1620"/>
        <w:rPr>
          <w:sz w:val="20"/>
          <w:szCs w:val="20"/>
        </w:rPr>
      </w:pPr>
      <w:r>
        <w:rPr>
          <w:b/>
          <w:sz w:val="20"/>
          <w:szCs w:val="20"/>
        </w:rPr>
        <w:t xml:space="preserve">Improve retention practices </w:t>
      </w:r>
      <w:r>
        <w:rPr>
          <w:sz w:val="20"/>
          <w:szCs w:val="20"/>
        </w:rPr>
        <w:t>by analyzing</w:t>
      </w:r>
      <w:r w:rsidR="00B169E7" w:rsidRPr="00A72D0A">
        <w:rPr>
          <w:sz w:val="20"/>
          <w:szCs w:val="20"/>
        </w:rPr>
        <w:t xml:space="preserve"> teacher workplace satisfaction survey</w:t>
      </w:r>
      <w:r w:rsidR="00F81E45">
        <w:rPr>
          <w:sz w:val="20"/>
          <w:szCs w:val="20"/>
        </w:rPr>
        <w:t>s</w:t>
      </w:r>
      <w:r w:rsidR="00B169E7" w:rsidRPr="00A72D0A">
        <w:rPr>
          <w:sz w:val="20"/>
          <w:szCs w:val="20"/>
        </w:rPr>
        <w:t xml:space="preserve"> and exit surveys to learn how </w:t>
      </w:r>
      <w:r w:rsidRPr="00A72D0A">
        <w:rPr>
          <w:sz w:val="20"/>
          <w:szCs w:val="20"/>
        </w:rPr>
        <w:t>to</w:t>
      </w:r>
      <w:r w:rsidR="00B169E7" w:rsidRPr="00A72D0A">
        <w:rPr>
          <w:sz w:val="20"/>
          <w:szCs w:val="20"/>
        </w:rPr>
        <w:t xml:space="preserve"> better retain quality teachers, inc</w:t>
      </w:r>
      <w:r w:rsidR="007445CC">
        <w:rPr>
          <w:sz w:val="20"/>
          <w:szCs w:val="20"/>
        </w:rPr>
        <w:t>luding ESL and special ed.</w:t>
      </w:r>
      <w:r w:rsidR="00B169E7" w:rsidRPr="00A72D0A">
        <w:rPr>
          <w:sz w:val="20"/>
          <w:szCs w:val="20"/>
        </w:rPr>
        <w:t xml:space="preserve"> teachers</w:t>
      </w:r>
      <w:r w:rsidR="00106EA0">
        <w:rPr>
          <w:sz w:val="20"/>
          <w:szCs w:val="20"/>
        </w:rPr>
        <w:t>.</w:t>
      </w:r>
    </w:p>
    <w:p w14:paraId="75258067" w14:textId="6C25C5F2" w:rsidR="002B5AD6" w:rsidRDefault="002B5AD6" w:rsidP="007643A9">
      <w:pPr>
        <w:pStyle w:val="ListParagraph"/>
        <w:numPr>
          <w:ilvl w:val="2"/>
          <w:numId w:val="1"/>
        </w:numPr>
        <w:ind w:left="1620"/>
        <w:rPr>
          <w:sz w:val="20"/>
          <w:szCs w:val="20"/>
        </w:rPr>
      </w:pPr>
      <w:r>
        <w:rPr>
          <w:b/>
          <w:sz w:val="20"/>
          <w:szCs w:val="20"/>
        </w:rPr>
        <w:t xml:space="preserve">Develop </w:t>
      </w:r>
      <w:hyperlink r:id="rId25" w:history="1">
        <w:r w:rsidR="00094ADA" w:rsidRPr="00A93613">
          <w:rPr>
            <w:rStyle w:val="Hyperlink"/>
            <w:b/>
            <w:sz w:val="20"/>
            <w:szCs w:val="20"/>
          </w:rPr>
          <w:t>educator preparation partnerships</w:t>
        </w:r>
      </w:hyperlink>
      <w:r>
        <w:rPr>
          <w:sz w:val="20"/>
          <w:szCs w:val="20"/>
        </w:rPr>
        <w:t xml:space="preserve"> by targeting high-performing educator prepa</w:t>
      </w:r>
      <w:r w:rsidR="00106EA0">
        <w:rPr>
          <w:sz w:val="20"/>
          <w:szCs w:val="20"/>
        </w:rPr>
        <w:t>ration programs and those</w:t>
      </w:r>
      <w:r>
        <w:rPr>
          <w:sz w:val="20"/>
          <w:szCs w:val="20"/>
        </w:rPr>
        <w:t xml:space="preserve"> that prepare teac</w:t>
      </w:r>
      <w:r w:rsidR="00106EA0">
        <w:rPr>
          <w:sz w:val="20"/>
          <w:szCs w:val="20"/>
        </w:rPr>
        <w:t>her candidates for hard-to-staff subjects.</w:t>
      </w:r>
    </w:p>
    <w:p w14:paraId="49CB675E" w14:textId="430516CA" w:rsidR="00527A02" w:rsidRPr="007445CC" w:rsidRDefault="00B91BC1" w:rsidP="007445CC">
      <w:pPr>
        <w:pStyle w:val="ListParagraph"/>
        <w:numPr>
          <w:ilvl w:val="2"/>
          <w:numId w:val="1"/>
        </w:numPr>
        <w:ind w:left="1620"/>
        <w:rPr>
          <w:sz w:val="20"/>
          <w:szCs w:val="20"/>
        </w:rPr>
      </w:pPr>
      <w:r>
        <w:rPr>
          <w:b/>
          <w:sz w:val="20"/>
          <w:szCs w:val="20"/>
        </w:rPr>
        <w:t>Create pipelines for hard-to-staff subjects</w:t>
      </w:r>
      <w:r>
        <w:rPr>
          <w:sz w:val="20"/>
          <w:szCs w:val="20"/>
        </w:rPr>
        <w:t xml:space="preserve"> by supporting teachers and paraprofessionals working toward teaching licenses in shortage areas</w:t>
      </w:r>
      <w:r w:rsidR="00CB1AE1">
        <w:rPr>
          <w:sz w:val="20"/>
          <w:szCs w:val="20"/>
        </w:rPr>
        <w:t xml:space="preserve">, for instance, using </w:t>
      </w:r>
      <w:hyperlink r:id="rId26" w:history="1">
        <w:r w:rsidR="00106EA0">
          <w:rPr>
            <w:rStyle w:val="Hyperlink"/>
            <w:rFonts w:eastAsia="FangSong" w:cs="KodchiangUPC"/>
            <w:sz w:val="20"/>
            <w:szCs w:val="20"/>
          </w:rPr>
          <w:t>structured guidance &amp; supports</w:t>
        </w:r>
      </w:hyperlink>
      <w:r w:rsidR="00CB1AE1">
        <w:rPr>
          <w:rFonts w:eastAsia="FangSong" w:cs="KodchiangUPC"/>
          <w:sz w:val="20"/>
          <w:szCs w:val="20"/>
        </w:rPr>
        <w:t xml:space="preserve"> for me</w:t>
      </w:r>
      <w:r w:rsidR="00106EA0">
        <w:rPr>
          <w:rFonts w:eastAsia="FangSong" w:cs="KodchiangUPC"/>
          <w:sz w:val="20"/>
          <w:szCs w:val="20"/>
        </w:rPr>
        <w:t>eting the licensure competency r</w:t>
      </w:r>
      <w:r w:rsidR="00CB1AE1">
        <w:rPr>
          <w:rFonts w:eastAsia="FangSong" w:cs="KodchiangUPC"/>
          <w:sz w:val="20"/>
          <w:szCs w:val="20"/>
        </w:rPr>
        <w:t>eview</w:t>
      </w:r>
      <w:r w:rsidR="00106EA0">
        <w:rPr>
          <w:rFonts w:eastAsia="FangSong" w:cs="KodchiangUPC"/>
          <w:sz w:val="20"/>
          <w:szCs w:val="20"/>
        </w:rPr>
        <w:t>.</w:t>
      </w:r>
    </w:p>
    <w:p w14:paraId="09FCFAA6" w14:textId="71139C5D" w:rsidR="00B91BC1" w:rsidRPr="00B91BC1" w:rsidRDefault="00715ECA" w:rsidP="007643A9">
      <w:pPr>
        <w:pStyle w:val="ListParagraph"/>
        <w:numPr>
          <w:ilvl w:val="1"/>
          <w:numId w:val="1"/>
        </w:numPr>
        <w:ind w:left="1350"/>
        <w:rPr>
          <w:sz w:val="20"/>
          <w:szCs w:val="20"/>
        </w:rPr>
      </w:pPr>
      <w:r>
        <w:rPr>
          <w:sz w:val="20"/>
          <w:szCs w:val="20"/>
          <w:u w:val="single"/>
        </w:rPr>
        <w:t>Special Education</w:t>
      </w:r>
      <w:r w:rsidR="00B169E7" w:rsidRPr="005D2714">
        <w:rPr>
          <w:sz w:val="20"/>
          <w:szCs w:val="20"/>
          <w:u w:val="single"/>
        </w:rPr>
        <w:t xml:space="preserve"> </w:t>
      </w:r>
      <w:r w:rsidR="00CB1AE1" w:rsidRPr="005D2714">
        <w:rPr>
          <w:sz w:val="20"/>
          <w:szCs w:val="20"/>
          <w:u w:val="single"/>
        </w:rPr>
        <w:t>&amp; English Language Learners Supports</w:t>
      </w:r>
    </w:p>
    <w:p w14:paraId="17077C10" w14:textId="55C266E2" w:rsidR="003B621D" w:rsidRPr="005D2714" w:rsidRDefault="00B579AF" w:rsidP="007643A9">
      <w:pPr>
        <w:pStyle w:val="ListParagraph"/>
        <w:numPr>
          <w:ilvl w:val="2"/>
          <w:numId w:val="1"/>
        </w:numPr>
        <w:ind w:left="1620"/>
        <w:rPr>
          <w:rStyle w:val="Hyperlink"/>
          <w:color w:val="auto"/>
          <w:sz w:val="20"/>
          <w:szCs w:val="20"/>
          <w:u w:val="none"/>
        </w:rPr>
      </w:pPr>
      <w:r w:rsidRPr="00B579AF">
        <w:rPr>
          <w:b/>
          <w:sz w:val="20"/>
          <w:szCs w:val="20"/>
        </w:rPr>
        <w:t>Promote inclusive practice</w:t>
      </w:r>
      <w:r w:rsidRPr="00A72D0A">
        <w:rPr>
          <w:sz w:val="20"/>
          <w:szCs w:val="20"/>
        </w:rPr>
        <w:t xml:space="preserve"> to minimize students being educated in substantially separate settings </w:t>
      </w:r>
      <w:r>
        <w:rPr>
          <w:sz w:val="20"/>
          <w:szCs w:val="20"/>
        </w:rPr>
        <w:t xml:space="preserve">by utilizing the </w:t>
      </w:r>
      <w:hyperlink r:id="rId27" w:history="1">
        <w:r w:rsidRPr="00B579AF">
          <w:rPr>
            <w:rStyle w:val="Hyperlink"/>
            <w:sz w:val="20"/>
            <w:szCs w:val="20"/>
          </w:rPr>
          <w:t>Educator Effectiveness Guidebook for Inclusive Practice</w:t>
        </w:r>
      </w:hyperlink>
    </w:p>
    <w:p w14:paraId="28D36512" w14:textId="43918153" w:rsidR="00A72D0A" w:rsidRPr="00CD582D" w:rsidRDefault="00715ECA" w:rsidP="00A72D0A">
      <w:pPr>
        <w:pStyle w:val="ListParagraph"/>
        <w:numPr>
          <w:ilvl w:val="2"/>
          <w:numId w:val="1"/>
        </w:numPr>
        <w:spacing w:after="0" w:line="240" w:lineRule="auto"/>
      </w:pPr>
      <w:r w:rsidRPr="000011DC">
        <w:rPr>
          <w:rFonts w:eastAsia="FangSong" w:cs="KodchiangUPC"/>
          <w:sz w:val="20"/>
          <w:szCs w:val="20"/>
        </w:rPr>
        <w:t xml:space="preserve">The </w:t>
      </w:r>
      <w:hyperlink r:id="rId28" w:history="1">
        <w:r w:rsidRPr="000011DC">
          <w:rPr>
            <w:rStyle w:val="Hyperlink"/>
            <w:rFonts w:eastAsia="FangSong" w:cs="KodchiangUPC"/>
            <w:sz w:val="20"/>
            <w:szCs w:val="20"/>
          </w:rPr>
          <w:t>Leading Educational Access Project</w:t>
        </w:r>
      </w:hyperlink>
      <w:r w:rsidRPr="000011DC">
        <w:rPr>
          <w:rFonts w:eastAsia="FangSong" w:cs="KodchiangUPC"/>
          <w:sz w:val="20"/>
          <w:szCs w:val="20"/>
        </w:rPr>
        <w:t xml:space="preserve"> offers training and resources to promote educational access and decrease inappropriate </w:t>
      </w:r>
      <w:r w:rsidR="007643A9">
        <w:rPr>
          <w:rFonts w:eastAsia="FangSong" w:cs="KodchiangUPC"/>
          <w:sz w:val="20"/>
          <w:szCs w:val="20"/>
        </w:rPr>
        <w:t xml:space="preserve">special education </w:t>
      </w:r>
      <w:r w:rsidRPr="000011DC">
        <w:rPr>
          <w:rFonts w:eastAsia="FangSong" w:cs="KodchiangUPC"/>
          <w:sz w:val="20"/>
          <w:szCs w:val="20"/>
        </w:rPr>
        <w:t xml:space="preserve">eligibility </w:t>
      </w:r>
      <w:r>
        <w:rPr>
          <w:rFonts w:eastAsia="FangSong" w:cs="KodchiangUPC"/>
          <w:sz w:val="20"/>
          <w:szCs w:val="20"/>
        </w:rPr>
        <w:t>decisions</w:t>
      </w:r>
      <w:r w:rsidRPr="000011DC">
        <w:rPr>
          <w:rFonts w:eastAsia="FangSong" w:cs="KodchiangUPC"/>
          <w:sz w:val="20"/>
          <w:szCs w:val="20"/>
        </w:rPr>
        <w:t xml:space="preserve"> </w:t>
      </w:r>
    </w:p>
    <w:sectPr w:rsidR="00A72D0A" w:rsidRPr="00CD582D" w:rsidSect="00AC046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2AC55" w14:textId="77777777" w:rsidR="00451182" w:rsidRDefault="00451182" w:rsidP="00D356B3">
      <w:pPr>
        <w:spacing w:after="0" w:line="240" w:lineRule="auto"/>
      </w:pPr>
      <w:r>
        <w:separator/>
      </w:r>
    </w:p>
  </w:endnote>
  <w:endnote w:type="continuationSeparator" w:id="0">
    <w:p w14:paraId="5C8EFF3D" w14:textId="77777777" w:rsidR="00451182" w:rsidRDefault="00451182" w:rsidP="00D3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Kodchiang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A598D" w14:textId="77777777" w:rsidR="00451182" w:rsidRDefault="00451182" w:rsidP="00D356B3">
      <w:pPr>
        <w:spacing w:after="0" w:line="240" w:lineRule="auto"/>
      </w:pPr>
      <w:r>
        <w:separator/>
      </w:r>
    </w:p>
  </w:footnote>
  <w:footnote w:type="continuationSeparator" w:id="0">
    <w:p w14:paraId="35371D03" w14:textId="77777777" w:rsidR="00451182" w:rsidRDefault="00451182" w:rsidP="00D356B3">
      <w:pPr>
        <w:spacing w:after="0" w:line="240" w:lineRule="auto"/>
      </w:pPr>
      <w:r>
        <w:continuationSeparator/>
      </w:r>
    </w:p>
  </w:footnote>
  <w:footnote w:id="1">
    <w:p w14:paraId="518498C5" w14:textId="77777777" w:rsidR="00AC046F" w:rsidRPr="00AC046F" w:rsidRDefault="00AC046F" w:rsidP="00AC046F">
      <w:pPr>
        <w:spacing w:after="0"/>
        <w:rPr>
          <w:sz w:val="16"/>
          <w:szCs w:val="16"/>
        </w:rPr>
      </w:pPr>
      <w:r w:rsidRPr="00AC046F">
        <w:rPr>
          <w:rStyle w:val="FootnoteReference"/>
          <w:sz w:val="16"/>
          <w:szCs w:val="16"/>
        </w:rPr>
        <w:footnoteRef/>
      </w:r>
      <w:r w:rsidRPr="00AC046F">
        <w:rPr>
          <w:sz w:val="16"/>
          <w:szCs w:val="16"/>
        </w:rPr>
        <w:t xml:space="preserve"> </w:t>
      </w:r>
      <w:hyperlink r:id="rId1" w:history="1">
        <w:r w:rsidRPr="00AC046F">
          <w:rPr>
            <w:rStyle w:val="Hyperlink"/>
            <w:sz w:val="16"/>
            <w:szCs w:val="16"/>
          </w:rPr>
          <w:t>Teacher Equity Gaps in Massachusetts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737A"/>
    <w:multiLevelType w:val="hybridMultilevel"/>
    <w:tmpl w:val="6030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65D85"/>
    <w:multiLevelType w:val="hybridMultilevel"/>
    <w:tmpl w:val="0940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3CA4"/>
    <w:multiLevelType w:val="hybridMultilevel"/>
    <w:tmpl w:val="45F424FA"/>
    <w:lvl w:ilvl="0" w:tplc="06D8CA4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80C86"/>
    <w:multiLevelType w:val="hybridMultilevel"/>
    <w:tmpl w:val="5AE438FE"/>
    <w:lvl w:ilvl="0" w:tplc="68DEAC22">
      <w:start w:val="1"/>
      <w:numFmt w:val="bullet"/>
      <w:lvlText w:val="▪"/>
      <w:lvlJc w:val="left"/>
      <w:pPr>
        <w:ind w:left="2880" w:hanging="360"/>
      </w:pPr>
      <w:rPr>
        <w:rFonts w:ascii="Courier New" w:hAnsi="Courier New" w:hint="default"/>
        <w:color w:val="548DD4" w:themeColor="text2" w:themeTint="99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350614D"/>
    <w:multiLevelType w:val="hybridMultilevel"/>
    <w:tmpl w:val="565A2A5E"/>
    <w:lvl w:ilvl="0" w:tplc="0ECAA3E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1D"/>
    <w:rsid w:val="00021C23"/>
    <w:rsid w:val="000670CA"/>
    <w:rsid w:val="00094ADA"/>
    <w:rsid w:val="000F15C5"/>
    <w:rsid w:val="00106EA0"/>
    <w:rsid w:val="00107374"/>
    <w:rsid w:val="00192F07"/>
    <w:rsid w:val="001A3E42"/>
    <w:rsid w:val="001B2917"/>
    <w:rsid w:val="001C0912"/>
    <w:rsid w:val="001F6B14"/>
    <w:rsid w:val="00215A1F"/>
    <w:rsid w:val="0026684C"/>
    <w:rsid w:val="002B5AD6"/>
    <w:rsid w:val="002C4B98"/>
    <w:rsid w:val="002F5A13"/>
    <w:rsid w:val="0032463E"/>
    <w:rsid w:val="00325CA6"/>
    <w:rsid w:val="00326AFA"/>
    <w:rsid w:val="003550E5"/>
    <w:rsid w:val="00395A0B"/>
    <w:rsid w:val="003B621D"/>
    <w:rsid w:val="004060B1"/>
    <w:rsid w:val="00451182"/>
    <w:rsid w:val="004705A5"/>
    <w:rsid w:val="004739AB"/>
    <w:rsid w:val="00496634"/>
    <w:rsid w:val="004B34EF"/>
    <w:rsid w:val="004D7175"/>
    <w:rsid w:val="00517DC1"/>
    <w:rsid w:val="00527A02"/>
    <w:rsid w:val="0053399E"/>
    <w:rsid w:val="00542EAB"/>
    <w:rsid w:val="00545314"/>
    <w:rsid w:val="00593905"/>
    <w:rsid w:val="005D2714"/>
    <w:rsid w:val="006012B4"/>
    <w:rsid w:val="006B3F14"/>
    <w:rsid w:val="006D3AD6"/>
    <w:rsid w:val="006F7911"/>
    <w:rsid w:val="00715ECA"/>
    <w:rsid w:val="007445CC"/>
    <w:rsid w:val="00751E6E"/>
    <w:rsid w:val="00752C17"/>
    <w:rsid w:val="00761BCE"/>
    <w:rsid w:val="007643A9"/>
    <w:rsid w:val="00774685"/>
    <w:rsid w:val="00775EC9"/>
    <w:rsid w:val="0079335A"/>
    <w:rsid w:val="007A1FED"/>
    <w:rsid w:val="00841DF8"/>
    <w:rsid w:val="00867F6F"/>
    <w:rsid w:val="009230C5"/>
    <w:rsid w:val="009433A3"/>
    <w:rsid w:val="00952625"/>
    <w:rsid w:val="00952643"/>
    <w:rsid w:val="009829A0"/>
    <w:rsid w:val="0098518C"/>
    <w:rsid w:val="009A5CC8"/>
    <w:rsid w:val="009A6F22"/>
    <w:rsid w:val="009B69B1"/>
    <w:rsid w:val="009C558D"/>
    <w:rsid w:val="009E1F78"/>
    <w:rsid w:val="00A674A7"/>
    <w:rsid w:val="00A72D0A"/>
    <w:rsid w:val="00A84F89"/>
    <w:rsid w:val="00A8507F"/>
    <w:rsid w:val="00A93613"/>
    <w:rsid w:val="00A95C0B"/>
    <w:rsid w:val="00AC046F"/>
    <w:rsid w:val="00AD2508"/>
    <w:rsid w:val="00AD5419"/>
    <w:rsid w:val="00AD732A"/>
    <w:rsid w:val="00AF65ED"/>
    <w:rsid w:val="00B0567F"/>
    <w:rsid w:val="00B169E7"/>
    <w:rsid w:val="00B1788A"/>
    <w:rsid w:val="00B53B37"/>
    <w:rsid w:val="00B579AF"/>
    <w:rsid w:val="00B91BC1"/>
    <w:rsid w:val="00B9642C"/>
    <w:rsid w:val="00BD7ECA"/>
    <w:rsid w:val="00C52461"/>
    <w:rsid w:val="00C56595"/>
    <w:rsid w:val="00C63A5E"/>
    <w:rsid w:val="00CB1AE1"/>
    <w:rsid w:val="00CD582D"/>
    <w:rsid w:val="00D00453"/>
    <w:rsid w:val="00D356B3"/>
    <w:rsid w:val="00D46573"/>
    <w:rsid w:val="00D755CB"/>
    <w:rsid w:val="00DC7EAA"/>
    <w:rsid w:val="00E25DE0"/>
    <w:rsid w:val="00E27258"/>
    <w:rsid w:val="00E704BE"/>
    <w:rsid w:val="00E93930"/>
    <w:rsid w:val="00EF2D5A"/>
    <w:rsid w:val="00EF4B0B"/>
    <w:rsid w:val="00EF7BA8"/>
    <w:rsid w:val="00F60269"/>
    <w:rsid w:val="00F81E45"/>
    <w:rsid w:val="00F87462"/>
    <w:rsid w:val="00FB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54AD"/>
  <w15:chartTrackingRefBased/>
  <w15:docId w15:val="{C5CA4A73-4E74-48BD-92F4-BA0B597A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2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6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6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39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717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D271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56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6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6B3"/>
    <w:rPr>
      <w:vertAlign w:val="superscript"/>
    </w:rPr>
  </w:style>
  <w:style w:type="table" w:styleId="ListTable4-Accent3">
    <w:name w:val="List Table 4 Accent 3"/>
    <w:basedOn w:val="TableNormal"/>
    <w:uiPriority w:val="49"/>
    <w:rsid w:val="0032463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B2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981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20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oe.mass.edu/edwin/gateway/slereport/howto.docx" TargetMode="External"/><Relationship Id="rId18" Type="http://schemas.openxmlformats.org/officeDocument/2006/relationships/hyperlink" Target="https://www.doe.mass.edu/edeffectiveness/equitableaccess/resources/roadmap.html" TargetMode="External"/><Relationship Id="rId26" Type="http://schemas.openxmlformats.org/officeDocument/2006/relationships/hyperlink" Target="http://www.doe.mass.edu/licensure/academic-prek12/sg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oe.mass.edu/accountability/toolkit/district-data-toolkit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doe.mass.edu/edwin/gateway/slereport-supp.html" TargetMode="External"/><Relationship Id="rId25" Type="http://schemas.openxmlformats.org/officeDocument/2006/relationships/hyperlink" Target="http://www.doe.mass.edu/edprep/domains/partnership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mass.edu/edwin/gateway/sle-questions.docx" TargetMode="External"/><Relationship Id="rId20" Type="http://schemas.openxmlformats.org/officeDocument/2006/relationships/hyperlink" Target="http://www.doe.mass.edu/accountability/toolkit/district-data-toolkit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doe.mass.edu/edeval/resources/calibration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doe.mass.edu/edwin/gateway/slereport/howto.docx" TargetMode="External"/><Relationship Id="rId23" Type="http://schemas.openxmlformats.org/officeDocument/2006/relationships/hyperlink" Target="http://www.doe.mass.edu/edeval/guidebook/" TargetMode="External"/><Relationship Id="rId28" Type="http://schemas.openxmlformats.org/officeDocument/2006/relationships/hyperlink" Target="http://www.doe.mass.edu/leap/pd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oe.mass.edu/dar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oe.mass.edu/edwin/gateway/sle-questions.docx" TargetMode="External"/><Relationship Id="rId22" Type="http://schemas.openxmlformats.org/officeDocument/2006/relationships/hyperlink" Target="http://www.doe.mass.edu/edeval/guidebook/8b-masterschedreview.pdf" TargetMode="External"/><Relationship Id="rId27" Type="http://schemas.openxmlformats.org/officeDocument/2006/relationships/hyperlink" Target="http://www.doe.mass.edu/edeval/guidebook/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e.mass.edu/research/reports/2017/10teacher-equity.doc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DESE-231-53257</_dlc_DocId>
    <_dlc_DocIdUrl xmlns="733efe1c-5bbe-4968-87dc-d400e65c879f">
      <Url>https://sharepoint.doemass.org/ese/webteam/cps/_layouts/DocIdRedir.aspx?ID=DESE-231-53257</Url>
      <Description>DESE-231-53257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D312-EB1D-4A21-85B4-52A7F4CC4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A6AF4-A3A9-4F5E-9958-01FC5A83A5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BF2DE9-50A3-4F37-A66F-D03EB5830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91115-F2BD-4213-BEB3-D35A0511D275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5.xml><?xml version="1.0" encoding="utf-8"?>
<ds:datastoreItem xmlns:ds="http://schemas.openxmlformats.org/officeDocument/2006/customXml" ds:itemID="{5E520523-EC4C-40DB-9718-BACF9FE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DESE Resources for Identifying and Addressing Equity Gaps</vt:lpstr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 Resources for Identifying and Addressing Equity Gaps</dc:title>
  <dc:subject/>
  <dc:creator>DESE</dc:creator>
  <cp:keywords/>
  <dc:description/>
  <cp:lastModifiedBy>Zou, Dong (EOE)</cp:lastModifiedBy>
  <cp:revision>14</cp:revision>
  <dcterms:created xsi:type="dcterms:W3CDTF">2022-05-10T18:56:00Z</dcterms:created>
  <dcterms:modified xsi:type="dcterms:W3CDTF">2022-05-16T21:04:00Z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16 2022</vt:lpwstr>
  </property>
</Properties>
</file>