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B2B11" w14:textId="77777777" w:rsidR="00AC66A8" w:rsidRPr="00C276C7" w:rsidRDefault="00AC66A8" w:rsidP="00AC66A8">
      <w:pPr>
        <w:keepNext/>
        <w:keepLines/>
        <w:spacing w:after="0" w:line="276" w:lineRule="auto"/>
        <w:outlineLvl w:val="0"/>
        <w:rPr>
          <w:rFonts w:ascii="Arial" w:eastAsia="SimSun" w:hAnsi="Arial" w:cs="Times New Roman"/>
          <w:b/>
          <w:bCs/>
          <w:color w:val="833C0B" w:themeColor="accent2" w:themeShade="80"/>
        </w:rPr>
      </w:pPr>
      <w:r w:rsidRPr="00C276C7">
        <w:rPr>
          <w:rFonts w:ascii="Arial" w:eastAsia="SimSun" w:hAnsi="Arial" w:cs="Times New Roman"/>
          <w:b/>
          <w:bCs/>
          <w:color w:val="833C0B" w:themeColor="accent2" w:themeShade="80"/>
          <w:sz w:val="21"/>
          <w:szCs w:val="21"/>
        </w:rPr>
        <w:t xml:space="preserve">Why ESSA funds services </w:t>
      </w:r>
      <w:r w:rsidR="00D3406F" w:rsidRPr="00C276C7">
        <w:rPr>
          <w:rFonts w:ascii="Arial" w:eastAsia="SimSun" w:hAnsi="Arial" w:cs="Times New Roman"/>
          <w:b/>
          <w:bCs/>
          <w:color w:val="833C0B" w:themeColor="accent2" w:themeShade="80"/>
          <w:sz w:val="21"/>
          <w:szCs w:val="21"/>
        </w:rPr>
        <w:t xml:space="preserve">that benefit </w:t>
      </w:r>
      <w:r w:rsidRPr="00C276C7">
        <w:rPr>
          <w:rFonts w:ascii="Arial" w:eastAsia="SimSun" w:hAnsi="Arial" w:cs="Times New Roman"/>
          <w:b/>
          <w:bCs/>
          <w:color w:val="833C0B" w:themeColor="accent2" w:themeShade="80"/>
          <w:sz w:val="21"/>
          <w:szCs w:val="21"/>
        </w:rPr>
        <w:t>eligible private school students</w:t>
      </w:r>
      <w:r w:rsidRPr="00C276C7">
        <w:rPr>
          <w:rFonts w:ascii="Arial" w:eastAsia="SimSun" w:hAnsi="Arial" w:cs="Times New Roman"/>
          <w:b/>
          <w:bCs/>
          <w:color w:val="833C0B" w:themeColor="accent2" w:themeShade="80"/>
        </w:rPr>
        <w:t>:</w:t>
      </w:r>
    </w:p>
    <w:p w14:paraId="0D8039FE" w14:textId="77777777" w:rsidR="00AC66A8" w:rsidRPr="00D37B5E" w:rsidRDefault="00AC66A8" w:rsidP="00AC66A8">
      <w:pPr>
        <w:spacing w:after="0" w:line="276" w:lineRule="auto"/>
        <w:rPr>
          <w:rFonts w:ascii="Calibri" w:eastAsia="SimSun" w:hAnsi="Calibri" w:cs="Times New Roman"/>
          <w:sz w:val="4"/>
          <w:szCs w:val="4"/>
        </w:rPr>
      </w:pPr>
    </w:p>
    <w:p w14:paraId="0B3D80D8" w14:textId="5A174C11" w:rsidR="00AC66A8" w:rsidRDefault="001648B3" w:rsidP="00C430E6">
      <w:pPr>
        <w:autoSpaceDE w:val="0"/>
        <w:autoSpaceDN w:val="0"/>
        <w:adjustRightInd w:val="0"/>
        <w:spacing w:after="0" w:line="240" w:lineRule="auto"/>
        <w:ind w:left="-450" w:right="-486"/>
        <w:rPr>
          <w:rFonts w:ascii="Calibri" w:eastAsia="SimSun" w:hAnsi="Calibri" w:cs="Times New Roman"/>
          <w:sz w:val="21"/>
          <w:szCs w:val="21"/>
        </w:rPr>
      </w:pPr>
      <w:r>
        <w:rPr>
          <w:rFonts w:ascii="Calibri" w:eastAsia="SimSun" w:hAnsi="Calibri" w:cs="Times New Roman"/>
          <w:sz w:val="21"/>
          <w:szCs w:val="21"/>
        </w:rPr>
        <w:t>The federal government uses census data to generate grant f</w:t>
      </w:r>
      <w:r w:rsidR="00AC66A8" w:rsidRPr="00AC66A8">
        <w:rPr>
          <w:rFonts w:ascii="Calibri" w:eastAsia="SimSun" w:hAnsi="Calibri" w:cs="Times New Roman"/>
          <w:sz w:val="21"/>
          <w:szCs w:val="21"/>
        </w:rPr>
        <w:t xml:space="preserve">unds for Massachusetts </w:t>
      </w:r>
      <w:r>
        <w:rPr>
          <w:rFonts w:ascii="Calibri" w:eastAsia="SimSun" w:hAnsi="Calibri" w:cs="Times New Roman"/>
          <w:sz w:val="21"/>
          <w:szCs w:val="21"/>
        </w:rPr>
        <w:t>under the</w:t>
      </w:r>
      <w:r w:rsidR="00AC66A8" w:rsidRPr="00AC66A8">
        <w:rPr>
          <w:rFonts w:ascii="Calibri" w:eastAsia="SimSun" w:hAnsi="Calibri" w:cs="Times New Roman"/>
          <w:sz w:val="21"/>
          <w:szCs w:val="21"/>
        </w:rPr>
        <w:t xml:space="preserve"> Elementary and Secondary Education Act, most recently reauthorized as </w:t>
      </w:r>
      <w:proofErr w:type="gramStart"/>
      <w:r w:rsidR="00AC66A8" w:rsidRPr="00AC66A8">
        <w:rPr>
          <w:rFonts w:ascii="Calibri" w:eastAsia="SimSun" w:hAnsi="Calibri" w:cs="Times New Roman"/>
          <w:sz w:val="21"/>
          <w:szCs w:val="21"/>
        </w:rPr>
        <w:t>the Every</w:t>
      </w:r>
      <w:proofErr w:type="gramEnd"/>
      <w:r w:rsidR="00AC66A8" w:rsidRPr="00AC66A8">
        <w:rPr>
          <w:rFonts w:ascii="Calibri" w:eastAsia="SimSun" w:hAnsi="Calibri" w:cs="Times New Roman"/>
          <w:sz w:val="21"/>
          <w:szCs w:val="21"/>
        </w:rPr>
        <w:t xml:space="preserve"> Student Succeeds Act (ESSA)</w:t>
      </w:r>
      <w:r>
        <w:rPr>
          <w:rFonts w:ascii="Calibri" w:eastAsia="SimSun" w:hAnsi="Calibri" w:cs="Times New Roman"/>
          <w:sz w:val="21"/>
          <w:szCs w:val="21"/>
        </w:rPr>
        <w:t>.</w:t>
      </w:r>
      <w:r w:rsidR="00E948CC">
        <w:rPr>
          <w:rFonts w:ascii="Calibri" w:eastAsia="SimSun" w:hAnsi="Calibri" w:cs="Times New Roman"/>
          <w:sz w:val="21"/>
          <w:szCs w:val="21"/>
        </w:rPr>
        <w:t xml:space="preserve"> </w:t>
      </w:r>
      <w:r>
        <w:rPr>
          <w:rFonts w:ascii="Calibri" w:eastAsia="SimSun" w:hAnsi="Calibri" w:cs="Times New Roman"/>
          <w:sz w:val="21"/>
          <w:szCs w:val="21"/>
        </w:rPr>
        <w:t>This calculation includes data, and therefore funding, for all students reg</w:t>
      </w:r>
      <w:r w:rsidR="00AC66A8" w:rsidRPr="00AC66A8">
        <w:rPr>
          <w:rFonts w:ascii="Calibri" w:eastAsia="SimSun" w:hAnsi="Calibri" w:cs="Times New Roman"/>
          <w:sz w:val="21"/>
          <w:szCs w:val="21"/>
        </w:rPr>
        <w:t xml:space="preserve">ardless of whether </w:t>
      </w:r>
      <w:r>
        <w:rPr>
          <w:rFonts w:ascii="Calibri" w:eastAsia="SimSun" w:hAnsi="Calibri" w:cs="Times New Roman"/>
          <w:sz w:val="21"/>
          <w:szCs w:val="21"/>
        </w:rPr>
        <w:t>they</w:t>
      </w:r>
      <w:r w:rsidR="00AC66A8" w:rsidRPr="00AC66A8">
        <w:rPr>
          <w:rFonts w:ascii="Calibri" w:eastAsia="SimSun" w:hAnsi="Calibri" w:cs="Times New Roman"/>
          <w:sz w:val="21"/>
          <w:szCs w:val="21"/>
        </w:rPr>
        <w:t xml:space="preserve"> attend non-profit</w:t>
      </w:r>
      <w:r w:rsidR="000F1E95">
        <w:rPr>
          <w:rFonts w:ascii="Calibri" w:eastAsia="SimSun" w:hAnsi="Calibri" w:cs="Times New Roman"/>
          <w:sz w:val="21"/>
          <w:szCs w:val="21"/>
        </w:rPr>
        <w:t xml:space="preserve"> </w:t>
      </w:r>
      <w:r w:rsidR="000F1E95" w:rsidRPr="00AC66A8">
        <w:rPr>
          <w:rFonts w:ascii="Calibri" w:eastAsia="SimSun" w:hAnsi="Calibri" w:cs="Times New Roman"/>
          <w:sz w:val="21"/>
          <w:szCs w:val="21"/>
        </w:rPr>
        <w:t>private</w:t>
      </w:r>
      <w:r w:rsidR="00AC66A8" w:rsidRPr="00AC66A8">
        <w:rPr>
          <w:rFonts w:ascii="Calibri" w:eastAsia="SimSun" w:hAnsi="Calibri" w:cs="Times New Roman"/>
          <w:sz w:val="21"/>
          <w:szCs w:val="21"/>
        </w:rPr>
        <w:t xml:space="preserve"> schools or public district schools. Th</w:t>
      </w:r>
      <w:r w:rsidR="0052435E">
        <w:rPr>
          <w:rFonts w:ascii="Calibri" w:eastAsia="SimSun" w:hAnsi="Calibri" w:cs="Times New Roman"/>
          <w:sz w:val="21"/>
          <w:szCs w:val="21"/>
        </w:rPr>
        <w:t>us</w:t>
      </w:r>
      <w:r w:rsidR="00AC66A8" w:rsidRPr="00AC66A8">
        <w:rPr>
          <w:rFonts w:ascii="Calibri" w:eastAsia="SimSun" w:hAnsi="Calibri" w:cs="Times New Roman"/>
          <w:sz w:val="21"/>
          <w:szCs w:val="21"/>
        </w:rPr>
        <w:t xml:space="preserve">, in passing ESSA, </w:t>
      </w:r>
      <w:r w:rsidR="00604559">
        <w:rPr>
          <w:rFonts w:ascii="Calibri" w:eastAsia="SimSun" w:hAnsi="Calibri" w:cs="Times New Roman"/>
          <w:sz w:val="21"/>
          <w:szCs w:val="21"/>
        </w:rPr>
        <w:t>Congress</w:t>
      </w:r>
      <w:r w:rsidR="00AC66A8" w:rsidRPr="00AC66A8">
        <w:rPr>
          <w:rFonts w:ascii="Calibri" w:eastAsia="SimSun" w:hAnsi="Calibri" w:cs="Times New Roman"/>
          <w:sz w:val="21"/>
          <w:szCs w:val="21"/>
        </w:rPr>
        <w:t xml:space="preserve"> has made it clear that services under Titles I, Part A; II, Part A; III, Part A; and IV, Part A must be meaningfully offered to nonprofit private schools to benefit their eligible students, educators</w:t>
      </w:r>
      <w:r w:rsidR="00946FED">
        <w:rPr>
          <w:rFonts w:ascii="Calibri" w:eastAsia="SimSun" w:hAnsi="Calibri" w:cs="Times New Roman"/>
          <w:sz w:val="21"/>
          <w:szCs w:val="21"/>
        </w:rPr>
        <w:t>,</w:t>
      </w:r>
      <w:r w:rsidR="00AC66A8" w:rsidRPr="00AC66A8">
        <w:rPr>
          <w:rFonts w:ascii="Calibri" w:eastAsia="SimSun" w:hAnsi="Calibri" w:cs="Times New Roman"/>
          <w:sz w:val="21"/>
          <w:szCs w:val="21"/>
        </w:rPr>
        <w:t xml:space="preserve"> and families</w:t>
      </w:r>
      <w:r>
        <w:rPr>
          <w:rFonts w:ascii="Calibri" w:eastAsia="SimSun" w:hAnsi="Calibri" w:cs="Times New Roman"/>
          <w:sz w:val="21"/>
          <w:szCs w:val="21"/>
        </w:rPr>
        <w:t>, as well as for public school students</w:t>
      </w:r>
      <w:r w:rsidR="00AC66A8" w:rsidRPr="00AC66A8">
        <w:rPr>
          <w:rFonts w:ascii="Calibri" w:eastAsia="SimSun" w:hAnsi="Calibri" w:cs="Times New Roman"/>
          <w:sz w:val="21"/>
          <w:szCs w:val="21"/>
        </w:rPr>
        <w:t xml:space="preserve">.  </w:t>
      </w:r>
    </w:p>
    <w:p w14:paraId="5184A174" w14:textId="77777777" w:rsidR="001648B3" w:rsidRPr="0052435E" w:rsidRDefault="0052435E" w:rsidP="00C430E6">
      <w:pPr>
        <w:autoSpaceDE w:val="0"/>
        <w:autoSpaceDN w:val="0"/>
        <w:adjustRightInd w:val="0"/>
        <w:spacing w:after="0" w:line="240" w:lineRule="auto"/>
        <w:ind w:left="-450" w:right="-486"/>
        <w:rPr>
          <w:rFonts w:ascii="Calibri" w:eastAsia="SimSun" w:hAnsi="Calibri" w:cs="Times New Roman"/>
          <w:sz w:val="4"/>
          <w:szCs w:val="4"/>
        </w:rPr>
      </w:pPr>
      <w:r w:rsidRPr="00AC66A8">
        <w:rPr>
          <w:rFonts w:ascii="Arial" w:eastAsia="SimSun" w:hAnsi="Arial" w:cs="Times New Roman"/>
          <w:b/>
          <w:noProof/>
          <w:color w:val="000000"/>
          <w:sz w:val="21"/>
          <w:szCs w:val="21"/>
        </w:rPr>
        <mc:AlternateContent>
          <mc:Choice Requires="wps">
            <w:drawing>
              <wp:anchor distT="91440" distB="91440" distL="91440" distR="91440" simplePos="0" relativeHeight="251659264" behindDoc="1" locked="0" layoutInCell="0" allowOverlap="0" wp14:anchorId="005D907C" wp14:editId="7D2C27AB">
                <wp:simplePos x="0" y="0"/>
                <wp:positionH relativeFrom="margin">
                  <wp:posOffset>-87630</wp:posOffset>
                </wp:positionH>
                <wp:positionV relativeFrom="paragraph">
                  <wp:posOffset>144145</wp:posOffset>
                </wp:positionV>
                <wp:extent cx="6567805" cy="1377950"/>
                <wp:effectExtent l="0" t="0" r="23495" b="12700"/>
                <wp:wrapTight wrapText="left">
                  <wp:wrapPolygon edited="0">
                    <wp:start x="125" y="0"/>
                    <wp:lineTo x="0" y="896"/>
                    <wp:lineTo x="0" y="20605"/>
                    <wp:lineTo x="125" y="21500"/>
                    <wp:lineTo x="21489" y="21500"/>
                    <wp:lineTo x="21615" y="20903"/>
                    <wp:lineTo x="21615" y="896"/>
                    <wp:lineTo x="21489" y="0"/>
                    <wp:lineTo x="125" y="0"/>
                  </wp:wrapPolygon>
                </wp:wrapTight>
                <wp:docPr id="2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567805" cy="1377950"/>
                        </a:xfrm>
                        <a:prstGeom prst="roundRect">
                          <a:avLst>
                            <a:gd name="adj" fmla="val 10153"/>
                          </a:avLst>
                        </a:prstGeom>
                        <a:solidFill>
                          <a:srgbClr val="4F81BD">
                            <a:lumMod val="25000"/>
                            <a:lumOff val="75000"/>
                          </a:srgbClr>
                        </a:solidFill>
                        <a:ln w="12700">
                          <a:solidFill>
                            <a:schemeClr val="bg1">
                              <a:lumMod val="50000"/>
                            </a:schemeClr>
                          </a:solidFill>
                          <a:round/>
                          <a:headEnd/>
                          <a:tailEnd/>
                        </a:ln>
                        <a:effectLst/>
                        <a:extLst>
                          <a:ext uri="{AF507438-7753-43E0-B8FC-AC1667EBCBE1}">
                            <a14:hiddenEffects xmlns:a14="http://schemas.microsoft.com/office/drawing/2010/main">
                              <a:effectLst>
                                <a:outerShdw dist="1562100" dir="16200000" sy="-100000" rotWithShape="0">
                                  <a:schemeClr val="accent5">
                                    <a:lumMod val="75000"/>
                                    <a:lumOff val="0"/>
                                  </a:schemeClr>
                                </a:outerShdw>
                              </a:effectLst>
                            </a14:hiddenEffects>
                          </a:ext>
                        </a:extLst>
                      </wps:spPr>
                      <wps:txbx>
                        <w:txbxContent>
                          <w:p w14:paraId="2D811963" w14:textId="1E22E003" w:rsidR="00A34F03" w:rsidRDefault="00000000" w:rsidP="00C87BC0">
                            <w:pPr>
                              <w:pStyle w:val="ListParagraph"/>
                              <w:numPr>
                                <w:ilvl w:val="0"/>
                                <w:numId w:val="1"/>
                              </w:numPr>
                              <w:spacing w:after="0" w:line="240" w:lineRule="auto"/>
                              <w:ind w:left="450"/>
                              <w:contextualSpacing w:val="0"/>
                              <w:jc w:val="both"/>
                              <w:rPr>
                                <w:sz w:val="18"/>
                              </w:rPr>
                            </w:pPr>
                            <w:r>
                              <w:fldChar w:fldCharType="begin"/>
                            </w:r>
                            <w:r>
                              <w:instrText>HYPERLINK "https://oese.ed.gov/files/2023/05/Title-I-ES-guidance-revised-5-2023.pdf"</w:instrText>
                            </w:r>
                            <w:r>
                              <w:fldChar w:fldCharType="separate"/>
                            </w:r>
                            <w:r w:rsidR="00A34F03" w:rsidRPr="00AD33C3">
                              <w:rPr>
                                <w:rStyle w:val="Hyperlink"/>
                                <w:rFonts w:cstheme="minorBidi"/>
                                <w:sz w:val="18"/>
                              </w:rPr>
                              <w:t>Non-Regulatory Guidance:</w:t>
                            </w:r>
                            <w:r w:rsidR="00E948CC" w:rsidRPr="00AD33C3">
                              <w:rPr>
                                <w:rStyle w:val="Hyperlink"/>
                                <w:rFonts w:cstheme="minorBidi"/>
                                <w:sz w:val="18"/>
                              </w:rPr>
                              <w:t xml:space="preserve"> </w:t>
                            </w:r>
                            <w:r w:rsidR="00A34F03" w:rsidRPr="00AD33C3">
                              <w:rPr>
                                <w:rStyle w:val="Hyperlink"/>
                                <w:rFonts w:cstheme="minorBidi"/>
                                <w:sz w:val="18"/>
                              </w:rPr>
                              <w:t xml:space="preserve">Title I, Part A of the Elementary and Secondary Education Act of 1965, as Amended by </w:t>
                            </w:r>
                            <w:proofErr w:type="gramStart"/>
                            <w:r w:rsidR="00A34F03" w:rsidRPr="00AD33C3">
                              <w:rPr>
                                <w:rStyle w:val="Hyperlink"/>
                                <w:rFonts w:cstheme="minorBidi"/>
                                <w:sz w:val="18"/>
                              </w:rPr>
                              <w:t>the Every</w:t>
                            </w:r>
                            <w:proofErr w:type="gramEnd"/>
                            <w:r w:rsidR="00A34F03" w:rsidRPr="00AD33C3">
                              <w:rPr>
                                <w:rStyle w:val="Hyperlink"/>
                                <w:rFonts w:cstheme="minorBidi"/>
                                <w:sz w:val="18"/>
                              </w:rPr>
                              <w:t xml:space="preserve"> Student Succeeds Act:</w:t>
                            </w:r>
                            <w:r w:rsidR="00E948CC" w:rsidRPr="00AD33C3">
                              <w:rPr>
                                <w:rStyle w:val="Hyperlink"/>
                                <w:rFonts w:cstheme="minorBidi"/>
                                <w:sz w:val="18"/>
                              </w:rPr>
                              <w:t xml:space="preserve"> </w:t>
                            </w:r>
                            <w:r w:rsidR="00A34F03" w:rsidRPr="00AD33C3">
                              <w:rPr>
                                <w:rStyle w:val="Hyperlink"/>
                                <w:rFonts w:cstheme="minorBidi"/>
                                <w:sz w:val="18"/>
                              </w:rPr>
                              <w:t>Providing Equitable Services to Eligible Private School Children, Teachers and Families, Updated Non-Regulatory Guidance</w:t>
                            </w:r>
                            <w:r>
                              <w:rPr>
                                <w:rStyle w:val="Hyperlink"/>
                                <w:rFonts w:cstheme="minorBidi"/>
                                <w:sz w:val="18"/>
                              </w:rPr>
                              <w:fldChar w:fldCharType="end"/>
                            </w:r>
                            <w:r w:rsidR="00A34F03">
                              <w:rPr>
                                <w:sz w:val="18"/>
                              </w:rPr>
                              <w:t xml:space="preserve"> (USED) (October 7, 2019</w:t>
                            </w:r>
                            <w:r w:rsidR="004118EC">
                              <w:rPr>
                                <w:sz w:val="18"/>
                              </w:rPr>
                              <w:t>, Updated May 17, 2023</w:t>
                            </w:r>
                            <w:r w:rsidR="00A34F03">
                              <w:rPr>
                                <w:sz w:val="18"/>
                              </w:rPr>
                              <w:t>).</w:t>
                            </w:r>
                          </w:p>
                          <w:p w14:paraId="2F006DC3" w14:textId="4C01C241" w:rsidR="00AD33C3" w:rsidRDefault="00000000" w:rsidP="00C87BC0">
                            <w:pPr>
                              <w:pStyle w:val="ListParagraph"/>
                              <w:numPr>
                                <w:ilvl w:val="0"/>
                                <w:numId w:val="1"/>
                              </w:numPr>
                              <w:spacing w:after="0" w:line="240" w:lineRule="auto"/>
                              <w:ind w:left="450"/>
                              <w:contextualSpacing w:val="0"/>
                              <w:jc w:val="both"/>
                              <w:rPr>
                                <w:sz w:val="18"/>
                              </w:rPr>
                            </w:pPr>
                            <w:hyperlink r:id="rId12" w:history="1">
                              <w:r w:rsidR="00AD33C3" w:rsidRPr="00AD33C3">
                                <w:rPr>
                                  <w:rStyle w:val="Hyperlink"/>
                                  <w:rFonts w:cstheme="minorBidi"/>
                                  <w:sz w:val="18"/>
                                </w:rPr>
                                <w:t>Non-Regulatory Guidance: Title VIII, Part F of the Elementary and Secondary Education Act of 1965: Equitable Services for Eligible Private School Children, Teachers, and Other Educational Personnel</w:t>
                              </w:r>
                            </w:hyperlink>
                            <w:r w:rsidR="00AD33C3">
                              <w:rPr>
                                <w:sz w:val="18"/>
                              </w:rPr>
                              <w:t xml:space="preserve"> (Titles IIA, IIIA, IVA, and IVB) (USED) (July 17, 2023)</w:t>
                            </w:r>
                          </w:p>
                          <w:p w14:paraId="4CB7A7BB" w14:textId="77777777" w:rsidR="00A34F03" w:rsidRPr="00171C9F" w:rsidRDefault="00000000" w:rsidP="00C87BC0">
                            <w:pPr>
                              <w:pStyle w:val="ListParagraph"/>
                              <w:numPr>
                                <w:ilvl w:val="0"/>
                                <w:numId w:val="1"/>
                              </w:numPr>
                              <w:spacing w:after="0" w:line="240" w:lineRule="auto"/>
                              <w:ind w:left="450"/>
                              <w:contextualSpacing w:val="0"/>
                              <w:jc w:val="both"/>
                              <w:rPr>
                                <w:rStyle w:val="Hyperlink"/>
                                <w:rFonts w:cstheme="minorBidi"/>
                                <w:color w:val="auto"/>
                                <w:sz w:val="18"/>
                                <w:u w:val="none"/>
                              </w:rPr>
                            </w:pPr>
                            <w:hyperlink r:id="rId13" w:history="1">
                              <w:r w:rsidR="00A34F03" w:rsidRPr="00C0772B">
                                <w:rPr>
                                  <w:rStyle w:val="Hyperlink"/>
                                  <w:sz w:val="18"/>
                                </w:rPr>
                                <w:t xml:space="preserve">Non-Regulatory Guidance: Fiscal Changes and Equitable Services Requirement under the Elementary and Secondary Education Act of 1965 (ESEA), as amended by </w:t>
                              </w:r>
                              <w:proofErr w:type="gramStart"/>
                              <w:r w:rsidR="00A34F03" w:rsidRPr="00C0772B">
                                <w:rPr>
                                  <w:rStyle w:val="Hyperlink"/>
                                  <w:sz w:val="18"/>
                                </w:rPr>
                                <w:t>the Every</w:t>
                              </w:r>
                              <w:proofErr w:type="gramEnd"/>
                              <w:r w:rsidR="00A34F03" w:rsidRPr="00C0772B">
                                <w:rPr>
                                  <w:rStyle w:val="Hyperlink"/>
                                  <w:sz w:val="18"/>
                                </w:rPr>
                                <w:t xml:space="preserve"> Student Succeeds Act (ESSA)</w:t>
                              </w:r>
                            </w:hyperlink>
                            <w:r w:rsidR="00A34F03" w:rsidRPr="00C0772B">
                              <w:rPr>
                                <w:rStyle w:val="Hyperlink"/>
                                <w:color w:val="auto"/>
                                <w:sz w:val="18"/>
                                <w:u w:val="none"/>
                              </w:rPr>
                              <w:t xml:space="preserve"> (USED) (2016) (partly superseded by 2019 guidance).</w:t>
                            </w:r>
                          </w:p>
                          <w:p w14:paraId="3CAA96B0" w14:textId="77777777" w:rsidR="00A34F03" w:rsidRDefault="00000000" w:rsidP="00C87BC0">
                            <w:pPr>
                              <w:pStyle w:val="ListParagraph"/>
                              <w:numPr>
                                <w:ilvl w:val="0"/>
                                <w:numId w:val="1"/>
                              </w:numPr>
                              <w:spacing w:after="0" w:line="240" w:lineRule="auto"/>
                              <w:ind w:left="450"/>
                              <w:contextualSpacing w:val="0"/>
                              <w:jc w:val="both"/>
                              <w:rPr>
                                <w:sz w:val="18"/>
                              </w:rPr>
                            </w:pPr>
                            <w:hyperlink r:id="rId14" w:history="1">
                              <w:r w:rsidR="00A34F03" w:rsidRPr="00B039CF">
                                <w:rPr>
                                  <w:rStyle w:val="Hyperlink"/>
                                  <w:rFonts w:cstheme="minorBidi"/>
                                  <w:sz w:val="18"/>
                                </w:rPr>
                                <w:t>Suggested Timelines Related to Private School Equitable Services Under ESSA</w:t>
                              </w:r>
                            </w:hyperlink>
                            <w:r w:rsidR="00A34F03">
                              <w:rPr>
                                <w:sz w:val="18"/>
                              </w:rPr>
                              <w:t xml:space="preserve"> (DESE).</w:t>
                            </w:r>
                          </w:p>
                          <w:p w14:paraId="7763AB09" w14:textId="77777777" w:rsidR="00A34F03" w:rsidRDefault="00A34F03" w:rsidP="00171C9F">
                            <w:pPr>
                              <w:pStyle w:val="ListParagraph"/>
                              <w:numPr>
                                <w:ilvl w:val="0"/>
                                <w:numId w:val="1"/>
                              </w:numPr>
                              <w:spacing w:after="0" w:line="240" w:lineRule="auto"/>
                              <w:ind w:left="450"/>
                              <w:contextualSpacing w:val="0"/>
                              <w:jc w:val="both"/>
                              <w:rPr>
                                <w:sz w:val="18"/>
                              </w:rPr>
                            </w:pPr>
                            <w:r>
                              <w:rPr>
                                <w:sz w:val="18"/>
                              </w:rPr>
                              <w:t xml:space="preserve">Relevant </w:t>
                            </w:r>
                            <w:hyperlink r:id="rId15" w:history="1">
                              <w:r w:rsidRPr="00B039CF">
                                <w:rPr>
                                  <w:rStyle w:val="Hyperlink"/>
                                  <w:rFonts w:cstheme="minorBidi"/>
                                  <w:sz w:val="18"/>
                                </w:rPr>
                                <w:t>ESSA statutory sections §1117 (Title I) &amp; §8501 (Titles II, III, &amp; IV).</w:t>
                              </w:r>
                            </w:hyperlink>
                          </w:p>
                          <w:p w14:paraId="45A574F3" w14:textId="77777777" w:rsidR="00A34F03" w:rsidRPr="00171C9F" w:rsidRDefault="00A34F03" w:rsidP="00171C9F">
                            <w:pPr>
                              <w:spacing w:after="0" w:line="240" w:lineRule="auto"/>
                              <w:jc w:val="both"/>
                              <w:rPr>
                                <w:sz w:val="18"/>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5D907C" id="AutoShape 6" o:spid="_x0000_s1026" alt="&quot;&quot;" style="position:absolute;left:0;text-align:left;margin-left:-6.9pt;margin-top:11.35pt;width:517.15pt;height:108.5pt;flip:y;z-index:-25165721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text;mso-width-percent:0;mso-height-percent:0;mso-width-relative:margin;mso-height-relative:margin;v-text-anchor:middle" arcsize="6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U+VAIAAK0EAAAOAAAAZHJzL2Uyb0RvYy54bWysVE2P0zAQvSPxHyzf2SRd+kG06WrpUoS0&#10;fIgF7o7tJAbHNmO36fLrGTtNqegNcbHG48ybmTfzcnN76DXZS/DKmooWVzkl0nArlGkr+vXL9sWK&#10;Eh+YEUxbIyv6JD29XT9/djO4Us5sZ7WQQBDE+HJwFe1CcGWWed7Jnvkr66TBx8ZCzwJeoc0EsAHR&#10;e53N8nyRDRaEA8ul9+i9Hx/pOuE3jeThY9N4GYiuKNYW0gnprOOZrW9Y2QJzneLHMtg/VNEzZTDp&#10;CeqeBUZ2oC6gesXBetuEK277zDaN4jL1gN0U+V/dPHbMydQLkuPdiSb//2D5h/2j+wSxdO8eLP/h&#10;ibGbjplW3gHYoZNMYLoiEpUNzpengHjxGErq4b0VOFq2CzZxcGigJ41W7lsMjNDYJzkk0p9OpMtD&#10;IBydi/liucrnlHB8K66Xy1fzNJaMlREohjvw4a20PYlGRcHujPiMo03YbP/gQ6JeEMP6WIj4TknT&#10;axzknmlS5MX8OtXPyuPHiD1hps6tVmKrtE4XaOuNBoKhFX25XRWv71Meveuxz9E9m+f5cXfQjRs2&#10;upeTG/H9CIOsoX2Orw0ZsNHZEhEuk8e9l6f0dTvyd5475pgISjKJn1+mSSSl7Y4jfGNEsgNTerSx&#10;LG1ifplUghxOE45DjfrxZTjUB/RGs7biCWcNdlQQKh6NzsIvSgZUT0X9zx0DSYl+Z3BfotQmAyaj&#10;ngxmOIZWlAegZLxswijKnQPVdog9Nm7sHW5Vo07FjXUcdxE1kRo/6jeK7vyevvrzl1n/BgAA//8D&#10;AFBLAwQUAAYACAAAACEAHwOWJN4AAAALAQAADwAAAGRycy9kb3ducmV2LnhtbEyPwU7DMBBE70j8&#10;g7VI3Fq7iSA0xKkqJJDKrQHuTrwkKfE6sp0m/D3uiR53djTzptgtZmBndL63JGGzFsCQGqt7aiV8&#10;fryunoD5oEirwRJK+EUPu/L2plC5tjMd8VyFlsUQ8rmS0IUw5pz7pkOj/NqOSPH3bZ1RIZ6u5dqp&#10;OYabgSdCPHKjeooNnRrxpcPmp5qMhK/sQOmM1f5dHbZTdXyrTyftpLy/W/bPwAIu4d8MF/yIDmVk&#10;qu1E2rNBwmqTRvQgIUkyYBeDSMQDsDoq6TYDXhb8ekP5BwAA//8DAFBLAQItABQABgAIAAAAIQC2&#10;gziS/gAAAOEBAAATAAAAAAAAAAAAAAAAAAAAAABbQ29udGVudF9UeXBlc10ueG1sUEsBAi0AFAAG&#10;AAgAAAAhADj9If/WAAAAlAEAAAsAAAAAAAAAAAAAAAAALwEAAF9yZWxzLy5yZWxzUEsBAi0AFAAG&#10;AAgAAAAhAIxFRT5UAgAArQQAAA4AAAAAAAAAAAAAAAAALgIAAGRycy9lMm9Eb2MueG1sUEsBAi0A&#10;FAAGAAgAAAAhAB8DliTeAAAACwEAAA8AAAAAAAAAAAAAAAAArgQAAGRycy9kb3ducmV2LnhtbFBL&#10;BQYAAAAABAAEAPMAAAC5BQAAAAA=&#10;" o:allowincell="f" o:allowoverlap="f" fillcolor="#d3dfef" strokecolor="#7f7f7f [1612]" strokeweight="1pt">
                <v:shadow type="perspective" color="#2f5496 [2408]" origin=",.5" offset="0,-123pt" matrix=",,,-1"/>
                <v:textbox inset="0,0,0,0">
                  <w:txbxContent>
                    <w:p w14:paraId="2D811963" w14:textId="1E22E003" w:rsidR="00A34F03" w:rsidRDefault="00000000" w:rsidP="00C87BC0">
                      <w:pPr>
                        <w:pStyle w:val="ListParagraph"/>
                        <w:numPr>
                          <w:ilvl w:val="0"/>
                          <w:numId w:val="1"/>
                        </w:numPr>
                        <w:spacing w:after="0" w:line="240" w:lineRule="auto"/>
                        <w:ind w:left="450"/>
                        <w:contextualSpacing w:val="0"/>
                        <w:jc w:val="both"/>
                        <w:rPr>
                          <w:sz w:val="18"/>
                        </w:rPr>
                      </w:pPr>
                      <w:r>
                        <w:fldChar w:fldCharType="begin"/>
                      </w:r>
                      <w:r>
                        <w:instrText>HYPERLINK "https://oese.ed.gov/files/2023/05/Title-I-ES-guidance-revised-5-2023.pdf"</w:instrText>
                      </w:r>
                      <w:r>
                        <w:fldChar w:fldCharType="separate"/>
                      </w:r>
                      <w:r w:rsidR="00A34F03" w:rsidRPr="00AD33C3">
                        <w:rPr>
                          <w:rStyle w:val="Hyperlink"/>
                          <w:rFonts w:cstheme="minorBidi"/>
                          <w:sz w:val="18"/>
                        </w:rPr>
                        <w:t>Non-Regulatory Guidance:</w:t>
                      </w:r>
                      <w:r w:rsidR="00E948CC" w:rsidRPr="00AD33C3">
                        <w:rPr>
                          <w:rStyle w:val="Hyperlink"/>
                          <w:rFonts w:cstheme="minorBidi"/>
                          <w:sz w:val="18"/>
                        </w:rPr>
                        <w:t xml:space="preserve"> </w:t>
                      </w:r>
                      <w:r w:rsidR="00A34F03" w:rsidRPr="00AD33C3">
                        <w:rPr>
                          <w:rStyle w:val="Hyperlink"/>
                          <w:rFonts w:cstheme="minorBidi"/>
                          <w:sz w:val="18"/>
                        </w:rPr>
                        <w:t xml:space="preserve">Title I, Part A of the Elementary and Secondary Education Act of 1965, as Amended by </w:t>
                      </w:r>
                      <w:proofErr w:type="gramStart"/>
                      <w:r w:rsidR="00A34F03" w:rsidRPr="00AD33C3">
                        <w:rPr>
                          <w:rStyle w:val="Hyperlink"/>
                          <w:rFonts w:cstheme="minorBidi"/>
                          <w:sz w:val="18"/>
                        </w:rPr>
                        <w:t>the Every</w:t>
                      </w:r>
                      <w:proofErr w:type="gramEnd"/>
                      <w:r w:rsidR="00A34F03" w:rsidRPr="00AD33C3">
                        <w:rPr>
                          <w:rStyle w:val="Hyperlink"/>
                          <w:rFonts w:cstheme="minorBidi"/>
                          <w:sz w:val="18"/>
                        </w:rPr>
                        <w:t xml:space="preserve"> Student Succeeds Act:</w:t>
                      </w:r>
                      <w:r w:rsidR="00E948CC" w:rsidRPr="00AD33C3">
                        <w:rPr>
                          <w:rStyle w:val="Hyperlink"/>
                          <w:rFonts w:cstheme="minorBidi"/>
                          <w:sz w:val="18"/>
                        </w:rPr>
                        <w:t xml:space="preserve"> </w:t>
                      </w:r>
                      <w:r w:rsidR="00A34F03" w:rsidRPr="00AD33C3">
                        <w:rPr>
                          <w:rStyle w:val="Hyperlink"/>
                          <w:rFonts w:cstheme="minorBidi"/>
                          <w:sz w:val="18"/>
                        </w:rPr>
                        <w:t>Providing Equitable Services to Eligible Private School Children, Teachers and Families, Updated Non-Regulatory Guidance</w:t>
                      </w:r>
                      <w:r>
                        <w:rPr>
                          <w:rStyle w:val="Hyperlink"/>
                          <w:rFonts w:cstheme="minorBidi"/>
                          <w:sz w:val="18"/>
                        </w:rPr>
                        <w:fldChar w:fldCharType="end"/>
                      </w:r>
                      <w:r w:rsidR="00A34F03">
                        <w:rPr>
                          <w:sz w:val="18"/>
                        </w:rPr>
                        <w:t xml:space="preserve"> (USED) (October 7, 2019</w:t>
                      </w:r>
                      <w:r w:rsidR="004118EC">
                        <w:rPr>
                          <w:sz w:val="18"/>
                        </w:rPr>
                        <w:t>, Updated May 17, 2023</w:t>
                      </w:r>
                      <w:r w:rsidR="00A34F03">
                        <w:rPr>
                          <w:sz w:val="18"/>
                        </w:rPr>
                        <w:t>).</w:t>
                      </w:r>
                    </w:p>
                    <w:p w14:paraId="2F006DC3" w14:textId="4C01C241" w:rsidR="00AD33C3" w:rsidRDefault="00000000" w:rsidP="00C87BC0">
                      <w:pPr>
                        <w:pStyle w:val="ListParagraph"/>
                        <w:numPr>
                          <w:ilvl w:val="0"/>
                          <w:numId w:val="1"/>
                        </w:numPr>
                        <w:spacing w:after="0" w:line="240" w:lineRule="auto"/>
                        <w:ind w:left="450"/>
                        <w:contextualSpacing w:val="0"/>
                        <w:jc w:val="both"/>
                        <w:rPr>
                          <w:sz w:val="18"/>
                        </w:rPr>
                      </w:pPr>
                      <w:hyperlink r:id="rId16" w:history="1">
                        <w:r w:rsidR="00AD33C3" w:rsidRPr="00AD33C3">
                          <w:rPr>
                            <w:rStyle w:val="Hyperlink"/>
                            <w:rFonts w:cstheme="minorBidi"/>
                            <w:sz w:val="18"/>
                          </w:rPr>
                          <w:t>Non-Regulatory Guidance: Title VIII, Part F of the Elementary and Secondary Education Act of 1965: Equitable Services for Eligible Private School Children, Teachers, and Other Educational Personnel</w:t>
                        </w:r>
                      </w:hyperlink>
                      <w:r w:rsidR="00AD33C3">
                        <w:rPr>
                          <w:sz w:val="18"/>
                        </w:rPr>
                        <w:t xml:space="preserve"> (Titles IIA, IIIA, IVA, and IVB) (USED) (July 17, 2023)</w:t>
                      </w:r>
                    </w:p>
                    <w:p w14:paraId="4CB7A7BB" w14:textId="77777777" w:rsidR="00A34F03" w:rsidRPr="00171C9F" w:rsidRDefault="00000000" w:rsidP="00C87BC0">
                      <w:pPr>
                        <w:pStyle w:val="ListParagraph"/>
                        <w:numPr>
                          <w:ilvl w:val="0"/>
                          <w:numId w:val="1"/>
                        </w:numPr>
                        <w:spacing w:after="0" w:line="240" w:lineRule="auto"/>
                        <w:ind w:left="450"/>
                        <w:contextualSpacing w:val="0"/>
                        <w:jc w:val="both"/>
                        <w:rPr>
                          <w:rStyle w:val="Hyperlink"/>
                          <w:rFonts w:cstheme="minorBidi"/>
                          <w:color w:val="auto"/>
                          <w:sz w:val="18"/>
                          <w:u w:val="none"/>
                        </w:rPr>
                      </w:pPr>
                      <w:hyperlink r:id="rId17" w:history="1">
                        <w:r w:rsidR="00A34F03" w:rsidRPr="00C0772B">
                          <w:rPr>
                            <w:rStyle w:val="Hyperlink"/>
                            <w:sz w:val="18"/>
                          </w:rPr>
                          <w:t xml:space="preserve">Non-Regulatory Guidance: Fiscal Changes and Equitable Services Requirement under the Elementary and Secondary Education Act of 1965 (ESEA), as amended by </w:t>
                        </w:r>
                        <w:proofErr w:type="gramStart"/>
                        <w:r w:rsidR="00A34F03" w:rsidRPr="00C0772B">
                          <w:rPr>
                            <w:rStyle w:val="Hyperlink"/>
                            <w:sz w:val="18"/>
                          </w:rPr>
                          <w:t>the Every</w:t>
                        </w:r>
                        <w:proofErr w:type="gramEnd"/>
                        <w:r w:rsidR="00A34F03" w:rsidRPr="00C0772B">
                          <w:rPr>
                            <w:rStyle w:val="Hyperlink"/>
                            <w:sz w:val="18"/>
                          </w:rPr>
                          <w:t xml:space="preserve"> Student Succeeds Act (ESSA)</w:t>
                        </w:r>
                      </w:hyperlink>
                      <w:r w:rsidR="00A34F03" w:rsidRPr="00C0772B">
                        <w:rPr>
                          <w:rStyle w:val="Hyperlink"/>
                          <w:color w:val="auto"/>
                          <w:sz w:val="18"/>
                          <w:u w:val="none"/>
                        </w:rPr>
                        <w:t xml:space="preserve"> (USED) (2016) (partly superseded by 2019 guidance).</w:t>
                      </w:r>
                    </w:p>
                    <w:p w14:paraId="3CAA96B0" w14:textId="77777777" w:rsidR="00A34F03" w:rsidRDefault="00000000" w:rsidP="00C87BC0">
                      <w:pPr>
                        <w:pStyle w:val="ListParagraph"/>
                        <w:numPr>
                          <w:ilvl w:val="0"/>
                          <w:numId w:val="1"/>
                        </w:numPr>
                        <w:spacing w:after="0" w:line="240" w:lineRule="auto"/>
                        <w:ind w:left="450"/>
                        <w:contextualSpacing w:val="0"/>
                        <w:jc w:val="both"/>
                        <w:rPr>
                          <w:sz w:val="18"/>
                        </w:rPr>
                      </w:pPr>
                      <w:hyperlink r:id="rId18" w:history="1">
                        <w:r w:rsidR="00A34F03" w:rsidRPr="00B039CF">
                          <w:rPr>
                            <w:rStyle w:val="Hyperlink"/>
                            <w:rFonts w:cstheme="minorBidi"/>
                            <w:sz w:val="18"/>
                          </w:rPr>
                          <w:t>Suggested Timelines Related to Private School Equitable Services Under ESSA</w:t>
                        </w:r>
                      </w:hyperlink>
                      <w:r w:rsidR="00A34F03">
                        <w:rPr>
                          <w:sz w:val="18"/>
                        </w:rPr>
                        <w:t xml:space="preserve"> (DESE).</w:t>
                      </w:r>
                    </w:p>
                    <w:p w14:paraId="7763AB09" w14:textId="77777777" w:rsidR="00A34F03" w:rsidRDefault="00A34F03" w:rsidP="00171C9F">
                      <w:pPr>
                        <w:pStyle w:val="ListParagraph"/>
                        <w:numPr>
                          <w:ilvl w:val="0"/>
                          <w:numId w:val="1"/>
                        </w:numPr>
                        <w:spacing w:after="0" w:line="240" w:lineRule="auto"/>
                        <w:ind w:left="450"/>
                        <w:contextualSpacing w:val="0"/>
                        <w:jc w:val="both"/>
                        <w:rPr>
                          <w:sz w:val="18"/>
                        </w:rPr>
                      </w:pPr>
                      <w:r>
                        <w:rPr>
                          <w:sz w:val="18"/>
                        </w:rPr>
                        <w:t xml:space="preserve">Relevant </w:t>
                      </w:r>
                      <w:hyperlink r:id="rId19" w:history="1">
                        <w:r w:rsidRPr="00B039CF">
                          <w:rPr>
                            <w:rStyle w:val="Hyperlink"/>
                            <w:rFonts w:cstheme="minorBidi"/>
                            <w:sz w:val="18"/>
                          </w:rPr>
                          <w:t>ESSA statutory sections §1117 (Title I) &amp; §8501 (Titles II, III, &amp; IV).</w:t>
                        </w:r>
                      </w:hyperlink>
                    </w:p>
                    <w:p w14:paraId="45A574F3" w14:textId="77777777" w:rsidR="00A34F03" w:rsidRPr="00171C9F" w:rsidRDefault="00A34F03" w:rsidP="00171C9F">
                      <w:pPr>
                        <w:spacing w:after="0" w:line="240" w:lineRule="auto"/>
                        <w:jc w:val="both"/>
                        <w:rPr>
                          <w:sz w:val="18"/>
                        </w:rPr>
                      </w:pPr>
                    </w:p>
                  </w:txbxContent>
                </v:textbox>
                <w10:wrap type="tight" side="left" anchorx="margin"/>
              </v:roundrect>
            </w:pict>
          </mc:Fallback>
        </mc:AlternateContent>
      </w:r>
    </w:p>
    <w:p w14:paraId="6832C7D0" w14:textId="3638999F" w:rsidR="007F5C92" w:rsidRPr="0001646F" w:rsidRDefault="001514FB" w:rsidP="00295A4A">
      <w:pPr>
        <w:autoSpaceDE w:val="0"/>
        <w:autoSpaceDN w:val="0"/>
        <w:adjustRightInd w:val="0"/>
        <w:spacing w:after="0" w:line="240" w:lineRule="auto"/>
        <w:ind w:left="-180"/>
        <w:rPr>
          <w:rFonts w:ascii="Calibri" w:eastAsia="SimSun" w:hAnsi="Calibri" w:cs="Times New Roman"/>
          <w:b/>
          <w:color w:val="000000"/>
          <w:sz w:val="6"/>
          <w:szCs w:val="6"/>
        </w:rPr>
      </w:pPr>
      <w:r w:rsidRPr="00AC66A8">
        <w:rPr>
          <w:rFonts w:ascii="Calibri" w:eastAsia="SimSun" w:hAnsi="Calibri" w:cs="Times New Roman"/>
          <w:b/>
          <w:color w:val="000000"/>
          <w:sz w:val="28"/>
          <w:szCs w:val="28"/>
        </w:rPr>
        <w:t>Private School Services:  Step-by-Step</w:t>
      </w:r>
    </w:p>
    <w:tbl>
      <w:tblPr>
        <w:tblStyle w:val="GridTable5Dark-Accent61"/>
        <w:tblpPr w:leftFromText="180" w:rightFromText="180" w:vertAnchor="text" w:horzAnchor="margin" w:tblpX="-280" w:tblpY="106"/>
        <w:tblOverlap w:val="never"/>
        <w:tblW w:w="10885" w:type="dxa"/>
        <w:tblLayout w:type="fixed"/>
        <w:tblLook w:val="04A0" w:firstRow="1" w:lastRow="0" w:firstColumn="1" w:lastColumn="0" w:noHBand="0" w:noVBand="1"/>
        <w:tblDescription w:val="private school services step by step"/>
      </w:tblPr>
      <w:tblGrid>
        <w:gridCol w:w="625"/>
        <w:gridCol w:w="1620"/>
        <w:gridCol w:w="8640"/>
      </w:tblGrid>
      <w:tr w:rsidR="00AD10B8" w:rsidRPr="00AC66A8" w14:paraId="47E3C589" w14:textId="77777777" w:rsidTr="001511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833C0B" w:themeColor="accent2" w:themeShade="80"/>
              <w:left w:val="single" w:sz="4" w:space="0" w:color="833C0B" w:themeColor="accent2" w:themeShade="80"/>
            </w:tcBorders>
          </w:tcPr>
          <w:p w14:paraId="241F8B63" w14:textId="77777777" w:rsidR="00AD10B8" w:rsidRPr="00AC66A8" w:rsidRDefault="00AD10B8" w:rsidP="0015117E">
            <w:pPr>
              <w:autoSpaceDE w:val="0"/>
              <w:autoSpaceDN w:val="0"/>
              <w:adjustRightInd w:val="0"/>
              <w:ind w:left="-20"/>
              <w:rPr>
                <w:rFonts w:ascii="Calibri" w:hAnsi="Calibri" w:cs="Times New Roman"/>
                <w:color w:val="000000"/>
                <w:sz w:val="21"/>
                <w:szCs w:val="21"/>
              </w:rPr>
            </w:pPr>
            <w:r w:rsidRPr="00AC66A8">
              <w:rPr>
                <w:rFonts w:ascii="Calibri" w:hAnsi="Calibri" w:cs="Times New Roman"/>
                <w:color w:val="000000"/>
                <w:sz w:val="21"/>
                <w:szCs w:val="21"/>
              </w:rPr>
              <w:t>Step</w:t>
            </w:r>
          </w:p>
        </w:tc>
        <w:tc>
          <w:tcPr>
            <w:tcW w:w="1620" w:type="dxa"/>
            <w:tcBorders>
              <w:top w:val="single" w:sz="4" w:space="0" w:color="833C0B" w:themeColor="accent2" w:themeShade="80"/>
            </w:tcBorders>
          </w:tcPr>
          <w:p w14:paraId="69332B6E" w14:textId="77777777" w:rsidR="00AD10B8" w:rsidRPr="00AC66A8" w:rsidRDefault="00AD10B8" w:rsidP="0015117E">
            <w:pPr>
              <w:autoSpaceDE w:val="0"/>
              <w:autoSpaceDN w:val="0"/>
              <w:adjustRightInd w:val="0"/>
              <w:ind w:left="-2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21"/>
                <w:szCs w:val="21"/>
              </w:rPr>
            </w:pPr>
            <w:r w:rsidRPr="00AC66A8">
              <w:rPr>
                <w:rFonts w:ascii="Calibri" w:hAnsi="Calibri" w:cs="Times New Roman"/>
                <w:color w:val="000000"/>
                <w:sz w:val="21"/>
                <w:szCs w:val="21"/>
              </w:rPr>
              <w:t>Action</w:t>
            </w:r>
          </w:p>
        </w:tc>
        <w:tc>
          <w:tcPr>
            <w:tcW w:w="8640" w:type="dxa"/>
            <w:tcBorders>
              <w:top w:val="single" w:sz="4" w:space="0" w:color="833C0B" w:themeColor="accent2" w:themeShade="80"/>
              <w:right w:val="single" w:sz="4" w:space="0" w:color="833C0B" w:themeColor="accent2" w:themeShade="80"/>
            </w:tcBorders>
          </w:tcPr>
          <w:p w14:paraId="6B160C53" w14:textId="77777777" w:rsidR="00AD10B8" w:rsidRPr="00295A4A" w:rsidRDefault="00AD10B8" w:rsidP="0015117E">
            <w:pPr>
              <w:autoSpaceDE w:val="0"/>
              <w:autoSpaceDN w:val="0"/>
              <w:adjustRightInd w:val="0"/>
              <w:ind w:left="-2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18"/>
                <w:szCs w:val="18"/>
              </w:rPr>
            </w:pPr>
            <w:r w:rsidRPr="00295A4A">
              <w:rPr>
                <w:rFonts w:ascii="Calibri" w:hAnsi="Calibri" w:cs="Times New Roman"/>
                <w:color w:val="000000"/>
                <w:sz w:val="18"/>
                <w:szCs w:val="18"/>
              </w:rPr>
              <w:t>Description</w:t>
            </w:r>
          </w:p>
        </w:tc>
      </w:tr>
      <w:tr w:rsidR="00AD10B8" w:rsidRPr="00057EA2" w14:paraId="7B5774A1" w14:textId="77777777" w:rsidTr="001511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FFFFFF"/>
              <w:left w:val="single" w:sz="4" w:space="0" w:color="833C0B" w:themeColor="accent2" w:themeShade="80"/>
            </w:tcBorders>
          </w:tcPr>
          <w:p w14:paraId="081DFC81" w14:textId="77777777" w:rsidR="00AD10B8" w:rsidRPr="00AC66A8" w:rsidRDefault="00AD10B8" w:rsidP="0015117E">
            <w:pPr>
              <w:autoSpaceDE w:val="0"/>
              <w:autoSpaceDN w:val="0"/>
              <w:adjustRightInd w:val="0"/>
              <w:ind w:left="-20" w:right="28"/>
              <w:rPr>
                <w:rFonts w:ascii="Calibri" w:hAnsi="Calibri" w:cs="Times New Roman"/>
                <w:color w:val="000000"/>
                <w:sz w:val="21"/>
                <w:szCs w:val="21"/>
              </w:rPr>
            </w:pPr>
            <w:r w:rsidRPr="00AC66A8">
              <w:rPr>
                <w:rFonts w:ascii="Calibri" w:hAnsi="Calibri" w:cs="Times New Roman"/>
                <w:color w:val="000000"/>
                <w:sz w:val="21"/>
                <w:szCs w:val="21"/>
              </w:rPr>
              <w:t>1</w:t>
            </w:r>
          </w:p>
        </w:tc>
        <w:tc>
          <w:tcPr>
            <w:tcW w:w="1620" w:type="dxa"/>
            <w:tcBorders>
              <w:top w:val="single" w:sz="4" w:space="0" w:color="FFFFFF"/>
              <w:right w:val="single" w:sz="4" w:space="0" w:color="FFFFFF" w:themeColor="background1"/>
            </w:tcBorders>
            <w:shd w:val="clear" w:color="auto" w:fill="FBD4B4"/>
          </w:tcPr>
          <w:p w14:paraId="016C8B47" w14:textId="77777777" w:rsidR="00AD10B8" w:rsidRPr="00AC66A8" w:rsidRDefault="00AD10B8" w:rsidP="0015117E">
            <w:pPr>
              <w:autoSpaceDE w:val="0"/>
              <w:autoSpaceDN w:val="0"/>
              <w:adjustRightInd w:val="0"/>
              <w:ind w:left="-20"/>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20"/>
                <w:szCs w:val="20"/>
              </w:rPr>
            </w:pPr>
            <w:r w:rsidRPr="00AC66A8">
              <w:rPr>
                <w:rFonts w:ascii="Calibri" w:hAnsi="Calibri" w:cs="Times New Roman"/>
                <w:color w:val="000000"/>
                <w:sz w:val="20"/>
                <w:szCs w:val="20"/>
              </w:rPr>
              <w:t>Identifying private schools with eligible students</w:t>
            </w:r>
          </w:p>
          <w:p w14:paraId="3C27CEED" w14:textId="77777777" w:rsidR="00AD10B8" w:rsidRPr="00AC66A8" w:rsidRDefault="00AD10B8" w:rsidP="0015117E">
            <w:pPr>
              <w:autoSpaceDE w:val="0"/>
              <w:autoSpaceDN w:val="0"/>
              <w:adjustRightInd w:val="0"/>
              <w:ind w:left="-20"/>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20"/>
                <w:szCs w:val="20"/>
              </w:rPr>
            </w:pPr>
          </w:p>
        </w:tc>
        <w:tc>
          <w:tcPr>
            <w:tcW w:w="8640" w:type="dxa"/>
            <w:tcBorders>
              <w:top w:val="single" w:sz="4" w:space="0" w:color="FFFFFF"/>
              <w:left w:val="single" w:sz="4" w:space="0" w:color="FFFFFF" w:themeColor="background1"/>
              <w:right w:val="single" w:sz="4" w:space="0" w:color="833C0B" w:themeColor="accent2" w:themeShade="80"/>
            </w:tcBorders>
            <w:shd w:val="clear" w:color="auto" w:fill="FBD4B4"/>
          </w:tcPr>
          <w:p w14:paraId="5E3A3369" w14:textId="77777777" w:rsidR="00AD10B8" w:rsidRPr="00295A4A" w:rsidRDefault="00AD10B8" w:rsidP="0015117E">
            <w:pPr>
              <w:autoSpaceDE w:val="0"/>
              <w:autoSpaceDN w:val="0"/>
              <w:adjustRightInd w:val="0"/>
              <w:ind w:left="-20"/>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18"/>
                <w:szCs w:val="18"/>
              </w:rPr>
            </w:pPr>
            <w:r w:rsidRPr="00295A4A">
              <w:rPr>
                <w:rFonts w:ascii="Calibri" w:hAnsi="Calibri" w:cs="Times New Roman"/>
                <w:color w:val="000000"/>
                <w:sz w:val="18"/>
                <w:szCs w:val="18"/>
              </w:rPr>
              <w:t xml:space="preserve">For Title I: </w:t>
            </w:r>
          </w:p>
          <w:p w14:paraId="79D33C3A" w14:textId="5AD46CC2" w:rsidR="00AD10B8" w:rsidRPr="00295A4A" w:rsidRDefault="00AD10B8" w:rsidP="0015117E">
            <w:pPr>
              <w:pStyle w:val="ListParagraph"/>
              <w:numPr>
                <w:ilvl w:val="0"/>
                <w:numId w:val="4"/>
              </w:numPr>
              <w:autoSpaceDE w:val="0"/>
              <w:autoSpaceDN w:val="0"/>
              <w:adjustRightInd w:val="0"/>
              <w:spacing w:after="0" w:line="240" w:lineRule="auto"/>
              <w:ind w:left="428"/>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r w:rsidRPr="00295A4A">
              <w:rPr>
                <w:rFonts w:ascii="Calibri" w:hAnsi="Calibri" w:cs="Times New Roman"/>
                <w:b w:val="0"/>
                <w:color w:val="000000"/>
                <w:sz w:val="18"/>
                <w:szCs w:val="18"/>
              </w:rPr>
              <w:t>Identify nonprofit private school students residing in the district who would have attended a Title-I-served school</w:t>
            </w:r>
            <w:r w:rsidR="0015117E">
              <w:rPr>
                <w:rFonts w:ascii="Calibri" w:hAnsi="Calibri" w:cs="Times New Roman"/>
                <w:b w:val="0"/>
                <w:color w:val="000000"/>
                <w:sz w:val="18"/>
                <w:szCs w:val="18"/>
              </w:rPr>
              <w:t xml:space="preserve"> (Title I eligible resident students)</w:t>
            </w:r>
            <w:r w:rsidRPr="00295A4A">
              <w:rPr>
                <w:rFonts w:ascii="Calibri" w:hAnsi="Calibri" w:cs="Times New Roman"/>
                <w:b w:val="0"/>
                <w:color w:val="000000"/>
                <w:sz w:val="18"/>
                <w:szCs w:val="18"/>
              </w:rPr>
              <w:t xml:space="preserve">. </w:t>
            </w:r>
          </w:p>
          <w:p w14:paraId="37BA6B4A" w14:textId="3901A81C" w:rsidR="00AD10B8" w:rsidRPr="00295A4A" w:rsidRDefault="00AD10B8" w:rsidP="0015117E">
            <w:pPr>
              <w:pStyle w:val="ListParagraph"/>
              <w:numPr>
                <w:ilvl w:val="0"/>
                <w:numId w:val="4"/>
              </w:numPr>
              <w:autoSpaceDE w:val="0"/>
              <w:autoSpaceDN w:val="0"/>
              <w:adjustRightInd w:val="0"/>
              <w:spacing w:after="0" w:line="240" w:lineRule="auto"/>
              <w:ind w:left="428"/>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r w:rsidRPr="00295A4A">
              <w:rPr>
                <w:rFonts w:ascii="Calibri" w:hAnsi="Calibri" w:cs="Times New Roman"/>
                <w:b w:val="0"/>
                <w:color w:val="000000"/>
                <w:sz w:val="18"/>
                <w:szCs w:val="18"/>
              </w:rPr>
              <w:t xml:space="preserve">To generate the amount of Title I funds, work with private schools officials to determine which </w:t>
            </w:r>
            <w:r w:rsidR="0015117E">
              <w:rPr>
                <w:rFonts w:ascii="Calibri" w:hAnsi="Calibri" w:cs="Times New Roman"/>
                <w:b w:val="0"/>
                <w:color w:val="000000"/>
                <w:sz w:val="18"/>
                <w:szCs w:val="18"/>
              </w:rPr>
              <w:t>of the Title I eligible resident students</w:t>
            </w:r>
            <w:r w:rsidR="0015117E" w:rsidRPr="00295A4A">
              <w:rPr>
                <w:rFonts w:ascii="Calibri" w:hAnsi="Calibri" w:cs="Times New Roman"/>
                <w:b w:val="0"/>
                <w:color w:val="000000"/>
                <w:sz w:val="18"/>
                <w:szCs w:val="18"/>
              </w:rPr>
              <w:t xml:space="preserve"> </w:t>
            </w:r>
            <w:r w:rsidRPr="00295A4A">
              <w:rPr>
                <w:rFonts w:ascii="Calibri" w:hAnsi="Calibri" w:cs="Times New Roman"/>
                <w:b w:val="0"/>
                <w:color w:val="000000"/>
                <w:sz w:val="18"/>
                <w:szCs w:val="18"/>
              </w:rPr>
              <w:t xml:space="preserve">are from low-income families (see </w:t>
            </w:r>
            <w:hyperlink r:id="rId20" w:history="1">
              <w:r w:rsidRPr="00295A4A">
                <w:rPr>
                  <w:rFonts w:ascii="Calibri" w:hAnsi="Calibri" w:cs="Times New Roman"/>
                  <w:b w:val="0"/>
                  <w:color w:val="0000FF"/>
                  <w:sz w:val="18"/>
                  <w:szCs w:val="18"/>
                  <w:u w:val="single"/>
                </w:rPr>
                <w:t>DESE guidance</w:t>
              </w:r>
            </w:hyperlink>
            <w:r w:rsidRPr="00295A4A">
              <w:rPr>
                <w:rFonts w:ascii="Calibri" w:hAnsi="Calibri" w:cs="Times New Roman"/>
                <w:b w:val="0"/>
                <w:color w:val="000000"/>
                <w:sz w:val="18"/>
                <w:szCs w:val="18"/>
              </w:rPr>
              <w:t xml:space="preserve"> for collecting this poverty data).</w:t>
            </w:r>
          </w:p>
          <w:p w14:paraId="05B2D738" w14:textId="38802E35" w:rsidR="00AD10B8" w:rsidRPr="001B2EDC" w:rsidRDefault="00AD10B8" w:rsidP="0015117E">
            <w:pPr>
              <w:pStyle w:val="ListParagraph"/>
              <w:numPr>
                <w:ilvl w:val="0"/>
                <w:numId w:val="4"/>
              </w:numPr>
              <w:autoSpaceDE w:val="0"/>
              <w:autoSpaceDN w:val="0"/>
              <w:adjustRightInd w:val="0"/>
              <w:spacing w:after="0" w:line="240" w:lineRule="auto"/>
              <w:ind w:left="428"/>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r w:rsidRPr="00295A4A">
              <w:rPr>
                <w:rFonts w:ascii="Calibri" w:hAnsi="Calibri" w:cs="Times New Roman"/>
                <w:b w:val="0"/>
                <w:color w:val="000000"/>
                <w:sz w:val="18"/>
                <w:szCs w:val="18"/>
              </w:rPr>
              <w:t>Then,</w:t>
            </w:r>
            <w:r w:rsidR="0015117E">
              <w:rPr>
                <w:rFonts w:ascii="Calibri" w:hAnsi="Calibri" w:cs="Times New Roman"/>
                <w:b w:val="0"/>
                <w:color w:val="000000"/>
                <w:sz w:val="18"/>
                <w:szCs w:val="18"/>
              </w:rPr>
              <w:t xml:space="preserve"> identify low-achieving students</w:t>
            </w:r>
            <w:r w:rsidRPr="00295A4A">
              <w:rPr>
                <w:rFonts w:ascii="Calibri" w:hAnsi="Calibri" w:cs="Times New Roman"/>
                <w:b w:val="0"/>
                <w:color w:val="000000"/>
                <w:sz w:val="18"/>
                <w:szCs w:val="18"/>
              </w:rPr>
              <w:t xml:space="preserve"> from</w:t>
            </w:r>
            <w:r w:rsidR="0015117E">
              <w:rPr>
                <w:rFonts w:ascii="Calibri" w:hAnsi="Calibri" w:cs="Times New Roman"/>
                <w:b w:val="0"/>
                <w:color w:val="000000"/>
                <w:sz w:val="18"/>
                <w:szCs w:val="18"/>
              </w:rPr>
              <w:t xml:space="preserve"> Title I eligible resident students – these students are eligible for services</w:t>
            </w:r>
            <w:r w:rsidRPr="00295A4A">
              <w:rPr>
                <w:rFonts w:ascii="Calibri" w:hAnsi="Calibri" w:cs="Times New Roman"/>
                <w:b w:val="0"/>
                <w:color w:val="000000"/>
                <w:sz w:val="18"/>
                <w:szCs w:val="18"/>
              </w:rPr>
              <w:t xml:space="preserve">. </w:t>
            </w:r>
            <w:r w:rsidR="0015117E">
              <w:rPr>
                <w:rFonts w:ascii="Calibri" w:hAnsi="Calibri" w:cs="Calibri"/>
                <w:b w:val="0"/>
                <w:color w:val="000000"/>
                <w:sz w:val="18"/>
                <w:szCs w:val="18"/>
              </w:rPr>
              <w:t xml:space="preserve">Any </w:t>
            </w:r>
            <w:r w:rsidR="0015117E">
              <w:rPr>
                <w:rFonts w:ascii="Calibri" w:hAnsi="Calibri" w:cs="Times New Roman"/>
                <w:b w:val="0"/>
                <w:color w:val="000000"/>
                <w:sz w:val="18"/>
                <w:szCs w:val="18"/>
              </w:rPr>
              <w:t>Title I eligible resident student</w:t>
            </w:r>
            <w:r w:rsidR="0015117E" w:rsidRPr="00295A4A">
              <w:rPr>
                <w:rFonts w:ascii="Calibri" w:hAnsi="Calibri" w:cs="Calibri"/>
                <w:b w:val="0"/>
                <w:color w:val="000000"/>
                <w:sz w:val="18"/>
                <w:szCs w:val="18"/>
              </w:rPr>
              <w:t xml:space="preserve"> </w:t>
            </w:r>
            <w:r w:rsidR="0015117E">
              <w:rPr>
                <w:rFonts w:ascii="Calibri" w:hAnsi="Calibri" w:cs="Calibri"/>
                <w:b w:val="0"/>
                <w:color w:val="000000"/>
                <w:sz w:val="18"/>
                <w:szCs w:val="18"/>
              </w:rPr>
              <w:t>may</w:t>
            </w:r>
            <w:r w:rsidRPr="00295A4A">
              <w:rPr>
                <w:rFonts w:ascii="Calibri" w:hAnsi="Calibri" w:cs="Calibri"/>
                <w:b w:val="0"/>
                <w:color w:val="000000"/>
                <w:sz w:val="18"/>
                <w:szCs w:val="18"/>
              </w:rPr>
              <w:t xml:space="preserve"> receive services</w:t>
            </w:r>
            <w:r w:rsidR="00321A55">
              <w:rPr>
                <w:rFonts w:ascii="Calibri" w:hAnsi="Calibri" w:cs="Calibri"/>
                <w:b w:val="0"/>
                <w:color w:val="000000"/>
                <w:sz w:val="18"/>
                <w:szCs w:val="18"/>
              </w:rPr>
              <w:t>,</w:t>
            </w:r>
            <w:r w:rsidR="0015117E">
              <w:rPr>
                <w:rFonts w:ascii="Calibri" w:hAnsi="Calibri" w:cs="Calibri"/>
                <w:b w:val="0"/>
                <w:color w:val="000000"/>
                <w:sz w:val="18"/>
                <w:szCs w:val="18"/>
              </w:rPr>
              <w:t xml:space="preserve"> based on need</w:t>
            </w:r>
            <w:r w:rsidRPr="00295A4A">
              <w:rPr>
                <w:rFonts w:ascii="Calibri" w:hAnsi="Calibri" w:cs="Calibri"/>
                <w:b w:val="0"/>
                <w:color w:val="000000"/>
                <w:sz w:val="18"/>
                <w:szCs w:val="18"/>
              </w:rPr>
              <w:t>, which will be determined through consultation between/among the private school and district officials.</w:t>
            </w:r>
            <w:r w:rsidR="00321A55">
              <w:rPr>
                <w:rFonts w:ascii="Calibri" w:hAnsi="Calibri" w:cs="Calibri"/>
                <w:b w:val="0"/>
                <w:color w:val="000000"/>
                <w:sz w:val="18"/>
                <w:szCs w:val="18"/>
              </w:rPr>
              <w:t xml:space="preserve"> </w:t>
            </w:r>
            <w:r w:rsidR="00321A55" w:rsidRPr="00295A4A">
              <w:rPr>
                <w:rFonts w:ascii="Calibri" w:hAnsi="Calibri" w:cs="Times New Roman"/>
                <w:b w:val="0"/>
                <w:color w:val="000000"/>
                <w:sz w:val="18"/>
                <w:szCs w:val="18"/>
              </w:rPr>
              <w:t xml:space="preserve"> Note that eligible students may attend private schools </w:t>
            </w:r>
            <w:r w:rsidR="00321A55" w:rsidRPr="00295A4A">
              <w:rPr>
                <w:rFonts w:ascii="Calibri" w:hAnsi="Calibri" w:cs="Times New Roman"/>
                <w:b w:val="0"/>
                <w:i/>
                <w:color w:val="000000"/>
                <w:sz w:val="18"/>
                <w:szCs w:val="18"/>
                <w:u w:val="single"/>
              </w:rPr>
              <w:t>inside or outside</w:t>
            </w:r>
            <w:r w:rsidR="00321A55" w:rsidRPr="00295A4A">
              <w:rPr>
                <w:rFonts w:ascii="Calibri" w:hAnsi="Calibri" w:cs="Times New Roman"/>
                <w:b w:val="0"/>
                <w:color w:val="000000"/>
                <w:sz w:val="18"/>
                <w:szCs w:val="18"/>
              </w:rPr>
              <w:t xml:space="preserve"> the district. (See </w:t>
            </w:r>
            <w:hyperlink r:id="rId21" w:history="1">
              <w:r w:rsidR="00321A55" w:rsidRPr="00295A4A">
                <w:rPr>
                  <w:rStyle w:val="Hyperlink"/>
                  <w:rFonts w:ascii="Calibri" w:hAnsi="Calibri"/>
                  <w:b w:val="0"/>
                  <w:bCs w:val="0"/>
                  <w:sz w:val="18"/>
                  <w:szCs w:val="18"/>
                </w:rPr>
                <w:t>USED guidance</w:t>
              </w:r>
            </w:hyperlink>
            <w:r w:rsidR="00321A55" w:rsidRPr="00295A4A">
              <w:rPr>
                <w:rFonts w:ascii="Calibri" w:hAnsi="Calibri" w:cs="Times New Roman"/>
                <w:b w:val="0"/>
                <w:color w:val="000000"/>
                <w:sz w:val="18"/>
                <w:szCs w:val="18"/>
              </w:rPr>
              <w:t xml:space="preserve">, pp. 30-31, for more on eligibility for services).  </w:t>
            </w:r>
          </w:p>
          <w:p w14:paraId="47CD1051" w14:textId="77777777" w:rsidR="001B2EDC" w:rsidRPr="00295A4A" w:rsidRDefault="001B2EDC" w:rsidP="0015117E">
            <w:pPr>
              <w:pStyle w:val="ListParagraph"/>
              <w:autoSpaceDE w:val="0"/>
              <w:autoSpaceDN w:val="0"/>
              <w:adjustRightInd w:val="0"/>
              <w:spacing w:after="0" w:line="240" w:lineRule="auto"/>
              <w:ind w:left="428" w:right="256"/>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p>
          <w:p w14:paraId="38F730F2" w14:textId="77777777" w:rsidR="00AD10B8" w:rsidRPr="00295A4A" w:rsidRDefault="00AD10B8" w:rsidP="0015117E">
            <w:pPr>
              <w:autoSpaceDE w:val="0"/>
              <w:autoSpaceDN w:val="0"/>
              <w:adjustRightInd w:val="0"/>
              <w:ind w:left="-20"/>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18"/>
                <w:szCs w:val="18"/>
              </w:rPr>
            </w:pPr>
            <w:r w:rsidRPr="00295A4A">
              <w:rPr>
                <w:rFonts w:ascii="Calibri" w:hAnsi="Calibri" w:cs="Times New Roman"/>
                <w:color w:val="000000"/>
                <w:sz w:val="18"/>
                <w:szCs w:val="18"/>
              </w:rPr>
              <w:t xml:space="preserve">For Titles II, III, and IV: </w:t>
            </w:r>
          </w:p>
          <w:p w14:paraId="7E1D9731" w14:textId="77777777" w:rsidR="00AD10B8" w:rsidRPr="00295A4A" w:rsidRDefault="00AD10B8" w:rsidP="0015117E">
            <w:pPr>
              <w:pStyle w:val="ListParagraph"/>
              <w:numPr>
                <w:ilvl w:val="0"/>
                <w:numId w:val="4"/>
              </w:numPr>
              <w:autoSpaceDE w:val="0"/>
              <w:autoSpaceDN w:val="0"/>
              <w:adjustRightInd w:val="0"/>
              <w:spacing w:after="0" w:line="240" w:lineRule="auto"/>
              <w:ind w:left="428"/>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r w:rsidRPr="00295A4A">
              <w:rPr>
                <w:rFonts w:ascii="Calibri" w:hAnsi="Calibri" w:cs="Times New Roman"/>
                <w:b w:val="0"/>
                <w:color w:val="000000"/>
                <w:sz w:val="18"/>
                <w:szCs w:val="18"/>
              </w:rPr>
              <w:t xml:space="preserve">All students attending nonprofit private schools </w:t>
            </w:r>
            <w:r w:rsidRPr="00295A4A">
              <w:rPr>
                <w:rFonts w:ascii="Calibri" w:hAnsi="Calibri" w:cs="Times New Roman"/>
                <w:b w:val="0"/>
                <w:i/>
                <w:color w:val="000000"/>
                <w:sz w:val="18"/>
                <w:szCs w:val="18"/>
                <w:u w:val="single"/>
              </w:rPr>
              <w:t>inside</w:t>
            </w:r>
            <w:r w:rsidRPr="00295A4A">
              <w:rPr>
                <w:rFonts w:ascii="Calibri" w:hAnsi="Calibri" w:cs="Times New Roman"/>
                <w:b w:val="0"/>
                <w:i/>
                <w:color w:val="000000"/>
                <w:sz w:val="18"/>
                <w:szCs w:val="18"/>
              </w:rPr>
              <w:t xml:space="preserve"> </w:t>
            </w:r>
            <w:r w:rsidRPr="00295A4A">
              <w:rPr>
                <w:rFonts w:ascii="Calibri" w:hAnsi="Calibri" w:cs="Times New Roman"/>
                <w:b w:val="0"/>
                <w:color w:val="000000"/>
                <w:sz w:val="18"/>
                <w:szCs w:val="18"/>
              </w:rPr>
              <w:t>district borders are eligible.</w:t>
            </w:r>
          </w:p>
          <w:p w14:paraId="503E267D" w14:textId="77777777" w:rsidR="00AD10B8" w:rsidRPr="00295A4A" w:rsidRDefault="00AD10B8" w:rsidP="0015117E">
            <w:pPr>
              <w:autoSpaceDE w:val="0"/>
              <w:autoSpaceDN w:val="0"/>
              <w:adjustRightInd w:val="0"/>
              <w:ind w:left="-20"/>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18"/>
                <w:szCs w:val="18"/>
              </w:rPr>
            </w:pPr>
          </w:p>
        </w:tc>
      </w:tr>
      <w:tr w:rsidR="00AD10B8" w:rsidRPr="00057EA2" w14:paraId="6D55EE08" w14:textId="77777777" w:rsidTr="001511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FFFFFF"/>
              <w:left w:val="single" w:sz="4" w:space="0" w:color="833C0B" w:themeColor="accent2" w:themeShade="80"/>
            </w:tcBorders>
          </w:tcPr>
          <w:p w14:paraId="652241EB" w14:textId="77777777" w:rsidR="00AD10B8" w:rsidRPr="00AC66A8" w:rsidRDefault="00AD10B8" w:rsidP="0015117E">
            <w:pPr>
              <w:autoSpaceDE w:val="0"/>
              <w:autoSpaceDN w:val="0"/>
              <w:adjustRightInd w:val="0"/>
              <w:ind w:left="-20"/>
              <w:rPr>
                <w:rFonts w:ascii="Calibri" w:hAnsi="Calibri" w:cs="Times New Roman"/>
                <w:color w:val="000000"/>
                <w:sz w:val="21"/>
                <w:szCs w:val="21"/>
              </w:rPr>
            </w:pPr>
            <w:r w:rsidRPr="00AC66A8">
              <w:rPr>
                <w:rFonts w:ascii="Calibri" w:hAnsi="Calibri" w:cs="Times New Roman"/>
                <w:color w:val="000000"/>
                <w:sz w:val="21"/>
                <w:szCs w:val="21"/>
              </w:rPr>
              <w:t>2</w:t>
            </w:r>
          </w:p>
        </w:tc>
        <w:tc>
          <w:tcPr>
            <w:tcW w:w="1620" w:type="dxa"/>
            <w:tcBorders>
              <w:top w:val="single" w:sz="4" w:space="0" w:color="FFFFFF"/>
              <w:right w:val="single" w:sz="4" w:space="0" w:color="FFFFFF" w:themeColor="background1"/>
            </w:tcBorders>
            <w:shd w:val="clear" w:color="auto" w:fill="FBD4B4"/>
          </w:tcPr>
          <w:p w14:paraId="6E47B0E8" w14:textId="77777777" w:rsidR="00AD10B8" w:rsidRPr="00295A4A" w:rsidRDefault="00AD10B8" w:rsidP="0015117E">
            <w:pPr>
              <w:autoSpaceDE w:val="0"/>
              <w:autoSpaceDN w:val="0"/>
              <w:adjustRightInd w:val="0"/>
              <w:ind w:left="-20" w:right="-110"/>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20"/>
              </w:rPr>
            </w:pPr>
            <w:r w:rsidRPr="00295A4A">
              <w:rPr>
                <w:rFonts w:ascii="Calibri" w:hAnsi="Calibri" w:cs="Times New Roman"/>
                <w:color w:val="000000"/>
                <w:sz w:val="18"/>
                <w:szCs w:val="20"/>
              </w:rPr>
              <w:t>Offer to consult/declining services</w:t>
            </w:r>
          </w:p>
        </w:tc>
        <w:tc>
          <w:tcPr>
            <w:tcW w:w="8640" w:type="dxa"/>
            <w:tcBorders>
              <w:top w:val="single" w:sz="4" w:space="0" w:color="FFFFFF"/>
              <w:left w:val="single" w:sz="4" w:space="0" w:color="FFFFFF" w:themeColor="background1"/>
              <w:right w:val="single" w:sz="4" w:space="0" w:color="833C0B" w:themeColor="accent2" w:themeShade="80"/>
            </w:tcBorders>
            <w:shd w:val="clear" w:color="auto" w:fill="FBD4B4"/>
          </w:tcPr>
          <w:p w14:paraId="4F5A9AA2" w14:textId="07107961" w:rsidR="00AD10B8" w:rsidRPr="00295A4A" w:rsidRDefault="00AD10B8" w:rsidP="0015117E">
            <w:pPr>
              <w:pStyle w:val="ListParagraph"/>
              <w:numPr>
                <w:ilvl w:val="0"/>
                <w:numId w:val="4"/>
              </w:numPr>
              <w:autoSpaceDE w:val="0"/>
              <w:autoSpaceDN w:val="0"/>
              <w:adjustRightInd w:val="0"/>
              <w:spacing w:after="0" w:line="240" w:lineRule="auto"/>
              <w:ind w:left="428"/>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auto"/>
                <w:sz w:val="18"/>
                <w:szCs w:val="18"/>
              </w:rPr>
            </w:pPr>
            <w:r w:rsidRPr="00295A4A">
              <w:rPr>
                <w:rFonts w:ascii="Calibri" w:hAnsi="Calibri" w:cs="Times New Roman"/>
                <w:b w:val="0"/>
                <w:color w:val="auto"/>
                <w:sz w:val="18"/>
                <w:szCs w:val="18"/>
              </w:rPr>
              <w:t xml:space="preserve">Annually, districts initiate consultations by sending written offers to consult to all private schools with eligible students regarding participation in ESSA entitlement grant services (see, </w:t>
            </w:r>
            <w:hyperlink r:id="rId22" w:history="1">
              <w:r w:rsidRPr="00295A4A">
                <w:rPr>
                  <w:rFonts w:ascii="Calibri" w:hAnsi="Calibri" w:cs="Times New Roman"/>
                  <w:b w:val="0"/>
                  <w:color w:val="0000FF"/>
                  <w:sz w:val="18"/>
                  <w:szCs w:val="18"/>
                  <w:u w:val="single"/>
                </w:rPr>
                <w:t>sample offer-to-consult letter</w:t>
              </w:r>
            </w:hyperlink>
            <w:r w:rsidRPr="00295A4A">
              <w:rPr>
                <w:rFonts w:ascii="Calibri" w:hAnsi="Calibri" w:cs="Times New Roman"/>
                <w:b w:val="0"/>
                <w:color w:val="auto"/>
                <w:sz w:val="18"/>
                <w:szCs w:val="18"/>
              </w:rPr>
              <w:t>).  Districts should keep documentation of these efforts to produce to DESE upon request.</w:t>
            </w:r>
          </w:p>
          <w:p w14:paraId="61EB177C" w14:textId="77777777" w:rsidR="00AD10B8" w:rsidRPr="00295A4A" w:rsidRDefault="00AD10B8" w:rsidP="0015117E">
            <w:pPr>
              <w:pStyle w:val="ListParagraph"/>
              <w:numPr>
                <w:ilvl w:val="0"/>
                <w:numId w:val="4"/>
              </w:numPr>
              <w:autoSpaceDE w:val="0"/>
              <w:autoSpaceDN w:val="0"/>
              <w:adjustRightInd w:val="0"/>
              <w:spacing w:after="0" w:line="240" w:lineRule="auto"/>
              <w:ind w:left="428"/>
              <w:cnfStyle w:val="100000000000" w:firstRow="1" w:lastRow="0" w:firstColumn="0" w:lastColumn="0" w:oddVBand="0" w:evenVBand="0" w:oddHBand="0" w:evenHBand="0" w:firstRowFirstColumn="0" w:firstRowLastColumn="0" w:lastRowFirstColumn="0" w:lastRowLastColumn="0"/>
              <w:rPr>
                <w:rFonts w:ascii="Calibri" w:hAnsi="Calibri" w:cs="Times New Roman"/>
                <w:i/>
                <w:color w:val="auto"/>
                <w:sz w:val="18"/>
                <w:szCs w:val="18"/>
              </w:rPr>
            </w:pPr>
            <w:r w:rsidRPr="00295A4A">
              <w:rPr>
                <w:rFonts w:ascii="Calibri" w:hAnsi="Calibri" w:cs="Times New Roman"/>
                <w:b w:val="0"/>
                <w:color w:val="auto"/>
                <w:sz w:val="18"/>
                <w:szCs w:val="18"/>
              </w:rPr>
              <w:t xml:space="preserve">Districts may set a reasonable deadline for private school officials to indicate their intent to participate, which must be clearly communicated in the offer along with consequences of nonresponse. (See </w:t>
            </w:r>
            <w:hyperlink r:id="rId23" w:history="1">
              <w:r w:rsidRPr="00295A4A">
                <w:rPr>
                  <w:rStyle w:val="Hyperlink"/>
                  <w:rFonts w:ascii="Calibri" w:hAnsi="Calibri"/>
                  <w:b w:val="0"/>
                  <w:bCs w:val="0"/>
                  <w:sz w:val="18"/>
                  <w:szCs w:val="18"/>
                </w:rPr>
                <w:t>DESE guidance</w:t>
              </w:r>
            </w:hyperlink>
            <w:r w:rsidRPr="00295A4A">
              <w:rPr>
                <w:rFonts w:ascii="Calibri" w:hAnsi="Calibri" w:cs="Times New Roman"/>
                <w:b w:val="0"/>
                <w:color w:val="auto"/>
                <w:sz w:val="18"/>
                <w:szCs w:val="18"/>
              </w:rPr>
              <w:t xml:space="preserve"> on suggested timelines). If private school officials fail to respond after good-faith efforts and within a reasonable time, a district’s obligation to offer to consult is satisfied.</w:t>
            </w:r>
            <w:r w:rsidRPr="00295A4A">
              <w:rPr>
                <w:rFonts w:ascii="Calibri" w:hAnsi="Calibri" w:cs="Times New Roman"/>
                <w:color w:val="auto"/>
                <w:sz w:val="18"/>
                <w:szCs w:val="18"/>
              </w:rPr>
              <w:t xml:space="preserve"> </w:t>
            </w:r>
            <w:r w:rsidRPr="00295A4A">
              <w:rPr>
                <w:rFonts w:ascii="Calibri" w:hAnsi="Calibri" w:cs="Times New Roman"/>
                <w:i/>
                <w:color w:val="auto"/>
                <w:sz w:val="18"/>
                <w:szCs w:val="18"/>
              </w:rPr>
              <w:t>Districts are advised to use a return receipt method of communication to private schools, as documentation of outreach is required.</w:t>
            </w:r>
          </w:p>
          <w:p w14:paraId="12F0D9B3" w14:textId="77777777" w:rsidR="00AD10B8" w:rsidRPr="00295A4A" w:rsidRDefault="00AD10B8" w:rsidP="0015117E">
            <w:pPr>
              <w:pStyle w:val="ListParagraph"/>
              <w:numPr>
                <w:ilvl w:val="0"/>
                <w:numId w:val="4"/>
              </w:numPr>
              <w:autoSpaceDE w:val="0"/>
              <w:autoSpaceDN w:val="0"/>
              <w:adjustRightInd w:val="0"/>
              <w:spacing w:after="0" w:line="240" w:lineRule="auto"/>
              <w:ind w:left="428"/>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auto"/>
                <w:sz w:val="18"/>
                <w:szCs w:val="18"/>
              </w:rPr>
            </w:pPr>
            <w:r w:rsidRPr="00295A4A">
              <w:rPr>
                <w:rFonts w:ascii="Calibri" w:hAnsi="Calibri" w:cs="Times New Roman"/>
                <w:b w:val="0"/>
                <w:color w:val="auto"/>
                <w:sz w:val="18"/>
                <w:szCs w:val="18"/>
              </w:rPr>
              <w:t>If a district has documentation that a private school has declined services for a grant program for a particular year, that district is not obligated to provide services to that school for that year if private school officials later change their minds. However, a new offer to provide services must be made for each subsequent grant allocation in successive years.</w:t>
            </w:r>
          </w:p>
          <w:p w14:paraId="3CDC5FD9" w14:textId="77777777" w:rsidR="00AD10B8" w:rsidRPr="00295A4A" w:rsidRDefault="00AD10B8" w:rsidP="0015117E">
            <w:pPr>
              <w:pStyle w:val="ListParagraph"/>
              <w:autoSpaceDE w:val="0"/>
              <w:autoSpaceDN w:val="0"/>
              <w:adjustRightInd w:val="0"/>
              <w:spacing w:after="0" w:line="240" w:lineRule="auto"/>
              <w:ind w:left="428"/>
              <w:cnfStyle w:val="100000000000" w:firstRow="1" w:lastRow="0" w:firstColumn="0" w:lastColumn="0" w:oddVBand="0" w:evenVBand="0" w:oddHBand="0" w:evenHBand="0" w:firstRowFirstColumn="0" w:firstRowLastColumn="0" w:lastRowFirstColumn="0" w:lastRowLastColumn="0"/>
              <w:rPr>
                <w:rFonts w:ascii="Calibri" w:hAnsi="Calibri" w:cs="Times New Roman"/>
                <w:color w:val="auto"/>
                <w:sz w:val="18"/>
                <w:szCs w:val="18"/>
              </w:rPr>
            </w:pPr>
          </w:p>
        </w:tc>
      </w:tr>
      <w:tr w:rsidR="00AD10B8" w:rsidRPr="00057EA2" w14:paraId="1F37AE65" w14:textId="77777777" w:rsidTr="001511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FFFFFF"/>
              <w:left w:val="single" w:sz="4" w:space="0" w:color="833C0B" w:themeColor="accent2" w:themeShade="80"/>
              <w:bottom w:val="single" w:sz="4" w:space="0" w:color="833C0B" w:themeColor="accent2" w:themeShade="80"/>
            </w:tcBorders>
          </w:tcPr>
          <w:p w14:paraId="14999FD2" w14:textId="77777777" w:rsidR="00AD10B8" w:rsidRPr="00AC66A8" w:rsidRDefault="00AD10B8" w:rsidP="0015117E">
            <w:pPr>
              <w:autoSpaceDE w:val="0"/>
              <w:autoSpaceDN w:val="0"/>
              <w:adjustRightInd w:val="0"/>
              <w:ind w:left="-20"/>
              <w:rPr>
                <w:rFonts w:ascii="Calibri" w:hAnsi="Calibri" w:cs="Times New Roman"/>
                <w:color w:val="000000"/>
                <w:sz w:val="21"/>
                <w:szCs w:val="21"/>
              </w:rPr>
            </w:pPr>
            <w:r w:rsidRPr="00AC66A8">
              <w:rPr>
                <w:rFonts w:ascii="Calibri" w:hAnsi="Calibri" w:cs="Times New Roman"/>
                <w:color w:val="000000"/>
                <w:sz w:val="21"/>
                <w:szCs w:val="21"/>
              </w:rPr>
              <w:t>3</w:t>
            </w:r>
          </w:p>
        </w:tc>
        <w:tc>
          <w:tcPr>
            <w:tcW w:w="1620" w:type="dxa"/>
            <w:tcBorders>
              <w:top w:val="single" w:sz="4" w:space="0" w:color="FFFFFF"/>
              <w:bottom w:val="single" w:sz="4" w:space="0" w:color="833C0B" w:themeColor="accent2" w:themeShade="80"/>
              <w:right w:val="single" w:sz="4" w:space="0" w:color="FFFFFF" w:themeColor="background1"/>
            </w:tcBorders>
            <w:shd w:val="clear" w:color="auto" w:fill="FBD4B4"/>
          </w:tcPr>
          <w:p w14:paraId="6494F8F4" w14:textId="77777777" w:rsidR="00AD10B8" w:rsidRPr="00AC66A8" w:rsidRDefault="00AD10B8" w:rsidP="0015117E">
            <w:pPr>
              <w:autoSpaceDE w:val="0"/>
              <w:autoSpaceDN w:val="0"/>
              <w:adjustRightInd w:val="0"/>
              <w:ind w:left="-20"/>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20"/>
                <w:szCs w:val="20"/>
              </w:rPr>
            </w:pPr>
            <w:r w:rsidRPr="00AC66A8">
              <w:rPr>
                <w:rFonts w:ascii="Calibri" w:hAnsi="Calibri" w:cs="Times New Roman"/>
                <w:color w:val="000000"/>
                <w:sz w:val="20"/>
                <w:szCs w:val="20"/>
              </w:rPr>
              <w:t>Consultation</w:t>
            </w:r>
          </w:p>
        </w:tc>
        <w:tc>
          <w:tcPr>
            <w:tcW w:w="8640" w:type="dxa"/>
            <w:tcBorders>
              <w:top w:val="single" w:sz="4" w:space="0" w:color="FFFFFF"/>
              <w:left w:val="single" w:sz="4" w:space="0" w:color="FFFFFF" w:themeColor="background1"/>
              <w:bottom w:val="single" w:sz="4" w:space="0" w:color="833C0B" w:themeColor="accent2" w:themeShade="80"/>
              <w:right w:val="single" w:sz="4" w:space="0" w:color="833C0B" w:themeColor="accent2" w:themeShade="80"/>
            </w:tcBorders>
            <w:shd w:val="clear" w:color="auto" w:fill="FBD4B4"/>
          </w:tcPr>
          <w:p w14:paraId="421F9549" w14:textId="77777777" w:rsidR="00AD10B8" w:rsidRPr="00295A4A" w:rsidRDefault="00AD10B8" w:rsidP="0015117E">
            <w:pPr>
              <w:pStyle w:val="ListParagraph"/>
              <w:numPr>
                <w:ilvl w:val="0"/>
                <w:numId w:val="5"/>
              </w:numPr>
              <w:autoSpaceDE w:val="0"/>
              <w:autoSpaceDN w:val="0"/>
              <w:adjustRightInd w:val="0"/>
              <w:spacing w:after="0" w:line="240" w:lineRule="auto"/>
              <w:ind w:left="428"/>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r w:rsidRPr="00295A4A">
              <w:rPr>
                <w:rFonts w:ascii="Calibri" w:hAnsi="Calibri" w:cs="Times New Roman"/>
                <w:i/>
                <w:color w:val="000000"/>
                <w:sz w:val="18"/>
                <w:szCs w:val="18"/>
              </w:rPr>
              <w:t>Consultation must be meaningful</w:t>
            </w:r>
            <w:r w:rsidRPr="00295A4A">
              <w:rPr>
                <w:rFonts w:ascii="Calibri" w:hAnsi="Calibri" w:cs="Times New Roman"/>
                <w:b w:val="0"/>
                <w:color w:val="000000"/>
                <w:sz w:val="18"/>
                <w:szCs w:val="18"/>
              </w:rPr>
              <w:t xml:space="preserve">. Districts and eligible private schools expressing an interest in receiving student and educator services meet in good faith and discuss options for the district providing services, including topics listed on the </w:t>
            </w:r>
            <w:hyperlink r:id="rId24" w:history="1">
              <w:r w:rsidRPr="00295A4A">
                <w:rPr>
                  <w:rFonts w:ascii="Calibri" w:hAnsi="Calibri" w:cs="Times New Roman"/>
                  <w:b w:val="0"/>
                  <w:color w:val="0000FF"/>
                  <w:sz w:val="18"/>
                  <w:szCs w:val="18"/>
                  <w:u w:val="single"/>
                </w:rPr>
                <w:t>Affirmation of Consultation</w:t>
              </w:r>
            </w:hyperlink>
            <w:r w:rsidRPr="00295A4A">
              <w:rPr>
                <w:rFonts w:ascii="Calibri" w:hAnsi="Calibri" w:cs="Times New Roman"/>
                <w:b w:val="0"/>
                <w:color w:val="000000"/>
                <w:sz w:val="18"/>
                <w:szCs w:val="18"/>
              </w:rPr>
              <w:t>. Services for private school students/teachers may differ from district services.</w:t>
            </w:r>
          </w:p>
          <w:p w14:paraId="50AEF9E5" w14:textId="77777777" w:rsidR="00AD10B8" w:rsidRPr="00295A4A" w:rsidRDefault="00AD10B8" w:rsidP="0015117E">
            <w:pPr>
              <w:pStyle w:val="ListParagraph"/>
              <w:numPr>
                <w:ilvl w:val="0"/>
                <w:numId w:val="5"/>
              </w:numPr>
              <w:autoSpaceDE w:val="0"/>
              <w:autoSpaceDN w:val="0"/>
              <w:adjustRightInd w:val="0"/>
              <w:spacing w:after="0" w:line="240" w:lineRule="auto"/>
              <w:ind w:left="428"/>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r w:rsidRPr="00295A4A">
              <w:rPr>
                <w:rFonts w:ascii="Calibri" w:hAnsi="Calibri" w:cs="Times New Roman"/>
                <w:i/>
                <w:color w:val="000000"/>
                <w:sz w:val="18"/>
                <w:szCs w:val="18"/>
              </w:rPr>
              <w:t>Consultation must be timely</w:t>
            </w:r>
            <w:r w:rsidRPr="00295A4A">
              <w:rPr>
                <w:rFonts w:ascii="Calibri" w:hAnsi="Calibri" w:cs="Times New Roman"/>
                <w:b w:val="0"/>
                <w:color w:val="000000"/>
                <w:sz w:val="18"/>
                <w:szCs w:val="18"/>
              </w:rPr>
              <w:t>. They should occur prior to districts making decisions about funding that could affect options for private school services, including decisions to flex funds from one Title to another. Consultation should then continue throughout implementation of services.</w:t>
            </w:r>
          </w:p>
          <w:p w14:paraId="63B5A101" w14:textId="77777777" w:rsidR="00AD10B8" w:rsidRPr="00295A4A" w:rsidRDefault="00AD10B8" w:rsidP="0015117E">
            <w:pPr>
              <w:pStyle w:val="ListParagraph"/>
              <w:numPr>
                <w:ilvl w:val="0"/>
                <w:numId w:val="5"/>
              </w:numPr>
              <w:autoSpaceDE w:val="0"/>
              <w:autoSpaceDN w:val="0"/>
              <w:adjustRightInd w:val="0"/>
              <w:spacing w:after="0" w:line="240" w:lineRule="auto"/>
              <w:ind w:left="428"/>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r w:rsidRPr="00295A4A">
              <w:rPr>
                <w:rFonts w:ascii="Calibri" w:hAnsi="Calibri" w:cs="Times New Roman"/>
                <w:b w:val="0"/>
                <w:color w:val="000000"/>
                <w:sz w:val="18"/>
                <w:szCs w:val="18"/>
              </w:rPr>
              <w:t>While districts make final decisions when disagreements arise, districts are required to provide their reasons in writing to private school officials.</w:t>
            </w:r>
          </w:p>
          <w:p w14:paraId="49EE82E6" w14:textId="77777777" w:rsidR="00AD10B8" w:rsidRPr="00295A4A" w:rsidRDefault="00AD10B8" w:rsidP="0015117E">
            <w:pPr>
              <w:pStyle w:val="ListParagraph"/>
              <w:numPr>
                <w:ilvl w:val="0"/>
                <w:numId w:val="5"/>
              </w:numPr>
              <w:autoSpaceDE w:val="0"/>
              <w:autoSpaceDN w:val="0"/>
              <w:adjustRightInd w:val="0"/>
              <w:spacing w:after="0" w:line="240" w:lineRule="auto"/>
              <w:ind w:left="428"/>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r w:rsidRPr="00295A4A">
              <w:rPr>
                <w:rFonts w:ascii="Calibri" w:hAnsi="Calibri" w:cs="Times New Roman"/>
                <w:b w:val="0"/>
                <w:color w:val="000000"/>
                <w:sz w:val="18"/>
                <w:szCs w:val="18"/>
              </w:rPr>
              <w:t xml:space="preserve">Districts and private schools are encouraged to consult regarding multiple ESSA entitlement grants at the same meeting. </w:t>
            </w:r>
          </w:p>
          <w:p w14:paraId="5E207BBB" w14:textId="77777777" w:rsidR="00AD10B8" w:rsidRPr="00295A4A" w:rsidRDefault="00AD10B8" w:rsidP="0015117E">
            <w:pPr>
              <w:autoSpaceDE w:val="0"/>
              <w:autoSpaceDN w:val="0"/>
              <w:adjustRightInd w:val="0"/>
              <w:ind w:left="-20"/>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18"/>
                <w:szCs w:val="18"/>
              </w:rPr>
            </w:pPr>
          </w:p>
        </w:tc>
      </w:tr>
    </w:tbl>
    <w:p w14:paraId="0DF42BFB" w14:textId="77777777" w:rsidR="007F5C92" w:rsidRPr="0001646F" w:rsidRDefault="007F5C92" w:rsidP="00AC66A8">
      <w:pPr>
        <w:autoSpaceDE w:val="0"/>
        <w:autoSpaceDN w:val="0"/>
        <w:adjustRightInd w:val="0"/>
        <w:spacing w:after="0" w:line="240" w:lineRule="auto"/>
        <w:rPr>
          <w:rFonts w:ascii="Calibri" w:eastAsia="SimSun" w:hAnsi="Calibri" w:cs="Times New Roman"/>
          <w:b/>
          <w:color w:val="000000"/>
          <w:sz w:val="6"/>
          <w:szCs w:val="6"/>
        </w:rPr>
      </w:pPr>
    </w:p>
    <w:p w14:paraId="6B480071" w14:textId="77777777" w:rsidR="00D024BC" w:rsidRDefault="00D024BC" w:rsidP="001B2EDC">
      <w:pPr>
        <w:framePr w:w="10821" w:wrap="auto" w:hAnchor="text" w:x="810"/>
        <w:autoSpaceDE w:val="0"/>
        <w:autoSpaceDN w:val="0"/>
        <w:adjustRightInd w:val="0"/>
        <w:spacing w:after="0" w:line="240" w:lineRule="auto"/>
        <w:ind w:left="-270"/>
        <w:rPr>
          <w:rFonts w:ascii="Calibri" w:eastAsia="SimSun" w:hAnsi="Calibri" w:cs="Times New Roman"/>
          <w:sz w:val="4"/>
          <w:szCs w:val="4"/>
        </w:rPr>
        <w:sectPr w:rsidR="00D024BC" w:rsidSect="00F330DA">
          <w:headerReference w:type="default" r:id="rId25"/>
          <w:footerReference w:type="default" r:id="rId26"/>
          <w:headerReference w:type="first" r:id="rId27"/>
          <w:footerReference w:type="first" r:id="rId28"/>
          <w:pgSz w:w="12240" w:h="15840"/>
          <w:pgMar w:top="504" w:right="1008" w:bottom="288" w:left="1008" w:header="576" w:footer="130" w:gutter="0"/>
          <w:cols w:space="720"/>
          <w:titlePg/>
          <w:docGrid w:linePitch="360"/>
        </w:sectPr>
      </w:pPr>
    </w:p>
    <w:tbl>
      <w:tblPr>
        <w:tblStyle w:val="GridTable5Dark-Accent61"/>
        <w:tblpPr w:leftFromText="180" w:rightFromText="180" w:vertAnchor="text" w:horzAnchor="margin" w:tblpX="-375" w:tblpY="76"/>
        <w:tblOverlap w:val="never"/>
        <w:tblW w:w="1088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none" w:sz="0" w:space="0" w:color="auto"/>
          <w:insideV w:val="none" w:sz="0" w:space="0" w:color="auto"/>
        </w:tblBorders>
        <w:tblLayout w:type="fixed"/>
        <w:tblLook w:val="04A0" w:firstRow="1" w:lastRow="0" w:firstColumn="1" w:lastColumn="0" w:noHBand="0" w:noVBand="1"/>
        <w:tblDescription w:val="private school services step by step"/>
      </w:tblPr>
      <w:tblGrid>
        <w:gridCol w:w="625"/>
        <w:gridCol w:w="1620"/>
        <w:gridCol w:w="8640"/>
      </w:tblGrid>
      <w:tr w:rsidR="006D5BF5" w:rsidRPr="00AC66A8" w14:paraId="72653D1B" w14:textId="77777777" w:rsidTr="00BC03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dxa"/>
            <w:tcBorders>
              <w:top w:val="none" w:sz="0" w:space="0" w:color="auto"/>
              <w:left w:val="none" w:sz="0" w:space="0" w:color="auto"/>
              <w:bottom w:val="none" w:sz="0" w:space="0" w:color="auto"/>
              <w:right w:val="none" w:sz="0" w:space="0" w:color="auto"/>
            </w:tcBorders>
          </w:tcPr>
          <w:p w14:paraId="4445DB19" w14:textId="77777777" w:rsidR="006D5BF5" w:rsidRPr="00AC66A8" w:rsidRDefault="006D5BF5" w:rsidP="00BC0368">
            <w:pPr>
              <w:autoSpaceDE w:val="0"/>
              <w:autoSpaceDN w:val="0"/>
              <w:adjustRightInd w:val="0"/>
              <w:ind w:left="-20"/>
              <w:rPr>
                <w:rFonts w:ascii="Calibri" w:hAnsi="Calibri" w:cs="Times New Roman"/>
                <w:color w:val="000000"/>
                <w:sz w:val="21"/>
                <w:szCs w:val="21"/>
              </w:rPr>
            </w:pPr>
            <w:r w:rsidRPr="00AC66A8">
              <w:rPr>
                <w:rFonts w:ascii="Calibri" w:hAnsi="Calibri" w:cs="Times New Roman"/>
                <w:color w:val="000000"/>
                <w:sz w:val="21"/>
                <w:szCs w:val="21"/>
              </w:rPr>
              <w:lastRenderedPageBreak/>
              <w:t>Step</w:t>
            </w:r>
          </w:p>
        </w:tc>
        <w:tc>
          <w:tcPr>
            <w:tcW w:w="1620" w:type="dxa"/>
            <w:tcBorders>
              <w:top w:val="none" w:sz="0" w:space="0" w:color="auto"/>
              <w:left w:val="none" w:sz="0" w:space="0" w:color="auto"/>
              <w:right w:val="none" w:sz="0" w:space="0" w:color="auto"/>
            </w:tcBorders>
          </w:tcPr>
          <w:p w14:paraId="46F32539" w14:textId="77777777" w:rsidR="006D5BF5" w:rsidRPr="00AC66A8" w:rsidRDefault="006D5BF5" w:rsidP="00BC036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21"/>
                <w:szCs w:val="21"/>
              </w:rPr>
            </w:pPr>
            <w:r w:rsidRPr="00AC66A8">
              <w:rPr>
                <w:rFonts w:ascii="Calibri" w:hAnsi="Calibri" w:cs="Times New Roman"/>
                <w:color w:val="000000"/>
                <w:sz w:val="21"/>
                <w:szCs w:val="21"/>
              </w:rPr>
              <w:t>Action</w:t>
            </w:r>
          </w:p>
        </w:tc>
        <w:tc>
          <w:tcPr>
            <w:tcW w:w="8640" w:type="dxa"/>
            <w:tcBorders>
              <w:top w:val="none" w:sz="0" w:space="0" w:color="auto"/>
              <w:left w:val="none" w:sz="0" w:space="0" w:color="auto"/>
              <w:right w:val="none" w:sz="0" w:space="0" w:color="auto"/>
            </w:tcBorders>
          </w:tcPr>
          <w:p w14:paraId="78E7DF0F" w14:textId="77777777" w:rsidR="006D5BF5" w:rsidRPr="00AC66A8" w:rsidRDefault="006D5BF5" w:rsidP="00BC036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21"/>
                <w:szCs w:val="21"/>
              </w:rPr>
            </w:pPr>
            <w:r w:rsidRPr="00AC66A8">
              <w:rPr>
                <w:rFonts w:ascii="Calibri" w:hAnsi="Calibri" w:cs="Times New Roman"/>
                <w:color w:val="000000"/>
                <w:sz w:val="21"/>
                <w:szCs w:val="21"/>
              </w:rPr>
              <w:t>Description</w:t>
            </w:r>
          </w:p>
        </w:tc>
      </w:tr>
    </w:tbl>
    <w:tbl>
      <w:tblPr>
        <w:tblStyle w:val="GridTable5Dark-Accent61"/>
        <w:tblpPr w:leftFromText="180" w:rightFromText="180" w:vertAnchor="text" w:horzAnchor="margin" w:tblpX="-375" w:tblpY="351"/>
        <w:tblW w:w="10885" w:type="dxa"/>
        <w:tblLayout w:type="fixed"/>
        <w:tblLook w:val="04A0" w:firstRow="1" w:lastRow="0" w:firstColumn="1" w:lastColumn="0" w:noHBand="0" w:noVBand="1"/>
        <w:tblDescription w:val="private school services step by step"/>
      </w:tblPr>
      <w:tblGrid>
        <w:gridCol w:w="625"/>
        <w:gridCol w:w="1800"/>
        <w:gridCol w:w="8460"/>
      </w:tblGrid>
      <w:tr w:rsidR="001F4A38" w:rsidRPr="00057EA2" w14:paraId="1BA12AEA" w14:textId="77777777" w:rsidTr="007C43B9">
        <w:trPr>
          <w:cnfStyle w:val="100000000000" w:firstRow="1" w:lastRow="0" w:firstColumn="0" w:lastColumn="0" w:oddVBand="0" w:evenVBand="0" w:oddHBand="0" w:evenHBand="0" w:firstRowFirstColumn="0" w:firstRowLastColumn="0" w:lastRowFirstColumn="0" w:lastRowLastColumn="0"/>
          <w:trHeight w:val="1372"/>
          <w:tblHeader/>
        </w:trPr>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833C0B" w:themeColor="accent2" w:themeShade="80"/>
              <w:left w:val="single" w:sz="4" w:space="0" w:color="833C0B" w:themeColor="accent2" w:themeShade="80"/>
              <w:right w:val="single" w:sz="4" w:space="0" w:color="FFFFFF" w:themeColor="background1"/>
            </w:tcBorders>
          </w:tcPr>
          <w:p w14:paraId="30E61BFC" w14:textId="77777777" w:rsidR="004607CB" w:rsidRPr="00AC66A8" w:rsidRDefault="004607CB" w:rsidP="00C430E6">
            <w:pPr>
              <w:autoSpaceDE w:val="0"/>
              <w:autoSpaceDN w:val="0"/>
              <w:adjustRightInd w:val="0"/>
              <w:rPr>
                <w:rFonts w:ascii="Calibri" w:hAnsi="Calibri" w:cs="Times New Roman"/>
                <w:color w:val="000000"/>
                <w:sz w:val="21"/>
                <w:szCs w:val="21"/>
              </w:rPr>
            </w:pPr>
            <w:r>
              <w:rPr>
                <w:rFonts w:ascii="Calibri" w:hAnsi="Calibri" w:cs="Times New Roman"/>
                <w:color w:val="000000"/>
                <w:sz w:val="21"/>
                <w:szCs w:val="21"/>
              </w:rPr>
              <w:t>4</w:t>
            </w:r>
          </w:p>
        </w:tc>
        <w:tc>
          <w:tcPr>
            <w:tcW w:w="1800" w:type="dxa"/>
            <w:tcBorders>
              <w:top w:val="single" w:sz="4" w:space="0" w:color="833C0B" w:themeColor="accent2" w:themeShade="80"/>
              <w:left w:val="single" w:sz="4" w:space="0" w:color="FFFFFF" w:themeColor="background1"/>
              <w:right w:val="single" w:sz="4" w:space="0" w:color="FFFFFF" w:themeColor="background1"/>
            </w:tcBorders>
            <w:shd w:val="clear" w:color="auto" w:fill="FBD4B4"/>
          </w:tcPr>
          <w:p w14:paraId="06CC7109" w14:textId="77777777" w:rsidR="004607CB" w:rsidRPr="005C18D7" w:rsidRDefault="004607CB" w:rsidP="00C430E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20"/>
                <w:szCs w:val="20"/>
              </w:rPr>
            </w:pPr>
            <w:r w:rsidRPr="005C18D7">
              <w:rPr>
                <w:rFonts w:ascii="Calibri" w:hAnsi="Calibri" w:cs="Times New Roman"/>
                <w:color w:val="000000"/>
                <w:sz w:val="20"/>
                <w:szCs w:val="20"/>
              </w:rPr>
              <w:t>Affirmation of Consultation</w:t>
            </w:r>
          </w:p>
        </w:tc>
        <w:tc>
          <w:tcPr>
            <w:tcW w:w="8460" w:type="dxa"/>
            <w:tcBorders>
              <w:top w:val="single" w:sz="4" w:space="0" w:color="833C0B" w:themeColor="accent2" w:themeShade="80"/>
              <w:left w:val="single" w:sz="4" w:space="0" w:color="FFFFFF" w:themeColor="background1"/>
              <w:right w:val="single" w:sz="4" w:space="0" w:color="833C0B" w:themeColor="accent2" w:themeShade="80"/>
            </w:tcBorders>
            <w:shd w:val="clear" w:color="auto" w:fill="FBD4B4"/>
          </w:tcPr>
          <w:p w14:paraId="6C191B9E" w14:textId="66ACB2A6" w:rsidR="004607CB" w:rsidRPr="00295A4A" w:rsidRDefault="006427A0" w:rsidP="00C430E6">
            <w:pPr>
              <w:numPr>
                <w:ilvl w:val="0"/>
                <w:numId w:val="2"/>
              </w:numPr>
              <w:autoSpaceDE w:val="0"/>
              <w:autoSpaceDN w:val="0"/>
              <w:adjustRightInd w:val="0"/>
              <w:ind w:left="522"/>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b w:val="0"/>
                <w:sz w:val="18"/>
                <w:szCs w:val="18"/>
              </w:rPr>
            </w:pPr>
            <w:r w:rsidRPr="00295A4A">
              <w:rPr>
                <w:rFonts w:ascii="Calibri" w:hAnsi="Calibri" w:cs="Times New Roman"/>
                <w:b w:val="0"/>
                <w:color w:val="000000"/>
                <w:sz w:val="18"/>
                <w:szCs w:val="18"/>
              </w:rPr>
              <w:t>Public and private school officials must sign the Affirmation of Consultation</w:t>
            </w:r>
            <w:r w:rsidR="004607CB" w:rsidRPr="00295A4A">
              <w:rPr>
                <w:rFonts w:ascii="Calibri" w:hAnsi="Calibri" w:cs="Times New Roman"/>
                <w:b w:val="0"/>
                <w:color w:val="000000"/>
                <w:sz w:val="18"/>
                <w:szCs w:val="18"/>
              </w:rPr>
              <w:t xml:space="preserve">.  </w:t>
            </w:r>
          </w:p>
          <w:p w14:paraId="1A4562D4" w14:textId="5B3D44D7" w:rsidR="00143185" w:rsidRPr="00295A4A" w:rsidRDefault="00143185" w:rsidP="00C430E6">
            <w:pPr>
              <w:numPr>
                <w:ilvl w:val="0"/>
                <w:numId w:val="2"/>
              </w:numPr>
              <w:autoSpaceDE w:val="0"/>
              <w:autoSpaceDN w:val="0"/>
              <w:adjustRightInd w:val="0"/>
              <w:ind w:left="522"/>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b w:val="0"/>
                <w:sz w:val="18"/>
                <w:szCs w:val="18"/>
              </w:rPr>
            </w:pPr>
            <w:r w:rsidRPr="00295A4A">
              <w:rPr>
                <w:rFonts w:ascii="Calibri" w:hAnsi="Calibri" w:cs="Times New Roman"/>
                <w:b w:val="0"/>
                <w:color w:val="000000"/>
                <w:sz w:val="18"/>
                <w:szCs w:val="18"/>
              </w:rPr>
              <w:t xml:space="preserve">If private school officials do not sign the Affirmation of consultation within a reasonable time, the district should submit the Affirmation to </w:t>
            </w:r>
            <w:hyperlink r:id="rId29" w:history="1">
              <w:r w:rsidRPr="00295A4A">
                <w:rPr>
                  <w:rStyle w:val="Hyperlink"/>
                  <w:rFonts w:ascii="Calibri" w:hAnsi="Calibri"/>
                  <w:b w:val="0"/>
                  <w:bCs w:val="0"/>
                  <w:sz w:val="18"/>
                  <w:szCs w:val="18"/>
                </w:rPr>
                <w:t>DESE</w:t>
              </w:r>
              <w:r w:rsidR="008D1116" w:rsidRPr="00295A4A">
                <w:rPr>
                  <w:rStyle w:val="Hyperlink"/>
                  <w:rFonts w:ascii="Calibri" w:hAnsi="Calibri"/>
                  <w:b w:val="0"/>
                  <w:bCs w:val="0"/>
                  <w:sz w:val="18"/>
                  <w:szCs w:val="18"/>
                </w:rPr>
                <w:t>’s ombudsperson</w:t>
              </w:r>
            </w:hyperlink>
            <w:r w:rsidR="008D1116" w:rsidRPr="00295A4A">
              <w:rPr>
                <w:rFonts w:ascii="Calibri" w:hAnsi="Calibri" w:cs="Times New Roman"/>
                <w:b w:val="0"/>
                <w:color w:val="000000"/>
                <w:sz w:val="18"/>
                <w:szCs w:val="18"/>
              </w:rPr>
              <w:t xml:space="preserve"> </w:t>
            </w:r>
            <w:r w:rsidRPr="00295A4A">
              <w:rPr>
                <w:rFonts w:ascii="Calibri" w:hAnsi="Calibri" w:cs="Times New Roman"/>
                <w:b w:val="0"/>
                <w:color w:val="000000"/>
                <w:sz w:val="18"/>
                <w:szCs w:val="18"/>
              </w:rPr>
              <w:t>explaining the circumstances for the lack of signature.</w:t>
            </w:r>
          </w:p>
          <w:p w14:paraId="72ED1E2D" w14:textId="77777777" w:rsidR="004607CB" w:rsidRPr="00295A4A" w:rsidRDefault="004607CB" w:rsidP="00C430E6">
            <w:pPr>
              <w:numPr>
                <w:ilvl w:val="0"/>
                <w:numId w:val="2"/>
              </w:numPr>
              <w:autoSpaceDE w:val="0"/>
              <w:autoSpaceDN w:val="0"/>
              <w:adjustRightInd w:val="0"/>
              <w:ind w:left="522"/>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b w:val="0"/>
                <w:sz w:val="18"/>
                <w:szCs w:val="18"/>
              </w:rPr>
            </w:pPr>
            <w:r w:rsidRPr="00295A4A">
              <w:rPr>
                <w:rFonts w:ascii="Calibri" w:hAnsi="Calibri" w:cs="Times New Roman"/>
                <w:b w:val="0"/>
                <w:color w:val="000000"/>
                <w:sz w:val="18"/>
                <w:szCs w:val="18"/>
              </w:rPr>
              <w:t>Private school officials have the option to indicate their belief that consultation was not meaningful or that services are not equitable.</w:t>
            </w:r>
          </w:p>
          <w:p w14:paraId="0DABA946" w14:textId="77777777" w:rsidR="004607CB" w:rsidRPr="00295A4A" w:rsidRDefault="004607CB" w:rsidP="00E24F4E">
            <w:pPr>
              <w:numPr>
                <w:ilvl w:val="0"/>
                <w:numId w:val="2"/>
              </w:numPr>
              <w:autoSpaceDE w:val="0"/>
              <w:autoSpaceDN w:val="0"/>
              <w:adjustRightInd w:val="0"/>
              <w:ind w:left="522"/>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r w:rsidRPr="00295A4A">
              <w:rPr>
                <w:rFonts w:ascii="Calibri" w:hAnsi="Calibri" w:cs="Times New Roman"/>
                <w:b w:val="0"/>
                <w:color w:val="000000"/>
                <w:sz w:val="18"/>
                <w:szCs w:val="18"/>
              </w:rPr>
              <w:t>A scanned copy of the Affirmation of Consultation must be submitted with the district’s Title I submissions through EdGrants.</w:t>
            </w:r>
          </w:p>
          <w:p w14:paraId="0D899EE6" w14:textId="77777777" w:rsidR="00E24F4E" w:rsidRPr="00295A4A" w:rsidRDefault="00E24F4E" w:rsidP="00E24F4E">
            <w:pPr>
              <w:numPr>
                <w:ilvl w:val="0"/>
                <w:numId w:val="2"/>
              </w:numPr>
              <w:autoSpaceDE w:val="0"/>
              <w:autoSpaceDN w:val="0"/>
              <w:adjustRightInd w:val="0"/>
              <w:ind w:left="522"/>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auto"/>
                <w:sz w:val="18"/>
                <w:szCs w:val="18"/>
              </w:rPr>
            </w:pPr>
            <w:r w:rsidRPr="00295A4A">
              <w:rPr>
                <w:rFonts w:ascii="Calibri" w:hAnsi="Calibri" w:cs="Times New Roman"/>
                <w:b w:val="0"/>
                <w:color w:val="auto"/>
                <w:sz w:val="18"/>
                <w:szCs w:val="18"/>
              </w:rPr>
              <w:t>Districts and private school officials are advised to use the notes section of the Affirmation of Consultation (new in FY20) to record details of consultation topics.</w:t>
            </w:r>
          </w:p>
          <w:p w14:paraId="73A1A76E" w14:textId="77777777" w:rsidR="00E24F4E" w:rsidRPr="00295A4A" w:rsidRDefault="00E24F4E" w:rsidP="00E24F4E">
            <w:pPr>
              <w:autoSpaceDE w:val="0"/>
              <w:autoSpaceDN w:val="0"/>
              <w:adjustRightInd w:val="0"/>
              <w:ind w:left="522"/>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p>
        </w:tc>
      </w:tr>
      <w:tr w:rsidR="001F4A38" w:rsidRPr="00057EA2" w14:paraId="5B2097B3" w14:textId="77777777" w:rsidTr="00BC0368">
        <w:trPr>
          <w:cnfStyle w:val="000000100000" w:firstRow="0" w:lastRow="0" w:firstColumn="0" w:lastColumn="0" w:oddVBand="0" w:evenVBand="0" w:oddHBand="1" w:evenHBand="0" w:firstRowFirstColumn="0" w:firstRowLastColumn="0" w:lastRowFirstColumn="0" w:lastRowLastColumn="0"/>
          <w:trHeight w:val="2945"/>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833C0B" w:themeColor="accent2" w:themeShade="80"/>
            </w:tcBorders>
          </w:tcPr>
          <w:p w14:paraId="10F8018B" w14:textId="77777777" w:rsidR="004607CB" w:rsidRPr="00AC66A8" w:rsidRDefault="004607CB" w:rsidP="00C430E6">
            <w:pPr>
              <w:autoSpaceDE w:val="0"/>
              <w:autoSpaceDN w:val="0"/>
              <w:adjustRightInd w:val="0"/>
              <w:rPr>
                <w:rFonts w:ascii="Calibri" w:hAnsi="Calibri" w:cs="Times New Roman"/>
                <w:color w:val="000000"/>
                <w:sz w:val="21"/>
                <w:szCs w:val="21"/>
              </w:rPr>
            </w:pPr>
            <w:r w:rsidRPr="00AC66A8">
              <w:rPr>
                <w:rFonts w:ascii="Calibri" w:hAnsi="Calibri" w:cs="Times New Roman"/>
                <w:color w:val="000000"/>
                <w:sz w:val="21"/>
                <w:szCs w:val="21"/>
              </w:rPr>
              <w:t>5</w:t>
            </w:r>
          </w:p>
        </w:tc>
        <w:tc>
          <w:tcPr>
            <w:tcW w:w="1800" w:type="dxa"/>
          </w:tcPr>
          <w:p w14:paraId="155FDD42" w14:textId="77777777" w:rsidR="004607CB" w:rsidRPr="005C18D7" w:rsidRDefault="004607CB" w:rsidP="00C430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Times New Roman"/>
                <w:b/>
                <w:color w:val="000000"/>
                <w:sz w:val="20"/>
                <w:szCs w:val="20"/>
              </w:rPr>
            </w:pPr>
            <w:r w:rsidRPr="005C18D7">
              <w:rPr>
                <w:rFonts w:ascii="Calibri" w:hAnsi="Calibri" w:cs="Times New Roman"/>
                <w:b/>
                <w:color w:val="000000"/>
                <w:sz w:val="20"/>
                <w:szCs w:val="20"/>
              </w:rPr>
              <w:t>Consolidated Workbook</w:t>
            </w:r>
          </w:p>
        </w:tc>
        <w:tc>
          <w:tcPr>
            <w:tcW w:w="8460" w:type="dxa"/>
            <w:tcBorders>
              <w:right w:val="single" w:sz="4" w:space="0" w:color="833C0B" w:themeColor="accent2" w:themeShade="80"/>
            </w:tcBorders>
          </w:tcPr>
          <w:p w14:paraId="19B7E374" w14:textId="29FEFCB5" w:rsidR="004607CB" w:rsidRPr="00295A4A" w:rsidRDefault="004607CB" w:rsidP="00C430E6">
            <w:pPr>
              <w:numPr>
                <w:ilvl w:val="0"/>
                <w:numId w:val="2"/>
              </w:numPr>
              <w:autoSpaceDE w:val="0"/>
              <w:autoSpaceDN w:val="0"/>
              <w:adjustRightInd w:val="0"/>
              <w:ind w:left="522"/>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sz w:val="18"/>
                <w:szCs w:val="18"/>
              </w:rPr>
            </w:pPr>
            <w:r w:rsidRPr="00295A4A">
              <w:rPr>
                <w:rFonts w:ascii="Calibri" w:hAnsi="Calibri" w:cs="Times New Roman"/>
                <w:color w:val="000000"/>
                <w:sz w:val="18"/>
                <w:szCs w:val="18"/>
              </w:rPr>
              <w:t>Using enrollment data for eligible students in participating private schools, districts should complete the “Private School Services” section of the ESSA consolidated workbook to determine appropriate set-asides for services for each participating private school (or for “pooling” where elected, see box below for more details on this option).</w:t>
            </w:r>
          </w:p>
          <w:p w14:paraId="3E9D8EA4" w14:textId="77777777" w:rsidR="005C18D7" w:rsidRPr="00295A4A" w:rsidRDefault="005C18D7" w:rsidP="00C430E6">
            <w:pPr>
              <w:numPr>
                <w:ilvl w:val="0"/>
                <w:numId w:val="2"/>
              </w:numPr>
              <w:autoSpaceDE w:val="0"/>
              <w:autoSpaceDN w:val="0"/>
              <w:adjustRightInd w:val="0"/>
              <w:ind w:left="522"/>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sz w:val="18"/>
                <w:szCs w:val="18"/>
              </w:rPr>
            </w:pPr>
            <w:r w:rsidRPr="00295A4A">
              <w:rPr>
                <w:rFonts w:ascii="Calibri" w:hAnsi="Calibri" w:cs="Times New Roman"/>
                <w:color w:val="000000"/>
                <w:sz w:val="18"/>
                <w:szCs w:val="18"/>
              </w:rPr>
              <w:t xml:space="preserve">USED recommends that, where possible for Title I, the district and private schools use the same measure of poverty </w:t>
            </w:r>
            <w:r w:rsidR="00602CC6" w:rsidRPr="00295A4A">
              <w:rPr>
                <w:rFonts w:ascii="Calibri" w:hAnsi="Calibri" w:cs="Times New Roman"/>
                <w:color w:val="000000"/>
                <w:sz w:val="18"/>
                <w:szCs w:val="18"/>
              </w:rPr>
              <w:t xml:space="preserve">for </w:t>
            </w:r>
            <w:r w:rsidRPr="00295A4A">
              <w:rPr>
                <w:rFonts w:ascii="Calibri" w:hAnsi="Calibri" w:cs="Times New Roman"/>
                <w:color w:val="000000"/>
                <w:sz w:val="18"/>
                <w:szCs w:val="18"/>
              </w:rPr>
              <w:t>counting eligible students.</w:t>
            </w:r>
          </w:p>
          <w:p w14:paraId="3D75F794" w14:textId="77777777" w:rsidR="004607CB" w:rsidRPr="004118EC" w:rsidRDefault="004607CB" w:rsidP="00C430E6">
            <w:pPr>
              <w:numPr>
                <w:ilvl w:val="0"/>
                <w:numId w:val="2"/>
              </w:numPr>
              <w:autoSpaceDE w:val="0"/>
              <w:autoSpaceDN w:val="0"/>
              <w:adjustRightInd w:val="0"/>
              <w:ind w:left="522"/>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sz w:val="18"/>
                <w:szCs w:val="18"/>
              </w:rPr>
            </w:pPr>
            <w:r w:rsidRPr="00295A4A">
              <w:rPr>
                <w:rFonts w:ascii="Calibri" w:hAnsi="Calibri" w:cs="Times New Roman"/>
                <w:color w:val="000000"/>
                <w:sz w:val="18"/>
                <w:szCs w:val="18"/>
              </w:rPr>
              <w:t xml:space="preserve">Note that for Title I </w:t>
            </w:r>
            <w:r w:rsidRPr="00295A4A">
              <w:rPr>
                <w:rFonts w:ascii="Calibri" w:hAnsi="Calibri" w:cs="Times New Roman"/>
                <w:i/>
                <w:color w:val="000000"/>
                <w:sz w:val="18"/>
                <w:szCs w:val="18"/>
                <w:u w:val="single"/>
              </w:rPr>
              <w:t>only</w:t>
            </w:r>
            <w:r w:rsidRPr="00295A4A">
              <w:rPr>
                <w:rFonts w:ascii="Calibri" w:hAnsi="Calibri" w:cs="Times New Roman"/>
                <w:color w:val="000000"/>
                <w:sz w:val="18"/>
                <w:szCs w:val="18"/>
              </w:rPr>
              <w:t xml:space="preserve">, equitable services are based on a district’s full allocation, prior to taking any allowable expenses or </w:t>
            </w:r>
            <w:r w:rsidR="00602CC6" w:rsidRPr="00295A4A">
              <w:rPr>
                <w:rFonts w:ascii="Calibri" w:hAnsi="Calibri" w:cs="Times New Roman"/>
                <w:color w:val="000000"/>
                <w:sz w:val="18"/>
                <w:szCs w:val="18"/>
              </w:rPr>
              <w:t>reservations.</w:t>
            </w:r>
          </w:p>
          <w:p w14:paraId="1B5ED9DF" w14:textId="5FD66CB4" w:rsidR="004118EC" w:rsidRPr="00295A4A" w:rsidRDefault="004118EC" w:rsidP="00C430E6">
            <w:pPr>
              <w:numPr>
                <w:ilvl w:val="0"/>
                <w:numId w:val="2"/>
              </w:numPr>
              <w:autoSpaceDE w:val="0"/>
              <w:autoSpaceDN w:val="0"/>
              <w:adjustRightInd w:val="0"/>
              <w:ind w:left="522"/>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sz w:val="18"/>
                <w:szCs w:val="18"/>
              </w:rPr>
            </w:pPr>
            <w:r>
              <w:rPr>
                <w:rFonts w:ascii="Calibri" w:hAnsi="Calibri" w:cs="Times New Roman"/>
                <w:color w:val="000000"/>
                <w:sz w:val="18"/>
                <w:szCs w:val="18"/>
              </w:rPr>
              <w:t>For districts with Title I allocations that exceed $500,000, at least 1% of the allocation must be reserved for carrying out family engagement activities. This requirement applies to such districts’ private school equitable share as well</w:t>
            </w:r>
            <w:r w:rsidR="00EE7D27">
              <w:rPr>
                <w:rFonts w:ascii="Calibri" w:hAnsi="Calibri" w:cs="Times New Roman"/>
                <w:color w:val="000000"/>
                <w:sz w:val="18"/>
                <w:szCs w:val="18"/>
              </w:rPr>
              <w:t>. Therefore,</w:t>
            </w:r>
            <w:r>
              <w:rPr>
                <w:rFonts w:ascii="Calibri" w:hAnsi="Calibri" w:cs="Times New Roman"/>
                <w:color w:val="000000"/>
                <w:sz w:val="18"/>
                <w:szCs w:val="18"/>
              </w:rPr>
              <w:t xml:space="preserve"> 1% of </w:t>
            </w:r>
            <w:r w:rsidR="00EE7D27">
              <w:rPr>
                <w:rFonts w:ascii="Calibri" w:hAnsi="Calibri" w:cs="Times New Roman"/>
                <w:color w:val="000000"/>
                <w:sz w:val="18"/>
                <w:szCs w:val="18"/>
              </w:rPr>
              <w:t>the equitable share for private school services</w:t>
            </w:r>
            <w:r>
              <w:rPr>
                <w:rFonts w:ascii="Calibri" w:hAnsi="Calibri" w:cs="Times New Roman"/>
                <w:color w:val="000000"/>
                <w:sz w:val="18"/>
                <w:szCs w:val="18"/>
              </w:rPr>
              <w:t xml:space="preserve"> must be </w:t>
            </w:r>
            <w:r w:rsidR="00EE7D27">
              <w:rPr>
                <w:rFonts w:ascii="Calibri" w:hAnsi="Calibri" w:cs="Times New Roman"/>
                <w:color w:val="000000"/>
                <w:sz w:val="18"/>
                <w:szCs w:val="18"/>
              </w:rPr>
              <w:t>dedicated to</w:t>
            </w:r>
            <w:r>
              <w:rPr>
                <w:rFonts w:ascii="Calibri" w:hAnsi="Calibri" w:cs="Times New Roman"/>
                <w:color w:val="000000"/>
                <w:sz w:val="18"/>
                <w:szCs w:val="18"/>
              </w:rPr>
              <w:t xml:space="preserve"> family engagement activities for private school participating families.</w:t>
            </w:r>
          </w:p>
          <w:p w14:paraId="71A7C5F9" w14:textId="77777777" w:rsidR="00602CC6" w:rsidRPr="00295A4A" w:rsidRDefault="00602CC6" w:rsidP="00C430E6">
            <w:pPr>
              <w:numPr>
                <w:ilvl w:val="0"/>
                <w:numId w:val="2"/>
              </w:numPr>
              <w:autoSpaceDE w:val="0"/>
              <w:autoSpaceDN w:val="0"/>
              <w:adjustRightInd w:val="0"/>
              <w:ind w:left="522"/>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bCs/>
                <w:color w:val="000000"/>
                <w:sz w:val="18"/>
                <w:szCs w:val="18"/>
              </w:rPr>
            </w:pPr>
            <w:r w:rsidRPr="00295A4A">
              <w:rPr>
                <w:rFonts w:ascii="Calibri" w:hAnsi="Calibri" w:cs="Times New Roman"/>
                <w:bCs/>
                <w:color w:val="000000"/>
                <w:sz w:val="18"/>
                <w:szCs w:val="18"/>
              </w:rPr>
              <w:t>If your district elects to “flex” or transfer funds from Title IIA or Title IVA to another Title, equitable service reservations are calculated based on post-flexing amounts for each grant.</w:t>
            </w:r>
          </w:p>
          <w:p w14:paraId="4C62E029" w14:textId="77777777" w:rsidR="004607CB" w:rsidRPr="00295A4A" w:rsidRDefault="004607CB" w:rsidP="00C430E6">
            <w:pPr>
              <w:numPr>
                <w:ilvl w:val="0"/>
                <w:numId w:val="2"/>
              </w:numPr>
              <w:autoSpaceDE w:val="0"/>
              <w:autoSpaceDN w:val="0"/>
              <w:adjustRightInd w:val="0"/>
              <w:ind w:left="522"/>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sz w:val="18"/>
                <w:szCs w:val="18"/>
              </w:rPr>
            </w:pPr>
            <w:r w:rsidRPr="00295A4A">
              <w:rPr>
                <w:rFonts w:ascii="Calibri" w:hAnsi="Calibri" w:cs="Times New Roman"/>
                <w:color w:val="000000"/>
                <w:sz w:val="18"/>
                <w:szCs w:val="18"/>
              </w:rPr>
              <w:t>Lead districts for consortia (Schedule A)</w:t>
            </w:r>
            <w:r w:rsidR="005C18D7" w:rsidRPr="00295A4A">
              <w:rPr>
                <w:rFonts w:ascii="Calibri" w:hAnsi="Calibri" w:cs="Times New Roman"/>
                <w:color w:val="000000"/>
                <w:sz w:val="18"/>
                <w:szCs w:val="18"/>
              </w:rPr>
              <w:t xml:space="preserve"> for Titles II, III</w:t>
            </w:r>
            <w:r w:rsidR="00F57257" w:rsidRPr="00295A4A">
              <w:rPr>
                <w:rFonts w:ascii="Calibri" w:hAnsi="Calibri" w:cs="Times New Roman"/>
                <w:color w:val="000000"/>
                <w:sz w:val="18"/>
                <w:szCs w:val="18"/>
              </w:rPr>
              <w:t>,</w:t>
            </w:r>
            <w:r w:rsidR="005C18D7" w:rsidRPr="00295A4A">
              <w:rPr>
                <w:rFonts w:ascii="Calibri" w:hAnsi="Calibri" w:cs="Times New Roman"/>
                <w:color w:val="000000"/>
                <w:sz w:val="18"/>
                <w:szCs w:val="18"/>
              </w:rPr>
              <w:t xml:space="preserve"> and IV</w:t>
            </w:r>
            <w:r w:rsidRPr="00295A4A">
              <w:rPr>
                <w:rFonts w:ascii="Calibri" w:hAnsi="Calibri" w:cs="Times New Roman"/>
                <w:color w:val="000000"/>
                <w:sz w:val="18"/>
                <w:szCs w:val="18"/>
              </w:rPr>
              <w:t xml:space="preserve"> should be sure to supply total enrollment for the consortium </w:t>
            </w:r>
            <w:proofErr w:type="gramStart"/>
            <w:r w:rsidRPr="00295A4A">
              <w:rPr>
                <w:rFonts w:ascii="Calibri" w:hAnsi="Calibri" w:cs="Times New Roman"/>
                <w:color w:val="000000"/>
                <w:sz w:val="18"/>
                <w:szCs w:val="18"/>
              </w:rPr>
              <w:t>where</w:t>
            </w:r>
            <w:proofErr w:type="gramEnd"/>
            <w:r w:rsidRPr="00295A4A">
              <w:rPr>
                <w:rFonts w:ascii="Calibri" w:hAnsi="Calibri" w:cs="Times New Roman"/>
                <w:color w:val="000000"/>
                <w:sz w:val="18"/>
                <w:szCs w:val="18"/>
              </w:rPr>
              <w:t xml:space="preserve"> indicated in the workbook to ensure accurate set-asides for equitable services.</w:t>
            </w:r>
          </w:p>
          <w:p w14:paraId="083E64BB" w14:textId="77777777" w:rsidR="004607CB" w:rsidRPr="00295A4A" w:rsidRDefault="004607CB" w:rsidP="00C430E6">
            <w:pPr>
              <w:numPr>
                <w:ilvl w:val="0"/>
                <w:numId w:val="2"/>
              </w:numPr>
              <w:autoSpaceDE w:val="0"/>
              <w:autoSpaceDN w:val="0"/>
              <w:adjustRightInd w:val="0"/>
              <w:ind w:left="522"/>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bCs/>
                <w:color w:val="000000"/>
                <w:sz w:val="18"/>
                <w:szCs w:val="18"/>
              </w:rPr>
            </w:pPr>
            <w:r w:rsidRPr="00295A4A">
              <w:rPr>
                <w:rFonts w:ascii="Calibri" w:hAnsi="Calibri" w:cs="Times New Roman"/>
                <w:color w:val="000000"/>
                <w:sz w:val="18"/>
                <w:szCs w:val="18"/>
              </w:rPr>
              <w:t>Private-school enrollment for calculating funding for equitable services does not include pre-kindergarten students, although these students may be served as determined by consultation.</w:t>
            </w:r>
          </w:p>
          <w:p w14:paraId="5CAB199F" w14:textId="77777777" w:rsidR="00C7394F" w:rsidRPr="00295A4A" w:rsidRDefault="00C7394F" w:rsidP="00C430E6">
            <w:pPr>
              <w:numPr>
                <w:ilvl w:val="0"/>
                <w:numId w:val="2"/>
              </w:numPr>
              <w:autoSpaceDE w:val="0"/>
              <w:autoSpaceDN w:val="0"/>
              <w:adjustRightInd w:val="0"/>
              <w:ind w:left="522"/>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bCs/>
                <w:color w:val="000000"/>
                <w:sz w:val="18"/>
                <w:szCs w:val="18"/>
              </w:rPr>
            </w:pPr>
            <w:r w:rsidRPr="00295A4A">
              <w:rPr>
                <w:rFonts w:ascii="Calibri" w:hAnsi="Calibri" w:cs="Times New Roman"/>
                <w:color w:val="000000"/>
                <w:sz w:val="18"/>
                <w:szCs w:val="18"/>
              </w:rPr>
              <w:t>Note that for Titles II, III</w:t>
            </w:r>
            <w:r w:rsidR="00F57257" w:rsidRPr="00295A4A">
              <w:rPr>
                <w:rFonts w:ascii="Calibri" w:hAnsi="Calibri" w:cs="Times New Roman"/>
                <w:color w:val="000000"/>
                <w:sz w:val="18"/>
                <w:szCs w:val="18"/>
              </w:rPr>
              <w:t>,</w:t>
            </w:r>
            <w:r w:rsidRPr="00295A4A">
              <w:rPr>
                <w:rFonts w:ascii="Calibri" w:hAnsi="Calibri" w:cs="Times New Roman"/>
                <w:color w:val="000000"/>
                <w:sz w:val="18"/>
                <w:szCs w:val="18"/>
              </w:rPr>
              <w:t xml:space="preserve"> and IV</w:t>
            </w:r>
            <w:r w:rsidR="00F57257" w:rsidRPr="00295A4A">
              <w:rPr>
                <w:rFonts w:ascii="Calibri" w:hAnsi="Calibri" w:cs="Times New Roman"/>
                <w:color w:val="000000"/>
                <w:sz w:val="18"/>
                <w:szCs w:val="18"/>
              </w:rPr>
              <w:t>,</w:t>
            </w:r>
            <w:r w:rsidRPr="00295A4A">
              <w:rPr>
                <w:rFonts w:ascii="Calibri" w:hAnsi="Calibri" w:cs="Times New Roman"/>
                <w:color w:val="000000"/>
                <w:sz w:val="18"/>
                <w:szCs w:val="18"/>
              </w:rPr>
              <w:t xml:space="preserve"> the amount reserved for equitable services may be calculated based on factors such as relative enrollment and/or need. See </w:t>
            </w:r>
            <w:hyperlink r:id="rId30" w:history="1">
              <w:r w:rsidRPr="00295A4A">
                <w:rPr>
                  <w:rStyle w:val="Hyperlink"/>
                  <w:rFonts w:ascii="Calibri" w:hAnsi="Calibri"/>
                  <w:sz w:val="18"/>
                  <w:szCs w:val="18"/>
                </w:rPr>
                <w:t>federal non-regulatory guidance</w:t>
              </w:r>
            </w:hyperlink>
            <w:r w:rsidRPr="00295A4A">
              <w:rPr>
                <w:rFonts w:ascii="Calibri" w:hAnsi="Calibri" w:cs="Times New Roman"/>
                <w:color w:val="000000"/>
                <w:sz w:val="18"/>
                <w:szCs w:val="18"/>
              </w:rPr>
              <w:t xml:space="preserve"> </w:t>
            </w:r>
            <w:r w:rsidR="004C63AF" w:rsidRPr="00295A4A">
              <w:rPr>
                <w:rFonts w:ascii="Calibri" w:hAnsi="Calibri" w:cs="Times New Roman"/>
                <w:color w:val="000000"/>
                <w:sz w:val="18"/>
                <w:szCs w:val="18"/>
              </w:rPr>
              <w:t xml:space="preserve">(Section F) </w:t>
            </w:r>
            <w:r w:rsidRPr="00295A4A">
              <w:rPr>
                <w:rFonts w:ascii="Calibri" w:hAnsi="Calibri" w:cs="Times New Roman"/>
                <w:color w:val="000000"/>
                <w:sz w:val="18"/>
                <w:szCs w:val="18"/>
              </w:rPr>
              <w:t>for more information.</w:t>
            </w:r>
          </w:p>
          <w:p w14:paraId="2B02D1BD" w14:textId="77777777" w:rsidR="00593E3E" w:rsidRPr="00295A4A" w:rsidRDefault="00593E3E" w:rsidP="00593E3E">
            <w:pPr>
              <w:numPr>
                <w:ilvl w:val="0"/>
                <w:numId w:val="2"/>
              </w:numPr>
              <w:autoSpaceDE w:val="0"/>
              <w:autoSpaceDN w:val="0"/>
              <w:adjustRightInd w:val="0"/>
              <w:ind w:left="522"/>
              <w:contextualSpacing/>
              <w:cnfStyle w:val="000000100000" w:firstRow="0" w:lastRow="0" w:firstColumn="0" w:lastColumn="0" w:oddVBand="0" w:evenVBand="0" w:oddHBand="1" w:evenHBand="0" w:firstRowFirstColumn="0" w:firstRowLastColumn="0" w:lastRowFirstColumn="0" w:lastRowLastColumn="0"/>
              <w:rPr>
                <w:rFonts w:ascii="Calibri" w:hAnsi="Calibri" w:cs="Times New Roman"/>
                <w:b/>
                <w:bCs/>
                <w:color w:val="000000"/>
                <w:sz w:val="18"/>
                <w:szCs w:val="18"/>
              </w:rPr>
            </w:pPr>
            <w:r w:rsidRPr="00295A4A">
              <w:rPr>
                <w:rFonts w:ascii="Calibri" w:hAnsi="Calibri" w:cs="Times New Roman"/>
                <w:color w:val="000000"/>
                <w:sz w:val="18"/>
                <w:szCs w:val="18"/>
              </w:rPr>
              <w:t xml:space="preserve">Note that should a district have low-income enrollment information for a private school, that school’s low-income students will generate funds to be reserved for equitable services, </w:t>
            </w:r>
            <w:proofErr w:type="gramStart"/>
            <w:r w:rsidRPr="00295A4A">
              <w:rPr>
                <w:rFonts w:ascii="Calibri" w:hAnsi="Calibri" w:cs="Times New Roman"/>
                <w:i/>
                <w:color w:val="000000"/>
                <w:sz w:val="18"/>
                <w:szCs w:val="18"/>
              </w:rPr>
              <w:t>whether or not</w:t>
            </w:r>
            <w:proofErr w:type="gramEnd"/>
            <w:r w:rsidRPr="00295A4A">
              <w:rPr>
                <w:rFonts w:ascii="Calibri" w:hAnsi="Calibri" w:cs="Times New Roman"/>
                <w:i/>
                <w:color w:val="000000"/>
                <w:sz w:val="18"/>
                <w:szCs w:val="18"/>
              </w:rPr>
              <w:t xml:space="preserve"> that private school elects to participate. </w:t>
            </w:r>
            <w:r w:rsidRPr="00295A4A">
              <w:rPr>
                <w:rFonts w:ascii="Calibri" w:hAnsi="Calibri" w:cs="Times New Roman"/>
                <w:color w:val="000000"/>
                <w:sz w:val="18"/>
                <w:szCs w:val="18"/>
              </w:rPr>
              <w:t xml:space="preserve">The funds generated will be allocated for services for other participating private schools.  </w:t>
            </w:r>
          </w:p>
          <w:p w14:paraId="2635057F" w14:textId="77777777" w:rsidR="004607CB" w:rsidRPr="00295A4A" w:rsidRDefault="004607CB" w:rsidP="00C430E6">
            <w:pPr>
              <w:autoSpaceDE w:val="0"/>
              <w:autoSpaceDN w:val="0"/>
              <w:adjustRightInd w:val="0"/>
              <w:ind w:left="162"/>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 w:val="18"/>
                <w:szCs w:val="18"/>
              </w:rPr>
            </w:pPr>
          </w:p>
        </w:tc>
      </w:tr>
      <w:tr w:rsidR="009925AB" w:rsidRPr="00057EA2" w14:paraId="25CE072B" w14:textId="77777777" w:rsidTr="00AA4AB6">
        <w:trPr>
          <w:trHeight w:val="65"/>
        </w:trPr>
        <w:tc>
          <w:tcPr>
            <w:cnfStyle w:val="001000000000" w:firstRow="0" w:lastRow="0" w:firstColumn="1" w:lastColumn="0" w:oddVBand="0" w:evenVBand="0" w:oddHBand="0" w:evenHBand="0" w:firstRowFirstColumn="0" w:firstRowLastColumn="0" w:lastRowFirstColumn="0" w:lastRowLastColumn="0"/>
            <w:tcW w:w="625" w:type="dxa"/>
            <w:tcBorders>
              <w:left w:val="single" w:sz="4" w:space="0" w:color="833C0B" w:themeColor="accent2" w:themeShade="80"/>
              <w:bottom w:val="single" w:sz="4" w:space="0" w:color="auto"/>
            </w:tcBorders>
          </w:tcPr>
          <w:p w14:paraId="0C68A192" w14:textId="77777777" w:rsidR="009925AB" w:rsidRPr="00AC66A8" w:rsidRDefault="009925AB" w:rsidP="00C430E6">
            <w:pPr>
              <w:autoSpaceDE w:val="0"/>
              <w:autoSpaceDN w:val="0"/>
              <w:adjustRightInd w:val="0"/>
              <w:rPr>
                <w:rFonts w:ascii="Calibri" w:hAnsi="Calibri" w:cs="Times New Roman"/>
                <w:color w:val="000000"/>
                <w:sz w:val="21"/>
                <w:szCs w:val="21"/>
              </w:rPr>
            </w:pPr>
            <w:r w:rsidRPr="00AC66A8">
              <w:rPr>
                <w:rFonts w:ascii="Calibri" w:hAnsi="Calibri" w:cs="Times New Roman"/>
                <w:color w:val="000000"/>
                <w:sz w:val="21"/>
                <w:szCs w:val="21"/>
              </w:rPr>
              <w:t>6</w:t>
            </w:r>
          </w:p>
        </w:tc>
        <w:tc>
          <w:tcPr>
            <w:tcW w:w="1800" w:type="dxa"/>
            <w:tcBorders>
              <w:bottom w:val="single" w:sz="4" w:space="0" w:color="auto"/>
            </w:tcBorders>
            <w:shd w:val="clear" w:color="auto" w:fill="FBD4B4"/>
          </w:tcPr>
          <w:p w14:paraId="250B14F7" w14:textId="77777777" w:rsidR="009925AB" w:rsidRPr="00294B47" w:rsidRDefault="00AA4AB6" w:rsidP="00C430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Times New Roman"/>
                <w:b/>
                <w:color w:val="000000"/>
                <w:sz w:val="20"/>
                <w:szCs w:val="20"/>
              </w:rPr>
            </w:pPr>
            <w:r>
              <w:rPr>
                <w:rFonts w:ascii="Calibri" w:hAnsi="Calibri" w:cs="Times New Roman"/>
                <w:b/>
                <w:color w:val="000000"/>
                <w:sz w:val="20"/>
                <w:szCs w:val="20"/>
              </w:rPr>
              <w:t>Implementation of S</w:t>
            </w:r>
            <w:r w:rsidR="009925AB" w:rsidRPr="00294B47">
              <w:rPr>
                <w:rFonts w:ascii="Calibri" w:hAnsi="Calibri" w:cs="Times New Roman"/>
                <w:b/>
                <w:color w:val="000000"/>
                <w:sz w:val="20"/>
                <w:szCs w:val="20"/>
              </w:rPr>
              <w:t>ervices</w:t>
            </w:r>
          </w:p>
        </w:tc>
        <w:tc>
          <w:tcPr>
            <w:tcW w:w="8460" w:type="dxa"/>
            <w:tcBorders>
              <w:bottom w:val="single" w:sz="4" w:space="0" w:color="auto"/>
              <w:right w:val="single" w:sz="4" w:space="0" w:color="833C0B" w:themeColor="accent2" w:themeShade="80"/>
            </w:tcBorders>
            <w:shd w:val="clear" w:color="auto" w:fill="FBD4B4"/>
          </w:tcPr>
          <w:p w14:paraId="353000AD" w14:textId="77777777" w:rsidR="009925AB" w:rsidRPr="00295A4A" w:rsidRDefault="009925AB" w:rsidP="00C430E6">
            <w:pPr>
              <w:numPr>
                <w:ilvl w:val="0"/>
                <w:numId w:val="2"/>
              </w:numPr>
              <w:autoSpaceDE w:val="0"/>
              <w:autoSpaceDN w:val="0"/>
              <w:adjustRightInd w:val="0"/>
              <w:ind w:left="522"/>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18"/>
                <w:szCs w:val="18"/>
              </w:rPr>
            </w:pPr>
            <w:r w:rsidRPr="00295A4A">
              <w:rPr>
                <w:rFonts w:ascii="Calibri" w:hAnsi="Calibri" w:cs="Times New Roman"/>
                <w:color w:val="000000"/>
                <w:sz w:val="18"/>
                <w:szCs w:val="18"/>
              </w:rPr>
              <w:t>Districts mus</w:t>
            </w:r>
            <w:r w:rsidR="00875A91" w:rsidRPr="00295A4A">
              <w:rPr>
                <w:rFonts w:ascii="Calibri" w:hAnsi="Calibri" w:cs="Times New Roman"/>
                <w:color w:val="000000"/>
                <w:sz w:val="18"/>
                <w:szCs w:val="18"/>
              </w:rPr>
              <w:t xml:space="preserve">t maintain control over funding, </w:t>
            </w:r>
            <w:r w:rsidRPr="00295A4A">
              <w:rPr>
                <w:rFonts w:ascii="Calibri" w:hAnsi="Calibri" w:cs="Times New Roman"/>
                <w:color w:val="000000"/>
                <w:sz w:val="18"/>
                <w:szCs w:val="18"/>
              </w:rPr>
              <w:t xml:space="preserve">evaluation and supervision of services provided to private school teachers/students. Funds are never provided directly to </w:t>
            </w:r>
            <w:r w:rsidR="00F57257" w:rsidRPr="00295A4A">
              <w:rPr>
                <w:rFonts w:ascii="Calibri" w:hAnsi="Calibri" w:cs="Times New Roman"/>
                <w:color w:val="000000"/>
                <w:sz w:val="18"/>
                <w:szCs w:val="18"/>
              </w:rPr>
              <w:t xml:space="preserve">a </w:t>
            </w:r>
            <w:r w:rsidRPr="00295A4A">
              <w:rPr>
                <w:rFonts w:ascii="Calibri" w:hAnsi="Calibri" w:cs="Times New Roman"/>
                <w:color w:val="000000"/>
                <w:sz w:val="18"/>
                <w:szCs w:val="18"/>
              </w:rPr>
              <w:t xml:space="preserve">private school. </w:t>
            </w:r>
          </w:p>
          <w:p w14:paraId="0D96C87D" w14:textId="77777777" w:rsidR="009925AB" w:rsidRPr="00295A4A" w:rsidRDefault="009925AB" w:rsidP="00C430E6">
            <w:pPr>
              <w:numPr>
                <w:ilvl w:val="0"/>
                <w:numId w:val="2"/>
              </w:numPr>
              <w:autoSpaceDE w:val="0"/>
              <w:autoSpaceDN w:val="0"/>
              <w:adjustRightInd w:val="0"/>
              <w:ind w:left="522"/>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18"/>
                <w:szCs w:val="18"/>
              </w:rPr>
            </w:pPr>
            <w:r w:rsidRPr="00295A4A">
              <w:rPr>
                <w:rFonts w:ascii="Calibri" w:hAnsi="Calibri" w:cs="Times New Roman"/>
                <w:color w:val="000000"/>
                <w:sz w:val="18"/>
                <w:szCs w:val="18"/>
              </w:rPr>
              <w:t xml:space="preserve">From its </w:t>
            </w:r>
            <w:r w:rsidRPr="00295A4A">
              <w:rPr>
                <w:rFonts w:ascii="Calibri" w:hAnsi="Calibri" w:cs="Times New Roman"/>
                <w:color w:val="000000"/>
                <w:sz w:val="18"/>
                <w:szCs w:val="18"/>
                <w:u w:val="single"/>
              </w:rPr>
              <w:t>Title I reservation for equitable services</w:t>
            </w:r>
            <w:r w:rsidRPr="00295A4A">
              <w:rPr>
                <w:rFonts w:ascii="Calibri" w:hAnsi="Calibri" w:cs="Times New Roman"/>
                <w:color w:val="000000"/>
                <w:sz w:val="18"/>
                <w:szCs w:val="18"/>
              </w:rPr>
              <w:t xml:space="preserve">, </w:t>
            </w:r>
            <w:r w:rsidR="00875A91" w:rsidRPr="00295A4A">
              <w:rPr>
                <w:rFonts w:ascii="Calibri" w:hAnsi="Calibri" w:cs="Times New Roman"/>
                <w:color w:val="000000"/>
                <w:sz w:val="18"/>
                <w:szCs w:val="18"/>
              </w:rPr>
              <w:t xml:space="preserve">1) </w:t>
            </w:r>
            <w:r w:rsidRPr="00295A4A">
              <w:rPr>
                <w:rFonts w:ascii="Calibri" w:hAnsi="Calibri" w:cs="Times New Roman"/>
                <w:color w:val="000000"/>
                <w:sz w:val="18"/>
                <w:szCs w:val="18"/>
              </w:rPr>
              <w:t xml:space="preserve">districts may reserve a necessary and reasonable amount for administrative </w:t>
            </w:r>
            <w:r w:rsidR="00602CC6" w:rsidRPr="00295A4A">
              <w:rPr>
                <w:rFonts w:ascii="Calibri" w:hAnsi="Calibri" w:cs="Times New Roman"/>
                <w:color w:val="000000"/>
                <w:sz w:val="18"/>
                <w:szCs w:val="18"/>
              </w:rPr>
              <w:t xml:space="preserve">and indirect </w:t>
            </w:r>
            <w:r w:rsidRPr="00295A4A">
              <w:rPr>
                <w:rFonts w:ascii="Calibri" w:hAnsi="Calibri" w:cs="Times New Roman"/>
                <w:color w:val="000000"/>
                <w:sz w:val="18"/>
                <w:szCs w:val="18"/>
              </w:rPr>
              <w:t xml:space="preserve">costs for providing those services, and 2) for districts required to reserve </w:t>
            </w:r>
            <w:r w:rsidR="004C63AF" w:rsidRPr="00295A4A">
              <w:rPr>
                <w:rFonts w:ascii="Calibri" w:hAnsi="Calibri" w:cs="Times New Roman"/>
                <w:color w:val="000000"/>
                <w:sz w:val="18"/>
                <w:szCs w:val="18"/>
              </w:rPr>
              <w:t xml:space="preserve">at least 1% of Title I </w:t>
            </w:r>
            <w:r w:rsidRPr="00295A4A">
              <w:rPr>
                <w:rFonts w:ascii="Calibri" w:hAnsi="Calibri" w:cs="Times New Roman"/>
                <w:color w:val="000000"/>
                <w:sz w:val="18"/>
                <w:szCs w:val="18"/>
              </w:rPr>
              <w:t xml:space="preserve">funds for family engagement activities, </w:t>
            </w:r>
            <w:r w:rsidR="00875A91" w:rsidRPr="00295A4A">
              <w:rPr>
                <w:rFonts w:ascii="Calibri" w:hAnsi="Calibri" w:cs="Times New Roman"/>
                <w:color w:val="000000"/>
                <w:sz w:val="18"/>
                <w:szCs w:val="18"/>
              </w:rPr>
              <w:t xml:space="preserve">districts </w:t>
            </w:r>
            <w:r w:rsidR="00875A91" w:rsidRPr="00295A4A">
              <w:rPr>
                <w:rFonts w:ascii="Calibri" w:hAnsi="Calibri" w:cs="Times New Roman"/>
                <w:i/>
                <w:color w:val="000000"/>
                <w:sz w:val="18"/>
                <w:szCs w:val="18"/>
              </w:rPr>
              <w:t>must</w:t>
            </w:r>
            <w:r w:rsidR="00875A91" w:rsidRPr="00295A4A">
              <w:rPr>
                <w:rFonts w:ascii="Calibri" w:hAnsi="Calibri" w:cs="Times New Roman"/>
                <w:color w:val="000000"/>
                <w:sz w:val="18"/>
                <w:szCs w:val="18"/>
              </w:rPr>
              <w:t xml:space="preserve"> reserve at </w:t>
            </w:r>
            <w:r w:rsidR="00602CC6" w:rsidRPr="00295A4A">
              <w:rPr>
                <w:rFonts w:ascii="Calibri" w:hAnsi="Calibri" w:cs="Times New Roman"/>
                <w:color w:val="000000"/>
                <w:sz w:val="18"/>
                <w:szCs w:val="18"/>
              </w:rPr>
              <w:t xml:space="preserve">least 1% </w:t>
            </w:r>
            <w:r w:rsidRPr="00295A4A">
              <w:rPr>
                <w:rFonts w:ascii="Calibri" w:hAnsi="Calibri" w:cs="Times New Roman"/>
                <w:color w:val="000000"/>
                <w:sz w:val="18"/>
                <w:szCs w:val="18"/>
              </w:rPr>
              <w:t xml:space="preserve">for </w:t>
            </w:r>
            <w:r w:rsidR="00602CC6" w:rsidRPr="00295A4A">
              <w:rPr>
                <w:rFonts w:ascii="Calibri" w:hAnsi="Calibri" w:cs="Times New Roman"/>
                <w:color w:val="000000"/>
                <w:sz w:val="18"/>
                <w:szCs w:val="18"/>
              </w:rPr>
              <w:t>district-arranged</w:t>
            </w:r>
            <w:r w:rsidRPr="00295A4A">
              <w:rPr>
                <w:rFonts w:ascii="Calibri" w:hAnsi="Calibri" w:cs="Times New Roman"/>
                <w:color w:val="000000"/>
                <w:sz w:val="18"/>
                <w:szCs w:val="18"/>
              </w:rPr>
              <w:t xml:space="preserve"> activities for families of eligible private school students.</w:t>
            </w:r>
          </w:p>
          <w:p w14:paraId="6C961C81" w14:textId="77777777" w:rsidR="009925AB" w:rsidRPr="00295A4A" w:rsidRDefault="009925AB" w:rsidP="00C430E6">
            <w:pPr>
              <w:numPr>
                <w:ilvl w:val="0"/>
                <w:numId w:val="2"/>
              </w:numPr>
              <w:autoSpaceDE w:val="0"/>
              <w:autoSpaceDN w:val="0"/>
              <w:adjustRightInd w:val="0"/>
              <w:ind w:left="522"/>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18"/>
                <w:szCs w:val="18"/>
              </w:rPr>
            </w:pPr>
            <w:r w:rsidRPr="00295A4A">
              <w:rPr>
                <w:rFonts w:ascii="Calibri" w:hAnsi="Calibri" w:cs="Times New Roman"/>
                <w:color w:val="000000"/>
                <w:sz w:val="18"/>
                <w:szCs w:val="18"/>
              </w:rPr>
              <w:t xml:space="preserve">For guidance on contracts with third parties providing services for private school students and teachers, see </w:t>
            </w:r>
            <w:hyperlink r:id="rId31" w:history="1">
              <w:r w:rsidRPr="00295A4A">
                <w:rPr>
                  <w:rFonts w:ascii="Calibri" w:hAnsi="Calibri" w:cs="Times New Roman"/>
                  <w:color w:val="3043F8"/>
                  <w:sz w:val="18"/>
                  <w:szCs w:val="18"/>
                  <w:u w:val="single"/>
                </w:rPr>
                <w:t>DESE</w:t>
              </w:r>
              <w:r w:rsidR="009B3D46" w:rsidRPr="00295A4A">
                <w:rPr>
                  <w:rFonts w:ascii="Calibri" w:hAnsi="Calibri" w:cs="Times New Roman"/>
                  <w:color w:val="3043F8"/>
                  <w:sz w:val="18"/>
                  <w:szCs w:val="18"/>
                  <w:u w:val="single"/>
                </w:rPr>
                <w:t>’s</w:t>
              </w:r>
              <w:r w:rsidRPr="00295A4A">
                <w:rPr>
                  <w:rFonts w:ascii="Calibri" w:hAnsi="Calibri" w:cs="Times New Roman"/>
                  <w:color w:val="3043F8"/>
                  <w:sz w:val="18"/>
                  <w:szCs w:val="18"/>
                  <w:u w:val="single"/>
                </w:rPr>
                <w:t xml:space="preserve"> resource</w:t>
              </w:r>
              <w:r w:rsidR="009B3D46" w:rsidRPr="00295A4A">
                <w:rPr>
                  <w:rFonts w:ascii="Calibri" w:hAnsi="Calibri" w:cs="Times New Roman"/>
                  <w:color w:val="3043F8"/>
                  <w:sz w:val="18"/>
                  <w:szCs w:val="18"/>
                  <w:u w:val="single"/>
                </w:rPr>
                <w:t xml:space="preserve"> on third party contract</w:t>
              </w:r>
              <w:r w:rsidRPr="00295A4A">
                <w:rPr>
                  <w:rFonts w:ascii="Calibri" w:hAnsi="Calibri" w:cs="Times New Roman"/>
                  <w:color w:val="3043F8"/>
                  <w:sz w:val="18"/>
                  <w:szCs w:val="18"/>
                  <w:u w:val="single"/>
                </w:rPr>
                <w:t>s</w:t>
              </w:r>
            </w:hyperlink>
            <w:r w:rsidRPr="00295A4A">
              <w:rPr>
                <w:rFonts w:ascii="Calibri" w:hAnsi="Calibri" w:cs="Times New Roman"/>
                <w:color w:val="3043F8"/>
                <w:sz w:val="18"/>
                <w:szCs w:val="18"/>
              </w:rPr>
              <w:t>.</w:t>
            </w:r>
          </w:p>
          <w:p w14:paraId="55D06A70" w14:textId="77777777" w:rsidR="009925AB" w:rsidRPr="00295A4A" w:rsidRDefault="009925AB" w:rsidP="00C430E6">
            <w:pPr>
              <w:numPr>
                <w:ilvl w:val="0"/>
                <w:numId w:val="2"/>
              </w:numPr>
              <w:autoSpaceDE w:val="0"/>
              <w:autoSpaceDN w:val="0"/>
              <w:adjustRightInd w:val="0"/>
              <w:ind w:left="522"/>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18"/>
                <w:szCs w:val="18"/>
              </w:rPr>
            </w:pPr>
            <w:r w:rsidRPr="00295A4A">
              <w:rPr>
                <w:rFonts w:ascii="Calibri" w:hAnsi="Calibri" w:cs="Times New Roman"/>
                <w:color w:val="000000"/>
                <w:sz w:val="18"/>
                <w:szCs w:val="18"/>
              </w:rPr>
              <w:t>Districts retain ownership of any equipment or supplies purchased for equitable services and should remove them from private schools if no longer used for equitable services or</w:t>
            </w:r>
            <w:r w:rsidR="009B3D46" w:rsidRPr="00295A4A">
              <w:rPr>
                <w:rFonts w:ascii="Calibri" w:hAnsi="Calibri" w:cs="Times New Roman"/>
                <w:color w:val="000000"/>
                <w:sz w:val="18"/>
                <w:szCs w:val="18"/>
              </w:rPr>
              <w:t>,</w:t>
            </w:r>
            <w:r w:rsidRPr="00295A4A">
              <w:rPr>
                <w:rFonts w:ascii="Calibri" w:hAnsi="Calibri" w:cs="Times New Roman"/>
                <w:color w:val="000000"/>
                <w:sz w:val="18"/>
                <w:szCs w:val="18"/>
              </w:rPr>
              <w:t xml:space="preserve"> if necessary</w:t>
            </w:r>
            <w:r w:rsidR="009B3D46" w:rsidRPr="00295A4A">
              <w:rPr>
                <w:rFonts w:ascii="Calibri" w:hAnsi="Calibri" w:cs="Times New Roman"/>
                <w:color w:val="000000"/>
                <w:sz w:val="18"/>
                <w:szCs w:val="18"/>
              </w:rPr>
              <w:t>,</w:t>
            </w:r>
            <w:r w:rsidRPr="00295A4A">
              <w:rPr>
                <w:rFonts w:ascii="Calibri" w:hAnsi="Calibri" w:cs="Times New Roman"/>
                <w:color w:val="000000"/>
                <w:sz w:val="18"/>
                <w:szCs w:val="18"/>
              </w:rPr>
              <w:t xml:space="preserve"> to prevent unauthorized use.</w:t>
            </w:r>
          </w:p>
          <w:p w14:paraId="379021FB" w14:textId="77777777" w:rsidR="009925AB" w:rsidRPr="00295A4A" w:rsidRDefault="009925AB" w:rsidP="00C430E6">
            <w:pPr>
              <w:numPr>
                <w:ilvl w:val="0"/>
                <w:numId w:val="2"/>
              </w:numPr>
              <w:autoSpaceDE w:val="0"/>
              <w:autoSpaceDN w:val="0"/>
              <w:adjustRightInd w:val="0"/>
              <w:ind w:left="522"/>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18"/>
                <w:szCs w:val="18"/>
              </w:rPr>
            </w:pPr>
            <w:r w:rsidRPr="00295A4A">
              <w:rPr>
                <w:rFonts w:ascii="Calibri" w:hAnsi="Calibri" w:cs="Times New Roman"/>
                <w:color w:val="000000"/>
                <w:sz w:val="18"/>
                <w:szCs w:val="18"/>
              </w:rPr>
              <w:t xml:space="preserve">Services must benefit students rather than </w:t>
            </w:r>
            <w:proofErr w:type="gramStart"/>
            <w:r w:rsidRPr="00295A4A">
              <w:rPr>
                <w:rFonts w:ascii="Calibri" w:hAnsi="Calibri" w:cs="Times New Roman"/>
                <w:color w:val="000000"/>
                <w:sz w:val="18"/>
                <w:szCs w:val="18"/>
              </w:rPr>
              <w:t>the private school</w:t>
            </w:r>
            <w:proofErr w:type="gramEnd"/>
            <w:r w:rsidRPr="00295A4A">
              <w:rPr>
                <w:rFonts w:ascii="Calibri" w:hAnsi="Calibri" w:cs="Times New Roman"/>
                <w:color w:val="000000"/>
                <w:sz w:val="18"/>
                <w:szCs w:val="18"/>
              </w:rPr>
              <w:t>. Therefore, services must be supplemental to those regularly provided by the private school.</w:t>
            </w:r>
          </w:p>
          <w:p w14:paraId="2F74651D" w14:textId="77777777" w:rsidR="009925AB" w:rsidRPr="00295A4A" w:rsidRDefault="009925AB" w:rsidP="00C430E6">
            <w:pPr>
              <w:numPr>
                <w:ilvl w:val="0"/>
                <w:numId w:val="2"/>
              </w:numPr>
              <w:autoSpaceDE w:val="0"/>
              <w:autoSpaceDN w:val="0"/>
              <w:adjustRightInd w:val="0"/>
              <w:ind w:left="522"/>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18"/>
                <w:szCs w:val="18"/>
              </w:rPr>
            </w:pPr>
            <w:r w:rsidRPr="00295A4A">
              <w:rPr>
                <w:rFonts w:ascii="Calibri" w:hAnsi="Calibri" w:cs="Times New Roman"/>
                <w:color w:val="000000"/>
                <w:sz w:val="18"/>
                <w:szCs w:val="18"/>
              </w:rPr>
              <w:t>Services must be neutral, secular, and non-ideological.</w:t>
            </w:r>
          </w:p>
          <w:p w14:paraId="1F57D597" w14:textId="21E1A2DD" w:rsidR="009925AB" w:rsidRPr="00295A4A" w:rsidRDefault="009925AB" w:rsidP="00C430E6">
            <w:pPr>
              <w:numPr>
                <w:ilvl w:val="0"/>
                <w:numId w:val="2"/>
              </w:numPr>
              <w:autoSpaceDE w:val="0"/>
              <w:autoSpaceDN w:val="0"/>
              <w:adjustRightInd w:val="0"/>
              <w:ind w:left="522"/>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18"/>
                <w:szCs w:val="18"/>
              </w:rPr>
            </w:pPr>
            <w:r w:rsidRPr="00295A4A">
              <w:rPr>
                <w:rFonts w:ascii="Calibri" w:hAnsi="Calibri" w:cs="Times New Roman"/>
                <w:color w:val="000000"/>
                <w:sz w:val="18"/>
                <w:szCs w:val="18"/>
              </w:rPr>
              <w:t xml:space="preserve">DESE will publish </w:t>
            </w:r>
            <w:hyperlink r:id="rId32" w:history="1">
              <w:r w:rsidRPr="00295A4A">
                <w:rPr>
                  <w:rStyle w:val="Hyperlink"/>
                  <w:rFonts w:ascii="Calibri" w:hAnsi="Calibri"/>
                  <w:sz w:val="18"/>
                  <w:szCs w:val="18"/>
                </w:rPr>
                <w:t>district allocations for equitable services</w:t>
              </w:r>
            </w:hyperlink>
            <w:r w:rsidR="00875A91" w:rsidRPr="00295A4A">
              <w:rPr>
                <w:rFonts w:ascii="Calibri" w:hAnsi="Calibri" w:cs="Times New Roman"/>
                <w:color w:val="000000"/>
                <w:sz w:val="18"/>
                <w:szCs w:val="18"/>
              </w:rPr>
              <w:t xml:space="preserve"> by private school annually.</w:t>
            </w:r>
            <w:r w:rsidR="00E948CC" w:rsidRPr="00295A4A">
              <w:rPr>
                <w:rFonts w:ascii="Calibri" w:hAnsi="Calibri" w:cs="Times New Roman"/>
                <w:color w:val="000000"/>
                <w:sz w:val="18"/>
                <w:szCs w:val="18"/>
              </w:rPr>
              <w:t xml:space="preserve"> </w:t>
            </w:r>
            <w:r w:rsidR="00875A91" w:rsidRPr="00295A4A">
              <w:rPr>
                <w:rFonts w:ascii="Calibri" w:hAnsi="Calibri" w:cs="Times New Roman"/>
                <w:color w:val="000000"/>
                <w:sz w:val="18"/>
                <w:szCs w:val="18"/>
              </w:rPr>
              <w:t>Districts should estimate the available funds for equitable services for the next school year based on the prior year’s reservation for initial consultations.</w:t>
            </w:r>
            <w:r w:rsidR="00E948CC" w:rsidRPr="00295A4A">
              <w:rPr>
                <w:rFonts w:ascii="Calibri" w:hAnsi="Calibri" w:cs="Times New Roman"/>
                <w:color w:val="000000"/>
                <w:sz w:val="18"/>
                <w:szCs w:val="18"/>
              </w:rPr>
              <w:t xml:space="preserve"> </w:t>
            </w:r>
            <w:r w:rsidR="00875A91" w:rsidRPr="00295A4A">
              <w:rPr>
                <w:rFonts w:ascii="Calibri" w:hAnsi="Calibri" w:cs="Times New Roman"/>
                <w:color w:val="000000"/>
                <w:sz w:val="18"/>
                <w:szCs w:val="18"/>
              </w:rPr>
              <w:t>Once final reservations have been calculated, districts must notify participating private schools.</w:t>
            </w:r>
          </w:p>
          <w:p w14:paraId="07A9C359" w14:textId="77777777" w:rsidR="009925AB" w:rsidRPr="00295A4A" w:rsidRDefault="009925AB" w:rsidP="00C430E6">
            <w:pPr>
              <w:numPr>
                <w:ilvl w:val="0"/>
                <w:numId w:val="2"/>
              </w:numPr>
              <w:autoSpaceDE w:val="0"/>
              <w:autoSpaceDN w:val="0"/>
              <w:adjustRightInd w:val="0"/>
              <w:ind w:left="522"/>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18"/>
                <w:szCs w:val="18"/>
              </w:rPr>
            </w:pPr>
            <w:r w:rsidRPr="00295A4A">
              <w:rPr>
                <w:rFonts w:ascii="Calibri" w:hAnsi="Calibri" w:cs="Times New Roman"/>
                <w:color w:val="000000"/>
                <w:sz w:val="18"/>
                <w:szCs w:val="18"/>
              </w:rPr>
              <w:t xml:space="preserve">The entire cycle for provision of equitable services, from offer to consult to a district’s evaluation of services, will be part of DESE’s monitoring protocol. </w:t>
            </w:r>
          </w:p>
          <w:p w14:paraId="16B7D75F" w14:textId="77777777" w:rsidR="009925AB" w:rsidRPr="00583983" w:rsidRDefault="009925AB" w:rsidP="00C430E6">
            <w:pPr>
              <w:autoSpaceDE w:val="0"/>
              <w:autoSpaceDN w:val="0"/>
              <w:adjustRightInd w:val="0"/>
              <w:ind w:left="522"/>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0"/>
                <w:szCs w:val="20"/>
              </w:rPr>
            </w:pPr>
          </w:p>
        </w:tc>
      </w:tr>
    </w:tbl>
    <w:p w14:paraId="3261895B" w14:textId="77777777" w:rsidR="00295A4A" w:rsidRPr="00C42D9A" w:rsidRDefault="00295A4A" w:rsidP="00C42D9A"/>
    <w:tbl>
      <w:tblPr>
        <w:tblStyle w:val="GridTable5Dark-Accent61"/>
        <w:tblpPr w:leftFromText="180" w:rightFromText="180" w:vertAnchor="text" w:horzAnchor="margin" w:tblpX="-375" w:tblpY="76"/>
        <w:tblOverlap w:val="never"/>
        <w:tblW w:w="1088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none" w:sz="0" w:space="0" w:color="auto"/>
          <w:insideV w:val="none" w:sz="0" w:space="0" w:color="auto"/>
        </w:tblBorders>
        <w:tblLayout w:type="fixed"/>
        <w:tblLook w:val="04A0" w:firstRow="1" w:lastRow="0" w:firstColumn="1" w:lastColumn="0" w:noHBand="0" w:noVBand="1"/>
        <w:tblDescription w:val="private school services step by step"/>
      </w:tblPr>
      <w:tblGrid>
        <w:gridCol w:w="625"/>
        <w:gridCol w:w="1710"/>
        <w:gridCol w:w="8550"/>
      </w:tblGrid>
      <w:tr w:rsidR="00875A91" w:rsidRPr="00AC66A8" w14:paraId="52516CC8" w14:textId="77777777" w:rsidTr="00A410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5" w:type="dxa"/>
            <w:tcBorders>
              <w:top w:val="none" w:sz="0" w:space="0" w:color="auto"/>
              <w:left w:val="none" w:sz="0" w:space="0" w:color="auto"/>
              <w:bottom w:val="none" w:sz="0" w:space="0" w:color="auto"/>
              <w:right w:val="none" w:sz="0" w:space="0" w:color="auto"/>
            </w:tcBorders>
          </w:tcPr>
          <w:p w14:paraId="4E73DE18" w14:textId="77777777" w:rsidR="00875A91" w:rsidRPr="00AC66A8" w:rsidRDefault="00875A91" w:rsidP="00A34F03">
            <w:pPr>
              <w:autoSpaceDE w:val="0"/>
              <w:autoSpaceDN w:val="0"/>
              <w:adjustRightInd w:val="0"/>
              <w:ind w:left="-20"/>
              <w:rPr>
                <w:rFonts w:ascii="Calibri" w:hAnsi="Calibri" w:cs="Times New Roman"/>
                <w:color w:val="000000"/>
                <w:sz w:val="21"/>
                <w:szCs w:val="21"/>
              </w:rPr>
            </w:pPr>
            <w:r w:rsidRPr="00AC66A8">
              <w:rPr>
                <w:rFonts w:ascii="Calibri" w:hAnsi="Calibri" w:cs="Times New Roman"/>
                <w:color w:val="000000"/>
                <w:sz w:val="21"/>
                <w:szCs w:val="21"/>
              </w:rPr>
              <w:lastRenderedPageBreak/>
              <w:t>Step</w:t>
            </w:r>
          </w:p>
        </w:tc>
        <w:tc>
          <w:tcPr>
            <w:tcW w:w="1710" w:type="dxa"/>
            <w:tcBorders>
              <w:top w:val="none" w:sz="0" w:space="0" w:color="auto"/>
              <w:left w:val="none" w:sz="0" w:space="0" w:color="auto"/>
              <w:bottom w:val="single" w:sz="4" w:space="0" w:color="auto"/>
              <w:right w:val="none" w:sz="0" w:space="0" w:color="auto"/>
            </w:tcBorders>
          </w:tcPr>
          <w:p w14:paraId="4E1C205A" w14:textId="77777777" w:rsidR="00875A91" w:rsidRPr="00AC66A8" w:rsidRDefault="00875A91" w:rsidP="00A34F0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21"/>
                <w:szCs w:val="21"/>
              </w:rPr>
            </w:pPr>
            <w:r w:rsidRPr="00AC66A8">
              <w:rPr>
                <w:rFonts w:ascii="Calibri" w:hAnsi="Calibri" w:cs="Times New Roman"/>
                <w:color w:val="000000"/>
                <w:sz w:val="21"/>
                <w:szCs w:val="21"/>
              </w:rPr>
              <w:t>Action</w:t>
            </w:r>
          </w:p>
        </w:tc>
        <w:tc>
          <w:tcPr>
            <w:tcW w:w="8550" w:type="dxa"/>
            <w:tcBorders>
              <w:top w:val="none" w:sz="0" w:space="0" w:color="auto"/>
              <w:left w:val="none" w:sz="0" w:space="0" w:color="auto"/>
              <w:right w:val="none" w:sz="0" w:space="0" w:color="auto"/>
            </w:tcBorders>
          </w:tcPr>
          <w:p w14:paraId="2811EA2C" w14:textId="77777777" w:rsidR="00875A91" w:rsidRPr="00AC66A8" w:rsidRDefault="00875A91" w:rsidP="00A34F0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21"/>
                <w:szCs w:val="21"/>
              </w:rPr>
            </w:pPr>
            <w:r w:rsidRPr="00AC66A8">
              <w:rPr>
                <w:rFonts w:ascii="Calibri" w:hAnsi="Calibri" w:cs="Times New Roman"/>
                <w:color w:val="000000"/>
                <w:sz w:val="21"/>
                <w:szCs w:val="21"/>
              </w:rPr>
              <w:t>Description</w:t>
            </w:r>
          </w:p>
        </w:tc>
      </w:tr>
    </w:tbl>
    <w:tbl>
      <w:tblPr>
        <w:tblStyle w:val="GridTable5Dark-Accent61"/>
        <w:tblpPr w:leftFromText="180" w:rightFromText="180" w:vertAnchor="text" w:horzAnchor="margin" w:tblpX="-365" w:tblpY="9"/>
        <w:tblW w:w="108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Description w:val="private school services step by step"/>
      </w:tblPr>
      <w:tblGrid>
        <w:gridCol w:w="625"/>
        <w:gridCol w:w="1710"/>
        <w:gridCol w:w="8550"/>
      </w:tblGrid>
      <w:tr w:rsidR="00AA4AB6" w:rsidRPr="00057EA2" w14:paraId="48BB73F6" w14:textId="77777777" w:rsidTr="00E523DC">
        <w:trPr>
          <w:cnfStyle w:val="100000000000" w:firstRow="1" w:lastRow="0" w:firstColumn="0" w:lastColumn="0" w:oddVBand="0" w:evenVBand="0" w:oddHBand="0" w:evenHBand="0" w:firstRowFirstColumn="0" w:firstRowLastColumn="0" w:lastRowFirstColumn="0" w:lastRowLastColumn="0"/>
          <w:trHeight w:val="1728"/>
          <w:tblHeader/>
        </w:trPr>
        <w:tc>
          <w:tcPr>
            <w:cnfStyle w:val="001000000000" w:firstRow="0" w:lastRow="0" w:firstColumn="1" w:lastColumn="0" w:oddVBand="0" w:evenVBand="0" w:oddHBand="0" w:evenHBand="0" w:firstRowFirstColumn="0" w:firstRowLastColumn="0" w:lastRowFirstColumn="0" w:lastRowLastColumn="0"/>
            <w:tcW w:w="625" w:type="dxa"/>
            <w:tcBorders>
              <w:top w:val="none" w:sz="0" w:space="0" w:color="auto"/>
              <w:left w:val="single" w:sz="4" w:space="0" w:color="auto"/>
              <w:bottom w:val="single" w:sz="4" w:space="0" w:color="auto"/>
              <w:right w:val="single" w:sz="4" w:space="0" w:color="FFFFFF" w:themeColor="background1"/>
            </w:tcBorders>
          </w:tcPr>
          <w:p w14:paraId="18C7037C" w14:textId="77777777" w:rsidR="00875A91" w:rsidRPr="00875A91" w:rsidRDefault="00875A91" w:rsidP="00875A91">
            <w:pPr>
              <w:autoSpaceDE w:val="0"/>
              <w:autoSpaceDN w:val="0"/>
              <w:adjustRightInd w:val="0"/>
              <w:rPr>
                <w:rFonts w:ascii="Calibri" w:hAnsi="Calibri" w:cs="Times New Roman"/>
                <w:color w:val="000000"/>
                <w:sz w:val="6"/>
                <w:szCs w:val="6"/>
              </w:rPr>
            </w:pPr>
          </w:p>
          <w:p w14:paraId="25DD62D2" w14:textId="77777777" w:rsidR="00875A91" w:rsidRPr="00AC66A8" w:rsidRDefault="00875A91" w:rsidP="00875A91">
            <w:pPr>
              <w:autoSpaceDE w:val="0"/>
              <w:autoSpaceDN w:val="0"/>
              <w:adjustRightInd w:val="0"/>
              <w:rPr>
                <w:rFonts w:ascii="Calibri" w:hAnsi="Calibri" w:cs="Times New Roman"/>
                <w:color w:val="000000"/>
                <w:sz w:val="21"/>
                <w:szCs w:val="21"/>
              </w:rPr>
            </w:pPr>
            <w:r>
              <w:rPr>
                <w:rFonts w:ascii="Calibri" w:hAnsi="Calibri" w:cs="Times New Roman"/>
                <w:color w:val="000000"/>
                <w:sz w:val="21"/>
                <w:szCs w:val="21"/>
              </w:rPr>
              <w:t>7</w:t>
            </w:r>
          </w:p>
        </w:tc>
        <w:tc>
          <w:tcPr>
            <w:tcW w:w="171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BD4B4"/>
          </w:tcPr>
          <w:p w14:paraId="3924E3A9" w14:textId="77777777" w:rsidR="00875A91" w:rsidRPr="00875A91" w:rsidRDefault="00875A91" w:rsidP="00875A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6"/>
                <w:szCs w:val="6"/>
              </w:rPr>
            </w:pPr>
          </w:p>
          <w:p w14:paraId="573EAE46" w14:textId="77777777" w:rsidR="00875A91" w:rsidRPr="007D2567" w:rsidRDefault="00875A91" w:rsidP="00875A9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20"/>
                <w:szCs w:val="20"/>
              </w:rPr>
            </w:pPr>
            <w:r w:rsidRPr="007D2567">
              <w:rPr>
                <w:rFonts w:ascii="Calibri" w:hAnsi="Calibri" w:cs="Times New Roman"/>
                <w:color w:val="000000"/>
                <w:sz w:val="20"/>
                <w:szCs w:val="20"/>
              </w:rPr>
              <w:t xml:space="preserve">Carryover </w:t>
            </w:r>
            <w:r w:rsidRPr="00AA4AB6">
              <w:rPr>
                <w:rFonts w:ascii="Calibri" w:hAnsi="Calibri" w:cs="Times New Roman"/>
                <w:bCs w:val="0"/>
                <w:color w:val="000000"/>
                <w:sz w:val="20"/>
                <w:szCs w:val="20"/>
              </w:rPr>
              <w:t>of</w:t>
            </w:r>
            <w:r w:rsidRPr="007D2567">
              <w:rPr>
                <w:rFonts w:ascii="Calibri" w:hAnsi="Calibri" w:cs="Times New Roman"/>
                <w:color w:val="000000"/>
                <w:sz w:val="20"/>
                <w:szCs w:val="20"/>
              </w:rPr>
              <w:t xml:space="preserve"> Funds</w:t>
            </w:r>
          </w:p>
        </w:tc>
        <w:tc>
          <w:tcPr>
            <w:tcW w:w="855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BD4B4"/>
          </w:tcPr>
          <w:p w14:paraId="1AB09224" w14:textId="77777777" w:rsidR="00875A91" w:rsidRPr="00AA4AB6" w:rsidRDefault="00875A91" w:rsidP="00875A91">
            <w:pPr>
              <w:autoSpaceDE w:val="0"/>
              <w:autoSpaceDN w:val="0"/>
              <w:adjustRightInd w:val="0"/>
              <w:spacing w:after="160" w:line="259" w:lineRule="auto"/>
              <w:ind w:left="522"/>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6"/>
                <w:szCs w:val="6"/>
              </w:rPr>
            </w:pPr>
          </w:p>
          <w:p w14:paraId="02E33956" w14:textId="77777777" w:rsidR="00875A91" w:rsidRPr="00295A4A" w:rsidRDefault="00875A91" w:rsidP="00875A91">
            <w:pPr>
              <w:numPr>
                <w:ilvl w:val="0"/>
                <w:numId w:val="2"/>
              </w:numPr>
              <w:autoSpaceDE w:val="0"/>
              <w:autoSpaceDN w:val="0"/>
              <w:adjustRightInd w:val="0"/>
              <w:spacing w:after="160" w:line="259" w:lineRule="auto"/>
              <w:ind w:left="522"/>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r w:rsidRPr="00295A4A">
              <w:rPr>
                <w:rFonts w:ascii="Calibri" w:hAnsi="Calibri" w:cs="Times New Roman"/>
                <w:b w:val="0"/>
                <w:color w:val="000000"/>
                <w:sz w:val="18"/>
                <w:szCs w:val="18"/>
              </w:rPr>
              <w:t xml:space="preserve">Funds for equitable services should be obligated in the first </w:t>
            </w:r>
            <w:r w:rsidRPr="00295A4A">
              <w:rPr>
                <w:rFonts w:ascii="Calibri" w:hAnsi="Calibri" w:cs="Times New Roman"/>
                <w:b w:val="0"/>
                <w:i/>
                <w:color w:val="000000"/>
                <w:sz w:val="18"/>
                <w:szCs w:val="18"/>
              </w:rPr>
              <w:t>federal</w:t>
            </w:r>
            <w:r w:rsidRPr="00295A4A">
              <w:rPr>
                <w:rFonts w:ascii="Calibri" w:hAnsi="Calibri" w:cs="Times New Roman"/>
                <w:b w:val="0"/>
                <w:color w:val="000000"/>
                <w:sz w:val="18"/>
                <w:szCs w:val="18"/>
              </w:rPr>
              <w:t xml:space="preserve"> fiscal year of the grant cycle (by September 30 of the second school year).</w:t>
            </w:r>
          </w:p>
          <w:p w14:paraId="621B4BF1" w14:textId="77777777" w:rsidR="00C10B8A" w:rsidRPr="00295A4A" w:rsidRDefault="006A7368" w:rsidP="00A34F03">
            <w:pPr>
              <w:numPr>
                <w:ilvl w:val="0"/>
                <w:numId w:val="2"/>
              </w:numPr>
              <w:autoSpaceDE w:val="0"/>
              <w:autoSpaceDN w:val="0"/>
              <w:adjustRightInd w:val="0"/>
              <w:spacing w:after="160" w:line="259" w:lineRule="auto"/>
              <w:ind w:left="522"/>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18"/>
                <w:szCs w:val="18"/>
              </w:rPr>
            </w:pPr>
            <w:r w:rsidRPr="00295A4A">
              <w:rPr>
                <w:rFonts w:ascii="Calibri" w:hAnsi="Calibri" w:cs="Times New Roman"/>
                <w:b w:val="0"/>
                <w:color w:val="000000"/>
                <w:sz w:val="18"/>
                <w:szCs w:val="18"/>
              </w:rPr>
              <w:t>However, c</w:t>
            </w:r>
            <w:r w:rsidR="00801D2C" w:rsidRPr="00295A4A">
              <w:rPr>
                <w:rFonts w:ascii="Calibri" w:hAnsi="Calibri" w:cs="Times New Roman"/>
                <w:b w:val="0"/>
                <w:color w:val="000000"/>
                <w:sz w:val="18"/>
                <w:szCs w:val="18"/>
              </w:rPr>
              <w:t>arryover of funds reserved for equitable services is not prohibited, and in most cases is required</w:t>
            </w:r>
            <w:r w:rsidR="00875A91" w:rsidRPr="00295A4A">
              <w:rPr>
                <w:rFonts w:ascii="Calibri" w:hAnsi="Calibri" w:cs="Times New Roman"/>
                <w:b w:val="0"/>
                <w:color w:val="000000"/>
                <w:sz w:val="18"/>
                <w:szCs w:val="18"/>
              </w:rPr>
              <w:t>.</w:t>
            </w:r>
            <w:r w:rsidR="00801D2C" w:rsidRPr="00295A4A">
              <w:rPr>
                <w:rFonts w:ascii="Calibri" w:hAnsi="Calibri" w:cs="Times New Roman"/>
                <w:color w:val="000000"/>
                <w:sz w:val="18"/>
                <w:szCs w:val="18"/>
              </w:rPr>
              <w:t xml:space="preserve"> </w:t>
            </w:r>
          </w:p>
          <w:p w14:paraId="4C3D4321" w14:textId="6FF82513" w:rsidR="00875A91" w:rsidRPr="00295A4A" w:rsidRDefault="006A7368" w:rsidP="00A34F03">
            <w:pPr>
              <w:numPr>
                <w:ilvl w:val="0"/>
                <w:numId w:val="2"/>
              </w:numPr>
              <w:autoSpaceDE w:val="0"/>
              <w:autoSpaceDN w:val="0"/>
              <w:adjustRightInd w:val="0"/>
              <w:spacing w:after="160" w:line="259" w:lineRule="auto"/>
              <w:ind w:left="522"/>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r w:rsidRPr="00295A4A">
              <w:rPr>
                <w:rFonts w:ascii="Calibri" w:hAnsi="Calibri" w:cs="Times New Roman"/>
                <w:color w:val="000000"/>
                <w:sz w:val="18"/>
                <w:szCs w:val="18"/>
              </w:rPr>
              <w:t>Title I:</w:t>
            </w:r>
            <w:r w:rsidR="00E948CC" w:rsidRPr="00295A4A">
              <w:rPr>
                <w:rFonts w:ascii="Calibri" w:hAnsi="Calibri" w:cs="Times New Roman"/>
                <w:b w:val="0"/>
                <w:color w:val="000000"/>
                <w:sz w:val="18"/>
                <w:szCs w:val="18"/>
              </w:rPr>
              <w:t xml:space="preserve"> </w:t>
            </w:r>
            <w:r w:rsidR="00C10B8A" w:rsidRPr="00295A4A">
              <w:rPr>
                <w:rFonts w:ascii="Calibri" w:hAnsi="Calibri" w:cs="Times New Roman"/>
                <w:b w:val="0"/>
                <w:color w:val="000000"/>
                <w:sz w:val="18"/>
                <w:szCs w:val="18"/>
              </w:rPr>
              <w:t xml:space="preserve">If </w:t>
            </w:r>
            <w:r w:rsidR="00235424" w:rsidRPr="00295A4A">
              <w:rPr>
                <w:rFonts w:ascii="Calibri" w:hAnsi="Calibri" w:cs="Times New Roman"/>
                <w:b w:val="0"/>
                <w:color w:val="000000"/>
                <w:sz w:val="18"/>
                <w:szCs w:val="18"/>
              </w:rPr>
              <w:t xml:space="preserve">funds remain at the end of the year because </w:t>
            </w:r>
            <w:r w:rsidR="00C10B8A" w:rsidRPr="00295A4A">
              <w:rPr>
                <w:rFonts w:ascii="Calibri" w:hAnsi="Calibri" w:cs="Times New Roman"/>
                <w:b w:val="0"/>
                <w:color w:val="000000"/>
                <w:sz w:val="18"/>
                <w:szCs w:val="18"/>
              </w:rPr>
              <w:t>services for a particular private school were delayed</w:t>
            </w:r>
            <w:r w:rsidR="00235424" w:rsidRPr="00295A4A">
              <w:rPr>
                <w:rFonts w:ascii="Calibri" w:hAnsi="Calibri" w:cs="Times New Roman"/>
                <w:b w:val="0"/>
                <w:color w:val="000000"/>
                <w:sz w:val="18"/>
                <w:szCs w:val="18"/>
              </w:rPr>
              <w:t xml:space="preserve"> or cost less than expected</w:t>
            </w:r>
            <w:r w:rsidR="00C10B8A" w:rsidRPr="00295A4A">
              <w:rPr>
                <w:rFonts w:ascii="Calibri" w:hAnsi="Calibri" w:cs="Times New Roman"/>
                <w:b w:val="0"/>
                <w:color w:val="000000"/>
                <w:sz w:val="18"/>
                <w:szCs w:val="18"/>
              </w:rPr>
              <w:t xml:space="preserve">, </w:t>
            </w:r>
            <w:r w:rsidR="00875A91" w:rsidRPr="00295A4A">
              <w:rPr>
                <w:rFonts w:ascii="Calibri" w:hAnsi="Calibri" w:cs="Times New Roman"/>
                <w:b w:val="0"/>
                <w:color w:val="000000"/>
                <w:sz w:val="18"/>
                <w:szCs w:val="18"/>
              </w:rPr>
              <w:t>Title I funds carried over to the next fiscal year remain designated for equitable services for the private school students from the original school for which they were reserved.</w:t>
            </w:r>
            <w:r w:rsidR="00E948CC" w:rsidRPr="00295A4A">
              <w:rPr>
                <w:rFonts w:ascii="Calibri" w:hAnsi="Calibri" w:cs="Times New Roman"/>
                <w:b w:val="0"/>
                <w:color w:val="000000"/>
                <w:sz w:val="18"/>
                <w:szCs w:val="18"/>
              </w:rPr>
              <w:t xml:space="preserve"> </w:t>
            </w:r>
            <w:r w:rsidR="00C10B8A" w:rsidRPr="00295A4A">
              <w:rPr>
                <w:rFonts w:ascii="Calibri" w:hAnsi="Calibri" w:cs="Times New Roman"/>
                <w:b w:val="0"/>
                <w:color w:val="000000"/>
                <w:sz w:val="18"/>
                <w:szCs w:val="18"/>
              </w:rPr>
              <w:t xml:space="preserve">If the </w:t>
            </w:r>
            <w:r w:rsidR="00235424" w:rsidRPr="00295A4A">
              <w:rPr>
                <w:rFonts w:ascii="Calibri" w:hAnsi="Calibri" w:cs="Times New Roman"/>
                <w:b w:val="0"/>
                <w:color w:val="000000"/>
                <w:sz w:val="18"/>
                <w:szCs w:val="18"/>
              </w:rPr>
              <w:t>original</w:t>
            </w:r>
            <w:r w:rsidR="00C10B8A" w:rsidRPr="00295A4A">
              <w:rPr>
                <w:rFonts w:ascii="Calibri" w:hAnsi="Calibri" w:cs="Times New Roman"/>
                <w:b w:val="0"/>
                <w:color w:val="000000"/>
                <w:sz w:val="18"/>
                <w:szCs w:val="18"/>
              </w:rPr>
              <w:t xml:space="preserve"> private school declines these services or </w:t>
            </w:r>
            <w:r w:rsidR="00235424" w:rsidRPr="00295A4A">
              <w:rPr>
                <w:rFonts w:ascii="Calibri" w:hAnsi="Calibri" w:cs="Times New Roman"/>
                <w:b w:val="0"/>
                <w:color w:val="000000"/>
                <w:sz w:val="18"/>
                <w:szCs w:val="18"/>
              </w:rPr>
              <w:t>if carryover results from closing of a private school</w:t>
            </w:r>
            <w:r w:rsidR="00C10B8A" w:rsidRPr="00295A4A">
              <w:rPr>
                <w:rFonts w:ascii="Calibri" w:hAnsi="Calibri" w:cs="Times New Roman"/>
                <w:b w:val="0"/>
                <w:color w:val="000000"/>
                <w:sz w:val="18"/>
                <w:szCs w:val="18"/>
              </w:rPr>
              <w:t>, these funds should be used</w:t>
            </w:r>
            <w:r w:rsidRPr="00295A4A">
              <w:rPr>
                <w:rFonts w:ascii="Calibri" w:hAnsi="Calibri" w:cs="Times New Roman"/>
                <w:b w:val="0"/>
                <w:color w:val="000000"/>
                <w:sz w:val="18"/>
                <w:szCs w:val="18"/>
              </w:rPr>
              <w:t xml:space="preserve"> in</w:t>
            </w:r>
            <w:r w:rsidR="00235424" w:rsidRPr="00295A4A">
              <w:rPr>
                <w:rFonts w:ascii="Calibri" w:hAnsi="Calibri" w:cs="Times New Roman"/>
                <w:b w:val="0"/>
                <w:color w:val="000000"/>
                <w:sz w:val="18"/>
                <w:szCs w:val="18"/>
              </w:rPr>
              <w:t xml:space="preserve"> the subsequent year </w:t>
            </w:r>
            <w:r w:rsidR="00C10B8A" w:rsidRPr="00295A4A">
              <w:rPr>
                <w:rFonts w:ascii="Calibri" w:hAnsi="Calibri" w:cs="Times New Roman"/>
                <w:b w:val="0"/>
                <w:color w:val="000000"/>
                <w:sz w:val="18"/>
                <w:szCs w:val="18"/>
              </w:rPr>
              <w:t xml:space="preserve">for any other participating private school, and </w:t>
            </w:r>
            <w:r w:rsidR="00235424" w:rsidRPr="00295A4A">
              <w:rPr>
                <w:rFonts w:ascii="Calibri" w:hAnsi="Calibri" w:cs="Times New Roman"/>
                <w:b w:val="0"/>
                <w:color w:val="000000"/>
                <w:sz w:val="18"/>
                <w:szCs w:val="18"/>
              </w:rPr>
              <w:t>then</w:t>
            </w:r>
            <w:r w:rsidR="00C10B8A" w:rsidRPr="00295A4A">
              <w:rPr>
                <w:rFonts w:ascii="Calibri" w:hAnsi="Calibri" w:cs="Times New Roman"/>
                <w:b w:val="0"/>
                <w:color w:val="000000"/>
                <w:sz w:val="18"/>
                <w:szCs w:val="18"/>
              </w:rPr>
              <w:t xml:space="preserve">, if </w:t>
            </w:r>
            <w:r w:rsidR="00235424" w:rsidRPr="00295A4A">
              <w:rPr>
                <w:rFonts w:ascii="Calibri" w:hAnsi="Calibri" w:cs="Times New Roman"/>
                <w:b w:val="0"/>
                <w:color w:val="000000"/>
                <w:sz w:val="18"/>
                <w:szCs w:val="18"/>
              </w:rPr>
              <w:t>funds</w:t>
            </w:r>
            <w:r w:rsidR="00C10B8A" w:rsidRPr="00295A4A">
              <w:rPr>
                <w:rFonts w:ascii="Calibri" w:hAnsi="Calibri" w:cs="Times New Roman"/>
                <w:b w:val="0"/>
                <w:color w:val="000000"/>
                <w:sz w:val="18"/>
                <w:szCs w:val="18"/>
              </w:rPr>
              <w:t xml:space="preserve"> cannot be used for a pa</w:t>
            </w:r>
            <w:r w:rsidRPr="00295A4A">
              <w:rPr>
                <w:rFonts w:ascii="Calibri" w:hAnsi="Calibri" w:cs="Times New Roman"/>
                <w:b w:val="0"/>
                <w:color w:val="000000"/>
                <w:sz w:val="18"/>
                <w:szCs w:val="18"/>
              </w:rPr>
              <w:t>rticipating private school,</w:t>
            </w:r>
            <w:r w:rsidR="001F3D6C" w:rsidRPr="00295A4A">
              <w:rPr>
                <w:rFonts w:ascii="Calibri" w:hAnsi="Calibri" w:cs="Times New Roman"/>
                <w:b w:val="0"/>
                <w:color w:val="000000"/>
                <w:sz w:val="18"/>
                <w:szCs w:val="18"/>
              </w:rPr>
              <w:t xml:space="preserve"> </w:t>
            </w:r>
            <w:r w:rsidR="00C10B8A" w:rsidRPr="00295A4A">
              <w:rPr>
                <w:rFonts w:ascii="Calibri" w:hAnsi="Calibri" w:cs="Times New Roman"/>
                <w:b w:val="0"/>
                <w:color w:val="000000"/>
                <w:sz w:val="18"/>
                <w:szCs w:val="18"/>
              </w:rPr>
              <w:t>for Title I services in district schools.</w:t>
            </w:r>
            <w:r w:rsidRPr="00295A4A">
              <w:rPr>
                <w:rFonts w:ascii="Calibri" w:hAnsi="Calibri" w:cs="Times New Roman"/>
                <w:b w:val="0"/>
                <w:color w:val="000000"/>
                <w:sz w:val="18"/>
                <w:szCs w:val="18"/>
              </w:rPr>
              <w:t xml:space="preserve"> (For more see </w:t>
            </w:r>
            <w:hyperlink r:id="rId33" w:history="1">
              <w:r w:rsidRPr="00295A4A">
                <w:rPr>
                  <w:rStyle w:val="Hyperlink"/>
                  <w:rFonts w:ascii="Calibri" w:hAnsi="Calibri"/>
                  <w:b w:val="0"/>
                  <w:bCs w:val="0"/>
                  <w:sz w:val="18"/>
                  <w:szCs w:val="18"/>
                </w:rPr>
                <w:t>USED Guidance</w:t>
              </w:r>
            </w:hyperlink>
            <w:r w:rsidRPr="00295A4A">
              <w:rPr>
                <w:rFonts w:ascii="Calibri" w:hAnsi="Calibri" w:cs="Times New Roman"/>
                <w:b w:val="0"/>
                <w:color w:val="000000"/>
                <w:sz w:val="18"/>
                <w:szCs w:val="18"/>
              </w:rPr>
              <w:t>, pp. 26-27).</w:t>
            </w:r>
          </w:p>
          <w:p w14:paraId="65452D04" w14:textId="77777777" w:rsidR="00875A91" w:rsidRPr="00295A4A" w:rsidRDefault="00875A91" w:rsidP="00875A91">
            <w:pPr>
              <w:autoSpaceDE w:val="0"/>
              <w:autoSpaceDN w:val="0"/>
              <w:adjustRightInd w:val="0"/>
              <w:spacing w:after="160" w:line="259" w:lineRule="auto"/>
              <w:ind w:left="522"/>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p>
          <w:p w14:paraId="29DCDF1A" w14:textId="2A44228F" w:rsidR="00875A91" w:rsidRPr="00295A4A" w:rsidRDefault="00875A91" w:rsidP="00875A91">
            <w:pPr>
              <w:numPr>
                <w:ilvl w:val="0"/>
                <w:numId w:val="2"/>
              </w:numPr>
              <w:autoSpaceDE w:val="0"/>
              <w:autoSpaceDN w:val="0"/>
              <w:adjustRightInd w:val="0"/>
              <w:spacing w:after="160" w:line="259" w:lineRule="auto"/>
              <w:ind w:left="522"/>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r w:rsidRPr="00295A4A">
              <w:rPr>
                <w:rFonts w:ascii="Calibri" w:hAnsi="Calibri" w:cs="Times New Roman"/>
                <w:color w:val="000000"/>
                <w:sz w:val="18"/>
                <w:szCs w:val="18"/>
              </w:rPr>
              <w:t>For Title II, III,</w:t>
            </w:r>
            <w:r w:rsidR="006A7368" w:rsidRPr="00295A4A">
              <w:rPr>
                <w:rFonts w:ascii="Calibri" w:hAnsi="Calibri" w:cs="Times New Roman"/>
                <w:color w:val="000000"/>
                <w:sz w:val="18"/>
                <w:szCs w:val="18"/>
              </w:rPr>
              <w:t xml:space="preserve"> and/or IV:</w:t>
            </w:r>
            <w:r w:rsidR="00E948CC" w:rsidRPr="00295A4A">
              <w:rPr>
                <w:rFonts w:ascii="Calibri" w:hAnsi="Calibri" w:cs="Times New Roman"/>
                <w:color w:val="000000"/>
                <w:sz w:val="18"/>
                <w:szCs w:val="18"/>
              </w:rPr>
              <w:t xml:space="preserve"> </w:t>
            </w:r>
            <w:r w:rsidRPr="00295A4A">
              <w:rPr>
                <w:rFonts w:ascii="Calibri" w:hAnsi="Calibri" w:cs="Times New Roman"/>
                <w:b w:val="0"/>
                <w:color w:val="000000"/>
                <w:sz w:val="18"/>
                <w:szCs w:val="18"/>
              </w:rPr>
              <w:t xml:space="preserve"> </w:t>
            </w:r>
            <w:r w:rsidR="00021055" w:rsidRPr="00295A4A">
              <w:rPr>
                <w:rFonts w:ascii="Calibri" w:hAnsi="Calibri" w:cs="Times New Roman"/>
                <w:b w:val="0"/>
                <w:color w:val="000000"/>
                <w:sz w:val="18"/>
                <w:szCs w:val="18"/>
              </w:rPr>
              <w:t>As with Title I funds, if services were delayed for original private schools, funds should be carried over and used for</w:t>
            </w:r>
            <w:r w:rsidR="00E948CC" w:rsidRPr="00295A4A">
              <w:rPr>
                <w:rFonts w:ascii="Calibri" w:hAnsi="Calibri" w:cs="Times New Roman"/>
                <w:b w:val="0"/>
                <w:color w:val="000000"/>
                <w:sz w:val="18"/>
                <w:szCs w:val="18"/>
              </w:rPr>
              <w:t xml:space="preserve"> </w:t>
            </w:r>
            <w:r w:rsidR="00021055" w:rsidRPr="00295A4A">
              <w:rPr>
                <w:rFonts w:ascii="Calibri" w:hAnsi="Calibri" w:cs="Times New Roman"/>
                <w:b w:val="0"/>
                <w:color w:val="000000"/>
                <w:sz w:val="18"/>
                <w:szCs w:val="18"/>
              </w:rPr>
              <w:t>the school for which they were originally reserved.</w:t>
            </w:r>
            <w:r w:rsidR="00E948CC" w:rsidRPr="00295A4A">
              <w:rPr>
                <w:rFonts w:ascii="Calibri" w:hAnsi="Calibri" w:cs="Times New Roman"/>
                <w:b w:val="0"/>
                <w:color w:val="000000"/>
                <w:sz w:val="18"/>
                <w:szCs w:val="18"/>
              </w:rPr>
              <w:t xml:space="preserve"> </w:t>
            </w:r>
            <w:r w:rsidR="00021055" w:rsidRPr="00295A4A">
              <w:rPr>
                <w:rFonts w:ascii="Calibri" w:hAnsi="Calibri" w:cs="Times New Roman"/>
                <w:b w:val="0"/>
                <w:color w:val="000000"/>
                <w:sz w:val="18"/>
                <w:szCs w:val="18"/>
              </w:rPr>
              <w:t>I</w:t>
            </w:r>
            <w:r w:rsidRPr="00295A4A">
              <w:rPr>
                <w:rFonts w:ascii="Calibri" w:hAnsi="Calibri" w:cs="Times New Roman"/>
                <w:b w:val="0"/>
                <w:color w:val="000000"/>
                <w:sz w:val="18"/>
                <w:szCs w:val="18"/>
              </w:rPr>
              <w:t xml:space="preserve">f carryover is not due to the district’s </w:t>
            </w:r>
            <w:r w:rsidR="00021055" w:rsidRPr="00295A4A">
              <w:rPr>
                <w:rFonts w:ascii="Calibri" w:hAnsi="Calibri" w:cs="Times New Roman"/>
                <w:b w:val="0"/>
                <w:color w:val="000000"/>
                <w:sz w:val="18"/>
                <w:szCs w:val="18"/>
              </w:rPr>
              <w:t>delay in providing</w:t>
            </w:r>
            <w:r w:rsidRPr="00295A4A">
              <w:rPr>
                <w:rFonts w:ascii="Calibri" w:hAnsi="Calibri" w:cs="Times New Roman"/>
                <w:b w:val="0"/>
                <w:color w:val="000000"/>
                <w:sz w:val="18"/>
                <w:szCs w:val="18"/>
              </w:rPr>
              <w:t xml:space="preserve"> services (i.e., private school closing, services cost less than estimated), </w:t>
            </w:r>
            <w:r w:rsidR="00021055" w:rsidRPr="00295A4A">
              <w:rPr>
                <w:rFonts w:ascii="Calibri" w:hAnsi="Calibri" w:cs="Times New Roman"/>
                <w:b w:val="0"/>
                <w:color w:val="000000"/>
                <w:sz w:val="18"/>
                <w:szCs w:val="18"/>
              </w:rPr>
              <w:t>carryover</w:t>
            </w:r>
            <w:r w:rsidRPr="00295A4A">
              <w:rPr>
                <w:rFonts w:ascii="Calibri" w:hAnsi="Calibri" w:cs="Times New Roman"/>
                <w:b w:val="0"/>
                <w:color w:val="000000"/>
                <w:sz w:val="18"/>
                <w:szCs w:val="18"/>
              </w:rPr>
              <w:t xml:space="preserve"> funds </w:t>
            </w:r>
            <w:r w:rsidR="00021055" w:rsidRPr="00295A4A">
              <w:rPr>
                <w:rFonts w:ascii="Calibri" w:hAnsi="Calibri" w:cs="Times New Roman"/>
                <w:b w:val="0"/>
                <w:color w:val="000000"/>
                <w:sz w:val="18"/>
                <w:szCs w:val="18"/>
              </w:rPr>
              <w:t>should be</w:t>
            </w:r>
            <w:r w:rsidRPr="00295A4A">
              <w:rPr>
                <w:rFonts w:ascii="Calibri" w:hAnsi="Calibri" w:cs="Times New Roman"/>
                <w:b w:val="0"/>
                <w:color w:val="000000"/>
                <w:sz w:val="18"/>
                <w:szCs w:val="18"/>
              </w:rPr>
              <w:t xml:space="preserve"> re-allocated in year two for services </w:t>
            </w:r>
            <w:r w:rsidRPr="00295A4A">
              <w:rPr>
                <w:rFonts w:ascii="Calibri" w:hAnsi="Calibri" w:cs="Times New Roman"/>
                <w:b w:val="0"/>
                <w:i/>
                <w:color w:val="000000"/>
                <w:sz w:val="18"/>
                <w:szCs w:val="18"/>
              </w:rPr>
              <w:t xml:space="preserve">for district </w:t>
            </w:r>
            <w:r w:rsidRPr="00295A4A">
              <w:rPr>
                <w:rFonts w:ascii="Calibri" w:hAnsi="Calibri" w:cs="Times New Roman"/>
                <w:b w:val="0"/>
                <w:i/>
                <w:color w:val="000000"/>
                <w:sz w:val="18"/>
                <w:szCs w:val="18"/>
                <w:u w:val="single"/>
              </w:rPr>
              <w:t>and</w:t>
            </w:r>
            <w:r w:rsidRPr="00295A4A">
              <w:rPr>
                <w:rFonts w:ascii="Calibri" w:hAnsi="Calibri" w:cs="Times New Roman"/>
                <w:b w:val="0"/>
                <w:i/>
                <w:color w:val="000000"/>
                <w:sz w:val="18"/>
                <w:szCs w:val="18"/>
              </w:rPr>
              <w:t xml:space="preserve"> any participating private school</w:t>
            </w:r>
            <w:r w:rsidR="00A35A65" w:rsidRPr="00295A4A">
              <w:rPr>
                <w:rFonts w:ascii="Calibri" w:hAnsi="Calibri" w:cs="Times New Roman"/>
                <w:b w:val="0"/>
                <w:i/>
                <w:color w:val="000000"/>
                <w:sz w:val="18"/>
                <w:szCs w:val="18"/>
              </w:rPr>
              <w:t>s for</w:t>
            </w:r>
            <w:r w:rsidRPr="00295A4A">
              <w:rPr>
                <w:rFonts w:ascii="Calibri" w:hAnsi="Calibri" w:cs="Times New Roman"/>
                <w:b w:val="0"/>
                <w:color w:val="000000"/>
                <w:sz w:val="18"/>
                <w:szCs w:val="18"/>
              </w:rPr>
              <w:t xml:space="preserve"> that Title. </w:t>
            </w:r>
          </w:p>
          <w:p w14:paraId="1967AA76" w14:textId="77777777" w:rsidR="00875A91" w:rsidRPr="00295A4A" w:rsidRDefault="00875A91" w:rsidP="00875A91">
            <w:pPr>
              <w:autoSpaceDE w:val="0"/>
              <w:autoSpaceDN w:val="0"/>
              <w:adjustRightInd w:val="0"/>
              <w:spacing w:after="160" w:line="259" w:lineRule="auto"/>
              <w:ind w:left="522"/>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b w:val="0"/>
                <w:color w:val="000000"/>
                <w:sz w:val="18"/>
                <w:szCs w:val="18"/>
              </w:rPr>
            </w:pPr>
          </w:p>
          <w:p w14:paraId="39032551" w14:textId="77777777" w:rsidR="00875A91" w:rsidRPr="00294B47" w:rsidRDefault="00875A91" w:rsidP="00875A91">
            <w:pPr>
              <w:autoSpaceDE w:val="0"/>
              <w:autoSpaceDN w:val="0"/>
              <w:adjustRightInd w:val="0"/>
              <w:ind w:left="720"/>
              <w:contextualSpacing/>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16"/>
                <w:szCs w:val="16"/>
              </w:rPr>
            </w:pPr>
          </w:p>
        </w:tc>
      </w:tr>
    </w:tbl>
    <w:p w14:paraId="5A5C6E8B" w14:textId="77777777" w:rsidR="00C86106" w:rsidRDefault="006A7368">
      <w:r w:rsidRPr="00AC66A8">
        <w:rPr>
          <w:rFonts w:ascii="Calibri" w:eastAsia="Calibri" w:hAnsi="Calibri" w:cs="Times New Roman"/>
          <w:bCs/>
          <w:i/>
          <w:noProof/>
          <w:color w:val="FFFFFF"/>
          <w:sz w:val="20"/>
          <w:szCs w:val="20"/>
        </w:rPr>
        <mc:AlternateContent>
          <mc:Choice Requires="wps">
            <w:drawing>
              <wp:anchor distT="0" distB="0" distL="114300" distR="114300" simplePos="0" relativeHeight="251671552" behindDoc="0" locked="0" layoutInCell="1" allowOverlap="1" wp14:anchorId="6813916B" wp14:editId="056AA1F5">
                <wp:simplePos x="0" y="0"/>
                <wp:positionH relativeFrom="page">
                  <wp:posOffset>196850</wp:posOffset>
                </wp:positionH>
                <wp:positionV relativeFrom="paragraph">
                  <wp:posOffset>3254307</wp:posOffset>
                </wp:positionV>
                <wp:extent cx="7359162" cy="2224454"/>
                <wp:effectExtent l="95250" t="38100" r="51435" b="118745"/>
                <wp:wrapNone/>
                <wp:docPr id="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59162" cy="2224454"/>
                        </a:xfrm>
                        <a:prstGeom prst="roundRect">
                          <a:avLst/>
                        </a:prstGeom>
                        <a:solidFill>
                          <a:schemeClr val="accent1">
                            <a:lumMod val="20000"/>
                            <a:lumOff val="80000"/>
                          </a:schemeClr>
                        </a:solidFill>
                        <a:ln>
                          <a:headEnd/>
                          <a:tailEnd/>
                        </a:ln>
                        <a:effectLst>
                          <a:outerShdw blurRad="50800" dist="38100" dir="8100000" algn="t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2F0B0805" w14:textId="77777777" w:rsidR="00A34F03" w:rsidRPr="00057EA2" w:rsidRDefault="00A34F03" w:rsidP="00C86106">
                            <w:pPr>
                              <w:spacing w:after="0"/>
                              <w:rPr>
                                <w:b/>
                                <w:color w:val="1F497D"/>
                                <w:szCs w:val="24"/>
                              </w:rPr>
                            </w:pPr>
                            <w:r w:rsidRPr="00057EA2">
                              <w:rPr>
                                <w:b/>
                                <w:color w:val="1F497D"/>
                                <w:szCs w:val="24"/>
                              </w:rPr>
                              <w:t>Pooling Option for Private School Services</w:t>
                            </w:r>
                          </w:p>
                          <w:p w14:paraId="553F6495" w14:textId="77777777" w:rsidR="00A34F03" w:rsidRPr="00C63498" w:rsidRDefault="00A34F03" w:rsidP="00C86106">
                            <w:pPr>
                              <w:pStyle w:val="ListParagraph"/>
                              <w:numPr>
                                <w:ilvl w:val="0"/>
                                <w:numId w:val="3"/>
                              </w:numPr>
                              <w:tabs>
                                <w:tab w:val="num" w:pos="360"/>
                              </w:tabs>
                              <w:spacing w:after="0" w:line="259" w:lineRule="auto"/>
                              <w:ind w:left="187" w:hanging="187"/>
                              <w:contextualSpacing w:val="0"/>
                              <w:rPr>
                                <w:sz w:val="20"/>
                                <w:szCs w:val="20"/>
                              </w:rPr>
                            </w:pPr>
                            <w:r w:rsidRPr="00C63498">
                              <w:rPr>
                                <w:sz w:val="20"/>
                                <w:szCs w:val="20"/>
                              </w:rPr>
                              <w:t xml:space="preserve">In consultation with private schools, </w:t>
                            </w:r>
                            <w:r>
                              <w:rPr>
                                <w:sz w:val="20"/>
                                <w:szCs w:val="20"/>
                              </w:rPr>
                              <w:t>a district</w:t>
                            </w:r>
                            <w:r w:rsidRPr="00C63498">
                              <w:rPr>
                                <w:sz w:val="20"/>
                                <w:szCs w:val="20"/>
                              </w:rPr>
                              <w:t xml:space="preserve"> may combine funds reserved for equitable services for one or more private schools for a single Title</w:t>
                            </w:r>
                            <w:r>
                              <w:rPr>
                                <w:sz w:val="20"/>
                                <w:szCs w:val="20"/>
                              </w:rPr>
                              <w:t xml:space="preserve"> program</w:t>
                            </w:r>
                            <w:r w:rsidRPr="00C63498">
                              <w:rPr>
                                <w:sz w:val="20"/>
                                <w:szCs w:val="20"/>
                              </w:rPr>
                              <w:t xml:space="preserve">.  </w:t>
                            </w:r>
                          </w:p>
                          <w:p w14:paraId="7C028DE1" w14:textId="77777777" w:rsidR="00A34F03" w:rsidRPr="00C63498" w:rsidRDefault="00A34F03" w:rsidP="00C86106">
                            <w:pPr>
                              <w:pStyle w:val="ListParagraph"/>
                              <w:numPr>
                                <w:ilvl w:val="0"/>
                                <w:numId w:val="3"/>
                              </w:numPr>
                              <w:tabs>
                                <w:tab w:val="num" w:pos="360"/>
                              </w:tabs>
                              <w:spacing w:after="0" w:line="259" w:lineRule="auto"/>
                              <w:ind w:left="187" w:hanging="187"/>
                              <w:contextualSpacing w:val="0"/>
                              <w:rPr>
                                <w:sz w:val="20"/>
                                <w:szCs w:val="20"/>
                              </w:rPr>
                            </w:pPr>
                            <w:r w:rsidRPr="00C63498">
                              <w:rPr>
                                <w:sz w:val="20"/>
                                <w:szCs w:val="20"/>
                              </w:rPr>
                              <w:t xml:space="preserve">Funds may </w:t>
                            </w:r>
                            <w:r w:rsidRPr="00C63498">
                              <w:rPr>
                                <w:i/>
                                <w:sz w:val="20"/>
                                <w:szCs w:val="20"/>
                              </w:rPr>
                              <w:t xml:space="preserve">not </w:t>
                            </w:r>
                            <w:r w:rsidRPr="00C63498">
                              <w:rPr>
                                <w:sz w:val="20"/>
                                <w:szCs w:val="20"/>
                              </w:rPr>
                              <w:t>be pooled across multiple Title programs.</w:t>
                            </w:r>
                          </w:p>
                          <w:p w14:paraId="0909E435" w14:textId="60D85E30" w:rsidR="00A34F03" w:rsidRPr="00C63498" w:rsidRDefault="00A34F03" w:rsidP="00C86106">
                            <w:pPr>
                              <w:pStyle w:val="ListParagraph"/>
                              <w:numPr>
                                <w:ilvl w:val="0"/>
                                <w:numId w:val="3"/>
                              </w:numPr>
                              <w:tabs>
                                <w:tab w:val="num" w:pos="360"/>
                              </w:tabs>
                              <w:spacing w:after="0" w:line="259" w:lineRule="auto"/>
                              <w:ind w:left="187" w:hanging="187"/>
                              <w:contextualSpacing w:val="0"/>
                              <w:rPr>
                                <w:sz w:val="20"/>
                                <w:szCs w:val="20"/>
                              </w:rPr>
                            </w:pPr>
                            <w:r w:rsidRPr="00C63498">
                              <w:rPr>
                                <w:sz w:val="20"/>
                                <w:szCs w:val="20"/>
                              </w:rPr>
                              <w:t xml:space="preserve">Services may be provided to some or </w:t>
                            </w:r>
                            <w:r w:rsidR="00A6300C" w:rsidRPr="00C63498">
                              <w:rPr>
                                <w:sz w:val="20"/>
                                <w:szCs w:val="20"/>
                              </w:rPr>
                              <w:t>all</w:t>
                            </w:r>
                            <w:r w:rsidRPr="00C63498">
                              <w:rPr>
                                <w:sz w:val="20"/>
                                <w:szCs w:val="20"/>
                              </w:rPr>
                              <w:t xml:space="preserve"> the private schools participating in the pool but are no longer dependent on the reservation generated by a particular private school.  </w:t>
                            </w:r>
                          </w:p>
                          <w:p w14:paraId="5B847548" w14:textId="31BA6245" w:rsidR="00A34F03" w:rsidRPr="00C63498" w:rsidRDefault="00A34F03" w:rsidP="00C86106">
                            <w:pPr>
                              <w:pStyle w:val="ListParagraph"/>
                              <w:numPr>
                                <w:ilvl w:val="0"/>
                                <w:numId w:val="3"/>
                              </w:numPr>
                              <w:tabs>
                                <w:tab w:val="num" w:pos="360"/>
                              </w:tabs>
                              <w:spacing w:after="0" w:line="259" w:lineRule="auto"/>
                              <w:ind w:left="187" w:hanging="187"/>
                              <w:contextualSpacing w:val="0"/>
                              <w:rPr>
                                <w:sz w:val="20"/>
                                <w:szCs w:val="20"/>
                              </w:rPr>
                            </w:pPr>
                            <w:r w:rsidRPr="00C63498">
                              <w:rPr>
                                <w:sz w:val="20"/>
                                <w:szCs w:val="20"/>
                              </w:rPr>
                              <w:t xml:space="preserve">Allocation of pooled </w:t>
                            </w:r>
                            <w:r w:rsidRPr="00C63498">
                              <w:rPr>
                                <w:i/>
                                <w:sz w:val="20"/>
                                <w:szCs w:val="20"/>
                              </w:rPr>
                              <w:t>services</w:t>
                            </w:r>
                            <w:r w:rsidRPr="00C63498">
                              <w:rPr>
                                <w:sz w:val="20"/>
                                <w:szCs w:val="20"/>
                              </w:rPr>
                              <w:t xml:space="preserve"> among private schools are established in consultation with private school officials. </w:t>
                            </w:r>
                          </w:p>
                          <w:p w14:paraId="0394358F" w14:textId="5658BD58" w:rsidR="00A34F03" w:rsidRDefault="00A34F03" w:rsidP="00C86106">
                            <w:pPr>
                              <w:pStyle w:val="ListParagraph"/>
                              <w:numPr>
                                <w:ilvl w:val="0"/>
                                <w:numId w:val="3"/>
                              </w:numPr>
                              <w:tabs>
                                <w:tab w:val="num" w:pos="360"/>
                              </w:tabs>
                              <w:spacing w:after="0" w:line="259" w:lineRule="auto"/>
                              <w:ind w:left="187" w:hanging="187"/>
                              <w:contextualSpacing w:val="0"/>
                              <w:rPr>
                                <w:sz w:val="20"/>
                                <w:szCs w:val="20"/>
                              </w:rPr>
                            </w:pPr>
                            <w:r w:rsidRPr="00C63498">
                              <w:rPr>
                                <w:sz w:val="20"/>
                                <w:szCs w:val="20"/>
                              </w:rPr>
                              <w:t>Once pooled, funds remain in the pool even if a private school no longer wishes to receive services.</w:t>
                            </w:r>
                          </w:p>
                          <w:p w14:paraId="67D75FBA" w14:textId="77777777" w:rsidR="00A34F03" w:rsidRDefault="00A34F03" w:rsidP="00C86106">
                            <w:pPr>
                              <w:pStyle w:val="ListParagraph"/>
                              <w:numPr>
                                <w:ilvl w:val="0"/>
                                <w:numId w:val="3"/>
                              </w:numPr>
                              <w:tabs>
                                <w:tab w:val="num" w:pos="360"/>
                              </w:tabs>
                              <w:spacing w:after="0" w:line="259" w:lineRule="auto"/>
                              <w:ind w:left="187" w:hanging="187"/>
                              <w:contextualSpacing w:val="0"/>
                              <w:rPr>
                                <w:sz w:val="20"/>
                                <w:szCs w:val="20"/>
                              </w:rPr>
                            </w:pPr>
                            <w:r>
                              <w:rPr>
                                <w:sz w:val="20"/>
                                <w:szCs w:val="20"/>
                              </w:rPr>
                              <w:t xml:space="preserve">Similarly, multiple districts may pool Title I funds to serve eligible students in a single private school. </w:t>
                            </w:r>
                          </w:p>
                          <w:p w14:paraId="4C8045ED" w14:textId="77777777" w:rsidR="00A34F03" w:rsidRPr="00C63498" w:rsidRDefault="00A34F03" w:rsidP="00C86106">
                            <w:pPr>
                              <w:pStyle w:val="ListParagraph"/>
                              <w:numPr>
                                <w:ilvl w:val="0"/>
                                <w:numId w:val="3"/>
                              </w:numPr>
                              <w:tabs>
                                <w:tab w:val="num" w:pos="360"/>
                              </w:tabs>
                              <w:spacing w:after="0" w:line="259" w:lineRule="auto"/>
                              <w:ind w:left="187" w:hanging="187"/>
                              <w:contextualSpacing w:val="0"/>
                              <w:rPr>
                                <w:sz w:val="20"/>
                                <w:szCs w:val="20"/>
                              </w:rPr>
                            </w:pPr>
                            <w:r>
                              <w:rPr>
                                <w:sz w:val="20"/>
                                <w:szCs w:val="20"/>
                              </w:rPr>
                              <w:t xml:space="preserve">For more details and examples of pooling options, see </w:t>
                            </w:r>
                            <w:hyperlink r:id="rId34" w:history="1">
                              <w:r w:rsidRPr="00021055">
                                <w:rPr>
                                  <w:rStyle w:val="Hyperlink"/>
                                  <w:rFonts w:cstheme="minorBidi"/>
                                  <w:sz w:val="20"/>
                                  <w:szCs w:val="20"/>
                                </w:rPr>
                                <w:t>USED guidance</w:t>
                              </w:r>
                            </w:hyperlink>
                            <w:r>
                              <w:rPr>
                                <w:sz w:val="20"/>
                                <w:szCs w:val="20"/>
                              </w:rPr>
                              <w:t>, pp.16-18.</w:t>
                            </w:r>
                          </w:p>
                          <w:p w14:paraId="70076964" w14:textId="77777777" w:rsidR="00A34F03" w:rsidRPr="005F3BF5" w:rsidRDefault="00A34F03" w:rsidP="00C86106">
                            <w:pPr>
                              <w:pStyle w:val="ListParagraph"/>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3916B" id="Text Box 16" o:spid="_x0000_s1027" alt="&quot;&quot;" style="position:absolute;margin-left:15.5pt;margin-top:256.25pt;width:579.45pt;height:175.15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y3xwIAAOAFAAAOAAAAZHJzL2Uyb0RvYy54bWysVNtuGyEQfa/Uf0C8N2tv7FysrKM0aapK&#10;6UVOL88YWC8Ky1BgvXa/vgNsNk5b9aHqC4KBmTNnzjAXl7tWk610XoGp6PRoQok0HIQym4p++Xz7&#10;6owSH5gRTIORFd1LTy+XL19c9HYhS2hAC+kIBjF+0duKNiHYRVF43siW+SOw0uBlDa5lAY9uUwjH&#10;eoze6qKcTE6KHpywDrj0Hq03+ZIuU/y6ljx8rGsvA9EVxdxCWl1a13EtlhdssXHMNooPabB/yKJl&#10;yiDoGOqGBUY6p34L1SruwEMdjji0BdS14jJxQDbTyS9s7htmZeKCxfF2LJP/f2H5h+29/eRI2L2G&#10;HQqYSHh7B/zBEwPXDTMbeeUc9I1kAoGnsWRFb/1icI2l9gsfg6z79yBQZNYFSIF2tWtJrZX9+hga&#10;GRPEQSn2Y/nlLhCOxtPj+fn0pKSE411ZlrPZfJbQ2CIGiuW1zoe3EloSNxV10BmxQpETGtve+RCz&#10;e3oXfTxoJW6V1ukQG0tea0e2DFuCcS5NyKx112L62Y6tNRmaA83YQtl89mhGiNSiMVICfAaiTYSK&#10;BXtjROqwwJTOe/TM1zJ1J2Yc30IXpLtvRE/WunMrJio6nyAaJUJFosdn03zA1o3bmB1heoN/LjhK&#10;HIRvKjSpX2JZY8hYoZHnWjP+kIukbcMym9kBm+F14jImk04HeSbZo9KD5mGvZYTSZiVrogRqWCaQ&#10;sTaHVS4HLdPr6FajJqPj0HnP5dEoTRZ0eBvdckKjY2b7V8TRI6GCCaNzqwy4P6UsHkbk/B5rkfo8&#10;c47bsFvvkPTwJaJlDWKP3wDVSB2OYxE3DbgflPQ4Yirqv3fMSUr0O4Nf6Xw6m8WZlA6z+WmJB3d4&#10;sz68YYZjKNQbhU/b65DnWGed2jSIlEto4Aq/X63ST3jKasgfx0hSdRh5cU4dntOrp8G8/AkAAP//&#10;AwBQSwMEFAAGAAgAAAAhAFFfXMDgAAAACwEAAA8AAABkcnMvZG93bnJldi54bWxMj0FLw0AUhO+C&#10;/2F5gje7SUprGrMpRfAkKraFXF+yzyS4+zZkt238925PehxmmPmm3M7WiDNNfnCsIF0kIIhbpwfu&#10;FBwPLw85CB+QNRrHpOCHPGyr25sSC+0u/EnnfehELGFfoII+hLGQ0rc9WfQLNxJH78tNFkOUUyf1&#10;hJdYbo3MkmQtLQ4cF3oc6bmn9nt/sgrw8TDgx2sm2+Vb/c47XR8bUyt1fzfvnkAEmsNfGK74ER2q&#10;yNS4E2svjIJlGq8EBas0W4G4BtJ8swHRKMjXWQ6yKuX/D9UvAAAA//8DAFBLAQItABQABgAIAAAA&#10;IQC2gziS/gAAAOEBAAATAAAAAAAAAAAAAAAAAAAAAABbQ29udGVudF9UeXBlc10ueG1sUEsBAi0A&#10;FAAGAAgAAAAhADj9If/WAAAAlAEAAAsAAAAAAAAAAAAAAAAALwEAAF9yZWxzLy5yZWxzUEsBAi0A&#10;FAAGAAgAAAAhAO+F/LfHAgAA4AUAAA4AAAAAAAAAAAAAAAAALgIAAGRycy9lMm9Eb2MueG1sUEsB&#10;Ai0AFAAGAAgAAAAhAFFfXMDgAAAACwEAAA8AAAAAAAAAAAAAAAAAIQUAAGRycy9kb3ducmV2Lnht&#10;bFBLBQYAAAAABAAEAPMAAAAuBgAAAAA=&#10;" fillcolor="#deeaf6 [660]" strokecolor="#ed7d31 [3205]" strokeweight="1pt">
                <v:stroke joinstyle="miter"/>
                <v:shadow on="t" color="black" opacity="26214f" origin=".5,-.5" offset="-.74836mm,.74836mm"/>
                <v:textbox>
                  <w:txbxContent>
                    <w:p w14:paraId="2F0B0805" w14:textId="77777777" w:rsidR="00A34F03" w:rsidRPr="00057EA2" w:rsidRDefault="00A34F03" w:rsidP="00C86106">
                      <w:pPr>
                        <w:spacing w:after="0"/>
                        <w:rPr>
                          <w:b/>
                          <w:color w:val="1F497D"/>
                          <w:szCs w:val="24"/>
                        </w:rPr>
                      </w:pPr>
                      <w:r w:rsidRPr="00057EA2">
                        <w:rPr>
                          <w:b/>
                          <w:color w:val="1F497D"/>
                          <w:szCs w:val="24"/>
                        </w:rPr>
                        <w:t>Pooling Option for Private School Services</w:t>
                      </w:r>
                    </w:p>
                    <w:p w14:paraId="553F6495" w14:textId="77777777" w:rsidR="00A34F03" w:rsidRPr="00C63498" w:rsidRDefault="00A34F03" w:rsidP="00C86106">
                      <w:pPr>
                        <w:pStyle w:val="ListParagraph"/>
                        <w:numPr>
                          <w:ilvl w:val="0"/>
                          <w:numId w:val="3"/>
                        </w:numPr>
                        <w:tabs>
                          <w:tab w:val="num" w:pos="360"/>
                        </w:tabs>
                        <w:spacing w:after="0" w:line="259" w:lineRule="auto"/>
                        <w:ind w:left="187" w:hanging="187"/>
                        <w:contextualSpacing w:val="0"/>
                        <w:rPr>
                          <w:sz w:val="20"/>
                          <w:szCs w:val="20"/>
                        </w:rPr>
                      </w:pPr>
                      <w:r w:rsidRPr="00C63498">
                        <w:rPr>
                          <w:sz w:val="20"/>
                          <w:szCs w:val="20"/>
                        </w:rPr>
                        <w:t xml:space="preserve">In consultation with private schools, </w:t>
                      </w:r>
                      <w:r>
                        <w:rPr>
                          <w:sz w:val="20"/>
                          <w:szCs w:val="20"/>
                        </w:rPr>
                        <w:t>a district</w:t>
                      </w:r>
                      <w:r w:rsidRPr="00C63498">
                        <w:rPr>
                          <w:sz w:val="20"/>
                          <w:szCs w:val="20"/>
                        </w:rPr>
                        <w:t xml:space="preserve"> may combine funds reserved for equitable services for one or more private schools for a single Title</w:t>
                      </w:r>
                      <w:r>
                        <w:rPr>
                          <w:sz w:val="20"/>
                          <w:szCs w:val="20"/>
                        </w:rPr>
                        <w:t xml:space="preserve"> program</w:t>
                      </w:r>
                      <w:r w:rsidRPr="00C63498">
                        <w:rPr>
                          <w:sz w:val="20"/>
                          <w:szCs w:val="20"/>
                        </w:rPr>
                        <w:t xml:space="preserve">.  </w:t>
                      </w:r>
                    </w:p>
                    <w:p w14:paraId="7C028DE1" w14:textId="77777777" w:rsidR="00A34F03" w:rsidRPr="00C63498" w:rsidRDefault="00A34F03" w:rsidP="00C86106">
                      <w:pPr>
                        <w:pStyle w:val="ListParagraph"/>
                        <w:numPr>
                          <w:ilvl w:val="0"/>
                          <w:numId w:val="3"/>
                        </w:numPr>
                        <w:tabs>
                          <w:tab w:val="num" w:pos="360"/>
                        </w:tabs>
                        <w:spacing w:after="0" w:line="259" w:lineRule="auto"/>
                        <w:ind w:left="187" w:hanging="187"/>
                        <w:contextualSpacing w:val="0"/>
                        <w:rPr>
                          <w:sz w:val="20"/>
                          <w:szCs w:val="20"/>
                        </w:rPr>
                      </w:pPr>
                      <w:r w:rsidRPr="00C63498">
                        <w:rPr>
                          <w:sz w:val="20"/>
                          <w:szCs w:val="20"/>
                        </w:rPr>
                        <w:t xml:space="preserve">Funds may </w:t>
                      </w:r>
                      <w:r w:rsidRPr="00C63498">
                        <w:rPr>
                          <w:i/>
                          <w:sz w:val="20"/>
                          <w:szCs w:val="20"/>
                        </w:rPr>
                        <w:t xml:space="preserve">not </w:t>
                      </w:r>
                      <w:r w:rsidRPr="00C63498">
                        <w:rPr>
                          <w:sz w:val="20"/>
                          <w:szCs w:val="20"/>
                        </w:rPr>
                        <w:t>be pooled across multiple Title programs.</w:t>
                      </w:r>
                    </w:p>
                    <w:p w14:paraId="0909E435" w14:textId="60D85E30" w:rsidR="00A34F03" w:rsidRPr="00C63498" w:rsidRDefault="00A34F03" w:rsidP="00C86106">
                      <w:pPr>
                        <w:pStyle w:val="ListParagraph"/>
                        <w:numPr>
                          <w:ilvl w:val="0"/>
                          <w:numId w:val="3"/>
                        </w:numPr>
                        <w:tabs>
                          <w:tab w:val="num" w:pos="360"/>
                        </w:tabs>
                        <w:spacing w:after="0" w:line="259" w:lineRule="auto"/>
                        <w:ind w:left="187" w:hanging="187"/>
                        <w:contextualSpacing w:val="0"/>
                        <w:rPr>
                          <w:sz w:val="20"/>
                          <w:szCs w:val="20"/>
                        </w:rPr>
                      </w:pPr>
                      <w:r w:rsidRPr="00C63498">
                        <w:rPr>
                          <w:sz w:val="20"/>
                          <w:szCs w:val="20"/>
                        </w:rPr>
                        <w:t xml:space="preserve">Services may be provided to some or </w:t>
                      </w:r>
                      <w:r w:rsidR="00A6300C" w:rsidRPr="00C63498">
                        <w:rPr>
                          <w:sz w:val="20"/>
                          <w:szCs w:val="20"/>
                        </w:rPr>
                        <w:t>all</w:t>
                      </w:r>
                      <w:r w:rsidRPr="00C63498">
                        <w:rPr>
                          <w:sz w:val="20"/>
                          <w:szCs w:val="20"/>
                        </w:rPr>
                        <w:t xml:space="preserve"> the private schools participating in the pool but are no longer dependent on the reservation generated by a particular private school.  </w:t>
                      </w:r>
                    </w:p>
                    <w:p w14:paraId="5B847548" w14:textId="31BA6245" w:rsidR="00A34F03" w:rsidRPr="00C63498" w:rsidRDefault="00A34F03" w:rsidP="00C86106">
                      <w:pPr>
                        <w:pStyle w:val="ListParagraph"/>
                        <w:numPr>
                          <w:ilvl w:val="0"/>
                          <w:numId w:val="3"/>
                        </w:numPr>
                        <w:tabs>
                          <w:tab w:val="num" w:pos="360"/>
                        </w:tabs>
                        <w:spacing w:after="0" w:line="259" w:lineRule="auto"/>
                        <w:ind w:left="187" w:hanging="187"/>
                        <w:contextualSpacing w:val="0"/>
                        <w:rPr>
                          <w:sz w:val="20"/>
                          <w:szCs w:val="20"/>
                        </w:rPr>
                      </w:pPr>
                      <w:r w:rsidRPr="00C63498">
                        <w:rPr>
                          <w:sz w:val="20"/>
                          <w:szCs w:val="20"/>
                        </w:rPr>
                        <w:t xml:space="preserve">Allocation of pooled </w:t>
                      </w:r>
                      <w:r w:rsidRPr="00C63498">
                        <w:rPr>
                          <w:i/>
                          <w:sz w:val="20"/>
                          <w:szCs w:val="20"/>
                        </w:rPr>
                        <w:t>services</w:t>
                      </w:r>
                      <w:r w:rsidRPr="00C63498">
                        <w:rPr>
                          <w:sz w:val="20"/>
                          <w:szCs w:val="20"/>
                        </w:rPr>
                        <w:t xml:space="preserve"> among private schools are established in consultation with private school officials. </w:t>
                      </w:r>
                    </w:p>
                    <w:p w14:paraId="0394358F" w14:textId="5658BD58" w:rsidR="00A34F03" w:rsidRDefault="00A34F03" w:rsidP="00C86106">
                      <w:pPr>
                        <w:pStyle w:val="ListParagraph"/>
                        <w:numPr>
                          <w:ilvl w:val="0"/>
                          <w:numId w:val="3"/>
                        </w:numPr>
                        <w:tabs>
                          <w:tab w:val="num" w:pos="360"/>
                        </w:tabs>
                        <w:spacing w:after="0" w:line="259" w:lineRule="auto"/>
                        <w:ind w:left="187" w:hanging="187"/>
                        <w:contextualSpacing w:val="0"/>
                        <w:rPr>
                          <w:sz w:val="20"/>
                          <w:szCs w:val="20"/>
                        </w:rPr>
                      </w:pPr>
                      <w:r w:rsidRPr="00C63498">
                        <w:rPr>
                          <w:sz w:val="20"/>
                          <w:szCs w:val="20"/>
                        </w:rPr>
                        <w:t>Once pooled, funds remain in the pool even if a private school no longer wishes to receive services.</w:t>
                      </w:r>
                    </w:p>
                    <w:p w14:paraId="67D75FBA" w14:textId="77777777" w:rsidR="00A34F03" w:rsidRDefault="00A34F03" w:rsidP="00C86106">
                      <w:pPr>
                        <w:pStyle w:val="ListParagraph"/>
                        <w:numPr>
                          <w:ilvl w:val="0"/>
                          <w:numId w:val="3"/>
                        </w:numPr>
                        <w:tabs>
                          <w:tab w:val="num" w:pos="360"/>
                        </w:tabs>
                        <w:spacing w:after="0" w:line="259" w:lineRule="auto"/>
                        <w:ind w:left="187" w:hanging="187"/>
                        <w:contextualSpacing w:val="0"/>
                        <w:rPr>
                          <w:sz w:val="20"/>
                          <w:szCs w:val="20"/>
                        </w:rPr>
                      </w:pPr>
                      <w:r>
                        <w:rPr>
                          <w:sz w:val="20"/>
                          <w:szCs w:val="20"/>
                        </w:rPr>
                        <w:t xml:space="preserve">Similarly, multiple districts may pool Title I funds to serve eligible students in a single private school. </w:t>
                      </w:r>
                    </w:p>
                    <w:p w14:paraId="4C8045ED" w14:textId="77777777" w:rsidR="00A34F03" w:rsidRPr="00C63498" w:rsidRDefault="00A34F03" w:rsidP="00C86106">
                      <w:pPr>
                        <w:pStyle w:val="ListParagraph"/>
                        <w:numPr>
                          <w:ilvl w:val="0"/>
                          <w:numId w:val="3"/>
                        </w:numPr>
                        <w:tabs>
                          <w:tab w:val="num" w:pos="360"/>
                        </w:tabs>
                        <w:spacing w:after="0" w:line="259" w:lineRule="auto"/>
                        <w:ind w:left="187" w:hanging="187"/>
                        <w:contextualSpacing w:val="0"/>
                        <w:rPr>
                          <w:sz w:val="20"/>
                          <w:szCs w:val="20"/>
                        </w:rPr>
                      </w:pPr>
                      <w:r>
                        <w:rPr>
                          <w:sz w:val="20"/>
                          <w:szCs w:val="20"/>
                        </w:rPr>
                        <w:t xml:space="preserve">For more details and examples of pooling options, see </w:t>
                      </w:r>
                      <w:hyperlink r:id="rId35" w:history="1">
                        <w:r w:rsidRPr="00021055">
                          <w:rPr>
                            <w:rStyle w:val="Hyperlink"/>
                            <w:rFonts w:cstheme="minorBidi"/>
                            <w:sz w:val="20"/>
                            <w:szCs w:val="20"/>
                          </w:rPr>
                          <w:t>USED guidance</w:t>
                        </w:r>
                      </w:hyperlink>
                      <w:r>
                        <w:rPr>
                          <w:sz w:val="20"/>
                          <w:szCs w:val="20"/>
                        </w:rPr>
                        <w:t>, pp.16-18.</w:t>
                      </w:r>
                    </w:p>
                    <w:p w14:paraId="70076964" w14:textId="77777777" w:rsidR="00A34F03" w:rsidRPr="005F3BF5" w:rsidRDefault="00A34F03" w:rsidP="00C86106">
                      <w:pPr>
                        <w:pStyle w:val="ListParagraph"/>
                        <w:rPr>
                          <w:sz w:val="18"/>
                        </w:rPr>
                      </w:pPr>
                    </w:p>
                  </w:txbxContent>
                </v:textbox>
                <w10:wrap anchorx="page"/>
              </v:roundrect>
            </w:pict>
          </mc:Fallback>
        </mc:AlternateContent>
      </w:r>
    </w:p>
    <w:p w14:paraId="2709C3F5" w14:textId="77777777" w:rsidR="00C86106" w:rsidRDefault="00C86106"/>
    <w:p w14:paraId="3CAF5257" w14:textId="77777777" w:rsidR="00C86106" w:rsidRDefault="00C86106"/>
    <w:p w14:paraId="2CF6A042" w14:textId="77777777" w:rsidR="00D64214" w:rsidRDefault="00D64214"/>
    <w:p w14:paraId="0C6ED6DA" w14:textId="77777777" w:rsidR="00C86106" w:rsidRDefault="00C86106"/>
    <w:p w14:paraId="133518A1" w14:textId="77777777" w:rsidR="00C86106" w:rsidRDefault="00C86106"/>
    <w:p w14:paraId="76FE8B23" w14:textId="77777777" w:rsidR="00C86106" w:rsidRDefault="00C86106"/>
    <w:p w14:paraId="1E2CB5D4" w14:textId="02CE6706" w:rsidR="00C86106" w:rsidRDefault="00C86106"/>
    <w:p w14:paraId="34484016" w14:textId="7D59C918" w:rsidR="00C86106" w:rsidRDefault="00D83BD3">
      <w:r w:rsidRPr="00AC66A8">
        <w:rPr>
          <w:rFonts w:ascii="Calibri" w:eastAsia="Calibri" w:hAnsi="Calibri" w:cs="Times New Roman"/>
          <w:bCs/>
          <w:i/>
          <w:noProof/>
          <w:color w:val="FFFFFF"/>
          <w:sz w:val="20"/>
          <w:szCs w:val="20"/>
        </w:rPr>
        <mc:AlternateContent>
          <mc:Choice Requires="wps">
            <w:drawing>
              <wp:anchor distT="0" distB="0" distL="114300" distR="114300" simplePos="0" relativeHeight="251675648" behindDoc="0" locked="0" layoutInCell="1" allowOverlap="1" wp14:anchorId="1A2E21AB" wp14:editId="66D3DD83">
                <wp:simplePos x="0" y="0"/>
                <wp:positionH relativeFrom="page">
                  <wp:posOffset>4144010</wp:posOffset>
                </wp:positionH>
                <wp:positionV relativeFrom="page">
                  <wp:posOffset>6508230</wp:posOffset>
                </wp:positionV>
                <wp:extent cx="3187065" cy="2694305"/>
                <wp:effectExtent l="95250" t="38100" r="51435" b="106045"/>
                <wp:wrapNone/>
                <wp:docPr id="8"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2694305"/>
                        </a:xfrm>
                        <a:prstGeom prst="rect">
                          <a:avLst/>
                        </a:prstGeom>
                        <a:ln>
                          <a:headEnd/>
                          <a:tailEnd/>
                        </a:ln>
                        <a:effectLst>
                          <a:outerShdw blurRad="50800" dist="38100" dir="8100000" algn="tr" rotWithShape="0">
                            <a:prstClr val="black">
                              <a:alpha val="40000"/>
                            </a:prstClr>
                          </a:outerShdw>
                        </a:effectLst>
                      </wps:spPr>
                      <wps:style>
                        <a:lnRef idx="2">
                          <a:schemeClr val="accent2">
                            <a:shade val="50000"/>
                          </a:schemeClr>
                        </a:lnRef>
                        <a:fillRef idx="1">
                          <a:schemeClr val="accent2"/>
                        </a:fillRef>
                        <a:effectRef idx="0">
                          <a:schemeClr val="accent2"/>
                        </a:effectRef>
                        <a:fontRef idx="minor">
                          <a:schemeClr val="lt1"/>
                        </a:fontRef>
                      </wps:style>
                      <wps:txbx>
                        <w:txbxContent>
                          <w:p w14:paraId="5D473B67" w14:textId="77777777" w:rsidR="00A34F03" w:rsidRPr="00C276C7" w:rsidRDefault="00A34F03" w:rsidP="00C86106">
                            <w:pPr>
                              <w:spacing w:after="0"/>
                              <w:rPr>
                                <w:b/>
                                <w:color w:val="222A35" w:themeColor="text2" w:themeShade="80"/>
                                <w:sz w:val="24"/>
                                <w:szCs w:val="28"/>
                              </w:rPr>
                            </w:pPr>
                            <w:r w:rsidRPr="00C276C7">
                              <w:rPr>
                                <w:b/>
                                <w:color w:val="222A35" w:themeColor="text2" w:themeShade="80"/>
                                <w:sz w:val="24"/>
                                <w:szCs w:val="28"/>
                              </w:rPr>
                              <w:t>Massachusetts’ ESSA Ombudsperson</w:t>
                            </w:r>
                          </w:p>
                          <w:p w14:paraId="10BEB749" w14:textId="77777777" w:rsidR="00A34F03" w:rsidRPr="004C63AF" w:rsidRDefault="00A34F03" w:rsidP="00C86106">
                            <w:pPr>
                              <w:spacing w:after="0"/>
                              <w:rPr>
                                <w:b/>
                                <w:color w:val="1F497D"/>
                                <w:sz w:val="8"/>
                                <w:szCs w:val="8"/>
                              </w:rPr>
                            </w:pPr>
                          </w:p>
                          <w:p w14:paraId="7F8A2F53" w14:textId="25D5DE21" w:rsidR="00A34F03" w:rsidRPr="00EC009E" w:rsidRDefault="00A34F03" w:rsidP="00E34AE0">
                            <w:pPr>
                              <w:pStyle w:val="ListParagraph"/>
                              <w:numPr>
                                <w:ilvl w:val="0"/>
                                <w:numId w:val="3"/>
                              </w:numPr>
                              <w:tabs>
                                <w:tab w:val="num" w:pos="360"/>
                              </w:tabs>
                              <w:spacing w:after="0" w:line="259" w:lineRule="auto"/>
                              <w:ind w:left="144" w:firstLine="0"/>
                              <w:contextualSpacing w:val="0"/>
                              <w:rPr>
                                <w:color w:val="000000" w:themeColor="text1"/>
                                <w:sz w:val="20"/>
                              </w:rPr>
                            </w:pPr>
                            <w:r w:rsidRPr="00C276C7">
                              <w:rPr>
                                <w:color w:val="000000" w:themeColor="text1"/>
                                <w:sz w:val="20"/>
                              </w:rPr>
                              <w:t>Per ESSA, DESE has appointed an Ombudsperson as the primary contact for questions and concerns from either private school or district officials regarding the provision of equitable services.</w:t>
                            </w:r>
                            <w:r w:rsidR="00E948CC" w:rsidRPr="00C276C7">
                              <w:rPr>
                                <w:color w:val="000000" w:themeColor="text1"/>
                                <w:sz w:val="20"/>
                              </w:rPr>
                              <w:t xml:space="preserve"> </w:t>
                            </w:r>
                            <w:r w:rsidR="00622070" w:rsidRPr="00C276C7">
                              <w:rPr>
                                <w:b/>
                                <w:color w:val="000000" w:themeColor="text1"/>
                                <w:sz w:val="20"/>
                              </w:rPr>
                              <w:t xml:space="preserve">You may contact us </w:t>
                            </w:r>
                            <w:hyperlink r:id="rId36" w:history="1">
                              <w:r w:rsidR="00622070" w:rsidRPr="00EC009E">
                                <w:rPr>
                                  <w:rStyle w:val="Hyperlink"/>
                                  <w:color w:val="222A35" w:themeColor="text2" w:themeShade="80"/>
                                  <w:sz w:val="20"/>
                                  <w:szCs w:val="20"/>
                                </w:rPr>
                                <w:t>ESEAequitableservices@mass.gov</w:t>
                              </w:r>
                            </w:hyperlink>
                            <w:r w:rsidRPr="00EC009E">
                              <w:rPr>
                                <w:color w:val="000000" w:themeColor="text1"/>
                                <w:sz w:val="20"/>
                              </w:rPr>
                              <w:t>.</w:t>
                            </w:r>
                          </w:p>
                          <w:p w14:paraId="7346921D" w14:textId="77777777" w:rsidR="00A34F03" w:rsidRPr="00EC009E" w:rsidRDefault="00A34F03" w:rsidP="00EB40D1">
                            <w:pPr>
                              <w:pStyle w:val="ListParagraph"/>
                              <w:numPr>
                                <w:ilvl w:val="0"/>
                                <w:numId w:val="3"/>
                              </w:numPr>
                              <w:tabs>
                                <w:tab w:val="num" w:pos="360"/>
                              </w:tabs>
                              <w:spacing w:after="0" w:line="259" w:lineRule="auto"/>
                              <w:ind w:left="144" w:firstLine="0"/>
                              <w:contextualSpacing w:val="0"/>
                              <w:rPr>
                                <w:color w:val="000000" w:themeColor="text1"/>
                                <w:sz w:val="20"/>
                              </w:rPr>
                            </w:pPr>
                            <w:r w:rsidRPr="00EC009E">
                              <w:rPr>
                                <w:color w:val="000000" w:themeColor="text1"/>
                                <w:sz w:val="20"/>
                              </w:rPr>
                              <w:t>The Ombudsperson provides technical assistance, answers district and private school questions, participates in relevant meetings, communicates with the field and the United States Department of Education on relevant topics, and receives complaints from the field.</w:t>
                            </w:r>
                          </w:p>
                          <w:p w14:paraId="75605240" w14:textId="77777777" w:rsidR="00A34F03" w:rsidRPr="00EC2F47" w:rsidRDefault="00A34F03" w:rsidP="00C86106">
                            <w:pPr>
                              <w:pStyle w:val="ListParagrap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E21AB" id="_x0000_t202" coordsize="21600,21600" o:spt="202" path="m,l,21600r21600,l21600,xe">
                <v:stroke joinstyle="miter"/>
                <v:path gradientshapeok="t" o:connecttype="rect"/>
              </v:shapetype>
              <v:shape id="_x0000_s1028" type="#_x0000_t202" alt="&quot;&quot;" style="position:absolute;margin-left:326.3pt;margin-top:512.45pt;width:250.95pt;height:212.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WGpwIAAIYFAAAOAAAAZHJzL2Uyb0RvYy54bWysVE1v2zAMvQ/YfxB0X+2kSZsadYqu3YYB&#10;3QeaDTvLkhwLlSVPUmJnv34U5bjButMwHwxJFB8fHyle3wytJnvpvLKmpLOznBJpuBXKbEv6/dv7&#10;NytKfGBGMG2NLOlBenqzfv3quu8KObeN1UI6AiDGF31X0iaErsgyzxvZMn9mO2nAWFvXsgBbt82E&#10;Yz2gtzqb5/lF1lsnOme59B5O75ORrhG/riUPX+ray0B0SYFbwL/DfxX/2fqaFVvHukbxkQb7BxYt&#10;UwaCTlD3LDCyc+oFVKu4s97W4YzbNrN1rbjEHCCbWf5HNpuGdRJzAXF8N8nk/x8s/7zfdF8dCcNb&#10;O0ABMQnfPVj+5Imxdw0zW3nrnO0byQQEnkXJsr7zxegapfaFjyBV/8kKKDLbBYtAQ+3aqArkSQAd&#10;CnCYRJdDIBwOz2ery/xiSQkH2/zianGeLzEGK47unfPhg7QtiYuSOqgqwrP9gw+RDiuOV2I0beI/&#10;8n1nBBY4MKXTGq4ms8TmAH/ktwvSbRrRk0rv3CMTJV3mqxz4ChUjnq9maQOdE5fwUcL0Flo+OEqc&#10;DT9UaLBcMb8IGQndaUf2DDqv0ow/Jcq6a1g6XCDMM324janYIxncnfBE1aPQo+ThoGXK91HWRAkQ&#10;c45B8PXIKTrjXJowmhomZIq/PIk/eWBMbQAwItdK6wl77I34Ml9ipzTG+9E18Z6ckyhTmMTgSCw5&#10;Tx4Y2ZowObfKWPe3zHRI7QhM032gj92YpInLMFQDaBOlgTDxpLLiAM0KRcOOhOEFi8a6X5T0MAhK&#10;6n/umJOU6I8GGv5qtljEyYGbxfJyDht3aqlOLcxwgIK2gP7A5V1I02bXObVtIFKS0dhbeCS1wvZ9&#10;ZjXyh8eOhRgHU5wmp3u89Tw+178BAAD//wMAUEsDBBQABgAIAAAAIQCrQHKV5AAAAA4BAAAPAAAA&#10;ZHJzL2Rvd25yZXYueG1sTI/LTsMwEEX3SPyDNUhsUOs0SgINcaqKh2BX+tiwc+MhjrDHaey24e9x&#10;V7Cb0T26c6ZajNawEw6+cyRgNk2AITVOddQK2G1fJw/AfJCkpHGEAn7Qw6K+vqpkqdyZ1njahJbF&#10;EvKlFKBD6EvOfaPRSj91PVLMvtxgZYjr0HI1yHMst4anSVJwKzuKF7Ts8Ulj8705WgH98t3df+5W&#10;7d1h9eZeDh/62eBaiNubcfkILOAY/mC46Ed1qKPT3h1JeWYEFHlaRDQGSZrNgV2QWZ7lwPZxyrJ5&#10;Cryu+P836l8AAAD//wMAUEsBAi0AFAAGAAgAAAAhALaDOJL+AAAA4QEAABMAAAAAAAAAAAAAAAAA&#10;AAAAAFtDb250ZW50X1R5cGVzXS54bWxQSwECLQAUAAYACAAAACEAOP0h/9YAAACUAQAACwAAAAAA&#10;AAAAAAAAAAAvAQAAX3JlbHMvLnJlbHNQSwECLQAUAAYACAAAACEA/FnFhqcCAACGBQAADgAAAAAA&#10;AAAAAAAAAAAuAgAAZHJzL2Uyb0RvYy54bWxQSwECLQAUAAYACAAAACEAq0ByleQAAAAOAQAADwAA&#10;AAAAAAAAAAAAAAABBQAAZHJzL2Rvd25yZXYueG1sUEsFBgAAAAAEAAQA8wAAABIGAAAAAA==&#10;" fillcolor="#ed7d31 [3205]" strokecolor="#823b0b [1605]" strokeweight="1pt">
                <v:shadow on="t" color="black" opacity="26214f" origin=".5,-.5" offset="-.74836mm,.74836mm"/>
                <v:textbox>
                  <w:txbxContent>
                    <w:p w14:paraId="5D473B67" w14:textId="77777777" w:rsidR="00A34F03" w:rsidRPr="00C276C7" w:rsidRDefault="00A34F03" w:rsidP="00C86106">
                      <w:pPr>
                        <w:spacing w:after="0"/>
                        <w:rPr>
                          <w:b/>
                          <w:color w:val="222A35" w:themeColor="text2" w:themeShade="80"/>
                          <w:sz w:val="24"/>
                          <w:szCs w:val="28"/>
                        </w:rPr>
                      </w:pPr>
                      <w:r w:rsidRPr="00C276C7">
                        <w:rPr>
                          <w:b/>
                          <w:color w:val="222A35" w:themeColor="text2" w:themeShade="80"/>
                          <w:sz w:val="24"/>
                          <w:szCs w:val="28"/>
                        </w:rPr>
                        <w:t>Massachusetts’ ESSA Ombudsperson</w:t>
                      </w:r>
                    </w:p>
                    <w:p w14:paraId="10BEB749" w14:textId="77777777" w:rsidR="00A34F03" w:rsidRPr="004C63AF" w:rsidRDefault="00A34F03" w:rsidP="00C86106">
                      <w:pPr>
                        <w:spacing w:after="0"/>
                        <w:rPr>
                          <w:b/>
                          <w:color w:val="1F497D"/>
                          <w:sz w:val="8"/>
                          <w:szCs w:val="8"/>
                        </w:rPr>
                      </w:pPr>
                    </w:p>
                    <w:p w14:paraId="7F8A2F53" w14:textId="25D5DE21" w:rsidR="00A34F03" w:rsidRPr="00EC009E" w:rsidRDefault="00A34F03" w:rsidP="00E34AE0">
                      <w:pPr>
                        <w:pStyle w:val="ListParagraph"/>
                        <w:numPr>
                          <w:ilvl w:val="0"/>
                          <w:numId w:val="3"/>
                        </w:numPr>
                        <w:tabs>
                          <w:tab w:val="num" w:pos="360"/>
                        </w:tabs>
                        <w:spacing w:after="0" w:line="259" w:lineRule="auto"/>
                        <w:ind w:left="144" w:firstLine="0"/>
                        <w:contextualSpacing w:val="0"/>
                        <w:rPr>
                          <w:color w:val="000000" w:themeColor="text1"/>
                          <w:sz w:val="20"/>
                        </w:rPr>
                      </w:pPr>
                      <w:r w:rsidRPr="00C276C7">
                        <w:rPr>
                          <w:color w:val="000000" w:themeColor="text1"/>
                          <w:sz w:val="20"/>
                        </w:rPr>
                        <w:t>Per ESSA, DESE has appointed an Ombudsperson as the primary contact for questions and concerns from either private school or district officials regarding the provision of equitable services.</w:t>
                      </w:r>
                      <w:r w:rsidR="00E948CC" w:rsidRPr="00C276C7">
                        <w:rPr>
                          <w:color w:val="000000" w:themeColor="text1"/>
                          <w:sz w:val="20"/>
                        </w:rPr>
                        <w:t xml:space="preserve"> </w:t>
                      </w:r>
                      <w:r w:rsidR="00622070" w:rsidRPr="00C276C7">
                        <w:rPr>
                          <w:b/>
                          <w:color w:val="000000" w:themeColor="text1"/>
                          <w:sz w:val="20"/>
                        </w:rPr>
                        <w:t xml:space="preserve">You may contact us </w:t>
                      </w:r>
                      <w:hyperlink r:id="rId37" w:history="1">
                        <w:r w:rsidR="00622070" w:rsidRPr="00EC009E">
                          <w:rPr>
                            <w:rStyle w:val="Hyperlink"/>
                            <w:color w:val="222A35" w:themeColor="text2" w:themeShade="80"/>
                            <w:sz w:val="20"/>
                            <w:szCs w:val="20"/>
                          </w:rPr>
                          <w:t>ESEAequitableservices@mass.gov</w:t>
                        </w:r>
                      </w:hyperlink>
                      <w:r w:rsidRPr="00EC009E">
                        <w:rPr>
                          <w:color w:val="000000" w:themeColor="text1"/>
                          <w:sz w:val="20"/>
                        </w:rPr>
                        <w:t>.</w:t>
                      </w:r>
                    </w:p>
                    <w:p w14:paraId="7346921D" w14:textId="77777777" w:rsidR="00A34F03" w:rsidRPr="00EC009E" w:rsidRDefault="00A34F03" w:rsidP="00EB40D1">
                      <w:pPr>
                        <w:pStyle w:val="ListParagraph"/>
                        <w:numPr>
                          <w:ilvl w:val="0"/>
                          <w:numId w:val="3"/>
                        </w:numPr>
                        <w:tabs>
                          <w:tab w:val="num" w:pos="360"/>
                        </w:tabs>
                        <w:spacing w:after="0" w:line="259" w:lineRule="auto"/>
                        <w:ind w:left="144" w:firstLine="0"/>
                        <w:contextualSpacing w:val="0"/>
                        <w:rPr>
                          <w:color w:val="000000" w:themeColor="text1"/>
                          <w:sz w:val="20"/>
                        </w:rPr>
                      </w:pPr>
                      <w:r w:rsidRPr="00EC009E">
                        <w:rPr>
                          <w:color w:val="000000" w:themeColor="text1"/>
                          <w:sz w:val="20"/>
                        </w:rPr>
                        <w:t>The Ombudsperson provides technical assistance, answers district and private school questions, participates in relevant meetings, communicates with the field and the United States Department of Education on relevant topics, and receives complaints from the field.</w:t>
                      </w:r>
                    </w:p>
                    <w:p w14:paraId="75605240" w14:textId="77777777" w:rsidR="00A34F03" w:rsidRPr="00EC2F47" w:rsidRDefault="00A34F03" w:rsidP="00C86106">
                      <w:pPr>
                        <w:pStyle w:val="ListParagraph"/>
                        <w:rPr>
                          <w:sz w:val="20"/>
                        </w:rPr>
                      </w:pPr>
                    </w:p>
                  </w:txbxContent>
                </v:textbox>
                <w10:wrap anchorx="page" anchory="page"/>
              </v:shape>
            </w:pict>
          </mc:Fallback>
        </mc:AlternateContent>
      </w:r>
      <w:r w:rsidRPr="00AC66A8">
        <w:rPr>
          <w:rFonts w:ascii="Calibri" w:eastAsia="Calibri" w:hAnsi="Calibri" w:cs="Times New Roman"/>
          <w:b/>
          <w:i/>
          <w:noProof/>
          <w:sz w:val="20"/>
          <w:szCs w:val="20"/>
        </w:rPr>
        <mc:AlternateContent>
          <mc:Choice Requires="wps">
            <w:drawing>
              <wp:anchor distT="0" distB="0" distL="114300" distR="114300" simplePos="0" relativeHeight="251673600" behindDoc="0" locked="0" layoutInCell="1" allowOverlap="1" wp14:anchorId="62F9DAA2" wp14:editId="68E5DC8E">
                <wp:simplePos x="0" y="0"/>
                <wp:positionH relativeFrom="margin">
                  <wp:posOffset>-278765</wp:posOffset>
                </wp:positionH>
                <wp:positionV relativeFrom="paragraph">
                  <wp:posOffset>87241</wp:posOffset>
                </wp:positionV>
                <wp:extent cx="3657600" cy="2728204"/>
                <wp:effectExtent l="95250" t="38100" r="57150" b="110490"/>
                <wp:wrapNone/>
                <wp:docPr id="7"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28204"/>
                        </a:xfrm>
                        <a:prstGeom prst="rect">
                          <a:avLst/>
                        </a:prstGeom>
                        <a:ln>
                          <a:headEnd/>
                          <a:tailEnd/>
                        </a:ln>
                        <a:effectLst>
                          <a:outerShdw blurRad="50800" dist="38100" dir="8100000" algn="t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3EEA7C45" w14:textId="77777777" w:rsidR="00A34F03" w:rsidRPr="00AC66A8" w:rsidRDefault="00A34F03" w:rsidP="00C86106">
                            <w:pPr>
                              <w:spacing w:after="0"/>
                              <w:rPr>
                                <w:b/>
                                <w:color w:val="1F497D"/>
                                <w:sz w:val="24"/>
                                <w:szCs w:val="28"/>
                              </w:rPr>
                            </w:pPr>
                            <w:r w:rsidRPr="00AC66A8">
                              <w:rPr>
                                <w:b/>
                                <w:color w:val="1F497D"/>
                                <w:sz w:val="24"/>
                                <w:szCs w:val="28"/>
                              </w:rPr>
                              <w:t>Complaint/Appeal Process</w:t>
                            </w:r>
                          </w:p>
                          <w:p w14:paraId="44AE2E72" w14:textId="77777777" w:rsidR="00A34F03" w:rsidRDefault="00A34F03" w:rsidP="00E34AE0">
                            <w:pPr>
                              <w:pStyle w:val="ListParagraph"/>
                              <w:numPr>
                                <w:ilvl w:val="0"/>
                                <w:numId w:val="3"/>
                              </w:numPr>
                              <w:tabs>
                                <w:tab w:val="num" w:pos="360"/>
                              </w:tabs>
                              <w:spacing w:after="0" w:line="259" w:lineRule="auto"/>
                              <w:ind w:left="144" w:firstLine="0"/>
                              <w:rPr>
                                <w:sz w:val="20"/>
                              </w:rPr>
                            </w:pPr>
                            <w:r>
                              <w:rPr>
                                <w:sz w:val="20"/>
                              </w:rPr>
                              <w:t>Private school officials have the right to file a complaint with DESE if they believe 1) consultation was not timely and meaningful, 2) their views were not duly considered, 3) district decisions were inequitable and/or, 4) in the case of Title I, any the method of determining low-</w:t>
                            </w:r>
                            <w:r w:rsidRPr="00057EA2">
                              <w:rPr>
                                <w:sz w:val="20"/>
                              </w:rPr>
                              <w:t>income enrollment of private schools is in dispute.</w:t>
                            </w:r>
                          </w:p>
                          <w:p w14:paraId="69389AE9" w14:textId="77777777" w:rsidR="00A34F03" w:rsidRPr="004C63AF" w:rsidRDefault="00A34F03" w:rsidP="00E34AE0">
                            <w:pPr>
                              <w:pStyle w:val="ListParagraph"/>
                              <w:spacing w:after="0" w:line="259" w:lineRule="auto"/>
                              <w:ind w:left="144"/>
                              <w:rPr>
                                <w:sz w:val="8"/>
                                <w:szCs w:val="8"/>
                              </w:rPr>
                            </w:pPr>
                          </w:p>
                          <w:p w14:paraId="3B9BD222" w14:textId="77777777" w:rsidR="00A34F03" w:rsidRPr="004C63AF" w:rsidRDefault="00A34F03" w:rsidP="00EB40D1">
                            <w:pPr>
                              <w:pStyle w:val="ListParagraph"/>
                              <w:numPr>
                                <w:ilvl w:val="0"/>
                                <w:numId w:val="3"/>
                              </w:numPr>
                              <w:tabs>
                                <w:tab w:val="num" w:pos="360"/>
                              </w:tabs>
                              <w:spacing w:before="240" w:after="0" w:line="259" w:lineRule="auto"/>
                              <w:ind w:left="144" w:firstLine="0"/>
                              <w:rPr>
                                <w:sz w:val="20"/>
                              </w:rPr>
                            </w:pPr>
                            <w:r w:rsidRPr="00726313">
                              <w:rPr>
                                <w:sz w:val="20"/>
                              </w:rPr>
                              <w:t xml:space="preserve">DESE </w:t>
                            </w:r>
                            <w:r>
                              <w:rPr>
                                <w:sz w:val="20"/>
                              </w:rPr>
                              <w:t xml:space="preserve">has an </w:t>
                            </w:r>
                            <w:r w:rsidRPr="00726313">
                              <w:rPr>
                                <w:sz w:val="20"/>
                              </w:rPr>
                              <w:t>ESSA complaint procedure for nonpublic school complaints</w:t>
                            </w:r>
                            <w:r>
                              <w:rPr>
                                <w:sz w:val="20"/>
                              </w:rPr>
                              <w:t xml:space="preserve"> regarding equitable services, found </w:t>
                            </w:r>
                            <w:hyperlink r:id="rId38" w:history="1">
                              <w:r w:rsidRPr="00726313">
                                <w:rPr>
                                  <w:rFonts w:ascii="Calibri" w:hAnsi="Calibri" w:cs="Times New Roman"/>
                                  <w:color w:val="0606BA"/>
                                  <w:sz w:val="20"/>
                                  <w:szCs w:val="20"/>
                                  <w:u w:val="single"/>
                                </w:rPr>
                                <w:t>here</w:t>
                              </w:r>
                            </w:hyperlink>
                            <w:r w:rsidRPr="00726313">
                              <w:rPr>
                                <w:color w:val="2E74B5" w:themeColor="accent1" w:themeShade="BF"/>
                                <w:sz w:val="20"/>
                              </w:rPr>
                              <w:t xml:space="preserve"> </w:t>
                            </w:r>
                            <w:r w:rsidRPr="00447CB9">
                              <w:rPr>
                                <w:sz w:val="18"/>
                                <w:szCs w:val="18"/>
                              </w:rPr>
                              <w:t>(</w:t>
                            </w:r>
                            <w:hyperlink r:id="rId39" w:history="1">
                              <w:r w:rsidRPr="000C0578">
                                <w:rPr>
                                  <w:rStyle w:val="Hyperlink"/>
                                  <w:rFonts w:cstheme="minorBidi"/>
                                  <w:sz w:val="18"/>
                                  <w:szCs w:val="18"/>
                                </w:rPr>
                                <w:t>http://www.doe.mass.edu/federalgrants/resources/complaint.html</w:t>
                              </w:r>
                            </w:hyperlink>
                            <w:r w:rsidRPr="00447CB9">
                              <w:rPr>
                                <w:sz w:val="18"/>
                                <w:szCs w:val="18"/>
                              </w:rPr>
                              <w:t>).</w:t>
                            </w:r>
                          </w:p>
                          <w:p w14:paraId="63D934FF" w14:textId="77777777" w:rsidR="00A34F03" w:rsidRPr="004C63AF" w:rsidRDefault="00A34F03" w:rsidP="00EB40D1">
                            <w:pPr>
                              <w:pStyle w:val="ListParagraph"/>
                              <w:spacing w:before="240" w:after="0" w:line="259" w:lineRule="auto"/>
                              <w:ind w:left="144"/>
                              <w:rPr>
                                <w:sz w:val="8"/>
                                <w:szCs w:val="8"/>
                              </w:rPr>
                            </w:pPr>
                          </w:p>
                          <w:p w14:paraId="1ED301E4" w14:textId="77777777" w:rsidR="00A34F03" w:rsidRPr="00034241" w:rsidRDefault="00A34F03" w:rsidP="00EB40D1">
                            <w:pPr>
                              <w:pStyle w:val="ListParagraph"/>
                              <w:numPr>
                                <w:ilvl w:val="0"/>
                                <w:numId w:val="3"/>
                              </w:numPr>
                              <w:tabs>
                                <w:tab w:val="num" w:pos="360"/>
                              </w:tabs>
                              <w:spacing w:after="0" w:line="259" w:lineRule="auto"/>
                              <w:ind w:left="144" w:firstLine="0"/>
                              <w:contextualSpacing w:val="0"/>
                              <w:rPr>
                                <w:sz w:val="20"/>
                                <w:szCs w:val="20"/>
                              </w:rPr>
                            </w:pPr>
                            <w:r>
                              <w:rPr>
                                <w:sz w:val="20"/>
                              </w:rPr>
                              <w:t>A private school may appeal to the U.S. Secretary of Education within 30 days of DESE’s decision regarding its complaint, if dissatisfied. The Secretary has 90 days to investigate and resolve the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9DAA2" id="_x0000_s1029" type="#_x0000_t202" alt="&quot;&quot;" style="position:absolute;margin-left:-21.95pt;margin-top:6.85pt;width:4in;height:214.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erlgIAAF8FAAAOAAAAZHJzL2Uyb0RvYy54bWysVE1v1DAQvSPxHyzfabLptl2iZqvSAkIq&#10;H2pBnCe2s7Hq2MH2brL99YztNLsCxAGRQ2R7Zt68mTf25dXYKbIT1kmjK7o4ySkRmhku9aai376+&#10;e7WixHnQHJTRoqJ74ejV+uWLy6EvRWFao7iwBEG0K4e+oq33fZlljrWiA3dieqHR2Bjbgcet3WTc&#10;woDoncqKPD/PBmN5bw0TzuHpbTLSdcRvGsH856ZxwhNVUeTm49/Gfx3+2foSyo2FvpVsogH/wKID&#10;qTHpDHULHsjWyt+gOsmscabxJ8x0mWkayUSsAatZ5L9U89BCL2It2BzXz21y/w+Wfdo99F8s8eMb&#10;M6KAsQjX3xn26Ig2Ny3ojbi21gytAI6JF6Fl2dC7cgoNrXalCyD18NFwFBm23kSgsbFd6ArWSRAd&#10;BdjPTRejJwwPT8/PLs5zNDG0FRfFqsiXMQeUz+G9df69MB0Ji4paVDXCw+7O+UAHymeXkE3p8A98&#10;32oeBfYgVVqjazKLOBwYH/ltvbAPLR9Irbb2HnhFz/JVIMVlyHi6WqQNTk5Y4kcJqA2OvLeUWOO/&#10;S99GuUJ9ATIQulGW7AAnr1bAHhNl1beQDpcR5kAfvWMp5plM3B3xjF0PjZ5a7vdKpHrvRUMkx2YW&#10;MUm8PWLODowJ7YupqUqjdwhrpFJz4CR8uHaHQOWT2rNvCEuE5sBU7V8zzhExq9F+Du6kNvZPlPnj&#10;nDn5TzPnUs1h4vxYj1g0ihMKCye14XucQlQjjhq+SrhojX2iZMAbXlH3YwtWUKI+aJzk14vlEmX0&#10;cbM8uyhwY48t9bEFNEMo1BuFj8sbn56RbW/lpsVMqYXaXOP0NzLO5YHVxB9vcVR1enHCM3G8j16H&#10;d3H9EwAA//8DAFBLAwQUAAYACAAAACEAHCxwk98AAAAKAQAADwAAAGRycy9kb3ducmV2LnhtbEyP&#10;QU7DMBBF90jcwRokNqh1EgcKIU6FCkhlBy0HcOJpEhGPo9hpzO0xK1iO/tP/b8ptMAM74+R6SxLS&#10;dQIMqbG6p1bC5/F1dQ/MeUVaDZZQwjc62FaXF6UqtF3oA88H37JYQq5QEjrvx4Jz13RolFvbESlm&#10;JzsZ5eM5tVxPaonlZuBZktxxo3qKC50acddh83WYjYT6Zsnq55c87PYhfRd7PU7z6U3K66vw9AjM&#10;Y/B/MPzqR3WoolNtZ9KODRJWuXiIaAzEBlgEbkWWAqsl5LkQwKuS/3+h+gEAAP//AwBQSwECLQAU&#10;AAYACAAAACEAtoM4kv4AAADhAQAAEwAAAAAAAAAAAAAAAAAAAAAAW0NvbnRlbnRfVHlwZXNdLnht&#10;bFBLAQItABQABgAIAAAAIQA4/SH/1gAAAJQBAAALAAAAAAAAAAAAAAAAAC8BAABfcmVscy8ucmVs&#10;c1BLAQItABQABgAIAAAAIQApb3erlgIAAF8FAAAOAAAAAAAAAAAAAAAAAC4CAABkcnMvZTJvRG9j&#10;LnhtbFBLAQItABQABgAIAAAAIQAcLHCT3wAAAAoBAAAPAAAAAAAAAAAAAAAAAPAEAABkcnMvZG93&#10;bnJldi54bWxQSwUGAAAAAAQABADzAAAA/AUAAAAA&#10;" fillcolor="white [3201]" strokecolor="#ed7d31 [3205]" strokeweight="1pt">
                <v:shadow on="t" color="black" opacity="26214f" origin=".5,-.5" offset="-.74836mm,.74836mm"/>
                <v:textbox>
                  <w:txbxContent>
                    <w:p w14:paraId="3EEA7C45" w14:textId="77777777" w:rsidR="00A34F03" w:rsidRPr="00AC66A8" w:rsidRDefault="00A34F03" w:rsidP="00C86106">
                      <w:pPr>
                        <w:spacing w:after="0"/>
                        <w:rPr>
                          <w:b/>
                          <w:color w:val="1F497D"/>
                          <w:sz w:val="24"/>
                          <w:szCs w:val="28"/>
                        </w:rPr>
                      </w:pPr>
                      <w:r w:rsidRPr="00AC66A8">
                        <w:rPr>
                          <w:b/>
                          <w:color w:val="1F497D"/>
                          <w:sz w:val="24"/>
                          <w:szCs w:val="28"/>
                        </w:rPr>
                        <w:t>Complaint/Appeal Process</w:t>
                      </w:r>
                    </w:p>
                    <w:p w14:paraId="44AE2E72" w14:textId="77777777" w:rsidR="00A34F03" w:rsidRDefault="00A34F03" w:rsidP="00E34AE0">
                      <w:pPr>
                        <w:pStyle w:val="ListParagraph"/>
                        <w:numPr>
                          <w:ilvl w:val="0"/>
                          <w:numId w:val="3"/>
                        </w:numPr>
                        <w:tabs>
                          <w:tab w:val="num" w:pos="360"/>
                        </w:tabs>
                        <w:spacing w:after="0" w:line="259" w:lineRule="auto"/>
                        <w:ind w:left="144" w:firstLine="0"/>
                        <w:rPr>
                          <w:sz w:val="20"/>
                        </w:rPr>
                      </w:pPr>
                      <w:r>
                        <w:rPr>
                          <w:sz w:val="20"/>
                        </w:rPr>
                        <w:t>Private school officials have the right to file a complaint with DESE if they believe 1) consultation was not timely and meaningful, 2) their views were not duly considered, 3) district decisions were inequitable and/or, 4) in the case of Title I, any the method of determining low-</w:t>
                      </w:r>
                      <w:r w:rsidRPr="00057EA2">
                        <w:rPr>
                          <w:sz w:val="20"/>
                        </w:rPr>
                        <w:t>income enrollment of private schools is in dispute.</w:t>
                      </w:r>
                    </w:p>
                    <w:p w14:paraId="69389AE9" w14:textId="77777777" w:rsidR="00A34F03" w:rsidRPr="004C63AF" w:rsidRDefault="00A34F03" w:rsidP="00E34AE0">
                      <w:pPr>
                        <w:pStyle w:val="ListParagraph"/>
                        <w:spacing w:after="0" w:line="259" w:lineRule="auto"/>
                        <w:ind w:left="144"/>
                        <w:rPr>
                          <w:sz w:val="8"/>
                          <w:szCs w:val="8"/>
                        </w:rPr>
                      </w:pPr>
                    </w:p>
                    <w:p w14:paraId="3B9BD222" w14:textId="77777777" w:rsidR="00A34F03" w:rsidRPr="004C63AF" w:rsidRDefault="00A34F03" w:rsidP="00EB40D1">
                      <w:pPr>
                        <w:pStyle w:val="ListParagraph"/>
                        <w:numPr>
                          <w:ilvl w:val="0"/>
                          <w:numId w:val="3"/>
                        </w:numPr>
                        <w:tabs>
                          <w:tab w:val="num" w:pos="360"/>
                        </w:tabs>
                        <w:spacing w:before="240" w:after="0" w:line="259" w:lineRule="auto"/>
                        <w:ind w:left="144" w:firstLine="0"/>
                        <w:rPr>
                          <w:sz w:val="20"/>
                        </w:rPr>
                      </w:pPr>
                      <w:r w:rsidRPr="00726313">
                        <w:rPr>
                          <w:sz w:val="20"/>
                        </w:rPr>
                        <w:t xml:space="preserve">DESE </w:t>
                      </w:r>
                      <w:r>
                        <w:rPr>
                          <w:sz w:val="20"/>
                        </w:rPr>
                        <w:t xml:space="preserve">has an </w:t>
                      </w:r>
                      <w:r w:rsidRPr="00726313">
                        <w:rPr>
                          <w:sz w:val="20"/>
                        </w:rPr>
                        <w:t>ESSA complaint procedure for nonpublic school complaints</w:t>
                      </w:r>
                      <w:r>
                        <w:rPr>
                          <w:sz w:val="20"/>
                        </w:rPr>
                        <w:t xml:space="preserve"> regarding equitable services, found </w:t>
                      </w:r>
                      <w:hyperlink r:id="rId40" w:history="1">
                        <w:r w:rsidRPr="00726313">
                          <w:rPr>
                            <w:rFonts w:ascii="Calibri" w:hAnsi="Calibri" w:cs="Times New Roman"/>
                            <w:color w:val="0606BA"/>
                            <w:sz w:val="20"/>
                            <w:szCs w:val="20"/>
                            <w:u w:val="single"/>
                          </w:rPr>
                          <w:t>here</w:t>
                        </w:r>
                      </w:hyperlink>
                      <w:r w:rsidRPr="00726313">
                        <w:rPr>
                          <w:color w:val="2E74B5" w:themeColor="accent1" w:themeShade="BF"/>
                          <w:sz w:val="20"/>
                        </w:rPr>
                        <w:t xml:space="preserve"> </w:t>
                      </w:r>
                      <w:r w:rsidRPr="00447CB9">
                        <w:rPr>
                          <w:sz w:val="18"/>
                          <w:szCs w:val="18"/>
                        </w:rPr>
                        <w:t>(</w:t>
                      </w:r>
                      <w:hyperlink r:id="rId41" w:history="1">
                        <w:r w:rsidRPr="000C0578">
                          <w:rPr>
                            <w:rStyle w:val="Hyperlink"/>
                            <w:rFonts w:cstheme="minorBidi"/>
                            <w:sz w:val="18"/>
                            <w:szCs w:val="18"/>
                          </w:rPr>
                          <w:t>http://www.doe.mass.edu/federalgrants/resources/complaint.html</w:t>
                        </w:r>
                      </w:hyperlink>
                      <w:r w:rsidRPr="00447CB9">
                        <w:rPr>
                          <w:sz w:val="18"/>
                          <w:szCs w:val="18"/>
                        </w:rPr>
                        <w:t>).</w:t>
                      </w:r>
                    </w:p>
                    <w:p w14:paraId="63D934FF" w14:textId="77777777" w:rsidR="00A34F03" w:rsidRPr="004C63AF" w:rsidRDefault="00A34F03" w:rsidP="00EB40D1">
                      <w:pPr>
                        <w:pStyle w:val="ListParagraph"/>
                        <w:spacing w:before="240" w:after="0" w:line="259" w:lineRule="auto"/>
                        <w:ind w:left="144"/>
                        <w:rPr>
                          <w:sz w:val="8"/>
                          <w:szCs w:val="8"/>
                        </w:rPr>
                      </w:pPr>
                    </w:p>
                    <w:p w14:paraId="1ED301E4" w14:textId="77777777" w:rsidR="00A34F03" w:rsidRPr="00034241" w:rsidRDefault="00A34F03" w:rsidP="00EB40D1">
                      <w:pPr>
                        <w:pStyle w:val="ListParagraph"/>
                        <w:numPr>
                          <w:ilvl w:val="0"/>
                          <w:numId w:val="3"/>
                        </w:numPr>
                        <w:tabs>
                          <w:tab w:val="num" w:pos="360"/>
                        </w:tabs>
                        <w:spacing w:after="0" w:line="259" w:lineRule="auto"/>
                        <w:ind w:left="144" w:firstLine="0"/>
                        <w:contextualSpacing w:val="0"/>
                        <w:rPr>
                          <w:sz w:val="20"/>
                          <w:szCs w:val="20"/>
                        </w:rPr>
                      </w:pPr>
                      <w:r>
                        <w:rPr>
                          <w:sz w:val="20"/>
                        </w:rPr>
                        <w:t>A private school may appeal to the U.S. Secretary of Education within 30 days of DESE’s decision regarding its complaint, if dissatisfied. The Secretary has 90 days to investigate and resolve the appeal.</w:t>
                      </w:r>
                    </w:p>
                  </w:txbxContent>
                </v:textbox>
                <w10:wrap anchorx="margin"/>
              </v:shape>
            </w:pict>
          </mc:Fallback>
        </mc:AlternateContent>
      </w:r>
    </w:p>
    <w:p w14:paraId="52CF5D10" w14:textId="24C3CE7D" w:rsidR="00C86106" w:rsidRDefault="00C86106"/>
    <w:p w14:paraId="78321D2E" w14:textId="77777777" w:rsidR="00D37B5E" w:rsidRPr="00D37B5E" w:rsidRDefault="00D37B5E" w:rsidP="00D37B5E"/>
    <w:p w14:paraId="35965CE8" w14:textId="77777777" w:rsidR="00D37B5E" w:rsidRPr="00D37B5E" w:rsidRDefault="00D37B5E" w:rsidP="007359B9"/>
    <w:p w14:paraId="6476F909" w14:textId="77777777" w:rsidR="00D37B5E" w:rsidRPr="00D37B5E" w:rsidRDefault="00D37B5E" w:rsidP="00D37B5E"/>
    <w:p w14:paraId="433CB66C" w14:textId="77777777" w:rsidR="00D37B5E" w:rsidRPr="00D37B5E" w:rsidRDefault="00D37B5E" w:rsidP="00D37B5E"/>
    <w:p w14:paraId="0B2F1325" w14:textId="77777777" w:rsidR="00D37B5E" w:rsidRPr="00D37B5E" w:rsidRDefault="00D37B5E" w:rsidP="00D37B5E"/>
    <w:p w14:paraId="27FE37FA" w14:textId="77777777" w:rsidR="00D37B5E" w:rsidRPr="00D37B5E" w:rsidRDefault="00D37B5E" w:rsidP="00D37B5E"/>
    <w:p w14:paraId="5EB63AE0" w14:textId="77777777" w:rsidR="00D37B5E" w:rsidRPr="00D37B5E" w:rsidRDefault="00D37B5E" w:rsidP="00D37B5E"/>
    <w:p w14:paraId="0FFD810A" w14:textId="77777777" w:rsidR="00D37B5E" w:rsidRPr="00D37B5E" w:rsidRDefault="00D37B5E" w:rsidP="00D37B5E"/>
    <w:p w14:paraId="0B4C120F" w14:textId="5CA541CE" w:rsidR="00C64D31" w:rsidRPr="00E34AE0" w:rsidRDefault="009163E2" w:rsidP="00190A4F">
      <w:pPr>
        <w:tabs>
          <w:tab w:val="left" w:pos="7970"/>
        </w:tabs>
      </w:pPr>
      <w:r>
        <w:tab/>
      </w:r>
    </w:p>
    <w:sectPr w:rsidR="00C64D31" w:rsidRPr="00E34AE0" w:rsidSect="00F330DA">
      <w:headerReference w:type="default" r:id="rId42"/>
      <w:headerReference w:type="first" r:id="rId43"/>
      <w:pgSz w:w="12240" w:h="15840"/>
      <w:pgMar w:top="504" w:right="1008" w:bottom="270" w:left="1008" w:header="576"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853DA" w14:textId="77777777" w:rsidR="00F330DA" w:rsidRDefault="00F330DA">
      <w:pPr>
        <w:spacing w:after="0" w:line="240" w:lineRule="auto"/>
      </w:pPr>
      <w:r>
        <w:separator/>
      </w:r>
    </w:p>
  </w:endnote>
  <w:endnote w:type="continuationSeparator" w:id="0">
    <w:p w14:paraId="3212AC1E" w14:textId="77777777" w:rsidR="00F330DA" w:rsidRDefault="00F3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6C0DA" w14:textId="04EE5C54" w:rsidR="00D83BD3" w:rsidRPr="00D83BD3" w:rsidRDefault="00D83BD3" w:rsidP="00D83BD3">
    <w:pPr>
      <w:rPr>
        <w:rFonts w:cstheme="minorHAnsi"/>
        <w:i/>
        <w:iCs/>
        <w:color w:val="606060"/>
        <w:sz w:val="18"/>
        <w:szCs w:val="18"/>
        <w:shd w:val="clear" w:color="auto" w:fill="FFFFFF"/>
      </w:rPr>
    </w:pPr>
    <w:r w:rsidRPr="00C276C7">
      <w:rPr>
        <w:rFonts w:cstheme="minorHAnsi"/>
        <w:i/>
        <w:iCs/>
        <w:color w:val="595959" w:themeColor="text1" w:themeTint="A6"/>
        <w:sz w:val="18"/>
        <w:szCs w:val="18"/>
        <w:shd w:val="clear" w:color="auto" w:fill="FFFFFF"/>
      </w:rPr>
      <w:t xml:space="preserve">The contents of this document do not have the force and effect of law and are not meant to bind the public in any way; they are intended only to provide clarity to the public regarding existing requirements under the law or agency policies. </w:t>
    </w:r>
    <w:r>
      <w:rPr>
        <w:rFonts w:cstheme="minorHAnsi"/>
        <w:iCs/>
        <w:color w:val="606060"/>
        <w:sz w:val="18"/>
        <w:szCs w:val="18"/>
        <w:shd w:val="clear" w:color="auto" w:fill="FFFFFF"/>
      </w:rPr>
      <w:tab/>
    </w:r>
    <w:r>
      <w:rPr>
        <w:rFonts w:cstheme="minorHAnsi"/>
        <w:iCs/>
        <w:color w:val="606060"/>
        <w:sz w:val="18"/>
        <w:szCs w:val="18"/>
        <w:shd w:val="clear" w:color="auto" w:fill="FFFFFF"/>
      </w:rPr>
      <w:tab/>
    </w:r>
    <w:r w:rsidR="00190416">
      <w:rPr>
        <w:rFonts w:cstheme="minorHAnsi"/>
        <w:iCs/>
        <w:color w:val="606060"/>
        <w:sz w:val="18"/>
        <w:szCs w:val="18"/>
        <w:shd w:val="clear" w:color="auto" w:fill="FFFFFF"/>
      </w:rPr>
      <w:t xml:space="preserve">Revised </w:t>
    </w:r>
    <w:r w:rsidR="00190416">
      <w:rPr>
        <w:rFonts w:cstheme="minorHAnsi"/>
        <w:iCs/>
        <w:sz w:val="20"/>
        <w:szCs w:val="20"/>
        <w:shd w:val="clear" w:color="auto" w:fill="FFFFFF"/>
      </w:rPr>
      <w:t>April</w:t>
    </w:r>
    <w:r w:rsidR="00622070">
      <w:rPr>
        <w:rFonts w:cstheme="minorHAnsi"/>
        <w:iCs/>
        <w:sz w:val="20"/>
        <w:szCs w:val="20"/>
        <w:shd w:val="clear" w:color="auto" w:fill="FFFFFF"/>
      </w:rPr>
      <w:t xml:space="preserve"> 202</w:t>
    </w:r>
    <w:r w:rsidR="00190416">
      <w:rPr>
        <w:rFonts w:cstheme="minorHAnsi"/>
        <w:iCs/>
        <w:sz w:val="20"/>
        <w:szCs w:val="20"/>
        <w:shd w:val="clear" w:color="auto" w:fill="FFFFFF"/>
      </w:rPr>
      <w:t>4</w:t>
    </w:r>
  </w:p>
  <w:p w14:paraId="40DB469F" w14:textId="2502E51F" w:rsidR="00A34F03" w:rsidRPr="00C7394F" w:rsidRDefault="00A34F03">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178940"/>
      <w:docPartObj>
        <w:docPartGallery w:val="Page Numbers (Bottom of Page)"/>
        <w:docPartUnique/>
      </w:docPartObj>
    </w:sdtPr>
    <w:sdtEndPr>
      <w:rPr>
        <w:noProof/>
        <w:sz w:val="2"/>
      </w:rPr>
    </w:sdtEndPr>
    <w:sdtContent>
      <w:p w14:paraId="7224F2CE" w14:textId="26D94BEB" w:rsidR="00A34F03" w:rsidRDefault="00A34F03">
        <w:pPr>
          <w:pStyle w:val="Footer"/>
          <w:rPr>
            <w:noProof/>
            <w:sz w:val="6"/>
            <w:szCs w:val="6"/>
          </w:rPr>
        </w:pPr>
        <w:r>
          <w:fldChar w:fldCharType="begin"/>
        </w:r>
        <w:r>
          <w:instrText xml:space="preserve"> PAGE   \* MERGEFORMAT </w:instrText>
        </w:r>
        <w:r>
          <w:fldChar w:fldCharType="separate"/>
        </w:r>
        <w:r w:rsidR="00C42D9A">
          <w:rPr>
            <w:noProof/>
          </w:rPr>
          <w:t>2</w:t>
        </w:r>
        <w:r>
          <w:rPr>
            <w:noProof/>
          </w:rPr>
          <w:fldChar w:fldCharType="end"/>
        </w:r>
        <w:r>
          <w:rPr>
            <w:noProof/>
          </w:rPr>
          <w:t xml:space="preserve">                                                                                                                                                              </w:t>
        </w:r>
      </w:p>
      <w:p w14:paraId="0E83B543" w14:textId="77777777" w:rsidR="00A34F03" w:rsidRPr="00587BA0" w:rsidRDefault="00A34F03">
        <w:pPr>
          <w:pStyle w:val="Footer"/>
          <w:rPr>
            <w:noProof/>
            <w:sz w:val="6"/>
            <w:szCs w:val="6"/>
          </w:rPr>
        </w:pPr>
      </w:p>
      <w:p w14:paraId="6DCD7885" w14:textId="77777777" w:rsidR="00A34F03" w:rsidRPr="00317B09" w:rsidRDefault="00000000">
        <w:pPr>
          <w:pStyle w:val="Footer"/>
          <w:rPr>
            <w:sz w:val="2"/>
          </w:rPr>
        </w:pPr>
      </w:p>
    </w:sdtContent>
  </w:sdt>
  <w:p w14:paraId="7E957475" w14:textId="77777777" w:rsidR="00A34F03" w:rsidRPr="00847CED" w:rsidRDefault="00A34F0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CA5B7" w14:textId="77777777" w:rsidR="00F330DA" w:rsidRDefault="00F330DA">
      <w:pPr>
        <w:spacing w:after="0" w:line="240" w:lineRule="auto"/>
      </w:pPr>
      <w:r>
        <w:separator/>
      </w:r>
    </w:p>
  </w:footnote>
  <w:footnote w:type="continuationSeparator" w:id="0">
    <w:p w14:paraId="3C9CF55B" w14:textId="77777777" w:rsidR="00F330DA" w:rsidRDefault="00F33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FEA3B" w14:textId="77777777" w:rsidR="00A34F03" w:rsidRPr="00B27D18" w:rsidRDefault="00A34F03" w:rsidP="00FA2F43">
    <w:pPr>
      <w:pStyle w:val="Heading1"/>
      <w:spacing w:before="0"/>
      <w:rPr>
        <w:b/>
        <w:color w:val="1F3864" w:themeColor="accent5" w:themeShade="80"/>
      </w:rPr>
    </w:pPr>
    <w:r>
      <w:rPr>
        <w:noProof/>
      </w:rPr>
      <w:drawing>
        <wp:anchor distT="0" distB="0" distL="114300" distR="114300" simplePos="0" relativeHeight="251656704" behindDoc="0" locked="0" layoutInCell="1" allowOverlap="1" wp14:anchorId="69C96D4D" wp14:editId="7DFD7050">
          <wp:simplePos x="0" y="0"/>
          <wp:positionH relativeFrom="column">
            <wp:posOffset>-183165</wp:posOffset>
          </wp:positionH>
          <wp:positionV relativeFrom="paragraph">
            <wp:posOffset>-301897</wp:posOffset>
          </wp:positionV>
          <wp:extent cx="1099185" cy="520700"/>
          <wp:effectExtent l="19050" t="0" r="5715"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099185" cy="520700"/>
                  </a:xfrm>
                  <a:prstGeom prst="rect">
                    <a:avLst/>
                  </a:prstGeom>
                  <a:noFill/>
                </pic:spPr>
              </pic:pic>
            </a:graphicData>
          </a:graphic>
        </wp:anchor>
      </w:drawing>
    </w:r>
    <w:r>
      <w:rPr>
        <w:b/>
        <w:color w:val="1F4E79" w:themeColor="accent1" w:themeShade="80"/>
      </w:rPr>
      <w:t xml:space="preserve">           </w:t>
    </w:r>
    <w:r w:rsidRPr="00B27D18">
      <w:rPr>
        <w:b/>
        <w:color w:val="1F3864" w:themeColor="accent5" w:themeShade="80"/>
      </w:rPr>
      <w:t xml:space="preserve">             </w:t>
    </w:r>
    <w:r>
      <w:rPr>
        <w:b/>
        <w:color w:val="1F3864" w:themeColor="accent5" w:themeShade="80"/>
      </w:rPr>
      <w:t>Resource</w:t>
    </w:r>
    <w:r w:rsidRPr="00B27D18">
      <w:rPr>
        <w:b/>
        <w:color w:val="1F3864" w:themeColor="accent5" w:themeShade="80"/>
      </w:rPr>
      <w:t xml:space="preserve"> Guide:</w:t>
    </w:r>
  </w:p>
  <w:p w14:paraId="23F999A6" w14:textId="79D51923" w:rsidR="00A34F03" w:rsidRDefault="00A34F03" w:rsidP="001514FB">
    <w:pPr>
      <w:pStyle w:val="Heading1"/>
      <w:spacing w:before="0" w:line="240" w:lineRule="auto"/>
      <w:contextualSpacing/>
      <w:rPr>
        <w:b/>
        <w:color w:val="1F3864" w:themeColor="accent5" w:themeShade="80"/>
        <w:sz w:val="30"/>
        <w:szCs w:val="30"/>
      </w:rPr>
    </w:pPr>
    <w:r w:rsidRPr="00B27D18">
      <w:rPr>
        <w:b/>
        <w:color w:val="1F3864" w:themeColor="accent5" w:themeShade="80"/>
        <w:sz w:val="30"/>
        <w:szCs w:val="30"/>
      </w:rPr>
      <w:t xml:space="preserve">                    ESSA Equitable Services for Private School Students and Teachers</w:t>
    </w:r>
  </w:p>
  <w:p w14:paraId="7F324C92" w14:textId="77777777" w:rsidR="001514FB" w:rsidRPr="001514FB" w:rsidRDefault="001514FB" w:rsidP="001514FB">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B362" w14:textId="77777777" w:rsidR="00D83BD3" w:rsidRPr="00D83BD3" w:rsidRDefault="00D83BD3" w:rsidP="00D83BD3">
    <w:pPr>
      <w:pStyle w:val="Heading1"/>
      <w:spacing w:before="0"/>
      <w:jc w:val="center"/>
      <w:rPr>
        <w:b/>
        <w:color w:val="1F3864" w:themeColor="accent5" w:themeShade="80"/>
      </w:rPr>
    </w:pPr>
    <w:r w:rsidRPr="00D83BD3">
      <w:rPr>
        <w:b/>
        <w:color w:val="1F3864" w:themeColor="accent5" w:themeShade="80"/>
      </w:rPr>
      <w:t>Resource Guide:</w:t>
    </w:r>
  </w:p>
  <w:p w14:paraId="4C377BE5" w14:textId="14F1A0C7" w:rsidR="00D83BD3" w:rsidRPr="00D83BD3" w:rsidRDefault="00D83BD3" w:rsidP="00D83BD3">
    <w:pPr>
      <w:pStyle w:val="Heading1"/>
      <w:spacing w:before="0" w:line="240" w:lineRule="auto"/>
      <w:contextualSpacing/>
      <w:rPr>
        <w:b/>
        <w:color w:val="1F3864" w:themeColor="accent5" w:themeShade="80"/>
        <w:sz w:val="30"/>
        <w:szCs w:val="30"/>
      </w:rPr>
    </w:pPr>
    <w:r w:rsidRPr="00D83BD3">
      <w:rPr>
        <w:b/>
        <w:color w:val="1F3864" w:themeColor="accent5" w:themeShade="80"/>
        <w:sz w:val="30"/>
        <w:szCs w:val="30"/>
      </w:rPr>
      <w:t xml:space="preserve">             ESSA Equitable Services for Private School Students and Teachers</w:t>
    </w:r>
    <w:r>
      <w:rPr>
        <w:noProof/>
      </w:rPr>
      <w:drawing>
        <wp:anchor distT="0" distB="0" distL="114300" distR="114300" simplePos="0" relativeHeight="251659264" behindDoc="0" locked="0" layoutInCell="1" allowOverlap="1" wp14:anchorId="2B2DEAE8" wp14:editId="7ECA9DAD">
          <wp:simplePos x="0" y="0"/>
          <wp:positionH relativeFrom="column">
            <wp:posOffset>-324952</wp:posOffset>
          </wp:positionH>
          <wp:positionV relativeFrom="paragraph">
            <wp:posOffset>-346710</wp:posOffset>
          </wp:positionV>
          <wp:extent cx="1099185" cy="520700"/>
          <wp:effectExtent l="19050" t="0" r="571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099185" cy="5207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6C77" w14:textId="467C660F" w:rsidR="00A34F03" w:rsidRDefault="00A34F03" w:rsidP="00A13957">
    <w:pPr>
      <w:autoSpaceDE w:val="0"/>
      <w:autoSpaceDN w:val="0"/>
      <w:adjustRightInd w:val="0"/>
      <w:spacing w:after="0" w:line="240" w:lineRule="auto"/>
      <w:ind w:left="-180"/>
      <w:rPr>
        <w:rFonts w:ascii="Calibri" w:eastAsia="SimSun" w:hAnsi="Calibri" w:cs="Times New Roman"/>
        <w:b/>
        <w:color w:val="000000"/>
        <w:sz w:val="28"/>
        <w:szCs w:val="28"/>
      </w:rPr>
    </w:pPr>
    <w:r w:rsidRPr="00AC66A8">
      <w:rPr>
        <w:rFonts w:ascii="Calibri" w:eastAsia="SimSun" w:hAnsi="Calibri" w:cs="Times New Roman"/>
        <w:b/>
        <w:color w:val="000000"/>
        <w:sz w:val="28"/>
        <w:szCs w:val="28"/>
      </w:rPr>
      <w:t>Private School Services:  Step-by-Step</w:t>
    </w:r>
    <w:r>
      <w:rPr>
        <w:rFonts w:ascii="Calibri" w:eastAsia="SimSun" w:hAnsi="Calibri" w:cs="Times New Roman"/>
        <w:b/>
        <w:color w:val="000000"/>
        <w:sz w:val="28"/>
        <w:szCs w:val="28"/>
      </w:rPr>
      <w:t xml:space="preserve"> (cont.)</w:t>
    </w:r>
  </w:p>
  <w:p w14:paraId="2D64280A" w14:textId="77777777" w:rsidR="00191671" w:rsidRDefault="00191671" w:rsidP="00A13957">
    <w:pPr>
      <w:autoSpaceDE w:val="0"/>
      <w:autoSpaceDN w:val="0"/>
      <w:adjustRightInd w:val="0"/>
      <w:spacing w:after="0" w:line="240" w:lineRule="auto"/>
      <w:ind w:left="-180"/>
      <w:rPr>
        <w:rFonts w:ascii="Calibri" w:eastAsia="SimSun" w:hAnsi="Calibri" w:cs="Times New Roman"/>
        <w:b/>
        <w:color w:val="000000"/>
        <w:sz w:val="28"/>
        <w:szCs w:val="28"/>
      </w:rPr>
    </w:pPr>
  </w:p>
  <w:p w14:paraId="7D87F6FB" w14:textId="77777777" w:rsidR="00A34F03" w:rsidRPr="004C63AF" w:rsidRDefault="00A34F03" w:rsidP="00A13957">
    <w:pPr>
      <w:autoSpaceDE w:val="0"/>
      <w:autoSpaceDN w:val="0"/>
      <w:adjustRightInd w:val="0"/>
      <w:spacing w:after="0" w:line="240" w:lineRule="auto"/>
      <w:ind w:left="-180"/>
      <w:rPr>
        <w:rFonts w:ascii="Calibri" w:eastAsia="SimSun" w:hAnsi="Calibri" w:cs="Times New Roman"/>
        <w:b/>
        <w:color w:val="000000"/>
        <w:sz w:val="8"/>
        <w:szCs w:val="8"/>
      </w:rPr>
    </w:pPr>
  </w:p>
  <w:p w14:paraId="641AEEA5" w14:textId="77777777" w:rsidR="00A34F03" w:rsidRPr="00A13957" w:rsidRDefault="00A34F03" w:rsidP="00A13957">
    <w:pPr>
      <w:pStyle w:val="Header"/>
      <w:rPr>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99311" w14:textId="77777777" w:rsidR="00A34F03" w:rsidRDefault="00A34F03" w:rsidP="00A13957">
    <w:pPr>
      <w:autoSpaceDE w:val="0"/>
      <w:autoSpaceDN w:val="0"/>
      <w:adjustRightInd w:val="0"/>
      <w:spacing w:after="0" w:line="240" w:lineRule="auto"/>
      <w:ind w:left="-180"/>
      <w:rPr>
        <w:rFonts w:ascii="Calibri" w:eastAsia="SimSun" w:hAnsi="Calibri" w:cs="Times New Roman"/>
        <w:b/>
        <w:color w:val="000000"/>
        <w:sz w:val="28"/>
        <w:szCs w:val="28"/>
      </w:rPr>
    </w:pPr>
    <w:r w:rsidRPr="00AC66A8">
      <w:rPr>
        <w:rFonts w:ascii="Calibri" w:eastAsia="SimSun" w:hAnsi="Calibri" w:cs="Times New Roman"/>
        <w:b/>
        <w:color w:val="000000"/>
        <w:sz w:val="28"/>
        <w:szCs w:val="28"/>
      </w:rPr>
      <w:t>Private School Services:  Step-by-Step</w:t>
    </w:r>
    <w:r>
      <w:rPr>
        <w:rFonts w:ascii="Calibri" w:eastAsia="SimSun" w:hAnsi="Calibri" w:cs="Times New Roman"/>
        <w:b/>
        <w:color w:val="000000"/>
        <w:sz w:val="28"/>
        <w:szCs w:val="28"/>
      </w:rPr>
      <w:t xml:space="preserve"> (cont.)</w:t>
    </w:r>
  </w:p>
  <w:p w14:paraId="734BA3F4" w14:textId="77777777" w:rsidR="00A34F03" w:rsidRPr="003C3E35" w:rsidRDefault="00A34F03" w:rsidP="00A34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A44F6"/>
    <w:multiLevelType w:val="hybridMultilevel"/>
    <w:tmpl w:val="939C42B2"/>
    <w:lvl w:ilvl="0" w:tplc="30C2F18C">
      <w:start w:val="1"/>
      <w:numFmt w:val="bullet"/>
      <w:lvlText w:val=""/>
      <w:lvlJc w:val="left"/>
      <w:pPr>
        <w:ind w:left="1036"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 w15:restartNumberingAfterBreak="0">
    <w:nsid w:val="1711128C"/>
    <w:multiLevelType w:val="hybridMultilevel"/>
    <w:tmpl w:val="33629418"/>
    <w:lvl w:ilvl="0" w:tplc="EA7ADA5E">
      <w:start w:val="1"/>
      <w:numFmt w:val="bullet"/>
      <w:lvlText w:val=""/>
      <w:lvlJc w:val="left"/>
      <w:pPr>
        <w:ind w:left="878" w:hanging="360"/>
      </w:pPr>
      <w:rPr>
        <w:rFonts w:ascii="Symbol" w:hAnsi="Symbol" w:hint="default"/>
        <w:color w:val="auto"/>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27472"/>
    <w:multiLevelType w:val="hybridMultilevel"/>
    <w:tmpl w:val="66FEAB62"/>
    <w:lvl w:ilvl="0" w:tplc="66A06498">
      <w:numFmt w:val="bullet"/>
      <w:lvlText w:val=""/>
      <w:lvlJc w:val="left"/>
      <w:pPr>
        <w:ind w:left="720" w:hanging="360"/>
      </w:pPr>
      <w:rPr>
        <w:rFonts w:ascii="Symbol" w:eastAsiaTheme="minorEastAsia" w:hAnsi="Symbol" w:cstheme="minorBidi"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B58E3"/>
    <w:multiLevelType w:val="hybridMultilevel"/>
    <w:tmpl w:val="7688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506A3"/>
    <w:multiLevelType w:val="hybridMultilevel"/>
    <w:tmpl w:val="EC26FB40"/>
    <w:lvl w:ilvl="0" w:tplc="97BA20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01062">
    <w:abstractNumId w:val="2"/>
  </w:num>
  <w:num w:numId="2" w16cid:durableId="1020008155">
    <w:abstractNumId w:val="3"/>
  </w:num>
  <w:num w:numId="3" w16cid:durableId="888149225">
    <w:abstractNumId w:val="5"/>
  </w:num>
  <w:num w:numId="4" w16cid:durableId="1387099987">
    <w:abstractNumId w:val="1"/>
  </w:num>
  <w:num w:numId="5" w16cid:durableId="691029408">
    <w:abstractNumId w:val="0"/>
  </w:num>
  <w:num w:numId="6" w16cid:durableId="1588222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6A8"/>
    <w:rsid w:val="00004647"/>
    <w:rsid w:val="0001646F"/>
    <w:rsid w:val="00021055"/>
    <w:rsid w:val="00023708"/>
    <w:rsid w:val="00040C61"/>
    <w:rsid w:val="00056900"/>
    <w:rsid w:val="00057EA2"/>
    <w:rsid w:val="000B0BD1"/>
    <w:rsid w:val="000F1E95"/>
    <w:rsid w:val="000F2180"/>
    <w:rsid w:val="000F3310"/>
    <w:rsid w:val="0010617D"/>
    <w:rsid w:val="00143185"/>
    <w:rsid w:val="0015117E"/>
    <w:rsid w:val="001514FB"/>
    <w:rsid w:val="001648B3"/>
    <w:rsid w:val="00171C9F"/>
    <w:rsid w:val="00190416"/>
    <w:rsid w:val="00190A4F"/>
    <w:rsid w:val="00191671"/>
    <w:rsid w:val="001A4B4B"/>
    <w:rsid w:val="001B1B36"/>
    <w:rsid w:val="001B2EDC"/>
    <w:rsid w:val="001F3D6C"/>
    <w:rsid w:val="001F4A38"/>
    <w:rsid w:val="001F6643"/>
    <w:rsid w:val="00204D99"/>
    <w:rsid w:val="00235424"/>
    <w:rsid w:val="00244CCC"/>
    <w:rsid w:val="00282E49"/>
    <w:rsid w:val="00294B47"/>
    <w:rsid w:val="00295A4A"/>
    <w:rsid w:val="002B3F5C"/>
    <w:rsid w:val="002C0F3C"/>
    <w:rsid w:val="002D13C1"/>
    <w:rsid w:val="002E19CD"/>
    <w:rsid w:val="003002C3"/>
    <w:rsid w:val="00321427"/>
    <w:rsid w:val="00321A55"/>
    <w:rsid w:val="00337DBA"/>
    <w:rsid w:val="0034650A"/>
    <w:rsid w:val="003524F1"/>
    <w:rsid w:val="00366EA3"/>
    <w:rsid w:val="003E042D"/>
    <w:rsid w:val="003F1174"/>
    <w:rsid w:val="003F1541"/>
    <w:rsid w:val="0040020D"/>
    <w:rsid w:val="004118EC"/>
    <w:rsid w:val="004319D2"/>
    <w:rsid w:val="00447CB9"/>
    <w:rsid w:val="00451409"/>
    <w:rsid w:val="00452F29"/>
    <w:rsid w:val="004607CB"/>
    <w:rsid w:val="00467425"/>
    <w:rsid w:val="004A6BD0"/>
    <w:rsid w:val="004C63AF"/>
    <w:rsid w:val="004E6020"/>
    <w:rsid w:val="0052435E"/>
    <w:rsid w:val="00526FF2"/>
    <w:rsid w:val="005435D9"/>
    <w:rsid w:val="00544B33"/>
    <w:rsid w:val="00546573"/>
    <w:rsid w:val="00550CF6"/>
    <w:rsid w:val="00571A35"/>
    <w:rsid w:val="00572A25"/>
    <w:rsid w:val="005779FD"/>
    <w:rsid w:val="00583983"/>
    <w:rsid w:val="00587BA0"/>
    <w:rsid w:val="00593E3E"/>
    <w:rsid w:val="005C12A5"/>
    <w:rsid w:val="005C18D7"/>
    <w:rsid w:val="005E0F92"/>
    <w:rsid w:val="00602CC6"/>
    <w:rsid w:val="00604559"/>
    <w:rsid w:val="00622070"/>
    <w:rsid w:val="006427A0"/>
    <w:rsid w:val="00646BA1"/>
    <w:rsid w:val="0066236C"/>
    <w:rsid w:val="006644DB"/>
    <w:rsid w:val="00667629"/>
    <w:rsid w:val="00681282"/>
    <w:rsid w:val="006A7368"/>
    <w:rsid w:val="006A7B0F"/>
    <w:rsid w:val="006D5BF5"/>
    <w:rsid w:val="006E38FC"/>
    <w:rsid w:val="006E656C"/>
    <w:rsid w:val="00726313"/>
    <w:rsid w:val="007359B9"/>
    <w:rsid w:val="0079482B"/>
    <w:rsid w:val="007C43B9"/>
    <w:rsid w:val="007D2567"/>
    <w:rsid w:val="007F5C92"/>
    <w:rsid w:val="00801D2C"/>
    <w:rsid w:val="008028B9"/>
    <w:rsid w:val="00834DDC"/>
    <w:rsid w:val="0083768E"/>
    <w:rsid w:val="0085301E"/>
    <w:rsid w:val="00875A91"/>
    <w:rsid w:val="008778D9"/>
    <w:rsid w:val="00890B84"/>
    <w:rsid w:val="008D1116"/>
    <w:rsid w:val="008F1C42"/>
    <w:rsid w:val="009163E2"/>
    <w:rsid w:val="00923B5A"/>
    <w:rsid w:val="00946FED"/>
    <w:rsid w:val="00954126"/>
    <w:rsid w:val="00972BEF"/>
    <w:rsid w:val="009925AB"/>
    <w:rsid w:val="009B3D46"/>
    <w:rsid w:val="009E4F01"/>
    <w:rsid w:val="009F28D6"/>
    <w:rsid w:val="00A13957"/>
    <w:rsid w:val="00A306FE"/>
    <w:rsid w:val="00A34F03"/>
    <w:rsid w:val="00A35A65"/>
    <w:rsid w:val="00A410D6"/>
    <w:rsid w:val="00A45FB7"/>
    <w:rsid w:val="00A53ED9"/>
    <w:rsid w:val="00A6300C"/>
    <w:rsid w:val="00AA4AB6"/>
    <w:rsid w:val="00AC66A8"/>
    <w:rsid w:val="00AD10B8"/>
    <w:rsid w:val="00AD33C3"/>
    <w:rsid w:val="00AD6DC0"/>
    <w:rsid w:val="00B039CF"/>
    <w:rsid w:val="00B1112F"/>
    <w:rsid w:val="00B27D18"/>
    <w:rsid w:val="00B33314"/>
    <w:rsid w:val="00B4658D"/>
    <w:rsid w:val="00BC0368"/>
    <w:rsid w:val="00BF5158"/>
    <w:rsid w:val="00C0772B"/>
    <w:rsid w:val="00C10B8A"/>
    <w:rsid w:val="00C276C7"/>
    <w:rsid w:val="00C302BD"/>
    <w:rsid w:val="00C42D9A"/>
    <w:rsid w:val="00C430E6"/>
    <w:rsid w:val="00C63498"/>
    <w:rsid w:val="00C64D31"/>
    <w:rsid w:val="00C7394F"/>
    <w:rsid w:val="00C82772"/>
    <w:rsid w:val="00C86106"/>
    <w:rsid w:val="00C87BC0"/>
    <w:rsid w:val="00CA7BCD"/>
    <w:rsid w:val="00CF5D53"/>
    <w:rsid w:val="00D024BC"/>
    <w:rsid w:val="00D3406F"/>
    <w:rsid w:val="00D37B5E"/>
    <w:rsid w:val="00D64214"/>
    <w:rsid w:val="00D700C9"/>
    <w:rsid w:val="00D83BD3"/>
    <w:rsid w:val="00DB3F01"/>
    <w:rsid w:val="00DB47B6"/>
    <w:rsid w:val="00DE04E6"/>
    <w:rsid w:val="00DE6554"/>
    <w:rsid w:val="00E01514"/>
    <w:rsid w:val="00E06333"/>
    <w:rsid w:val="00E24F4E"/>
    <w:rsid w:val="00E34AE0"/>
    <w:rsid w:val="00E407F3"/>
    <w:rsid w:val="00E523DC"/>
    <w:rsid w:val="00E85DF4"/>
    <w:rsid w:val="00E948CC"/>
    <w:rsid w:val="00EB40D1"/>
    <w:rsid w:val="00EC009E"/>
    <w:rsid w:val="00EC02D9"/>
    <w:rsid w:val="00EE7D27"/>
    <w:rsid w:val="00F3206C"/>
    <w:rsid w:val="00F330DA"/>
    <w:rsid w:val="00F57257"/>
    <w:rsid w:val="00F84C44"/>
    <w:rsid w:val="00FA2F43"/>
    <w:rsid w:val="00FE27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463CE"/>
  <w15:chartTrackingRefBased/>
  <w15:docId w15:val="{0F606960-1A40-4C0D-A152-12AE1D1A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6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A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C66A8"/>
    <w:pPr>
      <w:tabs>
        <w:tab w:val="center" w:pos="4680"/>
        <w:tab w:val="right" w:pos="9360"/>
      </w:tabs>
      <w:spacing w:after="0" w:line="240" w:lineRule="auto"/>
    </w:pPr>
    <w:rPr>
      <w:rFonts w:eastAsia="SimSun"/>
    </w:rPr>
  </w:style>
  <w:style w:type="character" w:customStyle="1" w:styleId="HeaderChar">
    <w:name w:val="Header Char"/>
    <w:basedOn w:val="DefaultParagraphFont"/>
    <w:link w:val="Header"/>
    <w:uiPriority w:val="99"/>
    <w:rsid w:val="00AC66A8"/>
    <w:rPr>
      <w:rFonts w:eastAsia="SimSun"/>
    </w:rPr>
  </w:style>
  <w:style w:type="paragraph" w:styleId="Footer">
    <w:name w:val="footer"/>
    <w:basedOn w:val="Normal"/>
    <w:link w:val="FooterChar"/>
    <w:uiPriority w:val="99"/>
    <w:unhideWhenUsed/>
    <w:rsid w:val="00AC66A8"/>
    <w:pPr>
      <w:tabs>
        <w:tab w:val="center" w:pos="4680"/>
        <w:tab w:val="right" w:pos="9360"/>
      </w:tabs>
      <w:spacing w:after="0" w:line="240" w:lineRule="auto"/>
    </w:pPr>
    <w:rPr>
      <w:rFonts w:eastAsia="SimSun"/>
    </w:rPr>
  </w:style>
  <w:style w:type="character" w:customStyle="1" w:styleId="FooterChar">
    <w:name w:val="Footer Char"/>
    <w:basedOn w:val="DefaultParagraphFont"/>
    <w:link w:val="Footer"/>
    <w:uiPriority w:val="99"/>
    <w:rsid w:val="00AC66A8"/>
    <w:rPr>
      <w:rFonts w:eastAsia="SimSun"/>
    </w:rPr>
  </w:style>
  <w:style w:type="character" w:styleId="Hyperlink">
    <w:name w:val="Hyperlink"/>
    <w:uiPriority w:val="99"/>
    <w:rsid w:val="00AC66A8"/>
    <w:rPr>
      <w:rFonts w:cs="Times New Roman"/>
      <w:color w:val="0000FF"/>
      <w:u w:val="single"/>
    </w:rPr>
  </w:style>
  <w:style w:type="paragraph" w:styleId="ListParagraph">
    <w:name w:val="List Paragraph"/>
    <w:basedOn w:val="Normal"/>
    <w:uiPriority w:val="34"/>
    <w:qFormat/>
    <w:rsid w:val="00AC66A8"/>
    <w:pPr>
      <w:spacing w:after="200" w:line="276" w:lineRule="auto"/>
      <w:ind w:left="720"/>
      <w:contextualSpacing/>
    </w:pPr>
    <w:rPr>
      <w:rFonts w:eastAsia="SimSun"/>
    </w:rPr>
  </w:style>
  <w:style w:type="paragraph" w:styleId="CommentText">
    <w:name w:val="annotation text"/>
    <w:basedOn w:val="Normal"/>
    <w:link w:val="CommentTextChar"/>
    <w:uiPriority w:val="99"/>
    <w:semiHidden/>
    <w:unhideWhenUsed/>
    <w:rsid w:val="00AC66A8"/>
    <w:pPr>
      <w:spacing w:after="200" w:line="240" w:lineRule="auto"/>
    </w:pPr>
    <w:rPr>
      <w:rFonts w:eastAsia="SimSun"/>
      <w:sz w:val="20"/>
      <w:szCs w:val="20"/>
    </w:rPr>
  </w:style>
  <w:style w:type="character" w:customStyle="1" w:styleId="CommentTextChar">
    <w:name w:val="Comment Text Char"/>
    <w:basedOn w:val="DefaultParagraphFont"/>
    <w:link w:val="CommentText"/>
    <w:uiPriority w:val="99"/>
    <w:semiHidden/>
    <w:rsid w:val="00AC66A8"/>
    <w:rPr>
      <w:rFonts w:eastAsia="SimSun"/>
      <w:sz w:val="20"/>
      <w:szCs w:val="20"/>
    </w:rPr>
  </w:style>
  <w:style w:type="character" w:styleId="CommentReference">
    <w:name w:val="annotation reference"/>
    <w:basedOn w:val="DefaultParagraphFont"/>
    <w:uiPriority w:val="99"/>
    <w:semiHidden/>
    <w:unhideWhenUsed/>
    <w:rsid w:val="00AC66A8"/>
    <w:rPr>
      <w:sz w:val="16"/>
      <w:szCs w:val="16"/>
    </w:rPr>
  </w:style>
  <w:style w:type="table" w:customStyle="1" w:styleId="GridTable5Dark-Accent61">
    <w:name w:val="Grid Table 5 Dark - Accent 61"/>
    <w:basedOn w:val="TableNormal"/>
    <w:next w:val="GridTable5Dark-Accent6"/>
    <w:uiPriority w:val="50"/>
    <w:rsid w:val="00AC66A8"/>
    <w:pPr>
      <w:spacing w:after="0" w:line="240" w:lineRule="auto"/>
    </w:pPr>
    <w:rPr>
      <w:rFonts w:eastAsia="SimSu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GridTable5Dark-Accent6">
    <w:name w:val="Grid Table 5 Dark Accent 6"/>
    <w:basedOn w:val="TableNormal"/>
    <w:uiPriority w:val="50"/>
    <w:rsid w:val="00AC66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alloonText">
    <w:name w:val="Balloon Text"/>
    <w:basedOn w:val="Normal"/>
    <w:link w:val="BalloonTextChar"/>
    <w:uiPriority w:val="99"/>
    <w:semiHidden/>
    <w:unhideWhenUsed/>
    <w:rsid w:val="00AC6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6A8"/>
    <w:rPr>
      <w:rFonts w:ascii="Segoe UI" w:hAnsi="Segoe UI" w:cs="Segoe UI"/>
      <w:sz w:val="18"/>
      <w:szCs w:val="18"/>
    </w:rPr>
  </w:style>
  <w:style w:type="character" w:styleId="FollowedHyperlink">
    <w:name w:val="FollowedHyperlink"/>
    <w:basedOn w:val="DefaultParagraphFont"/>
    <w:uiPriority w:val="99"/>
    <w:semiHidden/>
    <w:unhideWhenUsed/>
    <w:rsid w:val="00B039C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C18D7"/>
    <w:pPr>
      <w:spacing w:after="160"/>
    </w:pPr>
    <w:rPr>
      <w:rFonts w:eastAsiaTheme="minorHAnsi"/>
      <w:b/>
      <w:bCs/>
    </w:rPr>
  </w:style>
  <w:style w:type="character" w:customStyle="1" w:styleId="CommentSubjectChar">
    <w:name w:val="Comment Subject Char"/>
    <w:basedOn w:val="CommentTextChar"/>
    <w:link w:val="CommentSubject"/>
    <w:uiPriority w:val="99"/>
    <w:semiHidden/>
    <w:rsid w:val="005C18D7"/>
    <w:rPr>
      <w:rFonts w:eastAsia="SimSun"/>
      <w:b/>
      <w:bCs/>
      <w:sz w:val="20"/>
      <w:szCs w:val="20"/>
    </w:rPr>
  </w:style>
  <w:style w:type="paragraph" w:styleId="Revision">
    <w:name w:val="Revision"/>
    <w:hidden/>
    <w:uiPriority w:val="99"/>
    <w:semiHidden/>
    <w:rsid w:val="005C18D7"/>
    <w:pPr>
      <w:spacing w:after="0" w:line="240" w:lineRule="auto"/>
    </w:pPr>
  </w:style>
  <w:style w:type="character" w:styleId="UnresolvedMention">
    <w:name w:val="Unresolved Mention"/>
    <w:basedOn w:val="DefaultParagraphFont"/>
    <w:uiPriority w:val="99"/>
    <w:semiHidden/>
    <w:unhideWhenUsed/>
    <w:rsid w:val="00AD3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68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ed.gov/policy/elsec/leg/essa/essaguidance160477.pdf" TargetMode="External"/><Relationship Id="rId18" Type="http://schemas.openxmlformats.org/officeDocument/2006/relationships/hyperlink" Target="http://www.doe.mass.edu/federalgrants/resources/equitableservices-essa/timelines.docx" TargetMode="External"/><Relationship Id="rId26" Type="http://schemas.openxmlformats.org/officeDocument/2006/relationships/footer" Target="footer1.xml"/><Relationship Id="rId39" Type="http://schemas.openxmlformats.org/officeDocument/2006/relationships/hyperlink" Target="http://www.doe.mass.edu/federalgrants/resources/complaint.html" TargetMode="External"/><Relationship Id="rId21" Type="http://schemas.openxmlformats.org/officeDocument/2006/relationships/hyperlink" Target="https://www2.ed.gov/about/inits/ed/non-public-education/files/equitable-services-guidance-100419.pdf" TargetMode="External"/><Relationship Id="rId34" Type="http://schemas.openxmlformats.org/officeDocument/2006/relationships/hyperlink" Target="https://www2.ed.gov/about/inits/ed/non-public-education/files/equitable-services-guidance-100419.pdf" TargetMode="External"/><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2.ed.gov/about/inits/ed/non-public-education/files/esea-titleviii-guidance-2023.pdf" TargetMode="External"/><Relationship Id="rId29" Type="http://schemas.openxmlformats.org/officeDocument/2006/relationships/hyperlink" Target="mailto:ESEAequitableservices@mas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federalgrants/resources/equitableservices-essa/affirm-consultation.docx" TargetMode="External"/><Relationship Id="rId32" Type="http://schemas.openxmlformats.org/officeDocument/2006/relationships/hyperlink" Target="https://www.doe.mass.edu/federalgrants/resources/equitableservices-essa/" TargetMode="External"/><Relationship Id="rId37" Type="http://schemas.openxmlformats.org/officeDocument/2006/relationships/hyperlink" Target="mailto:ESEAequitableservices@mass.gov" TargetMode="External"/><Relationship Id="rId40" Type="http://schemas.openxmlformats.org/officeDocument/2006/relationships/hyperlink" Target="http://www.doe.mass.edu/federalgrants/resources/complaint.html"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d.gov/esea" TargetMode="External"/><Relationship Id="rId23" Type="http://schemas.openxmlformats.org/officeDocument/2006/relationships/hyperlink" Target="http://www.doe.mass.edu/federalgrants/resources/equitableservices-essa/timelines.docx" TargetMode="External"/><Relationship Id="rId28" Type="http://schemas.openxmlformats.org/officeDocument/2006/relationships/footer" Target="footer2.xml"/><Relationship Id="rId36" Type="http://schemas.openxmlformats.org/officeDocument/2006/relationships/hyperlink" Target="mailto:ESEAequitableservices@mass.gov" TargetMode="External"/><Relationship Id="rId10" Type="http://schemas.openxmlformats.org/officeDocument/2006/relationships/footnotes" Target="footnotes.xml"/><Relationship Id="rId19" Type="http://schemas.openxmlformats.org/officeDocument/2006/relationships/hyperlink" Target="https://www.ed.gov/esea" TargetMode="External"/><Relationship Id="rId31" Type="http://schemas.openxmlformats.org/officeDocument/2006/relationships/hyperlink" Target="http://www.doe.mass.edu/federalgrants/titlei-a/guidance/third-party-contract.doc"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federalgrants/resources/equitableservices-essa/timelines.docx" TargetMode="External"/><Relationship Id="rId22" Type="http://schemas.openxmlformats.org/officeDocument/2006/relationships/hyperlink" Target="https://www.doe.mass.edu/federalgrants/resources/equitableservices-essa/private-essa.docx" TargetMode="External"/><Relationship Id="rId27" Type="http://schemas.openxmlformats.org/officeDocument/2006/relationships/header" Target="header2.xml"/><Relationship Id="rId30" Type="http://schemas.openxmlformats.org/officeDocument/2006/relationships/hyperlink" Target="https://www2.ed.gov/policy/elsec/guid/equitableserguidance.doc" TargetMode="External"/><Relationship Id="rId35" Type="http://schemas.openxmlformats.org/officeDocument/2006/relationships/hyperlink" Target="https://www2.ed.gov/about/inits/ed/non-public-education/files/equitable-services-guidance-100419.pdf" TargetMode="External"/><Relationship Id="rId43"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2.ed.gov/about/inits/ed/non-public-education/files/esea-titleviii-guidance-2023.pdf" TargetMode="External"/><Relationship Id="rId17" Type="http://schemas.openxmlformats.org/officeDocument/2006/relationships/hyperlink" Target="https://www2.ed.gov/policy/elsec/leg/essa/essaguidance160477.pdf" TargetMode="External"/><Relationship Id="rId25" Type="http://schemas.openxmlformats.org/officeDocument/2006/relationships/header" Target="header1.xml"/><Relationship Id="rId33" Type="http://schemas.openxmlformats.org/officeDocument/2006/relationships/hyperlink" Target="https://www2.ed.gov/about/inits/ed/non-public-education/files/equitable-services-guidance-100419.pdf" TargetMode="External"/><Relationship Id="rId38" Type="http://schemas.openxmlformats.org/officeDocument/2006/relationships/hyperlink" Target="http://www.doe.mass.edu/federalgrants/resources/complaint.html" TargetMode="External"/><Relationship Id="rId20" Type="http://schemas.openxmlformats.org/officeDocument/2006/relationships/hyperlink" Target="http://www.doe.mass.edu/federalgrants/resources/equitableservices-essa/data-funds-collecting.docx" TargetMode="External"/><Relationship Id="rId41" Type="http://schemas.openxmlformats.org/officeDocument/2006/relationships/hyperlink" Target="http://www.doe.mass.edu/federalgrants/resources/complai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DESE-231-76484</_dlc_DocId>
    <_dlc_DocIdUrl xmlns="733efe1c-5bbe-4968-87dc-d400e65c879f">
      <Url>https://sharepoint.doemass.org/ese/webteam/cps/_layouts/DocIdRedir.aspx?ID=DESE-231-76484</Url>
      <Description>DESE-231-76484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4661F0C-20E2-478A-8921-5481F7C14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67073-BBEE-4F73-92A1-5C7B2805395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687877C-E0B3-4E03-B21A-BE0D1C5536D5}">
  <ds:schemaRefs>
    <ds:schemaRef ds:uri="http://schemas.openxmlformats.org/officeDocument/2006/bibliography"/>
  </ds:schemaRefs>
</ds:datastoreItem>
</file>

<file path=customXml/itemProps4.xml><?xml version="1.0" encoding="utf-8"?>
<ds:datastoreItem xmlns:ds="http://schemas.openxmlformats.org/officeDocument/2006/customXml" ds:itemID="{92570786-1876-49D0-B323-9150CA387458}">
  <ds:schemaRefs>
    <ds:schemaRef ds:uri="http://schemas.microsoft.com/sharepoint/events"/>
  </ds:schemaRefs>
</ds:datastoreItem>
</file>

<file path=customXml/itemProps5.xml><?xml version="1.0" encoding="utf-8"?>
<ds:datastoreItem xmlns:ds="http://schemas.openxmlformats.org/officeDocument/2006/customXml" ds:itemID="{DA0AE988-FFFF-4074-A451-D2DA1C595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Equitable Services Resource Guide</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Equitable Services Resource Guide</dc:title>
  <dc:subject/>
  <dc:creator>DESE</dc:creator>
  <cp:keywords/>
  <dc:description/>
  <cp:lastModifiedBy>Zou, Dong (EOE)</cp:lastModifiedBy>
  <cp:revision>6</cp:revision>
  <cp:lastPrinted>2020-01-16T14:40:00Z</cp:lastPrinted>
  <dcterms:created xsi:type="dcterms:W3CDTF">2024-04-04T13:27:00Z</dcterms:created>
  <dcterms:modified xsi:type="dcterms:W3CDTF">2024-04-04T20:33:00Z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2024 12:00AM</vt:lpwstr>
  </property>
</Properties>
</file>