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B367" w14:textId="04FD006A" w:rsidR="004A7090" w:rsidRPr="00B370FE" w:rsidRDefault="004A7090" w:rsidP="00C57AE7">
      <w:pPr>
        <w:pStyle w:val="paragraph"/>
        <w:pBdr>
          <w:bottom w:val="single" w:sz="8" w:space="4" w:color="4F81BD"/>
        </w:pBdr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17365D"/>
          <w:sz w:val="32"/>
          <w:szCs w:val="32"/>
        </w:rPr>
      </w:pPr>
      <w:r w:rsidRPr="00B370FE">
        <w:rPr>
          <w:rStyle w:val="normaltextrun"/>
          <w:rFonts w:ascii="Arial" w:eastAsiaTheme="majorEastAsia" w:hAnsi="Arial" w:cs="Arial"/>
          <w:color w:val="17365D"/>
          <w:sz w:val="32"/>
          <w:szCs w:val="32"/>
        </w:rPr>
        <w:t>Neglected or Delinquent (N or D) Facility Coordination – Fund Use and Outcomes Achieved</w:t>
      </w:r>
    </w:p>
    <w:p w14:paraId="4F3540FB" w14:textId="41891210" w:rsidR="00486B3B" w:rsidRDefault="004A7090" w:rsidP="001C69DB">
      <w:pPr>
        <w:spacing w:before="240"/>
        <w:rPr>
          <w:rFonts w:ascii="Calibri" w:hAnsi="Calibri" w:cs="Calibri"/>
          <w:i/>
          <w:iCs/>
          <w:sz w:val="22"/>
          <w:szCs w:val="22"/>
        </w:rPr>
      </w:pPr>
      <w:r w:rsidRPr="00167EE9">
        <w:rPr>
          <w:rFonts w:ascii="Calibri" w:hAnsi="Calibri" w:cs="Calibri"/>
          <w:i/>
          <w:iCs/>
          <w:sz w:val="22"/>
          <w:szCs w:val="22"/>
        </w:rPr>
        <w:t xml:space="preserve">Title I, Part D (The Prevention and Intervention Program for Children and Youth Who Are Neglected, Delinquent, or At-Risk) assists the education of certain disadvantaged children. The funds are distributed through Title I grants directly to public school districts with an eligible neglected or delinquent facility located within their boundaries. The district acts as a fiscal agent for the Title I, Part D, Subpart 2 funds, which includes oversight of the funds to ensure they are spent as outlined in the Formal Agreement between the district and the N/D facility. </w:t>
      </w:r>
    </w:p>
    <w:p w14:paraId="1356C95A" w14:textId="2702FF45" w:rsidR="004A7090" w:rsidRPr="00167EE9" w:rsidRDefault="004A7090" w:rsidP="004A7090">
      <w:pPr>
        <w:rPr>
          <w:rFonts w:ascii="Calibri" w:hAnsi="Calibri" w:cs="Calibri"/>
          <w:i/>
          <w:iCs/>
          <w:sz w:val="22"/>
          <w:szCs w:val="22"/>
        </w:rPr>
      </w:pPr>
      <w:r w:rsidRPr="00167EE9">
        <w:rPr>
          <w:rFonts w:ascii="Calibri" w:hAnsi="Calibri" w:cs="Calibri"/>
          <w:i/>
          <w:iCs/>
          <w:sz w:val="22"/>
          <w:szCs w:val="22"/>
        </w:rPr>
        <w:t>Districts are responsible for monitoring the Title I, Part D, Subpart 2 program to ensure that the facility is carrying out its responsibilities and is complying with all applicable statutory and regulatory requirements of the grant. The district Title I Director must work with the N/D facility coordinator to evaluate the impact of Title I, Part D, Subpart 2 activities on the children and youth in the facility. </w:t>
      </w:r>
      <w:r w:rsidR="001C69DB" w:rsidRPr="001C69DB">
        <w:rPr>
          <w:rFonts w:ascii="Calibri" w:hAnsi="Calibri" w:cs="Calibri"/>
          <w:i/>
          <w:iCs/>
          <w:sz w:val="22"/>
          <w:szCs w:val="22"/>
        </w:rPr>
        <w:t>This sample document is intended for informational and illustrative purposes only. It may not cover all aspects relevant to all specific needs or requirements</w:t>
      </w:r>
      <w:r w:rsidR="001346AD">
        <w:rPr>
          <w:rFonts w:ascii="Calibri" w:hAnsi="Calibri" w:cs="Calibri"/>
          <w:i/>
          <w:iCs/>
          <w:sz w:val="22"/>
          <w:szCs w:val="22"/>
        </w:rPr>
        <w:t>.</w:t>
      </w:r>
    </w:p>
    <w:p w14:paraId="5665E1F3" w14:textId="51EEC530" w:rsidR="00923B48" w:rsidRPr="004A08C7" w:rsidRDefault="004A08C7" w:rsidP="004A08C7">
      <w:pPr>
        <w:keepNext/>
        <w:keepLines/>
        <w:spacing w:after="200" w:line="276" w:lineRule="auto"/>
        <w:outlineLvl w:val="0"/>
        <w:rPr>
          <w:rFonts w:ascii="Arial" w:eastAsia="Calibri" w:hAnsi="Arial" w:cs="Arial"/>
          <w:color w:val="365F91"/>
          <w:kern w:val="0"/>
          <w:sz w:val="28"/>
          <w:szCs w:val="28"/>
          <w14:ligatures w14:val="none"/>
        </w:rPr>
      </w:pPr>
      <w:r w:rsidRPr="004A08C7">
        <w:rPr>
          <w:rFonts w:ascii="Arial" w:eastAsia="Calibri" w:hAnsi="Arial" w:cs="Arial"/>
          <w:color w:val="365F91"/>
          <w:kern w:val="0"/>
          <w:sz w:val="12"/>
          <w:szCs w:val="12"/>
          <w14:ligatures w14:val="none"/>
        </w:rPr>
        <w:br/>
      </w:r>
      <w:r w:rsidR="00510D28" w:rsidRPr="004A08C7">
        <w:rPr>
          <w:rFonts w:ascii="Arial" w:eastAsia="Calibri" w:hAnsi="Arial" w:cs="Arial"/>
          <w:color w:val="365F91"/>
          <w:kern w:val="0"/>
          <w:sz w:val="28"/>
          <w:szCs w:val="28"/>
          <w14:ligatures w14:val="none"/>
        </w:rPr>
        <w:t>Title I, Part D, Subpart 2 Program Evaluation – Sample</w:t>
      </w:r>
      <w:r w:rsidR="00FA7E3C">
        <w:rPr>
          <w:rFonts w:ascii="Arial" w:eastAsia="Calibri" w:hAnsi="Arial" w:cs="Arial"/>
          <w:color w:val="365F91"/>
          <w:kern w:val="0"/>
          <w:sz w:val="28"/>
          <w:szCs w:val="28"/>
          <w14:ligatures w14:val="none"/>
        </w:rPr>
        <w:t xml:space="preserve"> </w:t>
      </w:r>
      <w:r w:rsidR="00FA7E3C" w:rsidRPr="001C69DB">
        <w:rPr>
          <w:rFonts w:ascii="Arial" w:eastAsia="Calibri" w:hAnsi="Arial" w:cs="Arial"/>
          <w:i/>
          <w:iCs/>
          <w:color w:val="365F91"/>
          <w:kern w:val="0"/>
          <w:sz w:val="28"/>
          <w:szCs w:val="28"/>
          <w14:ligatures w14:val="none"/>
        </w:rPr>
        <w:t>(edit red text)</w:t>
      </w:r>
      <w:r w:rsidR="00510D28" w:rsidRPr="004A08C7">
        <w:rPr>
          <w:rFonts w:ascii="Arial" w:eastAsia="Calibri" w:hAnsi="Arial" w:cs="Arial"/>
          <w:color w:val="365F91"/>
          <w:kern w:val="0"/>
          <w:sz w:val="28"/>
          <w:szCs w:val="28"/>
          <w14:ligatures w14:val="none"/>
        </w:rPr>
        <w:t xml:space="preserve"> </w:t>
      </w:r>
    </w:p>
    <w:p w14:paraId="0E1D4117" w14:textId="407D1D43" w:rsidR="004A7090" w:rsidRPr="00D00DE5" w:rsidRDefault="004A08C7" w:rsidP="001C69DB">
      <w:pPr>
        <w:spacing w:after="0"/>
        <w:jc w:val="center"/>
        <w:rPr>
          <w:rFonts w:ascii="Calibri" w:hAnsi="Calibri" w:cs="Calibri"/>
          <w:b/>
          <w:bCs/>
          <w:color w:val="ED0000"/>
          <w:sz w:val="22"/>
          <w:szCs w:val="22"/>
        </w:rPr>
      </w:pPr>
      <w:r w:rsidRPr="004A08C7">
        <w:rPr>
          <w:rFonts w:ascii="Calibri" w:hAnsi="Calibri" w:cs="Calibri"/>
          <w:b/>
          <w:bCs/>
          <w:color w:val="ED0000"/>
          <w:sz w:val="12"/>
          <w:szCs w:val="12"/>
        </w:rPr>
        <w:br/>
      </w:r>
      <w:r w:rsidR="001501F3" w:rsidRPr="002310AC">
        <w:rPr>
          <w:rFonts w:ascii="Calibri" w:hAnsi="Calibri" w:cs="Calibri"/>
          <w:b/>
          <w:bCs/>
          <w:color w:val="ED0000"/>
          <w:sz w:val="22"/>
          <w:szCs w:val="22"/>
        </w:rPr>
        <w:t xml:space="preserve">(LEA name) </w:t>
      </w:r>
      <w:r w:rsidR="001501F3" w:rsidRPr="00167EE9">
        <w:rPr>
          <w:rFonts w:ascii="Calibri" w:hAnsi="Calibri" w:cs="Calibri"/>
          <w:b/>
          <w:bCs/>
          <w:sz w:val="22"/>
          <w:szCs w:val="22"/>
        </w:rPr>
        <w:t xml:space="preserve">Public Schools </w:t>
      </w:r>
      <w:r w:rsidR="001501F3" w:rsidRPr="002310AC">
        <w:rPr>
          <w:rFonts w:ascii="Calibri" w:hAnsi="Calibri" w:cs="Calibri"/>
          <w:b/>
          <w:bCs/>
          <w:color w:val="ED0000"/>
          <w:sz w:val="22"/>
          <w:szCs w:val="22"/>
        </w:rPr>
        <w:t>(N/D Facility Name</w:t>
      </w:r>
      <w:r w:rsidR="008F7813">
        <w:rPr>
          <w:rFonts w:ascii="Calibri" w:hAnsi="Calibri" w:cs="Calibri"/>
          <w:b/>
          <w:bCs/>
          <w:color w:val="ED0000"/>
          <w:sz w:val="22"/>
          <w:szCs w:val="22"/>
        </w:rPr>
        <w:t>(s)</w:t>
      </w:r>
      <w:r w:rsidR="001501F3" w:rsidRPr="002310AC">
        <w:rPr>
          <w:rFonts w:ascii="Calibri" w:hAnsi="Calibri" w:cs="Calibri"/>
          <w:b/>
          <w:bCs/>
          <w:color w:val="ED0000"/>
          <w:sz w:val="22"/>
          <w:szCs w:val="22"/>
        </w:rPr>
        <w:t>)</w:t>
      </w:r>
      <w:r w:rsidR="00D00DE5">
        <w:rPr>
          <w:rFonts w:ascii="Calibri" w:hAnsi="Calibri" w:cs="Calibri"/>
          <w:b/>
          <w:bCs/>
          <w:color w:val="ED0000"/>
          <w:sz w:val="22"/>
          <w:szCs w:val="22"/>
        </w:rPr>
        <w:t xml:space="preserve"> – </w:t>
      </w:r>
      <w:r w:rsidR="001501F3" w:rsidRPr="00167EE9">
        <w:rPr>
          <w:rFonts w:ascii="Calibri" w:hAnsi="Calibri" w:cs="Calibri"/>
          <w:b/>
          <w:bCs/>
          <w:sz w:val="22"/>
          <w:szCs w:val="22"/>
        </w:rPr>
        <w:t xml:space="preserve">Program Evaluation </w:t>
      </w:r>
    </w:p>
    <w:p w14:paraId="7DAAC307" w14:textId="7C1C7D37" w:rsidR="001501F3" w:rsidRPr="00167EE9" w:rsidRDefault="001501F3" w:rsidP="004A7090">
      <w:pPr>
        <w:rPr>
          <w:rFonts w:ascii="Calibri" w:hAnsi="Calibri" w:cs="Calibri"/>
          <w:b/>
          <w:bCs/>
          <w:sz w:val="22"/>
          <w:szCs w:val="22"/>
        </w:rPr>
      </w:pPr>
      <w:r w:rsidRPr="00167EE9">
        <w:rPr>
          <w:rFonts w:ascii="Calibri" w:hAnsi="Calibri" w:cs="Calibri"/>
          <w:b/>
          <w:bCs/>
          <w:sz w:val="22"/>
          <w:szCs w:val="22"/>
        </w:rPr>
        <w:t xml:space="preserve">Overview: </w:t>
      </w:r>
    </w:p>
    <w:p w14:paraId="3280D816" w14:textId="2B090265" w:rsidR="004F486B" w:rsidRPr="001C69DB" w:rsidRDefault="00A25EF6" w:rsidP="004F486B">
      <w:pPr>
        <w:pStyle w:val="ListParagraph"/>
        <w:numPr>
          <w:ilvl w:val="0"/>
          <w:numId w:val="4"/>
        </w:numPr>
        <w:rPr>
          <w:rFonts w:ascii="Calibri" w:hAnsi="Calibri" w:cs="Calibri"/>
          <w:color w:val="EE0000"/>
          <w:sz w:val="22"/>
          <w:szCs w:val="22"/>
        </w:rPr>
      </w:pPr>
      <w:r w:rsidRPr="001C69DB">
        <w:rPr>
          <w:rFonts w:ascii="Calibri" w:hAnsi="Calibri" w:cs="Calibri"/>
          <w:color w:val="EE0000"/>
          <w:sz w:val="22"/>
          <w:szCs w:val="22"/>
        </w:rPr>
        <w:t xml:space="preserve">N/D </w:t>
      </w:r>
      <w:r w:rsidR="005C1722" w:rsidRPr="001C69DB">
        <w:rPr>
          <w:rFonts w:ascii="Calibri" w:hAnsi="Calibri" w:cs="Calibri"/>
          <w:color w:val="EE0000"/>
          <w:sz w:val="22"/>
          <w:szCs w:val="22"/>
        </w:rPr>
        <w:t>f</w:t>
      </w:r>
      <w:r w:rsidRPr="001C69DB">
        <w:rPr>
          <w:rFonts w:ascii="Calibri" w:hAnsi="Calibri" w:cs="Calibri"/>
          <w:color w:val="EE0000"/>
          <w:sz w:val="22"/>
          <w:szCs w:val="22"/>
        </w:rPr>
        <w:t>acility</w:t>
      </w:r>
      <w:r w:rsidR="00756497" w:rsidRPr="001C69DB">
        <w:rPr>
          <w:rFonts w:ascii="Calibri" w:hAnsi="Calibri" w:cs="Calibri"/>
          <w:color w:val="EE0000"/>
          <w:sz w:val="22"/>
          <w:szCs w:val="22"/>
        </w:rPr>
        <w:t xml:space="preserve"> </w:t>
      </w:r>
      <w:r w:rsidR="005C1722" w:rsidRPr="001C69DB">
        <w:rPr>
          <w:rFonts w:ascii="Calibri" w:hAnsi="Calibri" w:cs="Calibri"/>
          <w:color w:val="EE0000"/>
          <w:sz w:val="22"/>
          <w:szCs w:val="22"/>
        </w:rPr>
        <w:t>n</w:t>
      </w:r>
      <w:r w:rsidRPr="001C69DB">
        <w:rPr>
          <w:rFonts w:ascii="Calibri" w:hAnsi="Calibri" w:cs="Calibri"/>
          <w:color w:val="EE0000"/>
          <w:sz w:val="22"/>
          <w:szCs w:val="22"/>
        </w:rPr>
        <w:t>ame</w:t>
      </w:r>
      <w:r w:rsidR="00756497" w:rsidRPr="001C69DB">
        <w:rPr>
          <w:rFonts w:ascii="Calibri" w:hAnsi="Calibri" w:cs="Calibri"/>
          <w:color w:val="EE0000"/>
          <w:sz w:val="22"/>
          <w:szCs w:val="22"/>
        </w:rPr>
        <w:t>(s)</w:t>
      </w:r>
      <w:r w:rsidR="005C1722" w:rsidRPr="001C69DB">
        <w:rPr>
          <w:rFonts w:ascii="Calibri" w:hAnsi="Calibri" w:cs="Calibri"/>
          <w:color w:val="EE0000"/>
          <w:sz w:val="22"/>
          <w:szCs w:val="22"/>
        </w:rPr>
        <w:t xml:space="preserve"> and type</w:t>
      </w:r>
      <w:r w:rsidR="00756497" w:rsidRPr="001C69DB">
        <w:rPr>
          <w:rFonts w:ascii="Calibri" w:hAnsi="Calibri" w:cs="Calibri"/>
          <w:color w:val="EE0000"/>
          <w:sz w:val="22"/>
          <w:szCs w:val="22"/>
        </w:rPr>
        <w:t>(s)</w:t>
      </w:r>
      <w:r w:rsidR="005C1722" w:rsidRPr="001C69DB">
        <w:rPr>
          <w:rFonts w:ascii="Calibri" w:hAnsi="Calibri" w:cs="Calibri"/>
          <w:color w:val="EE0000"/>
          <w:sz w:val="22"/>
          <w:szCs w:val="22"/>
        </w:rPr>
        <w:t xml:space="preserve">. </w:t>
      </w:r>
    </w:p>
    <w:p w14:paraId="56224DC5" w14:textId="5F56F740" w:rsidR="001501F3" w:rsidRPr="001C69DB" w:rsidRDefault="004F486B" w:rsidP="004F486B">
      <w:pPr>
        <w:pStyle w:val="ListParagraph"/>
        <w:numPr>
          <w:ilvl w:val="0"/>
          <w:numId w:val="4"/>
        </w:numPr>
        <w:rPr>
          <w:rFonts w:ascii="Calibri" w:hAnsi="Calibri" w:cs="Calibri"/>
          <w:color w:val="EE0000"/>
          <w:sz w:val="22"/>
          <w:szCs w:val="22"/>
        </w:rPr>
      </w:pPr>
      <w:r w:rsidRPr="001C69DB">
        <w:rPr>
          <w:rFonts w:ascii="Calibri" w:hAnsi="Calibri" w:cs="Calibri"/>
          <w:color w:val="EE0000"/>
          <w:sz w:val="22"/>
          <w:szCs w:val="22"/>
        </w:rPr>
        <w:t xml:space="preserve">N/D </w:t>
      </w:r>
      <w:r w:rsidR="005C1722" w:rsidRPr="001C69DB">
        <w:rPr>
          <w:rFonts w:ascii="Calibri" w:hAnsi="Calibri" w:cs="Calibri"/>
          <w:color w:val="EE0000"/>
          <w:sz w:val="22"/>
          <w:szCs w:val="22"/>
        </w:rPr>
        <w:t>f</w:t>
      </w:r>
      <w:r w:rsidRPr="001C69DB">
        <w:rPr>
          <w:rFonts w:ascii="Calibri" w:hAnsi="Calibri" w:cs="Calibri"/>
          <w:color w:val="EE0000"/>
          <w:sz w:val="22"/>
          <w:szCs w:val="22"/>
        </w:rPr>
        <w:t>acility</w:t>
      </w:r>
      <w:r w:rsidR="00756497" w:rsidRPr="001C69DB">
        <w:rPr>
          <w:rFonts w:ascii="Calibri" w:hAnsi="Calibri" w:cs="Calibri"/>
          <w:color w:val="EE0000"/>
          <w:sz w:val="22"/>
          <w:szCs w:val="22"/>
        </w:rPr>
        <w:t xml:space="preserve"> </w:t>
      </w:r>
      <w:r w:rsidR="00A25EF6" w:rsidRPr="001C69DB">
        <w:rPr>
          <w:rFonts w:ascii="Calibri" w:hAnsi="Calibri" w:cs="Calibri"/>
          <w:color w:val="EE0000"/>
          <w:sz w:val="22"/>
          <w:szCs w:val="22"/>
        </w:rPr>
        <w:t>locat</w:t>
      </w:r>
      <w:r w:rsidRPr="001C69DB">
        <w:rPr>
          <w:rFonts w:ascii="Calibri" w:hAnsi="Calibri" w:cs="Calibri"/>
          <w:color w:val="EE0000"/>
          <w:sz w:val="22"/>
          <w:szCs w:val="22"/>
        </w:rPr>
        <w:t>ion</w:t>
      </w:r>
      <w:r w:rsidR="00756497" w:rsidRPr="001C69DB">
        <w:rPr>
          <w:rFonts w:ascii="Calibri" w:hAnsi="Calibri" w:cs="Calibri"/>
          <w:color w:val="EE0000"/>
          <w:sz w:val="22"/>
          <w:szCs w:val="22"/>
        </w:rPr>
        <w:t>(s)</w:t>
      </w:r>
      <w:r w:rsidR="005C1722" w:rsidRPr="001C69DB">
        <w:rPr>
          <w:rFonts w:ascii="Calibri" w:hAnsi="Calibri" w:cs="Calibri"/>
          <w:color w:val="EE0000"/>
          <w:sz w:val="22"/>
          <w:szCs w:val="22"/>
        </w:rPr>
        <w:t>.</w:t>
      </w:r>
    </w:p>
    <w:p w14:paraId="64B7EE8A" w14:textId="60589C5E" w:rsidR="002C53D2" w:rsidRPr="001C69DB" w:rsidRDefault="005C1722" w:rsidP="004F486B">
      <w:pPr>
        <w:pStyle w:val="ListParagraph"/>
        <w:numPr>
          <w:ilvl w:val="0"/>
          <w:numId w:val="4"/>
        </w:numPr>
        <w:rPr>
          <w:rFonts w:ascii="Calibri" w:hAnsi="Calibri" w:cs="Calibri"/>
          <w:color w:val="EE0000"/>
          <w:sz w:val="22"/>
          <w:szCs w:val="22"/>
        </w:rPr>
      </w:pPr>
      <w:r w:rsidRPr="001C69DB">
        <w:rPr>
          <w:rFonts w:ascii="Calibri" w:hAnsi="Calibri" w:cs="Calibri"/>
          <w:color w:val="EE0000"/>
          <w:sz w:val="22"/>
          <w:szCs w:val="22"/>
        </w:rPr>
        <w:t xml:space="preserve">General overview of services provided to students. </w:t>
      </w:r>
    </w:p>
    <w:p w14:paraId="11BB1A1D" w14:textId="69035EDD" w:rsidR="004F486B" w:rsidRPr="001C69DB" w:rsidRDefault="004F486B" w:rsidP="004A7090">
      <w:pPr>
        <w:pStyle w:val="ListParagraph"/>
        <w:numPr>
          <w:ilvl w:val="0"/>
          <w:numId w:val="4"/>
        </w:numPr>
        <w:rPr>
          <w:rFonts w:ascii="Calibri" w:hAnsi="Calibri" w:cs="Calibri"/>
          <w:color w:val="EE0000"/>
          <w:sz w:val="22"/>
          <w:szCs w:val="22"/>
        </w:rPr>
      </w:pPr>
      <w:r w:rsidRPr="001C69DB">
        <w:rPr>
          <w:rFonts w:ascii="Calibri" w:hAnsi="Calibri" w:cs="Calibri"/>
          <w:color w:val="EE0000"/>
          <w:sz w:val="22"/>
          <w:szCs w:val="22"/>
        </w:rPr>
        <w:t>Information on how N/D Facility works with LEA</w:t>
      </w:r>
      <w:r w:rsidR="006E52D3" w:rsidRPr="001C69DB">
        <w:rPr>
          <w:rFonts w:ascii="Calibri" w:hAnsi="Calibri" w:cs="Calibri"/>
          <w:color w:val="EE0000"/>
          <w:sz w:val="22"/>
          <w:szCs w:val="22"/>
        </w:rPr>
        <w:t xml:space="preserve"> to coordinate </w:t>
      </w:r>
      <w:r w:rsidR="00F8697B" w:rsidRPr="001C69DB">
        <w:rPr>
          <w:rFonts w:ascii="Calibri" w:hAnsi="Calibri" w:cs="Calibri"/>
          <w:color w:val="EE0000"/>
          <w:sz w:val="22"/>
          <w:szCs w:val="22"/>
        </w:rPr>
        <w:t xml:space="preserve">Title I, Part D, Subpart 2 </w:t>
      </w:r>
      <w:r w:rsidR="006E52D3" w:rsidRPr="001C69DB">
        <w:rPr>
          <w:rFonts w:ascii="Calibri" w:hAnsi="Calibri" w:cs="Calibri"/>
          <w:color w:val="EE0000"/>
          <w:sz w:val="22"/>
          <w:szCs w:val="22"/>
        </w:rPr>
        <w:t>services</w:t>
      </w:r>
      <w:r w:rsidR="00F8697B" w:rsidRPr="001C69DB">
        <w:rPr>
          <w:rFonts w:ascii="Calibri" w:hAnsi="Calibri" w:cs="Calibri"/>
          <w:color w:val="EE0000"/>
          <w:sz w:val="22"/>
          <w:szCs w:val="22"/>
        </w:rPr>
        <w:t>/activities</w:t>
      </w:r>
      <w:r w:rsidR="006E52D3" w:rsidRPr="001C69DB">
        <w:rPr>
          <w:rFonts w:ascii="Calibri" w:hAnsi="Calibri" w:cs="Calibri"/>
          <w:color w:val="EE0000"/>
          <w:sz w:val="22"/>
          <w:szCs w:val="22"/>
        </w:rPr>
        <w:t xml:space="preserve"> and fundin</w:t>
      </w:r>
      <w:r w:rsidR="00CD7868" w:rsidRPr="001C69DB">
        <w:rPr>
          <w:rFonts w:ascii="Calibri" w:hAnsi="Calibri" w:cs="Calibri"/>
          <w:color w:val="EE0000"/>
          <w:sz w:val="22"/>
          <w:szCs w:val="22"/>
        </w:rPr>
        <w:t xml:space="preserve">g. </w:t>
      </w:r>
    </w:p>
    <w:p w14:paraId="48DB090F" w14:textId="57B293C2" w:rsidR="00122C5E" w:rsidRPr="001C69DB" w:rsidRDefault="00122C5E" w:rsidP="004A7090">
      <w:pPr>
        <w:pStyle w:val="ListParagraph"/>
        <w:numPr>
          <w:ilvl w:val="0"/>
          <w:numId w:val="4"/>
        </w:numPr>
        <w:rPr>
          <w:rFonts w:ascii="Calibri" w:hAnsi="Calibri" w:cs="Calibri"/>
          <w:color w:val="EE0000"/>
          <w:sz w:val="22"/>
          <w:szCs w:val="22"/>
        </w:rPr>
      </w:pPr>
      <w:r w:rsidRPr="001C69DB">
        <w:rPr>
          <w:rFonts w:ascii="Calibri" w:hAnsi="Calibri" w:cs="Calibri"/>
          <w:color w:val="EE0000"/>
          <w:sz w:val="22"/>
          <w:szCs w:val="22"/>
        </w:rPr>
        <w:t xml:space="preserve">Total amount of funding received for </w:t>
      </w:r>
      <w:r w:rsidR="005C58E2" w:rsidRPr="001C69DB">
        <w:rPr>
          <w:rFonts w:ascii="Calibri" w:hAnsi="Calibri" w:cs="Calibri"/>
          <w:color w:val="EE0000"/>
          <w:sz w:val="22"/>
          <w:szCs w:val="22"/>
        </w:rPr>
        <w:t>the current</w:t>
      </w:r>
      <w:r w:rsidRPr="001C69DB">
        <w:rPr>
          <w:rFonts w:ascii="Calibri" w:hAnsi="Calibri" w:cs="Calibri"/>
          <w:color w:val="EE0000"/>
          <w:sz w:val="22"/>
          <w:szCs w:val="22"/>
        </w:rPr>
        <w:t xml:space="preserve"> school year. </w:t>
      </w:r>
    </w:p>
    <w:p w14:paraId="2B0917F4" w14:textId="3E806F8E" w:rsidR="001501F3" w:rsidRPr="00167EE9" w:rsidRDefault="001501F3" w:rsidP="004A7090">
      <w:pPr>
        <w:rPr>
          <w:rFonts w:ascii="Calibri" w:hAnsi="Calibri" w:cs="Calibri"/>
          <w:b/>
          <w:bCs/>
          <w:sz w:val="22"/>
          <w:szCs w:val="22"/>
        </w:rPr>
      </w:pPr>
      <w:r w:rsidRPr="00167EE9">
        <w:rPr>
          <w:rFonts w:ascii="Calibri" w:hAnsi="Calibri" w:cs="Calibri"/>
          <w:b/>
          <w:bCs/>
          <w:sz w:val="22"/>
          <w:szCs w:val="22"/>
        </w:rPr>
        <w:t xml:space="preserve">Summary of Title I, Part D, Subpart 2 Activities: </w:t>
      </w:r>
    </w:p>
    <w:p w14:paraId="62FBB846" w14:textId="65BD680B" w:rsidR="001501F3" w:rsidRPr="001C69DB" w:rsidRDefault="00CD7868" w:rsidP="00CD7868">
      <w:pPr>
        <w:pStyle w:val="ListParagraph"/>
        <w:numPr>
          <w:ilvl w:val="0"/>
          <w:numId w:val="5"/>
        </w:numPr>
        <w:rPr>
          <w:rFonts w:ascii="Calibri" w:hAnsi="Calibri" w:cs="Calibri"/>
          <w:color w:val="EE0000"/>
          <w:sz w:val="22"/>
          <w:szCs w:val="22"/>
        </w:rPr>
      </w:pPr>
      <w:r w:rsidRPr="001C69DB">
        <w:rPr>
          <w:rFonts w:ascii="Calibri" w:hAnsi="Calibri" w:cs="Calibri"/>
          <w:color w:val="EE0000"/>
          <w:sz w:val="22"/>
          <w:szCs w:val="22"/>
        </w:rPr>
        <w:t>List and</w:t>
      </w:r>
      <w:r w:rsidR="009F2C36" w:rsidRPr="001C69DB">
        <w:rPr>
          <w:rFonts w:ascii="Calibri" w:hAnsi="Calibri" w:cs="Calibri"/>
          <w:color w:val="EE0000"/>
          <w:sz w:val="22"/>
          <w:szCs w:val="22"/>
        </w:rPr>
        <w:t xml:space="preserve"> provide a</w:t>
      </w:r>
      <w:r w:rsidRPr="001C69DB">
        <w:rPr>
          <w:rFonts w:ascii="Calibri" w:hAnsi="Calibri" w:cs="Calibri"/>
          <w:color w:val="EE0000"/>
          <w:sz w:val="22"/>
          <w:szCs w:val="22"/>
        </w:rPr>
        <w:t xml:space="preserve"> detailed summary of all </w:t>
      </w:r>
      <w:r w:rsidR="00E81D20" w:rsidRPr="001C69DB">
        <w:rPr>
          <w:rFonts w:ascii="Calibri" w:hAnsi="Calibri" w:cs="Calibri"/>
          <w:color w:val="EE0000"/>
          <w:sz w:val="22"/>
          <w:szCs w:val="22"/>
        </w:rPr>
        <w:t xml:space="preserve">Title I, Part D, Subpart 2 </w:t>
      </w:r>
      <w:r w:rsidRPr="001C69DB">
        <w:rPr>
          <w:rFonts w:ascii="Calibri" w:hAnsi="Calibri" w:cs="Calibri"/>
          <w:color w:val="EE0000"/>
          <w:sz w:val="22"/>
          <w:szCs w:val="22"/>
        </w:rPr>
        <w:t>activities</w:t>
      </w:r>
      <w:r w:rsidR="00E81D20" w:rsidRPr="001C69DB">
        <w:rPr>
          <w:rFonts w:ascii="Calibri" w:hAnsi="Calibri" w:cs="Calibri"/>
          <w:color w:val="EE0000"/>
          <w:sz w:val="22"/>
          <w:szCs w:val="22"/>
        </w:rPr>
        <w:t xml:space="preserve"> for </w:t>
      </w:r>
      <w:r w:rsidR="00EF2334" w:rsidRPr="001C69DB">
        <w:rPr>
          <w:rFonts w:ascii="Calibri" w:hAnsi="Calibri" w:cs="Calibri"/>
          <w:color w:val="EE0000"/>
          <w:sz w:val="22"/>
          <w:szCs w:val="22"/>
        </w:rPr>
        <w:t xml:space="preserve">the </w:t>
      </w:r>
      <w:r w:rsidR="1E03D88D" w:rsidRPr="001C69DB">
        <w:rPr>
          <w:rFonts w:ascii="Calibri" w:hAnsi="Calibri" w:cs="Calibri"/>
          <w:color w:val="EE0000"/>
          <w:sz w:val="22"/>
          <w:szCs w:val="22"/>
        </w:rPr>
        <w:t>current</w:t>
      </w:r>
      <w:r w:rsidR="00E81D20" w:rsidRPr="001C69DB">
        <w:rPr>
          <w:rFonts w:ascii="Calibri" w:hAnsi="Calibri" w:cs="Calibri"/>
          <w:color w:val="EE0000"/>
          <w:sz w:val="22"/>
          <w:szCs w:val="22"/>
        </w:rPr>
        <w:t xml:space="preserve"> school year</w:t>
      </w:r>
      <w:r w:rsidR="00111E28" w:rsidRPr="001C69DB">
        <w:rPr>
          <w:rFonts w:ascii="Calibri" w:hAnsi="Calibri" w:cs="Calibri"/>
          <w:color w:val="EE0000"/>
          <w:sz w:val="22"/>
          <w:szCs w:val="22"/>
        </w:rPr>
        <w:t xml:space="preserve">. All activities reflected </w:t>
      </w:r>
      <w:proofErr w:type="gramStart"/>
      <w:r w:rsidR="00111E28" w:rsidRPr="001C69DB">
        <w:rPr>
          <w:rFonts w:ascii="Calibri" w:hAnsi="Calibri" w:cs="Calibri"/>
          <w:color w:val="EE0000"/>
          <w:sz w:val="22"/>
          <w:szCs w:val="22"/>
        </w:rPr>
        <w:t>on</w:t>
      </w:r>
      <w:proofErr w:type="gramEnd"/>
      <w:r w:rsidR="00111E28" w:rsidRPr="001C69DB">
        <w:rPr>
          <w:rFonts w:ascii="Calibri" w:hAnsi="Calibri" w:cs="Calibri"/>
          <w:color w:val="EE0000"/>
          <w:sz w:val="22"/>
          <w:szCs w:val="22"/>
        </w:rPr>
        <w:t xml:space="preserve"> the </w:t>
      </w:r>
      <w:r w:rsidR="002B568B" w:rsidRPr="001C69DB">
        <w:rPr>
          <w:rFonts w:ascii="Calibri" w:hAnsi="Calibri" w:cs="Calibri"/>
          <w:color w:val="EE0000"/>
          <w:sz w:val="22"/>
          <w:szCs w:val="22"/>
        </w:rPr>
        <w:t xml:space="preserve">LEA ESSA consolidated application should be included. </w:t>
      </w:r>
    </w:p>
    <w:p w14:paraId="7F1F4C0C" w14:textId="2B6A3F64" w:rsidR="001501F3" w:rsidRPr="00167EE9" w:rsidRDefault="00167EE9" w:rsidP="001501F3">
      <w:pPr>
        <w:rPr>
          <w:rFonts w:ascii="Calibri" w:hAnsi="Calibri" w:cs="Calibri"/>
          <w:b/>
          <w:bCs/>
          <w:sz w:val="22"/>
          <w:szCs w:val="22"/>
        </w:rPr>
      </w:pPr>
      <w:r w:rsidRPr="00167EE9">
        <w:rPr>
          <w:rFonts w:ascii="Calibri" w:hAnsi="Calibri" w:cs="Calibri"/>
          <w:b/>
          <w:bCs/>
          <w:sz w:val="22"/>
          <w:szCs w:val="22"/>
        </w:rPr>
        <w:t>E</w:t>
      </w:r>
      <w:r w:rsidR="004A7090" w:rsidRPr="00167EE9">
        <w:rPr>
          <w:rFonts w:ascii="Calibri" w:hAnsi="Calibri" w:cs="Calibri"/>
          <w:b/>
          <w:bCs/>
          <w:sz w:val="22"/>
          <w:szCs w:val="22"/>
        </w:rPr>
        <w:t xml:space="preserve">valuation </w:t>
      </w:r>
      <w:r w:rsidR="001501F3" w:rsidRPr="00167EE9">
        <w:rPr>
          <w:rFonts w:ascii="Calibri" w:hAnsi="Calibri" w:cs="Calibri"/>
          <w:b/>
          <w:bCs/>
          <w:sz w:val="22"/>
          <w:szCs w:val="22"/>
        </w:rPr>
        <w:t>S</w:t>
      </w:r>
      <w:r w:rsidR="004A7090" w:rsidRPr="00167EE9">
        <w:rPr>
          <w:rFonts w:ascii="Calibri" w:hAnsi="Calibri" w:cs="Calibri"/>
          <w:b/>
          <w:bCs/>
          <w:sz w:val="22"/>
          <w:szCs w:val="22"/>
        </w:rPr>
        <w:t xml:space="preserve">ummary of the </w:t>
      </w:r>
      <w:r w:rsidR="001501F3" w:rsidRPr="00167EE9">
        <w:rPr>
          <w:rFonts w:ascii="Calibri" w:hAnsi="Calibri" w:cs="Calibri"/>
          <w:b/>
          <w:bCs/>
          <w:sz w:val="22"/>
          <w:szCs w:val="22"/>
        </w:rPr>
        <w:t>O</w:t>
      </w:r>
      <w:r w:rsidR="004A7090" w:rsidRPr="00167EE9">
        <w:rPr>
          <w:rFonts w:ascii="Calibri" w:hAnsi="Calibri" w:cs="Calibri"/>
          <w:b/>
          <w:bCs/>
          <w:sz w:val="22"/>
          <w:szCs w:val="22"/>
        </w:rPr>
        <w:t xml:space="preserve">utcomes </w:t>
      </w:r>
      <w:r w:rsidR="001501F3" w:rsidRPr="00167EE9">
        <w:rPr>
          <w:rFonts w:ascii="Calibri" w:hAnsi="Calibri" w:cs="Calibri"/>
          <w:b/>
          <w:bCs/>
          <w:sz w:val="22"/>
          <w:szCs w:val="22"/>
        </w:rPr>
        <w:t>A</w:t>
      </w:r>
      <w:r w:rsidR="004A7090" w:rsidRPr="00167EE9">
        <w:rPr>
          <w:rFonts w:ascii="Calibri" w:hAnsi="Calibri" w:cs="Calibri"/>
          <w:b/>
          <w:bCs/>
          <w:sz w:val="22"/>
          <w:szCs w:val="22"/>
        </w:rPr>
        <w:t xml:space="preserve">chieved by Title I, Part D </w:t>
      </w:r>
      <w:r w:rsidR="001501F3" w:rsidRPr="00167EE9">
        <w:rPr>
          <w:rFonts w:ascii="Calibri" w:hAnsi="Calibri" w:cs="Calibri"/>
          <w:b/>
          <w:bCs/>
          <w:sz w:val="22"/>
          <w:szCs w:val="22"/>
        </w:rPr>
        <w:t>A</w:t>
      </w:r>
      <w:r w:rsidR="004A7090" w:rsidRPr="00167EE9">
        <w:rPr>
          <w:rFonts w:ascii="Calibri" w:hAnsi="Calibri" w:cs="Calibri"/>
          <w:b/>
          <w:bCs/>
          <w:sz w:val="22"/>
          <w:szCs w:val="22"/>
        </w:rPr>
        <w:t>ctivities</w:t>
      </w:r>
      <w:r w:rsidR="001501F3" w:rsidRPr="00167EE9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3C9E74AF" w14:textId="77777777" w:rsidR="009456B4" w:rsidRPr="001346AD" w:rsidRDefault="00AE6DDB" w:rsidP="001501F3">
      <w:pPr>
        <w:pStyle w:val="ListParagraph"/>
        <w:numPr>
          <w:ilvl w:val="0"/>
          <w:numId w:val="3"/>
        </w:numPr>
        <w:rPr>
          <w:rFonts w:ascii="Calibri" w:hAnsi="Calibri" w:cs="Calibri"/>
          <w:color w:val="EE0000"/>
          <w:sz w:val="22"/>
          <w:szCs w:val="22"/>
        </w:rPr>
      </w:pPr>
      <w:r w:rsidRPr="001346AD">
        <w:rPr>
          <w:rFonts w:ascii="Calibri" w:hAnsi="Calibri" w:cs="Calibri"/>
          <w:color w:val="EE0000"/>
          <w:sz w:val="22"/>
          <w:szCs w:val="22"/>
        </w:rPr>
        <w:t xml:space="preserve">The program evaluation summary is a written summary of the process, findings, and actions resulting from evaluation of the Title I, Part D, Subpart 2 activities. </w:t>
      </w:r>
    </w:p>
    <w:p w14:paraId="647EC9DF" w14:textId="03ADC656" w:rsidR="00AE6DDB" w:rsidRPr="001346AD" w:rsidRDefault="00AE6DDB" w:rsidP="009456B4">
      <w:pPr>
        <w:pStyle w:val="ListParagraph"/>
        <w:numPr>
          <w:ilvl w:val="1"/>
          <w:numId w:val="3"/>
        </w:numPr>
        <w:rPr>
          <w:rFonts w:ascii="Calibri" w:hAnsi="Calibri" w:cs="Calibri"/>
          <w:color w:val="EE0000"/>
          <w:sz w:val="22"/>
          <w:szCs w:val="22"/>
        </w:rPr>
      </w:pPr>
      <w:r w:rsidRPr="001346AD">
        <w:rPr>
          <w:rFonts w:ascii="Calibri" w:hAnsi="Calibri" w:cs="Calibri"/>
          <w:color w:val="EE0000"/>
          <w:sz w:val="22"/>
          <w:szCs w:val="22"/>
        </w:rPr>
        <w:t xml:space="preserve">This includes a list of strengths and weaknesses of the program as indicated by findings from data analysis, and descriptions of any changes </w:t>
      </w:r>
      <w:r w:rsidR="00E607C2" w:rsidRPr="001346AD">
        <w:rPr>
          <w:rFonts w:ascii="Calibri" w:hAnsi="Calibri" w:cs="Calibri"/>
          <w:color w:val="EE0000"/>
          <w:sz w:val="22"/>
          <w:szCs w:val="22"/>
        </w:rPr>
        <w:t>the N</w:t>
      </w:r>
      <w:r w:rsidRPr="001346AD">
        <w:rPr>
          <w:rFonts w:ascii="Calibri" w:hAnsi="Calibri" w:cs="Calibri"/>
          <w:color w:val="EE0000"/>
          <w:sz w:val="22"/>
          <w:szCs w:val="22"/>
        </w:rPr>
        <w:t>/D facility</w:t>
      </w:r>
      <w:r w:rsidR="000E5AED" w:rsidRPr="001346AD">
        <w:rPr>
          <w:rFonts w:ascii="Calibri" w:hAnsi="Calibri" w:cs="Calibri"/>
          <w:color w:val="EE0000"/>
          <w:sz w:val="22"/>
          <w:szCs w:val="22"/>
        </w:rPr>
        <w:t xml:space="preserve"> or facilities</w:t>
      </w:r>
      <w:r w:rsidRPr="001346AD">
        <w:rPr>
          <w:rFonts w:ascii="Calibri" w:hAnsi="Calibri" w:cs="Calibri"/>
          <w:color w:val="EE0000"/>
          <w:sz w:val="22"/>
          <w:szCs w:val="22"/>
        </w:rPr>
        <w:t xml:space="preserve"> made to programming as a result.</w:t>
      </w:r>
    </w:p>
    <w:p w14:paraId="3B1F7C9D" w14:textId="0632FAAA" w:rsidR="004A7090" w:rsidRPr="001346AD" w:rsidRDefault="005541C1" w:rsidP="001501F3">
      <w:pPr>
        <w:pStyle w:val="ListParagraph"/>
        <w:numPr>
          <w:ilvl w:val="0"/>
          <w:numId w:val="3"/>
        </w:numPr>
        <w:rPr>
          <w:rFonts w:ascii="Calibri" w:hAnsi="Calibri" w:cs="Calibri"/>
          <w:color w:val="EE0000"/>
          <w:sz w:val="22"/>
          <w:szCs w:val="22"/>
        </w:rPr>
      </w:pPr>
      <w:r w:rsidRPr="001346AD">
        <w:rPr>
          <w:rFonts w:ascii="Calibri" w:hAnsi="Calibri" w:cs="Calibri"/>
          <w:color w:val="EE0000"/>
          <w:sz w:val="22"/>
          <w:szCs w:val="22"/>
        </w:rPr>
        <w:lastRenderedPageBreak/>
        <w:t xml:space="preserve">Note that the </w:t>
      </w:r>
      <w:r w:rsidR="00AE6DDB" w:rsidRPr="001346AD">
        <w:rPr>
          <w:rFonts w:ascii="Calibri" w:hAnsi="Calibri" w:cs="Calibri"/>
          <w:color w:val="EE0000"/>
          <w:sz w:val="22"/>
          <w:szCs w:val="22"/>
        </w:rPr>
        <w:t>summary must i</w:t>
      </w:r>
      <w:r w:rsidR="004A7090" w:rsidRPr="001346AD">
        <w:rPr>
          <w:rFonts w:ascii="Calibri" w:hAnsi="Calibri" w:cs="Calibri"/>
          <w:color w:val="EE0000"/>
          <w:sz w:val="22"/>
          <w:szCs w:val="22"/>
        </w:rPr>
        <w:t>nclude analysis of data used to evaluate the impact of the activities funded through this program, such as student assessment data or other quantitative or qualitative data.</w:t>
      </w:r>
    </w:p>
    <w:p w14:paraId="387A29F3" w14:textId="04DD0E21" w:rsidR="00923B48" w:rsidRPr="004A08C7" w:rsidRDefault="00923B48" w:rsidP="00A64D41">
      <w:pPr>
        <w:pStyle w:val="Heading1"/>
        <w:spacing w:before="480" w:after="200" w:line="276" w:lineRule="auto"/>
        <w:rPr>
          <w:rFonts w:ascii="Arial" w:eastAsia="Calibri" w:hAnsi="Arial" w:cs="Arial"/>
          <w:color w:val="365F91"/>
          <w:kern w:val="0"/>
          <w:sz w:val="28"/>
          <w:szCs w:val="28"/>
          <w14:ligatures w14:val="none"/>
        </w:rPr>
      </w:pPr>
      <w:r w:rsidRPr="004A08C7">
        <w:rPr>
          <w:rFonts w:ascii="Arial" w:eastAsia="Calibri" w:hAnsi="Arial" w:cs="Arial"/>
          <w:color w:val="365F91"/>
          <w:kern w:val="0"/>
          <w:sz w:val="28"/>
          <w:szCs w:val="28"/>
          <w14:ligatures w14:val="none"/>
        </w:rPr>
        <w:t>Title I, Part D, Subpart 2 Resources</w:t>
      </w:r>
    </w:p>
    <w:p w14:paraId="41A8285E" w14:textId="6CAE1B31" w:rsidR="00923B48" w:rsidRPr="00923B48" w:rsidRDefault="00923B48" w:rsidP="00923B4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hyperlink r:id="rId10" w:history="1">
        <w:r w:rsidRPr="00282629">
          <w:rPr>
            <w:rStyle w:val="Hyperlink"/>
            <w:rFonts w:ascii="Calibri" w:hAnsi="Calibri" w:cs="Calibri"/>
            <w:sz w:val="22"/>
            <w:szCs w:val="22"/>
          </w:rPr>
          <w:t>DESE Title I</w:t>
        </w:r>
        <w:r w:rsidR="00F70477">
          <w:rPr>
            <w:rStyle w:val="Hyperlink"/>
            <w:rFonts w:ascii="Calibri" w:hAnsi="Calibri" w:cs="Calibri"/>
            <w:sz w:val="22"/>
            <w:szCs w:val="22"/>
          </w:rPr>
          <w:t>,</w:t>
        </w:r>
        <w:r w:rsidRPr="00282629">
          <w:rPr>
            <w:rStyle w:val="Hyperlink"/>
            <w:rFonts w:ascii="Calibri" w:hAnsi="Calibri" w:cs="Calibri"/>
            <w:sz w:val="22"/>
            <w:szCs w:val="22"/>
          </w:rPr>
          <w:t xml:space="preserve"> Part D, Subpart 2</w:t>
        </w:r>
        <w:r w:rsidR="004A08C7" w:rsidRPr="00282629">
          <w:rPr>
            <w:rStyle w:val="Hyperlink"/>
            <w:rFonts w:ascii="Calibri" w:hAnsi="Calibri" w:cs="Calibri"/>
            <w:sz w:val="22"/>
            <w:szCs w:val="22"/>
          </w:rPr>
          <w:t xml:space="preserve"> website</w:t>
        </w:r>
      </w:hyperlink>
    </w:p>
    <w:p w14:paraId="7DD9D885" w14:textId="1AAADE4D" w:rsidR="00923B48" w:rsidRPr="00923B48" w:rsidRDefault="00923B48" w:rsidP="00923B4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23B48">
        <w:rPr>
          <w:rFonts w:ascii="Calibri" w:hAnsi="Calibri" w:cs="Calibri"/>
          <w:sz w:val="22"/>
          <w:szCs w:val="22"/>
        </w:rPr>
        <w:t>Program Evaluation</w:t>
      </w:r>
      <w:r w:rsidR="004A08C7">
        <w:rPr>
          <w:rFonts w:ascii="Calibri" w:hAnsi="Calibri" w:cs="Calibri"/>
          <w:sz w:val="22"/>
          <w:szCs w:val="22"/>
        </w:rPr>
        <w:t xml:space="preserve"> sample documents</w:t>
      </w:r>
      <w:r w:rsidRPr="00923B48">
        <w:rPr>
          <w:rFonts w:ascii="Calibri" w:hAnsi="Calibri" w:cs="Calibri"/>
          <w:sz w:val="22"/>
          <w:szCs w:val="22"/>
        </w:rPr>
        <w:t>:</w:t>
      </w:r>
    </w:p>
    <w:p w14:paraId="4A56CDE8" w14:textId="650C4FFD" w:rsidR="00923B48" w:rsidRPr="00923B48" w:rsidRDefault="007605DA" w:rsidP="00923B48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hyperlink r:id="rId11" w:history="1">
        <w:r w:rsidRPr="00AF1202">
          <w:rPr>
            <w:rStyle w:val="Hyperlink"/>
            <w:rFonts w:ascii="Calibri" w:hAnsi="Calibri" w:cs="Calibri"/>
            <w:sz w:val="22"/>
            <w:szCs w:val="22"/>
          </w:rPr>
          <w:t>Program Evaluation Procedure</w:t>
        </w:r>
      </w:hyperlink>
    </w:p>
    <w:p w14:paraId="635B7093" w14:textId="0A0F7D5C" w:rsidR="00923B48" w:rsidRPr="004C27C6" w:rsidRDefault="007605DA" w:rsidP="00923B48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hyperlink r:id="rId12" w:history="1">
        <w:r w:rsidRPr="00AF1202">
          <w:rPr>
            <w:rStyle w:val="Hyperlink"/>
            <w:rFonts w:ascii="Calibri" w:hAnsi="Calibri" w:cs="Calibri"/>
            <w:sz w:val="22"/>
            <w:szCs w:val="22"/>
          </w:rPr>
          <w:t>Program Evaluation Summary</w:t>
        </w:r>
      </w:hyperlink>
    </w:p>
    <w:p w14:paraId="1B21B25D" w14:textId="53EC57F9" w:rsidR="004C27C6" w:rsidRPr="004C27C6" w:rsidRDefault="004C27C6" w:rsidP="00923B48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hyperlink r:id="rId13" w:history="1">
        <w:r w:rsidRPr="004C27C6">
          <w:rPr>
            <w:rStyle w:val="Hyperlink"/>
            <w:rFonts w:ascii="Calibri" w:hAnsi="Calibri" w:cs="Calibri"/>
            <w:sz w:val="22"/>
            <w:szCs w:val="22"/>
          </w:rPr>
          <w:t>Program Evaluation Workbook</w:t>
        </w:r>
      </w:hyperlink>
    </w:p>
    <w:p w14:paraId="0AC0A1B1" w14:textId="1F1477FF" w:rsidR="00923B48" w:rsidRPr="00923B48" w:rsidRDefault="00AF1202" w:rsidP="00923B48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hyperlink r:id="rId14" w:history="1">
        <w:r w:rsidRPr="00AF1202">
          <w:rPr>
            <w:rStyle w:val="Hyperlink"/>
            <w:rFonts w:ascii="Calibri" w:hAnsi="Calibri" w:cs="Calibri"/>
            <w:sz w:val="22"/>
            <w:szCs w:val="22"/>
          </w:rPr>
          <w:t>Webinar: Writing Your Program Evaluation Summary</w:t>
        </w:r>
      </w:hyperlink>
    </w:p>
    <w:p w14:paraId="19BC3536" w14:textId="30B8003D" w:rsidR="00923B48" w:rsidRPr="00923B48" w:rsidRDefault="007605DA" w:rsidP="00923B4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hyperlink r:id="rId15" w:history="1">
        <w:r w:rsidRPr="007605DA">
          <w:rPr>
            <w:rStyle w:val="Hyperlink"/>
            <w:rFonts w:ascii="Calibri" w:hAnsi="Calibri" w:cs="Calibri"/>
            <w:sz w:val="22"/>
            <w:szCs w:val="22"/>
          </w:rPr>
          <w:t xml:space="preserve">The </w:t>
        </w:r>
        <w:r w:rsidR="00923B48" w:rsidRPr="00923B48">
          <w:rPr>
            <w:rStyle w:val="Hyperlink"/>
            <w:rFonts w:ascii="Calibri" w:hAnsi="Calibri" w:cs="Calibri"/>
            <w:sz w:val="22"/>
            <w:szCs w:val="22"/>
          </w:rPr>
          <w:t>National Technical Assistance</w:t>
        </w:r>
        <w:r w:rsidRPr="007605DA">
          <w:rPr>
            <w:rStyle w:val="Hyperlink"/>
            <w:rFonts w:ascii="Calibri" w:hAnsi="Calibri" w:cs="Calibri"/>
            <w:sz w:val="22"/>
            <w:szCs w:val="22"/>
          </w:rPr>
          <w:t xml:space="preserve"> Center</w:t>
        </w:r>
        <w:r w:rsidR="00923B48" w:rsidRPr="00923B48">
          <w:rPr>
            <w:rStyle w:val="Hyperlink"/>
            <w:rFonts w:ascii="Calibri" w:hAnsi="Calibri" w:cs="Calibri"/>
            <w:sz w:val="22"/>
            <w:szCs w:val="22"/>
          </w:rPr>
          <w:t xml:space="preserve"> for The Education of Neglected or Delinquent Children &amp; Youth</w:t>
        </w:r>
      </w:hyperlink>
      <w:r w:rsidR="00923B48" w:rsidRPr="00923B48">
        <w:rPr>
          <w:rFonts w:ascii="Calibri" w:hAnsi="Calibri" w:cs="Calibri"/>
          <w:sz w:val="22"/>
          <w:szCs w:val="22"/>
        </w:rPr>
        <w:t xml:space="preserve"> </w:t>
      </w:r>
    </w:p>
    <w:p w14:paraId="12CCDBA8" w14:textId="0BB37600" w:rsidR="00632EAC" w:rsidRPr="00F70477" w:rsidRDefault="00923B48" w:rsidP="00F70477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hyperlink r:id="rId16" w:history="1">
        <w:r w:rsidRPr="00923B48">
          <w:rPr>
            <w:rStyle w:val="Hyperlink"/>
            <w:rFonts w:ascii="Calibri" w:hAnsi="Calibri" w:cs="Calibri"/>
            <w:sz w:val="22"/>
            <w:szCs w:val="22"/>
          </w:rPr>
          <w:t>TITLE I, PART D Non-Regulatory Guidance U.S. DEPARTMENT OF EDUCATION (DECEMBER 2024)   Elementary and Secondary Education Act of 1965</w:t>
        </w:r>
      </w:hyperlink>
      <w:r w:rsidRPr="00923B48">
        <w:rPr>
          <w:rFonts w:ascii="Calibri" w:hAnsi="Calibri" w:cs="Calibri"/>
          <w:sz w:val="22"/>
          <w:szCs w:val="22"/>
        </w:rPr>
        <w:t xml:space="preserve"> </w:t>
      </w:r>
    </w:p>
    <w:sectPr w:rsidR="00632EAC" w:rsidRPr="00F70477" w:rsidSect="001C69DB">
      <w:headerReference w:type="default" r:id="rId17"/>
      <w:footerReference w:type="default" r:id="rId1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A6B0B" w14:textId="77777777" w:rsidR="0028126A" w:rsidRDefault="0028126A" w:rsidP="00B20D06">
      <w:pPr>
        <w:spacing w:after="0" w:line="240" w:lineRule="auto"/>
      </w:pPr>
      <w:r>
        <w:separator/>
      </w:r>
    </w:p>
  </w:endnote>
  <w:endnote w:type="continuationSeparator" w:id="0">
    <w:p w14:paraId="5402391E" w14:textId="77777777" w:rsidR="0028126A" w:rsidRDefault="0028126A" w:rsidP="00B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53FC92" w14:paraId="7EEA9A0D" w14:textId="77777777" w:rsidTr="3653FC92">
      <w:trPr>
        <w:trHeight w:val="300"/>
      </w:trPr>
      <w:tc>
        <w:tcPr>
          <w:tcW w:w="3120" w:type="dxa"/>
        </w:tcPr>
        <w:p w14:paraId="5B63F8B7" w14:textId="640BC283" w:rsidR="3653FC92" w:rsidRDefault="3653FC92" w:rsidP="3653FC92">
          <w:pPr>
            <w:pStyle w:val="Header"/>
            <w:ind w:left="-115"/>
          </w:pPr>
        </w:p>
      </w:tc>
      <w:tc>
        <w:tcPr>
          <w:tcW w:w="3120" w:type="dxa"/>
        </w:tcPr>
        <w:p w14:paraId="006B6F6D" w14:textId="6C7BED7D" w:rsidR="3653FC92" w:rsidRDefault="3653FC92" w:rsidP="3653FC92">
          <w:pPr>
            <w:pStyle w:val="Header"/>
            <w:jc w:val="center"/>
          </w:pPr>
        </w:p>
      </w:tc>
      <w:tc>
        <w:tcPr>
          <w:tcW w:w="3120" w:type="dxa"/>
        </w:tcPr>
        <w:p w14:paraId="31CFCBFD" w14:textId="60C798E4" w:rsidR="3653FC92" w:rsidRDefault="3653FC92" w:rsidP="3653FC92">
          <w:pPr>
            <w:pStyle w:val="Header"/>
            <w:ind w:right="-115"/>
            <w:jc w:val="right"/>
          </w:pPr>
        </w:p>
      </w:tc>
    </w:tr>
  </w:tbl>
  <w:p w14:paraId="34A1DF88" w14:textId="73E43DAE" w:rsidR="3653FC92" w:rsidRDefault="3653FC92" w:rsidP="3653F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1ADBD" w14:textId="77777777" w:rsidR="0028126A" w:rsidRDefault="0028126A" w:rsidP="00B20D06">
      <w:pPr>
        <w:spacing w:after="0" w:line="240" w:lineRule="auto"/>
      </w:pPr>
      <w:r>
        <w:separator/>
      </w:r>
    </w:p>
  </w:footnote>
  <w:footnote w:type="continuationSeparator" w:id="0">
    <w:p w14:paraId="5309ED1B" w14:textId="77777777" w:rsidR="0028126A" w:rsidRDefault="0028126A" w:rsidP="00B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AAC1" w14:textId="0FE1FF4D" w:rsidR="00B20D06" w:rsidRPr="00FE3CD3" w:rsidRDefault="3653FC92">
    <w:pPr>
      <w:pStyle w:val="Header"/>
      <w:rPr>
        <w:rFonts w:ascii="Arial" w:hAnsi="Arial" w:cs="Arial"/>
        <w:color w:val="A20000"/>
        <w:sz w:val="20"/>
        <w:szCs w:val="20"/>
      </w:rPr>
    </w:pPr>
    <w:r w:rsidRPr="3653FC92">
      <w:rPr>
        <w:rFonts w:ascii="Arial" w:hAnsi="Arial" w:cs="Arial"/>
        <w:sz w:val="20"/>
        <w:szCs w:val="20"/>
      </w:rPr>
      <w:t>May 2025                                                                                  </w:t>
    </w:r>
    <w:r w:rsidRPr="3653FC92">
      <w:rPr>
        <w:rFonts w:ascii="Arial" w:hAnsi="Arial" w:cs="Arial"/>
        <w:b/>
        <w:bCs/>
        <w:color w:val="A20000"/>
        <w:sz w:val="20"/>
        <w:szCs w:val="20"/>
      </w:rPr>
      <w:t>SAMPLE – revise as needed and desired</w:t>
    </w:r>
    <w:r w:rsidRPr="3653FC92">
      <w:rPr>
        <w:rFonts w:ascii="Arial" w:hAnsi="Arial" w:cs="Arial"/>
        <w:color w:val="A20000"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CC3"/>
    <w:multiLevelType w:val="hybridMultilevel"/>
    <w:tmpl w:val="86C6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6FB3"/>
    <w:multiLevelType w:val="multilevel"/>
    <w:tmpl w:val="DE32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92C7E"/>
    <w:multiLevelType w:val="multilevel"/>
    <w:tmpl w:val="2804A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D6B19"/>
    <w:multiLevelType w:val="hybridMultilevel"/>
    <w:tmpl w:val="F4D0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84074"/>
    <w:multiLevelType w:val="hybridMultilevel"/>
    <w:tmpl w:val="A178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129A4"/>
    <w:multiLevelType w:val="hybridMultilevel"/>
    <w:tmpl w:val="88E0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424604">
    <w:abstractNumId w:val="1"/>
  </w:num>
  <w:num w:numId="2" w16cid:durableId="329604877">
    <w:abstractNumId w:val="2"/>
  </w:num>
  <w:num w:numId="3" w16cid:durableId="1006594200">
    <w:abstractNumId w:val="4"/>
  </w:num>
  <w:num w:numId="4" w16cid:durableId="899252169">
    <w:abstractNumId w:val="0"/>
  </w:num>
  <w:num w:numId="5" w16cid:durableId="1521697948">
    <w:abstractNumId w:val="3"/>
  </w:num>
  <w:num w:numId="6" w16cid:durableId="395514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06"/>
    <w:rsid w:val="000E5AED"/>
    <w:rsid w:val="00111E28"/>
    <w:rsid w:val="00122C5E"/>
    <w:rsid w:val="001346AD"/>
    <w:rsid w:val="00142965"/>
    <w:rsid w:val="001501F3"/>
    <w:rsid w:val="00167EE9"/>
    <w:rsid w:val="00185664"/>
    <w:rsid w:val="001C69DB"/>
    <w:rsid w:val="002310AC"/>
    <w:rsid w:val="00244ECE"/>
    <w:rsid w:val="0028070B"/>
    <w:rsid w:val="0028126A"/>
    <w:rsid w:val="00282629"/>
    <w:rsid w:val="002B568B"/>
    <w:rsid w:val="002C1935"/>
    <w:rsid w:val="002C53D2"/>
    <w:rsid w:val="004424B6"/>
    <w:rsid w:val="00486B3B"/>
    <w:rsid w:val="004A08C7"/>
    <w:rsid w:val="004A7090"/>
    <w:rsid w:val="004C27C6"/>
    <w:rsid w:val="004F486B"/>
    <w:rsid w:val="00510D28"/>
    <w:rsid w:val="005239E3"/>
    <w:rsid w:val="005541C1"/>
    <w:rsid w:val="005C1722"/>
    <w:rsid w:val="005C58E2"/>
    <w:rsid w:val="0062052D"/>
    <w:rsid w:val="00632EAC"/>
    <w:rsid w:val="006A5DBC"/>
    <w:rsid w:val="006B71CD"/>
    <w:rsid w:val="006E52D3"/>
    <w:rsid w:val="00700A33"/>
    <w:rsid w:val="00702C76"/>
    <w:rsid w:val="00743905"/>
    <w:rsid w:val="00756497"/>
    <w:rsid w:val="007605DA"/>
    <w:rsid w:val="00774958"/>
    <w:rsid w:val="007813A7"/>
    <w:rsid w:val="00790CD2"/>
    <w:rsid w:val="0083613A"/>
    <w:rsid w:val="00842C10"/>
    <w:rsid w:val="008C6CDD"/>
    <w:rsid w:val="008F7813"/>
    <w:rsid w:val="00923B48"/>
    <w:rsid w:val="009456B4"/>
    <w:rsid w:val="00955E06"/>
    <w:rsid w:val="00985906"/>
    <w:rsid w:val="009F2C36"/>
    <w:rsid w:val="00A25EF6"/>
    <w:rsid w:val="00A61FEB"/>
    <w:rsid w:val="00A64D41"/>
    <w:rsid w:val="00AE6DDB"/>
    <w:rsid w:val="00AF1202"/>
    <w:rsid w:val="00B20D06"/>
    <w:rsid w:val="00B370FE"/>
    <w:rsid w:val="00B714D9"/>
    <w:rsid w:val="00BA13DE"/>
    <w:rsid w:val="00BA776A"/>
    <w:rsid w:val="00BC1A3C"/>
    <w:rsid w:val="00BE661A"/>
    <w:rsid w:val="00C2605B"/>
    <w:rsid w:val="00C36AD4"/>
    <w:rsid w:val="00C37120"/>
    <w:rsid w:val="00C57AE7"/>
    <w:rsid w:val="00C64E4E"/>
    <w:rsid w:val="00CA76A9"/>
    <w:rsid w:val="00CB27D8"/>
    <w:rsid w:val="00CD7868"/>
    <w:rsid w:val="00CE116C"/>
    <w:rsid w:val="00D00DE5"/>
    <w:rsid w:val="00D30D41"/>
    <w:rsid w:val="00D802A3"/>
    <w:rsid w:val="00D87658"/>
    <w:rsid w:val="00DA5EAC"/>
    <w:rsid w:val="00E03AB2"/>
    <w:rsid w:val="00E25051"/>
    <w:rsid w:val="00E607C2"/>
    <w:rsid w:val="00E81D20"/>
    <w:rsid w:val="00EF2334"/>
    <w:rsid w:val="00F61940"/>
    <w:rsid w:val="00F70477"/>
    <w:rsid w:val="00F840F1"/>
    <w:rsid w:val="00F8697B"/>
    <w:rsid w:val="00FA7E3C"/>
    <w:rsid w:val="00FB5972"/>
    <w:rsid w:val="00FE3CD3"/>
    <w:rsid w:val="00FE63CB"/>
    <w:rsid w:val="07B0983E"/>
    <w:rsid w:val="0B5B06A1"/>
    <w:rsid w:val="1E03D88D"/>
    <w:rsid w:val="2D0A721D"/>
    <w:rsid w:val="2F33E63E"/>
    <w:rsid w:val="3653FC92"/>
    <w:rsid w:val="4D12AED8"/>
    <w:rsid w:val="7075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82D7C"/>
  <w15:chartTrackingRefBased/>
  <w15:docId w15:val="{7F94D40F-F62B-4F1B-82B2-269129C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0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0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D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0D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D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06"/>
  </w:style>
  <w:style w:type="paragraph" w:styleId="Footer">
    <w:name w:val="footer"/>
    <w:basedOn w:val="Normal"/>
    <w:link w:val="FooterChar"/>
    <w:uiPriority w:val="99"/>
    <w:unhideWhenUsed/>
    <w:rsid w:val="00B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06"/>
  </w:style>
  <w:style w:type="paragraph" w:customStyle="1" w:styleId="paragraph">
    <w:name w:val="paragraph"/>
    <w:basedOn w:val="Normal"/>
    <w:rsid w:val="004A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4A7090"/>
  </w:style>
  <w:style w:type="character" w:customStyle="1" w:styleId="eop">
    <w:name w:val="eop"/>
    <w:basedOn w:val="DefaultParagraphFont"/>
    <w:rsid w:val="004A7090"/>
  </w:style>
  <w:style w:type="character" w:styleId="FollowedHyperlink">
    <w:name w:val="FollowedHyperlink"/>
    <w:basedOn w:val="DefaultParagraphFont"/>
    <w:uiPriority w:val="99"/>
    <w:semiHidden/>
    <w:unhideWhenUsed/>
    <w:rsid w:val="00790CD2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1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0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0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federalgrants/resources/workbook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federalgrants/titlei-a/guidance/eval-summary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com/v3/__https:/www.ed.gov/media/document/tipd-non-regulatory-guidance__;!!CPANwP4y!W6FFIwDB-iTyREiTfKoB0-vx3_9iBBJ5kvS5ixsY-kEytmmRbAYlnpNeH9-HFzKxNWTTgzpd3AyT10OCFo6o_VsXZgEfynqLYg$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federalgrants/titlei-a/guidance/eval-procedure.docx" TargetMode="External"/><Relationship Id="rId5" Type="http://schemas.openxmlformats.org/officeDocument/2006/relationships/styles" Target="styles.xml"/><Relationship Id="rId15" Type="http://schemas.openxmlformats.org/officeDocument/2006/relationships/hyperlink" Target="o%09https:/neglected-delinquent.ed.gov/title-i-part-d-nonregulatory-guidance-local-agency-programs-delinquent-and-risk-youth-part-d" TargetMode="External"/><Relationship Id="rId10" Type="http://schemas.openxmlformats.org/officeDocument/2006/relationships/hyperlink" Target="https://www.doe.mass.edu/federalgrants/titlei-d/localprograms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al6D9y8lc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6" ma:contentTypeDescription="Create a new document." ma:contentTypeScope="" ma:versionID="0987dfbc8ad267364bbb798d26b4dead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5df0dd8d2e9224e40af4386b3e554a65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dfc3a5-e0cb-420d-bb1c-baaddc6e8637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DE21FA39-F61F-40CB-BE64-1EC458835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C4385-B429-4AF2-BE8D-414ADC6D1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44E4C-35B8-4490-A888-C0E2D69627F8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Neglected or Delinquent (N or D) Facility Coordination – Fund Use and Outcomes Achieved</dc:title>
  <dc:subject/>
  <dc:creator>DESE</dc:creator>
  <cp:keywords/>
  <dc:description/>
  <cp:lastModifiedBy>Zou, Dong (EOE)</cp:lastModifiedBy>
  <cp:revision>68</cp:revision>
  <dcterms:created xsi:type="dcterms:W3CDTF">2025-04-30T11:50:00Z</dcterms:created>
  <dcterms:modified xsi:type="dcterms:W3CDTF">2025-05-21T22:36:00Z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21 2025 12:00AM</vt:lpwstr>
  </property>
</Properties>
</file>