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07520" w14:textId="22D611AB" w:rsidR="00385323" w:rsidRDefault="00385323" w:rsidP="00B15728">
      <w:pPr>
        <w:spacing w:after="0" w:line="240" w:lineRule="auto"/>
        <w:rPr>
          <w:b/>
          <w:noProof/>
          <w:color w:val="1F497D" w:themeColor="text2"/>
          <w:sz w:val="32"/>
          <w:szCs w:val="32"/>
        </w:rPr>
      </w:pPr>
      <w:r>
        <w:rPr>
          <w:b/>
          <w:noProof/>
          <w:color w:val="1F497D" w:themeColor="text2"/>
          <w:sz w:val="32"/>
          <w:szCs w:val="32"/>
        </w:rPr>
        <w:drawing>
          <wp:anchor distT="0" distB="0" distL="114300" distR="114300" simplePos="0" relativeHeight="251658240" behindDoc="0" locked="0" layoutInCell="1" allowOverlap="1" wp14:anchorId="758D0090" wp14:editId="4157A1D3">
            <wp:simplePos x="0" y="0"/>
            <wp:positionH relativeFrom="margin">
              <wp:posOffset>5295900</wp:posOffset>
            </wp:positionH>
            <wp:positionV relativeFrom="paragraph">
              <wp:posOffset>-51331</wp:posOffset>
            </wp:positionV>
            <wp:extent cx="1762125" cy="1053019"/>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3103" cy="10595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F1C450" w14:textId="44508E24" w:rsidR="00B15728" w:rsidRDefault="00B15728" w:rsidP="00B15728">
      <w:pPr>
        <w:spacing w:after="0" w:line="240" w:lineRule="auto"/>
        <w:rPr>
          <w:b/>
          <w:noProof/>
          <w:color w:val="1F497D" w:themeColor="text2"/>
          <w:sz w:val="32"/>
          <w:szCs w:val="32"/>
        </w:rPr>
      </w:pPr>
      <w:r w:rsidRPr="00B15728">
        <w:rPr>
          <w:b/>
          <w:noProof/>
          <w:color w:val="1F497D" w:themeColor="text2"/>
          <w:sz w:val="32"/>
          <w:szCs w:val="32"/>
        </w:rPr>
        <w:t xml:space="preserve">Obligation, Performance, and Liquidation of Federal Grants </w:t>
      </w:r>
    </w:p>
    <w:p w14:paraId="68B87396" w14:textId="0FB8C07D" w:rsidR="00C304D8" w:rsidRPr="00C304D8" w:rsidRDefault="00B15728" w:rsidP="00B15728">
      <w:pPr>
        <w:spacing w:after="0" w:line="240" w:lineRule="auto"/>
        <w:rPr>
          <w:b/>
          <w:noProof/>
          <w:color w:val="1F497D" w:themeColor="text2"/>
          <w:sz w:val="32"/>
          <w:szCs w:val="32"/>
        </w:rPr>
      </w:pPr>
      <w:r w:rsidRPr="00B15728">
        <w:rPr>
          <w:b/>
          <w:noProof/>
          <w:color w:val="1F497D" w:themeColor="text2"/>
          <w:sz w:val="32"/>
          <w:szCs w:val="32"/>
        </w:rPr>
        <w:t>Subject to Tydings</w:t>
      </w:r>
      <w:r>
        <w:rPr>
          <w:b/>
          <w:noProof/>
          <w:color w:val="1F497D" w:themeColor="text2"/>
          <w:sz w:val="32"/>
          <w:szCs w:val="32"/>
        </w:rPr>
        <w:t xml:space="preserve"> – Quick Reference Guide</w:t>
      </w:r>
    </w:p>
    <w:p w14:paraId="6AC79A13" w14:textId="3DBD34CE" w:rsidR="00385323" w:rsidRPr="00EE739F" w:rsidRDefault="00CD094E" w:rsidP="008B6503">
      <w:pPr>
        <w:spacing w:after="0" w:line="240" w:lineRule="auto"/>
        <w:rPr>
          <w:b/>
          <w:color w:val="E36C0A" w:themeColor="accent6" w:themeShade="BF"/>
          <w:sz w:val="36"/>
          <w:szCs w:val="40"/>
        </w:rPr>
      </w:pPr>
      <w:r>
        <w:rPr>
          <w:b/>
          <w:noProof/>
          <w:color w:val="E36C0A" w:themeColor="accent6" w:themeShade="BF"/>
          <w:sz w:val="36"/>
          <w:szCs w:val="40"/>
        </w:rPr>
        <mc:AlternateContent>
          <mc:Choice Requires="wps">
            <w:drawing>
              <wp:anchor distT="0" distB="0" distL="114300" distR="114300" simplePos="0" relativeHeight="251658242" behindDoc="0" locked="0" layoutInCell="1" allowOverlap="1" wp14:anchorId="7177BDB5" wp14:editId="5D7A10BB">
                <wp:simplePos x="0" y="0"/>
                <wp:positionH relativeFrom="margin">
                  <wp:align>right</wp:align>
                </wp:positionH>
                <wp:positionV relativeFrom="paragraph">
                  <wp:posOffset>284480</wp:posOffset>
                </wp:positionV>
                <wp:extent cx="6918960" cy="403860"/>
                <wp:effectExtent l="0" t="0" r="15240" b="15240"/>
                <wp:wrapNone/>
                <wp:docPr id="3" name="Rectangle: Rounded Corners 3" descr="Rectangular box around text that reads &quot;Best Practice: Obligate and liquidate all grant expenditures by the grant deadline&quot;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6918960" cy="4038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8412E3" w14:textId="77777777" w:rsidR="00CD094E" w:rsidRPr="00CD094E" w:rsidRDefault="00CD094E" w:rsidP="00CD094E">
                            <w:pPr>
                              <w:spacing w:after="0" w:line="240" w:lineRule="auto"/>
                              <w:rPr>
                                <w:b/>
                                <w:color w:val="FFFFFF" w:themeColor="background1"/>
                                <w:sz w:val="28"/>
                                <w:szCs w:val="32"/>
                                <w:u w:val="single"/>
                              </w:rPr>
                            </w:pPr>
                            <w:r w:rsidRPr="00CD094E">
                              <w:rPr>
                                <w:b/>
                                <w:color w:val="FFFFFF" w:themeColor="background1"/>
                                <w:sz w:val="28"/>
                                <w:szCs w:val="32"/>
                                <w:u w:val="single"/>
                              </w:rPr>
                              <w:t xml:space="preserve">Best Practice: Obligate and liquidate all grant expenditures by the grant deadline </w:t>
                            </w:r>
                          </w:p>
                          <w:p w14:paraId="7BF932C6" w14:textId="77777777" w:rsidR="00CD094E" w:rsidRDefault="00CD094E" w:rsidP="00CD09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7BDB5" id="Rectangle: Rounded Corners 3" o:spid="_x0000_s1026" alt="Rectangular box around text that reads &quot;Best Practice: Obligate and liquidate all grant expenditures by the grant deadline&quot; " style="position:absolute;margin-left:493.6pt;margin-top:22.4pt;width:544.8pt;height:31.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" fillcolor="#4f81bd [3204]" strokecolor="#243f60 [1604]" strokeweight="2pt">
                <v:textbox>
                  <w:txbxContent>
                    <w:p w14:paraId="6F8412E3" w14:textId="77777777" w:rsidR="00CD094E" w:rsidRPr="00CD094E" w:rsidRDefault="00CD094E" w:rsidP="00CD094E">
                      <w:pPr>
                        <w:spacing w:after="0" w:line="240" w:lineRule="auto"/>
                        <w:rPr>
                          <w:b/>
                          <w:color w:val="FFFFFF" w:themeColor="background1"/>
                          <w:sz w:val="28"/>
                          <w:szCs w:val="32"/>
                          <w:u w:val="single"/>
                        </w:rPr>
                      </w:pPr>
                      <w:r w:rsidRPr="00CD094E">
                        <w:rPr>
                          <w:b/>
                          <w:color w:val="FFFFFF" w:themeColor="background1"/>
                          <w:sz w:val="28"/>
                          <w:szCs w:val="32"/>
                          <w:u w:val="single"/>
                        </w:rPr>
                        <w:t xml:space="preserve">Best Practice: Obligate and liquidate all grant expenditures by the grant deadline </w:t>
                      </w:r>
                    </w:p>
                    <w:p w14:paraId="7BF932C6" w14:textId="77777777" w:rsidR="00CD094E" w:rsidRDefault="00CD094E" w:rsidP="00CD094E">
                      <w:pPr>
                        <w:jc w:val="center"/>
                      </w:pPr>
                    </w:p>
                  </w:txbxContent>
                </v:textbox>
                <w10:wrap anchorx="margin"/>
              </v:roundrect>
            </w:pict>
          </mc:Fallback>
        </mc:AlternateContent>
      </w:r>
    </w:p>
    <w:p w14:paraId="41125B22" w14:textId="6226BEAB" w:rsidR="00D422C0" w:rsidRDefault="00D422C0" w:rsidP="008B6503">
      <w:pPr>
        <w:spacing w:after="0"/>
        <w:rPr>
          <w:sz w:val="20"/>
        </w:rPr>
      </w:pPr>
    </w:p>
    <w:p w14:paraId="5E42CD57" w14:textId="77777777" w:rsidR="00CD094E" w:rsidRDefault="00CD094E" w:rsidP="008B6503">
      <w:pPr>
        <w:spacing w:after="0" w:line="240" w:lineRule="auto"/>
        <w:rPr>
          <w:b/>
          <w:color w:val="1F497D" w:themeColor="text2"/>
          <w:sz w:val="24"/>
          <w:szCs w:val="20"/>
        </w:rPr>
      </w:pPr>
      <w:bookmarkStart w:id="0" w:name="_Hlk132713096"/>
    </w:p>
    <w:p w14:paraId="59A39552" w14:textId="77777777" w:rsidR="00CD094E" w:rsidRDefault="00CD094E" w:rsidP="008B6503">
      <w:pPr>
        <w:spacing w:after="0" w:line="240" w:lineRule="auto"/>
        <w:rPr>
          <w:b/>
          <w:color w:val="1F497D" w:themeColor="text2"/>
          <w:sz w:val="24"/>
          <w:szCs w:val="20"/>
        </w:rPr>
      </w:pPr>
    </w:p>
    <w:p w14:paraId="0DB9E1F8" w14:textId="2963B770" w:rsidR="008B6503" w:rsidRDefault="00E902AA" w:rsidP="008B6503">
      <w:pPr>
        <w:spacing w:after="0" w:line="240" w:lineRule="auto"/>
        <w:rPr>
          <w:b/>
          <w:color w:val="E36C0A" w:themeColor="accent6" w:themeShade="BF"/>
          <w:sz w:val="28"/>
          <w:szCs w:val="32"/>
        </w:rPr>
      </w:pPr>
      <w:r>
        <w:rPr>
          <w:b/>
          <w:color w:val="1F497D" w:themeColor="text2"/>
          <w:sz w:val="24"/>
          <w:szCs w:val="20"/>
        </w:rPr>
        <w:t>When does o</w:t>
      </w:r>
      <w:r w:rsidR="008B6503">
        <w:rPr>
          <w:b/>
          <w:color w:val="1F497D" w:themeColor="text2"/>
          <w:sz w:val="24"/>
          <w:szCs w:val="20"/>
        </w:rPr>
        <w:t>bligation</w:t>
      </w:r>
      <w:r>
        <w:rPr>
          <w:b/>
          <w:color w:val="1F497D" w:themeColor="text2"/>
          <w:sz w:val="24"/>
          <w:szCs w:val="20"/>
        </w:rPr>
        <w:t xml:space="preserve"> occur?</w:t>
      </w:r>
      <w:r w:rsidR="00CD094E">
        <w:rPr>
          <w:b/>
          <w:color w:val="1F497D" w:themeColor="text2"/>
          <w:sz w:val="24"/>
          <w:szCs w:val="20"/>
        </w:rPr>
        <w:t xml:space="preserve">  </w:t>
      </w:r>
    </w:p>
    <w:p w14:paraId="751A0BA7" w14:textId="23543DE6" w:rsidR="00F977E3" w:rsidRDefault="00851EF2" w:rsidP="008B6503">
      <w:pPr>
        <w:spacing w:after="0"/>
        <w:rPr>
          <w:sz w:val="20"/>
        </w:rPr>
      </w:pPr>
      <w:r w:rsidRPr="008B6503">
        <w:rPr>
          <w:sz w:val="20"/>
        </w:rPr>
        <w:t xml:space="preserve">All grant expenses must be obligated by the grant deadline. </w:t>
      </w:r>
      <w:r w:rsidR="00B663FC">
        <w:rPr>
          <w:sz w:val="20"/>
        </w:rPr>
        <w:t>W</w:t>
      </w:r>
      <w:r w:rsidR="007D0C87">
        <w:rPr>
          <w:sz w:val="20"/>
        </w:rPr>
        <w:t>hen</w:t>
      </w:r>
      <w:r w:rsidRPr="008B6503">
        <w:rPr>
          <w:sz w:val="20"/>
        </w:rPr>
        <w:t xml:space="preserve"> obligation occurs depends on the type of expenditure (</w:t>
      </w:r>
      <w:bookmarkEnd w:id="0"/>
      <w:r w:rsidR="0017337D">
        <w:fldChar w:fldCharType="begin"/>
      </w:r>
      <w:r w:rsidR="0017337D">
        <w:instrText xml:space="preserve"> HYPERLINK "https://www.ecfr.gov/current/title-34/subtitle-A/part-76/subpart-G/subject-group-ECFRae39e5300d1271f/section-76.707" </w:instrText>
      </w:r>
      <w:r w:rsidR="0017337D">
        <w:fldChar w:fldCharType="separate"/>
      </w:r>
      <w:r w:rsidRPr="00765F27">
        <w:rPr>
          <w:rStyle w:val="Hyperlink"/>
          <w:rFonts w:cstheme="minorBidi"/>
          <w:sz w:val="20"/>
        </w:rPr>
        <w:t>34 CFR 76.707</w:t>
      </w:r>
      <w:r w:rsidR="0017337D">
        <w:rPr>
          <w:rStyle w:val="Hyperlink"/>
          <w:rFonts w:cstheme="minorBidi"/>
          <w:sz w:val="20"/>
        </w:rPr>
        <w:fldChar w:fldCharType="end"/>
      </w:r>
      <w:r w:rsidRPr="008B6503">
        <w:rPr>
          <w:sz w:val="20"/>
        </w:rPr>
        <w:t>)</w:t>
      </w:r>
      <w:r w:rsidR="00B663FC">
        <w:rPr>
          <w:sz w:val="20"/>
        </w:rPr>
        <w:t>. Please review the categories below to determine when obligation must occur for your expenses:</w:t>
      </w:r>
    </w:p>
    <w:p w14:paraId="677E61EE" w14:textId="43C41B52" w:rsidR="00851EF2" w:rsidRDefault="00851EF2" w:rsidP="008B6503">
      <w:pPr>
        <w:spacing w:after="0"/>
        <w:rPr>
          <w:sz w:val="10"/>
          <w:szCs w:val="12"/>
        </w:rPr>
      </w:pPr>
    </w:p>
    <w:p w14:paraId="44532B6A" w14:textId="77777777" w:rsidR="00CD094E" w:rsidRPr="008B6503" w:rsidRDefault="00CD094E" w:rsidP="008B6503">
      <w:pPr>
        <w:spacing w:after="0"/>
        <w:rPr>
          <w:sz w:val="10"/>
          <w:szCs w:val="12"/>
        </w:rPr>
      </w:pPr>
    </w:p>
    <w:tbl>
      <w:tblPr>
        <w:tblStyle w:val="MediumShading1-Accent1"/>
        <w:tblW w:w="10880" w:type="dxa"/>
        <w:tblLook w:val="04A0" w:firstRow="1" w:lastRow="0" w:firstColumn="1" w:lastColumn="0" w:noHBand="0" w:noVBand="1"/>
        <w:tblCaption w:val="Table of Allowable and Nonallowable costs"/>
      </w:tblPr>
      <w:tblGrid>
        <w:gridCol w:w="4580"/>
        <w:gridCol w:w="6300"/>
      </w:tblGrid>
      <w:tr w:rsidR="00435850" w14:paraId="7D460527" w14:textId="77777777" w:rsidTr="001948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80" w:type="dxa"/>
            <w:shd w:val="clear" w:color="auto" w:fill="1F497D" w:themeFill="text2"/>
          </w:tcPr>
          <w:p w14:paraId="5170AC9B" w14:textId="6BA0E146" w:rsidR="00435850" w:rsidRPr="00B90E45" w:rsidRDefault="00435850" w:rsidP="00435850">
            <w:pPr>
              <w:rPr>
                <w:rFonts w:ascii="Calibri" w:eastAsia="Times New Roman" w:hAnsi="Calibri" w:cs="Times New Roman"/>
                <w:bCs w:val="0"/>
                <w:sz w:val="24"/>
                <w:szCs w:val="20"/>
              </w:rPr>
            </w:pPr>
            <w:r>
              <w:rPr>
                <w:rFonts w:ascii="Calibri" w:eastAsia="Times New Roman" w:hAnsi="Calibri" w:cs="Times New Roman"/>
                <w:bCs w:val="0"/>
                <w:sz w:val="24"/>
                <w:szCs w:val="20"/>
              </w:rPr>
              <w:t>If the obligation is for:</w:t>
            </w:r>
          </w:p>
        </w:tc>
        <w:tc>
          <w:tcPr>
            <w:tcW w:w="6300" w:type="dxa"/>
            <w:shd w:val="clear" w:color="auto" w:fill="1F497D" w:themeFill="text2"/>
          </w:tcPr>
          <w:p w14:paraId="6A9AA307" w14:textId="7161C7CD" w:rsidR="00435850" w:rsidRPr="00B90E45" w:rsidRDefault="001948A2" w:rsidP="001948A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sz w:val="24"/>
                <w:szCs w:val="20"/>
              </w:rPr>
            </w:pPr>
            <w:r>
              <w:rPr>
                <w:rFonts w:ascii="Calibri" w:eastAsia="Times New Roman" w:hAnsi="Calibri" w:cs="Times New Roman"/>
                <w:bCs w:val="0"/>
                <w:sz w:val="24"/>
                <w:szCs w:val="20"/>
              </w:rPr>
              <w:t xml:space="preserve">        </w:t>
            </w:r>
            <w:r w:rsidR="000852BB">
              <w:rPr>
                <w:rFonts w:ascii="Calibri" w:eastAsia="Times New Roman" w:hAnsi="Calibri" w:cs="Times New Roman"/>
                <w:bCs w:val="0"/>
                <w:sz w:val="24"/>
                <w:szCs w:val="20"/>
              </w:rPr>
              <w:t xml:space="preserve">     </w:t>
            </w:r>
            <w:r w:rsidR="00435850">
              <w:rPr>
                <w:rFonts w:ascii="Calibri" w:eastAsia="Times New Roman" w:hAnsi="Calibri" w:cs="Times New Roman"/>
                <w:bCs w:val="0"/>
                <w:sz w:val="24"/>
                <w:szCs w:val="20"/>
              </w:rPr>
              <w:t>The obligation is made:</w:t>
            </w:r>
          </w:p>
        </w:tc>
      </w:tr>
      <w:tr w:rsidR="00435850" w14:paraId="5AFA0F94" w14:textId="77777777" w:rsidTr="001948A2">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4580" w:type="dxa"/>
          </w:tcPr>
          <w:p w14:paraId="0240AF72" w14:textId="6A8AF063" w:rsidR="00435850" w:rsidRPr="00C304D8" w:rsidRDefault="005A35E7" w:rsidP="00B90E45">
            <w:pPr>
              <w:pStyle w:val="ListParagraph"/>
              <w:numPr>
                <w:ilvl w:val="0"/>
                <w:numId w:val="15"/>
              </w:numPr>
              <w:tabs>
                <w:tab w:val="left" w:pos="540"/>
                <w:tab w:val="left" w:pos="630"/>
              </w:tabs>
              <w:ind w:left="360"/>
              <w:rPr>
                <w:sz w:val="24"/>
                <w:szCs w:val="24"/>
              </w:rPr>
            </w:pPr>
            <w:r w:rsidRPr="005A35E7">
              <w:rPr>
                <w:sz w:val="24"/>
                <w:szCs w:val="24"/>
              </w:rPr>
              <w:t>Acquisition of real or personal property</w:t>
            </w:r>
          </w:p>
        </w:tc>
        <w:tc>
          <w:tcPr>
            <w:tcW w:w="6300" w:type="dxa"/>
          </w:tcPr>
          <w:p w14:paraId="74CD2C9B" w14:textId="559BAFC6" w:rsidR="00435850" w:rsidRPr="0018561B" w:rsidRDefault="0018561B" w:rsidP="001948A2">
            <w:pPr>
              <w:ind w:left="720"/>
              <w:cnfStyle w:val="000000100000" w:firstRow="0" w:lastRow="0" w:firstColumn="0" w:lastColumn="0" w:oddVBand="0" w:evenVBand="0" w:oddHBand="1" w:evenHBand="0" w:firstRowFirstColumn="0" w:firstRowLastColumn="0" w:lastRowFirstColumn="0" w:lastRowLastColumn="0"/>
              <w:rPr>
                <w:sz w:val="20"/>
                <w:szCs w:val="20"/>
              </w:rPr>
            </w:pPr>
            <w:r w:rsidRPr="0018561B">
              <w:rPr>
                <w:sz w:val="20"/>
                <w:szCs w:val="20"/>
              </w:rPr>
              <w:t>On the date on which the State or subgrantee makes a binding written commitment to acquire the property.</w:t>
            </w:r>
          </w:p>
        </w:tc>
      </w:tr>
      <w:tr w:rsidR="00435850" w14:paraId="67BF4BC9" w14:textId="77777777" w:rsidTr="00EC7982">
        <w:trPr>
          <w:cnfStyle w:val="000000010000" w:firstRow="0" w:lastRow="0" w:firstColumn="0" w:lastColumn="0" w:oddVBand="0" w:evenVBand="0" w:oddHBand="0" w:evenHBand="1"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580" w:type="dxa"/>
          </w:tcPr>
          <w:p w14:paraId="46348C70" w14:textId="06B17740" w:rsidR="00435850" w:rsidRPr="00C304D8" w:rsidRDefault="008632D0" w:rsidP="00B90E45">
            <w:pPr>
              <w:pStyle w:val="ListParagraph"/>
              <w:numPr>
                <w:ilvl w:val="0"/>
                <w:numId w:val="15"/>
              </w:numPr>
              <w:tabs>
                <w:tab w:val="left" w:pos="540"/>
                <w:tab w:val="left" w:pos="630"/>
              </w:tabs>
              <w:ind w:left="360"/>
              <w:rPr>
                <w:sz w:val="24"/>
                <w:szCs w:val="24"/>
              </w:rPr>
            </w:pPr>
            <w:r>
              <w:rPr>
                <w:sz w:val="24"/>
                <w:szCs w:val="24"/>
              </w:rPr>
              <w:t>Personal services by an employee of the State or subgrantee</w:t>
            </w:r>
          </w:p>
        </w:tc>
        <w:tc>
          <w:tcPr>
            <w:tcW w:w="6300" w:type="dxa"/>
          </w:tcPr>
          <w:p w14:paraId="65677E3B" w14:textId="18DC5145" w:rsidR="00435850" w:rsidRPr="00BA0D5F" w:rsidRDefault="00BA0D5F" w:rsidP="001948A2">
            <w:pPr>
              <w:ind w:left="720"/>
              <w:cnfStyle w:val="000000010000" w:firstRow="0" w:lastRow="0" w:firstColumn="0" w:lastColumn="0" w:oddVBand="0" w:evenVBand="0" w:oddHBand="0" w:evenHBand="1" w:firstRowFirstColumn="0" w:firstRowLastColumn="0" w:lastRowFirstColumn="0" w:lastRowLastColumn="0"/>
              <w:rPr>
                <w:sz w:val="20"/>
                <w:szCs w:val="20"/>
              </w:rPr>
            </w:pPr>
            <w:r w:rsidRPr="00BA0D5F">
              <w:rPr>
                <w:sz w:val="20"/>
                <w:szCs w:val="20"/>
              </w:rPr>
              <w:t>When the services are performed.</w:t>
            </w:r>
          </w:p>
        </w:tc>
      </w:tr>
      <w:tr w:rsidR="00435850" w14:paraId="09B43229" w14:textId="77777777" w:rsidTr="001948A2">
        <w:trPr>
          <w:cnfStyle w:val="000000100000" w:firstRow="0" w:lastRow="0" w:firstColumn="0" w:lastColumn="0" w:oddVBand="0" w:evenVBand="0" w:oddHBand="1" w:evenHBand="0" w:firstRowFirstColumn="0" w:firstRowLastColumn="0" w:lastRowFirstColumn="0" w:lastRowLastColumn="0"/>
          <w:trHeight w:val="1024"/>
        </w:trPr>
        <w:tc>
          <w:tcPr>
            <w:cnfStyle w:val="001000000000" w:firstRow="0" w:lastRow="0" w:firstColumn="1" w:lastColumn="0" w:oddVBand="0" w:evenVBand="0" w:oddHBand="0" w:evenHBand="0" w:firstRowFirstColumn="0" w:firstRowLastColumn="0" w:lastRowFirstColumn="0" w:lastRowLastColumn="0"/>
            <w:tcW w:w="4580" w:type="dxa"/>
          </w:tcPr>
          <w:p w14:paraId="30CB5382" w14:textId="63744A59" w:rsidR="00435850" w:rsidRPr="00C304D8" w:rsidRDefault="008632D0" w:rsidP="00B90E45">
            <w:pPr>
              <w:pStyle w:val="ListParagraph"/>
              <w:numPr>
                <w:ilvl w:val="0"/>
                <w:numId w:val="15"/>
              </w:numPr>
              <w:tabs>
                <w:tab w:val="left" w:pos="540"/>
                <w:tab w:val="left" w:pos="630"/>
              </w:tabs>
              <w:ind w:left="360"/>
              <w:rPr>
                <w:sz w:val="24"/>
                <w:szCs w:val="24"/>
              </w:rPr>
            </w:pPr>
            <w:r>
              <w:rPr>
                <w:sz w:val="24"/>
                <w:szCs w:val="24"/>
              </w:rPr>
              <w:t>Personal services by a contractor who is not an employee of the State or subgrantee</w:t>
            </w:r>
          </w:p>
        </w:tc>
        <w:tc>
          <w:tcPr>
            <w:tcW w:w="6300" w:type="dxa"/>
          </w:tcPr>
          <w:p w14:paraId="291CCDB9" w14:textId="2E20827F" w:rsidR="00435850" w:rsidRPr="00CF2E63" w:rsidRDefault="00CF2E63" w:rsidP="001948A2">
            <w:pPr>
              <w:ind w:left="720"/>
              <w:cnfStyle w:val="000000100000" w:firstRow="0" w:lastRow="0" w:firstColumn="0" w:lastColumn="0" w:oddVBand="0" w:evenVBand="0" w:oddHBand="1" w:evenHBand="0" w:firstRowFirstColumn="0" w:firstRowLastColumn="0" w:lastRowFirstColumn="0" w:lastRowLastColumn="0"/>
              <w:rPr>
                <w:sz w:val="20"/>
                <w:szCs w:val="20"/>
              </w:rPr>
            </w:pPr>
            <w:r w:rsidRPr="00CF2E63">
              <w:rPr>
                <w:sz w:val="20"/>
                <w:szCs w:val="20"/>
              </w:rPr>
              <w:t>On the date on which the State or subgrantee makes a binding written commitment to obtain the services.</w:t>
            </w:r>
          </w:p>
        </w:tc>
      </w:tr>
      <w:tr w:rsidR="00435850" w14:paraId="49D242AB" w14:textId="77777777" w:rsidTr="001948A2">
        <w:trPr>
          <w:cnfStyle w:val="000000010000" w:firstRow="0" w:lastRow="0" w:firstColumn="0" w:lastColumn="0" w:oddVBand="0" w:evenVBand="0" w:oddHBand="0" w:evenHBand="1"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4580" w:type="dxa"/>
          </w:tcPr>
          <w:p w14:paraId="60F51566" w14:textId="5ADBD37A" w:rsidR="00435850" w:rsidRPr="00C304D8" w:rsidRDefault="008632D0" w:rsidP="00B90E45">
            <w:pPr>
              <w:pStyle w:val="ListParagraph"/>
              <w:numPr>
                <w:ilvl w:val="0"/>
                <w:numId w:val="15"/>
              </w:numPr>
              <w:tabs>
                <w:tab w:val="left" w:pos="540"/>
                <w:tab w:val="left" w:pos="630"/>
              </w:tabs>
              <w:ind w:left="360"/>
              <w:rPr>
                <w:sz w:val="24"/>
                <w:szCs w:val="24"/>
              </w:rPr>
            </w:pPr>
            <w:r>
              <w:rPr>
                <w:sz w:val="24"/>
                <w:szCs w:val="24"/>
              </w:rPr>
              <w:t>Performance of work other than personal services</w:t>
            </w:r>
          </w:p>
        </w:tc>
        <w:tc>
          <w:tcPr>
            <w:tcW w:w="6300" w:type="dxa"/>
          </w:tcPr>
          <w:p w14:paraId="1EF54D31" w14:textId="244D016F" w:rsidR="00435850" w:rsidRPr="00B058E8" w:rsidRDefault="00B058E8" w:rsidP="001948A2">
            <w:pPr>
              <w:ind w:left="720"/>
              <w:cnfStyle w:val="000000010000" w:firstRow="0" w:lastRow="0" w:firstColumn="0" w:lastColumn="0" w:oddVBand="0" w:evenVBand="0" w:oddHBand="0" w:evenHBand="1" w:firstRowFirstColumn="0" w:firstRowLastColumn="0" w:lastRowFirstColumn="0" w:lastRowLastColumn="0"/>
              <w:rPr>
                <w:sz w:val="20"/>
                <w:szCs w:val="20"/>
              </w:rPr>
            </w:pPr>
            <w:r w:rsidRPr="00B058E8">
              <w:rPr>
                <w:sz w:val="20"/>
                <w:szCs w:val="20"/>
              </w:rPr>
              <w:t>On the date on which the State or subgrantee makes a binding written commitment to obtain the work.</w:t>
            </w:r>
          </w:p>
        </w:tc>
      </w:tr>
      <w:tr w:rsidR="00435850" w14:paraId="712C1529" w14:textId="77777777" w:rsidTr="001948A2">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580" w:type="dxa"/>
          </w:tcPr>
          <w:p w14:paraId="22546AD2" w14:textId="3F278921" w:rsidR="00435850" w:rsidRPr="00C304D8" w:rsidRDefault="008632D0" w:rsidP="00B90E45">
            <w:pPr>
              <w:pStyle w:val="ListParagraph"/>
              <w:numPr>
                <w:ilvl w:val="0"/>
                <w:numId w:val="15"/>
              </w:numPr>
              <w:tabs>
                <w:tab w:val="left" w:pos="540"/>
                <w:tab w:val="left" w:pos="630"/>
              </w:tabs>
              <w:ind w:left="360"/>
              <w:rPr>
                <w:sz w:val="24"/>
                <w:szCs w:val="24"/>
              </w:rPr>
            </w:pPr>
            <w:r>
              <w:rPr>
                <w:sz w:val="24"/>
                <w:szCs w:val="24"/>
              </w:rPr>
              <w:t>Public utility services</w:t>
            </w:r>
          </w:p>
        </w:tc>
        <w:tc>
          <w:tcPr>
            <w:tcW w:w="6300" w:type="dxa"/>
          </w:tcPr>
          <w:p w14:paraId="05CF76AC" w14:textId="3950B3F6" w:rsidR="00435850" w:rsidRPr="00B058E8" w:rsidRDefault="009150A2" w:rsidP="001948A2">
            <w:pPr>
              <w:ind w:left="720"/>
              <w:cnfStyle w:val="000000100000" w:firstRow="0" w:lastRow="0" w:firstColumn="0" w:lastColumn="0" w:oddVBand="0" w:evenVBand="0" w:oddHBand="1" w:evenHBand="0" w:firstRowFirstColumn="0" w:firstRowLastColumn="0" w:lastRowFirstColumn="0" w:lastRowLastColumn="0"/>
              <w:rPr>
                <w:sz w:val="20"/>
                <w:szCs w:val="20"/>
              </w:rPr>
            </w:pPr>
            <w:r w:rsidRPr="009150A2">
              <w:rPr>
                <w:sz w:val="20"/>
                <w:szCs w:val="20"/>
              </w:rPr>
              <w:t>When the State or subgrantee receives the services.</w:t>
            </w:r>
          </w:p>
        </w:tc>
      </w:tr>
      <w:tr w:rsidR="00435850" w14:paraId="711F537F" w14:textId="77777777" w:rsidTr="001948A2">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580" w:type="dxa"/>
          </w:tcPr>
          <w:p w14:paraId="4334A86D" w14:textId="453D119E" w:rsidR="00435850" w:rsidRPr="00C304D8" w:rsidRDefault="008632D0" w:rsidP="00B90E45">
            <w:pPr>
              <w:pStyle w:val="ListParagraph"/>
              <w:numPr>
                <w:ilvl w:val="0"/>
                <w:numId w:val="15"/>
              </w:numPr>
              <w:tabs>
                <w:tab w:val="left" w:pos="540"/>
                <w:tab w:val="left" w:pos="630"/>
              </w:tabs>
              <w:ind w:left="360"/>
              <w:rPr>
                <w:sz w:val="24"/>
                <w:szCs w:val="24"/>
              </w:rPr>
            </w:pPr>
            <w:r>
              <w:rPr>
                <w:sz w:val="24"/>
                <w:szCs w:val="24"/>
              </w:rPr>
              <w:t>Travel</w:t>
            </w:r>
          </w:p>
        </w:tc>
        <w:tc>
          <w:tcPr>
            <w:tcW w:w="6300" w:type="dxa"/>
          </w:tcPr>
          <w:p w14:paraId="79C2FA00" w14:textId="68E8B949" w:rsidR="00435850" w:rsidRPr="00050174" w:rsidRDefault="00050174" w:rsidP="001948A2">
            <w:pPr>
              <w:ind w:left="720"/>
              <w:cnfStyle w:val="000000010000" w:firstRow="0" w:lastRow="0" w:firstColumn="0" w:lastColumn="0" w:oddVBand="0" w:evenVBand="0" w:oddHBand="0" w:evenHBand="1" w:firstRowFirstColumn="0" w:firstRowLastColumn="0" w:lastRowFirstColumn="0" w:lastRowLastColumn="0"/>
              <w:rPr>
                <w:sz w:val="20"/>
                <w:szCs w:val="20"/>
              </w:rPr>
            </w:pPr>
            <w:r w:rsidRPr="00050174">
              <w:rPr>
                <w:sz w:val="20"/>
                <w:szCs w:val="20"/>
              </w:rPr>
              <w:t>When the travel is taken.</w:t>
            </w:r>
          </w:p>
        </w:tc>
      </w:tr>
      <w:tr w:rsidR="00435850" w14:paraId="255ACC35" w14:textId="77777777" w:rsidTr="001948A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580" w:type="dxa"/>
          </w:tcPr>
          <w:p w14:paraId="59D31364" w14:textId="31F90B00" w:rsidR="00435850" w:rsidRPr="00C304D8" w:rsidRDefault="008632D0" w:rsidP="00396483">
            <w:pPr>
              <w:pStyle w:val="ListParagraph"/>
              <w:numPr>
                <w:ilvl w:val="0"/>
                <w:numId w:val="15"/>
              </w:numPr>
              <w:tabs>
                <w:tab w:val="left" w:pos="540"/>
                <w:tab w:val="left" w:pos="630"/>
              </w:tabs>
              <w:ind w:left="360"/>
              <w:rPr>
                <w:sz w:val="24"/>
                <w:szCs w:val="24"/>
              </w:rPr>
            </w:pPr>
            <w:r>
              <w:rPr>
                <w:sz w:val="24"/>
                <w:szCs w:val="24"/>
              </w:rPr>
              <w:t>Rental of real or personal property</w:t>
            </w:r>
            <w:r w:rsidR="00435850">
              <w:rPr>
                <w:sz w:val="24"/>
                <w:szCs w:val="24"/>
              </w:rPr>
              <w:t xml:space="preserve"> </w:t>
            </w:r>
          </w:p>
        </w:tc>
        <w:tc>
          <w:tcPr>
            <w:tcW w:w="6300" w:type="dxa"/>
          </w:tcPr>
          <w:p w14:paraId="2FACE3F2" w14:textId="6F14225C" w:rsidR="00435850" w:rsidRPr="00A13898" w:rsidRDefault="00A13898" w:rsidP="001948A2">
            <w:pPr>
              <w:ind w:left="720"/>
              <w:cnfStyle w:val="000000100000" w:firstRow="0" w:lastRow="0" w:firstColumn="0" w:lastColumn="0" w:oddVBand="0" w:evenVBand="0" w:oddHBand="1" w:evenHBand="0" w:firstRowFirstColumn="0" w:firstRowLastColumn="0" w:lastRowFirstColumn="0" w:lastRowLastColumn="0"/>
              <w:rPr>
                <w:sz w:val="20"/>
                <w:szCs w:val="20"/>
              </w:rPr>
            </w:pPr>
            <w:r w:rsidRPr="00A13898">
              <w:rPr>
                <w:sz w:val="20"/>
                <w:szCs w:val="20"/>
              </w:rPr>
              <w:t>When the State or subgrantee uses the property.</w:t>
            </w:r>
          </w:p>
        </w:tc>
      </w:tr>
      <w:tr w:rsidR="00435850" w14:paraId="7B6BB25D" w14:textId="77777777" w:rsidTr="001948A2">
        <w:trPr>
          <w:cnfStyle w:val="000000010000" w:firstRow="0" w:lastRow="0" w:firstColumn="0" w:lastColumn="0" w:oddVBand="0" w:evenVBand="0" w:oddHBand="0" w:evenHBand="1"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4580" w:type="dxa"/>
          </w:tcPr>
          <w:p w14:paraId="2758D496" w14:textId="6E95F2EB" w:rsidR="00435850" w:rsidRPr="00FE1A9F" w:rsidRDefault="00980E0F" w:rsidP="00B90E45">
            <w:pPr>
              <w:pStyle w:val="ListParagraph"/>
              <w:numPr>
                <w:ilvl w:val="0"/>
                <w:numId w:val="15"/>
              </w:numPr>
              <w:tabs>
                <w:tab w:val="left" w:pos="540"/>
                <w:tab w:val="left" w:pos="630"/>
              </w:tabs>
              <w:ind w:left="360"/>
              <w:rPr>
                <w:sz w:val="24"/>
                <w:szCs w:val="20"/>
              </w:rPr>
            </w:pPr>
            <w:r>
              <w:rPr>
                <w:sz w:val="24"/>
                <w:szCs w:val="20"/>
              </w:rPr>
              <w:t>A pre-agreement cost that was properly approved by the Secretary [of Education]</w:t>
            </w:r>
          </w:p>
        </w:tc>
        <w:tc>
          <w:tcPr>
            <w:tcW w:w="6300" w:type="dxa"/>
          </w:tcPr>
          <w:p w14:paraId="799B1CFB" w14:textId="151DB121" w:rsidR="00435850" w:rsidRPr="001948A2" w:rsidRDefault="001948A2" w:rsidP="001948A2">
            <w:pPr>
              <w:ind w:left="720"/>
              <w:cnfStyle w:val="000000010000" w:firstRow="0" w:lastRow="0" w:firstColumn="0" w:lastColumn="0" w:oddVBand="0" w:evenVBand="0" w:oddHBand="0" w:evenHBand="1" w:firstRowFirstColumn="0" w:firstRowLastColumn="0" w:lastRowFirstColumn="0" w:lastRowLastColumn="0"/>
              <w:rPr>
                <w:sz w:val="20"/>
                <w:szCs w:val="20"/>
              </w:rPr>
            </w:pPr>
            <w:r w:rsidRPr="001948A2">
              <w:rPr>
                <w:sz w:val="20"/>
                <w:szCs w:val="20"/>
              </w:rPr>
              <w:t>On the first day of the grant or subgrant performance.</w:t>
            </w:r>
          </w:p>
        </w:tc>
      </w:tr>
    </w:tbl>
    <w:p w14:paraId="6C35C5E1" w14:textId="1C493949" w:rsidR="00D422C0" w:rsidRDefault="00D422C0" w:rsidP="00DE70CE">
      <w:pPr>
        <w:spacing w:after="0" w:line="240" w:lineRule="auto"/>
        <w:rPr>
          <w:b/>
          <w:sz w:val="16"/>
          <w:szCs w:val="16"/>
        </w:rPr>
      </w:pPr>
    </w:p>
    <w:p w14:paraId="40276E6D" w14:textId="77777777" w:rsidR="00CD094E" w:rsidRPr="00EC7982" w:rsidRDefault="00CD094E" w:rsidP="00DE70CE">
      <w:pPr>
        <w:spacing w:after="0" w:line="240" w:lineRule="auto"/>
        <w:rPr>
          <w:b/>
          <w:sz w:val="16"/>
          <w:szCs w:val="16"/>
        </w:rPr>
      </w:pPr>
    </w:p>
    <w:p w14:paraId="1E17C8BF" w14:textId="4B65BCDB" w:rsidR="00DE70CE" w:rsidRDefault="001D1B02" w:rsidP="00DE70CE">
      <w:pPr>
        <w:spacing w:after="0" w:line="240" w:lineRule="auto"/>
        <w:rPr>
          <w:b/>
          <w:sz w:val="24"/>
          <w:szCs w:val="24"/>
        </w:rPr>
      </w:pPr>
      <w:r>
        <w:rPr>
          <w:b/>
          <w:color w:val="1F497D" w:themeColor="text2"/>
          <w:sz w:val="24"/>
          <w:szCs w:val="20"/>
        </w:rPr>
        <w:t>Must</w:t>
      </w:r>
      <w:r w:rsidR="00E902AA" w:rsidRPr="00E902AA">
        <w:rPr>
          <w:b/>
          <w:color w:val="1F497D" w:themeColor="text2"/>
          <w:sz w:val="24"/>
          <w:szCs w:val="20"/>
        </w:rPr>
        <w:t xml:space="preserve"> validly obligated third-party contracts for goods and services </w:t>
      </w:r>
      <w:r w:rsidR="00CC4ED9">
        <w:rPr>
          <w:b/>
          <w:color w:val="1F497D" w:themeColor="text2"/>
          <w:sz w:val="24"/>
          <w:szCs w:val="20"/>
        </w:rPr>
        <w:t>(</w:t>
      </w:r>
      <w:r w:rsidR="00530568">
        <w:rPr>
          <w:b/>
          <w:color w:val="1F497D" w:themeColor="text2"/>
          <w:sz w:val="24"/>
          <w:szCs w:val="20"/>
        </w:rPr>
        <w:t xml:space="preserve">Nos. 1, 3, &amp; 4, in the above chart) </w:t>
      </w:r>
      <w:r w:rsidR="000F1F0C">
        <w:rPr>
          <w:b/>
          <w:color w:val="1F497D" w:themeColor="text2"/>
          <w:sz w:val="24"/>
          <w:szCs w:val="20"/>
        </w:rPr>
        <w:t>be completed by the grant deadline?</w:t>
      </w:r>
    </w:p>
    <w:p w14:paraId="6AF73E54" w14:textId="7000E794" w:rsidR="00435850" w:rsidRPr="00E07534" w:rsidRDefault="00930259" w:rsidP="00435850">
      <w:pPr>
        <w:spacing w:after="0" w:line="240" w:lineRule="auto"/>
        <w:rPr>
          <w:sz w:val="20"/>
          <w:szCs w:val="20"/>
        </w:rPr>
      </w:pPr>
      <w:r>
        <w:rPr>
          <w:sz w:val="20"/>
          <w:szCs w:val="20"/>
        </w:rPr>
        <w:t xml:space="preserve">No. </w:t>
      </w:r>
      <w:r w:rsidR="00435850" w:rsidRPr="00E07534">
        <w:rPr>
          <w:sz w:val="20"/>
          <w:szCs w:val="20"/>
        </w:rPr>
        <w:t>For contracts signed during the period of availability for the grant (by the grant deadline), performance of the contract may continue into the liquidation period for up to 60 days past the grant deadline</w:t>
      </w:r>
      <w:r w:rsidR="005F4C92">
        <w:rPr>
          <w:sz w:val="20"/>
          <w:szCs w:val="20"/>
        </w:rPr>
        <w:t>.</w:t>
      </w:r>
    </w:p>
    <w:p w14:paraId="2A1EFA67" w14:textId="77777777" w:rsidR="00435850" w:rsidRPr="00E07534" w:rsidRDefault="00435850" w:rsidP="00435850">
      <w:pPr>
        <w:spacing w:after="0" w:line="240" w:lineRule="auto"/>
        <w:rPr>
          <w:sz w:val="20"/>
          <w:szCs w:val="20"/>
        </w:rPr>
      </w:pPr>
    </w:p>
    <w:p w14:paraId="01790BD3" w14:textId="6D993CFD" w:rsidR="00435850" w:rsidRPr="00E07534" w:rsidRDefault="00435850" w:rsidP="005E3150">
      <w:pPr>
        <w:spacing w:after="0" w:line="240" w:lineRule="auto"/>
        <w:rPr>
          <w:b/>
          <w:bCs/>
          <w:i/>
          <w:iCs/>
          <w:sz w:val="20"/>
          <w:szCs w:val="20"/>
          <w:u w:val="single"/>
        </w:rPr>
      </w:pPr>
      <w:r w:rsidRPr="00E07534">
        <w:rPr>
          <w:b/>
          <w:bCs/>
          <w:i/>
          <w:iCs/>
          <w:sz w:val="20"/>
          <w:szCs w:val="20"/>
          <w:u w:val="single"/>
        </w:rPr>
        <w:t>For ESSER II and ESSER III Only:</w:t>
      </w:r>
    </w:p>
    <w:p w14:paraId="538BFC8B" w14:textId="77777777" w:rsidR="00D422C0" w:rsidRPr="00E07534" w:rsidRDefault="00D422C0" w:rsidP="004252DA">
      <w:pPr>
        <w:spacing w:after="0" w:line="240" w:lineRule="auto"/>
        <w:jc w:val="center"/>
        <w:rPr>
          <w:b/>
          <w:bCs/>
          <w:i/>
          <w:iCs/>
          <w:sz w:val="8"/>
          <w:szCs w:val="8"/>
          <w:u w:val="single"/>
        </w:rPr>
      </w:pPr>
    </w:p>
    <w:p w14:paraId="30A379C7" w14:textId="0732A30D" w:rsidR="00790254" w:rsidRPr="00E07534" w:rsidRDefault="00007051" w:rsidP="00435850">
      <w:pPr>
        <w:spacing w:after="0" w:line="240" w:lineRule="auto"/>
        <w:rPr>
          <w:sz w:val="20"/>
          <w:szCs w:val="20"/>
        </w:rPr>
      </w:pPr>
      <w:r>
        <w:rPr>
          <w:b/>
          <w:bCs/>
          <w:sz w:val="20"/>
          <w:szCs w:val="20"/>
        </w:rPr>
        <w:t>Further Extension for Performance of</w:t>
      </w:r>
      <w:r w:rsidR="00435850" w:rsidRPr="00E07534">
        <w:rPr>
          <w:b/>
          <w:bCs/>
          <w:sz w:val="20"/>
          <w:szCs w:val="20"/>
        </w:rPr>
        <w:t xml:space="preserve"> Software Licenses and Subscriptions</w:t>
      </w:r>
      <w:r w:rsidR="00435850" w:rsidRPr="00E07534">
        <w:rPr>
          <w:sz w:val="20"/>
          <w:szCs w:val="20"/>
        </w:rPr>
        <w:t>: Because software subscriptions and licenses are 1) usually bundled so that purchase for less than a year is impractical</w:t>
      </w:r>
      <w:r w:rsidR="00435850" w:rsidRPr="00AF04BF">
        <w:rPr>
          <w:sz w:val="20"/>
          <w:szCs w:val="20"/>
        </w:rPr>
        <w:t xml:space="preserve">, 2) </w:t>
      </w:r>
      <w:r w:rsidR="00F904E8" w:rsidRPr="00C504C3">
        <w:rPr>
          <w:sz w:val="20"/>
          <w:szCs w:val="20"/>
        </w:rPr>
        <w:t>these licenses are often essential for curriculum deliver</w:t>
      </w:r>
      <w:r w:rsidR="00E66CCA" w:rsidRPr="00C504C3">
        <w:rPr>
          <w:sz w:val="20"/>
          <w:szCs w:val="20"/>
        </w:rPr>
        <w:t>y</w:t>
      </w:r>
      <w:r w:rsidR="00F904E8" w:rsidRPr="00C504C3">
        <w:rPr>
          <w:sz w:val="20"/>
          <w:szCs w:val="20"/>
        </w:rPr>
        <w:t xml:space="preserve"> for the entire school year</w:t>
      </w:r>
      <w:r w:rsidR="00E66CCA" w:rsidRPr="00C504C3">
        <w:rPr>
          <w:sz w:val="20"/>
          <w:szCs w:val="20"/>
        </w:rPr>
        <w:t>,</w:t>
      </w:r>
      <w:r w:rsidR="00F904E8">
        <w:t xml:space="preserve"> </w:t>
      </w:r>
      <w:r w:rsidR="00435850" w:rsidRPr="00E07534">
        <w:rPr>
          <w:sz w:val="20"/>
          <w:szCs w:val="20"/>
        </w:rPr>
        <w:t xml:space="preserve">and 3) licenses and subscriptions are unlikely to be returned or canceled resulting in a return of funds, DESE has authorized an exception to the performance rules for these licenses and subscriptions </w:t>
      </w:r>
      <w:r w:rsidR="00435850" w:rsidRPr="00E07534">
        <w:rPr>
          <w:b/>
          <w:bCs/>
          <w:sz w:val="20"/>
          <w:szCs w:val="20"/>
        </w:rPr>
        <w:t>for ESSER II and III funds only</w:t>
      </w:r>
      <w:r w:rsidR="00435850" w:rsidRPr="00E07534">
        <w:rPr>
          <w:sz w:val="20"/>
          <w:szCs w:val="20"/>
        </w:rPr>
        <w:t xml:space="preserve"> (all other grants must follow general rules for contractual performance). </w:t>
      </w:r>
    </w:p>
    <w:p w14:paraId="73FA6B61" w14:textId="77777777" w:rsidR="00790254" w:rsidRPr="00E07534" w:rsidRDefault="00790254" w:rsidP="00435850">
      <w:pPr>
        <w:spacing w:after="0" w:line="240" w:lineRule="auto"/>
        <w:rPr>
          <w:sz w:val="20"/>
          <w:szCs w:val="20"/>
        </w:rPr>
      </w:pPr>
    </w:p>
    <w:p w14:paraId="1BC75F4B" w14:textId="47037E0D" w:rsidR="00435850" w:rsidRPr="00E07534" w:rsidRDefault="00435850" w:rsidP="00435850">
      <w:pPr>
        <w:spacing w:after="0" w:line="240" w:lineRule="auto"/>
        <w:rPr>
          <w:b/>
          <w:bCs/>
          <w:sz w:val="20"/>
          <w:szCs w:val="20"/>
        </w:rPr>
      </w:pPr>
      <w:r w:rsidRPr="00E07534">
        <w:rPr>
          <w:sz w:val="20"/>
          <w:szCs w:val="20"/>
        </w:rPr>
        <w:t xml:space="preserve">As long as these expenditures are 1) otherwise allowable, necessary, and reasonable, 2) obligated prior to the grant deadline, and 3) liquidated by no later than 60 days past the grant deadline, </w:t>
      </w:r>
      <w:r w:rsidRPr="00E07534">
        <w:rPr>
          <w:b/>
          <w:bCs/>
          <w:sz w:val="20"/>
          <w:szCs w:val="20"/>
          <w:u w:val="single"/>
        </w:rPr>
        <w:t>software licenses and subscriptions may continue for no later than 1 year past the grant deadline</w:t>
      </w:r>
      <w:r w:rsidR="0040068D">
        <w:rPr>
          <w:b/>
          <w:bCs/>
          <w:sz w:val="20"/>
          <w:szCs w:val="20"/>
          <w:u w:val="single"/>
        </w:rPr>
        <w:t xml:space="preserve"> if purchased with ESSER II and/or ESSER III funds</w:t>
      </w:r>
      <w:r w:rsidR="00790254" w:rsidRPr="00E07534">
        <w:rPr>
          <w:b/>
          <w:bCs/>
          <w:sz w:val="20"/>
          <w:szCs w:val="20"/>
        </w:rPr>
        <w:t>.</w:t>
      </w:r>
      <w:r w:rsidR="00FE0371">
        <w:rPr>
          <w:b/>
          <w:bCs/>
          <w:sz w:val="20"/>
          <w:szCs w:val="20"/>
        </w:rPr>
        <w:t xml:space="preserve"> </w:t>
      </w:r>
      <w:r w:rsidR="00FE0371" w:rsidRPr="00FE0371">
        <w:rPr>
          <w:sz w:val="20"/>
          <w:szCs w:val="20"/>
        </w:rPr>
        <w:t>Note that if a software license or subscription is cancelled after the obligation date, the funds are not available for</w:t>
      </w:r>
      <w:r w:rsidR="00FE0371">
        <w:rPr>
          <w:sz w:val="20"/>
          <w:szCs w:val="20"/>
        </w:rPr>
        <w:t xml:space="preserve"> use for</w:t>
      </w:r>
      <w:r w:rsidR="00FE0371" w:rsidRPr="00FE0371">
        <w:rPr>
          <w:sz w:val="20"/>
          <w:szCs w:val="20"/>
        </w:rPr>
        <w:t xml:space="preserve"> a new contract but must be returned</w:t>
      </w:r>
      <w:r w:rsidR="00FE0371">
        <w:rPr>
          <w:sz w:val="20"/>
          <w:szCs w:val="20"/>
        </w:rPr>
        <w:t xml:space="preserve"> to DESE</w:t>
      </w:r>
      <w:r w:rsidR="00FE0371" w:rsidRPr="00FE0371">
        <w:rPr>
          <w:sz w:val="20"/>
          <w:szCs w:val="20"/>
        </w:rPr>
        <w:t>.</w:t>
      </w:r>
    </w:p>
    <w:p w14:paraId="373A673C" w14:textId="4A9F7838" w:rsidR="00D34A6D" w:rsidRDefault="00D34A6D" w:rsidP="00D34A6D">
      <w:pPr>
        <w:spacing w:after="0" w:line="240" w:lineRule="auto"/>
        <w:rPr>
          <w:sz w:val="20"/>
          <w:szCs w:val="20"/>
        </w:rPr>
      </w:pPr>
    </w:p>
    <w:p w14:paraId="1B6C519D" w14:textId="77777777" w:rsidR="00D422C0" w:rsidRDefault="00D422C0" w:rsidP="00D34A6D">
      <w:pPr>
        <w:spacing w:after="0" w:line="240" w:lineRule="auto"/>
        <w:rPr>
          <w:sz w:val="20"/>
          <w:szCs w:val="20"/>
        </w:rPr>
      </w:pPr>
    </w:p>
    <w:p w14:paraId="4A0E181C" w14:textId="77777777" w:rsidR="00D422C0" w:rsidRDefault="00D422C0" w:rsidP="00D34A6D">
      <w:pPr>
        <w:spacing w:after="0" w:line="240" w:lineRule="auto"/>
        <w:rPr>
          <w:sz w:val="20"/>
          <w:szCs w:val="20"/>
        </w:rPr>
      </w:pPr>
    </w:p>
    <w:p w14:paraId="6E8744F9" w14:textId="77777777" w:rsidR="00D422C0" w:rsidRDefault="00D422C0" w:rsidP="00D34A6D">
      <w:pPr>
        <w:spacing w:after="0" w:line="240" w:lineRule="auto"/>
        <w:rPr>
          <w:sz w:val="20"/>
          <w:szCs w:val="20"/>
        </w:rPr>
      </w:pPr>
    </w:p>
    <w:p w14:paraId="6B87F3B5" w14:textId="77777777" w:rsidR="00385323" w:rsidRDefault="00385323" w:rsidP="008B6503">
      <w:pPr>
        <w:spacing w:after="0" w:line="240" w:lineRule="auto"/>
        <w:rPr>
          <w:b/>
          <w:color w:val="1F497D" w:themeColor="text2"/>
          <w:sz w:val="24"/>
          <w:szCs w:val="20"/>
        </w:rPr>
      </w:pPr>
    </w:p>
    <w:p w14:paraId="13ECE405" w14:textId="0CBFAABF" w:rsidR="008B6503" w:rsidRDefault="0047173A" w:rsidP="008B6503">
      <w:pPr>
        <w:spacing w:after="0" w:line="240" w:lineRule="auto"/>
        <w:rPr>
          <w:b/>
          <w:color w:val="E36C0A" w:themeColor="accent6" w:themeShade="BF"/>
          <w:sz w:val="28"/>
          <w:szCs w:val="32"/>
        </w:rPr>
      </w:pPr>
      <w:r>
        <w:rPr>
          <w:b/>
          <w:color w:val="1F497D" w:themeColor="text2"/>
          <w:sz w:val="24"/>
          <w:szCs w:val="20"/>
        </w:rPr>
        <w:t xml:space="preserve">When do </w:t>
      </w:r>
      <w:r w:rsidR="007A3DBD">
        <w:rPr>
          <w:b/>
          <w:color w:val="1F497D" w:themeColor="text2"/>
          <w:sz w:val="24"/>
          <w:szCs w:val="20"/>
        </w:rPr>
        <w:t xml:space="preserve">districts need to make final claims for </w:t>
      </w:r>
      <w:r>
        <w:rPr>
          <w:b/>
          <w:color w:val="1F497D" w:themeColor="text2"/>
          <w:sz w:val="24"/>
          <w:szCs w:val="20"/>
        </w:rPr>
        <w:t>expenditures (liquidat</w:t>
      </w:r>
      <w:r w:rsidR="007A3DBD">
        <w:rPr>
          <w:b/>
          <w:color w:val="1F497D" w:themeColor="text2"/>
          <w:sz w:val="24"/>
          <w:szCs w:val="20"/>
        </w:rPr>
        <w:t>ion</w:t>
      </w:r>
      <w:r>
        <w:rPr>
          <w:b/>
          <w:color w:val="1F497D" w:themeColor="text2"/>
          <w:sz w:val="24"/>
          <w:szCs w:val="20"/>
        </w:rPr>
        <w:t xml:space="preserve">) and </w:t>
      </w:r>
      <w:r w:rsidR="007A3DBD">
        <w:rPr>
          <w:b/>
          <w:color w:val="1F497D" w:themeColor="text2"/>
          <w:sz w:val="24"/>
          <w:szCs w:val="20"/>
        </w:rPr>
        <w:t xml:space="preserve">close out </w:t>
      </w:r>
      <w:r>
        <w:rPr>
          <w:b/>
          <w:color w:val="1F497D" w:themeColor="text2"/>
          <w:sz w:val="24"/>
          <w:szCs w:val="20"/>
        </w:rPr>
        <w:t>grants?</w:t>
      </w:r>
    </w:p>
    <w:p w14:paraId="2139B737" w14:textId="6CDBA670" w:rsidR="00E266F1" w:rsidRDefault="00241BC4" w:rsidP="00E266F1">
      <w:pPr>
        <w:spacing w:after="0"/>
        <w:rPr>
          <w:sz w:val="20"/>
        </w:rPr>
      </w:pPr>
      <w:r w:rsidRPr="00241BC4">
        <w:rPr>
          <w:sz w:val="20"/>
        </w:rPr>
        <w:t>Districts must draw</w:t>
      </w:r>
      <w:r w:rsidR="00A729A1">
        <w:rPr>
          <w:sz w:val="20"/>
        </w:rPr>
        <w:t xml:space="preserve"> </w:t>
      </w:r>
      <w:r w:rsidRPr="00241BC4">
        <w:rPr>
          <w:sz w:val="20"/>
        </w:rPr>
        <w:t>down all funds for services/goods received and closeout the grant by 90 days past the grant deadline (District Liquidation)</w:t>
      </w:r>
      <w:r w:rsidR="00316ABE">
        <w:rPr>
          <w:sz w:val="20"/>
        </w:rPr>
        <w:t xml:space="preserve"> at the latest</w:t>
      </w:r>
      <w:r w:rsidRPr="00241BC4">
        <w:rPr>
          <w:sz w:val="20"/>
        </w:rPr>
        <w:t>. Reimbursements may be claimed for 60 days after the grant deadline. Districts may take one final drawdown upon filing its final expense report, no later than 90 days past the grant deadline. DESE has an additional 30 days (</w:t>
      </w:r>
      <w:r w:rsidR="00A71FB2">
        <w:rPr>
          <w:sz w:val="20"/>
        </w:rPr>
        <w:t>until</w:t>
      </w:r>
      <w:r w:rsidRPr="00241BC4">
        <w:rPr>
          <w:sz w:val="20"/>
        </w:rPr>
        <w:t xml:space="preserve"> 120 days past the grant deadline) to closeout its federal grants (DESE Liquation).</w:t>
      </w:r>
      <w:r w:rsidR="00E21719">
        <w:rPr>
          <w:sz w:val="20"/>
        </w:rPr>
        <w:t xml:space="preserve"> </w:t>
      </w:r>
      <w:r w:rsidR="006E0B92">
        <w:rPr>
          <w:sz w:val="20"/>
        </w:rPr>
        <w:t>DESE recommends, however, that all grant expenditures be liquidated by the grant deadline as a best practice.</w:t>
      </w:r>
    </w:p>
    <w:p w14:paraId="2F47446D" w14:textId="77777777" w:rsidR="00CD094E" w:rsidRDefault="00CD094E" w:rsidP="00E266F1">
      <w:pPr>
        <w:spacing w:after="0"/>
        <w:rPr>
          <w:sz w:val="20"/>
        </w:rPr>
      </w:pPr>
    </w:p>
    <w:p w14:paraId="1CE5A83A" w14:textId="0266B595" w:rsidR="00CD094E" w:rsidRDefault="006E0B92" w:rsidP="00E266F1">
      <w:pPr>
        <w:spacing w:after="0"/>
        <w:rPr>
          <w:b/>
          <w:color w:val="1F497D" w:themeColor="text2"/>
          <w:sz w:val="24"/>
          <w:szCs w:val="20"/>
        </w:rPr>
      </w:pPr>
      <w:r w:rsidRPr="006E0B92">
        <w:rPr>
          <w:b/>
          <w:color w:val="1F497D" w:themeColor="text2"/>
          <w:sz w:val="24"/>
          <w:szCs w:val="20"/>
        </w:rPr>
        <w:t xml:space="preserve">Obligation, </w:t>
      </w:r>
      <w:r w:rsidR="00E77E79">
        <w:rPr>
          <w:b/>
          <w:color w:val="1F497D" w:themeColor="text2"/>
          <w:sz w:val="24"/>
          <w:szCs w:val="20"/>
        </w:rPr>
        <w:t>l</w:t>
      </w:r>
      <w:r w:rsidRPr="006E0B92">
        <w:rPr>
          <w:b/>
          <w:color w:val="1F497D" w:themeColor="text2"/>
          <w:sz w:val="24"/>
          <w:szCs w:val="20"/>
        </w:rPr>
        <w:t xml:space="preserve">iquidation, </w:t>
      </w:r>
      <w:r w:rsidR="00E77E79">
        <w:rPr>
          <w:b/>
          <w:color w:val="1F497D" w:themeColor="text2"/>
          <w:sz w:val="24"/>
          <w:szCs w:val="20"/>
        </w:rPr>
        <w:t>p</w:t>
      </w:r>
      <w:r w:rsidRPr="006E0B92">
        <w:rPr>
          <w:b/>
          <w:color w:val="1F497D" w:themeColor="text2"/>
          <w:sz w:val="24"/>
          <w:szCs w:val="20"/>
        </w:rPr>
        <w:t>erformance (</w:t>
      </w:r>
      <w:r w:rsidR="00E77E79">
        <w:rPr>
          <w:b/>
          <w:color w:val="1F497D" w:themeColor="text2"/>
          <w:sz w:val="24"/>
          <w:szCs w:val="20"/>
        </w:rPr>
        <w:t>c</w:t>
      </w:r>
      <w:r w:rsidRPr="006E0B92">
        <w:rPr>
          <w:b/>
          <w:color w:val="1F497D" w:themeColor="text2"/>
          <w:sz w:val="24"/>
          <w:szCs w:val="20"/>
        </w:rPr>
        <w:t xml:space="preserve">ertain </w:t>
      </w:r>
      <w:r w:rsidR="00E77E79">
        <w:rPr>
          <w:b/>
          <w:color w:val="1F497D" w:themeColor="text2"/>
          <w:sz w:val="24"/>
          <w:szCs w:val="20"/>
        </w:rPr>
        <w:t>c</w:t>
      </w:r>
      <w:r w:rsidRPr="006E0B92">
        <w:rPr>
          <w:b/>
          <w:color w:val="1F497D" w:themeColor="text2"/>
          <w:sz w:val="24"/>
          <w:szCs w:val="20"/>
        </w:rPr>
        <w:t xml:space="preserve">ontracts), and </w:t>
      </w:r>
      <w:r w:rsidR="00E77E79">
        <w:rPr>
          <w:b/>
          <w:color w:val="1F497D" w:themeColor="text2"/>
          <w:sz w:val="24"/>
          <w:szCs w:val="20"/>
        </w:rPr>
        <w:t>g</w:t>
      </w:r>
      <w:r w:rsidRPr="006E0B92">
        <w:rPr>
          <w:b/>
          <w:color w:val="1F497D" w:themeColor="text2"/>
          <w:sz w:val="24"/>
          <w:szCs w:val="20"/>
        </w:rPr>
        <w:t xml:space="preserve">rant </w:t>
      </w:r>
      <w:r w:rsidR="00E77E79">
        <w:rPr>
          <w:b/>
          <w:color w:val="1F497D" w:themeColor="text2"/>
          <w:sz w:val="24"/>
          <w:szCs w:val="20"/>
        </w:rPr>
        <w:t>c</w:t>
      </w:r>
      <w:r w:rsidRPr="006E0B92">
        <w:rPr>
          <w:b/>
          <w:color w:val="1F497D" w:themeColor="text2"/>
          <w:sz w:val="24"/>
          <w:szCs w:val="20"/>
        </w:rPr>
        <w:t>loseout</w:t>
      </w:r>
      <w:r w:rsidR="0028219B">
        <w:rPr>
          <w:b/>
          <w:color w:val="1F497D" w:themeColor="text2"/>
          <w:sz w:val="24"/>
          <w:szCs w:val="20"/>
        </w:rPr>
        <w:t xml:space="preserve"> </w:t>
      </w:r>
      <w:r w:rsidR="00E77E79">
        <w:rPr>
          <w:b/>
          <w:color w:val="1F497D" w:themeColor="text2"/>
          <w:sz w:val="24"/>
          <w:szCs w:val="20"/>
        </w:rPr>
        <w:t>d</w:t>
      </w:r>
      <w:r w:rsidR="0028219B">
        <w:rPr>
          <w:b/>
          <w:color w:val="1F497D" w:themeColor="text2"/>
          <w:sz w:val="24"/>
          <w:szCs w:val="20"/>
        </w:rPr>
        <w:t>eadlines</w:t>
      </w:r>
      <w:r w:rsidR="00F25BE8" w:rsidRPr="006E0B92">
        <w:rPr>
          <w:b/>
          <w:color w:val="1F497D" w:themeColor="text2"/>
          <w:sz w:val="24"/>
          <w:szCs w:val="20"/>
        </w:rPr>
        <w:t>:</w:t>
      </w:r>
    </w:p>
    <w:p w14:paraId="061CB57B" w14:textId="69D0E3A1" w:rsidR="00FA6B90" w:rsidRPr="00D061D5" w:rsidRDefault="00DF6BA8" w:rsidP="00E266F1">
      <w:pPr>
        <w:spacing w:after="0"/>
        <w:rPr>
          <w:bCs/>
          <w:i/>
          <w:iCs/>
          <w:color w:val="1F497D" w:themeColor="text2"/>
          <w:szCs w:val="18"/>
        </w:rPr>
      </w:pPr>
      <w:r w:rsidRPr="00DF6BA8">
        <w:rPr>
          <w:noProof/>
        </w:rPr>
        <w:drawing>
          <wp:anchor distT="0" distB="0" distL="114300" distR="114300" simplePos="0" relativeHeight="251658243" behindDoc="0" locked="0" layoutInCell="1" allowOverlap="1" wp14:anchorId="64581DB5" wp14:editId="1B464B30">
            <wp:simplePos x="0" y="0"/>
            <wp:positionH relativeFrom="page">
              <wp:align>left</wp:align>
            </wp:positionH>
            <wp:positionV relativeFrom="paragraph">
              <wp:posOffset>162845</wp:posOffset>
            </wp:positionV>
            <wp:extent cx="7719526" cy="3186449"/>
            <wp:effectExtent l="0" t="0" r="0" b="0"/>
            <wp:wrapNone/>
            <wp:docPr id="20" name="Picture 20" descr="Graphic depicting deadlines across the 27 month period of availability for federal grants, which begin on July 1:&#10;&#10;1. Obligation must occur by September 30th in Year 3.&#10;2. Performance of a Validly Obligated Contract must happen by December 28 of year 3 of the grant.&#10;3. District liquidation/drawdown of validly obligated contract and closeout of grant must be completed by February 8th of year 3 of the grant.&#10;4. DESE liquidation of federal grant must occur by January 28th of year 3 of the grant.&#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 depicting deadlines across the 27 month period of availability for federal grants, which begin on July 1:&#10;&#10;1. Obligation must occur by September 30th in Year 3.&#10;2. Performance of a Validly Obligated Contract must happen by December 28 of year 3 of the grant.&#10;3. District liquidation/drawdown of validly obligated contract and closeout of grant must be completed by February 8th of year 3 of the grant.&#10;4. DESE liquidation of federal grant must occur by January 28th of year 3 of the grant.&#10;">
                      <a:extLst>
                        <a:ext uri="{C183D7F6-B498-43B3-948B-1728B52AA6E4}">
                          <adec:decorative xmlns:adec="http://schemas.microsoft.com/office/drawing/2017/decorative" val="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9526" cy="31864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61D5" w:rsidRPr="00D061D5">
        <w:rPr>
          <w:bCs/>
          <w:i/>
          <w:iCs/>
          <w:color w:val="1F497D" w:themeColor="text2"/>
          <w:szCs w:val="18"/>
        </w:rPr>
        <w:t xml:space="preserve">Reminder:  </w:t>
      </w:r>
      <w:r w:rsidR="00FA6B90" w:rsidRPr="00D061D5">
        <w:rPr>
          <w:bCs/>
          <w:i/>
          <w:iCs/>
          <w:color w:val="1F497D" w:themeColor="text2"/>
          <w:szCs w:val="18"/>
        </w:rPr>
        <w:t xml:space="preserve">Best Practice is to </w:t>
      </w:r>
      <w:r w:rsidR="00D061D5" w:rsidRPr="00D061D5">
        <w:rPr>
          <w:bCs/>
          <w:i/>
          <w:iCs/>
          <w:color w:val="1F497D" w:themeColor="text2"/>
          <w:szCs w:val="18"/>
        </w:rPr>
        <w:t>obligate, liquidate, and closeout grant by end of Period of Availability for Grant</w:t>
      </w:r>
      <w:r w:rsidR="00C13B0C">
        <w:rPr>
          <w:bCs/>
          <w:i/>
          <w:iCs/>
          <w:color w:val="1F497D" w:themeColor="text2"/>
          <w:szCs w:val="18"/>
        </w:rPr>
        <w:t xml:space="preserve"> </w:t>
      </w:r>
      <w:r w:rsidR="00200C89">
        <w:rPr>
          <w:bCs/>
          <w:i/>
          <w:iCs/>
          <w:color w:val="1F497D" w:themeColor="text2"/>
          <w:szCs w:val="18"/>
        </w:rPr>
        <w:t>(first</w:t>
      </w:r>
      <w:r w:rsidR="00C13B0C">
        <w:rPr>
          <w:bCs/>
          <w:i/>
          <w:iCs/>
          <w:color w:val="1F497D" w:themeColor="text2"/>
          <w:szCs w:val="18"/>
        </w:rPr>
        <w:t xml:space="preserve"> bar)</w:t>
      </w:r>
    </w:p>
    <w:p w14:paraId="3160D083" w14:textId="682B8F44" w:rsidR="00CD094E" w:rsidRDefault="00CD094E" w:rsidP="00E266F1">
      <w:pPr>
        <w:spacing w:after="0"/>
        <w:rPr>
          <w:sz w:val="20"/>
        </w:rPr>
      </w:pPr>
    </w:p>
    <w:p w14:paraId="34696789" w14:textId="75417E8C" w:rsidR="00CD094E" w:rsidRDefault="00CD094E" w:rsidP="00E266F1">
      <w:pPr>
        <w:spacing w:after="0"/>
        <w:rPr>
          <w:sz w:val="20"/>
        </w:rPr>
      </w:pPr>
    </w:p>
    <w:p w14:paraId="37A03A93" w14:textId="412829DA" w:rsidR="00CD094E" w:rsidRDefault="00CD094E" w:rsidP="00E266F1">
      <w:pPr>
        <w:spacing w:after="0"/>
        <w:rPr>
          <w:sz w:val="20"/>
        </w:rPr>
      </w:pPr>
    </w:p>
    <w:p w14:paraId="6034F54D" w14:textId="2E399269" w:rsidR="00CD094E" w:rsidRDefault="00CD094E" w:rsidP="00E266F1">
      <w:pPr>
        <w:spacing w:after="0"/>
        <w:rPr>
          <w:sz w:val="20"/>
        </w:rPr>
      </w:pPr>
    </w:p>
    <w:p w14:paraId="7F578F6C" w14:textId="6590DD35" w:rsidR="00CD094E" w:rsidRDefault="00CD094E" w:rsidP="00E266F1">
      <w:pPr>
        <w:spacing w:after="0"/>
        <w:rPr>
          <w:sz w:val="20"/>
        </w:rPr>
      </w:pPr>
    </w:p>
    <w:p w14:paraId="180D1694" w14:textId="1767E008" w:rsidR="00CD094E" w:rsidRDefault="00CD094E" w:rsidP="00E266F1">
      <w:pPr>
        <w:spacing w:after="0"/>
        <w:rPr>
          <w:sz w:val="20"/>
        </w:rPr>
      </w:pPr>
    </w:p>
    <w:p w14:paraId="1CB71C27" w14:textId="37BFB2ED" w:rsidR="00CD094E" w:rsidRDefault="00CD094E" w:rsidP="00E266F1">
      <w:pPr>
        <w:spacing w:after="0"/>
        <w:rPr>
          <w:sz w:val="20"/>
        </w:rPr>
      </w:pPr>
    </w:p>
    <w:p w14:paraId="503FEEC3" w14:textId="3FB77F50" w:rsidR="00CD094E" w:rsidRDefault="00CD094E" w:rsidP="00E266F1">
      <w:pPr>
        <w:spacing w:after="0"/>
        <w:rPr>
          <w:sz w:val="20"/>
        </w:rPr>
      </w:pPr>
    </w:p>
    <w:p w14:paraId="7D9BFD0C" w14:textId="64479F28" w:rsidR="00CD094E" w:rsidRDefault="00CD094E" w:rsidP="00E266F1">
      <w:pPr>
        <w:spacing w:after="0"/>
        <w:rPr>
          <w:sz w:val="20"/>
        </w:rPr>
      </w:pPr>
    </w:p>
    <w:p w14:paraId="2AB1ADA8" w14:textId="7D5FBDA0" w:rsidR="00CD094E" w:rsidRDefault="00CD094E" w:rsidP="00E266F1">
      <w:pPr>
        <w:spacing w:after="0"/>
        <w:rPr>
          <w:sz w:val="20"/>
        </w:rPr>
      </w:pPr>
    </w:p>
    <w:p w14:paraId="5CFA9AC9" w14:textId="1510EE02" w:rsidR="00CD094E" w:rsidRDefault="00CD094E" w:rsidP="00E266F1">
      <w:pPr>
        <w:spacing w:after="0"/>
        <w:rPr>
          <w:sz w:val="20"/>
        </w:rPr>
      </w:pPr>
    </w:p>
    <w:p w14:paraId="45878629" w14:textId="7B32BF03" w:rsidR="00CD094E" w:rsidRDefault="00CD094E" w:rsidP="00E266F1">
      <w:pPr>
        <w:spacing w:after="0"/>
        <w:rPr>
          <w:sz w:val="20"/>
        </w:rPr>
      </w:pPr>
    </w:p>
    <w:p w14:paraId="64D6DA69" w14:textId="2185E5F5" w:rsidR="00CD094E" w:rsidRDefault="00CD094E" w:rsidP="00E266F1">
      <w:pPr>
        <w:spacing w:after="0"/>
        <w:rPr>
          <w:sz w:val="20"/>
        </w:rPr>
      </w:pPr>
    </w:p>
    <w:p w14:paraId="28D3AC7D" w14:textId="77777777" w:rsidR="00CD094E" w:rsidRDefault="00CD094E" w:rsidP="00E266F1">
      <w:pPr>
        <w:spacing w:after="0"/>
        <w:rPr>
          <w:noProof/>
        </w:rPr>
      </w:pPr>
    </w:p>
    <w:p w14:paraId="2EF8442A" w14:textId="7104BB0B" w:rsidR="00EF72F8" w:rsidRPr="00E266F1" w:rsidRDefault="00EF72F8" w:rsidP="00E266F1">
      <w:pPr>
        <w:spacing w:after="0"/>
        <w:rPr>
          <w:sz w:val="20"/>
        </w:rPr>
      </w:pPr>
    </w:p>
    <w:p w14:paraId="4990734B" w14:textId="5A3ECD00" w:rsidR="00DF2329" w:rsidRPr="00895D14" w:rsidRDefault="00DF2329" w:rsidP="00DA2F93">
      <w:pPr>
        <w:rPr>
          <w:sz w:val="12"/>
          <w:szCs w:val="12"/>
        </w:rPr>
      </w:pPr>
    </w:p>
    <w:p w14:paraId="2E559E21" w14:textId="47682C3E" w:rsidR="00895D14" w:rsidRDefault="00895D14" w:rsidP="00DA2F93">
      <w:pPr>
        <w:rPr>
          <w:sz w:val="8"/>
          <w:szCs w:val="8"/>
        </w:rPr>
      </w:pPr>
    </w:p>
    <w:p w14:paraId="41C63732" w14:textId="3B1EF97A" w:rsidR="00DA2F93" w:rsidRPr="00DA2F93" w:rsidRDefault="00080EAF" w:rsidP="00DA2F93">
      <w:pPr>
        <w:rPr>
          <w:sz w:val="8"/>
          <w:szCs w:val="8"/>
        </w:rPr>
      </w:pPr>
      <w:r w:rsidRPr="008475A9">
        <w:rPr>
          <w:b/>
          <w:i/>
          <w:noProof/>
          <w:sz w:val="20"/>
          <w:szCs w:val="20"/>
        </w:rPr>
        <mc:AlternateContent>
          <mc:Choice Requires="wps">
            <w:drawing>
              <wp:anchor distT="0" distB="0" distL="114300" distR="114300" simplePos="0" relativeHeight="251658241" behindDoc="0" locked="0" layoutInCell="1" allowOverlap="1" wp14:anchorId="3D397EFD" wp14:editId="05B3E9DB">
                <wp:simplePos x="0" y="0"/>
                <wp:positionH relativeFrom="margin">
                  <wp:align>right</wp:align>
                </wp:positionH>
                <wp:positionV relativeFrom="paragraph">
                  <wp:posOffset>185913</wp:posOffset>
                </wp:positionV>
                <wp:extent cx="6791325" cy="2867025"/>
                <wp:effectExtent l="38100" t="38100" r="123825" b="123825"/>
                <wp:wrapNone/>
                <wp:docPr id="1" name="Text Box 16" descr="Text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86702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7AA9589A" w14:textId="791115F8" w:rsidR="001C5E67" w:rsidRPr="00BE39F3" w:rsidRDefault="0040068D" w:rsidP="00B945C5">
                            <w:pPr>
                              <w:spacing w:after="0"/>
                              <w:rPr>
                                <w:b/>
                                <w:color w:val="1F497D" w:themeColor="text2"/>
                                <w:sz w:val="12"/>
                                <w:szCs w:val="14"/>
                              </w:rPr>
                            </w:pPr>
                            <w:r>
                              <w:rPr>
                                <w:b/>
                                <w:color w:val="1F497D" w:themeColor="text2"/>
                                <w:sz w:val="24"/>
                                <w:szCs w:val="28"/>
                              </w:rPr>
                              <w:t xml:space="preserve">Will there be extensions for contract performance </w:t>
                            </w:r>
                            <w:r w:rsidR="00E6438C">
                              <w:rPr>
                                <w:b/>
                                <w:color w:val="1F497D" w:themeColor="text2"/>
                                <w:sz w:val="24"/>
                                <w:szCs w:val="28"/>
                              </w:rPr>
                              <w:t>for ESSER II and ESSER III</w:t>
                            </w:r>
                            <w:r w:rsidR="00B80279">
                              <w:rPr>
                                <w:b/>
                                <w:color w:val="1F497D" w:themeColor="text2"/>
                                <w:sz w:val="24"/>
                                <w:szCs w:val="28"/>
                              </w:rPr>
                              <w:t>?</w:t>
                            </w:r>
                            <w:r w:rsidR="00BE39F3">
                              <w:rPr>
                                <w:b/>
                                <w:color w:val="1F497D" w:themeColor="text2"/>
                                <w:sz w:val="24"/>
                                <w:szCs w:val="28"/>
                              </w:rPr>
                              <w:br/>
                            </w:r>
                          </w:p>
                          <w:p w14:paraId="206FEE86" w14:textId="067F00BC" w:rsidR="00B06291" w:rsidRPr="00B06291" w:rsidRDefault="00B06291" w:rsidP="00B06291">
                            <w:pPr>
                              <w:rPr>
                                <w:sz w:val="20"/>
                              </w:rPr>
                            </w:pPr>
                            <w:r w:rsidRPr="00B06291">
                              <w:rPr>
                                <w:sz w:val="20"/>
                              </w:rPr>
                              <w:t>In almost all cases, the liquidation period for grant expenses follows the schedule shown in the above chart. However, the United States Department of Education (USED) has the authority to approve liquidation extension requests for properly obligated funds upon written requests made by DESE. If the liquidation period is extended for certain funds by USED, the contract performance and District Liquidation and closeout periods can also be extended.</w:t>
                            </w:r>
                            <w:r w:rsidR="00E77E79">
                              <w:rPr>
                                <w:sz w:val="20"/>
                              </w:rPr>
                              <w:t xml:space="preserve"> </w:t>
                            </w:r>
                            <w:r w:rsidR="00E77E79" w:rsidRPr="00A86795">
                              <w:rPr>
                                <w:sz w:val="20"/>
                              </w:rPr>
                              <w:t>(</w:t>
                            </w:r>
                            <w:r w:rsidRPr="00A86795">
                              <w:rPr>
                                <w:sz w:val="20"/>
                              </w:rPr>
                              <w:t>See Letter from Robert J. Rodriguez, USED, to Daniel Domenech, The School Superintendents Association, May 13, 2022.</w:t>
                            </w:r>
                            <w:r w:rsidR="00E77E79" w:rsidRPr="00A86795">
                              <w:rPr>
                                <w:sz w:val="20"/>
                              </w:rPr>
                              <w:t>)</w:t>
                            </w:r>
                          </w:p>
                          <w:p w14:paraId="34F2A784" w14:textId="332DB5D7" w:rsidR="001C5E67" w:rsidRPr="00B945C5" w:rsidRDefault="00B06291" w:rsidP="00B06291">
                            <w:pPr>
                              <w:rPr>
                                <w:sz w:val="20"/>
                              </w:rPr>
                            </w:pPr>
                            <w:r w:rsidRPr="00B06291">
                              <w:rPr>
                                <w:sz w:val="20"/>
                              </w:rPr>
                              <w:t>Because ESSER funds allowed capital projects that experienced delays</w:t>
                            </w:r>
                            <w:r w:rsidR="00E77E79">
                              <w:rPr>
                                <w:sz w:val="20"/>
                              </w:rPr>
                              <w:t>/</w:t>
                            </w:r>
                            <w:r w:rsidRPr="00B06291">
                              <w:rPr>
                                <w:sz w:val="20"/>
                              </w:rPr>
                              <w:t>supply shortages</w:t>
                            </w:r>
                            <w:r w:rsidR="00E77E79">
                              <w:rPr>
                                <w:sz w:val="20"/>
                              </w:rPr>
                              <w:t xml:space="preserve"> </w:t>
                            </w:r>
                            <w:r w:rsidR="00E77E79" w:rsidRPr="00B06291">
                              <w:rPr>
                                <w:sz w:val="20"/>
                              </w:rPr>
                              <w:t>due in large measure to the pandemic</w:t>
                            </w:r>
                            <w:r w:rsidRPr="00B06291">
                              <w:rPr>
                                <w:sz w:val="20"/>
                              </w:rPr>
                              <w:t xml:space="preserve">, USED did allow up to an additional 14 months for liquidation for ESSER I </w:t>
                            </w:r>
                            <w:r w:rsidR="003F55F1">
                              <w:rPr>
                                <w:sz w:val="20"/>
                              </w:rPr>
                              <w:t xml:space="preserve">and ESSER II </w:t>
                            </w:r>
                            <w:r w:rsidRPr="00B06291">
                              <w:rPr>
                                <w:sz w:val="20"/>
                              </w:rPr>
                              <w:t>funds upon state</w:t>
                            </w:r>
                            <w:r w:rsidR="00E77E79">
                              <w:rPr>
                                <w:sz w:val="20"/>
                              </w:rPr>
                              <w:t xml:space="preserve"> </w:t>
                            </w:r>
                            <w:r w:rsidRPr="00B06291">
                              <w:rPr>
                                <w:sz w:val="20"/>
                              </w:rPr>
                              <w:t xml:space="preserve">request, appropriate </w:t>
                            </w:r>
                            <w:r w:rsidR="00BD1D95" w:rsidRPr="00B06291">
                              <w:rPr>
                                <w:sz w:val="20"/>
                              </w:rPr>
                              <w:t>support</w:t>
                            </w:r>
                            <w:r w:rsidR="00351B0E">
                              <w:rPr>
                                <w:sz w:val="20"/>
                              </w:rPr>
                              <w:t xml:space="preserve"> </w:t>
                            </w:r>
                            <w:r w:rsidRPr="00B06291">
                              <w:rPr>
                                <w:sz w:val="20"/>
                              </w:rPr>
                              <w:t>and documentation, and USED approval</w:t>
                            </w:r>
                            <w:r w:rsidR="003A70F6">
                              <w:rPr>
                                <w:sz w:val="20"/>
                              </w:rPr>
                              <w:t xml:space="preserve"> (see </w:t>
                            </w:r>
                            <w:hyperlink r:id="rId14" w:history="1">
                              <w:r w:rsidR="00C42664" w:rsidRPr="00C42664">
                                <w:rPr>
                                  <w:rStyle w:val="Hyperlink"/>
                                  <w:rFonts w:cstheme="minorBidi"/>
                                  <w:sz w:val="20"/>
                                </w:rPr>
                                <w:t>USED Liquidation</w:t>
                              </w:r>
                              <w:r w:rsidR="008A7E47">
                                <w:rPr>
                                  <w:rStyle w:val="Hyperlink"/>
                                  <w:rFonts w:cstheme="minorBidi"/>
                                  <w:sz w:val="20"/>
                                </w:rPr>
                                <w:t xml:space="preserve"> Extension</w:t>
                              </w:r>
                              <w:r w:rsidR="00C42664" w:rsidRPr="00C42664">
                                <w:rPr>
                                  <w:rStyle w:val="Hyperlink"/>
                                  <w:rFonts w:cstheme="minorBidi"/>
                                  <w:sz w:val="20"/>
                                </w:rPr>
                                <w:t xml:space="preserve"> </w:t>
                              </w:r>
                              <w:r w:rsidR="003A70F6" w:rsidRPr="00C42664">
                                <w:rPr>
                                  <w:rStyle w:val="Hyperlink"/>
                                  <w:rFonts w:cstheme="minorBidi"/>
                                  <w:sz w:val="20"/>
                                </w:rPr>
                                <w:t>FAQ from May 5, 2023</w:t>
                              </w:r>
                            </w:hyperlink>
                            <w:r w:rsidR="003A70F6">
                              <w:rPr>
                                <w:sz w:val="20"/>
                              </w:rPr>
                              <w:t>)</w:t>
                            </w:r>
                            <w:r w:rsidRPr="00B06291">
                              <w:rPr>
                                <w:sz w:val="20"/>
                              </w:rPr>
                              <w:t>. USED has not indicated whether liquidation</w:t>
                            </w:r>
                            <w:r w:rsidR="00E77E79">
                              <w:rPr>
                                <w:sz w:val="20"/>
                              </w:rPr>
                              <w:t xml:space="preserve"> </w:t>
                            </w:r>
                            <w:r w:rsidRPr="00B06291">
                              <w:rPr>
                                <w:sz w:val="20"/>
                              </w:rPr>
                              <w:t>extensions w</w:t>
                            </w:r>
                            <w:r w:rsidR="002649C1">
                              <w:rPr>
                                <w:sz w:val="20"/>
                              </w:rPr>
                              <w:t xml:space="preserve">ill </w:t>
                            </w:r>
                            <w:r w:rsidRPr="00B06291">
                              <w:rPr>
                                <w:sz w:val="20"/>
                              </w:rPr>
                              <w:t>be available upon state request for ESSER III.</w:t>
                            </w:r>
                            <w:r w:rsidR="00E77E79">
                              <w:rPr>
                                <w:sz w:val="20"/>
                              </w:rPr>
                              <w:t xml:space="preserve"> </w:t>
                            </w:r>
                            <w:r w:rsidRPr="001F0102">
                              <w:rPr>
                                <w:b/>
                                <w:bCs/>
                                <w:sz w:val="20"/>
                              </w:rPr>
                              <w:t xml:space="preserve">DESE will inform districts as soon as it has been notified of any decision on liquidation extensions, as well as the procedures in place to make such </w:t>
                            </w:r>
                            <w:r w:rsidR="00C65128" w:rsidRPr="001F0102">
                              <w:rPr>
                                <w:b/>
                                <w:bCs/>
                                <w:sz w:val="20"/>
                              </w:rPr>
                              <w:t>r</w:t>
                            </w:r>
                            <w:r w:rsidRPr="001F0102">
                              <w:rPr>
                                <w:b/>
                                <w:bCs/>
                                <w:sz w:val="20"/>
                              </w:rPr>
                              <w:t>equest</w:t>
                            </w:r>
                            <w:r w:rsidR="00C65128" w:rsidRPr="001F0102">
                              <w:rPr>
                                <w:b/>
                                <w:bCs/>
                                <w:sz w:val="20"/>
                              </w:rPr>
                              <w:t>s</w:t>
                            </w:r>
                            <w:r w:rsidRPr="001F0102">
                              <w:rPr>
                                <w:b/>
                                <w:bCs/>
                                <w:sz w:val="20"/>
                              </w:rPr>
                              <w:t xml:space="preserve">. In the interim, ESSER III grantees should not plan on having a longer period to accept contract services and goods </w:t>
                            </w:r>
                            <w:r w:rsidR="00C65128" w:rsidRPr="001F0102">
                              <w:rPr>
                                <w:b/>
                                <w:bCs/>
                                <w:sz w:val="20"/>
                              </w:rPr>
                              <w:t xml:space="preserve">using these funds </w:t>
                            </w:r>
                            <w:r w:rsidRPr="001F0102">
                              <w:rPr>
                                <w:b/>
                                <w:bCs/>
                                <w:sz w:val="20"/>
                              </w:rPr>
                              <w:t>than is shown in the above chart</w:t>
                            </w:r>
                            <w:r w:rsidRPr="00B06291">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97EFD" id="_x0000_t202" coordsize="21600,21600" o:spt="202" path="m,l,21600r21600,l21600,xe">
                <v:stroke joinstyle="miter"/>
                <v:path gradientshapeok="t" o:connecttype="rect"/>
              </v:shapetype>
              <v:shape id="Text Box 16" o:spid="_x0000_s1027" type="#_x0000_t202" alt="Text box" style="position:absolute;margin-left:483.55pt;margin-top:14.65pt;width:534.75pt;height:225.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" strokecolor="#365f91 [2404]" strokeweight=".25pt">
                <v:shadow on="t" color="black" opacity="26214f" origin="-.5,-.5" offset=".74836mm,.74836mm"/>
                <v:textbox>
                  <w:txbxContent>
                    <w:p w14:paraId="7AA9589A" w14:textId="791115F8" w:rsidR="001C5E67" w:rsidRPr="00BE39F3" w:rsidRDefault="0040068D" w:rsidP="00B945C5">
                      <w:pPr>
                        <w:spacing w:after="0"/>
                        <w:rPr>
                          <w:b/>
                          <w:color w:val="1F497D" w:themeColor="text2"/>
                          <w:sz w:val="12"/>
                          <w:szCs w:val="14"/>
                        </w:rPr>
                      </w:pPr>
                      <w:r>
                        <w:rPr>
                          <w:b/>
                          <w:color w:val="1F497D" w:themeColor="text2"/>
                          <w:sz w:val="24"/>
                          <w:szCs w:val="28"/>
                        </w:rPr>
                        <w:t xml:space="preserve">Will there be extensions for contract performance </w:t>
                      </w:r>
                      <w:r w:rsidR="00E6438C">
                        <w:rPr>
                          <w:b/>
                          <w:color w:val="1F497D" w:themeColor="text2"/>
                          <w:sz w:val="24"/>
                          <w:szCs w:val="28"/>
                        </w:rPr>
                        <w:t>for ESSER II and ESSER III</w:t>
                      </w:r>
                      <w:r w:rsidR="00B80279">
                        <w:rPr>
                          <w:b/>
                          <w:color w:val="1F497D" w:themeColor="text2"/>
                          <w:sz w:val="24"/>
                          <w:szCs w:val="28"/>
                        </w:rPr>
                        <w:t>?</w:t>
                      </w:r>
                      <w:r w:rsidR="00BE39F3">
                        <w:rPr>
                          <w:b/>
                          <w:color w:val="1F497D" w:themeColor="text2"/>
                          <w:sz w:val="24"/>
                          <w:szCs w:val="28"/>
                        </w:rPr>
                        <w:br/>
                      </w:r>
                    </w:p>
                    <w:p w14:paraId="206FEE86" w14:textId="067F00BC" w:rsidR="00B06291" w:rsidRPr="00B06291" w:rsidRDefault="00B06291" w:rsidP="00B06291">
                      <w:pPr>
                        <w:rPr>
                          <w:sz w:val="20"/>
                        </w:rPr>
                      </w:pPr>
                      <w:r w:rsidRPr="00B06291">
                        <w:rPr>
                          <w:sz w:val="20"/>
                        </w:rPr>
                        <w:t>In almost all cases, the liquidation period for grant expenses follows the schedule shown in the above chart. However, the United States Department of Education (USED) has the authority to approve liquidation extension requests for properly obligated funds upon written requests made by DESE. If the liquidation period is extended for certain funds by USED, the contract performance and District Liquidation and closeout periods can also be extended.</w:t>
                      </w:r>
                      <w:r w:rsidR="00E77E79">
                        <w:rPr>
                          <w:sz w:val="20"/>
                        </w:rPr>
                        <w:t xml:space="preserve"> </w:t>
                      </w:r>
                      <w:r w:rsidR="00E77E79" w:rsidRPr="00A86795">
                        <w:rPr>
                          <w:sz w:val="20"/>
                        </w:rPr>
                        <w:t>(</w:t>
                      </w:r>
                      <w:r w:rsidRPr="00A86795">
                        <w:rPr>
                          <w:sz w:val="20"/>
                        </w:rPr>
                        <w:t>See Letter from Robert J. Rodriguez, USED, to Daniel Domenech, The School Superintendents Association, May 13, 2022.</w:t>
                      </w:r>
                      <w:r w:rsidR="00E77E79" w:rsidRPr="00A86795">
                        <w:rPr>
                          <w:sz w:val="20"/>
                        </w:rPr>
                        <w:t>)</w:t>
                      </w:r>
                    </w:p>
                    <w:p w14:paraId="34F2A784" w14:textId="332DB5D7" w:rsidR="001C5E67" w:rsidRPr="00B945C5" w:rsidRDefault="00B06291" w:rsidP="00B06291">
                      <w:pPr>
                        <w:rPr>
                          <w:sz w:val="20"/>
                        </w:rPr>
                      </w:pPr>
                      <w:r w:rsidRPr="00B06291">
                        <w:rPr>
                          <w:sz w:val="20"/>
                        </w:rPr>
                        <w:t>Because ESSER funds allowed capital projects that experienced delays</w:t>
                      </w:r>
                      <w:r w:rsidR="00E77E79">
                        <w:rPr>
                          <w:sz w:val="20"/>
                        </w:rPr>
                        <w:t>/</w:t>
                      </w:r>
                      <w:r w:rsidRPr="00B06291">
                        <w:rPr>
                          <w:sz w:val="20"/>
                        </w:rPr>
                        <w:t>supply shortages</w:t>
                      </w:r>
                      <w:r w:rsidR="00E77E79">
                        <w:rPr>
                          <w:sz w:val="20"/>
                        </w:rPr>
                        <w:t xml:space="preserve"> </w:t>
                      </w:r>
                      <w:r w:rsidR="00E77E79" w:rsidRPr="00B06291">
                        <w:rPr>
                          <w:sz w:val="20"/>
                        </w:rPr>
                        <w:t>due in large measure to the pandemic</w:t>
                      </w:r>
                      <w:r w:rsidRPr="00B06291">
                        <w:rPr>
                          <w:sz w:val="20"/>
                        </w:rPr>
                        <w:t xml:space="preserve">, USED did allow up to an additional 14 months for liquidation for ESSER I </w:t>
                      </w:r>
                      <w:r w:rsidR="003F55F1">
                        <w:rPr>
                          <w:sz w:val="20"/>
                        </w:rPr>
                        <w:t xml:space="preserve">and ESSER II </w:t>
                      </w:r>
                      <w:r w:rsidRPr="00B06291">
                        <w:rPr>
                          <w:sz w:val="20"/>
                        </w:rPr>
                        <w:t>funds upon state</w:t>
                      </w:r>
                      <w:r w:rsidR="00E77E79">
                        <w:rPr>
                          <w:sz w:val="20"/>
                        </w:rPr>
                        <w:t xml:space="preserve"> </w:t>
                      </w:r>
                      <w:r w:rsidRPr="00B06291">
                        <w:rPr>
                          <w:sz w:val="20"/>
                        </w:rPr>
                        <w:t xml:space="preserve">request, appropriate </w:t>
                      </w:r>
                      <w:r w:rsidR="00BD1D95" w:rsidRPr="00B06291">
                        <w:rPr>
                          <w:sz w:val="20"/>
                        </w:rPr>
                        <w:t>support</w:t>
                      </w:r>
                      <w:r w:rsidR="00351B0E">
                        <w:rPr>
                          <w:sz w:val="20"/>
                        </w:rPr>
                        <w:t xml:space="preserve"> </w:t>
                      </w:r>
                      <w:r w:rsidRPr="00B06291">
                        <w:rPr>
                          <w:sz w:val="20"/>
                        </w:rPr>
                        <w:t>and documentation, and USED approval</w:t>
                      </w:r>
                      <w:r w:rsidR="003A70F6">
                        <w:rPr>
                          <w:sz w:val="20"/>
                        </w:rPr>
                        <w:t xml:space="preserve"> (see </w:t>
                      </w:r>
                      <w:hyperlink r:id="rId15" w:history="1">
                        <w:r w:rsidR="00C42664" w:rsidRPr="00C42664">
                          <w:rPr>
                            <w:rStyle w:val="Hyperlink"/>
                            <w:rFonts w:cstheme="minorBidi"/>
                            <w:sz w:val="20"/>
                          </w:rPr>
                          <w:t>USED Liquidation</w:t>
                        </w:r>
                        <w:r w:rsidR="008A7E47">
                          <w:rPr>
                            <w:rStyle w:val="Hyperlink"/>
                            <w:rFonts w:cstheme="minorBidi"/>
                            <w:sz w:val="20"/>
                          </w:rPr>
                          <w:t xml:space="preserve"> Extension</w:t>
                        </w:r>
                        <w:r w:rsidR="00C42664" w:rsidRPr="00C42664">
                          <w:rPr>
                            <w:rStyle w:val="Hyperlink"/>
                            <w:rFonts w:cstheme="minorBidi"/>
                            <w:sz w:val="20"/>
                          </w:rPr>
                          <w:t xml:space="preserve"> </w:t>
                        </w:r>
                        <w:r w:rsidR="003A70F6" w:rsidRPr="00C42664">
                          <w:rPr>
                            <w:rStyle w:val="Hyperlink"/>
                            <w:rFonts w:cstheme="minorBidi"/>
                            <w:sz w:val="20"/>
                          </w:rPr>
                          <w:t>FAQ from May 5, 2023</w:t>
                        </w:r>
                      </w:hyperlink>
                      <w:r w:rsidR="003A70F6">
                        <w:rPr>
                          <w:sz w:val="20"/>
                        </w:rPr>
                        <w:t>)</w:t>
                      </w:r>
                      <w:r w:rsidRPr="00B06291">
                        <w:rPr>
                          <w:sz w:val="20"/>
                        </w:rPr>
                        <w:t>. USED has not indicated whether liquidation</w:t>
                      </w:r>
                      <w:r w:rsidR="00E77E79">
                        <w:rPr>
                          <w:sz w:val="20"/>
                        </w:rPr>
                        <w:t xml:space="preserve"> </w:t>
                      </w:r>
                      <w:r w:rsidRPr="00B06291">
                        <w:rPr>
                          <w:sz w:val="20"/>
                        </w:rPr>
                        <w:t>extensions w</w:t>
                      </w:r>
                      <w:r w:rsidR="002649C1">
                        <w:rPr>
                          <w:sz w:val="20"/>
                        </w:rPr>
                        <w:t xml:space="preserve">ill </w:t>
                      </w:r>
                      <w:r w:rsidRPr="00B06291">
                        <w:rPr>
                          <w:sz w:val="20"/>
                        </w:rPr>
                        <w:t>be available upon state request for ESSER III.</w:t>
                      </w:r>
                      <w:r w:rsidR="00E77E79">
                        <w:rPr>
                          <w:sz w:val="20"/>
                        </w:rPr>
                        <w:t xml:space="preserve"> </w:t>
                      </w:r>
                      <w:r w:rsidRPr="001F0102">
                        <w:rPr>
                          <w:b/>
                          <w:bCs/>
                          <w:sz w:val="20"/>
                        </w:rPr>
                        <w:t xml:space="preserve">DESE will inform districts as soon as it has been notified of any decision on liquidation extensions, as well as the procedures in place to make such </w:t>
                      </w:r>
                      <w:r w:rsidR="00C65128" w:rsidRPr="001F0102">
                        <w:rPr>
                          <w:b/>
                          <w:bCs/>
                          <w:sz w:val="20"/>
                        </w:rPr>
                        <w:t>r</w:t>
                      </w:r>
                      <w:r w:rsidRPr="001F0102">
                        <w:rPr>
                          <w:b/>
                          <w:bCs/>
                          <w:sz w:val="20"/>
                        </w:rPr>
                        <w:t>equest</w:t>
                      </w:r>
                      <w:r w:rsidR="00C65128" w:rsidRPr="001F0102">
                        <w:rPr>
                          <w:b/>
                          <w:bCs/>
                          <w:sz w:val="20"/>
                        </w:rPr>
                        <w:t>s</w:t>
                      </w:r>
                      <w:r w:rsidRPr="001F0102">
                        <w:rPr>
                          <w:b/>
                          <w:bCs/>
                          <w:sz w:val="20"/>
                        </w:rPr>
                        <w:t xml:space="preserve">. In the interim, ESSER III grantees should not plan on having a longer period to accept contract services and goods </w:t>
                      </w:r>
                      <w:r w:rsidR="00C65128" w:rsidRPr="001F0102">
                        <w:rPr>
                          <w:b/>
                          <w:bCs/>
                          <w:sz w:val="20"/>
                        </w:rPr>
                        <w:t xml:space="preserve">using these funds </w:t>
                      </w:r>
                      <w:r w:rsidRPr="001F0102">
                        <w:rPr>
                          <w:b/>
                          <w:bCs/>
                          <w:sz w:val="20"/>
                        </w:rPr>
                        <w:t>than is shown in the above chart</w:t>
                      </w:r>
                      <w:r w:rsidRPr="00B06291">
                        <w:rPr>
                          <w:sz w:val="20"/>
                        </w:rPr>
                        <w:t>.</w:t>
                      </w:r>
                    </w:p>
                  </w:txbxContent>
                </v:textbox>
                <w10:wrap anchorx="margin"/>
              </v:shape>
            </w:pict>
          </mc:Fallback>
        </mc:AlternateContent>
      </w:r>
    </w:p>
    <w:p w14:paraId="7A8F211A" w14:textId="7F6BF101" w:rsidR="00DA2F93" w:rsidRPr="00DA2F93" w:rsidRDefault="00DA2F93" w:rsidP="00DA2F93">
      <w:pPr>
        <w:rPr>
          <w:sz w:val="8"/>
          <w:szCs w:val="8"/>
        </w:rPr>
      </w:pPr>
    </w:p>
    <w:p w14:paraId="755B5F30" w14:textId="05E87051" w:rsidR="00DA2F93" w:rsidRPr="00DA2F93" w:rsidRDefault="00DA2F93" w:rsidP="00DA2F93">
      <w:pPr>
        <w:rPr>
          <w:sz w:val="8"/>
          <w:szCs w:val="8"/>
        </w:rPr>
      </w:pPr>
    </w:p>
    <w:p w14:paraId="6C0664DF" w14:textId="4C58AF8E" w:rsidR="00DA2F93" w:rsidRPr="00DA2F93" w:rsidRDefault="00DA2F93" w:rsidP="00DA2F93">
      <w:pPr>
        <w:rPr>
          <w:sz w:val="8"/>
          <w:szCs w:val="8"/>
        </w:rPr>
      </w:pPr>
    </w:p>
    <w:p w14:paraId="0153ADD6" w14:textId="024096A7" w:rsidR="00DA2F93" w:rsidRPr="00DA2F93" w:rsidRDefault="00DA2F93" w:rsidP="00DA2F93">
      <w:pPr>
        <w:rPr>
          <w:sz w:val="8"/>
          <w:szCs w:val="8"/>
        </w:rPr>
      </w:pPr>
    </w:p>
    <w:p w14:paraId="02E04915" w14:textId="71606362" w:rsidR="00DA2F93" w:rsidRPr="00DA2F93" w:rsidRDefault="00DA2F93" w:rsidP="00DA2F93">
      <w:pPr>
        <w:rPr>
          <w:sz w:val="8"/>
          <w:szCs w:val="8"/>
        </w:rPr>
      </w:pPr>
    </w:p>
    <w:p w14:paraId="19D1935F" w14:textId="180F6C1F" w:rsidR="00DA2F93" w:rsidRPr="00DA2F93" w:rsidRDefault="00DA2F93" w:rsidP="00DA2F93">
      <w:pPr>
        <w:rPr>
          <w:sz w:val="8"/>
          <w:szCs w:val="8"/>
        </w:rPr>
      </w:pPr>
    </w:p>
    <w:p w14:paraId="22B3951D" w14:textId="5E6C47AF" w:rsidR="00DA2F93" w:rsidRPr="00DA2F93" w:rsidRDefault="00DA2F93" w:rsidP="00DA2F93">
      <w:pPr>
        <w:rPr>
          <w:sz w:val="8"/>
          <w:szCs w:val="8"/>
        </w:rPr>
      </w:pPr>
    </w:p>
    <w:p w14:paraId="7B06EFB8" w14:textId="54275C4E" w:rsidR="00DA2F93" w:rsidRPr="00DA2F93" w:rsidRDefault="00DA2F93" w:rsidP="00DA2F93">
      <w:pPr>
        <w:rPr>
          <w:sz w:val="8"/>
          <w:szCs w:val="8"/>
        </w:rPr>
      </w:pPr>
    </w:p>
    <w:p w14:paraId="050CFCEC" w14:textId="5E4FA261" w:rsidR="00DA2F93" w:rsidRPr="00DA2F93" w:rsidRDefault="00DA2F93" w:rsidP="00DA2F93">
      <w:pPr>
        <w:rPr>
          <w:sz w:val="8"/>
          <w:szCs w:val="8"/>
        </w:rPr>
      </w:pPr>
    </w:p>
    <w:p w14:paraId="3015495E" w14:textId="3BAC64BB" w:rsidR="00DA2F93" w:rsidRPr="00DA2F93" w:rsidRDefault="00DA2F93" w:rsidP="00DA2F93">
      <w:pPr>
        <w:rPr>
          <w:sz w:val="8"/>
          <w:szCs w:val="8"/>
        </w:rPr>
      </w:pPr>
    </w:p>
    <w:p w14:paraId="5FA11BA5" w14:textId="0DACAF3F" w:rsidR="00DA2F93" w:rsidRDefault="00DA2F93" w:rsidP="00DA2F93">
      <w:pPr>
        <w:rPr>
          <w:sz w:val="8"/>
          <w:szCs w:val="8"/>
        </w:rPr>
      </w:pPr>
    </w:p>
    <w:p w14:paraId="5BAE34EB" w14:textId="61334E33" w:rsidR="00626589" w:rsidRPr="00626589" w:rsidRDefault="00EC3607" w:rsidP="00250D1D">
      <w:pPr>
        <w:tabs>
          <w:tab w:val="left" w:pos="2445"/>
          <w:tab w:val="left" w:pos="3045"/>
        </w:tabs>
        <w:rPr>
          <w:sz w:val="8"/>
          <w:szCs w:val="8"/>
        </w:rPr>
      </w:pPr>
      <w:r>
        <w:rPr>
          <w:sz w:val="8"/>
          <w:szCs w:val="8"/>
        </w:rPr>
        <w:tab/>
      </w:r>
      <w:r w:rsidR="00250D1D">
        <w:rPr>
          <w:sz w:val="8"/>
          <w:szCs w:val="8"/>
        </w:rPr>
        <w:tab/>
      </w:r>
    </w:p>
    <w:sectPr w:rsidR="00626589" w:rsidRPr="00626589" w:rsidSect="00C11BB5">
      <w:headerReference w:type="default" r:id="rId16"/>
      <w:footerReference w:type="default" r:id="rId17"/>
      <w:pgSz w:w="12240" w:h="15840"/>
      <w:pgMar w:top="432" w:right="720" w:bottom="432"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568B" w14:textId="77777777" w:rsidR="00E75C7B" w:rsidRDefault="00E75C7B" w:rsidP="002123C2">
      <w:pPr>
        <w:spacing w:after="0" w:line="240" w:lineRule="auto"/>
      </w:pPr>
      <w:r>
        <w:separator/>
      </w:r>
    </w:p>
  </w:endnote>
  <w:endnote w:type="continuationSeparator" w:id="0">
    <w:p w14:paraId="16AF7A6F" w14:textId="77777777" w:rsidR="00E75C7B" w:rsidRDefault="00E75C7B" w:rsidP="002123C2">
      <w:pPr>
        <w:spacing w:after="0" w:line="240" w:lineRule="auto"/>
      </w:pPr>
      <w:r>
        <w:continuationSeparator/>
      </w:r>
    </w:p>
  </w:endnote>
  <w:endnote w:type="continuationNotice" w:id="1">
    <w:p w14:paraId="3577B08C" w14:textId="77777777" w:rsidR="00E75C7B" w:rsidRDefault="00E75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C8F2" w14:textId="5EB06B24" w:rsidR="00C11BB5" w:rsidRDefault="001C5E67" w:rsidP="00C11BB5">
    <w:pPr>
      <w:pStyle w:val="Footer"/>
      <w:rPr>
        <w:sz w:val="20"/>
        <w:szCs w:val="20"/>
      </w:rPr>
    </w:pPr>
    <w:r w:rsidRPr="003F2ED6">
      <w:rPr>
        <w:sz w:val="20"/>
        <w:szCs w:val="20"/>
      </w:rPr>
      <w:t xml:space="preserve">Updated </w:t>
    </w:r>
    <w:r w:rsidR="00E77831">
      <w:rPr>
        <w:sz w:val="20"/>
        <w:szCs w:val="20"/>
      </w:rPr>
      <w:t xml:space="preserve">July </w:t>
    </w:r>
    <w:r w:rsidR="00D422C0">
      <w:rPr>
        <w:sz w:val="20"/>
        <w:szCs w:val="20"/>
      </w:rPr>
      <w:t>2023</w:t>
    </w:r>
    <w:r w:rsidR="00C11BB5">
      <w:rPr>
        <w:sz w:val="20"/>
        <w:szCs w:val="20"/>
      </w:rPr>
      <w:t xml:space="preserve"> </w:t>
    </w:r>
  </w:p>
  <w:p w14:paraId="2DB3BD92" w14:textId="0F2B90DF" w:rsidR="00C11BB5" w:rsidRDefault="00C11BB5" w:rsidP="00C11BB5">
    <w:pPr>
      <w:pStyle w:val="Footer"/>
      <w:rPr>
        <w:rFonts w:cstheme="minorHAnsi"/>
        <w:i/>
        <w:iCs/>
        <w:color w:val="595959" w:themeColor="text1" w:themeTint="A6"/>
        <w:sz w:val="18"/>
        <w:szCs w:val="18"/>
        <w:shd w:val="clear" w:color="auto" w:fill="FFFFFF"/>
      </w:rPr>
    </w:pPr>
    <w:r w:rsidRPr="004F508B">
      <w:rPr>
        <w:rFonts w:cstheme="minorHAnsi"/>
        <w:i/>
        <w:iCs/>
        <w:color w:val="595959" w:themeColor="text1" w:themeTint="A6"/>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35B57070" w14:textId="77777777" w:rsidR="00F87151" w:rsidRDefault="00F87151" w:rsidP="00C11BB5">
    <w:pPr>
      <w:pStyle w:val="Footer"/>
      <w:rPr>
        <w:rFonts w:cstheme="minorHAnsi"/>
        <w:i/>
        <w:iCs/>
        <w:color w:val="595959" w:themeColor="text1" w:themeTint="A6"/>
        <w:sz w:val="18"/>
        <w:szCs w:val="18"/>
        <w:shd w:val="clear" w:color="auto" w:fill="FFFFFF"/>
      </w:rPr>
    </w:pPr>
  </w:p>
  <w:p w14:paraId="15617C94" w14:textId="77777777" w:rsidR="00EC3607" w:rsidRDefault="00EC3607" w:rsidP="00C11BB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6984" w14:textId="77777777" w:rsidR="00E75C7B" w:rsidRDefault="00E75C7B" w:rsidP="002123C2">
      <w:pPr>
        <w:spacing w:after="0" w:line="240" w:lineRule="auto"/>
      </w:pPr>
      <w:r>
        <w:separator/>
      </w:r>
    </w:p>
  </w:footnote>
  <w:footnote w:type="continuationSeparator" w:id="0">
    <w:p w14:paraId="537C2D6E" w14:textId="77777777" w:rsidR="00E75C7B" w:rsidRDefault="00E75C7B" w:rsidP="002123C2">
      <w:pPr>
        <w:spacing w:after="0" w:line="240" w:lineRule="auto"/>
      </w:pPr>
      <w:r>
        <w:continuationSeparator/>
      </w:r>
    </w:p>
  </w:footnote>
  <w:footnote w:type="continuationNotice" w:id="1">
    <w:p w14:paraId="1D8B503D" w14:textId="77777777" w:rsidR="00E75C7B" w:rsidRDefault="00E75C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6759" w14:textId="20615869" w:rsidR="001C5E67" w:rsidRPr="003A0D3D" w:rsidRDefault="001C5E67" w:rsidP="002E041D">
    <w:pPr>
      <w:pStyle w:val="Heading1"/>
      <w:tabs>
        <w:tab w:val="left" w:pos="337"/>
        <w:tab w:val="center" w:pos="5112"/>
      </w:tabs>
      <w:spacing w:before="240" w:after="240"/>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37A"/>
    <w:multiLevelType w:val="hybridMultilevel"/>
    <w:tmpl w:val="ECAE9802"/>
    <w:lvl w:ilvl="0" w:tplc="0D04AE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C3F8B"/>
    <w:multiLevelType w:val="hybridMultilevel"/>
    <w:tmpl w:val="E354A9D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A0940"/>
    <w:multiLevelType w:val="hybridMultilevel"/>
    <w:tmpl w:val="55F8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63EFF"/>
    <w:multiLevelType w:val="hybridMultilevel"/>
    <w:tmpl w:val="F218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1E5BAF"/>
    <w:multiLevelType w:val="hybridMultilevel"/>
    <w:tmpl w:val="D9A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961E3"/>
    <w:multiLevelType w:val="multilevel"/>
    <w:tmpl w:val="285001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50E81"/>
    <w:multiLevelType w:val="hybridMultilevel"/>
    <w:tmpl w:val="151C3D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882BA6"/>
    <w:multiLevelType w:val="hybridMultilevel"/>
    <w:tmpl w:val="96F2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838E7"/>
    <w:multiLevelType w:val="hybridMultilevel"/>
    <w:tmpl w:val="6772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44A08"/>
    <w:multiLevelType w:val="hybridMultilevel"/>
    <w:tmpl w:val="9872B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F14874"/>
    <w:multiLevelType w:val="hybridMultilevel"/>
    <w:tmpl w:val="017A2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534173">
    <w:abstractNumId w:val="20"/>
  </w:num>
  <w:num w:numId="2" w16cid:durableId="208492480">
    <w:abstractNumId w:val="8"/>
  </w:num>
  <w:num w:numId="3" w16cid:durableId="956981626">
    <w:abstractNumId w:val="7"/>
  </w:num>
  <w:num w:numId="4" w16cid:durableId="2146458815">
    <w:abstractNumId w:val="19"/>
  </w:num>
  <w:num w:numId="5" w16cid:durableId="309291791">
    <w:abstractNumId w:val="10"/>
  </w:num>
  <w:num w:numId="6" w16cid:durableId="1151098497">
    <w:abstractNumId w:val="15"/>
  </w:num>
  <w:num w:numId="7" w16cid:durableId="1257252207">
    <w:abstractNumId w:val="17"/>
  </w:num>
  <w:num w:numId="8" w16cid:durableId="871302254">
    <w:abstractNumId w:val="16"/>
  </w:num>
  <w:num w:numId="9" w16cid:durableId="851721107">
    <w:abstractNumId w:val="9"/>
  </w:num>
  <w:num w:numId="10" w16cid:durableId="1496260921">
    <w:abstractNumId w:val="21"/>
  </w:num>
  <w:num w:numId="11" w16cid:durableId="1498959525">
    <w:abstractNumId w:val="22"/>
  </w:num>
  <w:num w:numId="12" w16cid:durableId="433597645">
    <w:abstractNumId w:val="28"/>
  </w:num>
  <w:num w:numId="13" w16cid:durableId="1242371270">
    <w:abstractNumId w:val="3"/>
  </w:num>
  <w:num w:numId="14" w16cid:durableId="1953901420">
    <w:abstractNumId w:val="6"/>
  </w:num>
  <w:num w:numId="15" w16cid:durableId="482355049">
    <w:abstractNumId w:val="33"/>
  </w:num>
  <w:num w:numId="16" w16cid:durableId="1252424770">
    <w:abstractNumId w:val="29"/>
  </w:num>
  <w:num w:numId="17" w16cid:durableId="1436287149">
    <w:abstractNumId w:val="11"/>
  </w:num>
  <w:num w:numId="18" w16cid:durableId="173225835">
    <w:abstractNumId w:val="26"/>
  </w:num>
  <w:num w:numId="19" w16cid:durableId="327637776">
    <w:abstractNumId w:val="18"/>
  </w:num>
  <w:num w:numId="20" w16cid:durableId="1192373966">
    <w:abstractNumId w:val="14"/>
  </w:num>
  <w:num w:numId="21" w16cid:durableId="1326200252">
    <w:abstractNumId w:val="1"/>
  </w:num>
  <w:num w:numId="22" w16cid:durableId="1680426363">
    <w:abstractNumId w:val="25"/>
  </w:num>
  <w:num w:numId="23" w16cid:durableId="1729570269">
    <w:abstractNumId w:val="30"/>
  </w:num>
  <w:num w:numId="24" w16cid:durableId="1207985901">
    <w:abstractNumId w:val="13"/>
  </w:num>
  <w:num w:numId="25" w16cid:durableId="424304048">
    <w:abstractNumId w:val="5"/>
  </w:num>
  <w:num w:numId="26" w16cid:durableId="1883864591">
    <w:abstractNumId w:val="23"/>
  </w:num>
  <w:num w:numId="27" w16cid:durableId="837421273">
    <w:abstractNumId w:val="0"/>
  </w:num>
  <w:num w:numId="28" w16cid:durableId="1958872218">
    <w:abstractNumId w:val="4"/>
  </w:num>
  <w:num w:numId="29" w16cid:durableId="1607538616">
    <w:abstractNumId w:val="12"/>
  </w:num>
  <w:num w:numId="30" w16cid:durableId="1287736016">
    <w:abstractNumId w:val="24"/>
  </w:num>
  <w:num w:numId="31" w16cid:durableId="1519539411">
    <w:abstractNumId w:val="2"/>
  </w:num>
  <w:num w:numId="32" w16cid:durableId="547380972">
    <w:abstractNumId w:val="27"/>
  </w:num>
  <w:num w:numId="33" w16cid:durableId="867565612">
    <w:abstractNumId w:val="32"/>
  </w:num>
  <w:num w:numId="34" w16cid:durableId="73204810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6B02"/>
    <w:rsid w:val="00006C87"/>
    <w:rsid w:val="00007051"/>
    <w:rsid w:val="00007BDE"/>
    <w:rsid w:val="000125F3"/>
    <w:rsid w:val="00020240"/>
    <w:rsid w:val="0002190C"/>
    <w:rsid w:val="00031CBA"/>
    <w:rsid w:val="00032390"/>
    <w:rsid w:val="00043D42"/>
    <w:rsid w:val="00043EC4"/>
    <w:rsid w:val="00044DDF"/>
    <w:rsid w:val="00050174"/>
    <w:rsid w:val="00056FFB"/>
    <w:rsid w:val="00072631"/>
    <w:rsid w:val="00075F0D"/>
    <w:rsid w:val="00076146"/>
    <w:rsid w:val="0007624F"/>
    <w:rsid w:val="0007729A"/>
    <w:rsid w:val="000808F3"/>
    <w:rsid w:val="00080EAF"/>
    <w:rsid w:val="0008207E"/>
    <w:rsid w:val="00084041"/>
    <w:rsid w:val="000852BB"/>
    <w:rsid w:val="00086F4E"/>
    <w:rsid w:val="000A1148"/>
    <w:rsid w:val="000A5D6C"/>
    <w:rsid w:val="000A6682"/>
    <w:rsid w:val="000A6A4C"/>
    <w:rsid w:val="000A7074"/>
    <w:rsid w:val="000A74D7"/>
    <w:rsid w:val="000B0E48"/>
    <w:rsid w:val="000B2729"/>
    <w:rsid w:val="000C7B80"/>
    <w:rsid w:val="000D13F0"/>
    <w:rsid w:val="000D1DAA"/>
    <w:rsid w:val="000D3FCB"/>
    <w:rsid w:val="000D4A11"/>
    <w:rsid w:val="000D4A78"/>
    <w:rsid w:val="000F1F0C"/>
    <w:rsid w:val="000F210C"/>
    <w:rsid w:val="000F6D88"/>
    <w:rsid w:val="00101194"/>
    <w:rsid w:val="0012247C"/>
    <w:rsid w:val="001257AF"/>
    <w:rsid w:val="00142DB2"/>
    <w:rsid w:val="00144928"/>
    <w:rsid w:val="00150EF0"/>
    <w:rsid w:val="001513A6"/>
    <w:rsid w:val="001574D3"/>
    <w:rsid w:val="00161728"/>
    <w:rsid w:val="00166240"/>
    <w:rsid w:val="0017337D"/>
    <w:rsid w:val="00174313"/>
    <w:rsid w:val="00174E70"/>
    <w:rsid w:val="00175467"/>
    <w:rsid w:val="0018561B"/>
    <w:rsid w:val="001860A8"/>
    <w:rsid w:val="00186E2D"/>
    <w:rsid w:val="001948A2"/>
    <w:rsid w:val="001A644A"/>
    <w:rsid w:val="001B111D"/>
    <w:rsid w:val="001B3DD1"/>
    <w:rsid w:val="001C244B"/>
    <w:rsid w:val="001C5770"/>
    <w:rsid w:val="001C5E67"/>
    <w:rsid w:val="001D1541"/>
    <w:rsid w:val="001D1B02"/>
    <w:rsid w:val="001E3706"/>
    <w:rsid w:val="001E4A3B"/>
    <w:rsid w:val="001E7E32"/>
    <w:rsid w:val="001F0102"/>
    <w:rsid w:val="001F0C9A"/>
    <w:rsid w:val="001F17C5"/>
    <w:rsid w:val="001F3EC7"/>
    <w:rsid w:val="001F4AB0"/>
    <w:rsid w:val="00200C89"/>
    <w:rsid w:val="00200FAC"/>
    <w:rsid w:val="002011FB"/>
    <w:rsid w:val="0020151F"/>
    <w:rsid w:val="00205019"/>
    <w:rsid w:val="00205D29"/>
    <w:rsid w:val="0020643D"/>
    <w:rsid w:val="002123C2"/>
    <w:rsid w:val="00215CC8"/>
    <w:rsid w:val="002250D0"/>
    <w:rsid w:val="002251D1"/>
    <w:rsid w:val="002259FC"/>
    <w:rsid w:val="00231D56"/>
    <w:rsid w:val="00231DDF"/>
    <w:rsid w:val="00241BC4"/>
    <w:rsid w:val="002433E6"/>
    <w:rsid w:val="0024610A"/>
    <w:rsid w:val="00247627"/>
    <w:rsid w:val="00250D1D"/>
    <w:rsid w:val="002636CA"/>
    <w:rsid w:val="002649C1"/>
    <w:rsid w:val="00267B36"/>
    <w:rsid w:val="00270A58"/>
    <w:rsid w:val="00271597"/>
    <w:rsid w:val="00276ED0"/>
    <w:rsid w:val="0028219B"/>
    <w:rsid w:val="0028324E"/>
    <w:rsid w:val="00287841"/>
    <w:rsid w:val="00294558"/>
    <w:rsid w:val="002A0D06"/>
    <w:rsid w:val="002A172A"/>
    <w:rsid w:val="002B6D77"/>
    <w:rsid w:val="002D39D2"/>
    <w:rsid w:val="002E041D"/>
    <w:rsid w:val="002E281A"/>
    <w:rsid w:val="002E6CE8"/>
    <w:rsid w:val="002F2AC5"/>
    <w:rsid w:val="00301353"/>
    <w:rsid w:val="003049E7"/>
    <w:rsid w:val="003102F2"/>
    <w:rsid w:val="003135AE"/>
    <w:rsid w:val="0031459A"/>
    <w:rsid w:val="00315D22"/>
    <w:rsid w:val="00316ABE"/>
    <w:rsid w:val="003178E1"/>
    <w:rsid w:val="00323DF4"/>
    <w:rsid w:val="003250D3"/>
    <w:rsid w:val="0032528C"/>
    <w:rsid w:val="0033200D"/>
    <w:rsid w:val="00333555"/>
    <w:rsid w:val="0034241C"/>
    <w:rsid w:val="00342FD0"/>
    <w:rsid w:val="003461A7"/>
    <w:rsid w:val="003467DB"/>
    <w:rsid w:val="003511BC"/>
    <w:rsid w:val="00351B0E"/>
    <w:rsid w:val="003557D1"/>
    <w:rsid w:val="00356B3D"/>
    <w:rsid w:val="00356C00"/>
    <w:rsid w:val="0036578E"/>
    <w:rsid w:val="003660A3"/>
    <w:rsid w:val="00382625"/>
    <w:rsid w:val="00384F2A"/>
    <w:rsid w:val="00385323"/>
    <w:rsid w:val="0039486A"/>
    <w:rsid w:val="00396306"/>
    <w:rsid w:val="00396483"/>
    <w:rsid w:val="00397260"/>
    <w:rsid w:val="003A0D3D"/>
    <w:rsid w:val="003A2428"/>
    <w:rsid w:val="003A41C2"/>
    <w:rsid w:val="003A4FB0"/>
    <w:rsid w:val="003A6BCA"/>
    <w:rsid w:val="003A70F6"/>
    <w:rsid w:val="003A7938"/>
    <w:rsid w:val="003B2F2B"/>
    <w:rsid w:val="003B6176"/>
    <w:rsid w:val="003D14FF"/>
    <w:rsid w:val="003D31F2"/>
    <w:rsid w:val="003D6B39"/>
    <w:rsid w:val="003E3B67"/>
    <w:rsid w:val="003E5954"/>
    <w:rsid w:val="003F1138"/>
    <w:rsid w:val="003F2ED6"/>
    <w:rsid w:val="003F55F1"/>
    <w:rsid w:val="003F66FA"/>
    <w:rsid w:val="003F6B6A"/>
    <w:rsid w:val="0040068D"/>
    <w:rsid w:val="00401390"/>
    <w:rsid w:val="004019BB"/>
    <w:rsid w:val="00406A42"/>
    <w:rsid w:val="004075DC"/>
    <w:rsid w:val="00407BE0"/>
    <w:rsid w:val="00411DA1"/>
    <w:rsid w:val="0042016C"/>
    <w:rsid w:val="0042286C"/>
    <w:rsid w:val="0042470F"/>
    <w:rsid w:val="004252DA"/>
    <w:rsid w:val="004305CE"/>
    <w:rsid w:val="00435850"/>
    <w:rsid w:val="0043728A"/>
    <w:rsid w:val="00441FF5"/>
    <w:rsid w:val="004441A5"/>
    <w:rsid w:val="00444807"/>
    <w:rsid w:val="00445915"/>
    <w:rsid w:val="004471FF"/>
    <w:rsid w:val="00450FA0"/>
    <w:rsid w:val="00451061"/>
    <w:rsid w:val="00451B2E"/>
    <w:rsid w:val="00453C71"/>
    <w:rsid w:val="00454167"/>
    <w:rsid w:val="00471139"/>
    <w:rsid w:val="0047173A"/>
    <w:rsid w:val="0047230E"/>
    <w:rsid w:val="004727F3"/>
    <w:rsid w:val="00477D32"/>
    <w:rsid w:val="00480284"/>
    <w:rsid w:val="00482610"/>
    <w:rsid w:val="00485676"/>
    <w:rsid w:val="004976EC"/>
    <w:rsid w:val="004A1D7B"/>
    <w:rsid w:val="004A3319"/>
    <w:rsid w:val="004A4AB3"/>
    <w:rsid w:val="004B5EBE"/>
    <w:rsid w:val="004B6498"/>
    <w:rsid w:val="004B76DA"/>
    <w:rsid w:val="004C3A7C"/>
    <w:rsid w:val="004C7ED5"/>
    <w:rsid w:val="004E0E81"/>
    <w:rsid w:val="004E1065"/>
    <w:rsid w:val="004E4502"/>
    <w:rsid w:val="004F29A0"/>
    <w:rsid w:val="004F508B"/>
    <w:rsid w:val="005007D0"/>
    <w:rsid w:val="00504AE3"/>
    <w:rsid w:val="00510D00"/>
    <w:rsid w:val="00511FA9"/>
    <w:rsid w:val="005143F1"/>
    <w:rsid w:val="0051567A"/>
    <w:rsid w:val="005206E9"/>
    <w:rsid w:val="00530568"/>
    <w:rsid w:val="00532791"/>
    <w:rsid w:val="00533551"/>
    <w:rsid w:val="00537142"/>
    <w:rsid w:val="00544235"/>
    <w:rsid w:val="00546B72"/>
    <w:rsid w:val="00547FDF"/>
    <w:rsid w:val="00551669"/>
    <w:rsid w:val="00554BAB"/>
    <w:rsid w:val="00555745"/>
    <w:rsid w:val="00564973"/>
    <w:rsid w:val="00570588"/>
    <w:rsid w:val="0057615A"/>
    <w:rsid w:val="00577430"/>
    <w:rsid w:val="0058441D"/>
    <w:rsid w:val="005857BC"/>
    <w:rsid w:val="005863A1"/>
    <w:rsid w:val="00591745"/>
    <w:rsid w:val="00592B55"/>
    <w:rsid w:val="005A35E7"/>
    <w:rsid w:val="005C1B32"/>
    <w:rsid w:val="005C23CD"/>
    <w:rsid w:val="005C3979"/>
    <w:rsid w:val="005C6C1D"/>
    <w:rsid w:val="005C7CC9"/>
    <w:rsid w:val="005C7D9C"/>
    <w:rsid w:val="005D29B4"/>
    <w:rsid w:val="005D31FE"/>
    <w:rsid w:val="005D56AD"/>
    <w:rsid w:val="005E0B1D"/>
    <w:rsid w:val="005E3150"/>
    <w:rsid w:val="005E53B3"/>
    <w:rsid w:val="005F0C09"/>
    <w:rsid w:val="005F4C92"/>
    <w:rsid w:val="00601532"/>
    <w:rsid w:val="00604A74"/>
    <w:rsid w:val="00621434"/>
    <w:rsid w:val="00623E03"/>
    <w:rsid w:val="00624057"/>
    <w:rsid w:val="00626589"/>
    <w:rsid w:val="00631AA7"/>
    <w:rsid w:val="0063603F"/>
    <w:rsid w:val="00643D1F"/>
    <w:rsid w:val="00661D36"/>
    <w:rsid w:val="00667570"/>
    <w:rsid w:val="00675306"/>
    <w:rsid w:val="006753CC"/>
    <w:rsid w:val="006819E3"/>
    <w:rsid w:val="0068601C"/>
    <w:rsid w:val="006A4E02"/>
    <w:rsid w:val="006B3AD3"/>
    <w:rsid w:val="006B4D2B"/>
    <w:rsid w:val="006B6BDE"/>
    <w:rsid w:val="006C09C0"/>
    <w:rsid w:val="006C259C"/>
    <w:rsid w:val="006C720B"/>
    <w:rsid w:val="006D612B"/>
    <w:rsid w:val="006E0B92"/>
    <w:rsid w:val="006E13B5"/>
    <w:rsid w:val="006E1B91"/>
    <w:rsid w:val="006E3B8C"/>
    <w:rsid w:val="006E781A"/>
    <w:rsid w:val="006F2BB5"/>
    <w:rsid w:val="006F3514"/>
    <w:rsid w:val="007025F1"/>
    <w:rsid w:val="00704FE4"/>
    <w:rsid w:val="007131B9"/>
    <w:rsid w:val="00733320"/>
    <w:rsid w:val="007338F6"/>
    <w:rsid w:val="00735A72"/>
    <w:rsid w:val="00743F65"/>
    <w:rsid w:val="00744CE8"/>
    <w:rsid w:val="007470EB"/>
    <w:rsid w:val="00747AF9"/>
    <w:rsid w:val="00765F27"/>
    <w:rsid w:val="00774CBD"/>
    <w:rsid w:val="00774EB2"/>
    <w:rsid w:val="00777B2C"/>
    <w:rsid w:val="00781674"/>
    <w:rsid w:val="00783E7A"/>
    <w:rsid w:val="00784E18"/>
    <w:rsid w:val="00790254"/>
    <w:rsid w:val="00794478"/>
    <w:rsid w:val="007944D2"/>
    <w:rsid w:val="00794E04"/>
    <w:rsid w:val="00795560"/>
    <w:rsid w:val="007A3DBD"/>
    <w:rsid w:val="007A5AAC"/>
    <w:rsid w:val="007B2E02"/>
    <w:rsid w:val="007B48A1"/>
    <w:rsid w:val="007C4A03"/>
    <w:rsid w:val="007C559C"/>
    <w:rsid w:val="007D0C87"/>
    <w:rsid w:val="007D27B1"/>
    <w:rsid w:val="007E638A"/>
    <w:rsid w:val="007F4984"/>
    <w:rsid w:val="00806391"/>
    <w:rsid w:val="00807836"/>
    <w:rsid w:val="00811F57"/>
    <w:rsid w:val="008135CE"/>
    <w:rsid w:val="00816521"/>
    <w:rsid w:val="008201D0"/>
    <w:rsid w:val="00827131"/>
    <w:rsid w:val="00833F0F"/>
    <w:rsid w:val="00844745"/>
    <w:rsid w:val="00845120"/>
    <w:rsid w:val="008475A9"/>
    <w:rsid w:val="00851EF2"/>
    <w:rsid w:val="008530BF"/>
    <w:rsid w:val="008632D0"/>
    <w:rsid w:val="00863A8A"/>
    <w:rsid w:val="00870464"/>
    <w:rsid w:val="00871205"/>
    <w:rsid w:val="00872559"/>
    <w:rsid w:val="0087528C"/>
    <w:rsid w:val="00892A31"/>
    <w:rsid w:val="00895D14"/>
    <w:rsid w:val="00897F49"/>
    <w:rsid w:val="008A197C"/>
    <w:rsid w:val="008A316B"/>
    <w:rsid w:val="008A468A"/>
    <w:rsid w:val="008A4FB9"/>
    <w:rsid w:val="008A7E47"/>
    <w:rsid w:val="008B4DEC"/>
    <w:rsid w:val="008B6503"/>
    <w:rsid w:val="008C0B1C"/>
    <w:rsid w:val="008C0CF9"/>
    <w:rsid w:val="008C5978"/>
    <w:rsid w:val="008D1003"/>
    <w:rsid w:val="008D22FF"/>
    <w:rsid w:val="008D5EF6"/>
    <w:rsid w:val="008D6D24"/>
    <w:rsid w:val="008D6D53"/>
    <w:rsid w:val="008D7359"/>
    <w:rsid w:val="008E0075"/>
    <w:rsid w:val="008E02A4"/>
    <w:rsid w:val="008E05E6"/>
    <w:rsid w:val="008E0674"/>
    <w:rsid w:val="008E3B0C"/>
    <w:rsid w:val="008F162F"/>
    <w:rsid w:val="008F6628"/>
    <w:rsid w:val="0090075A"/>
    <w:rsid w:val="00900869"/>
    <w:rsid w:val="00903340"/>
    <w:rsid w:val="00907F9D"/>
    <w:rsid w:val="00910ACA"/>
    <w:rsid w:val="009150A2"/>
    <w:rsid w:val="0092051A"/>
    <w:rsid w:val="00930259"/>
    <w:rsid w:val="0093452A"/>
    <w:rsid w:val="009363EF"/>
    <w:rsid w:val="00940535"/>
    <w:rsid w:val="009421C4"/>
    <w:rsid w:val="009436F2"/>
    <w:rsid w:val="009441EB"/>
    <w:rsid w:val="00960296"/>
    <w:rsid w:val="00965002"/>
    <w:rsid w:val="00966D4C"/>
    <w:rsid w:val="00971A94"/>
    <w:rsid w:val="00972D90"/>
    <w:rsid w:val="0097401B"/>
    <w:rsid w:val="0097445C"/>
    <w:rsid w:val="00980A61"/>
    <w:rsid w:val="00980E0F"/>
    <w:rsid w:val="00982E50"/>
    <w:rsid w:val="00987386"/>
    <w:rsid w:val="0099059B"/>
    <w:rsid w:val="0099300D"/>
    <w:rsid w:val="0099481F"/>
    <w:rsid w:val="0099504F"/>
    <w:rsid w:val="0099548B"/>
    <w:rsid w:val="009A0CB7"/>
    <w:rsid w:val="009B741F"/>
    <w:rsid w:val="009C3A2C"/>
    <w:rsid w:val="009C4F3A"/>
    <w:rsid w:val="009D072A"/>
    <w:rsid w:val="009D100F"/>
    <w:rsid w:val="009D2D48"/>
    <w:rsid w:val="009D5F80"/>
    <w:rsid w:val="009D7A8A"/>
    <w:rsid w:val="009E493C"/>
    <w:rsid w:val="009F29B9"/>
    <w:rsid w:val="009F4B90"/>
    <w:rsid w:val="009F512A"/>
    <w:rsid w:val="00A01977"/>
    <w:rsid w:val="00A13898"/>
    <w:rsid w:val="00A14255"/>
    <w:rsid w:val="00A16A10"/>
    <w:rsid w:val="00A16F26"/>
    <w:rsid w:val="00A225A7"/>
    <w:rsid w:val="00A25C25"/>
    <w:rsid w:val="00A26B8A"/>
    <w:rsid w:val="00A26FCC"/>
    <w:rsid w:val="00A30D9E"/>
    <w:rsid w:val="00A362B4"/>
    <w:rsid w:val="00A366EB"/>
    <w:rsid w:val="00A374EE"/>
    <w:rsid w:val="00A4263C"/>
    <w:rsid w:val="00A44FFF"/>
    <w:rsid w:val="00A50D93"/>
    <w:rsid w:val="00A51EDC"/>
    <w:rsid w:val="00A64CCF"/>
    <w:rsid w:val="00A71FB2"/>
    <w:rsid w:val="00A729A1"/>
    <w:rsid w:val="00A759BC"/>
    <w:rsid w:val="00A86795"/>
    <w:rsid w:val="00A92D46"/>
    <w:rsid w:val="00A94E43"/>
    <w:rsid w:val="00AA395D"/>
    <w:rsid w:val="00AA45EF"/>
    <w:rsid w:val="00AA5B01"/>
    <w:rsid w:val="00AB05E3"/>
    <w:rsid w:val="00AC17AA"/>
    <w:rsid w:val="00AD1C20"/>
    <w:rsid w:val="00AD5CDE"/>
    <w:rsid w:val="00AD5EB7"/>
    <w:rsid w:val="00AE57C8"/>
    <w:rsid w:val="00AF04BF"/>
    <w:rsid w:val="00AF11A7"/>
    <w:rsid w:val="00AF2909"/>
    <w:rsid w:val="00B00277"/>
    <w:rsid w:val="00B040F8"/>
    <w:rsid w:val="00B058E8"/>
    <w:rsid w:val="00B06291"/>
    <w:rsid w:val="00B12A87"/>
    <w:rsid w:val="00B13EB9"/>
    <w:rsid w:val="00B15728"/>
    <w:rsid w:val="00B16149"/>
    <w:rsid w:val="00B2153A"/>
    <w:rsid w:val="00B230DE"/>
    <w:rsid w:val="00B25672"/>
    <w:rsid w:val="00B37D26"/>
    <w:rsid w:val="00B40191"/>
    <w:rsid w:val="00B40647"/>
    <w:rsid w:val="00B4332D"/>
    <w:rsid w:val="00B4519C"/>
    <w:rsid w:val="00B5042F"/>
    <w:rsid w:val="00B5196C"/>
    <w:rsid w:val="00B554F9"/>
    <w:rsid w:val="00B570C5"/>
    <w:rsid w:val="00B61902"/>
    <w:rsid w:val="00B663FC"/>
    <w:rsid w:val="00B717E5"/>
    <w:rsid w:val="00B73B7E"/>
    <w:rsid w:val="00B73CEB"/>
    <w:rsid w:val="00B75880"/>
    <w:rsid w:val="00B7702D"/>
    <w:rsid w:val="00B77C97"/>
    <w:rsid w:val="00B80279"/>
    <w:rsid w:val="00B80368"/>
    <w:rsid w:val="00B84425"/>
    <w:rsid w:val="00B90880"/>
    <w:rsid w:val="00B90E45"/>
    <w:rsid w:val="00B945C5"/>
    <w:rsid w:val="00B96B60"/>
    <w:rsid w:val="00BA0D5F"/>
    <w:rsid w:val="00BA4A9C"/>
    <w:rsid w:val="00BA5EA3"/>
    <w:rsid w:val="00BB2195"/>
    <w:rsid w:val="00BB21A0"/>
    <w:rsid w:val="00BB5C1C"/>
    <w:rsid w:val="00BC54D4"/>
    <w:rsid w:val="00BC58CE"/>
    <w:rsid w:val="00BD0357"/>
    <w:rsid w:val="00BD0978"/>
    <w:rsid w:val="00BD1D95"/>
    <w:rsid w:val="00BD3E3F"/>
    <w:rsid w:val="00BD6FD3"/>
    <w:rsid w:val="00BE26C7"/>
    <w:rsid w:val="00BE39F3"/>
    <w:rsid w:val="00BF2AFB"/>
    <w:rsid w:val="00BF4166"/>
    <w:rsid w:val="00C02FD1"/>
    <w:rsid w:val="00C11075"/>
    <w:rsid w:val="00C117FB"/>
    <w:rsid w:val="00C11BB5"/>
    <w:rsid w:val="00C13B0C"/>
    <w:rsid w:val="00C16780"/>
    <w:rsid w:val="00C2154C"/>
    <w:rsid w:val="00C26AE4"/>
    <w:rsid w:val="00C304D8"/>
    <w:rsid w:val="00C31011"/>
    <w:rsid w:val="00C31CB1"/>
    <w:rsid w:val="00C33526"/>
    <w:rsid w:val="00C37157"/>
    <w:rsid w:val="00C37F74"/>
    <w:rsid w:val="00C40A2C"/>
    <w:rsid w:val="00C42664"/>
    <w:rsid w:val="00C504C3"/>
    <w:rsid w:val="00C56E6F"/>
    <w:rsid w:val="00C63C99"/>
    <w:rsid w:val="00C64A67"/>
    <w:rsid w:val="00C65128"/>
    <w:rsid w:val="00C672AE"/>
    <w:rsid w:val="00C70FA3"/>
    <w:rsid w:val="00C71A3D"/>
    <w:rsid w:val="00C80650"/>
    <w:rsid w:val="00C80D4D"/>
    <w:rsid w:val="00C83AE6"/>
    <w:rsid w:val="00C85DEB"/>
    <w:rsid w:val="00C91EAE"/>
    <w:rsid w:val="00C944A9"/>
    <w:rsid w:val="00C94931"/>
    <w:rsid w:val="00C94BDC"/>
    <w:rsid w:val="00CA1899"/>
    <w:rsid w:val="00CA3513"/>
    <w:rsid w:val="00CA4D14"/>
    <w:rsid w:val="00CB2B87"/>
    <w:rsid w:val="00CC2FEB"/>
    <w:rsid w:val="00CC4ED9"/>
    <w:rsid w:val="00CC71BF"/>
    <w:rsid w:val="00CD049D"/>
    <w:rsid w:val="00CD094E"/>
    <w:rsid w:val="00CD216B"/>
    <w:rsid w:val="00CD7C16"/>
    <w:rsid w:val="00CE132A"/>
    <w:rsid w:val="00CE405C"/>
    <w:rsid w:val="00CE5737"/>
    <w:rsid w:val="00CE6144"/>
    <w:rsid w:val="00CF04B0"/>
    <w:rsid w:val="00CF176A"/>
    <w:rsid w:val="00CF2E63"/>
    <w:rsid w:val="00CF48CE"/>
    <w:rsid w:val="00CF4C60"/>
    <w:rsid w:val="00CF52C3"/>
    <w:rsid w:val="00CF5678"/>
    <w:rsid w:val="00D061D5"/>
    <w:rsid w:val="00D0630D"/>
    <w:rsid w:val="00D071E5"/>
    <w:rsid w:val="00D07C11"/>
    <w:rsid w:val="00D130A8"/>
    <w:rsid w:val="00D15E2E"/>
    <w:rsid w:val="00D20433"/>
    <w:rsid w:val="00D20E6F"/>
    <w:rsid w:val="00D21B0D"/>
    <w:rsid w:val="00D22302"/>
    <w:rsid w:val="00D279FB"/>
    <w:rsid w:val="00D34A6D"/>
    <w:rsid w:val="00D422C0"/>
    <w:rsid w:val="00D44A9D"/>
    <w:rsid w:val="00D54287"/>
    <w:rsid w:val="00D659A6"/>
    <w:rsid w:val="00D81055"/>
    <w:rsid w:val="00D84428"/>
    <w:rsid w:val="00D8646A"/>
    <w:rsid w:val="00D86719"/>
    <w:rsid w:val="00D91C6F"/>
    <w:rsid w:val="00D92727"/>
    <w:rsid w:val="00DA2F93"/>
    <w:rsid w:val="00DA4E55"/>
    <w:rsid w:val="00DA670D"/>
    <w:rsid w:val="00DB4504"/>
    <w:rsid w:val="00DB4B83"/>
    <w:rsid w:val="00DB72D3"/>
    <w:rsid w:val="00DC22A3"/>
    <w:rsid w:val="00DC63FB"/>
    <w:rsid w:val="00DD1CB5"/>
    <w:rsid w:val="00DD5E81"/>
    <w:rsid w:val="00DD7467"/>
    <w:rsid w:val="00DE012F"/>
    <w:rsid w:val="00DE100D"/>
    <w:rsid w:val="00DE2279"/>
    <w:rsid w:val="00DE35E2"/>
    <w:rsid w:val="00DE70CE"/>
    <w:rsid w:val="00DF2329"/>
    <w:rsid w:val="00DF4F96"/>
    <w:rsid w:val="00DF551B"/>
    <w:rsid w:val="00DF6BA8"/>
    <w:rsid w:val="00DF7968"/>
    <w:rsid w:val="00E02476"/>
    <w:rsid w:val="00E07534"/>
    <w:rsid w:val="00E07938"/>
    <w:rsid w:val="00E10B31"/>
    <w:rsid w:val="00E21719"/>
    <w:rsid w:val="00E250E1"/>
    <w:rsid w:val="00E26698"/>
    <w:rsid w:val="00E266F1"/>
    <w:rsid w:val="00E31856"/>
    <w:rsid w:val="00E4096A"/>
    <w:rsid w:val="00E41C66"/>
    <w:rsid w:val="00E42D5B"/>
    <w:rsid w:val="00E44686"/>
    <w:rsid w:val="00E47503"/>
    <w:rsid w:val="00E50D3D"/>
    <w:rsid w:val="00E56D36"/>
    <w:rsid w:val="00E57D8B"/>
    <w:rsid w:val="00E6438C"/>
    <w:rsid w:val="00E64A49"/>
    <w:rsid w:val="00E6581A"/>
    <w:rsid w:val="00E66CCA"/>
    <w:rsid w:val="00E703ED"/>
    <w:rsid w:val="00E70C1D"/>
    <w:rsid w:val="00E7306A"/>
    <w:rsid w:val="00E75C7B"/>
    <w:rsid w:val="00E768BF"/>
    <w:rsid w:val="00E77831"/>
    <w:rsid w:val="00E77E79"/>
    <w:rsid w:val="00E902AA"/>
    <w:rsid w:val="00E96267"/>
    <w:rsid w:val="00EB3A99"/>
    <w:rsid w:val="00EC25E8"/>
    <w:rsid w:val="00EC2EAA"/>
    <w:rsid w:val="00EC342F"/>
    <w:rsid w:val="00EC3607"/>
    <w:rsid w:val="00EC66E2"/>
    <w:rsid w:val="00EC74F2"/>
    <w:rsid w:val="00EC74FA"/>
    <w:rsid w:val="00EC7982"/>
    <w:rsid w:val="00EC7F66"/>
    <w:rsid w:val="00ED00FB"/>
    <w:rsid w:val="00ED57EC"/>
    <w:rsid w:val="00EE3C17"/>
    <w:rsid w:val="00EE739F"/>
    <w:rsid w:val="00EF11BB"/>
    <w:rsid w:val="00EF56DE"/>
    <w:rsid w:val="00EF5AA2"/>
    <w:rsid w:val="00EF72F8"/>
    <w:rsid w:val="00F0141D"/>
    <w:rsid w:val="00F02FD1"/>
    <w:rsid w:val="00F05108"/>
    <w:rsid w:val="00F114D6"/>
    <w:rsid w:val="00F1496E"/>
    <w:rsid w:val="00F1570A"/>
    <w:rsid w:val="00F25BE8"/>
    <w:rsid w:val="00F2601C"/>
    <w:rsid w:val="00F267B2"/>
    <w:rsid w:val="00F2754F"/>
    <w:rsid w:val="00F311BB"/>
    <w:rsid w:val="00F31FB8"/>
    <w:rsid w:val="00F416E7"/>
    <w:rsid w:val="00F53E9D"/>
    <w:rsid w:val="00F63D26"/>
    <w:rsid w:val="00F712EF"/>
    <w:rsid w:val="00F71E79"/>
    <w:rsid w:val="00F7421B"/>
    <w:rsid w:val="00F82D1B"/>
    <w:rsid w:val="00F85C1D"/>
    <w:rsid w:val="00F87151"/>
    <w:rsid w:val="00F904E8"/>
    <w:rsid w:val="00F918AC"/>
    <w:rsid w:val="00F94B4A"/>
    <w:rsid w:val="00F95394"/>
    <w:rsid w:val="00F95AB8"/>
    <w:rsid w:val="00F977E3"/>
    <w:rsid w:val="00FA0217"/>
    <w:rsid w:val="00FA2E43"/>
    <w:rsid w:val="00FA303D"/>
    <w:rsid w:val="00FA34A8"/>
    <w:rsid w:val="00FA5399"/>
    <w:rsid w:val="00FA6B90"/>
    <w:rsid w:val="00FB0D62"/>
    <w:rsid w:val="00FB4EF2"/>
    <w:rsid w:val="00FB7F2C"/>
    <w:rsid w:val="00FD2069"/>
    <w:rsid w:val="00FE0371"/>
    <w:rsid w:val="00FE094C"/>
    <w:rsid w:val="00FE0AE5"/>
    <w:rsid w:val="00FE1A9F"/>
    <w:rsid w:val="00FE3747"/>
    <w:rsid w:val="00FE7B57"/>
    <w:rsid w:val="00FF2538"/>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09C1F"/>
  <w15:docId w15:val="{9D44D52A-8E30-4096-92BA-5F99EC1A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C8"/>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rsid w:val="00E703ED"/>
    <w:rPr>
      <w:sz w:val="20"/>
      <w:szCs w:val="20"/>
    </w:rPr>
  </w:style>
  <w:style w:type="character" w:styleId="FootnoteReference">
    <w:name w:val="footnote reference"/>
    <w:uiPriority w:val="99"/>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C304D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B90E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043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91132">
      <w:bodyDiv w:val="1"/>
      <w:marLeft w:val="0"/>
      <w:marRight w:val="0"/>
      <w:marTop w:val="0"/>
      <w:marBottom w:val="0"/>
      <w:divBdr>
        <w:top w:val="none" w:sz="0" w:space="0" w:color="auto"/>
        <w:left w:val="none" w:sz="0" w:space="0" w:color="auto"/>
        <w:bottom w:val="none" w:sz="0" w:space="0" w:color="auto"/>
        <w:right w:val="none" w:sz="0" w:space="0" w:color="auto"/>
      </w:divBdr>
    </w:div>
    <w:div w:id="993682951">
      <w:bodyDiv w:val="1"/>
      <w:marLeft w:val="0"/>
      <w:marRight w:val="0"/>
      <w:marTop w:val="0"/>
      <w:marBottom w:val="0"/>
      <w:divBdr>
        <w:top w:val="none" w:sz="0" w:space="0" w:color="auto"/>
        <w:left w:val="none" w:sz="0" w:space="0" w:color="auto"/>
        <w:bottom w:val="none" w:sz="0" w:space="0" w:color="auto"/>
        <w:right w:val="none" w:sz="0" w:space="0" w:color="auto"/>
      </w:divBdr>
    </w:div>
    <w:div w:id="1250851307">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845391902">
      <w:bodyDiv w:val="1"/>
      <w:marLeft w:val="0"/>
      <w:marRight w:val="0"/>
      <w:marTop w:val="0"/>
      <w:marBottom w:val="0"/>
      <w:divBdr>
        <w:top w:val="none" w:sz="0" w:space="0" w:color="auto"/>
        <w:left w:val="none" w:sz="0" w:space="0" w:color="auto"/>
        <w:bottom w:val="none" w:sz="0" w:space="0" w:color="auto"/>
        <w:right w:val="none" w:sz="0" w:space="0" w:color="auto"/>
      </w:divBdr>
    </w:div>
    <w:div w:id="1867912211">
      <w:bodyDiv w:val="1"/>
      <w:marLeft w:val="0"/>
      <w:marRight w:val="0"/>
      <w:marTop w:val="0"/>
      <w:marBottom w:val="0"/>
      <w:divBdr>
        <w:top w:val="none" w:sz="0" w:space="0" w:color="auto"/>
        <w:left w:val="none" w:sz="0" w:space="0" w:color="auto"/>
        <w:bottom w:val="none" w:sz="0" w:space="0" w:color="auto"/>
        <w:right w:val="none" w:sz="0" w:space="0" w:color="auto"/>
      </w:divBdr>
    </w:div>
    <w:div w:id="1991398847">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ese.ed.gov/files/2023/05/Updated-Technical-FAQs-for-Liquidation-Extensions-5.5.23.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ese.ed.gov/files/2023/05/Updated-Technical-FAQs-for-Liquidation-Extensions-5.5.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DESE-231-72029</_dlc_DocId>
    <_dlc_DocIdUrl xmlns="733efe1c-5bbe-4968-87dc-d400e65c879f">
      <Url>https://sharepoint.doemass.org/ese/webteam/cps/_layouts/DocIdRedir.aspx?ID=DESE-231-72029</Url>
      <Description>DESE-231-72029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7442160-AC46-4652-90C6-9FEE0491CA2A}">
  <ds:schemaRefs>
    <ds:schemaRef ds:uri="http://schemas.microsoft.com/sharepoint/events"/>
  </ds:schemaRefs>
</ds:datastoreItem>
</file>

<file path=customXml/itemProps3.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4.xml><?xml version="1.0" encoding="utf-8"?>
<ds:datastoreItem xmlns:ds="http://schemas.openxmlformats.org/officeDocument/2006/customXml" ds:itemID="{16B85E79-21D1-494B-8C61-D791D4315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45C273-60C5-45EB-85AB-801C3E8A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Federal Grants Obligation and Liquidation Quick Reference Guide</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Grants Obligation and Liquidation Quick Reference Guide</dc:title>
  <dc:subject/>
  <dc:creator>DESE</dc:creator>
  <cp:lastModifiedBy>Zou, Dong (EOE)</cp:lastModifiedBy>
  <cp:revision>9</cp:revision>
  <cp:lastPrinted>2019-06-05T20:03:00Z</cp:lastPrinted>
  <dcterms:created xsi:type="dcterms:W3CDTF">2023-07-28T17:38:00Z</dcterms:created>
  <dcterms:modified xsi:type="dcterms:W3CDTF">2023-07-28T18:57:00Z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2023 12:00AM</vt:lpwstr>
  </property>
</Properties>
</file>