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CB483" w14:textId="77777777" w:rsidR="00995572" w:rsidRPr="00212A3D" w:rsidRDefault="000E7A63" w:rsidP="00240884">
      <w:pPr>
        <w:spacing w:after="0" w:line="240" w:lineRule="auto"/>
        <w:rPr>
          <w:b/>
          <w:sz w:val="28"/>
          <w:szCs w:val="28"/>
        </w:rPr>
      </w:pPr>
      <w:r>
        <w:rPr>
          <w:b/>
          <w:sz w:val="28"/>
          <w:szCs w:val="28"/>
        </w:rPr>
        <w:t>Understanding the 9% c</w:t>
      </w:r>
      <w:r w:rsidR="00995572" w:rsidRPr="00212A3D">
        <w:rPr>
          <w:b/>
          <w:sz w:val="28"/>
          <w:szCs w:val="28"/>
        </w:rPr>
        <w:t xml:space="preserve">ontribution to Massachusetts Teachers Retirement System </w:t>
      </w:r>
      <w:r w:rsidR="00995572" w:rsidRPr="00EA7BA8">
        <w:rPr>
          <w:b/>
          <w:sz w:val="28"/>
          <w:szCs w:val="28"/>
        </w:rPr>
        <w:t xml:space="preserve">from </w:t>
      </w:r>
      <w:r w:rsidR="00642A4C" w:rsidRPr="00EA7BA8">
        <w:rPr>
          <w:b/>
          <w:sz w:val="28"/>
          <w:szCs w:val="28"/>
        </w:rPr>
        <w:t xml:space="preserve">recipients’ </w:t>
      </w:r>
      <w:r w:rsidR="00240884" w:rsidRPr="00EA7BA8">
        <w:rPr>
          <w:b/>
          <w:sz w:val="28"/>
          <w:szCs w:val="28"/>
        </w:rPr>
        <w:t xml:space="preserve">federal </w:t>
      </w:r>
      <w:r w:rsidR="00995572" w:rsidRPr="00EA7BA8">
        <w:rPr>
          <w:b/>
          <w:sz w:val="28"/>
          <w:szCs w:val="28"/>
        </w:rPr>
        <w:t>grant</w:t>
      </w:r>
      <w:r w:rsidR="00642A4C" w:rsidRPr="00EA7BA8">
        <w:rPr>
          <w:b/>
          <w:sz w:val="28"/>
          <w:szCs w:val="28"/>
        </w:rPr>
        <w:t xml:space="preserve"> funds</w:t>
      </w:r>
    </w:p>
    <w:p w14:paraId="4B95C820" w14:textId="77777777" w:rsidR="00995572" w:rsidRPr="00B337A5" w:rsidRDefault="0017625F" w:rsidP="00995572">
      <w:pPr>
        <w:rPr>
          <w:sz w:val="6"/>
          <w:szCs w:val="6"/>
        </w:rPr>
      </w:pPr>
      <w:r w:rsidRPr="00396FC3">
        <w:rPr>
          <w:b/>
          <w:noProof/>
        </w:rPr>
        <mc:AlternateContent>
          <mc:Choice Requires="wps">
            <w:drawing>
              <wp:anchor distT="45720" distB="45720" distL="114300" distR="114300" simplePos="0" relativeHeight="251663360" behindDoc="0" locked="0" layoutInCell="1" allowOverlap="1" wp14:anchorId="4C20380B" wp14:editId="0B12DE95">
                <wp:simplePos x="0" y="0"/>
                <wp:positionH relativeFrom="column">
                  <wp:posOffset>-233680</wp:posOffset>
                </wp:positionH>
                <wp:positionV relativeFrom="paragraph">
                  <wp:posOffset>113665</wp:posOffset>
                </wp:positionV>
                <wp:extent cx="3609975" cy="6738620"/>
                <wp:effectExtent l="38100" t="38100" r="123825" b="119380"/>
                <wp:wrapSquare wrapText="bothSides"/>
                <wp:docPr id="217" name="Text Box 2" descr="By statute (M.G.L. c. 40, §5D), the Commissioner of the Department of Revenue establishes procedures for recovering pension costs (including future liabilities) for city, town, county, and district employees paid through federal grant monies. This charge is in addition to individual contributions made by each member of the retirement system. The state similarly pays a portion of pension costs for teachers and state employees, in addition to their mandatory contributions, as part of the annual state budget.&#10;These funds are then transferred to the respective federally funded employees’ pension reserve fund. For member teachers and certain other educational staff employed in schools and districts, these funds are collected by the Massachusetts Teachers Retirement System (MTRS).  &#10;In March of 1990, the DOR released guidelines, still in effect today, setting the surcharge rate for federal-grant-funded salaries at 9%. The DOR’s guidelines also expressly require the Department of Elementary and Secondary Education (DESE) to deduct 80% of the surcharge amount prior to releasing grant funds to districts, which is remitted to MTRS directly by DESE.&#10;Example (simplified for illustration):  Teacher A’s salary for the year is budgeted at $80,000 and paid fully by Title I grant funds. Teacher A’s individual contribution to MTRS is 11% of her salary, and so a total of $8,800 comes from her paycheck annually. Because the position is funded by a federal grant, an additional amount equaling 9% of the $80,000 (or $7,200) of the district’s Title I grant goes to MTRS. Note that DESE sends 80% of this amount ($5,760) to MTRS directly. The district would then pay 20% ($1,440) just before the grant closes, assuming no adjustments to this teacher’s budgeted salary over the course of the grant.&#10;" title="Basis for the 9% MTRS &quot;surcharg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6738620"/>
                        </a:xfrm>
                        <a:prstGeom prst="roundRect">
                          <a:avLst/>
                        </a:prstGeom>
                        <a:solidFill>
                          <a:schemeClr val="accent1">
                            <a:lumMod val="20000"/>
                            <a:lumOff val="8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0388DDB" w14:textId="77777777" w:rsidR="00995572" w:rsidRPr="002E3A77" w:rsidRDefault="00995572" w:rsidP="000E7A63">
                            <w:pPr>
                              <w:spacing w:after="120"/>
                              <w:rPr>
                                <w:sz w:val="20"/>
                                <w:szCs w:val="20"/>
                              </w:rPr>
                            </w:pPr>
                            <w:r w:rsidRPr="002E3A77">
                              <w:rPr>
                                <w:b/>
                                <w:color w:val="1F497D" w:themeColor="text2"/>
                                <w:sz w:val="20"/>
                                <w:szCs w:val="20"/>
                              </w:rPr>
                              <w:t>Basis for the 9% MTRS “surcharge.”</w:t>
                            </w:r>
                            <w:r w:rsidR="009C3911">
                              <w:rPr>
                                <w:sz w:val="20"/>
                                <w:szCs w:val="20"/>
                              </w:rPr>
                              <w:t xml:space="preserve"> </w:t>
                            </w:r>
                            <w:r w:rsidRPr="002E3A77">
                              <w:rPr>
                                <w:sz w:val="20"/>
                                <w:szCs w:val="20"/>
                              </w:rPr>
                              <w:t>By statute (M.G.L. c. 40, §5D), the Commissioner of the Department of Revenue establishes procedures for recovering pension costs (including future liabilities) for city, town, county</w:t>
                            </w:r>
                            <w:r w:rsidR="007564CB" w:rsidRPr="002E3A77">
                              <w:rPr>
                                <w:sz w:val="20"/>
                                <w:szCs w:val="20"/>
                              </w:rPr>
                              <w:t>,</w:t>
                            </w:r>
                            <w:r w:rsidRPr="002E3A77">
                              <w:rPr>
                                <w:sz w:val="20"/>
                                <w:szCs w:val="20"/>
                              </w:rPr>
                              <w:t xml:space="preserve"> and district employees paid through </w:t>
                            </w:r>
                            <w:r w:rsidRPr="002E3A77">
                              <w:rPr>
                                <w:b/>
                                <w:i/>
                                <w:sz w:val="20"/>
                                <w:szCs w:val="20"/>
                              </w:rPr>
                              <w:t>federal</w:t>
                            </w:r>
                            <w:r w:rsidRPr="002E3A77">
                              <w:rPr>
                                <w:sz w:val="20"/>
                                <w:szCs w:val="20"/>
                              </w:rPr>
                              <w:t xml:space="preserve"> grant monies. This charge is </w:t>
                            </w:r>
                            <w:r w:rsidRPr="002E3A77">
                              <w:rPr>
                                <w:sz w:val="20"/>
                                <w:szCs w:val="20"/>
                                <w:u w:val="single"/>
                              </w:rPr>
                              <w:t>in addition to</w:t>
                            </w:r>
                            <w:r w:rsidR="00F255DC">
                              <w:rPr>
                                <w:sz w:val="20"/>
                                <w:szCs w:val="20"/>
                              </w:rPr>
                              <w:t xml:space="preserve"> </w:t>
                            </w:r>
                            <w:r w:rsidRPr="002E3A77">
                              <w:rPr>
                                <w:sz w:val="20"/>
                                <w:szCs w:val="20"/>
                              </w:rPr>
                              <w:t>individual contributions made by each member of the retirement system.</w:t>
                            </w:r>
                            <w:r w:rsidR="009C3911">
                              <w:rPr>
                                <w:sz w:val="20"/>
                                <w:szCs w:val="20"/>
                              </w:rPr>
                              <w:t xml:space="preserve"> </w:t>
                            </w:r>
                            <w:r w:rsidR="004B6B5F" w:rsidRPr="002E3A77">
                              <w:rPr>
                                <w:sz w:val="20"/>
                                <w:szCs w:val="20"/>
                              </w:rPr>
                              <w:t>The</w:t>
                            </w:r>
                            <w:r w:rsidRPr="002E3A77">
                              <w:rPr>
                                <w:sz w:val="20"/>
                                <w:szCs w:val="20"/>
                              </w:rPr>
                              <w:t xml:space="preserve"> state similarly pays a portion of pension costs for teachers and state employees, in addition to their mandatory contributions, as part of the annual state budget.</w:t>
                            </w:r>
                          </w:p>
                          <w:p w14:paraId="44A6FD33" w14:textId="77777777" w:rsidR="00995572" w:rsidRPr="002E3A77" w:rsidRDefault="00995572" w:rsidP="000E7A63">
                            <w:pPr>
                              <w:spacing w:after="120"/>
                              <w:rPr>
                                <w:sz w:val="20"/>
                                <w:szCs w:val="20"/>
                              </w:rPr>
                            </w:pPr>
                            <w:r w:rsidRPr="002E3A77">
                              <w:rPr>
                                <w:sz w:val="20"/>
                                <w:szCs w:val="20"/>
                              </w:rPr>
                              <w:t>These funds are then transferred to the respective federally funded emplo</w:t>
                            </w:r>
                            <w:r w:rsidR="00F255DC">
                              <w:rPr>
                                <w:sz w:val="20"/>
                                <w:szCs w:val="20"/>
                              </w:rPr>
                              <w:t xml:space="preserve">yees’ pension reserve fund. For </w:t>
                            </w:r>
                            <w:r w:rsidR="000E7A63">
                              <w:rPr>
                                <w:sz w:val="20"/>
                                <w:szCs w:val="20"/>
                              </w:rPr>
                              <w:t xml:space="preserve">member </w:t>
                            </w:r>
                            <w:r w:rsidRPr="002E3A77">
                              <w:rPr>
                                <w:sz w:val="20"/>
                                <w:szCs w:val="20"/>
                              </w:rPr>
                              <w:t xml:space="preserve">teachers and certain other educational staff employed in schools and districts, these funds are collected by the Massachusetts Teachers Retirement System (MTRS).  </w:t>
                            </w:r>
                          </w:p>
                          <w:p w14:paraId="554C6412" w14:textId="77777777" w:rsidR="00995572" w:rsidRPr="002E3A77" w:rsidRDefault="00995572" w:rsidP="000E7A63">
                            <w:pPr>
                              <w:spacing w:after="120"/>
                              <w:rPr>
                                <w:sz w:val="20"/>
                                <w:szCs w:val="20"/>
                              </w:rPr>
                            </w:pPr>
                            <w:r w:rsidRPr="002E3A77">
                              <w:rPr>
                                <w:sz w:val="20"/>
                                <w:szCs w:val="20"/>
                              </w:rPr>
                              <w:t xml:space="preserve">In March of 1990, the DOR released guidelines, still in effect today, </w:t>
                            </w:r>
                            <w:r w:rsidR="000E7A63">
                              <w:rPr>
                                <w:sz w:val="20"/>
                                <w:szCs w:val="20"/>
                              </w:rPr>
                              <w:t>sett</w:t>
                            </w:r>
                            <w:r w:rsidRPr="002E3A77">
                              <w:rPr>
                                <w:sz w:val="20"/>
                                <w:szCs w:val="20"/>
                              </w:rPr>
                              <w:t>ing the surcharge rate for</w:t>
                            </w:r>
                            <w:r w:rsidR="00F255DC">
                              <w:rPr>
                                <w:sz w:val="20"/>
                                <w:szCs w:val="20"/>
                              </w:rPr>
                              <w:t xml:space="preserve"> federal-</w:t>
                            </w:r>
                            <w:r w:rsidR="00F255DC" w:rsidRPr="002E3A77">
                              <w:rPr>
                                <w:sz w:val="20"/>
                                <w:szCs w:val="20"/>
                              </w:rPr>
                              <w:t>grant</w:t>
                            </w:r>
                            <w:r w:rsidR="00F255DC">
                              <w:rPr>
                                <w:sz w:val="20"/>
                                <w:szCs w:val="20"/>
                              </w:rPr>
                              <w:t>-funded</w:t>
                            </w:r>
                            <w:r w:rsidR="00F255DC" w:rsidRPr="002E3A77">
                              <w:rPr>
                                <w:sz w:val="20"/>
                                <w:szCs w:val="20"/>
                              </w:rPr>
                              <w:t xml:space="preserve"> salaries </w:t>
                            </w:r>
                            <w:r w:rsidRPr="002E3A77">
                              <w:rPr>
                                <w:sz w:val="20"/>
                                <w:szCs w:val="20"/>
                              </w:rPr>
                              <w:t xml:space="preserve">at 9%. The DOR’s guidelines also expressly require </w:t>
                            </w:r>
                            <w:r w:rsidR="007F3C20" w:rsidRPr="002E3A77">
                              <w:rPr>
                                <w:sz w:val="20"/>
                                <w:szCs w:val="20"/>
                              </w:rPr>
                              <w:t>the Department of Elementary and Secondary Education (</w:t>
                            </w:r>
                            <w:r w:rsidRPr="002E3A77">
                              <w:rPr>
                                <w:sz w:val="20"/>
                                <w:szCs w:val="20"/>
                              </w:rPr>
                              <w:t>DESE</w:t>
                            </w:r>
                            <w:r w:rsidR="007F3C20" w:rsidRPr="002E3A77">
                              <w:rPr>
                                <w:sz w:val="20"/>
                                <w:szCs w:val="20"/>
                              </w:rPr>
                              <w:t>)</w:t>
                            </w:r>
                            <w:r w:rsidRPr="002E3A77">
                              <w:rPr>
                                <w:sz w:val="20"/>
                                <w:szCs w:val="20"/>
                              </w:rPr>
                              <w:t xml:space="preserve"> to deduct 80% of the surcharge amount prior to releasing grant funds to districts, which is remitted to MTRS directly by DESE.</w:t>
                            </w:r>
                          </w:p>
                          <w:p w14:paraId="6EA7D882" w14:textId="77777777" w:rsidR="005D05BB" w:rsidRPr="005D05BB" w:rsidRDefault="005D05BB" w:rsidP="000E7A63">
                            <w:pPr>
                              <w:spacing w:after="120"/>
                              <w:rPr>
                                <w:i/>
                                <w:iCs/>
                                <w:color w:val="1F497D"/>
                                <w:sz w:val="20"/>
                                <w:szCs w:val="20"/>
                              </w:rPr>
                            </w:pPr>
                            <w:r w:rsidRPr="005D05BB">
                              <w:rPr>
                                <w:i/>
                                <w:iCs/>
                                <w:color w:val="1F497D"/>
                                <w:sz w:val="20"/>
                                <w:szCs w:val="20"/>
                              </w:rPr>
                              <w:t xml:space="preserve">Example (simplified for illustration):  Teacher A’s salary </w:t>
                            </w:r>
                            <w:r w:rsidR="00F255DC">
                              <w:rPr>
                                <w:i/>
                                <w:iCs/>
                                <w:color w:val="1F497D"/>
                                <w:sz w:val="20"/>
                                <w:szCs w:val="20"/>
                              </w:rPr>
                              <w:t xml:space="preserve">for the year </w:t>
                            </w:r>
                            <w:r w:rsidRPr="005D05BB">
                              <w:rPr>
                                <w:i/>
                                <w:iCs/>
                                <w:color w:val="1F497D"/>
                                <w:sz w:val="20"/>
                                <w:szCs w:val="20"/>
                              </w:rPr>
                              <w:t xml:space="preserve">is budgeted at $80,000 and paid </w:t>
                            </w:r>
                            <w:r w:rsidR="00F255DC">
                              <w:rPr>
                                <w:i/>
                                <w:iCs/>
                                <w:color w:val="1F497D"/>
                                <w:sz w:val="20"/>
                                <w:szCs w:val="20"/>
                              </w:rPr>
                              <w:t xml:space="preserve">fully </w:t>
                            </w:r>
                            <w:r w:rsidRPr="005D05BB">
                              <w:rPr>
                                <w:i/>
                                <w:iCs/>
                                <w:color w:val="1F497D"/>
                                <w:sz w:val="20"/>
                                <w:szCs w:val="20"/>
                              </w:rPr>
                              <w:t>by Title I grant funds. Teacher A’s individual contribution to MTRS is 11%</w:t>
                            </w:r>
                            <w:r>
                              <w:rPr>
                                <w:i/>
                                <w:iCs/>
                                <w:color w:val="1F497D"/>
                                <w:sz w:val="20"/>
                                <w:szCs w:val="20"/>
                              </w:rPr>
                              <w:t xml:space="preserve"> of her </w:t>
                            </w:r>
                            <w:r w:rsidRPr="005D05BB">
                              <w:rPr>
                                <w:i/>
                                <w:iCs/>
                                <w:color w:val="1F497D"/>
                                <w:sz w:val="20"/>
                                <w:szCs w:val="20"/>
                              </w:rPr>
                              <w:t xml:space="preserve">salary, and so a total of $8,800 comes from her paycheck </w:t>
                            </w:r>
                            <w:r w:rsidR="00F255DC">
                              <w:rPr>
                                <w:i/>
                                <w:iCs/>
                                <w:color w:val="1F497D"/>
                                <w:sz w:val="20"/>
                                <w:szCs w:val="20"/>
                              </w:rPr>
                              <w:t>annually.</w:t>
                            </w:r>
                            <w:r w:rsidRPr="005D05BB">
                              <w:rPr>
                                <w:i/>
                                <w:iCs/>
                                <w:color w:val="1F497D"/>
                                <w:sz w:val="20"/>
                                <w:szCs w:val="20"/>
                              </w:rPr>
                              <w:t xml:space="preserve"> Because the position is funded by a federal grant, an additional amount equaling 9% of the $80,000 (or $7,200) of the district’s Title I grant</w:t>
                            </w:r>
                            <w:r w:rsidR="002E3A77">
                              <w:rPr>
                                <w:i/>
                                <w:iCs/>
                                <w:color w:val="1F497D"/>
                                <w:sz w:val="20"/>
                                <w:szCs w:val="20"/>
                              </w:rPr>
                              <w:t xml:space="preserve"> goes to MTRS</w:t>
                            </w:r>
                            <w:r w:rsidRPr="005D05BB">
                              <w:rPr>
                                <w:i/>
                                <w:iCs/>
                                <w:color w:val="1F497D"/>
                                <w:sz w:val="20"/>
                                <w:szCs w:val="20"/>
                              </w:rPr>
                              <w:t>. Note that DESE sends 80% of this amount ($5,760) to MTRS directly</w:t>
                            </w:r>
                            <w:r w:rsidR="002E3A77">
                              <w:rPr>
                                <w:i/>
                                <w:iCs/>
                                <w:color w:val="1F497D"/>
                                <w:sz w:val="20"/>
                                <w:szCs w:val="20"/>
                              </w:rPr>
                              <w:t>.</w:t>
                            </w:r>
                            <w:r w:rsidR="009C3911">
                              <w:rPr>
                                <w:i/>
                                <w:iCs/>
                                <w:color w:val="1F497D"/>
                                <w:sz w:val="20"/>
                                <w:szCs w:val="20"/>
                              </w:rPr>
                              <w:t xml:space="preserve"> </w:t>
                            </w:r>
                            <w:r w:rsidR="002E3A77">
                              <w:rPr>
                                <w:i/>
                                <w:iCs/>
                                <w:color w:val="1F497D"/>
                                <w:sz w:val="20"/>
                                <w:szCs w:val="20"/>
                              </w:rPr>
                              <w:t>T</w:t>
                            </w:r>
                            <w:r w:rsidRPr="005D05BB">
                              <w:rPr>
                                <w:i/>
                                <w:iCs/>
                                <w:color w:val="1F497D"/>
                                <w:sz w:val="20"/>
                                <w:szCs w:val="20"/>
                              </w:rPr>
                              <w:t xml:space="preserve">he district would </w:t>
                            </w:r>
                            <w:r w:rsidR="002E3A77">
                              <w:rPr>
                                <w:i/>
                                <w:iCs/>
                                <w:color w:val="1F497D"/>
                                <w:sz w:val="20"/>
                                <w:szCs w:val="20"/>
                              </w:rPr>
                              <w:t xml:space="preserve">then </w:t>
                            </w:r>
                            <w:r w:rsidRPr="005D05BB">
                              <w:rPr>
                                <w:i/>
                                <w:iCs/>
                                <w:color w:val="1F497D"/>
                                <w:sz w:val="20"/>
                                <w:szCs w:val="20"/>
                              </w:rPr>
                              <w:t xml:space="preserve">pay 20% ($1,440) </w:t>
                            </w:r>
                            <w:r w:rsidR="0017625F">
                              <w:rPr>
                                <w:i/>
                                <w:iCs/>
                                <w:color w:val="1F497D"/>
                                <w:sz w:val="20"/>
                                <w:szCs w:val="20"/>
                              </w:rPr>
                              <w:t xml:space="preserve">just </w:t>
                            </w:r>
                            <w:r w:rsidRPr="005D05BB">
                              <w:rPr>
                                <w:i/>
                                <w:iCs/>
                                <w:color w:val="1F497D"/>
                                <w:sz w:val="20"/>
                                <w:szCs w:val="20"/>
                              </w:rPr>
                              <w:t>before the grant closes, assuming no adjustments to this teacher’s budgeted salary over the course of the grant.</w:t>
                            </w:r>
                          </w:p>
                          <w:p w14:paraId="3829E87D" w14:textId="77777777" w:rsidR="00995572" w:rsidRDefault="00995572" w:rsidP="009955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C20380B" id="Text Box 2" o:spid="_x0000_s1026" alt="Title: Basis for the 9% MTRS &quot;surcharge&quot; - Description: By statute (M.G.L. c. 40, §5D), the Commissioner of the Department of Revenue establishes procedures for recovering pension costs (including future liabilities) for city, town, county, and district employees paid through federal grant monies. This charge is in addition to individual contributions made by each member of the retirement system. The state similarly pays a portion of pension costs for teachers and state employees, in addition to their mandatory contributions, as part of the annual state budget.&#10;These funds are then transferred to the respective federally funded employees’ pension reserve fund. For member teachers and certain other educational staff employed in schools and districts, these funds are collected by the Massachusetts Teachers Retirement System (MTRS).  &#10;In March of 1990, the DOR released guidelines, still in effect today, setting the surcharge rate for federal-grant-funded salaries at 9%. The DOR’s guidelines also expressly require the Department of Elementary and Secondary Education (DESE) to deduct 80% of the surcharge amount prior to releasing grant funds to districts, which is remitted to MTRS directly by DESE.&#10;Example (simplified for illustration):  Teacher A’s salary for the year is budgeted at $80,000 and paid fully by Title I grant funds. Teacher A’s individual contribution to MTRS is 11% of her salary, and so a total of $8,800 comes from her paycheck annually. Because the position is funded by a federal grant, an additional amount equaling 9% of the $80,000 (or $7,200) of the district’s Title I grant goes to MTRS. Note that DESE sends 80% of this amount ($5,760) to MTRS directly. The district would then pay 20% ($1,440) just before the grant closes, assuming no adjustments to this teacher’s budgeted salary over the course of the grant.&#10;" style="position:absolute;margin-left:-18.4pt;margin-top:8.95pt;width:284.25pt;height:53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" fillcolor="#dbe5f1 [660]">
                <v:stroke joinstyle="miter"/>
                <v:shadow on="t" color="black" opacity="26214f" origin="-.5,-.5" offset=".74836mm,.74836mm"/>
                <v:textbox>
                  <w:txbxContent>
                    <w:p w14:paraId="70388DDB" w14:textId="77777777" w:rsidR="00995572" w:rsidRPr="002E3A77" w:rsidRDefault="00995572" w:rsidP="000E7A63">
                      <w:pPr>
                        <w:spacing w:after="120"/>
                        <w:rPr>
                          <w:sz w:val="20"/>
                          <w:szCs w:val="20"/>
                        </w:rPr>
                      </w:pPr>
                      <w:r w:rsidRPr="002E3A77">
                        <w:rPr>
                          <w:b/>
                          <w:color w:val="1F497D" w:themeColor="text2"/>
                          <w:sz w:val="20"/>
                          <w:szCs w:val="20"/>
                        </w:rPr>
                        <w:t>Basis for the 9% MTRS “surcharge.”</w:t>
                      </w:r>
                      <w:r w:rsidR="009C3911">
                        <w:rPr>
                          <w:sz w:val="20"/>
                          <w:szCs w:val="20"/>
                        </w:rPr>
                        <w:t xml:space="preserve"> </w:t>
                      </w:r>
                      <w:r w:rsidRPr="002E3A77">
                        <w:rPr>
                          <w:sz w:val="20"/>
                          <w:szCs w:val="20"/>
                        </w:rPr>
                        <w:t>By statute (M.G.L. c. 40, §5D), the Commissioner of the Department of Revenue establishes procedures for recovering pension costs (including future liabilities) for city, town, county</w:t>
                      </w:r>
                      <w:r w:rsidR="007564CB" w:rsidRPr="002E3A77">
                        <w:rPr>
                          <w:sz w:val="20"/>
                          <w:szCs w:val="20"/>
                        </w:rPr>
                        <w:t>,</w:t>
                      </w:r>
                      <w:r w:rsidRPr="002E3A77">
                        <w:rPr>
                          <w:sz w:val="20"/>
                          <w:szCs w:val="20"/>
                        </w:rPr>
                        <w:t xml:space="preserve"> and district employees paid through </w:t>
                      </w:r>
                      <w:r w:rsidRPr="002E3A77">
                        <w:rPr>
                          <w:b/>
                          <w:i/>
                          <w:sz w:val="20"/>
                          <w:szCs w:val="20"/>
                        </w:rPr>
                        <w:t>federal</w:t>
                      </w:r>
                      <w:r w:rsidRPr="002E3A77">
                        <w:rPr>
                          <w:sz w:val="20"/>
                          <w:szCs w:val="20"/>
                        </w:rPr>
                        <w:t xml:space="preserve"> grant monies. This charge is </w:t>
                      </w:r>
                      <w:r w:rsidRPr="002E3A77">
                        <w:rPr>
                          <w:sz w:val="20"/>
                          <w:szCs w:val="20"/>
                          <w:u w:val="single"/>
                        </w:rPr>
                        <w:t>in addition to</w:t>
                      </w:r>
                      <w:r w:rsidR="00F255DC">
                        <w:rPr>
                          <w:sz w:val="20"/>
                          <w:szCs w:val="20"/>
                        </w:rPr>
                        <w:t xml:space="preserve"> </w:t>
                      </w:r>
                      <w:r w:rsidRPr="002E3A77">
                        <w:rPr>
                          <w:sz w:val="20"/>
                          <w:szCs w:val="20"/>
                        </w:rPr>
                        <w:t>individual contributions made by each member of the retirement system.</w:t>
                      </w:r>
                      <w:r w:rsidR="009C3911">
                        <w:rPr>
                          <w:sz w:val="20"/>
                          <w:szCs w:val="20"/>
                        </w:rPr>
                        <w:t xml:space="preserve"> </w:t>
                      </w:r>
                      <w:r w:rsidR="004B6B5F" w:rsidRPr="002E3A77">
                        <w:rPr>
                          <w:sz w:val="20"/>
                          <w:szCs w:val="20"/>
                        </w:rPr>
                        <w:t>The</w:t>
                      </w:r>
                      <w:r w:rsidRPr="002E3A77">
                        <w:rPr>
                          <w:sz w:val="20"/>
                          <w:szCs w:val="20"/>
                        </w:rPr>
                        <w:t xml:space="preserve"> state similarly pays a portion of pension costs for teachers and state employees, in addition to their mandatory contributions, as part of the annual state budget.</w:t>
                      </w:r>
                    </w:p>
                    <w:p w14:paraId="44A6FD33" w14:textId="77777777" w:rsidR="00995572" w:rsidRPr="002E3A77" w:rsidRDefault="00995572" w:rsidP="000E7A63">
                      <w:pPr>
                        <w:spacing w:after="120"/>
                        <w:rPr>
                          <w:sz w:val="20"/>
                          <w:szCs w:val="20"/>
                        </w:rPr>
                      </w:pPr>
                      <w:r w:rsidRPr="002E3A77">
                        <w:rPr>
                          <w:sz w:val="20"/>
                          <w:szCs w:val="20"/>
                        </w:rPr>
                        <w:t>These funds are then transferred to the respective federally funded emplo</w:t>
                      </w:r>
                      <w:r w:rsidR="00F255DC">
                        <w:rPr>
                          <w:sz w:val="20"/>
                          <w:szCs w:val="20"/>
                        </w:rPr>
                        <w:t xml:space="preserve">yees’ pension reserve fund. For </w:t>
                      </w:r>
                      <w:r w:rsidR="000E7A63">
                        <w:rPr>
                          <w:sz w:val="20"/>
                          <w:szCs w:val="20"/>
                        </w:rPr>
                        <w:t xml:space="preserve">member </w:t>
                      </w:r>
                      <w:r w:rsidRPr="002E3A77">
                        <w:rPr>
                          <w:sz w:val="20"/>
                          <w:szCs w:val="20"/>
                        </w:rPr>
                        <w:t xml:space="preserve">teachers and certain other educational staff employed in schools and districts, these funds are collected by the Massachusetts Teachers Retirement System (MTRS).  </w:t>
                      </w:r>
                    </w:p>
                    <w:p w14:paraId="554C6412" w14:textId="77777777" w:rsidR="00995572" w:rsidRPr="002E3A77" w:rsidRDefault="00995572" w:rsidP="000E7A63">
                      <w:pPr>
                        <w:spacing w:after="120"/>
                        <w:rPr>
                          <w:sz w:val="20"/>
                          <w:szCs w:val="20"/>
                        </w:rPr>
                      </w:pPr>
                      <w:r w:rsidRPr="002E3A77">
                        <w:rPr>
                          <w:sz w:val="20"/>
                          <w:szCs w:val="20"/>
                        </w:rPr>
                        <w:t xml:space="preserve">In March of 1990, the DOR released guidelines, still in effect today, </w:t>
                      </w:r>
                      <w:r w:rsidR="000E7A63">
                        <w:rPr>
                          <w:sz w:val="20"/>
                          <w:szCs w:val="20"/>
                        </w:rPr>
                        <w:t>sett</w:t>
                      </w:r>
                      <w:r w:rsidRPr="002E3A77">
                        <w:rPr>
                          <w:sz w:val="20"/>
                          <w:szCs w:val="20"/>
                        </w:rPr>
                        <w:t>ing the surcharge rate for</w:t>
                      </w:r>
                      <w:r w:rsidR="00F255DC">
                        <w:rPr>
                          <w:sz w:val="20"/>
                          <w:szCs w:val="20"/>
                        </w:rPr>
                        <w:t xml:space="preserve"> federal-</w:t>
                      </w:r>
                      <w:r w:rsidR="00F255DC" w:rsidRPr="002E3A77">
                        <w:rPr>
                          <w:sz w:val="20"/>
                          <w:szCs w:val="20"/>
                        </w:rPr>
                        <w:t>grant</w:t>
                      </w:r>
                      <w:r w:rsidR="00F255DC">
                        <w:rPr>
                          <w:sz w:val="20"/>
                          <w:szCs w:val="20"/>
                        </w:rPr>
                        <w:t>-funded</w:t>
                      </w:r>
                      <w:r w:rsidR="00F255DC" w:rsidRPr="002E3A77">
                        <w:rPr>
                          <w:sz w:val="20"/>
                          <w:szCs w:val="20"/>
                        </w:rPr>
                        <w:t xml:space="preserve"> salaries </w:t>
                      </w:r>
                      <w:r w:rsidRPr="002E3A77">
                        <w:rPr>
                          <w:sz w:val="20"/>
                          <w:szCs w:val="20"/>
                        </w:rPr>
                        <w:t xml:space="preserve">at 9%. The DOR’s guidelines also expressly require </w:t>
                      </w:r>
                      <w:r w:rsidR="007F3C20" w:rsidRPr="002E3A77">
                        <w:rPr>
                          <w:sz w:val="20"/>
                          <w:szCs w:val="20"/>
                        </w:rPr>
                        <w:t>the Department of Elementary and Secondary Education (</w:t>
                      </w:r>
                      <w:r w:rsidRPr="002E3A77">
                        <w:rPr>
                          <w:sz w:val="20"/>
                          <w:szCs w:val="20"/>
                        </w:rPr>
                        <w:t>DESE</w:t>
                      </w:r>
                      <w:r w:rsidR="007F3C20" w:rsidRPr="002E3A77">
                        <w:rPr>
                          <w:sz w:val="20"/>
                          <w:szCs w:val="20"/>
                        </w:rPr>
                        <w:t>)</w:t>
                      </w:r>
                      <w:r w:rsidRPr="002E3A77">
                        <w:rPr>
                          <w:sz w:val="20"/>
                          <w:szCs w:val="20"/>
                        </w:rPr>
                        <w:t xml:space="preserve"> to deduct 80% of the surcharge amount prior to releasing grant funds to districts, which is remitted to MTRS directly by DESE.</w:t>
                      </w:r>
                    </w:p>
                    <w:p w14:paraId="6EA7D882" w14:textId="77777777" w:rsidR="005D05BB" w:rsidRPr="005D05BB" w:rsidRDefault="005D05BB" w:rsidP="000E7A63">
                      <w:pPr>
                        <w:spacing w:after="120"/>
                        <w:rPr>
                          <w:i/>
                          <w:iCs/>
                          <w:color w:val="1F497D"/>
                          <w:sz w:val="20"/>
                          <w:szCs w:val="20"/>
                        </w:rPr>
                      </w:pPr>
                      <w:r w:rsidRPr="005D05BB">
                        <w:rPr>
                          <w:i/>
                          <w:iCs/>
                          <w:color w:val="1F497D"/>
                          <w:sz w:val="20"/>
                          <w:szCs w:val="20"/>
                        </w:rPr>
                        <w:t xml:space="preserve">Example (simplified for illustration):  Teacher A’s salary </w:t>
                      </w:r>
                      <w:r w:rsidR="00F255DC">
                        <w:rPr>
                          <w:i/>
                          <w:iCs/>
                          <w:color w:val="1F497D"/>
                          <w:sz w:val="20"/>
                          <w:szCs w:val="20"/>
                        </w:rPr>
                        <w:t xml:space="preserve">for the year </w:t>
                      </w:r>
                      <w:r w:rsidRPr="005D05BB">
                        <w:rPr>
                          <w:i/>
                          <w:iCs/>
                          <w:color w:val="1F497D"/>
                          <w:sz w:val="20"/>
                          <w:szCs w:val="20"/>
                        </w:rPr>
                        <w:t xml:space="preserve">is budgeted at $80,000 and paid </w:t>
                      </w:r>
                      <w:r w:rsidR="00F255DC">
                        <w:rPr>
                          <w:i/>
                          <w:iCs/>
                          <w:color w:val="1F497D"/>
                          <w:sz w:val="20"/>
                          <w:szCs w:val="20"/>
                        </w:rPr>
                        <w:t xml:space="preserve">fully </w:t>
                      </w:r>
                      <w:r w:rsidRPr="005D05BB">
                        <w:rPr>
                          <w:i/>
                          <w:iCs/>
                          <w:color w:val="1F497D"/>
                          <w:sz w:val="20"/>
                          <w:szCs w:val="20"/>
                        </w:rPr>
                        <w:t>by Title I grant funds. Teacher A’s individual contribution to MTRS is 11%</w:t>
                      </w:r>
                      <w:r>
                        <w:rPr>
                          <w:i/>
                          <w:iCs/>
                          <w:color w:val="1F497D"/>
                          <w:sz w:val="20"/>
                          <w:szCs w:val="20"/>
                        </w:rPr>
                        <w:t xml:space="preserve"> of her </w:t>
                      </w:r>
                      <w:r w:rsidRPr="005D05BB">
                        <w:rPr>
                          <w:i/>
                          <w:iCs/>
                          <w:color w:val="1F497D"/>
                          <w:sz w:val="20"/>
                          <w:szCs w:val="20"/>
                        </w:rPr>
                        <w:t xml:space="preserve">salary, and so a total of $8,800 comes from her paycheck </w:t>
                      </w:r>
                      <w:r w:rsidR="00F255DC">
                        <w:rPr>
                          <w:i/>
                          <w:iCs/>
                          <w:color w:val="1F497D"/>
                          <w:sz w:val="20"/>
                          <w:szCs w:val="20"/>
                        </w:rPr>
                        <w:t>annually.</w:t>
                      </w:r>
                      <w:r w:rsidRPr="005D05BB">
                        <w:rPr>
                          <w:i/>
                          <w:iCs/>
                          <w:color w:val="1F497D"/>
                          <w:sz w:val="20"/>
                          <w:szCs w:val="20"/>
                        </w:rPr>
                        <w:t xml:space="preserve"> Because the position is funded by a federal grant, an additional amount equaling 9% of the $80,000 (or $7,200) of the district’s Title I grant</w:t>
                      </w:r>
                      <w:r w:rsidR="002E3A77">
                        <w:rPr>
                          <w:i/>
                          <w:iCs/>
                          <w:color w:val="1F497D"/>
                          <w:sz w:val="20"/>
                          <w:szCs w:val="20"/>
                        </w:rPr>
                        <w:t xml:space="preserve"> goes to MTRS</w:t>
                      </w:r>
                      <w:r w:rsidRPr="005D05BB">
                        <w:rPr>
                          <w:i/>
                          <w:iCs/>
                          <w:color w:val="1F497D"/>
                          <w:sz w:val="20"/>
                          <w:szCs w:val="20"/>
                        </w:rPr>
                        <w:t>. Note that DESE sends 80% of this amount ($5,760) to MTRS directly</w:t>
                      </w:r>
                      <w:r w:rsidR="002E3A77">
                        <w:rPr>
                          <w:i/>
                          <w:iCs/>
                          <w:color w:val="1F497D"/>
                          <w:sz w:val="20"/>
                          <w:szCs w:val="20"/>
                        </w:rPr>
                        <w:t>.</w:t>
                      </w:r>
                      <w:r w:rsidR="009C3911">
                        <w:rPr>
                          <w:i/>
                          <w:iCs/>
                          <w:color w:val="1F497D"/>
                          <w:sz w:val="20"/>
                          <w:szCs w:val="20"/>
                        </w:rPr>
                        <w:t xml:space="preserve"> </w:t>
                      </w:r>
                      <w:r w:rsidR="002E3A77">
                        <w:rPr>
                          <w:i/>
                          <w:iCs/>
                          <w:color w:val="1F497D"/>
                          <w:sz w:val="20"/>
                          <w:szCs w:val="20"/>
                        </w:rPr>
                        <w:t>T</w:t>
                      </w:r>
                      <w:r w:rsidRPr="005D05BB">
                        <w:rPr>
                          <w:i/>
                          <w:iCs/>
                          <w:color w:val="1F497D"/>
                          <w:sz w:val="20"/>
                          <w:szCs w:val="20"/>
                        </w:rPr>
                        <w:t xml:space="preserve">he district would </w:t>
                      </w:r>
                      <w:r w:rsidR="002E3A77">
                        <w:rPr>
                          <w:i/>
                          <w:iCs/>
                          <w:color w:val="1F497D"/>
                          <w:sz w:val="20"/>
                          <w:szCs w:val="20"/>
                        </w:rPr>
                        <w:t xml:space="preserve">then </w:t>
                      </w:r>
                      <w:r w:rsidRPr="005D05BB">
                        <w:rPr>
                          <w:i/>
                          <w:iCs/>
                          <w:color w:val="1F497D"/>
                          <w:sz w:val="20"/>
                          <w:szCs w:val="20"/>
                        </w:rPr>
                        <w:t xml:space="preserve">pay 20% ($1,440) </w:t>
                      </w:r>
                      <w:r w:rsidR="0017625F">
                        <w:rPr>
                          <w:i/>
                          <w:iCs/>
                          <w:color w:val="1F497D"/>
                          <w:sz w:val="20"/>
                          <w:szCs w:val="20"/>
                        </w:rPr>
                        <w:t xml:space="preserve">just </w:t>
                      </w:r>
                      <w:r w:rsidRPr="005D05BB">
                        <w:rPr>
                          <w:i/>
                          <w:iCs/>
                          <w:color w:val="1F497D"/>
                          <w:sz w:val="20"/>
                          <w:szCs w:val="20"/>
                        </w:rPr>
                        <w:t>before the grant closes, assuming no adjustments to this teacher’s budgeted salary over the course of the grant.</w:t>
                      </w:r>
                    </w:p>
                    <w:p w14:paraId="3829E87D" w14:textId="77777777" w:rsidR="00995572" w:rsidRDefault="00995572" w:rsidP="00995572"/>
                  </w:txbxContent>
                </v:textbox>
                <w10:wrap type="square"/>
              </v:roundrect>
            </w:pict>
          </mc:Fallback>
        </mc:AlternateContent>
      </w:r>
      <w:r w:rsidR="00240884" w:rsidRPr="00212A3D">
        <w:rPr>
          <w:b/>
          <w:noProof/>
          <w:sz w:val="28"/>
          <w:szCs w:val="28"/>
        </w:rPr>
        <mc:AlternateContent>
          <mc:Choice Requires="wps">
            <w:drawing>
              <wp:anchor distT="91440" distB="91440" distL="91440" distR="91440" simplePos="0" relativeHeight="251660288" behindDoc="1" locked="0" layoutInCell="0" allowOverlap="0" wp14:anchorId="6DF1B2C6" wp14:editId="6C643C0E">
                <wp:simplePos x="0" y="0"/>
                <wp:positionH relativeFrom="margin">
                  <wp:posOffset>4799330</wp:posOffset>
                </wp:positionH>
                <wp:positionV relativeFrom="paragraph">
                  <wp:posOffset>43180</wp:posOffset>
                </wp:positionV>
                <wp:extent cx="2018030" cy="1492250"/>
                <wp:effectExtent l="38100" t="38100" r="96520" b="88900"/>
                <wp:wrapTight wrapText="left">
                  <wp:wrapPolygon edited="0">
                    <wp:start x="1427" y="-551"/>
                    <wp:lineTo x="-408" y="-276"/>
                    <wp:lineTo x="-408" y="20681"/>
                    <wp:lineTo x="408" y="21784"/>
                    <wp:lineTo x="1427" y="22611"/>
                    <wp:lineTo x="20594" y="22611"/>
                    <wp:lineTo x="21614" y="21784"/>
                    <wp:lineTo x="22429" y="17648"/>
                    <wp:lineTo x="22429" y="2757"/>
                    <wp:lineTo x="21206" y="-276"/>
                    <wp:lineTo x="20594" y="-551"/>
                    <wp:lineTo x="1427" y="-551"/>
                  </wp:wrapPolygon>
                </wp:wrapTight>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18030" cy="1492250"/>
                        </a:xfrm>
                        <a:prstGeom prst="roundRect">
                          <a:avLst>
                            <a:gd name="adj" fmla="val 10153"/>
                          </a:avLst>
                        </a:prstGeom>
                        <a:solidFill>
                          <a:schemeClr val="accent6">
                            <a:lumMod val="20000"/>
                            <a:lumOff val="80000"/>
                          </a:schemeClr>
                        </a:solidFill>
                        <a:ln>
                          <a:noFill/>
                        </a:ln>
                        <a:effectLst>
                          <a:outerShdw blurRad="50800" dist="38100" dir="2700000" algn="tl" rotWithShape="0">
                            <a:prstClr val="black">
                              <a:alpha val="40000"/>
                            </a:prstClr>
                          </a:outerShdw>
                        </a:effectLst>
                      </wps:spPr>
                      <wps:txbx>
                        <w:txbxContent>
                          <w:p w14:paraId="48696013" w14:textId="77777777" w:rsidR="00995572" w:rsidRPr="00797455" w:rsidRDefault="00995572" w:rsidP="00995572">
                            <w:pPr>
                              <w:spacing w:after="0" w:line="240" w:lineRule="auto"/>
                              <w:rPr>
                                <w:b/>
                                <w:sz w:val="18"/>
                              </w:rPr>
                            </w:pPr>
                            <w:bookmarkStart w:id="0" w:name="_GoBack"/>
                            <w:r>
                              <w:rPr>
                                <w:b/>
                              </w:rPr>
                              <w:t xml:space="preserve"> </w:t>
                            </w:r>
                            <w:r w:rsidRPr="00797455">
                              <w:rPr>
                                <w:b/>
                              </w:rPr>
                              <w:t>Resources</w:t>
                            </w:r>
                          </w:p>
                          <w:p w14:paraId="0D97990A" w14:textId="77777777" w:rsidR="00995572" w:rsidRPr="008F4676" w:rsidRDefault="00C26AD9" w:rsidP="00995572">
                            <w:pPr>
                              <w:pStyle w:val="ListParagraph"/>
                              <w:numPr>
                                <w:ilvl w:val="0"/>
                                <w:numId w:val="2"/>
                              </w:numPr>
                              <w:spacing w:after="0" w:line="240" w:lineRule="auto"/>
                              <w:ind w:left="450"/>
                              <w:contextualSpacing w:val="0"/>
                              <w:rPr>
                                <w:sz w:val="18"/>
                              </w:rPr>
                            </w:pPr>
                            <w:hyperlink r:id="rId12" w:history="1">
                              <w:r w:rsidR="00995572" w:rsidRPr="00805096">
                                <w:rPr>
                                  <w:rStyle w:val="Hyperlink"/>
                                  <w:rFonts w:cstheme="minorBidi"/>
                                  <w:i/>
                                  <w:sz w:val="18"/>
                                </w:rPr>
                                <w:t>Policy Statement on Pension Charges to Federal Grants</w:t>
                              </w:r>
                            </w:hyperlink>
                            <w:r w:rsidR="00995572">
                              <w:rPr>
                                <w:i/>
                                <w:sz w:val="18"/>
                              </w:rPr>
                              <w:t xml:space="preserve">, </w:t>
                            </w:r>
                            <w:r w:rsidR="00995572" w:rsidRPr="008F4676">
                              <w:rPr>
                                <w:sz w:val="18"/>
                              </w:rPr>
                              <w:t>Appendix J to DESE’s Grant’s Management Procedural Manual</w:t>
                            </w:r>
                          </w:p>
                          <w:p w14:paraId="0BD6C9D6" w14:textId="77777777" w:rsidR="00995572" w:rsidRDefault="00C26AD9" w:rsidP="00995572">
                            <w:pPr>
                              <w:pStyle w:val="ListParagraph"/>
                              <w:numPr>
                                <w:ilvl w:val="0"/>
                                <w:numId w:val="2"/>
                              </w:numPr>
                              <w:spacing w:after="0" w:line="240" w:lineRule="auto"/>
                              <w:ind w:left="450"/>
                              <w:contextualSpacing w:val="0"/>
                              <w:rPr>
                                <w:sz w:val="18"/>
                              </w:rPr>
                            </w:pPr>
                            <w:hyperlink r:id="rId13" w:history="1">
                              <w:r w:rsidR="00995572" w:rsidRPr="008F4676">
                                <w:rPr>
                                  <w:rStyle w:val="Hyperlink"/>
                                  <w:rFonts w:cstheme="minorBidi"/>
                                  <w:i/>
                                  <w:sz w:val="18"/>
                                </w:rPr>
                                <w:t>Pension Charges to Federal Grants</w:t>
                              </w:r>
                            </w:hyperlink>
                            <w:r w:rsidR="00995572">
                              <w:rPr>
                                <w:i/>
                                <w:sz w:val="18"/>
                              </w:rPr>
                              <w:t xml:space="preserve">, </w:t>
                            </w:r>
                            <w:r w:rsidR="00995572">
                              <w:rPr>
                                <w:sz w:val="18"/>
                              </w:rPr>
                              <w:t xml:space="preserve">Department of Revenue, Informational Guideline Release, 90-106, </w:t>
                            </w:r>
                            <w:proofErr w:type="gramStart"/>
                            <w:r w:rsidR="00995572">
                              <w:rPr>
                                <w:sz w:val="18"/>
                              </w:rPr>
                              <w:t>March,</w:t>
                            </w:r>
                            <w:proofErr w:type="gramEnd"/>
                            <w:r w:rsidR="00995572">
                              <w:rPr>
                                <w:sz w:val="18"/>
                              </w:rPr>
                              <w:t xml:space="preserve"> 1990</w:t>
                            </w:r>
                            <w:bookmarkEnd w:id="0"/>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F1B2C6" id="AutoShape 6" o:spid="_x0000_s1027" style="position:absolute;margin-left:377.9pt;margin-top:3.4pt;width:158.9pt;height:117.5pt;flip:y;z-index:-2516561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text;mso-width-percent:0;mso-height-percent:0;mso-width-relative:margin;mso-height-relative:margin;v-text-anchor:middle" arcsize="6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" o:allowincell="f" o:allowoverlap="f" fillcolor="#fde9d9 [665]" stroked="f">
                <v:shadow on="t" color="black" opacity="26214f" origin="-.5,-.5" offset=".74836mm,.74836mm"/>
                <v:textbox inset="0,0,0,0">
                  <w:txbxContent>
                    <w:p w14:paraId="48696013" w14:textId="77777777" w:rsidR="00995572" w:rsidRPr="00797455" w:rsidRDefault="00995572" w:rsidP="00995572">
                      <w:pPr>
                        <w:spacing w:after="0" w:line="240" w:lineRule="auto"/>
                        <w:rPr>
                          <w:b/>
                          <w:sz w:val="18"/>
                        </w:rPr>
                      </w:pPr>
                      <w:bookmarkStart w:id="1" w:name="_GoBack"/>
                      <w:r>
                        <w:rPr>
                          <w:b/>
                        </w:rPr>
                        <w:t xml:space="preserve"> </w:t>
                      </w:r>
                      <w:r w:rsidRPr="00797455">
                        <w:rPr>
                          <w:b/>
                        </w:rPr>
                        <w:t>Resources</w:t>
                      </w:r>
                    </w:p>
                    <w:p w14:paraId="0D97990A" w14:textId="77777777" w:rsidR="00995572" w:rsidRPr="008F4676" w:rsidRDefault="00C26AD9" w:rsidP="00995572">
                      <w:pPr>
                        <w:pStyle w:val="ListParagraph"/>
                        <w:numPr>
                          <w:ilvl w:val="0"/>
                          <w:numId w:val="2"/>
                        </w:numPr>
                        <w:spacing w:after="0" w:line="240" w:lineRule="auto"/>
                        <w:ind w:left="450"/>
                        <w:contextualSpacing w:val="0"/>
                        <w:rPr>
                          <w:sz w:val="18"/>
                        </w:rPr>
                      </w:pPr>
                      <w:hyperlink r:id="rId14" w:history="1">
                        <w:r w:rsidR="00995572" w:rsidRPr="00805096">
                          <w:rPr>
                            <w:rStyle w:val="Hyperlink"/>
                            <w:rFonts w:cstheme="minorBidi"/>
                            <w:i/>
                            <w:sz w:val="18"/>
                          </w:rPr>
                          <w:t>Policy Statement on Pension Charges to Federal Grants</w:t>
                        </w:r>
                      </w:hyperlink>
                      <w:r w:rsidR="00995572">
                        <w:rPr>
                          <w:i/>
                          <w:sz w:val="18"/>
                        </w:rPr>
                        <w:t xml:space="preserve">, </w:t>
                      </w:r>
                      <w:r w:rsidR="00995572" w:rsidRPr="008F4676">
                        <w:rPr>
                          <w:sz w:val="18"/>
                        </w:rPr>
                        <w:t>Appendix J to DESE’s Grant’s Management Procedural Manual</w:t>
                      </w:r>
                    </w:p>
                    <w:p w14:paraId="0BD6C9D6" w14:textId="77777777" w:rsidR="00995572" w:rsidRDefault="00C26AD9" w:rsidP="00995572">
                      <w:pPr>
                        <w:pStyle w:val="ListParagraph"/>
                        <w:numPr>
                          <w:ilvl w:val="0"/>
                          <w:numId w:val="2"/>
                        </w:numPr>
                        <w:spacing w:after="0" w:line="240" w:lineRule="auto"/>
                        <w:ind w:left="450"/>
                        <w:contextualSpacing w:val="0"/>
                        <w:rPr>
                          <w:sz w:val="18"/>
                        </w:rPr>
                      </w:pPr>
                      <w:hyperlink r:id="rId15" w:history="1">
                        <w:r w:rsidR="00995572" w:rsidRPr="008F4676">
                          <w:rPr>
                            <w:rStyle w:val="Hyperlink"/>
                            <w:rFonts w:cstheme="minorBidi"/>
                            <w:i/>
                            <w:sz w:val="18"/>
                          </w:rPr>
                          <w:t>Pension Charges to Federal Grants</w:t>
                        </w:r>
                      </w:hyperlink>
                      <w:r w:rsidR="00995572">
                        <w:rPr>
                          <w:i/>
                          <w:sz w:val="18"/>
                        </w:rPr>
                        <w:t xml:space="preserve">, </w:t>
                      </w:r>
                      <w:r w:rsidR="00995572">
                        <w:rPr>
                          <w:sz w:val="18"/>
                        </w:rPr>
                        <w:t xml:space="preserve">Department of Revenue, Informational Guideline Release, 90-106, </w:t>
                      </w:r>
                      <w:proofErr w:type="gramStart"/>
                      <w:r w:rsidR="00995572">
                        <w:rPr>
                          <w:sz w:val="18"/>
                        </w:rPr>
                        <w:t>March,</w:t>
                      </w:r>
                      <w:proofErr w:type="gramEnd"/>
                      <w:r w:rsidR="00995572">
                        <w:rPr>
                          <w:sz w:val="18"/>
                        </w:rPr>
                        <w:t xml:space="preserve"> 1990</w:t>
                      </w:r>
                      <w:bookmarkEnd w:id="1"/>
                    </w:p>
                  </w:txbxContent>
                </v:textbox>
                <w10:wrap type="tight" side="left" anchorx="margin"/>
              </v:roundrect>
            </w:pict>
          </mc:Fallback>
        </mc:AlternateContent>
      </w:r>
    </w:p>
    <w:p w14:paraId="4C2B58DA" w14:textId="77777777" w:rsidR="00995572" w:rsidRPr="008A31EF" w:rsidRDefault="00995572" w:rsidP="00995572">
      <w:r>
        <w:rPr>
          <w:b/>
        </w:rPr>
        <w:t>Which employees are included</w:t>
      </w:r>
      <w:r w:rsidRPr="00631003">
        <w:rPr>
          <w:b/>
        </w:rPr>
        <w:t xml:space="preserve">?  </w:t>
      </w:r>
      <w:r>
        <w:t xml:space="preserve">Districts are required to indicate on their grant application budgets which grant salaries are for employees </w:t>
      </w:r>
      <w:r w:rsidRPr="00FE4FAC">
        <w:t>who are members of MTRS. According to MTRS, in addition to teachers, some of the other titles that may be eligible include school psychologists</w:t>
      </w:r>
      <w:r w:rsidR="007564CB">
        <w:t xml:space="preserve"> and </w:t>
      </w:r>
      <w:r w:rsidRPr="00FE4FAC">
        <w:t>psychiatrists, school adjustment counselors, and school social workers. MTRS has</w:t>
      </w:r>
      <w:r>
        <w:t xml:space="preserve"> developed </w:t>
      </w:r>
      <w:hyperlink r:id="rId16" w:history="1">
        <w:r w:rsidRPr="008A31EF">
          <w:rPr>
            <w:rStyle w:val="Hyperlink"/>
            <w:rFonts w:cstheme="minorBidi"/>
          </w:rPr>
          <w:t>resources on its website</w:t>
        </w:r>
      </w:hyperlink>
      <w:r>
        <w:t xml:space="preserve"> that describe who in a public school system is eligible for membership. Districts are ultimately responsible for reporting which staff are MTRS members.</w:t>
      </w:r>
    </w:p>
    <w:p w14:paraId="35FC8C3F" w14:textId="77777777" w:rsidR="00995572" w:rsidRDefault="00995572" w:rsidP="00995572">
      <w:pPr>
        <w:spacing w:after="80"/>
      </w:pPr>
      <w:r>
        <w:rPr>
          <w:b/>
        </w:rPr>
        <w:t>What is the process for paying the 9% to MTRS</w:t>
      </w:r>
      <w:r w:rsidRPr="00780045">
        <w:rPr>
          <w:b/>
        </w:rPr>
        <w:t>?</w:t>
      </w:r>
      <w:r>
        <w:t xml:space="preserve"> </w:t>
      </w:r>
    </w:p>
    <w:p w14:paraId="349D19B0" w14:textId="77777777" w:rsidR="00995572" w:rsidRDefault="009C3911" w:rsidP="009C3911">
      <w:pPr>
        <w:pStyle w:val="ListParagraph"/>
        <w:numPr>
          <w:ilvl w:val="0"/>
          <w:numId w:val="19"/>
        </w:numPr>
        <w:spacing w:after="80"/>
      </w:pPr>
      <w:r>
        <w:t xml:space="preserve"> </w:t>
      </w:r>
      <w:r w:rsidR="00995572">
        <w:t>Both the ESSA consolidated workbook and the EdGrants budget page include a checkbox to identify</w:t>
      </w:r>
      <w:r>
        <w:t xml:space="preserve"> </w:t>
      </w:r>
      <w:r w:rsidR="00995572">
        <w:t>salary expenses related to MTRS members.</w:t>
      </w:r>
    </w:p>
    <w:p w14:paraId="09EF55C0" w14:textId="77777777" w:rsidR="00995572" w:rsidRDefault="00CB7987" w:rsidP="009C3911">
      <w:pPr>
        <w:pStyle w:val="ListParagraph"/>
        <w:numPr>
          <w:ilvl w:val="0"/>
          <w:numId w:val="19"/>
        </w:numPr>
      </w:pPr>
      <w:r>
        <w:t xml:space="preserve"> </w:t>
      </w:r>
      <w:r w:rsidR="00995572">
        <w:t>The workbook and EdGrants will automatically calculate the MTRS surcharge on the aggregated MTRS grant salary expense.</w:t>
      </w:r>
    </w:p>
    <w:p w14:paraId="3DB94DF0" w14:textId="77777777" w:rsidR="00240884" w:rsidRDefault="00CB7987" w:rsidP="009C3911">
      <w:pPr>
        <w:pStyle w:val="ListParagraph"/>
        <w:numPr>
          <w:ilvl w:val="0"/>
          <w:numId w:val="19"/>
        </w:numPr>
      </w:pPr>
      <w:r>
        <w:t xml:space="preserve"> </w:t>
      </w:r>
      <w:r w:rsidR="00995572">
        <w:t xml:space="preserve">DESE will automatically submit </w:t>
      </w:r>
      <w:r w:rsidR="002C6465">
        <w:t xml:space="preserve">to MTRS </w:t>
      </w:r>
      <w:r w:rsidR="00995572">
        <w:t xml:space="preserve">80% of the amount calculated on the EdGrants budget page for the MTRS </w:t>
      </w:r>
      <w:r w:rsidR="006511C8">
        <w:t>during</w:t>
      </w:r>
      <w:r w:rsidR="00995572">
        <w:t xml:space="preserve"> the first year of the grant. </w:t>
      </w:r>
      <w:r w:rsidR="00E55A74">
        <w:t>A district</w:t>
      </w:r>
      <w:r w:rsidR="002C6465">
        <w:t xml:space="preserve"> may find </w:t>
      </w:r>
      <w:r w:rsidR="00E55A74">
        <w:t xml:space="preserve">the amount that has been paid directly to MTRS by checking </w:t>
      </w:r>
      <w:r w:rsidR="002C6465">
        <w:t>a grant’s</w:t>
      </w:r>
      <w:r w:rsidR="00E55A74">
        <w:t xml:space="preserve"> project record card </w:t>
      </w:r>
      <w:r w:rsidR="002C6465">
        <w:t>(see “How to find the amount paid to MTRS by DESE for your federal grant,” below)</w:t>
      </w:r>
      <w:r w:rsidR="00E55A74">
        <w:t>.</w:t>
      </w:r>
    </w:p>
    <w:p w14:paraId="08EFC9F5" w14:textId="77777777" w:rsidR="00131E28" w:rsidRPr="00501B38" w:rsidRDefault="00995572" w:rsidP="00CB7987">
      <w:pPr>
        <w:pStyle w:val="ListParagraph"/>
        <w:numPr>
          <w:ilvl w:val="0"/>
          <w:numId w:val="17"/>
        </w:numPr>
        <w:ind w:left="270" w:hanging="270"/>
      </w:pPr>
      <w:r>
        <w:t xml:space="preserve">When the district </w:t>
      </w:r>
      <w:r w:rsidRPr="00501B38">
        <w:t xml:space="preserve">is ready to close an entitlement grant and submit its FR-1 to DESE, the district should </w:t>
      </w:r>
    </w:p>
    <w:p w14:paraId="72236057" w14:textId="4A84ABC3" w:rsidR="00240884" w:rsidRDefault="00995572" w:rsidP="00131E28">
      <w:pPr>
        <w:pStyle w:val="ListParagraph"/>
        <w:ind w:left="0"/>
      </w:pPr>
      <w:r w:rsidRPr="00501B38">
        <w:t xml:space="preserve">“true-up” the total salaries qualifying for MTRS (including </w:t>
      </w:r>
      <w:r w:rsidR="00240884" w:rsidRPr="00501B38">
        <w:t xml:space="preserve">accounting for </w:t>
      </w:r>
      <w:r w:rsidRPr="00501B38">
        <w:t xml:space="preserve">any amendments to these line </w:t>
      </w:r>
      <w:r w:rsidR="007F3C20" w:rsidRPr="00501B38">
        <w:t>items</w:t>
      </w:r>
      <w:r w:rsidRPr="00501B38">
        <w:t xml:space="preserve"> over the course of the grant) and remit the </w:t>
      </w:r>
      <w:r w:rsidR="00240884" w:rsidRPr="00501B38">
        <w:t>outstanding balance</w:t>
      </w:r>
      <w:r w:rsidRPr="00501B38">
        <w:t xml:space="preserve"> for</w:t>
      </w:r>
      <w:r>
        <w:t xml:space="preserve"> the surcharge</w:t>
      </w:r>
      <w:r w:rsidR="004B6B5F">
        <w:t xml:space="preserve"> (20%, if no amendments to MTRS line item</w:t>
      </w:r>
      <w:r w:rsidR="00D21C06">
        <w:t>s</w:t>
      </w:r>
      <w:r w:rsidR="004B6B5F">
        <w:t>)</w:t>
      </w:r>
      <w:r>
        <w:t xml:space="preserve"> </w:t>
      </w:r>
      <w:r w:rsidRPr="00240884">
        <w:rPr>
          <w:b/>
        </w:rPr>
        <w:t>directly</w:t>
      </w:r>
      <w:r>
        <w:t xml:space="preserve"> </w:t>
      </w:r>
      <w:r w:rsidRPr="00240884">
        <w:rPr>
          <w:b/>
        </w:rPr>
        <w:t>to MTRS</w:t>
      </w:r>
      <w:r>
        <w:t xml:space="preserve">. DESE has a </w:t>
      </w:r>
      <w:hyperlink r:id="rId17" w:history="1">
        <w:r w:rsidRPr="00240884">
          <w:rPr>
            <w:rStyle w:val="Hyperlink"/>
            <w:rFonts w:cstheme="minorBidi"/>
          </w:rPr>
          <w:t>form (FR-1(A))</w:t>
        </w:r>
      </w:hyperlink>
      <w:r>
        <w:t xml:space="preserve"> that facilitates this calculation.</w:t>
      </w:r>
    </w:p>
    <w:p w14:paraId="5233ED7A" w14:textId="77777777" w:rsidR="00240884" w:rsidRPr="0017625F" w:rsidRDefault="00240884" w:rsidP="00240884">
      <w:pPr>
        <w:pStyle w:val="ListParagraph"/>
        <w:ind w:left="0"/>
        <w:rPr>
          <w:sz w:val="16"/>
          <w:szCs w:val="16"/>
        </w:rPr>
      </w:pPr>
    </w:p>
    <w:p w14:paraId="2D2A5589" w14:textId="77777777" w:rsidR="006E781A" w:rsidRPr="00995572" w:rsidRDefault="00995572" w:rsidP="009C3911">
      <w:pPr>
        <w:pStyle w:val="ListParagraph"/>
        <w:ind w:left="0"/>
      </w:pPr>
      <w:r w:rsidRPr="00240884">
        <w:rPr>
          <w:b/>
        </w:rPr>
        <w:t xml:space="preserve">What if </w:t>
      </w:r>
      <w:r w:rsidR="004B6B5F" w:rsidRPr="00240884">
        <w:rPr>
          <w:b/>
        </w:rPr>
        <w:t>MTRS is overpaid</w:t>
      </w:r>
      <w:r w:rsidRPr="00240884">
        <w:rPr>
          <w:b/>
        </w:rPr>
        <w:t xml:space="preserve">?  </w:t>
      </w:r>
      <w:r w:rsidR="002C6465">
        <w:t xml:space="preserve">In the unusual circumstance where a district substantially amends its approved budget so that the MTRS allocation is reduced by more than 20% of the original amount, </w:t>
      </w:r>
      <w:r w:rsidR="000E7A63">
        <w:t>resulting in</w:t>
      </w:r>
      <w:r w:rsidR="002E63A6">
        <w:t xml:space="preserve"> an </w:t>
      </w:r>
      <w:r w:rsidR="002E63A6">
        <w:lastRenderedPageBreak/>
        <w:t xml:space="preserve">overpayment </w:t>
      </w:r>
      <w:r w:rsidR="0017625F" w:rsidRPr="00396FC3">
        <w:rPr>
          <w:b/>
          <w:noProof/>
        </w:rPr>
        <mc:AlternateContent>
          <mc:Choice Requires="wps">
            <w:drawing>
              <wp:anchor distT="45720" distB="45720" distL="114300" distR="114300" simplePos="0" relativeHeight="251665408" behindDoc="0" locked="0" layoutInCell="1" allowOverlap="1" wp14:anchorId="5C60D51A" wp14:editId="09DC3591">
                <wp:simplePos x="0" y="0"/>
                <wp:positionH relativeFrom="margin">
                  <wp:posOffset>-358497</wp:posOffset>
                </wp:positionH>
                <wp:positionV relativeFrom="paragraph">
                  <wp:posOffset>698856</wp:posOffset>
                </wp:positionV>
                <wp:extent cx="7219950" cy="7182485"/>
                <wp:effectExtent l="38100" t="38100" r="114300" b="113665"/>
                <wp:wrapSquare wrapText="bothSides"/>
                <wp:docPr id="3" name="Text Box 2" descr="• The district’s control user should log onto EdGrants Front Office &#10;• From the left-hand navigation menu, select “Submissions.”&#10;• Locate the “Applicant Project Name,” the first of the filters, and use the dropdown list of all grants for the district to select the grant that the district would like to check for MTRS payments.&#10;• One of the submissions listed will be the “Project Report Card.” Open by clicking on the orange folder icon. &#10;• Once the payment to MTRS is made (usually in January or February of Year 1 of the grant), the “MTRS Payment Amount” box (highlighted) will show the amount paid directly to MTRS by DESE; before DESE makes this payment, this box will say “$0.” The amount, once paid, will equal 80% of the MTRS amount listed on the district’s approved budget for this grant.  Note that if your district has an amendment open in EdGrants, the MTRS payment information may be temporarily unavailable, but will be restored once the amendment has been fully processed.&#10;" title="How to Locate a District's MTRS payment in EdGrant's Front Offi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7182485"/>
                        </a:xfrm>
                        <a:prstGeom prst="rect">
                          <a:avLst/>
                        </a:prstGeom>
                        <a:solidFill>
                          <a:srgbClr val="4F81BD">
                            <a:lumMod val="20000"/>
                            <a:lumOff val="8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46BDA57" w14:textId="77777777" w:rsidR="00E55A74" w:rsidRPr="00D04EAA" w:rsidRDefault="00E55A74" w:rsidP="00E55A74">
                            <w:pPr>
                              <w:rPr>
                                <w:b/>
                                <w:color w:val="1F497D" w:themeColor="text2"/>
                                <w:sz w:val="24"/>
                                <w:szCs w:val="28"/>
                              </w:rPr>
                            </w:pPr>
                            <w:r w:rsidRPr="00D04EAA">
                              <w:rPr>
                                <w:b/>
                                <w:color w:val="1F497D" w:themeColor="text2"/>
                                <w:sz w:val="24"/>
                                <w:szCs w:val="28"/>
                              </w:rPr>
                              <w:t>How to find the amount paid to MTRS by DESE</w:t>
                            </w:r>
                            <w:r w:rsidR="003E14AE" w:rsidRPr="00D04EAA">
                              <w:rPr>
                                <w:b/>
                                <w:color w:val="1F497D" w:themeColor="text2"/>
                                <w:sz w:val="24"/>
                                <w:szCs w:val="28"/>
                              </w:rPr>
                              <w:t xml:space="preserve"> for your federal grant</w:t>
                            </w:r>
                            <w:r w:rsidRPr="00D04EAA">
                              <w:rPr>
                                <w:b/>
                                <w:color w:val="1F497D" w:themeColor="text2"/>
                                <w:sz w:val="24"/>
                                <w:szCs w:val="28"/>
                              </w:rPr>
                              <w:t xml:space="preserve">.  </w:t>
                            </w:r>
                          </w:p>
                          <w:p w14:paraId="68A438CF" w14:textId="77777777" w:rsidR="00E55A74" w:rsidRDefault="00E55A74" w:rsidP="002C6465">
                            <w:pPr>
                              <w:pStyle w:val="ListParagraph"/>
                              <w:numPr>
                                <w:ilvl w:val="0"/>
                                <w:numId w:val="18"/>
                              </w:numPr>
                              <w:ind w:left="360"/>
                            </w:pPr>
                            <w:r>
                              <w:t xml:space="preserve">The district’s control user should log onto </w:t>
                            </w:r>
                            <w:hyperlink r:id="rId18" w:history="1">
                              <w:r w:rsidRPr="00E55A74">
                                <w:rPr>
                                  <w:rStyle w:val="Hyperlink"/>
                                  <w:rFonts w:cstheme="minorBidi"/>
                                </w:rPr>
                                <w:t>EdGrants Front Office</w:t>
                              </w:r>
                            </w:hyperlink>
                            <w:r>
                              <w:t xml:space="preserve"> </w:t>
                            </w:r>
                          </w:p>
                          <w:p w14:paraId="7F244B1E" w14:textId="77777777" w:rsidR="00E55A74" w:rsidRDefault="00E55A74" w:rsidP="002C6465">
                            <w:pPr>
                              <w:pStyle w:val="ListParagraph"/>
                              <w:numPr>
                                <w:ilvl w:val="0"/>
                                <w:numId w:val="18"/>
                              </w:numPr>
                              <w:ind w:left="360"/>
                            </w:pPr>
                            <w:r>
                              <w:t>From the left-hand navigation menu, select “Submissions.”</w:t>
                            </w:r>
                          </w:p>
                          <w:p w14:paraId="2E62A9A6" w14:textId="77777777" w:rsidR="003E14AE" w:rsidRDefault="003E14AE" w:rsidP="002C6465">
                            <w:pPr>
                              <w:pStyle w:val="ListParagraph"/>
                              <w:numPr>
                                <w:ilvl w:val="0"/>
                                <w:numId w:val="18"/>
                              </w:numPr>
                              <w:ind w:left="360"/>
                            </w:pPr>
                            <w:r>
                              <w:t>Locate</w:t>
                            </w:r>
                            <w:r w:rsidR="00E55A74">
                              <w:t xml:space="preserve"> </w:t>
                            </w:r>
                            <w:r w:rsidR="00BC2D88">
                              <w:t xml:space="preserve">the “Applicant Project Name,” the first of the filters, </w:t>
                            </w:r>
                            <w:r>
                              <w:t>and use the</w:t>
                            </w:r>
                            <w:r w:rsidR="00BC2D88">
                              <w:t xml:space="preserve"> dropdown list of all grants for the district</w:t>
                            </w:r>
                            <w:r>
                              <w:t xml:space="preserve"> to</w:t>
                            </w:r>
                            <w:r w:rsidR="00D04EAA">
                              <w:t xml:space="preserve"> s</w:t>
                            </w:r>
                            <w:r w:rsidR="00BC2D88">
                              <w:t>elect the grant that the district would like to check for MTRS payment</w:t>
                            </w:r>
                            <w:r w:rsidR="00D04EAA">
                              <w:t>s</w:t>
                            </w:r>
                            <w:r w:rsidR="00BC2D88">
                              <w:t>.</w:t>
                            </w:r>
                          </w:p>
                          <w:p w14:paraId="1A130093" w14:textId="77777777" w:rsidR="003E14AE" w:rsidRPr="003E14AE" w:rsidRDefault="00BC2D88" w:rsidP="002C6465">
                            <w:pPr>
                              <w:pStyle w:val="ListParagraph"/>
                              <w:numPr>
                                <w:ilvl w:val="0"/>
                                <w:numId w:val="18"/>
                              </w:numPr>
                              <w:ind w:left="360"/>
                            </w:pPr>
                            <w:r>
                              <w:t>One of the submissions listed will be the “Project Report Card.” Open by clicking on the orange folder icon.</w:t>
                            </w:r>
                            <w:r w:rsidR="003E14AE" w:rsidRPr="003E14AE">
                              <w:rPr>
                                <w:b/>
                                <w:noProof/>
                              </w:rPr>
                              <w:t xml:space="preserve"> </w:t>
                            </w:r>
                          </w:p>
                          <w:p w14:paraId="6609D4E0" w14:textId="77777777" w:rsidR="00BC2D88" w:rsidRPr="00E55A74" w:rsidRDefault="003E14AE" w:rsidP="002E63A6">
                            <w:pPr>
                              <w:ind w:left="90"/>
                              <w:jc w:val="center"/>
                            </w:pPr>
                            <w:r>
                              <w:rPr>
                                <w:noProof/>
                              </w:rPr>
                              <w:drawing>
                                <wp:inline distT="0" distB="0" distL="0" distR="0" wp14:anchorId="62BA0F45" wp14:editId="16E8C759">
                                  <wp:extent cx="6394450" cy="892159"/>
                                  <wp:effectExtent l="0" t="0" r="0" b="3810"/>
                                  <wp:docPr id="1" name="Picture 1" descr="A screenshot of the submissions tab." title="EdGrants screensho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Grants ProjectReportCard.PNG"/>
                                          <pic:cNvPicPr/>
                                        </pic:nvPicPr>
                                        <pic:blipFill>
                                          <a:blip r:embed="rId19">
                                            <a:extLst>
                                              <a:ext uri="{28A0092B-C50C-407E-A947-70E740481C1C}">
                                                <a14:useLocalDpi xmlns:a14="http://schemas.microsoft.com/office/drawing/2010/main" val="0"/>
                                              </a:ext>
                                            </a:extLst>
                                          </a:blip>
                                          <a:stretch>
                                            <a:fillRect/>
                                          </a:stretch>
                                        </pic:blipFill>
                                        <pic:spPr>
                                          <a:xfrm>
                                            <a:off x="0" y="0"/>
                                            <a:ext cx="6394450" cy="892159"/>
                                          </a:xfrm>
                                          <a:prstGeom prst="rect">
                                            <a:avLst/>
                                          </a:prstGeom>
                                        </pic:spPr>
                                      </pic:pic>
                                    </a:graphicData>
                                  </a:graphic>
                                </wp:inline>
                              </w:drawing>
                            </w:r>
                          </w:p>
                          <w:p w14:paraId="22388E89" w14:textId="77777777" w:rsidR="0093582B" w:rsidRDefault="00D04EAA" w:rsidP="0093582B">
                            <w:pPr>
                              <w:pStyle w:val="ListParagraph"/>
                              <w:numPr>
                                <w:ilvl w:val="0"/>
                                <w:numId w:val="20"/>
                              </w:numPr>
                              <w:spacing w:after="0"/>
                              <w:ind w:left="360"/>
                            </w:pPr>
                            <w:r>
                              <w:t>Once the payment to MTRS is made (usually in January or February of Year 1 of the grant), the “</w:t>
                            </w:r>
                            <w:r w:rsidR="00CA4B63">
                              <w:t>MTRS Payment Amount</w:t>
                            </w:r>
                            <w:r>
                              <w:t xml:space="preserve">” </w:t>
                            </w:r>
                            <w:r w:rsidR="00CA4B63">
                              <w:t>box (highlighted)</w:t>
                            </w:r>
                            <w:r>
                              <w:t xml:space="preserve"> will show the amount </w:t>
                            </w:r>
                            <w:r w:rsidR="00CA4B63">
                              <w:t>paid di</w:t>
                            </w:r>
                            <w:r>
                              <w:t>rectly to MTRS</w:t>
                            </w:r>
                            <w:r w:rsidR="00CA4B63">
                              <w:t xml:space="preserve"> by DESE; before DESE makes this payment, this box will say “$0.”</w:t>
                            </w:r>
                            <w:r>
                              <w:t xml:space="preserve"> The amount</w:t>
                            </w:r>
                            <w:r w:rsidR="0093582B">
                              <w:t>, once</w:t>
                            </w:r>
                            <w:r>
                              <w:t xml:space="preserve"> paid</w:t>
                            </w:r>
                            <w:r w:rsidR="0093582B">
                              <w:t>,</w:t>
                            </w:r>
                            <w:r>
                              <w:t xml:space="preserve"> will equal 80% of the MTRS amount listed on the district’</w:t>
                            </w:r>
                            <w:r w:rsidR="00E81011">
                              <w:t xml:space="preserve">s </w:t>
                            </w:r>
                            <w:r w:rsidR="00CA4B63">
                              <w:t xml:space="preserve">approved budget for this </w:t>
                            </w:r>
                            <w:r>
                              <w:t>grant.</w:t>
                            </w:r>
                            <w:r w:rsidRPr="00D04EAA">
                              <w:rPr>
                                <w:noProof/>
                              </w:rPr>
                              <w:t xml:space="preserve"> </w:t>
                            </w:r>
                            <w:r w:rsidR="00CA4B63">
                              <w:rPr>
                                <w:noProof/>
                              </w:rPr>
                              <w:t xml:space="preserve"> Note that if you</w:t>
                            </w:r>
                            <w:r w:rsidR="00183144">
                              <w:rPr>
                                <w:noProof/>
                              </w:rPr>
                              <w:t>r</w:t>
                            </w:r>
                            <w:r w:rsidR="00CA4B63">
                              <w:rPr>
                                <w:noProof/>
                              </w:rPr>
                              <w:t xml:space="preserve"> district has an amendment</w:t>
                            </w:r>
                            <w:r w:rsidR="00183144" w:rsidRPr="00183144">
                              <w:rPr>
                                <w:noProof/>
                              </w:rPr>
                              <w:t xml:space="preserve"> </w:t>
                            </w:r>
                            <w:r w:rsidR="00183144">
                              <w:rPr>
                                <w:noProof/>
                              </w:rPr>
                              <w:t>open in EdGrants</w:t>
                            </w:r>
                            <w:r w:rsidR="00CA4B63">
                              <w:rPr>
                                <w:noProof/>
                              </w:rPr>
                              <w:t>,</w:t>
                            </w:r>
                            <w:r w:rsidR="00183144">
                              <w:rPr>
                                <w:noProof/>
                              </w:rPr>
                              <w:t xml:space="preserve"> the</w:t>
                            </w:r>
                            <w:r w:rsidR="00CA4B63">
                              <w:rPr>
                                <w:noProof/>
                              </w:rPr>
                              <w:t xml:space="preserve"> MTRS payment information may be temporarily unavailable, but will be restored once the amendment</w:t>
                            </w:r>
                            <w:r w:rsidR="0093582B">
                              <w:rPr>
                                <w:noProof/>
                              </w:rPr>
                              <w:t xml:space="preserve"> has been</w:t>
                            </w:r>
                            <w:r w:rsidR="00CA4B63">
                              <w:rPr>
                                <w:noProof/>
                              </w:rPr>
                              <w:t xml:space="preserve"> </w:t>
                            </w:r>
                            <w:r w:rsidR="0093582B">
                              <w:rPr>
                                <w:noProof/>
                              </w:rPr>
                              <w:t>fully processed.</w:t>
                            </w:r>
                          </w:p>
                          <w:p w14:paraId="6EC0EC97" w14:textId="77777777" w:rsidR="0093582B" w:rsidRDefault="0093582B" w:rsidP="0093582B">
                            <w:pPr>
                              <w:pStyle w:val="ListParagraph"/>
                              <w:spacing w:after="0"/>
                              <w:ind w:left="360"/>
                            </w:pPr>
                          </w:p>
                          <w:p w14:paraId="7A41605A" w14:textId="77777777" w:rsidR="00BC2D88" w:rsidRDefault="00CA4B63" w:rsidP="00CB7987">
                            <w:pPr>
                              <w:spacing w:after="0"/>
                              <w:jc w:val="center"/>
                            </w:pPr>
                            <w:r>
                              <w:rPr>
                                <w:noProof/>
                              </w:rPr>
                              <w:drawing>
                                <wp:inline distT="0" distB="0" distL="0" distR="0" wp14:anchorId="7B346FC7" wp14:editId="25B12C51">
                                  <wp:extent cx="5456818" cy="2685059"/>
                                  <wp:effectExtent l="0" t="0" r="0" b="1270"/>
                                  <wp:docPr id="6" name="Picture 6" descr="Shows where to find MTRS payment (third box down) on Project Record Card." title="Screenshot of Project Recor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3EBB.87EDEBB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67989" cy="2690556"/>
                                          </a:xfrm>
                                          <a:prstGeom prst="rect">
                                            <a:avLst/>
                                          </a:prstGeom>
                                          <a:noFill/>
                                          <a:ln>
                                            <a:noFill/>
                                          </a:ln>
                                        </pic:spPr>
                                      </pic:pic>
                                    </a:graphicData>
                                  </a:graphic>
                                </wp:inline>
                              </w:drawing>
                            </w:r>
                          </w:p>
                          <w:p w14:paraId="391A5482" w14:textId="77777777" w:rsidR="00BC2D88" w:rsidRDefault="00BC2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0D51A" id="_x0000_t202" coordsize="21600,21600" o:spt="202" path="m,l,21600r21600,l21600,xe">
                <v:stroke joinstyle="miter"/>
                <v:path gradientshapeok="t" o:connecttype="rect"/>
              </v:shapetype>
              <v:shape id="_x0000_s1028" type="#_x0000_t202" alt="Title: How to Locate a District's MTRS payment in EdGrant's Front Office - Description: • The district’s control user should log onto EdGrants Front Office &#10;• From the left-hand navigation menu, select “Submissions.”&#10;• Locate the “Applicant Project Name,” the first of the filters, and use the dropdown list of all grants for the district to select the grant that the district would like to check for MTRS payments.&#10;• One of the submissions listed will be the “Project Report Card.” Open by clicking on the orange folder icon. &#10;• Once the payment to MTRS is made (usually in January or February of Year 1 of the grant), the “MTRS Payment Amount” box (highlighted) will show the amount paid directly to MTRS by DESE; before DESE makes this payment, this box will say “$0.” The amount, once paid, will equal 80% of the MTRS amount listed on the district’s approved budget for this grant.  Note that if your district has an amendment open in EdGrants, the MTRS payment information may be temporarily unavailable, but will be restored once the amendment has been fully processed.&#10;" style="position:absolute;margin-left:-28.25pt;margin-top:55.05pt;width:568.5pt;height:56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" fillcolor="#dce6f2">
                <v:shadow on="t" color="black" opacity="26214f" origin="-.5,-.5" offset=".74836mm,.74836mm"/>
                <v:textbox>
                  <w:txbxContent>
                    <w:p w14:paraId="746BDA57" w14:textId="77777777" w:rsidR="00E55A74" w:rsidRPr="00D04EAA" w:rsidRDefault="00E55A74" w:rsidP="00E55A74">
                      <w:pPr>
                        <w:rPr>
                          <w:b/>
                          <w:color w:val="1F497D" w:themeColor="text2"/>
                          <w:sz w:val="24"/>
                          <w:szCs w:val="28"/>
                        </w:rPr>
                      </w:pPr>
                      <w:r w:rsidRPr="00D04EAA">
                        <w:rPr>
                          <w:b/>
                          <w:color w:val="1F497D" w:themeColor="text2"/>
                          <w:sz w:val="24"/>
                          <w:szCs w:val="28"/>
                        </w:rPr>
                        <w:t>How to find the amount paid to MTRS by DESE</w:t>
                      </w:r>
                      <w:r w:rsidR="003E14AE" w:rsidRPr="00D04EAA">
                        <w:rPr>
                          <w:b/>
                          <w:color w:val="1F497D" w:themeColor="text2"/>
                          <w:sz w:val="24"/>
                          <w:szCs w:val="28"/>
                        </w:rPr>
                        <w:t xml:space="preserve"> for your federal grant</w:t>
                      </w:r>
                      <w:r w:rsidRPr="00D04EAA">
                        <w:rPr>
                          <w:b/>
                          <w:color w:val="1F497D" w:themeColor="text2"/>
                          <w:sz w:val="24"/>
                          <w:szCs w:val="28"/>
                        </w:rPr>
                        <w:t xml:space="preserve">.  </w:t>
                      </w:r>
                    </w:p>
                    <w:p w14:paraId="68A438CF" w14:textId="77777777" w:rsidR="00E55A74" w:rsidRDefault="00E55A74" w:rsidP="002C6465">
                      <w:pPr>
                        <w:pStyle w:val="ListParagraph"/>
                        <w:numPr>
                          <w:ilvl w:val="0"/>
                          <w:numId w:val="18"/>
                        </w:numPr>
                        <w:ind w:left="360"/>
                      </w:pPr>
                      <w:r>
                        <w:t xml:space="preserve">The district’s control user should log onto </w:t>
                      </w:r>
                      <w:hyperlink r:id="rId22" w:history="1">
                        <w:r w:rsidRPr="00E55A74">
                          <w:rPr>
                            <w:rStyle w:val="Hyperlink"/>
                            <w:rFonts w:cstheme="minorBidi"/>
                          </w:rPr>
                          <w:t>EdGrants Front Office</w:t>
                        </w:r>
                      </w:hyperlink>
                      <w:r>
                        <w:t xml:space="preserve"> </w:t>
                      </w:r>
                    </w:p>
                    <w:p w14:paraId="7F244B1E" w14:textId="77777777" w:rsidR="00E55A74" w:rsidRDefault="00E55A74" w:rsidP="002C6465">
                      <w:pPr>
                        <w:pStyle w:val="ListParagraph"/>
                        <w:numPr>
                          <w:ilvl w:val="0"/>
                          <w:numId w:val="18"/>
                        </w:numPr>
                        <w:ind w:left="360"/>
                      </w:pPr>
                      <w:r>
                        <w:t>From the left-hand navigation menu, select “Submissions.”</w:t>
                      </w:r>
                    </w:p>
                    <w:p w14:paraId="2E62A9A6" w14:textId="77777777" w:rsidR="003E14AE" w:rsidRDefault="003E14AE" w:rsidP="002C6465">
                      <w:pPr>
                        <w:pStyle w:val="ListParagraph"/>
                        <w:numPr>
                          <w:ilvl w:val="0"/>
                          <w:numId w:val="18"/>
                        </w:numPr>
                        <w:ind w:left="360"/>
                      </w:pPr>
                      <w:r>
                        <w:t>Locate</w:t>
                      </w:r>
                      <w:r w:rsidR="00E55A74">
                        <w:t xml:space="preserve"> </w:t>
                      </w:r>
                      <w:r w:rsidR="00BC2D88">
                        <w:t xml:space="preserve">the “Applicant Project Name,” the first of the filters, </w:t>
                      </w:r>
                      <w:r>
                        <w:t>and use the</w:t>
                      </w:r>
                      <w:r w:rsidR="00BC2D88">
                        <w:t xml:space="preserve"> dropdown list of all grants for the district</w:t>
                      </w:r>
                      <w:r>
                        <w:t xml:space="preserve"> to</w:t>
                      </w:r>
                      <w:r w:rsidR="00D04EAA">
                        <w:t xml:space="preserve"> s</w:t>
                      </w:r>
                      <w:r w:rsidR="00BC2D88">
                        <w:t>elect the grant that the district would like to check for MTRS payment</w:t>
                      </w:r>
                      <w:r w:rsidR="00D04EAA">
                        <w:t>s</w:t>
                      </w:r>
                      <w:r w:rsidR="00BC2D88">
                        <w:t>.</w:t>
                      </w:r>
                    </w:p>
                    <w:p w14:paraId="1A130093" w14:textId="77777777" w:rsidR="003E14AE" w:rsidRPr="003E14AE" w:rsidRDefault="00BC2D88" w:rsidP="002C6465">
                      <w:pPr>
                        <w:pStyle w:val="ListParagraph"/>
                        <w:numPr>
                          <w:ilvl w:val="0"/>
                          <w:numId w:val="18"/>
                        </w:numPr>
                        <w:ind w:left="360"/>
                      </w:pPr>
                      <w:r>
                        <w:t>One of the submissions listed will be the “Project Report Card.” Open by clicking on the orange folder icon.</w:t>
                      </w:r>
                      <w:r w:rsidR="003E14AE" w:rsidRPr="003E14AE">
                        <w:rPr>
                          <w:b/>
                          <w:noProof/>
                        </w:rPr>
                        <w:t xml:space="preserve"> </w:t>
                      </w:r>
                    </w:p>
                    <w:p w14:paraId="6609D4E0" w14:textId="77777777" w:rsidR="00BC2D88" w:rsidRPr="00E55A74" w:rsidRDefault="003E14AE" w:rsidP="002E63A6">
                      <w:pPr>
                        <w:ind w:left="90"/>
                        <w:jc w:val="center"/>
                      </w:pPr>
                      <w:r>
                        <w:rPr>
                          <w:noProof/>
                        </w:rPr>
                        <w:drawing>
                          <wp:inline distT="0" distB="0" distL="0" distR="0" wp14:anchorId="62BA0F45" wp14:editId="16E8C759">
                            <wp:extent cx="6394450" cy="892159"/>
                            <wp:effectExtent l="0" t="0" r="0" b="3810"/>
                            <wp:docPr id="1" name="Picture 1" descr="A screenshot of the submissions tab." title="EdGrants screensho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Grants ProjectReportCard.PNG"/>
                                    <pic:cNvPicPr/>
                                  </pic:nvPicPr>
                                  <pic:blipFill>
                                    <a:blip r:embed="rId19">
                                      <a:extLst>
                                        <a:ext uri="{28A0092B-C50C-407E-A947-70E740481C1C}">
                                          <a14:useLocalDpi xmlns:a14="http://schemas.microsoft.com/office/drawing/2010/main" val="0"/>
                                        </a:ext>
                                      </a:extLst>
                                    </a:blip>
                                    <a:stretch>
                                      <a:fillRect/>
                                    </a:stretch>
                                  </pic:blipFill>
                                  <pic:spPr>
                                    <a:xfrm>
                                      <a:off x="0" y="0"/>
                                      <a:ext cx="6394450" cy="892159"/>
                                    </a:xfrm>
                                    <a:prstGeom prst="rect">
                                      <a:avLst/>
                                    </a:prstGeom>
                                  </pic:spPr>
                                </pic:pic>
                              </a:graphicData>
                            </a:graphic>
                          </wp:inline>
                        </w:drawing>
                      </w:r>
                    </w:p>
                    <w:p w14:paraId="22388E89" w14:textId="77777777" w:rsidR="0093582B" w:rsidRDefault="00D04EAA" w:rsidP="0093582B">
                      <w:pPr>
                        <w:pStyle w:val="ListParagraph"/>
                        <w:numPr>
                          <w:ilvl w:val="0"/>
                          <w:numId w:val="20"/>
                        </w:numPr>
                        <w:spacing w:after="0"/>
                        <w:ind w:left="360"/>
                      </w:pPr>
                      <w:r>
                        <w:t>Once the payment to MTRS is made (usually in January or February of Year 1 of the grant), the “</w:t>
                      </w:r>
                      <w:r w:rsidR="00CA4B63">
                        <w:t>MTRS Payment Amount</w:t>
                      </w:r>
                      <w:r>
                        <w:t xml:space="preserve">” </w:t>
                      </w:r>
                      <w:r w:rsidR="00CA4B63">
                        <w:t>box (highlighted)</w:t>
                      </w:r>
                      <w:r>
                        <w:t xml:space="preserve"> will show the amount </w:t>
                      </w:r>
                      <w:r w:rsidR="00CA4B63">
                        <w:t>paid di</w:t>
                      </w:r>
                      <w:r>
                        <w:t>rectly to MTRS</w:t>
                      </w:r>
                      <w:r w:rsidR="00CA4B63">
                        <w:t xml:space="preserve"> by DESE; before DESE makes this payment, this box will say “$0.”</w:t>
                      </w:r>
                      <w:r>
                        <w:t xml:space="preserve"> The amount</w:t>
                      </w:r>
                      <w:r w:rsidR="0093582B">
                        <w:t>, once</w:t>
                      </w:r>
                      <w:r>
                        <w:t xml:space="preserve"> paid</w:t>
                      </w:r>
                      <w:r w:rsidR="0093582B">
                        <w:t>,</w:t>
                      </w:r>
                      <w:r>
                        <w:t xml:space="preserve"> will equal 80% of the MTRS amount listed on the district’</w:t>
                      </w:r>
                      <w:r w:rsidR="00E81011">
                        <w:t xml:space="preserve">s </w:t>
                      </w:r>
                      <w:r w:rsidR="00CA4B63">
                        <w:t xml:space="preserve">approved budget for this </w:t>
                      </w:r>
                      <w:r>
                        <w:t>grant.</w:t>
                      </w:r>
                      <w:r w:rsidRPr="00D04EAA">
                        <w:rPr>
                          <w:noProof/>
                        </w:rPr>
                        <w:t xml:space="preserve"> </w:t>
                      </w:r>
                      <w:r w:rsidR="00CA4B63">
                        <w:rPr>
                          <w:noProof/>
                        </w:rPr>
                        <w:t xml:space="preserve"> Note that if you</w:t>
                      </w:r>
                      <w:r w:rsidR="00183144">
                        <w:rPr>
                          <w:noProof/>
                        </w:rPr>
                        <w:t>r</w:t>
                      </w:r>
                      <w:r w:rsidR="00CA4B63">
                        <w:rPr>
                          <w:noProof/>
                        </w:rPr>
                        <w:t xml:space="preserve"> district has an amendment</w:t>
                      </w:r>
                      <w:r w:rsidR="00183144" w:rsidRPr="00183144">
                        <w:rPr>
                          <w:noProof/>
                        </w:rPr>
                        <w:t xml:space="preserve"> </w:t>
                      </w:r>
                      <w:r w:rsidR="00183144">
                        <w:rPr>
                          <w:noProof/>
                        </w:rPr>
                        <w:t>open in EdGrants</w:t>
                      </w:r>
                      <w:r w:rsidR="00CA4B63">
                        <w:rPr>
                          <w:noProof/>
                        </w:rPr>
                        <w:t>,</w:t>
                      </w:r>
                      <w:r w:rsidR="00183144">
                        <w:rPr>
                          <w:noProof/>
                        </w:rPr>
                        <w:t xml:space="preserve"> the</w:t>
                      </w:r>
                      <w:r w:rsidR="00CA4B63">
                        <w:rPr>
                          <w:noProof/>
                        </w:rPr>
                        <w:t xml:space="preserve"> MTRS payment information may be temporarily unavailable, but will be restored once the amendment</w:t>
                      </w:r>
                      <w:r w:rsidR="0093582B">
                        <w:rPr>
                          <w:noProof/>
                        </w:rPr>
                        <w:t xml:space="preserve"> has been</w:t>
                      </w:r>
                      <w:r w:rsidR="00CA4B63">
                        <w:rPr>
                          <w:noProof/>
                        </w:rPr>
                        <w:t xml:space="preserve"> </w:t>
                      </w:r>
                      <w:r w:rsidR="0093582B">
                        <w:rPr>
                          <w:noProof/>
                        </w:rPr>
                        <w:t>fully processed.</w:t>
                      </w:r>
                    </w:p>
                    <w:p w14:paraId="6EC0EC97" w14:textId="77777777" w:rsidR="0093582B" w:rsidRDefault="0093582B" w:rsidP="0093582B">
                      <w:pPr>
                        <w:pStyle w:val="ListParagraph"/>
                        <w:spacing w:after="0"/>
                        <w:ind w:left="360"/>
                      </w:pPr>
                    </w:p>
                    <w:p w14:paraId="7A41605A" w14:textId="77777777" w:rsidR="00BC2D88" w:rsidRDefault="00CA4B63" w:rsidP="00CB7987">
                      <w:pPr>
                        <w:spacing w:after="0"/>
                        <w:jc w:val="center"/>
                      </w:pPr>
                      <w:r>
                        <w:rPr>
                          <w:noProof/>
                        </w:rPr>
                        <w:drawing>
                          <wp:inline distT="0" distB="0" distL="0" distR="0" wp14:anchorId="7B346FC7" wp14:editId="25B12C51">
                            <wp:extent cx="5456818" cy="2685059"/>
                            <wp:effectExtent l="0" t="0" r="0" b="1270"/>
                            <wp:docPr id="6" name="Picture 6" descr="Shows where to find MTRS payment (third box down) on Project Record Card." title="Screenshot of Project Recor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3EBB.87EDEBB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67989" cy="2690556"/>
                                    </a:xfrm>
                                    <a:prstGeom prst="rect">
                                      <a:avLst/>
                                    </a:prstGeom>
                                    <a:noFill/>
                                    <a:ln>
                                      <a:noFill/>
                                    </a:ln>
                                  </pic:spPr>
                                </pic:pic>
                              </a:graphicData>
                            </a:graphic>
                          </wp:inline>
                        </w:drawing>
                      </w:r>
                    </w:p>
                    <w:p w14:paraId="391A5482" w14:textId="77777777" w:rsidR="00BC2D88" w:rsidRDefault="00BC2D88"/>
                  </w:txbxContent>
                </v:textbox>
                <w10:wrap type="square" anchorx="margin"/>
              </v:shape>
            </w:pict>
          </mc:Fallback>
        </mc:AlternateContent>
      </w:r>
      <w:r w:rsidR="002E63A6">
        <w:t xml:space="preserve">by DESE, DESE will seek a refund </w:t>
      </w:r>
      <w:r w:rsidR="00F255DC">
        <w:t xml:space="preserve">of the overage </w:t>
      </w:r>
      <w:r w:rsidR="002E63A6">
        <w:t>from MTRS that it paid on the district’s behalf. However, if the</w:t>
      </w:r>
      <w:r w:rsidR="002E3A77">
        <w:t xml:space="preserve"> </w:t>
      </w:r>
      <w:r w:rsidR="002E63A6">
        <w:t>district miscalculates and overpays its share at the end of the grant period, the district will be responsible for negotiating a refund of the overage from MTRS directly.</w:t>
      </w:r>
    </w:p>
    <w:sectPr w:rsidR="006E781A" w:rsidRPr="00995572" w:rsidSect="003355E1">
      <w:headerReference w:type="default" r:id="rId23"/>
      <w:footerReference w:type="default" r:id="rId24"/>
      <w:headerReference w:type="first" r:id="rId25"/>
      <w:pgSz w:w="12240" w:h="15840"/>
      <w:pgMar w:top="504" w:right="1008" w:bottom="270" w:left="1008" w:header="576"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49EC4" w14:textId="77777777" w:rsidR="00C26AD9" w:rsidRDefault="00C26AD9" w:rsidP="002123C2">
      <w:pPr>
        <w:spacing w:after="0" w:line="240" w:lineRule="auto"/>
      </w:pPr>
      <w:r>
        <w:separator/>
      </w:r>
    </w:p>
  </w:endnote>
  <w:endnote w:type="continuationSeparator" w:id="0">
    <w:p w14:paraId="79953ECE" w14:textId="77777777" w:rsidR="00C26AD9" w:rsidRDefault="00C26AD9" w:rsidP="0021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11EDC" w14:textId="77777777" w:rsidR="003355E1" w:rsidRPr="003355E1" w:rsidRDefault="003355E1" w:rsidP="003355E1">
    <w:pPr>
      <w:rPr>
        <w:rFonts w:cstheme="minorHAnsi"/>
        <w:b/>
        <w:bCs/>
        <w:color w:val="808080" w:themeColor="background1" w:themeShade="80"/>
        <w:sz w:val="18"/>
        <w:szCs w:val="18"/>
      </w:rPr>
    </w:pPr>
    <w:r>
      <w:rPr>
        <w:rFonts w:cstheme="minorHAnsi"/>
        <w:i/>
        <w:iCs/>
        <w:color w:val="808080" w:themeColor="background1" w:themeShade="80"/>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4239C89F" w14:textId="77777777" w:rsidR="003355E1" w:rsidRDefault="00335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53204" w14:textId="77777777" w:rsidR="00C26AD9" w:rsidRDefault="00C26AD9" w:rsidP="002123C2">
      <w:pPr>
        <w:spacing w:after="0" w:line="240" w:lineRule="auto"/>
      </w:pPr>
      <w:r>
        <w:separator/>
      </w:r>
    </w:p>
  </w:footnote>
  <w:footnote w:type="continuationSeparator" w:id="0">
    <w:p w14:paraId="5B039C93" w14:textId="77777777" w:rsidR="00C26AD9" w:rsidRDefault="00C26AD9" w:rsidP="0021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89119" w14:textId="77777777" w:rsidR="00F56B06" w:rsidRDefault="00F56B06" w:rsidP="00F56B06">
    <w:pPr>
      <w:pStyle w:val="Heading1"/>
      <w:spacing w:before="0" w:after="0"/>
      <w:rPr>
        <w:sz w:val="20"/>
        <w:szCs w:val="20"/>
      </w:rPr>
    </w:pPr>
    <w:r>
      <w:rPr>
        <w:noProof/>
      </w:rPr>
      <w:drawing>
        <wp:anchor distT="0" distB="0" distL="114300" distR="114300" simplePos="0" relativeHeight="251657216" behindDoc="0" locked="0" layoutInCell="1" allowOverlap="1" wp14:anchorId="1B29167C" wp14:editId="12504D0B">
          <wp:simplePos x="0" y="0"/>
          <wp:positionH relativeFrom="column">
            <wp:posOffset>-257810</wp:posOffset>
          </wp:positionH>
          <wp:positionV relativeFrom="paragraph">
            <wp:posOffset>-255270</wp:posOffset>
          </wp:positionV>
          <wp:extent cx="1099185" cy="520700"/>
          <wp:effectExtent l="19050" t="0" r="5715" b="0"/>
          <wp:wrapSquare wrapText="bothSides"/>
          <wp:docPr id="2"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099185" cy="520700"/>
                  </a:xfrm>
                  <a:prstGeom prst="rect">
                    <a:avLst/>
                  </a:prstGeom>
                  <a:noFill/>
                </pic:spPr>
              </pic:pic>
            </a:graphicData>
          </a:graphic>
        </wp:anchor>
      </w:drawing>
    </w:r>
  </w:p>
  <w:p w14:paraId="23734B9E" w14:textId="77777777" w:rsidR="00F56B06" w:rsidRPr="00F71E79" w:rsidRDefault="00F56B06" w:rsidP="00F71E79">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0DD61" w14:textId="77777777" w:rsidR="003355E1" w:rsidRDefault="003355E1">
    <w:pPr>
      <w:pStyle w:val="Header"/>
    </w:pPr>
    <w:r>
      <w:rPr>
        <w:noProof/>
      </w:rPr>
      <w:drawing>
        <wp:anchor distT="0" distB="0" distL="114300" distR="114300" simplePos="0" relativeHeight="251659264" behindDoc="0" locked="0" layoutInCell="1" allowOverlap="1" wp14:anchorId="2DA8691A" wp14:editId="30D4D693">
          <wp:simplePos x="0" y="0"/>
          <wp:positionH relativeFrom="column">
            <wp:posOffset>-374848</wp:posOffset>
          </wp:positionH>
          <wp:positionV relativeFrom="paragraph">
            <wp:posOffset>-350520</wp:posOffset>
          </wp:positionV>
          <wp:extent cx="1099185" cy="520700"/>
          <wp:effectExtent l="19050" t="0" r="5715" b="0"/>
          <wp:wrapSquare wrapText="bothSides"/>
          <wp:docPr id="4"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099185" cy="5207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75C1"/>
    <w:multiLevelType w:val="hybridMultilevel"/>
    <w:tmpl w:val="4F12F67A"/>
    <w:lvl w:ilvl="0" w:tplc="5C9E796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E4D08"/>
    <w:multiLevelType w:val="hybridMultilevel"/>
    <w:tmpl w:val="EB328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27472"/>
    <w:multiLevelType w:val="hybridMultilevel"/>
    <w:tmpl w:val="AD960630"/>
    <w:lvl w:ilvl="0" w:tplc="EE14F82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52085"/>
    <w:multiLevelType w:val="hybridMultilevel"/>
    <w:tmpl w:val="8270ABCE"/>
    <w:lvl w:ilvl="0" w:tplc="73341874">
      <w:numFmt w:val="bullet"/>
      <w:suff w:val="space"/>
      <w:lvlText w:val=""/>
      <w:lvlJc w:val="left"/>
      <w:pPr>
        <w:ind w:left="720" w:hanging="360"/>
      </w:pPr>
      <w:rPr>
        <w:rFonts w:ascii="Symbol" w:eastAsiaTheme="minorEastAsia" w:hAnsi="Symbol"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7C506A3"/>
    <w:multiLevelType w:val="hybridMultilevel"/>
    <w:tmpl w:val="EC26FB40"/>
    <w:lvl w:ilvl="0" w:tplc="97BA20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07C68"/>
    <w:multiLevelType w:val="hybridMultilevel"/>
    <w:tmpl w:val="0F72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472F3"/>
    <w:multiLevelType w:val="hybridMultilevel"/>
    <w:tmpl w:val="7584BC9C"/>
    <w:lvl w:ilvl="0" w:tplc="3BEC1C38">
      <w:numFmt w:val="bullet"/>
      <w:lvlText w:val=""/>
      <w:lvlJc w:val="left"/>
      <w:pPr>
        <w:ind w:left="720" w:hanging="360"/>
      </w:pPr>
      <w:rPr>
        <w:rFonts w:ascii="Symbol" w:eastAsiaTheme="minorEastAsia" w:hAnsi="Symbol"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90FC2"/>
    <w:multiLevelType w:val="hybridMultilevel"/>
    <w:tmpl w:val="8AFEA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3E08EB"/>
    <w:multiLevelType w:val="hybridMultilevel"/>
    <w:tmpl w:val="3566DF6A"/>
    <w:lvl w:ilvl="0" w:tplc="B612489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838E7"/>
    <w:multiLevelType w:val="hybridMultilevel"/>
    <w:tmpl w:val="6772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E588F"/>
    <w:multiLevelType w:val="hybridMultilevel"/>
    <w:tmpl w:val="4D6EC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61173"/>
    <w:multiLevelType w:val="hybridMultilevel"/>
    <w:tmpl w:val="196234A2"/>
    <w:lvl w:ilvl="0" w:tplc="87E625E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0"/>
  </w:num>
  <w:num w:numId="5">
    <w:abstractNumId w:val="3"/>
  </w:num>
  <w:num w:numId="6">
    <w:abstractNumId w:val="7"/>
  </w:num>
  <w:num w:numId="7">
    <w:abstractNumId w:val="9"/>
  </w:num>
  <w:num w:numId="8">
    <w:abstractNumId w:val="8"/>
  </w:num>
  <w:num w:numId="9">
    <w:abstractNumId w:val="15"/>
  </w:num>
  <w:num w:numId="10">
    <w:abstractNumId w:val="4"/>
  </w:num>
  <w:num w:numId="11">
    <w:abstractNumId w:val="18"/>
  </w:num>
  <w:num w:numId="12">
    <w:abstractNumId w:val="19"/>
  </w:num>
  <w:num w:numId="13">
    <w:abstractNumId w:val="0"/>
  </w:num>
  <w:num w:numId="14">
    <w:abstractNumId w:val="5"/>
  </w:num>
  <w:num w:numId="15">
    <w:abstractNumId w:val="17"/>
  </w:num>
  <w:num w:numId="16">
    <w:abstractNumId w:val="12"/>
  </w:num>
  <w:num w:numId="17">
    <w:abstractNumId w:val="14"/>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125F3"/>
    <w:rsid w:val="0002190C"/>
    <w:rsid w:val="000303E9"/>
    <w:rsid w:val="0003757F"/>
    <w:rsid w:val="00043D42"/>
    <w:rsid w:val="00056FFB"/>
    <w:rsid w:val="00071AC4"/>
    <w:rsid w:val="000722CB"/>
    <w:rsid w:val="00072968"/>
    <w:rsid w:val="00073E59"/>
    <w:rsid w:val="00076146"/>
    <w:rsid w:val="000808F3"/>
    <w:rsid w:val="0008207E"/>
    <w:rsid w:val="00086F4E"/>
    <w:rsid w:val="00093A41"/>
    <w:rsid w:val="000A5D6C"/>
    <w:rsid w:val="000B1B55"/>
    <w:rsid w:val="000B6AC1"/>
    <w:rsid w:val="000B73D7"/>
    <w:rsid w:val="000C43C8"/>
    <w:rsid w:val="000D3FCB"/>
    <w:rsid w:val="000D4A78"/>
    <w:rsid w:val="000E7A63"/>
    <w:rsid w:val="000F5FFE"/>
    <w:rsid w:val="000F6D88"/>
    <w:rsid w:val="00117AC6"/>
    <w:rsid w:val="0012247C"/>
    <w:rsid w:val="001257AF"/>
    <w:rsid w:val="00131E28"/>
    <w:rsid w:val="001574D3"/>
    <w:rsid w:val="00170E72"/>
    <w:rsid w:val="00174313"/>
    <w:rsid w:val="00174E70"/>
    <w:rsid w:val="0017625F"/>
    <w:rsid w:val="00182A5D"/>
    <w:rsid w:val="00183144"/>
    <w:rsid w:val="001860A8"/>
    <w:rsid w:val="001B111D"/>
    <w:rsid w:val="001C4C70"/>
    <w:rsid w:val="001C619E"/>
    <w:rsid w:val="001E3AC4"/>
    <w:rsid w:val="001E3F36"/>
    <w:rsid w:val="001E4A3B"/>
    <w:rsid w:val="001E7126"/>
    <w:rsid w:val="001F0C9A"/>
    <w:rsid w:val="001F3EC7"/>
    <w:rsid w:val="00200FAC"/>
    <w:rsid w:val="0020151F"/>
    <w:rsid w:val="00204756"/>
    <w:rsid w:val="0020643D"/>
    <w:rsid w:val="00206D81"/>
    <w:rsid w:val="00210D25"/>
    <w:rsid w:val="00211166"/>
    <w:rsid w:val="002123C2"/>
    <w:rsid w:val="00212A3D"/>
    <w:rsid w:val="002259FC"/>
    <w:rsid w:val="00231D56"/>
    <w:rsid w:val="00231DDF"/>
    <w:rsid w:val="00240884"/>
    <w:rsid w:val="0024322A"/>
    <w:rsid w:val="0024610A"/>
    <w:rsid w:val="002636CA"/>
    <w:rsid w:val="00267B36"/>
    <w:rsid w:val="00270A58"/>
    <w:rsid w:val="00294558"/>
    <w:rsid w:val="002A0D06"/>
    <w:rsid w:val="002C6098"/>
    <w:rsid w:val="002C6465"/>
    <w:rsid w:val="002D39D2"/>
    <w:rsid w:val="002D7D3C"/>
    <w:rsid w:val="002E3A77"/>
    <w:rsid w:val="002E63A6"/>
    <w:rsid w:val="002E6CE8"/>
    <w:rsid w:val="00301353"/>
    <w:rsid w:val="003051B7"/>
    <w:rsid w:val="003102F2"/>
    <w:rsid w:val="003250D3"/>
    <w:rsid w:val="00326341"/>
    <w:rsid w:val="00327788"/>
    <w:rsid w:val="003319F7"/>
    <w:rsid w:val="003352A5"/>
    <w:rsid w:val="003355E1"/>
    <w:rsid w:val="0034241C"/>
    <w:rsid w:val="00342FD0"/>
    <w:rsid w:val="0036539C"/>
    <w:rsid w:val="00382625"/>
    <w:rsid w:val="00382907"/>
    <w:rsid w:val="00396FC3"/>
    <w:rsid w:val="003A11FF"/>
    <w:rsid w:val="003A4FB0"/>
    <w:rsid w:val="003A6BCA"/>
    <w:rsid w:val="003B2F2B"/>
    <w:rsid w:val="003D31F2"/>
    <w:rsid w:val="003E14AE"/>
    <w:rsid w:val="003F66FA"/>
    <w:rsid w:val="004019BB"/>
    <w:rsid w:val="00406DEB"/>
    <w:rsid w:val="00407BE0"/>
    <w:rsid w:val="00413739"/>
    <w:rsid w:val="00415554"/>
    <w:rsid w:val="0042470F"/>
    <w:rsid w:val="004305CE"/>
    <w:rsid w:val="00432992"/>
    <w:rsid w:val="0043728A"/>
    <w:rsid w:val="00450B00"/>
    <w:rsid w:val="00466E27"/>
    <w:rsid w:val="00477D32"/>
    <w:rsid w:val="00480F37"/>
    <w:rsid w:val="00482610"/>
    <w:rsid w:val="00485676"/>
    <w:rsid w:val="004A4AB3"/>
    <w:rsid w:val="004B16EE"/>
    <w:rsid w:val="004B5B27"/>
    <w:rsid w:val="004B6498"/>
    <w:rsid w:val="004B6B5F"/>
    <w:rsid w:val="004C796F"/>
    <w:rsid w:val="004C7ED5"/>
    <w:rsid w:val="004D0883"/>
    <w:rsid w:val="004E1065"/>
    <w:rsid w:val="004F29A0"/>
    <w:rsid w:val="004F4F82"/>
    <w:rsid w:val="00501B38"/>
    <w:rsid w:val="00503C4D"/>
    <w:rsid w:val="00514962"/>
    <w:rsid w:val="005206E9"/>
    <w:rsid w:val="00532791"/>
    <w:rsid w:val="00533551"/>
    <w:rsid w:val="00535ECC"/>
    <w:rsid w:val="00544235"/>
    <w:rsid w:val="00546B72"/>
    <w:rsid w:val="005475B5"/>
    <w:rsid w:val="00547FDF"/>
    <w:rsid w:val="005510E8"/>
    <w:rsid w:val="00555745"/>
    <w:rsid w:val="00564973"/>
    <w:rsid w:val="00585773"/>
    <w:rsid w:val="005857BC"/>
    <w:rsid w:val="00592B55"/>
    <w:rsid w:val="00593423"/>
    <w:rsid w:val="005953E6"/>
    <w:rsid w:val="005C6722"/>
    <w:rsid w:val="005C6C1D"/>
    <w:rsid w:val="005C7D9C"/>
    <w:rsid w:val="005D05BB"/>
    <w:rsid w:val="005D29B4"/>
    <w:rsid w:val="005D469C"/>
    <w:rsid w:val="00601532"/>
    <w:rsid w:val="00621434"/>
    <w:rsid w:val="00623E03"/>
    <w:rsid w:val="00627B16"/>
    <w:rsid w:val="00631003"/>
    <w:rsid w:val="00631AA7"/>
    <w:rsid w:val="0063603F"/>
    <w:rsid w:val="00641C9A"/>
    <w:rsid w:val="00642A4C"/>
    <w:rsid w:val="00643D1F"/>
    <w:rsid w:val="006511C8"/>
    <w:rsid w:val="006819E3"/>
    <w:rsid w:val="0068601C"/>
    <w:rsid w:val="006C6E2F"/>
    <w:rsid w:val="006E13B5"/>
    <w:rsid w:val="006E781A"/>
    <w:rsid w:val="006F194D"/>
    <w:rsid w:val="00713C42"/>
    <w:rsid w:val="007338F6"/>
    <w:rsid w:val="007408DB"/>
    <w:rsid w:val="00743F65"/>
    <w:rsid w:val="00744CE8"/>
    <w:rsid w:val="007470EB"/>
    <w:rsid w:val="00747AF9"/>
    <w:rsid w:val="00751ADB"/>
    <w:rsid w:val="00753C19"/>
    <w:rsid w:val="007564CB"/>
    <w:rsid w:val="007659BD"/>
    <w:rsid w:val="007659C5"/>
    <w:rsid w:val="007732F7"/>
    <w:rsid w:val="00774EB2"/>
    <w:rsid w:val="00780045"/>
    <w:rsid w:val="00783E7A"/>
    <w:rsid w:val="007944D2"/>
    <w:rsid w:val="00797455"/>
    <w:rsid w:val="007A32C5"/>
    <w:rsid w:val="007A6975"/>
    <w:rsid w:val="007B2E02"/>
    <w:rsid w:val="007B48A1"/>
    <w:rsid w:val="007D5379"/>
    <w:rsid w:val="007E5905"/>
    <w:rsid w:val="007E638A"/>
    <w:rsid w:val="007F05E6"/>
    <w:rsid w:val="007F3C20"/>
    <w:rsid w:val="00805096"/>
    <w:rsid w:val="00806391"/>
    <w:rsid w:val="00810386"/>
    <w:rsid w:val="008135CE"/>
    <w:rsid w:val="00833F0F"/>
    <w:rsid w:val="00837E90"/>
    <w:rsid w:val="00842636"/>
    <w:rsid w:val="0084347C"/>
    <w:rsid w:val="00844745"/>
    <w:rsid w:val="00845120"/>
    <w:rsid w:val="008530BF"/>
    <w:rsid w:val="00866778"/>
    <w:rsid w:val="008717B6"/>
    <w:rsid w:val="00883526"/>
    <w:rsid w:val="0089449A"/>
    <w:rsid w:val="00895483"/>
    <w:rsid w:val="008A197C"/>
    <w:rsid w:val="008A31EF"/>
    <w:rsid w:val="008A7D8A"/>
    <w:rsid w:val="008C0CF9"/>
    <w:rsid w:val="008D1003"/>
    <w:rsid w:val="008D356D"/>
    <w:rsid w:val="008F4676"/>
    <w:rsid w:val="008F58EC"/>
    <w:rsid w:val="00901489"/>
    <w:rsid w:val="00903340"/>
    <w:rsid w:val="00916A21"/>
    <w:rsid w:val="00931557"/>
    <w:rsid w:val="0093582B"/>
    <w:rsid w:val="009363EF"/>
    <w:rsid w:val="009421C4"/>
    <w:rsid w:val="0095759B"/>
    <w:rsid w:val="00966D4C"/>
    <w:rsid w:val="00971A94"/>
    <w:rsid w:val="0097445C"/>
    <w:rsid w:val="0098046D"/>
    <w:rsid w:val="00984ED6"/>
    <w:rsid w:val="0099059B"/>
    <w:rsid w:val="009943AD"/>
    <w:rsid w:val="0099504F"/>
    <w:rsid w:val="00995572"/>
    <w:rsid w:val="009A0CB7"/>
    <w:rsid w:val="009A374E"/>
    <w:rsid w:val="009A611E"/>
    <w:rsid w:val="009B7065"/>
    <w:rsid w:val="009B741F"/>
    <w:rsid w:val="009C3911"/>
    <w:rsid w:val="009D5F80"/>
    <w:rsid w:val="009D6D60"/>
    <w:rsid w:val="009E493C"/>
    <w:rsid w:val="009E6755"/>
    <w:rsid w:val="009F29B9"/>
    <w:rsid w:val="009F4B90"/>
    <w:rsid w:val="00A163B8"/>
    <w:rsid w:val="00A16A10"/>
    <w:rsid w:val="00A225A7"/>
    <w:rsid w:val="00A27461"/>
    <w:rsid w:val="00A362B4"/>
    <w:rsid w:val="00A366EB"/>
    <w:rsid w:val="00A50D93"/>
    <w:rsid w:val="00A544D0"/>
    <w:rsid w:val="00A94E43"/>
    <w:rsid w:val="00AB05E3"/>
    <w:rsid w:val="00AB4306"/>
    <w:rsid w:val="00AE1EC1"/>
    <w:rsid w:val="00AF11A7"/>
    <w:rsid w:val="00B03DA9"/>
    <w:rsid w:val="00B210C0"/>
    <w:rsid w:val="00B230DE"/>
    <w:rsid w:val="00B31888"/>
    <w:rsid w:val="00B337A5"/>
    <w:rsid w:val="00B40191"/>
    <w:rsid w:val="00B5196C"/>
    <w:rsid w:val="00B52F4F"/>
    <w:rsid w:val="00B53E62"/>
    <w:rsid w:val="00B554F9"/>
    <w:rsid w:val="00B73CEB"/>
    <w:rsid w:val="00B74F81"/>
    <w:rsid w:val="00B7702D"/>
    <w:rsid w:val="00B77C97"/>
    <w:rsid w:val="00B96B60"/>
    <w:rsid w:val="00BA5EA3"/>
    <w:rsid w:val="00BA7A75"/>
    <w:rsid w:val="00BB2195"/>
    <w:rsid w:val="00BB21A0"/>
    <w:rsid w:val="00BC2D88"/>
    <w:rsid w:val="00BD0357"/>
    <w:rsid w:val="00BE26C7"/>
    <w:rsid w:val="00BF2AFB"/>
    <w:rsid w:val="00BF4166"/>
    <w:rsid w:val="00C03057"/>
    <w:rsid w:val="00C11075"/>
    <w:rsid w:val="00C117FB"/>
    <w:rsid w:val="00C165D4"/>
    <w:rsid w:val="00C24CAB"/>
    <w:rsid w:val="00C25216"/>
    <w:rsid w:val="00C26AD9"/>
    <w:rsid w:val="00C26AE4"/>
    <w:rsid w:val="00C31011"/>
    <w:rsid w:val="00C37A8B"/>
    <w:rsid w:val="00C56E6F"/>
    <w:rsid w:val="00C8094B"/>
    <w:rsid w:val="00C80D4D"/>
    <w:rsid w:val="00C8391D"/>
    <w:rsid w:val="00C83AE6"/>
    <w:rsid w:val="00C84705"/>
    <w:rsid w:val="00C944A9"/>
    <w:rsid w:val="00CA1858"/>
    <w:rsid w:val="00CA4B63"/>
    <w:rsid w:val="00CA4D14"/>
    <w:rsid w:val="00CB2B87"/>
    <w:rsid w:val="00CB7987"/>
    <w:rsid w:val="00CC71BF"/>
    <w:rsid w:val="00CD216B"/>
    <w:rsid w:val="00CE405C"/>
    <w:rsid w:val="00CE6144"/>
    <w:rsid w:val="00CF48CE"/>
    <w:rsid w:val="00CF4C60"/>
    <w:rsid w:val="00CF5678"/>
    <w:rsid w:val="00D04EAA"/>
    <w:rsid w:val="00D0630D"/>
    <w:rsid w:val="00D130A8"/>
    <w:rsid w:val="00D161B0"/>
    <w:rsid w:val="00D20433"/>
    <w:rsid w:val="00D21C06"/>
    <w:rsid w:val="00D22302"/>
    <w:rsid w:val="00D279FB"/>
    <w:rsid w:val="00D54287"/>
    <w:rsid w:val="00D659A6"/>
    <w:rsid w:val="00D80403"/>
    <w:rsid w:val="00D86719"/>
    <w:rsid w:val="00D87511"/>
    <w:rsid w:val="00D93B3D"/>
    <w:rsid w:val="00DA3428"/>
    <w:rsid w:val="00DA670D"/>
    <w:rsid w:val="00DB72D3"/>
    <w:rsid w:val="00DC63FB"/>
    <w:rsid w:val="00DD1CB5"/>
    <w:rsid w:val="00DD5E81"/>
    <w:rsid w:val="00DD7467"/>
    <w:rsid w:val="00DE2279"/>
    <w:rsid w:val="00DE35E2"/>
    <w:rsid w:val="00DF551B"/>
    <w:rsid w:val="00E00157"/>
    <w:rsid w:val="00E26698"/>
    <w:rsid w:val="00E4096A"/>
    <w:rsid w:val="00E55A74"/>
    <w:rsid w:val="00E563E6"/>
    <w:rsid w:val="00E70C1D"/>
    <w:rsid w:val="00E75ECC"/>
    <w:rsid w:val="00E768BF"/>
    <w:rsid w:val="00E80B3D"/>
    <w:rsid w:val="00E81011"/>
    <w:rsid w:val="00E951EB"/>
    <w:rsid w:val="00EA7BA8"/>
    <w:rsid w:val="00EB3A99"/>
    <w:rsid w:val="00EB49F3"/>
    <w:rsid w:val="00EC096A"/>
    <w:rsid w:val="00EC228F"/>
    <w:rsid w:val="00EC2F47"/>
    <w:rsid w:val="00EC342F"/>
    <w:rsid w:val="00ED00FB"/>
    <w:rsid w:val="00EE3263"/>
    <w:rsid w:val="00EF11BB"/>
    <w:rsid w:val="00EF56DE"/>
    <w:rsid w:val="00F03361"/>
    <w:rsid w:val="00F114D6"/>
    <w:rsid w:val="00F209B2"/>
    <w:rsid w:val="00F23CF4"/>
    <w:rsid w:val="00F255DC"/>
    <w:rsid w:val="00F2754F"/>
    <w:rsid w:val="00F56B06"/>
    <w:rsid w:val="00F71E79"/>
    <w:rsid w:val="00F86CF8"/>
    <w:rsid w:val="00F95AB8"/>
    <w:rsid w:val="00FA2E43"/>
    <w:rsid w:val="00FB0D62"/>
    <w:rsid w:val="00FC64CC"/>
    <w:rsid w:val="00FD69A3"/>
    <w:rsid w:val="00FE2AE2"/>
    <w:rsid w:val="00FE4FAC"/>
    <w:rsid w:val="00FE7B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82461"/>
  <w15:docId w15:val="{64710BBF-662D-4A85-A9F4-7A349914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uiPriority w:val="59"/>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722CB"/>
    <w:pPr>
      <w:autoSpaceDE w:val="0"/>
      <w:autoSpaceDN w:val="0"/>
      <w:adjustRightInd w:val="0"/>
      <w:spacing w:after="0" w:line="240" w:lineRule="auto"/>
    </w:pPr>
    <w:rPr>
      <w:rFonts w:ascii="Wingdings" w:eastAsiaTheme="minorHAnsi" w:hAnsi="Wingdings" w:cs="Wingdings"/>
      <w:color w:val="000000"/>
      <w:sz w:val="24"/>
      <w:szCs w:val="24"/>
    </w:rPr>
  </w:style>
  <w:style w:type="paragraph" w:styleId="CommentText">
    <w:name w:val="annotation text"/>
    <w:basedOn w:val="Normal"/>
    <w:link w:val="CommentTextChar"/>
    <w:uiPriority w:val="99"/>
    <w:semiHidden/>
    <w:unhideWhenUsed/>
    <w:rsid w:val="00450B00"/>
    <w:pPr>
      <w:spacing w:line="240" w:lineRule="auto"/>
    </w:pPr>
    <w:rPr>
      <w:sz w:val="20"/>
      <w:szCs w:val="20"/>
    </w:rPr>
  </w:style>
  <w:style w:type="character" w:customStyle="1" w:styleId="CommentTextChar">
    <w:name w:val="Comment Text Char"/>
    <w:basedOn w:val="DefaultParagraphFont"/>
    <w:link w:val="CommentText"/>
    <w:uiPriority w:val="99"/>
    <w:semiHidden/>
    <w:rsid w:val="00450B00"/>
    <w:rPr>
      <w:sz w:val="20"/>
      <w:szCs w:val="20"/>
    </w:rPr>
  </w:style>
  <w:style w:type="table" w:customStyle="1" w:styleId="TableGrid1">
    <w:name w:val="Table Grid1"/>
    <w:basedOn w:val="TableNormal"/>
    <w:next w:val="TableGrid"/>
    <w:uiPriority w:val="59"/>
    <w:rsid w:val="00450B0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0B00"/>
    <w:rPr>
      <w:sz w:val="16"/>
      <w:szCs w:val="16"/>
    </w:rPr>
  </w:style>
  <w:style w:type="paragraph" w:styleId="FootnoteText">
    <w:name w:val="footnote text"/>
    <w:basedOn w:val="Normal"/>
    <w:link w:val="FootnoteTextChar"/>
    <w:uiPriority w:val="99"/>
    <w:semiHidden/>
    <w:unhideWhenUsed/>
    <w:rsid w:val="00C24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CAB"/>
    <w:rPr>
      <w:sz w:val="20"/>
      <w:szCs w:val="20"/>
    </w:rPr>
  </w:style>
  <w:style w:type="character" w:styleId="FootnoteReference">
    <w:name w:val="footnote reference"/>
    <w:basedOn w:val="DefaultParagraphFont"/>
    <w:uiPriority w:val="99"/>
    <w:semiHidden/>
    <w:unhideWhenUsed/>
    <w:rsid w:val="00C24CAB"/>
    <w:rPr>
      <w:vertAlign w:val="superscript"/>
    </w:rPr>
  </w:style>
  <w:style w:type="table" w:customStyle="1" w:styleId="MediumShading2-Accent11">
    <w:name w:val="Medium Shading 2 - Accent 11"/>
    <w:basedOn w:val="TableNormal"/>
    <w:uiPriority w:val="64"/>
    <w:rsid w:val="00C24CA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B31888"/>
    <w:rPr>
      <w:b/>
      <w:bCs/>
    </w:rPr>
  </w:style>
  <w:style w:type="character" w:customStyle="1" w:styleId="CommentSubjectChar">
    <w:name w:val="Comment Subject Char"/>
    <w:basedOn w:val="CommentTextChar"/>
    <w:link w:val="CommentSubject"/>
    <w:uiPriority w:val="99"/>
    <w:semiHidden/>
    <w:rsid w:val="00B31888"/>
    <w:rPr>
      <w:b/>
      <w:bCs/>
      <w:sz w:val="20"/>
      <w:szCs w:val="20"/>
    </w:rPr>
  </w:style>
  <w:style w:type="table" w:styleId="ListTable4-Accent6">
    <w:name w:val="List Table 4 Accent 6"/>
    <w:basedOn w:val="TableNormal"/>
    <w:uiPriority w:val="49"/>
    <w:rsid w:val="0058577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Accent6">
    <w:name w:val="Grid Table 7 Colorful Accent 6"/>
    <w:basedOn w:val="TableNormal"/>
    <w:uiPriority w:val="52"/>
    <w:rsid w:val="0058577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5Dark-Accent6">
    <w:name w:val="Grid Table 5 Dark Accent 6"/>
    <w:basedOn w:val="TableNormal"/>
    <w:uiPriority w:val="50"/>
    <w:rsid w:val="005857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999069">
      <w:bodyDiv w:val="1"/>
      <w:marLeft w:val="0"/>
      <w:marRight w:val="0"/>
      <w:marTop w:val="0"/>
      <w:marBottom w:val="0"/>
      <w:divBdr>
        <w:top w:val="none" w:sz="0" w:space="0" w:color="auto"/>
        <w:left w:val="none" w:sz="0" w:space="0" w:color="auto"/>
        <w:bottom w:val="none" w:sz="0" w:space="0" w:color="auto"/>
        <w:right w:val="none" w:sz="0" w:space="0" w:color="auto"/>
      </w:divBdr>
    </w:div>
    <w:div w:id="1491405199">
      <w:bodyDiv w:val="1"/>
      <w:marLeft w:val="0"/>
      <w:marRight w:val="0"/>
      <w:marTop w:val="0"/>
      <w:marBottom w:val="0"/>
      <w:divBdr>
        <w:top w:val="none" w:sz="0" w:space="0" w:color="auto"/>
        <w:left w:val="none" w:sz="0" w:space="0" w:color="auto"/>
        <w:bottom w:val="none" w:sz="0" w:space="0" w:color="auto"/>
        <w:right w:val="none" w:sz="0" w:space="0" w:color="auto"/>
      </w:divBdr>
    </w:div>
    <w:div w:id="16121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ss.gov/files/documents/2016/08/no/90-106.pdf" TargetMode="External"/><Relationship Id="rId18" Type="http://schemas.openxmlformats.org/officeDocument/2006/relationships/hyperlink" Target="https://edgrants.eoe.mass.edu/grantium/frontOffice.js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image001.png@01D43EBB.87EDEBB0" TargetMode="External"/><Relationship Id="rId7" Type="http://schemas.openxmlformats.org/officeDocument/2006/relationships/styles" Target="styles.xml"/><Relationship Id="rId12" Type="http://schemas.openxmlformats.org/officeDocument/2006/relationships/hyperlink" Target="http://www.doe.mass.edu/grants/procedure/forms/j.doc" TargetMode="External"/><Relationship Id="rId17" Type="http://schemas.openxmlformats.org/officeDocument/2006/relationships/hyperlink" Target="http://www.doe.mass.edu/grants/procedure/forms/i.doc"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trs.state.ma.us/service/mtrs-membership-eligibility/?highlight=Eligibility"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mass.gov/files/documents/2016/08/no/90-106.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grants/procedure/forms/j.doc" TargetMode="External"/><Relationship Id="rId22" Type="http://schemas.openxmlformats.org/officeDocument/2006/relationships/hyperlink" Target="https://edgrants.eoe.mass.edu/grantium/frontOffice.js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4F81BD">
            <a:lumMod val="20000"/>
            <a:lumOff val="80000"/>
          </a:srgbClr>
        </a:solidFill>
        <a:ln w="9525">
          <a:solidFill>
            <a:srgbClr val="000000"/>
          </a:solidFill>
          <a:miter lim="800000"/>
          <a:headEnd/>
          <a:tailEnd/>
        </a:ln>
        <a:effectLst>
          <a:outerShdw blurRad="50800" dist="38100" dir="2700000" algn="tl" rotWithShape="0">
            <a:prstClr val="black">
              <a:alpha val="40000"/>
            </a:prstClr>
          </a:outerShdw>
        </a:effectLst>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DESE-231-62130</_dlc_DocId>
    <_dlc_DocIdUrl xmlns="733efe1c-5bbe-4968-87dc-d400e65c879f">
      <Url>https://sharepoint.doemass.org/ese/webteam/cps/_layouts/DocIdRedir.aspx?ID=DESE-231-62130</Url>
      <Description>DESE-231-62130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9D466-85E5-41F0-893A-093E295C79C3}">
  <ds:schemaRefs>
    <ds:schemaRef ds:uri="http://schemas.microsoft.com/sharepoint/v3/contenttype/forms"/>
  </ds:schemaRefs>
</ds:datastoreItem>
</file>

<file path=customXml/itemProps2.xml><?xml version="1.0" encoding="utf-8"?>
<ds:datastoreItem xmlns:ds="http://schemas.openxmlformats.org/officeDocument/2006/customXml" ds:itemID="{B87EFAA5-BECA-4BFA-97B9-905434DBF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D5EC9-2AEC-44DF-AC5A-933CC45D7199}">
  <ds:schemaRefs>
    <ds:schemaRef ds:uri="http://schemas.microsoft.com/sharepoint/events"/>
  </ds:schemaRefs>
</ds:datastoreItem>
</file>

<file path=customXml/itemProps4.xml><?xml version="1.0" encoding="utf-8"?>
<ds:datastoreItem xmlns:ds="http://schemas.openxmlformats.org/officeDocument/2006/customXml" ds:itemID="{1A4E6E00-E10C-4613-B109-2CA680205EA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678E1B4-0AA5-4F0C-A906-B76C9DD7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Quick Reference Guide: MTRS</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MTRS</dc:title>
  <dc:subject/>
  <dc:creator>DESE</dc:creator>
  <cp:lastModifiedBy>Zou, Dong (EOE)</cp:lastModifiedBy>
  <cp:revision>3</cp:revision>
  <cp:lastPrinted>2018-08-02T21:21:00Z</cp:lastPrinted>
  <dcterms:created xsi:type="dcterms:W3CDTF">2020-06-26T20:39:00Z</dcterms:created>
  <dcterms:modified xsi:type="dcterms:W3CDTF">2020-07-08T14:48:00Z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2020</vt:lpwstr>
  </property>
</Properties>
</file>