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7396" w14:textId="23004026" w:rsidR="00C304D8" w:rsidRPr="00977600" w:rsidRDefault="00C304D8" w:rsidP="00977600">
      <w:pPr>
        <w:spacing w:after="0" w:line="216" w:lineRule="auto"/>
        <w:rPr>
          <w:b/>
          <w:color w:val="1F497D" w:themeColor="text2"/>
          <w:sz w:val="30"/>
          <w:szCs w:val="30"/>
        </w:rPr>
      </w:pPr>
      <w:bookmarkStart w:id="0" w:name="_GoBack"/>
      <w:bookmarkEnd w:id="0"/>
      <w:r w:rsidRPr="00977600">
        <w:rPr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54BB0091" wp14:editId="0B8FA4D3">
            <wp:simplePos x="0" y="0"/>
            <wp:positionH relativeFrom="margin">
              <wp:posOffset>5593466</wp:posOffset>
            </wp:positionH>
            <wp:positionV relativeFrom="margin">
              <wp:posOffset>-100902</wp:posOffset>
            </wp:positionV>
            <wp:extent cx="1591945" cy="630555"/>
            <wp:effectExtent l="0" t="0" r="8255" b="0"/>
            <wp:wrapSquare wrapText="bothSides"/>
            <wp:docPr id="5" name="Picture 5" descr="DESE Star Logo" title="D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reative\DESE-Elem-Secondary-Education\Logo\DESE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EB2" w:rsidRPr="00977600">
        <w:rPr>
          <w:b/>
          <w:color w:val="1F497D" w:themeColor="text2"/>
          <w:sz w:val="30"/>
          <w:szCs w:val="30"/>
        </w:rPr>
        <w:t xml:space="preserve">ESSA Entitlement Grants:  Supplement Not Supplant </w:t>
      </w:r>
      <w:r w:rsidR="00977600" w:rsidRPr="00977600">
        <w:rPr>
          <w:b/>
          <w:color w:val="1F497D" w:themeColor="text2"/>
          <w:sz w:val="30"/>
          <w:szCs w:val="30"/>
        </w:rPr>
        <w:t>R</w:t>
      </w:r>
      <w:r w:rsidR="00083EB2" w:rsidRPr="00977600">
        <w:rPr>
          <w:b/>
          <w:color w:val="1F497D" w:themeColor="text2"/>
          <w:sz w:val="30"/>
          <w:szCs w:val="30"/>
        </w:rPr>
        <w:t xml:space="preserve">equirements </w:t>
      </w:r>
    </w:p>
    <w:p w14:paraId="07373F3A" w14:textId="78FE8AEA" w:rsidR="00C304D8" w:rsidRPr="00B31310" w:rsidRDefault="00083EB2" w:rsidP="00C304D8">
      <w:pPr>
        <w:spacing w:after="0" w:line="240" w:lineRule="auto"/>
        <w:rPr>
          <w:b/>
          <w:color w:val="E36C0A" w:themeColor="accent6" w:themeShade="BF"/>
          <w:sz w:val="27"/>
          <w:szCs w:val="27"/>
        </w:rPr>
      </w:pPr>
      <w:r w:rsidRPr="00B31310">
        <w:rPr>
          <w:b/>
          <w:color w:val="E36C0A" w:themeColor="accent6" w:themeShade="BF"/>
          <w:sz w:val="27"/>
          <w:szCs w:val="27"/>
        </w:rPr>
        <w:t>Title I, Part A; Title II, Part A; Title III, Part A and Title IV, Part A</w:t>
      </w:r>
    </w:p>
    <w:p w14:paraId="6D813F9A" w14:textId="77777777" w:rsidR="00C304D8" w:rsidRPr="00104A2D" w:rsidRDefault="00C304D8" w:rsidP="00C304D8">
      <w:pPr>
        <w:spacing w:after="0" w:line="240" w:lineRule="auto"/>
        <w:rPr>
          <w:b/>
          <w:color w:val="E36C0A" w:themeColor="accent6" w:themeShade="BF"/>
          <w:sz w:val="16"/>
          <w:szCs w:val="16"/>
        </w:rPr>
      </w:pPr>
    </w:p>
    <w:p w14:paraId="1271E53E" w14:textId="6DDA3AA7" w:rsidR="00C304D8" w:rsidRDefault="00083EB2" w:rsidP="00C304D8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>
        <w:rPr>
          <w:b/>
          <w:color w:val="1F497D" w:themeColor="text2"/>
          <w:sz w:val="24"/>
          <w:szCs w:val="20"/>
        </w:rPr>
        <w:t>What is Supplement not Supplant?</w:t>
      </w:r>
    </w:p>
    <w:p w14:paraId="5821A60A" w14:textId="1C19D502" w:rsidR="00C304D8" w:rsidRPr="00B31310" w:rsidRDefault="00F2115F" w:rsidP="00B71EDF">
      <w:pPr>
        <w:spacing w:after="120" w:line="240" w:lineRule="auto"/>
        <w:rPr>
          <w:sz w:val="20"/>
          <w:szCs w:val="20"/>
        </w:rPr>
      </w:pPr>
      <w:r w:rsidRPr="00B31310">
        <w:rPr>
          <w:sz w:val="20"/>
          <w:szCs w:val="20"/>
        </w:rPr>
        <w:t>Generally, federal funds allocated to districts through the Elementary and Secondary Education Act (ESEA), in its current authorization as the Every Student Succeeds Act (ESSA)</w:t>
      </w:r>
      <w:r w:rsidR="00C24C6E" w:rsidRPr="00B31310">
        <w:rPr>
          <w:sz w:val="20"/>
          <w:szCs w:val="20"/>
        </w:rPr>
        <w:t>,</w:t>
      </w:r>
      <w:r w:rsidRPr="00B31310">
        <w:rPr>
          <w:sz w:val="20"/>
          <w:szCs w:val="20"/>
        </w:rPr>
        <w:t xml:space="preserve"> are supposed to be additive or supplemental to other funds available to schools in the district. ESSA Title funds </w:t>
      </w:r>
      <w:r w:rsidR="001033C4">
        <w:rPr>
          <w:sz w:val="20"/>
          <w:szCs w:val="20"/>
        </w:rPr>
        <w:t>may not be</w:t>
      </w:r>
      <w:r w:rsidR="001033C4" w:rsidRPr="00B31310">
        <w:rPr>
          <w:sz w:val="20"/>
          <w:szCs w:val="20"/>
        </w:rPr>
        <w:t xml:space="preserve"> </w:t>
      </w:r>
      <w:r w:rsidRPr="00B31310">
        <w:rPr>
          <w:sz w:val="20"/>
          <w:szCs w:val="20"/>
        </w:rPr>
        <w:t xml:space="preserve">used to take the place of, or supplant, other funds. </w:t>
      </w:r>
      <w:r w:rsidR="00982620" w:rsidRPr="00B31310">
        <w:rPr>
          <w:sz w:val="20"/>
          <w:szCs w:val="20"/>
        </w:rPr>
        <w:t xml:space="preserve">Notably, Title programs within ESSA have </w:t>
      </w:r>
      <w:r w:rsidR="001033C4" w:rsidRPr="00B31310">
        <w:rPr>
          <w:sz w:val="20"/>
          <w:szCs w:val="20"/>
        </w:rPr>
        <w:t>“supplement not supplant”</w:t>
      </w:r>
      <w:r w:rsidR="001033C4">
        <w:rPr>
          <w:sz w:val="20"/>
          <w:szCs w:val="20"/>
        </w:rPr>
        <w:t xml:space="preserve"> (</w:t>
      </w:r>
      <w:r w:rsidR="00982620" w:rsidRPr="00B31310">
        <w:rPr>
          <w:sz w:val="20"/>
          <w:szCs w:val="20"/>
        </w:rPr>
        <w:t>SNS</w:t>
      </w:r>
      <w:r w:rsidR="001033C4">
        <w:rPr>
          <w:sz w:val="20"/>
          <w:szCs w:val="20"/>
        </w:rPr>
        <w:t>)</w:t>
      </w:r>
      <w:r w:rsidR="00982620" w:rsidRPr="00B31310">
        <w:rPr>
          <w:sz w:val="20"/>
          <w:szCs w:val="20"/>
        </w:rPr>
        <w:t xml:space="preserve"> requirements that vary in some respects. The information below is designed to help navigate SNS for each Title program to allow you to use funds flexibly while remaining </w:t>
      </w:r>
      <w:r w:rsidR="001033C4">
        <w:rPr>
          <w:sz w:val="20"/>
          <w:szCs w:val="20"/>
        </w:rPr>
        <w:t xml:space="preserve">in </w:t>
      </w:r>
      <w:r w:rsidR="00982620" w:rsidRPr="00B31310">
        <w:rPr>
          <w:sz w:val="20"/>
          <w:szCs w:val="20"/>
        </w:rPr>
        <w:t>complian</w:t>
      </w:r>
      <w:r w:rsidR="001033C4">
        <w:rPr>
          <w:sz w:val="20"/>
          <w:szCs w:val="20"/>
        </w:rPr>
        <w:t>ce</w:t>
      </w:r>
      <w:r w:rsidR="00982620" w:rsidRPr="00B31310">
        <w:rPr>
          <w:sz w:val="20"/>
          <w:szCs w:val="20"/>
        </w:rPr>
        <w:t>.</w:t>
      </w:r>
    </w:p>
    <w:tbl>
      <w:tblPr>
        <w:tblStyle w:val="GridTable4-Accent1"/>
        <w:tblW w:w="0" w:type="auto"/>
        <w:tblInd w:w="1615" w:type="dxa"/>
        <w:tblLook w:val="04A0" w:firstRow="1" w:lastRow="0" w:firstColumn="1" w:lastColumn="0" w:noHBand="0" w:noVBand="1"/>
        <w:tblDescription w:val="Federal grant funds table"/>
      </w:tblPr>
      <w:tblGrid>
        <w:gridCol w:w="1571"/>
        <w:gridCol w:w="2021"/>
        <w:gridCol w:w="2021"/>
        <w:gridCol w:w="2023"/>
      </w:tblGrid>
      <w:tr w:rsidR="00C24C6E" w:rsidRPr="000A4E97" w14:paraId="1E5925ED" w14:textId="77777777" w:rsidTr="004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7ABBD2E" w14:textId="20094F65" w:rsidR="00C24C6E" w:rsidRPr="000A4E97" w:rsidRDefault="00C24C6E" w:rsidP="008833AD">
            <w:pPr>
              <w:spacing w:after="120"/>
              <w:ind w:left="973"/>
              <w:jc w:val="center"/>
              <w:rPr>
                <w:sz w:val="20"/>
              </w:rPr>
            </w:pPr>
          </w:p>
        </w:tc>
        <w:tc>
          <w:tcPr>
            <w:tcW w:w="6065" w:type="dxa"/>
            <w:gridSpan w:val="3"/>
            <w:shd w:val="clear" w:color="auto" w:fill="E36C0A" w:themeFill="accent6" w:themeFillShade="BF"/>
            <w:vAlign w:val="center"/>
          </w:tcPr>
          <w:p w14:paraId="7BBD0AED" w14:textId="4B3D6A8A" w:rsidR="00C24C6E" w:rsidRPr="000A4E97" w:rsidRDefault="006119B9" w:rsidP="001033C4">
            <w:pPr>
              <w:spacing w:after="120"/>
              <w:ind w:left="-6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sz w:val="20"/>
              </w:rPr>
              <w:t>Federal Grant funds must not replace</w:t>
            </w:r>
            <w:r w:rsidR="00C24C6E" w:rsidRPr="000A4E97">
              <w:rPr>
                <w:sz w:val="20"/>
              </w:rPr>
              <w:t>:</w:t>
            </w:r>
          </w:p>
        </w:tc>
      </w:tr>
      <w:tr w:rsidR="00C24C6E" w:rsidRPr="000A4E97" w14:paraId="269D567F" w14:textId="77777777" w:rsidTr="004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5D10CA71" w14:textId="0EEC18E8" w:rsidR="00C24C6E" w:rsidRPr="000A4E97" w:rsidRDefault="00C24C6E" w:rsidP="001C4D99">
            <w:pPr>
              <w:spacing w:after="120"/>
              <w:rPr>
                <w:i/>
                <w:sz w:val="20"/>
              </w:rPr>
            </w:pPr>
          </w:p>
        </w:tc>
        <w:tc>
          <w:tcPr>
            <w:tcW w:w="2021" w:type="dxa"/>
            <w:shd w:val="clear" w:color="auto" w:fill="548DD4" w:themeFill="text2" w:themeFillTint="99"/>
            <w:vAlign w:val="center"/>
          </w:tcPr>
          <w:p w14:paraId="6833269E" w14:textId="0D0C0BBB" w:rsidR="00C24C6E" w:rsidRPr="000A4E97" w:rsidRDefault="00C24C6E" w:rsidP="00C24C6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2F2F2" w:themeColor="background1" w:themeShade="F2"/>
                <w:sz w:val="20"/>
              </w:rPr>
            </w:pPr>
            <w:r w:rsidRPr="000A4E97">
              <w:rPr>
                <w:color w:val="F2F2F2" w:themeColor="background1" w:themeShade="F2"/>
                <w:sz w:val="20"/>
              </w:rPr>
              <w:t>Federal Funds</w:t>
            </w:r>
          </w:p>
        </w:tc>
        <w:tc>
          <w:tcPr>
            <w:tcW w:w="2021" w:type="dxa"/>
            <w:shd w:val="clear" w:color="auto" w:fill="548DD4" w:themeFill="text2" w:themeFillTint="99"/>
            <w:vAlign w:val="center"/>
          </w:tcPr>
          <w:p w14:paraId="0D5D65E0" w14:textId="4D67275B" w:rsidR="00C24C6E" w:rsidRPr="000A4E97" w:rsidRDefault="00C24C6E" w:rsidP="001033C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2F2F2" w:themeColor="background1" w:themeShade="F2"/>
                <w:sz w:val="20"/>
              </w:rPr>
            </w:pPr>
            <w:r w:rsidRPr="000A4E97">
              <w:rPr>
                <w:color w:val="F2F2F2" w:themeColor="background1" w:themeShade="F2"/>
                <w:sz w:val="20"/>
              </w:rPr>
              <w:t>State Funds</w:t>
            </w:r>
          </w:p>
        </w:tc>
        <w:tc>
          <w:tcPr>
            <w:tcW w:w="2023" w:type="dxa"/>
            <w:shd w:val="clear" w:color="auto" w:fill="548DD4" w:themeFill="text2" w:themeFillTint="99"/>
            <w:vAlign w:val="center"/>
          </w:tcPr>
          <w:p w14:paraId="5319FA1F" w14:textId="35DB4230" w:rsidR="00C24C6E" w:rsidRPr="000A4E97" w:rsidRDefault="00C24C6E" w:rsidP="00AD137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2F2F2" w:themeColor="background1" w:themeShade="F2"/>
                <w:sz w:val="20"/>
              </w:rPr>
            </w:pPr>
            <w:r w:rsidRPr="000A4E97">
              <w:rPr>
                <w:color w:val="F2F2F2" w:themeColor="background1" w:themeShade="F2"/>
                <w:sz w:val="20"/>
              </w:rPr>
              <w:t>Local Funds</w:t>
            </w:r>
          </w:p>
        </w:tc>
      </w:tr>
      <w:tr w:rsidR="001C4D99" w:rsidRPr="000A4E97" w14:paraId="7F0D06A5" w14:textId="77777777" w:rsidTr="004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47B7B29" w14:textId="29DFDC4A" w:rsidR="001D0F73" w:rsidRPr="000A4E97" w:rsidRDefault="001C4D99" w:rsidP="00112037">
            <w:pPr>
              <w:spacing w:after="120"/>
              <w:jc w:val="right"/>
              <w:rPr>
                <w:sz w:val="20"/>
              </w:rPr>
            </w:pPr>
            <w:r w:rsidRPr="000A4E97">
              <w:rPr>
                <w:sz w:val="20"/>
              </w:rPr>
              <w:t>Title I</w:t>
            </w:r>
            <w:r w:rsidR="001D0F73" w:rsidRPr="000A4E97">
              <w:rPr>
                <w:sz w:val="20"/>
              </w:rPr>
              <w:t>, Part A</w:t>
            </w:r>
          </w:p>
        </w:tc>
        <w:tc>
          <w:tcPr>
            <w:tcW w:w="2021" w:type="dxa"/>
            <w:vAlign w:val="center"/>
          </w:tcPr>
          <w:p w14:paraId="10308C9E" w14:textId="22D3E1BB" w:rsidR="001C4D99" w:rsidRPr="000A4E97" w:rsidRDefault="001C4D99" w:rsidP="001033C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318F5022" w14:textId="042DE492" w:rsidR="001C4D99" w:rsidRPr="000A4E97" w:rsidRDefault="00C24C6E" w:rsidP="001033C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  <w:tc>
          <w:tcPr>
            <w:tcW w:w="2023" w:type="dxa"/>
            <w:vAlign w:val="center"/>
          </w:tcPr>
          <w:p w14:paraId="6201EDCF" w14:textId="085F8D94" w:rsidR="001C4D99" w:rsidRPr="000A4E97" w:rsidRDefault="00C24C6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</w:tr>
      <w:tr w:rsidR="007922F3" w:rsidRPr="000A4E97" w14:paraId="29445D3B" w14:textId="77777777" w:rsidTr="004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shd w:val="clear" w:color="auto" w:fill="B8CCE4" w:themeFill="accent1" w:themeFillTint="66"/>
            <w:vAlign w:val="center"/>
          </w:tcPr>
          <w:p w14:paraId="7D0C1ACD" w14:textId="24D6D7C8" w:rsidR="001C4D99" w:rsidRPr="000A4E97" w:rsidRDefault="001D0F73" w:rsidP="00112037">
            <w:pPr>
              <w:spacing w:after="120"/>
              <w:jc w:val="right"/>
              <w:rPr>
                <w:sz w:val="20"/>
              </w:rPr>
            </w:pPr>
            <w:r w:rsidRPr="000A4E97">
              <w:rPr>
                <w:sz w:val="20"/>
              </w:rPr>
              <w:t>Title II, Part A</w:t>
            </w:r>
          </w:p>
        </w:tc>
        <w:tc>
          <w:tcPr>
            <w:tcW w:w="2021" w:type="dxa"/>
            <w:shd w:val="clear" w:color="auto" w:fill="B8CCE4" w:themeFill="accent1" w:themeFillTint="66"/>
            <w:vAlign w:val="center"/>
          </w:tcPr>
          <w:p w14:paraId="546D346A" w14:textId="761B98E3" w:rsidR="001C4D99" w:rsidRPr="000A4E97" w:rsidRDefault="001C4D99" w:rsidP="001033C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21" w:type="dxa"/>
            <w:shd w:val="clear" w:color="auto" w:fill="B8CCE4" w:themeFill="accent1" w:themeFillTint="66"/>
            <w:vAlign w:val="center"/>
          </w:tcPr>
          <w:p w14:paraId="7C80AFC7" w14:textId="5D803845" w:rsidR="001C4D99" w:rsidRPr="000A4E97" w:rsidRDefault="00C24C6E" w:rsidP="00AD137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  <w:tc>
          <w:tcPr>
            <w:tcW w:w="2023" w:type="dxa"/>
            <w:shd w:val="clear" w:color="auto" w:fill="B8CCE4" w:themeFill="accent1" w:themeFillTint="66"/>
            <w:vAlign w:val="center"/>
          </w:tcPr>
          <w:p w14:paraId="6FE46D5C" w14:textId="54C70FB7" w:rsidR="001C4D99" w:rsidRPr="000A4E97" w:rsidRDefault="00C24C6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</w:tr>
      <w:tr w:rsidR="001C4D99" w:rsidRPr="000A4E97" w14:paraId="1CB9A91C" w14:textId="77777777" w:rsidTr="004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3EB96F2F" w14:textId="7416C0AC" w:rsidR="001C4D99" w:rsidRPr="000A4E97" w:rsidRDefault="001D0F73" w:rsidP="00112037">
            <w:pPr>
              <w:spacing w:after="120"/>
              <w:jc w:val="right"/>
              <w:rPr>
                <w:sz w:val="20"/>
              </w:rPr>
            </w:pPr>
            <w:r w:rsidRPr="000A4E97">
              <w:rPr>
                <w:sz w:val="20"/>
              </w:rPr>
              <w:t>Title III, Part A</w:t>
            </w:r>
          </w:p>
        </w:tc>
        <w:tc>
          <w:tcPr>
            <w:tcW w:w="2021" w:type="dxa"/>
            <w:vAlign w:val="center"/>
          </w:tcPr>
          <w:p w14:paraId="6AEB343D" w14:textId="5FAD0421" w:rsidR="001C4D99" w:rsidRPr="000A4E97" w:rsidRDefault="00C24C6E" w:rsidP="001033C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  <w:tc>
          <w:tcPr>
            <w:tcW w:w="2021" w:type="dxa"/>
            <w:vAlign w:val="center"/>
          </w:tcPr>
          <w:p w14:paraId="5C400404" w14:textId="1ED24791" w:rsidR="001C4D99" w:rsidRPr="000A4E97" w:rsidRDefault="00C24C6E" w:rsidP="00AD137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  <w:tc>
          <w:tcPr>
            <w:tcW w:w="2023" w:type="dxa"/>
            <w:vAlign w:val="center"/>
          </w:tcPr>
          <w:p w14:paraId="1EE6F109" w14:textId="2752E7F3" w:rsidR="001C4D99" w:rsidRPr="000A4E97" w:rsidRDefault="00C24C6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</w:tr>
      <w:tr w:rsidR="007922F3" w:rsidRPr="000A4E97" w14:paraId="3ACD22A6" w14:textId="77777777" w:rsidTr="004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shd w:val="clear" w:color="auto" w:fill="B8CCE4" w:themeFill="accent1" w:themeFillTint="66"/>
            <w:vAlign w:val="center"/>
          </w:tcPr>
          <w:p w14:paraId="19994B8D" w14:textId="70526FC9" w:rsidR="001C4D99" w:rsidRPr="000A4E97" w:rsidRDefault="001D0F73" w:rsidP="00112037">
            <w:pPr>
              <w:spacing w:after="120"/>
              <w:jc w:val="right"/>
              <w:rPr>
                <w:sz w:val="20"/>
              </w:rPr>
            </w:pPr>
            <w:r w:rsidRPr="000A4E97">
              <w:rPr>
                <w:sz w:val="20"/>
              </w:rPr>
              <w:t>Title IV, Part A</w:t>
            </w:r>
          </w:p>
        </w:tc>
        <w:tc>
          <w:tcPr>
            <w:tcW w:w="2021" w:type="dxa"/>
            <w:shd w:val="clear" w:color="auto" w:fill="B8CCE4" w:themeFill="accent1" w:themeFillTint="66"/>
            <w:vAlign w:val="center"/>
          </w:tcPr>
          <w:p w14:paraId="28F4126D" w14:textId="37ABDAB5" w:rsidR="001C4D99" w:rsidRPr="000A4E97" w:rsidRDefault="001C4D99" w:rsidP="001033C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21" w:type="dxa"/>
            <w:shd w:val="clear" w:color="auto" w:fill="B8CCE4" w:themeFill="accent1" w:themeFillTint="66"/>
            <w:vAlign w:val="center"/>
          </w:tcPr>
          <w:p w14:paraId="3673ADE6" w14:textId="208264FC" w:rsidR="001C4D99" w:rsidRPr="000A4E97" w:rsidRDefault="00C24C6E" w:rsidP="00AD137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  <w:tc>
          <w:tcPr>
            <w:tcW w:w="2023" w:type="dxa"/>
            <w:shd w:val="clear" w:color="auto" w:fill="B8CCE4" w:themeFill="accent1" w:themeFillTint="66"/>
            <w:vAlign w:val="center"/>
          </w:tcPr>
          <w:p w14:paraId="0EE32347" w14:textId="146B65B2" w:rsidR="001C4D99" w:rsidRPr="000A4E97" w:rsidRDefault="00C24C6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4E97">
              <w:rPr>
                <w:rFonts w:ascii="Chiller" w:hAnsi="Chiller"/>
                <w:sz w:val="20"/>
              </w:rPr>
              <w:sym w:font="Wingdings" w:char="F0FC"/>
            </w:r>
          </w:p>
        </w:tc>
      </w:tr>
    </w:tbl>
    <w:p w14:paraId="0F883450" w14:textId="4363C587" w:rsidR="00104A2D" w:rsidRDefault="00C67EA2" w:rsidP="00D21B0D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CFC897" wp14:editId="4CD546BA">
                <wp:simplePos x="0" y="0"/>
                <wp:positionH relativeFrom="margin">
                  <wp:posOffset>-16198</wp:posOffset>
                </wp:positionH>
                <wp:positionV relativeFrom="paragraph">
                  <wp:posOffset>127873</wp:posOffset>
                </wp:positionV>
                <wp:extent cx="1109980" cy="274955"/>
                <wp:effectExtent l="57150" t="57150" r="52070" b="679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74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orthographicFront">
                            <a:rot lat="0" lon="21599984" rev="0"/>
                          </a:camera>
                          <a:lightRig rig="balanced" dir="t"/>
                        </a:scene3d>
                        <a:sp3d contourW="12700">
                          <a:bevelT w="1905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7DB51" w14:textId="485F6CBF" w:rsidR="00D42CB7" w:rsidRPr="007922F3" w:rsidRDefault="00D42CB7" w:rsidP="008833AD">
                            <w:pPr>
                              <w:ind w:right="-1425"/>
                              <w:rPr>
                                <w:b/>
                              </w:rPr>
                            </w:pPr>
                            <w:r w:rsidRPr="007922F3">
                              <w:rPr>
                                <w:b/>
                              </w:rPr>
                              <w:t>Title I</w:t>
                            </w:r>
                            <w:r w:rsidR="00CB2431">
                              <w:rPr>
                                <w:b/>
                              </w:rPr>
                              <w:t>, 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C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10.05pt;width:87.4pt;height:21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" fillcolor="#e36c0a [2409]" strokecolor="#0070c0">
                <v:textbox>
                  <w:txbxContent>
                    <w:p w14:paraId="2B27DB51" w14:textId="485F6CBF" w:rsidR="00D42CB7" w:rsidRPr="007922F3" w:rsidRDefault="00D42CB7" w:rsidP="008833AD">
                      <w:pPr>
                        <w:ind w:right="-1425"/>
                        <w:rPr>
                          <w:b/>
                        </w:rPr>
                      </w:pPr>
                      <w:r w:rsidRPr="007922F3">
                        <w:rPr>
                          <w:b/>
                        </w:rPr>
                        <w:t>Title I</w:t>
                      </w:r>
                      <w:r w:rsidR="00CB2431">
                        <w:rPr>
                          <w:b/>
                        </w:rPr>
                        <w:t>, Part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5A9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97EFD" wp14:editId="508656E7">
                <wp:simplePos x="0" y="0"/>
                <wp:positionH relativeFrom="margin">
                  <wp:posOffset>12225</wp:posOffset>
                </wp:positionH>
                <wp:positionV relativeFrom="paragraph">
                  <wp:posOffset>121981</wp:posOffset>
                </wp:positionV>
                <wp:extent cx="6816090" cy="4640458"/>
                <wp:effectExtent l="57150" t="19050" r="80010" b="12255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464045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E4D4F" w14:textId="60CEE83F" w:rsidR="00104A2D" w:rsidRPr="003A1C0D" w:rsidRDefault="003A1C0D" w:rsidP="00B945C5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   </w:t>
                            </w:r>
                            <w:r w:rsidR="006119B9" w:rsidRPr="003A1C0D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Title I SNS Requirements</w:t>
                            </w:r>
                          </w:p>
                          <w:p w14:paraId="4C388FEA" w14:textId="77777777" w:rsidR="003A1C0D" w:rsidRPr="003A1C0D" w:rsidRDefault="003A1C0D" w:rsidP="00B945C5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4"/>
                                <w:szCs w:val="4"/>
                              </w:rPr>
                            </w:pPr>
                          </w:p>
                          <w:p w14:paraId="6631D06E" w14:textId="77777777" w:rsidR="00104A2D" w:rsidRPr="00104A2D" w:rsidRDefault="00104A2D" w:rsidP="00B945C5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6"/>
                                <w:szCs w:val="6"/>
                              </w:rPr>
                            </w:pPr>
                          </w:p>
                          <w:p w14:paraId="4DB904A7" w14:textId="69EF3309" w:rsidR="00B945C5" w:rsidRPr="00521F6F" w:rsidRDefault="006119B9" w:rsidP="007922F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ind w:left="36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 test:</w:t>
                            </w:r>
                            <w:r w:rsidR="00104A2D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6119B9">
                              <w:rPr>
                                <w:b/>
                                <w:i/>
                                <w:sz w:val="20"/>
                              </w:rPr>
                              <w:t>For Title I</w:t>
                            </w:r>
                            <w:r w:rsidR="00B945C5" w:rsidRPr="00554BAB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, compliance with SNS </w:t>
                            </w:r>
                            <w:r w:rsidR="001033C4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is</w:t>
                            </w:r>
                            <w:r w:rsidR="001033C4" w:rsidRPr="00554BAB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  <w:r w:rsidR="00B945C5" w:rsidRPr="00554BAB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no longer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measured by </w:t>
                            </w:r>
                            <w:r w:rsidR="001033C4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looking at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particular</w:t>
                            </w:r>
                            <w:r w:rsidR="0097760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Title I expenditures. Instead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, </w:t>
                            </w:r>
                            <w:r w:rsidR="00B3131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SNS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compliance </w:t>
                            </w:r>
                            <w:r w:rsidR="0097760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is measured by whether the district has a written methodology to ensure that each Title I school receives all of the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state and local funds that</w:t>
                            </w:r>
                            <w:r w:rsidR="0097760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it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would have received if it were not a Title I school</w:t>
                            </w:r>
                            <w:r w:rsidR="00B945C5" w:rsidRPr="00554BAB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.</w:t>
                            </w:r>
                            <w:r w:rsidR="00104A2D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  <w:r w:rsidR="00683C4F" w:rsidRPr="00683C4F">
                              <w:rPr>
                                <w:bCs/>
                                <w:sz w:val="20"/>
                              </w:rPr>
                              <w:t>Title I funds the</w:t>
                            </w:r>
                            <w:r w:rsidR="001033C4">
                              <w:rPr>
                                <w:bCs/>
                                <w:sz w:val="20"/>
                              </w:rPr>
                              <w:t>refore</w:t>
                            </w:r>
                            <w:r w:rsidR="00683C4F" w:rsidRPr="00683C4F">
                              <w:rPr>
                                <w:bCs/>
                                <w:sz w:val="20"/>
                              </w:rPr>
                              <w:t xml:space="preserve"> may be spent for any allowable expenditure regardless of what funds were used to pay for it in the past or whether </w:t>
                            </w:r>
                            <w:r w:rsidR="00D8338C">
                              <w:rPr>
                                <w:bCs/>
                                <w:sz w:val="20"/>
                              </w:rPr>
                              <w:t>state or local funds pay for the same expenditure in no</w:t>
                            </w:r>
                            <w:r w:rsidR="00683C4F" w:rsidRPr="00683C4F">
                              <w:rPr>
                                <w:bCs/>
                                <w:sz w:val="20"/>
                              </w:rPr>
                              <w:t>n-Title I schools. For example</w:t>
                            </w:r>
                            <w:r w:rsidR="00AD3852" w:rsidRPr="00683C4F">
                              <w:rPr>
                                <w:bCs/>
                                <w:sz w:val="20"/>
                              </w:rPr>
                              <w:t xml:space="preserve">, if a district paid a stipend for a school’s family engagement coordinator with local funds the prior year, it may use Title I funds to pay the stipend this year if 1) the school received </w:t>
                            </w:r>
                            <w:r w:rsidR="00AD3852">
                              <w:rPr>
                                <w:bCs/>
                                <w:sz w:val="20"/>
                              </w:rPr>
                              <w:t xml:space="preserve">its state and local funds without regard to its Title I status, and 2) the expense is necessary, </w:t>
                            </w:r>
                            <w:r w:rsidR="00AD3852" w:rsidRPr="00521F6F">
                              <w:rPr>
                                <w:bCs/>
                                <w:sz w:val="20"/>
                                <w:szCs w:val="20"/>
                              </w:rPr>
                              <w:t>reasonable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AD3852" w:rsidRPr="00521F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allowable under Title I</w:t>
                            </w:r>
                            <w:r w:rsidR="007D350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7D350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and indicated by the district’s needs assessment and included </w:t>
                            </w:r>
                            <w:r w:rsidR="00D8338C">
                              <w:rPr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="007D350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 district’s </w:t>
                            </w:r>
                            <w:r w:rsidR="007D350A">
                              <w:rPr>
                                <w:bCs/>
                                <w:sz w:val="20"/>
                                <w:szCs w:val="20"/>
                              </w:rPr>
                              <w:t>plan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AD3852" w:rsidRPr="00521F6F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104A2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1F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BA0DC5" w14:textId="77777777" w:rsidR="00AD3852" w:rsidRPr="00683C4F" w:rsidRDefault="00AD3852" w:rsidP="00AD3852">
                            <w:pPr>
                              <w:pStyle w:val="ListParagraph"/>
                              <w:spacing w:line="240" w:lineRule="auto"/>
                              <w:ind w:left="27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1B62297" w14:textId="3065FFDD" w:rsidR="00521F6F" w:rsidRDefault="003448E3" w:rsidP="003448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9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Evidence</w:t>
                            </w:r>
                            <w:r w:rsidR="006119B9" w:rsidRPr="003448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compliance:</w:t>
                            </w:r>
                            <w:r w:rsidR="00104A2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3852" w:rsidRPr="003448E3">
                              <w:rPr>
                                <w:bCs/>
                                <w:sz w:val="20"/>
                                <w:szCs w:val="20"/>
                              </w:rPr>
                              <w:t>Districts</w:t>
                            </w:r>
                            <w:r w:rsidR="00B945C5" w:rsidRPr="003448E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must demonstrate that the methodology they use to allocate state and local funds </w:t>
                            </w:r>
                            <w:r w:rsidR="00AD3852" w:rsidRPr="003448E3">
                              <w:rPr>
                                <w:bCs/>
                                <w:sz w:val="20"/>
                                <w:szCs w:val="20"/>
                              </w:rPr>
                              <w:t>is “Title I neutral.”</w:t>
                            </w:r>
                            <w:r w:rsidR="00104A2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02EC9" w:rsidRPr="003448E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methodology must </w:t>
                            </w:r>
                            <w:r w:rsidR="00B945C5" w:rsidRPr="003448E3">
                              <w:rPr>
                                <w:bCs/>
                                <w:sz w:val="20"/>
                                <w:szCs w:val="20"/>
                              </w:rPr>
                              <w:t>provide each Title I school with all of the state and local money it would receive if it did not participate in the Title I program.</w:t>
                            </w:r>
                            <w:r w:rsidR="00104A2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>In other words, a school may not be shortchanged state and local funds simply because it</w:t>
                            </w:r>
                            <w:r w:rsidR="0011203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receives 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>Title I</w:t>
                            </w:r>
                            <w:r w:rsidR="0011203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funds</w:t>
                            </w:r>
                            <w:r w:rsidR="001033C4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104A2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6E93">
                              <w:rPr>
                                <w:sz w:val="20"/>
                                <w:szCs w:val="20"/>
                              </w:rPr>
                              <w:t>Evidence of compliance</w:t>
                            </w:r>
                            <w:r w:rsidRPr="00344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374">
                              <w:rPr>
                                <w:sz w:val="20"/>
                                <w:szCs w:val="20"/>
                              </w:rPr>
                              <w:t>could</w:t>
                            </w:r>
                            <w:r w:rsidR="00AD1374" w:rsidRPr="00344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8E3">
                              <w:rPr>
                                <w:sz w:val="20"/>
                                <w:szCs w:val="20"/>
                              </w:rPr>
                              <w:t>include d</w:t>
                            </w:r>
                            <w:r w:rsidR="00521F6F" w:rsidRPr="003448E3">
                              <w:rPr>
                                <w:sz w:val="20"/>
                                <w:szCs w:val="20"/>
                              </w:rPr>
                              <w:t>istrict</w:t>
                            </w:r>
                            <w:r w:rsidRPr="003448E3">
                              <w:rPr>
                                <w:sz w:val="20"/>
                                <w:szCs w:val="20"/>
                              </w:rPr>
                              <w:t xml:space="preserve"> and school</w:t>
                            </w:r>
                            <w:r w:rsidR="00521F6F" w:rsidRPr="003448E3">
                              <w:rPr>
                                <w:sz w:val="20"/>
                                <w:szCs w:val="20"/>
                              </w:rPr>
                              <w:t xml:space="preserve"> budgets, policies, and supporting materials</w:t>
                            </w:r>
                            <w:r w:rsidR="00C1569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21F6F" w:rsidRPr="003448E3">
                              <w:rPr>
                                <w:sz w:val="20"/>
                                <w:szCs w:val="20"/>
                              </w:rPr>
                              <w:t>or procedures for distributing resources to schools based on staffing positions or supply levels (i.e., one teacher per 25 middle school students; one assistant principal per 200 elementary students, one technology specialist per school, etc.)</w:t>
                            </w:r>
                            <w:r w:rsidRPr="003448E3">
                              <w:rPr>
                                <w:sz w:val="20"/>
                                <w:szCs w:val="20"/>
                              </w:rPr>
                              <w:t xml:space="preserve"> or some variation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521F6F" w:rsidRPr="003448E3">
                              <w:rPr>
                                <w:sz w:val="20"/>
                                <w:szCs w:val="20"/>
                              </w:rPr>
                              <w:t xml:space="preserve">eighted student funding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(i.e., a formula allocating funding based on student needs).</w:t>
                            </w:r>
                            <w:r w:rsidR="00D833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29A57C" w14:textId="77777777" w:rsidR="00953722" w:rsidRPr="00683C4F" w:rsidRDefault="00953722" w:rsidP="00953722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08C013" w14:textId="37624F4C" w:rsidR="00953722" w:rsidRDefault="000A4E97" w:rsidP="003448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9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Targeted a</w:t>
                            </w:r>
                            <w:r w:rsidR="009537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ssistance school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9537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953722">
                              <w:rPr>
                                <w:sz w:val="20"/>
                                <w:szCs w:val="20"/>
                              </w:rPr>
                              <w:t xml:space="preserve">  Because SNS is no longer measure</w:t>
                            </w:r>
                            <w:r w:rsidR="00AD137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953722">
                              <w:rPr>
                                <w:sz w:val="20"/>
                                <w:szCs w:val="20"/>
                              </w:rPr>
                              <w:t xml:space="preserve"> on an expense-by-expense bas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for Title I, a</w:t>
                            </w:r>
                            <w:r w:rsidR="00C15697">
                              <w:rPr>
                                <w:sz w:val="20"/>
                                <w:szCs w:val="20"/>
                              </w:rPr>
                              <w:t xml:space="preserve"> district with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targeted assistance school is not required to show </w:t>
                            </w:r>
                            <w:r w:rsidR="00C1569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for SNS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that it is using Title I funds to provide additional services that wou</w:t>
                            </w:r>
                            <w:r w:rsidR="00FC4004">
                              <w:rPr>
                                <w:sz w:val="20"/>
                                <w:szCs w:val="20"/>
                              </w:rPr>
                              <w:t>ld not otherwise be provided to</w:t>
                            </w:r>
                            <w:r w:rsidR="000074E1">
                              <w:rPr>
                                <w:sz w:val="20"/>
                                <w:szCs w:val="20"/>
                              </w:rPr>
                              <w:t xml:space="preserve"> identified children,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as long as </w:t>
                            </w:r>
                            <w:r w:rsidR="00C15697">
                              <w:rPr>
                                <w:sz w:val="20"/>
                                <w:szCs w:val="20"/>
                              </w:rPr>
                              <w:t xml:space="preserve">state and local funds are allocated to that school through a Title I neutral methodology.  However, to be </w:t>
                            </w:r>
                            <w:r w:rsidR="00C15697" w:rsidRPr="00F7638A">
                              <w:rPr>
                                <w:i/>
                                <w:sz w:val="20"/>
                                <w:szCs w:val="20"/>
                              </w:rPr>
                              <w:t>allowable</w:t>
                            </w:r>
                            <w:r w:rsidR="00C15697">
                              <w:rPr>
                                <w:sz w:val="20"/>
                                <w:szCs w:val="20"/>
                              </w:rPr>
                              <w:t>, expenses need to support services for those students targeted for assistance.</w:t>
                            </w:r>
                          </w:p>
                          <w:p w14:paraId="767941D0" w14:textId="64563B8E" w:rsidR="007D350A" w:rsidRPr="00F87D05" w:rsidRDefault="003448E3" w:rsidP="00A86E93">
                            <w:pPr>
                              <w:pStyle w:val="Default"/>
                              <w:rPr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E754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Note</w:t>
                            </w:r>
                            <w:r w:rsidR="00A86E93" w:rsidRPr="00E754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E754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104A2D" w:rsidRPr="00F87D0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67EA2">
                              <w:rPr>
                                <w:sz w:val="19"/>
                                <w:szCs w:val="19"/>
                              </w:rPr>
                              <w:t>ESSA does not prohibit districts from varying resources or funding among its schools</w:t>
                            </w:r>
                            <w:r w:rsidR="00E52BD6" w:rsidRPr="00C67EA2">
                              <w:rPr>
                                <w:sz w:val="19"/>
                                <w:szCs w:val="19"/>
                              </w:rPr>
                              <w:t xml:space="preserve"> (i.e., differing funding based on grade span or student needs)</w:t>
                            </w:r>
                            <w:r w:rsidRPr="00C67EA2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  <w:r w:rsidR="00104A2D" w:rsidRPr="00C67EA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67EA2">
                              <w:rPr>
                                <w:sz w:val="19"/>
                                <w:szCs w:val="19"/>
                              </w:rPr>
                              <w:t>Rather, it prohibits basing such variation on the fact that a school will receive Title I resources.</w:t>
                            </w:r>
                            <w:r w:rsidR="00A86E93" w:rsidRPr="00C67EA2">
                              <w:rPr>
                                <w:sz w:val="19"/>
                                <w:szCs w:val="19"/>
                              </w:rPr>
                              <w:t xml:space="preserve"> Also, districts</w:t>
                            </w:r>
                            <w:r w:rsidR="00112037" w:rsidRPr="00C67EA2">
                              <w:rPr>
                                <w:sz w:val="19"/>
                                <w:szCs w:val="19"/>
                              </w:rPr>
                              <w:t>, when making</w:t>
                            </w:r>
                            <w:r w:rsidR="007D350A" w:rsidRPr="00C67EA2">
                              <w:rPr>
                                <w:rFonts w:cstheme="minorBidi"/>
                                <w:color w:val="2D2D2D"/>
                                <w:sz w:val="19"/>
                                <w:szCs w:val="19"/>
                              </w:rPr>
                              <w:t xml:space="preserve"> a supplanting determination</w:t>
                            </w:r>
                            <w:r w:rsidR="00112037" w:rsidRPr="00C67EA2">
                              <w:rPr>
                                <w:rFonts w:cstheme="minorBidi"/>
                                <w:color w:val="2D2D2D"/>
                                <w:sz w:val="19"/>
                                <w:szCs w:val="19"/>
                              </w:rPr>
                              <w:t>,</w:t>
                            </w:r>
                            <w:r w:rsidR="007D350A" w:rsidRPr="00C67EA2">
                              <w:rPr>
                                <w:rFonts w:cstheme="minorBidi"/>
                                <w:color w:val="2D2D2D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12037" w:rsidRPr="00C67EA2">
                              <w:rPr>
                                <w:rFonts w:cstheme="minorBidi"/>
                                <w:color w:val="2D2D2D"/>
                                <w:sz w:val="19"/>
                                <w:szCs w:val="19"/>
                              </w:rPr>
                              <w:t xml:space="preserve">may exclude </w:t>
                            </w:r>
                            <w:r w:rsidR="007D350A" w:rsidRPr="00C67EA2">
                              <w:rPr>
                                <w:i/>
                                <w:iCs/>
                                <w:color w:val="2D2D2D"/>
                                <w:sz w:val="19"/>
                                <w:szCs w:val="19"/>
                              </w:rPr>
                              <w:t xml:space="preserve">supplemental </w:t>
                            </w:r>
                            <w:r w:rsidR="007D350A" w:rsidRPr="00C67EA2">
                              <w:rPr>
                                <w:color w:val="2D2D2D"/>
                                <w:sz w:val="19"/>
                                <w:szCs w:val="19"/>
                              </w:rPr>
                              <w:t xml:space="preserve">non-federal funds expended in any school for programs that meet the </w:t>
                            </w:r>
                            <w:r w:rsidR="00A86E93" w:rsidRPr="00C67EA2">
                              <w:rPr>
                                <w:color w:val="2D2D2D"/>
                                <w:sz w:val="19"/>
                                <w:szCs w:val="19"/>
                              </w:rPr>
                              <w:t>intent and purposes of Title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97EFD" id="Text Box 16" o:spid="_x0000_s1027" type="#_x0000_t202" style="position:absolute;margin-left:.95pt;margin-top:9.6pt;width:536.7pt;height:36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" fillcolor="white [3201]" strokecolor="#4f81bd [3204]" strokeweight="2pt">
                <v:shadow on="t" color="black" opacity="26214f" origin=",-.5" offset="0,3pt"/>
                <v:textbox>
                  <w:txbxContent>
                    <w:p w14:paraId="6F3E4D4F" w14:textId="60CEE83F" w:rsidR="00104A2D" w:rsidRPr="003A1C0D" w:rsidRDefault="003A1C0D" w:rsidP="00B945C5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                                     </w:t>
                      </w:r>
                      <w:r w:rsidR="006119B9" w:rsidRPr="003A1C0D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Title I SNS Requirements</w:t>
                      </w:r>
                    </w:p>
                    <w:p w14:paraId="4C388FEA" w14:textId="77777777" w:rsidR="003A1C0D" w:rsidRPr="003A1C0D" w:rsidRDefault="003A1C0D" w:rsidP="00B945C5">
                      <w:pPr>
                        <w:spacing w:after="0"/>
                        <w:rPr>
                          <w:b/>
                          <w:color w:val="1F497D" w:themeColor="text2"/>
                          <w:sz w:val="4"/>
                          <w:szCs w:val="4"/>
                        </w:rPr>
                      </w:pPr>
                    </w:p>
                    <w:p w14:paraId="6631D06E" w14:textId="77777777" w:rsidR="00104A2D" w:rsidRPr="00104A2D" w:rsidRDefault="00104A2D" w:rsidP="00B945C5">
                      <w:pPr>
                        <w:spacing w:after="0"/>
                        <w:rPr>
                          <w:b/>
                          <w:color w:val="1F497D" w:themeColor="text2"/>
                          <w:sz w:val="6"/>
                          <w:szCs w:val="6"/>
                        </w:rPr>
                      </w:pPr>
                    </w:p>
                    <w:p w14:paraId="4DB904A7" w14:textId="69EF3309" w:rsidR="00B945C5" w:rsidRPr="00521F6F" w:rsidRDefault="006119B9" w:rsidP="007922F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ind w:left="36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The test:</w:t>
                      </w:r>
                      <w:r w:rsidR="00104A2D">
                        <w:rPr>
                          <w:b/>
                          <w:sz w:val="20"/>
                        </w:rPr>
                        <w:t xml:space="preserve">  </w:t>
                      </w:r>
                      <w:r w:rsidRPr="006119B9">
                        <w:rPr>
                          <w:b/>
                          <w:i/>
                          <w:sz w:val="20"/>
                        </w:rPr>
                        <w:t>For Title I</w:t>
                      </w:r>
                      <w:r w:rsidR="00B945C5" w:rsidRPr="00554BAB">
                        <w:rPr>
                          <w:b/>
                          <w:bCs/>
                          <w:i/>
                          <w:sz w:val="20"/>
                        </w:rPr>
                        <w:t xml:space="preserve">, compliance with SNS </w:t>
                      </w:r>
                      <w:r w:rsidR="001033C4">
                        <w:rPr>
                          <w:b/>
                          <w:bCs/>
                          <w:i/>
                          <w:sz w:val="20"/>
                        </w:rPr>
                        <w:t>is</w:t>
                      </w:r>
                      <w:r w:rsidR="001033C4" w:rsidRPr="00554BAB">
                        <w:rPr>
                          <w:b/>
                          <w:bCs/>
                          <w:i/>
                          <w:sz w:val="20"/>
                        </w:rPr>
                        <w:t xml:space="preserve"> </w:t>
                      </w:r>
                      <w:r w:rsidR="00B945C5" w:rsidRPr="00554BAB">
                        <w:rPr>
                          <w:b/>
                          <w:bCs/>
                          <w:i/>
                          <w:sz w:val="20"/>
                        </w:rPr>
                        <w:t xml:space="preserve">no longer 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 xml:space="preserve">measured by </w:t>
                      </w:r>
                      <w:r w:rsidR="001033C4">
                        <w:rPr>
                          <w:b/>
                          <w:bCs/>
                          <w:i/>
                          <w:sz w:val="20"/>
                        </w:rPr>
                        <w:t xml:space="preserve">looking at 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>particular</w:t>
                      </w:r>
                      <w:r w:rsidR="00977600">
                        <w:rPr>
                          <w:b/>
                          <w:bCs/>
                          <w:i/>
                          <w:sz w:val="20"/>
                        </w:rPr>
                        <w:t xml:space="preserve"> Title I expenditures. Instead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 xml:space="preserve">, </w:t>
                      </w:r>
                      <w:r w:rsidR="00B31310">
                        <w:rPr>
                          <w:b/>
                          <w:bCs/>
                          <w:i/>
                          <w:sz w:val="20"/>
                        </w:rPr>
                        <w:t xml:space="preserve">SNS 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 xml:space="preserve">compliance </w:t>
                      </w:r>
                      <w:r w:rsidR="00977600">
                        <w:rPr>
                          <w:b/>
                          <w:bCs/>
                          <w:i/>
                          <w:sz w:val="20"/>
                        </w:rPr>
                        <w:t xml:space="preserve">is measured by whether the district has a written methodology to ensure that each Title I school receives all of the 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>state and local funds that</w:t>
                      </w:r>
                      <w:r w:rsidR="00977600">
                        <w:rPr>
                          <w:b/>
                          <w:bCs/>
                          <w:i/>
                          <w:sz w:val="20"/>
                        </w:rPr>
                        <w:t xml:space="preserve"> it 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>would have received if it were not a Title I school</w:t>
                      </w:r>
                      <w:r w:rsidR="00B945C5" w:rsidRPr="00554BAB">
                        <w:rPr>
                          <w:b/>
                          <w:bCs/>
                          <w:i/>
                          <w:sz w:val="20"/>
                        </w:rPr>
                        <w:t>.</w:t>
                      </w:r>
                      <w:r w:rsidR="00104A2D">
                        <w:rPr>
                          <w:b/>
                          <w:bCs/>
                          <w:i/>
                          <w:sz w:val="20"/>
                        </w:rPr>
                        <w:t xml:space="preserve"> </w:t>
                      </w:r>
                      <w:r w:rsidR="00683C4F" w:rsidRPr="00683C4F">
                        <w:rPr>
                          <w:bCs/>
                          <w:sz w:val="20"/>
                        </w:rPr>
                        <w:t>Title I funds the</w:t>
                      </w:r>
                      <w:r w:rsidR="001033C4">
                        <w:rPr>
                          <w:bCs/>
                          <w:sz w:val="20"/>
                        </w:rPr>
                        <w:t>refore</w:t>
                      </w:r>
                      <w:r w:rsidR="00683C4F" w:rsidRPr="00683C4F">
                        <w:rPr>
                          <w:bCs/>
                          <w:sz w:val="20"/>
                        </w:rPr>
                        <w:t xml:space="preserve"> may be spent for any allowable expenditure regardless of what funds were used to pay for it in the past or whether </w:t>
                      </w:r>
                      <w:r w:rsidR="00D8338C">
                        <w:rPr>
                          <w:bCs/>
                          <w:sz w:val="20"/>
                        </w:rPr>
                        <w:t>state or local funds pay for the same expenditure in no</w:t>
                      </w:r>
                      <w:r w:rsidR="00683C4F" w:rsidRPr="00683C4F">
                        <w:rPr>
                          <w:bCs/>
                          <w:sz w:val="20"/>
                        </w:rPr>
                        <w:t>n-Title I schools. For example</w:t>
                      </w:r>
                      <w:r w:rsidR="00AD3852" w:rsidRPr="00683C4F">
                        <w:rPr>
                          <w:bCs/>
                          <w:sz w:val="20"/>
                        </w:rPr>
                        <w:t xml:space="preserve">, if a district paid a stipend for a school’s family engagement coordinator with local funds the prior year, it may use Title I funds to pay the stipend this year if 1) the school received </w:t>
                      </w:r>
                      <w:r w:rsidR="00AD3852">
                        <w:rPr>
                          <w:bCs/>
                          <w:sz w:val="20"/>
                        </w:rPr>
                        <w:t xml:space="preserve">its state and local funds without regard to its Title I status, and 2) the expense is necessary, </w:t>
                      </w:r>
                      <w:r w:rsidR="00AD3852" w:rsidRPr="00521F6F">
                        <w:rPr>
                          <w:bCs/>
                          <w:sz w:val="20"/>
                          <w:szCs w:val="20"/>
                        </w:rPr>
                        <w:t>reasonable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  <w:r w:rsidR="00AD3852" w:rsidRPr="00521F6F">
                        <w:rPr>
                          <w:bCs/>
                          <w:sz w:val="20"/>
                          <w:szCs w:val="20"/>
                        </w:rPr>
                        <w:t xml:space="preserve"> and allowable under Title I</w:t>
                      </w:r>
                      <w:r w:rsidR="007D350A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r w:rsidR="007D350A">
                        <w:rPr>
                          <w:bCs/>
                          <w:sz w:val="20"/>
                          <w:szCs w:val="20"/>
                        </w:rPr>
                        <w:t xml:space="preserve">and indicated by the district’s needs assessment and included </w:t>
                      </w:r>
                      <w:r w:rsidR="00D8338C">
                        <w:rPr>
                          <w:bCs/>
                          <w:sz w:val="20"/>
                          <w:szCs w:val="20"/>
                        </w:rPr>
                        <w:t>in</w:t>
                      </w:r>
                      <w:r w:rsidR="007D350A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 xml:space="preserve">a district’s </w:t>
                      </w:r>
                      <w:r w:rsidR="007D350A">
                        <w:rPr>
                          <w:bCs/>
                          <w:sz w:val="20"/>
                          <w:szCs w:val="20"/>
                        </w:rPr>
                        <w:t>plan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>)</w:t>
                      </w:r>
                      <w:r w:rsidR="00AD3852" w:rsidRPr="00521F6F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  <w:r w:rsidR="00104A2D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521F6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BA0DC5" w14:textId="77777777" w:rsidR="00AD3852" w:rsidRPr="00683C4F" w:rsidRDefault="00AD3852" w:rsidP="00AD3852">
                      <w:pPr>
                        <w:pStyle w:val="ListParagraph"/>
                        <w:spacing w:line="240" w:lineRule="auto"/>
                        <w:ind w:left="270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01B62297" w14:textId="3065FFDD" w:rsidR="00521F6F" w:rsidRDefault="003448E3" w:rsidP="003448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9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Evidence</w:t>
                      </w:r>
                      <w:r w:rsidR="006119B9" w:rsidRPr="003448E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compliance:</w:t>
                      </w:r>
                      <w:r w:rsidR="00104A2D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D3852" w:rsidRPr="003448E3">
                        <w:rPr>
                          <w:bCs/>
                          <w:sz w:val="20"/>
                          <w:szCs w:val="20"/>
                        </w:rPr>
                        <w:t>Districts</w:t>
                      </w:r>
                      <w:r w:rsidR="00B945C5" w:rsidRPr="003448E3">
                        <w:rPr>
                          <w:bCs/>
                          <w:sz w:val="20"/>
                          <w:szCs w:val="20"/>
                        </w:rPr>
                        <w:t xml:space="preserve"> must demonstrate that the methodology they use to allocate state and local funds </w:t>
                      </w:r>
                      <w:r w:rsidR="00AD3852" w:rsidRPr="003448E3">
                        <w:rPr>
                          <w:bCs/>
                          <w:sz w:val="20"/>
                          <w:szCs w:val="20"/>
                        </w:rPr>
                        <w:t>is “Title I neutral.”</w:t>
                      </w:r>
                      <w:r w:rsidR="00104A2D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102EC9" w:rsidRPr="003448E3">
                        <w:rPr>
                          <w:bCs/>
                          <w:sz w:val="20"/>
                          <w:szCs w:val="20"/>
                        </w:rPr>
                        <w:t xml:space="preserve">The methodology must </w:t>
                      </w:r>
                      <w:r w:rsidR="00B945C5" w:rsidRPr="003448E3">
                        <w:rPr>
                          <w:bCs/>
                          <w:sz w:val="20"/>
                          <w:szCs w:val="20"/>
                        </w:rPr>
                        <w:t>provide each Title I school with all of the state and local money it would receive if it did not participate in the Title I program.</w:t>
                      </w:r>
                      <w:r w:rsidR="00104A2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>In other words, a school may not be shortchanged state and local funds simply because it</w:t>
                      </w:r>
                      <w:r w:rsidR="00112037">
                        <w:rPr>
                          <w:bCs/>
                          <w:sz w:val="20"/>
                          <w:szCs w:val="20"/>
                        </w:rPr>
                        <w:t xml:space="preserve"> receives 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>Title I</w:t>
                      </w:r>
                      <w:r w:rsidR="00112037">
                        <w:rPr>
                          <w:bCs/>
                          <w:sz w:val="20"/>
                          <w:szCs w:val="20"/>
                        </w:rPr>
                        <w:t xml:space="preserve"> funds</w:t>
                      </w:r>
                      <w:r w:rsidR="001033C4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  <w:r w:rsidR="00104A2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86E93">
                        <w:rPr>
                          <w:sz w:val="20"/>
                          <w:szCs w:val="20"/>
                        </w:rPr>
                        <w:t>Evidence of compliance</w:t>
                      </w:r>
                      <w:r w:rsidRPr="00344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1374">
                        <w:rPr>
                          <w:sz w:val="20"/>
                          <w:szCs w:val="20"/>
                        </w:rPr>
                        <w:t>could</w:t>
                      </w:r>
                      <w:r w:rsidR="00AD1374" w:rsidRPr="00344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8E3">
                        <w:rPr>
                          <w:sz w:val="20"/>
                          <w:szCs w:val="20"/>
                        </w:rPr>
                        <w:t>include d</w:t>
                      </w:r>
                      <w:r w:rsidR="00521F6F" w:rsidRPr="003448E3">
                        <w:rPr>
                          <w:sz w:val="20"/>
                          <w:szCs w:val="20"/>
                        </w:rPr>
                        <w:t>istrict</w:t>
                      </w:r>
                      <w:r w:rsidRPr="003448E3">
                        <w:rPr>
                          <w:sz w:val="20"/>
                          <w:szCs w:val="20"/>
                        </w:rPr>
                        <w:t xml:space="preserve"> and school</w:t>
                      </w:r>
                      <w:r w:rsidR="00521F6F" w:rsidRPr="003448E3">
                        <w:rPr>
                          <w:sz w:val="20"/>
                          <w:szCs w:val="20"/>
                        </w:rPr>
                        <w:t xml:space="preserve"> budgets, policies, and supporting materials</w:t>
                      </w:r>
                      <w:r w:rsidR="00C1569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521F6F" w:rsidRPr="003448E3">
                        <w:rPr>
                          <w:sz w:val="20"/>
                          <w:szCs w:val="20"/>
                        </w:rPr>
                        <w:t>or procedures for distributing resources to schools based on staffing positions or supply levels (i.e., one teacher per 25 middle school students; one assistant principal per 200 elementary students, one technology specialist per school, etc.)</w:t>
                      </w:r>
                      <w:r w:rsidRPr="003448E3">
                        <w:rPr>
                          <w:sz w:val="20"/>
                          <w:szCs w:val="20"/>
                        </w:rPr>
                        <w:t xml:space="preserve"> or some variation of </w:t>
                      </w: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="00521F6F" w:rsidRPr="003448E3">
                        <w:rPr>
                          <w:sz w:val="20"/>
                          <w:szCs w:val="20"/>
                        </w:rPr>
                        <w:t xml:space="preserve">eighted student funding </w:t>
                      </w:r>
                      <w:r>
                        <w:rPr>
                          <w:sz w:val="20"/>
                          <w:szCs w:val="20"/>
                        </w:rPr>
                        <w:t>(i.e., a formula allocating funding based on student needs).</w:t>
                      </w:r>
                      <w:r w:rsidR="00D8338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29A57C" w14:textId="77777777" w:rsidR="00953722" w:rsidRPr="00683C4F" w:rsidRDefault="00953722" w:rsidP="00953722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6608C013" w14:textId="37624F4C" w:rsidR="00953722" w:rsidRDefault="000A4E97" w:rsidP="003448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9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Targeted a</w:t>
                      </w:r>
                      <w:r w:rsidR="00953722">
                        <w:rPr>
                          <w:b/>
                          <w:bCs/>
                          <w:sz w:val="20"/>
                          <w:szCs w:val="20"/>
                        </w:rPr>
                        <w:t>ssistance school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953722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953722">
                        <w:rPr>
                          <w:sz w:val="20"/>
                          <w:szCs w:val="20"/>
                        </w:rPr>
                        <w:t xml:space="preserve">  Because SNS is no longer measure</w:t>
                      </w:r>
                      <w:r w:rsidR="00AD1374">
                        <w:rPr>
                          <w:sz w:val="20"/>
                          <w:szCs w:val="20"/>
                        </w:rPr>
                        <w:t>d</w:t>
                      </w:r>
                      <w:r w:rsidR="00953722">
                        <w:rPr>
                          <w:sz w:val="20"/>
                          <w:szCs w:val="20"/>
                        </w:rPr>
                        <w:t xml:space="preserve"> on an expense-by-expense bas</w:t>
                      </w:r>
                      <w:r>
                        <w:rPr>
                          <w:sz w:val="20"/>
                          <w:szCs w:val="20"/>
                        </w:rPr>
                        <w:t>is for Title I, a</w:t>
                      </w:r>
                      <w:r w:rsidR="00C15697">
                        <w:rPr>
                          <w:sz w:val="20"/>
                          <w:szCs w:val="20"/>
                        </w:rPr>
                        <w:t xml:space="preserve"> district with a</w:t>
                      </w:r>
                      <w:r>
                        <w:rPr>
                          <w:sz w:val="20"/>
                          <w:szCs w:val="20"/>
                        </w:rPr>
                        <w:t xml:space="preserve"> targeted assistance school is not required to show </w:t>
                      </w:r>
                      <w:r w:rsidR="00C15697">
                        <w:rPr>
                          <w:i/>
                          <w:sz w:val="20"/>
                          <w:szCs w:val="20"/>
                        </w:rPr>
                        <w:t xml:space="preserve">for SNS </w:t>
                      </w:r>
                      <w:r>
                        <w:rPr>
                          <w:sz w:val="20"/>
                          <w:szCs w:val="20"/>
                        </w:rPr>
                        <w:t>that it is using Title I funds to provide additional services that wou</w:t>
                      </w:r>
                      <w:r w:rsidR="00FC4004">
                        <w:rPr>
                          <w:sz w:val="20"/>
                          <w:szCs w:val="20"/>
                        </w:rPr>
                        <w:t>ld not otherwise be provided to</w:t>
                      </w:r>
                      <w:r w:rsidR="000074E1">
                        <w:rPr>
                          <w:sz w:val="20"/>
                          <w:szCs w:val="20"/>
                        </w:rPr>
                        <w:t xml:space="preserve"> identified children, </w:t>
                      </w:r>
                      <w:r>
                        <w:rPr>
                          <w:sz w:val="20"/>
                          <w:szCs w:val="20"/>
                        </w:rPr>
                        <w:t xml:space="preserve">as long as </w:t>
                      </w:r>
                      <w:r w:rsidR="00C15697">
                        <w:rPr>
                          <w:sz w:val="20"/>
                          <w:szCs w:val="20"/>
                        </w:rPr>
                        <w:t xml:space="preserve">state and local funds are allocated to that school through a Title I neutral methodology.  However, to be </w:t>
                      </w:r>
                      <w:r w:rsidR="00C15697" w:rsidRPr="00F7638A">
                        <w:rPr>
                          <w:i/>
                          <w:sz w:val="20"/>
                          <w:szCs w:val="20"/>
                        </w:rPr>
                        <w:t>allowable</w:t>
                      </w:r>
                      <w:r w:rsidR="00C15697">
                        <w:rPr>
                          <w:sz w:val="20"/>
                          <w:szCs w:val="20"/>
                        </w:rPr>
                        <w:t>, expenses need to support services for those students targeted for assistance.</w:t>
                      </w:r>
                    </w:p>
                    <w:p w14:paraId="767941D0" w14:textId="64563B8E" w:rsidR="007D350A" w:rsidRPr="00F87D05" w:rsidRDefault="003448E3" w:rsidP="00A86E93">
                      <w:pPr>
                        <w:pStyle w:val="Default"/>
                        <w:rPr>
                          <w:color w:val="2D2D2D"/>
                          <w:sz w:val="20"/>
                          <w:szCs w:val="20"/>
                        </w:rPr>
                      </w:pPr>
                      <w:r w:rsidRPr="00E754AF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Note</w:t>
                      </w:r>
                      <w:r w:rsidR="00A86E93" w:rsidRPr="00E754AF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s</w:t>
                      </w:r>
                      <w:r w:rsidRPr="00E754A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104A2D" w:rsidRPr="00F87D0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67EA2">
                        <w:rPr>
                          <w:sz w:val="19"/>
                          <w:szCs w:val="19"/>
                        </w:rPr>
                        <w:t>ESSA does not prohibit districts from varying resources or funding among its schools</w:t>
                      </w:r>
                      <w:r w:rsidR="00E52BD6" w:rsidRPr="00C67EA2">
                        <w:rPr>
                          <w:sz w:val="19"/>
                          <w:szCs w:val="19"/>
                        </w:rPr>
                        <w:t xml:space="preserve"> (i.e., differing funding based on grade span or student needs)</w:t>
                      </w:r>
                      <w:r w:rsidRPr="00C67EA2">
                        <w:rPr>
                          <w:sz w:val="19"/>
                          <w:szCs w:val="19"/>
                        </w:rPr>
                        <w:t>.</w:t>
                      </w:r>
                      <w:r w:rsidR="00104A2D" w:rsidRPr="00C67EA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C67EA2">
                        <w:rPr>
                          <w:sz w:val="19"/>
                          <w:szCs w:val="19"/>
                        </w:rPr>
                        <w:t>Rather, it prohibits basing such variation on the fact that a school will receive Title I resources.</w:t>
                      </w:r>
                      <w:r w:rsidR="00A86E93" w:rsidRPr="00C67EA2">
                        <w:rPr>
                          <w:sz w:val="19"/>
                          <w:szCs w:val="19"/>
                        </w:rPr>
                        <w:t xml:space="preserve"> Also, districts</w:t>
                      </w:r>
                      <w:r w:rsidR="00112037" w:rsidRPr="00C67EA2">
                        <w:rPr>
                          <w:sz w:val="19"/>
                          <w:szCs w:val="19"/>
                        </w:rPr>
                        <w:t>, when making</w:t>
                      </w:r>
                      <w:r w:rsidR="007D350A" w:rsidRPr="00C67EA2">
                        <w:rPr>
                          <w:rFonts w:cstheme="minorBidi"/>
                          <w:color w:val="2D2D2D"/>
                          <w:sz w:val="19"/>
                          <w:szCs w:val="19"/>
                        </w:rPr>
                        <w:t xml:space="preserve"> a supplanting determination</w:t>
                      </w:r>
                      <w:r w:rsidR="00112037" w:rsidRPr="00C67EA2">
                        <w:rPr>
                          <w:rFonts w:cstheme="minorBidi"/>
                          <w:color w:val="2D2D2D"/>
                          <w:sz w:val="19"/>
                          <w:szCs w:val="19"/>
                        </w:rPr>
                        <w:t>,</w:t>
                      </w:r>
                      <w:r w:rsidR="007D350A" w:rsidRPr="00C67EA2">
                        <w:rPr>
                          <w:rFonts w:cstheme="minorBidi"/>
                          <w:color w:val="2D2D2D"/>
                          <w:sz w:val="19"/>
                          <w:szCs w:val="19"/>
                        </w:rPr>
                        <w:t xml:space="preserve"> </w:t>
                      </w:r>
                      <w:r w:rsidR="00112037" w:rsidRPr="00C67EA2">
                        <w:rPr>
                          <w:rFonts w:cstheme="minorBidi"/>
                          <w:color w:val="2D2D2D"/>
                          <w:sz w:val="19"/>
                          <w:szCs w:val="19"/>
                        </w:rPr>
                        <w:t xml:space="preserve">may exclude </w:t>
                      </w:r>
                      <w:r w:rsidR="007D350A" w:rsidRPr="00C67EA2">
                        <w:rPr>
                          <w:i/>
                          <w:iCs/>
                          <w:color w:val="2D2D2D"/>
                          <w:sz w:val="19"/>
                          <w:szCs w:val="19"/>
                        </w:rPr>
                        <w:t xml:space="preserve">supplemental </w:t>
                      </w:r>
                      <w:r w:rsidR="007D350A" w:rsidRPr="00C67EA2">
                        <w:rPr>
                          <w:color w:val="2D2D2D"/>
                          <w:sz w:val="19"/>
                          <w:szCs w:val="19"/>
                        </w:rPr>
                        <w:t xml:space="preserve">non-federal funds expended in any school for programs that meet the </w:t>
                      </w:r>
                      <w:r w:rsidR="00A86E93" w:rsidRPr="00C67EA2">
                        <w:rPr>
                          <w:color w:val="2D2D2D"/>
                          <w:sz w:val="19"/>
                          <w:szCs w:val="19"/>
                        </w:rPr>
                        <w:t>intent and purposes of Title 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42760" w14:textId="57150E39" w:rsidR="00982620" w:rsidRDefault="00982620" w:rsidP="00D21B0D">
      <w:pPr>
        <w:spacing w:after="120" w:line="240" w:lineRule="auto"/>
      </w:pPr>
    </w:p>
    <w:p w14:paraId="2AB79CF1" w14:textId="1B93D3CC" w:rsidR="00982620" w:rsidRDefault="00982620" w:rsidP="00D21B0D">
      <w:pPr>
        <w:spacing w:after="120" w:line="240" w:lineRule="auto"/>
      </w:pPr>
    </w:p>
    <w:p w14:paraId="39362F6B" w14:textId="2093421A" w:rsidR="00982620" w:rsidRDefault="00982620" w:rsidP="00D21B0D">
      <w:pPr>
        <w:spacing w:after="120" w:line="240" w:lineRule="auto"/>
      </w:pPr>
    </w:p>
    <w:p w14:paraId="3CB7CA0C" w14:textId="6B6161A3" w:rsidR="00982620" w:rsidRPr="00794E04" w:rsidRDefault="00982620" w:rsidP="00D21B0D">
      <w:pPr>
        <w:spacing w:after="120" w:line="240" w:lineRule="auto"/>
        <w:rPr>
          <w:rFonts w:ascii="Calibri" w:eastAsia="Times New Roman" w:hAnsi="Calibri" w:cs="Times New Roman"/>
          <w:bCs/>
          <w:sz w:val="20"/>
          <w:szCs w:val="20"/>
        </w:rPr>
      </w:pPr>
    </w:p>
    <w:p w14:paraId="739BAF62" w14:textId="221CBBF7" w:rsidR="00411DA1" w:rsidRPr="00144928" w:rsidRDefault="00411DA1" w:rsidP="00E44686">
      <w:pPr>
        <w:tabs>
          <w:tab w:val="left" w:pos="3048"/>
        </w:tabs>
        <w:spacing w:after="0" w:line="240" w:lineRule="auto"/>
        <w:rPr>
          <w:b/>
          <w:color w:val="E36C0A" w:themeColor="accent6" w:themeShade="BF"/>
          <w:sz w:val="12"/>
          <w:szCs w:val="12"/>
        </w:rPr>
      </w:pPr>
    </w:p>
    <w:p w14:paraId="4534723C" w14:textId="1EDD4039" w:rsidR="009F40D9" w:rsidRDefault="00A86E93" w:rsidP="009F40D9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660EA" wp14:editId="336D6841">
                <wp:simplePos x="0" y="0"/>
                <wp:positionH relativeFrom="margin">
                  <wp:align>center</wp:align>
                </wp:positionH>
                <wp:positionV relativeFrom="paragraph">
                  <wp:posOffset>3514725</wp:posOffset>
                </wp:positionV>
                <wp:extent cx="7077456" cy="1335024"/>
                <wp:effectExtent l="57150" t="19050" r="85725" b="113030"/>
                <wp:wrapNone/>
                <wp:docPr id="2" name="Text Box 2" descr="Title I maintenance of effort and comparability - how does supplement not supplant fit 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456" cy="13350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BED794" w14:textId="5B79769C" w:rsidR="007922F3" w:rsidRPr="00A86E93" w:rsidRDefault="007922F3" w:rsidP="00F61DF3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C67EA2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Title I</w:t>
                            </w:r>
                            <w:r w:rsidR="004156BD" w:rsidRPr="00C67EA2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4156BD" w:rsidRPr="00C67EA2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Pr="00C67EA2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aintenance of effort and comparability.</w:t>
                            </w:r>
                            <w:r w:rsidR="00F61DF3" w:rsidRPr="00C67EA2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How does SNS </w:t>
                            </w:r>
                            <w:r w:rsidR="00F87D05" w:rsidRPr="00C67EA2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fit in?</w:t>
                            </w:r>
                            <w:r w:rsidR="00F87D05">
                              <w:rPr>
                                <w:noProof/>
                              </w:rPr>
                              <w:drawing>
                                <wp:inline distT="0" distB="0" distL="0" distR="0" wp14:anchorId="1DAB556A" wp14:editId="07454E39">
                                  <wp:extent cx="6806565" cy="933960"/>
                                  <wp:effectExtent l="0" t="0" r="0" b="19050"/>
                                  <wp:docPr id="15" name="Diagram 15" descr="Title I maintenance of effort and comparability - how does supplement not supplant fit in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3" r:lo="rId14" r:qs="rId15" r:cs="rId16"/>
                                    </a:graphicData>
                                  </a:graphic>
                                </wp:inline>
                              </w:drawing>
                            </w:r>
                            <w:r w:rsidR="00F87D05" w:rsidRPr="00F87D0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B06A9B3" w14:textId="33B00A4C" w:rsidR="007922F3" w:rsidRPr="003448E3" w:rsidRDefault="007922F3" w:rsidP="007922F3">
                            <w:pPr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A93648" w14:textId="77777777" w:rsidR="007922F3" w:rsidRDefault="007922F3" w:rsidP="00792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660EA" id="_x0000_s1028" alt="Title I maintenance of effort and comparability - how does supplement not supplant fit in" style="position:absolute;margin-left:0;margin-top:276.75pt;width:557.3pt;height:105.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" fillcolor="window" strokecolor="#f79646" strokeweight="2pt">
                <v:shadow on="t" color="black" opacity="26214f" origin=",-.5" offset="0,3pt"/>
                <v:textbox>
                  <w:txbxContent>
                    <w:p w14:paraId="1CBED794" w14:textId="5B79769C" w:rsidR="007922F3" w:rsidRPr="00A86E93" w:rsidRDefault="007922F3" w:rsidP="00F61DF3">
                      <w:pPr>
                        <w:spacing w:after="0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C67EA2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Title I</w:t>
                      </w:r>
                      <w:r w:rsidR="004156BD" w:rsidRPr="00C67EA2">
                        <w:rPr>
                          <w:color w:val="17365D" w:themeColor="text2" w:themeShade="BF"/>
                          <w:sz w:val="20"/>
                          <w:szCs w:val="20"/>
                        </w:rPr>
                        <w:t xml:space="preserve">:  </w:t>
                      </w:r>
                      <w:r w:rsidR="004156BD" w:rsidRPr="00C67EA2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M</w:t>
                      </w:r>
                      <w:r w:rsidRPr="00C67EA2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aintenance of effort and comparability.</w:t>
                      </w:r>
                      <w:r w:rsidR="00F61DF3" w:rsidRPr="00C67EA2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 How does SNS </w:t>
                      </w:r>
                      <w:r w:rsidR="00F87D05" w:rsidRPr="00C67EA2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fit in?</w:t>
                      </w:r>
                      <w:r w:rsidR="00F87D05">
                        <w:rPr>
                          <w:noProof/>
                        </w:rPr>
                        <w:drawing>
                          <wp:inline distT="0" distB="0" distL="0" distR="0" wp14:anchorId="1DAB556A" wp14:editId="07454E39">
                            <wp:extent cx="6806565" cy="933960"/>
                            <wp:effectExtent l="0" t="0" r="0" b="19050"/>
                            <wp:docPr id="15" name="Diagram 15" descr="Title I maintenance of effort and comparability - how does supplement not supplant fit in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8" r:lo="rId14" r:qs="rId15" r:cs="rId16"/>
                              </a:graphicData>
                            </a:graphic>
                          </wp:inline>
                        </w:drawing>
                      </w:r>
                      <w:r w:rsidR="00F87D05" w:rsidRPr="00F87D05">
                        <w:rPr>
                          <w:noProof/>
                        </w:rPr>
                        <w:t xml:space="preserve"> </w:t>
                      </w:r>
                    </w:p>
                    <w:p w14:paraId="7B06A9B3" w14:textId="33B00A4C" w:rsidR="007922F3" w:rsidRPr="003448E3" w:rsidRDefault="007922F3" w:rsidP="007922F3">
                      <w:pPr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</w:p>
                    <w:p w14:paraId="49A93648" w14:textId="77777777" w:rsidR="007922F3" w:rsidRDefault="007922F3" w:rsidP="007922F3"/>
                  </w:txbxContent>
                </v:textbox>
                <w10:wrap anchorx="margin"/>
              </v:roundrect>
            </w:pict>
          </mc:Fallback>
        </mc:AlternateContent>
      </w:r>
      <w:r w:rsidR="00302255">
        <w:rPr>
          <w:sz w:val="8"/>
          <w:szCs w:val="8"/>
        </w:rPr>
        <w:br w:type="page"/>
      </w:r>
    </w:p>
    <w:p w14:paraId="684B208A" w14:textId="59A7838E" w:rsidR="0015588C" w:rsidRPr="0015588C" w:rsidRDefault="00D12B86" w:rsidP="00FC4004">
      <w:pPr>
        <w:jc w:val="center"/>
        <w:rPr>
          <w:b/>
          <w:color w:val="984806" w:themeColor="accent6" w:themeShade="80"/>
          <w:sz w:val="24"/>
        </w:rPr>
      </w:pPr>
      <w:r w:rsidRPr="00417E1B">
        <w:rPr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127F3310" wp14:editId="031DA3AB">
                <wp:simplePos x="0" y="0"/>
                <wp:positionH relativeFrom="margin">
                  <wp:posOffset>-27940</wp:posOffset>
                </wp:positionH>
                <wp:positionV relativeFrom="paragraph">
                  <wp:posOffset>19164</wp:posOffset>
                </wp:positionV>
                <wp:extent cx="6824345" cy="3148965"/>
                <wp:effectExtent l="57150" t="19050" r="71755" b="1085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31489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3174" w14:textId="64BCBE44" w:rsidR="003A1C0D" w:rsidRPr="00D8338C" w:rsidRDefault="00076C69" w:rsidP="00417E1B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10FA9018" w14:textId="77777777" w:rsidR="00B31310" w:rsidRPr="00B31310" w:rsidRDefault="00B31310" w:rsidP="00417E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F497D" w:themeColor="text2"/>
                                <w:sz w:val="8"/>
                                <w:szCs w:val="8"/>
                              </w:rPr>
                            </w:pPr>
                          </w:p>
                          <w:p w14:paraId="0615986C" w14:textId="37DC1411" w:rsidR="00417E1B" w:rsidRPr="00076C69" w:rsidRDefault="00417E1B" w:rsidP="00417E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 w:rsidRPr="00076C69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SNS Presumptions</w:t>
                            </w:r>
                          </w:p>
                          <w:p w14:paraId="23AFB481" w14:textId="77777777" w:rsidR="00417E1B" w:rsidRPr="00570ECB" w:rsidRDefault="00417E1B" w:rsidP="00417E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141412"/>
                                <w:sz w:val="6"/>
                                <w:szCs w:val="6"/>
                              </w:rPr>
                            </w:pPr>
                          </w:p>
                          <w:p w14:paraId="4B18C8EA" w14:textId="77777777" w:rsidR="00076C69" w:rsidRDefault="00076C69" w:rsidP="00417E1B">
                            <w:pPr>
                              <w:spacing w:after="120" w:line="240" w:lineRule="auto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As with Title I, Part A, t</w:t>
                            </w:r>
                            <w:r w:rsidR="003A1C0D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he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goal of SNS for Title II</w:t>
                            </w: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, Part 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A, Title III,</w:t>
                            </w: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Part A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and Title IV</w:t>
                            </w: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, Part 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A is to be sure that federal funds are spent in addition to </w:t>
                            </w:r>
                            <w:r w:rsidR="004159A6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and do not replace services that eligible students would otherwise receive.  U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nlike for Title I, the 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b/>
                                <w:color w:val="141412"/>
                                <w:sz w:val="20"/>
                                <w:szCs w:val="20"/>
                              </w:rPr>
                              <w:t>test is an expense-by-expense measure</w:t>
                            </w:r>
                            <w:r w:rsidR="003A1C0D" w:rsidRPr="00076C69">
                              <w:rPr>
                                <w:rFonts w:eastAsia="Times New Roman" w:cstheme="minorHAnsi"/>
                                <w:b/>
                                <w:color w:val="141412"/>
                                <w:sz w:val="20"/>
                                <w:szCs w:val="20"/>
                              </w:rPr>
                              <w:t xml:space="preserve"> for these Titles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3AADAB9C" w14:textId="5769FF66" w:rsidR="00076C69" w:rsidRDefault="00076C69" w:rsidP="00076C69">
                            <w:pPr>
                              <w:spacing w:after="120" w:line="240" w:lineRule="auto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141412"/>
                                <w:sz w:val="20"/>
                                <w:szCs w:val="20"/>
                              </w:rPr>
                              <w:t>S</w:t>
                            </w:r>
                            <w:r w:rsidRPr="00076C69">
                              <w:rPr>
                                <w:rFonts w:eastAsia="Times New Roman" w:cstheme="minorHAnsi"/>
                                <w:b/>
                                <w:color w:val="141412"/>
                                <w:sz w:val="20"/>
                                <w:szCs w:val="20"/>
                              </w:rPr>
                              <w:t>upplanting is presumed</w:t>
                            </w:r>
                            <w:r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if any of the following is true</w:t>
                            </w:r>
                            <w:r w:rsidR="00ED2A6E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, according</w:t>
                            </w:r>
                            <w:r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C0D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to federal fiscal guidance (2 CFR Part 200, Appendix XI)</w:t>
                            </w: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4AD9EB9" w14:textId="24202F58" w:rsidR="00024B23" w:rsidRPr="00076C69" w:rsidRDefault="00076C69" w:rsidP="00076C6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20" w:line="240" w:lineRule="auto"/>
                              <w:ind w:left="1440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</w:t>
                            </w:r>
                            <w:r w:rsidR="00337AF2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district 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use</w:t>
                            </w:r>
                            <w:r w:rsidR="00ED2A6E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s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federal funds to provide services that </w:t>
                            </w:r>
                            <w:r w:rsidR="00ED2A6E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are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required under other federal, state</w:t>
                            </w:r>
                            <w:r w:rsidR="00AD1374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,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or local laws.</w:t>
                            </w:r>
                          </w:p>
                          <w:p w14:paraId="40A409C6" w14:textId="440D54C4" w:rsidR="00024B23" w:rsidRPr="00076C69" w:rsidRDefault="00337AF2" w:rsidP="00076C69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clear" w:pos="720"/>
                                <w:tab w:val="num" w:pos="810"/>
                              </w:tabs>
                              <w:spacing w:after="120" w:line="240" w:lineRule="auto"/>
                              <w:ind w:left="1440" w:right="1080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 district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use</w:t>
                            </w:r>
                            <w:r w:rsidR="00ED2A6E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s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federal funds to provide services that the</w:t>
                            </w:r>
                            <w:r w:rsidR="00CC432B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district 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provided with non-federal funds in the prior year.</w:t>
                            </w:r>
                          </w:p>
                          <w:p w14:paraId="509B5AE0" w14:textId="17DE168C" w:rsidR="00417E1B" w:rsidRDefault="00CC432B" w:rsidP="00076C69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clear" w:pos="720"/>
                                <w:tab w:val="num" w:pos="810"/>
                              </w:tabs>
                              <w:spacing w:after="0" w:line="240" w:lineRule="auto"/>
                              <w:ind w:left="1440" w:right="1080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A district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use</w:t>
                            </w:r>
                            <w:r w:rsidR="00ED2A6E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s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federal funds to provide services that the </w:t>
                            </w:r>
                            <w:r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>district</w:t>
                            </w:r>
                            <w:r w:rsidR="00417E1B" w:rsidRPr="00076C69"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would otherwise provide without federal funds.</w:t>
                            </w:r>
                          </w:p>
                          <w:p w14:paraId="28075F54" w14:textId="77777777" w:rsidR="00076C69" w:rsidRPr="00076C69" w:rsidRDefault="00076C69" w:rsidP="00076C69">
                            <w:pPr>
                              <w:spacing w:after="0" w:line="240" w:lineRule="auto"/>
                              <w:ind w:left="1440" w:right="1080"/>
                              <w:rPr>
                                <w:rFonts w:eastAsia="Times New Roman" w:cstheme="minorHAnsi"/>
                                <w:color w:val="141412"/>
                                <w:sz w:val="16"/>
                                <w:szCs w:val="16"/>
                              </w:rPr>
                            </w:pPr>
                          </w:p>
                          <w:p w14:paraId="3B87C152" w14:textId="637433C9" w:rsidR="00DA7297" w:rsidRPr="00076C69" w:rsidRDefault="00DA7297" w:rsidP="00DA7297">
                            <w:pPr>
                              <w:pStyle w:val="Default"/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  <w:r w:rsidRPr="00076C69">
                              <w:rPr>
                                <w:rFonts w:asciiTheme="minorHAnsi" w:eastAsia="Times New Roman" w:hAnsiTheme="minorHAnsi" w:cstheme="minorHAnsi"/>
                                <w:b/>
                                <w:color w:val="141412"/>
                                <w:sz w:val="20"/>
                                <w:szCs w:val="20"/>
                              </w:rPr>
                              <w:t>Note: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b/>
                                <w:color w:val="141412"/>
                                <w:sz w:val="20"/>
                                <w:szCs w:val="20"/>
                              </w:rPr>
                              <w:t>These presumptions may be overcome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if the district can demonstrate that it would not have provided the services </w:t>
                            </w:r>
                            <w:r w:rsidR="00F7638A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absent the availability of these 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>federal funds</w:t>
                            </w:r>
                            <w:r w:rsidR="00F7638A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>.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For example, </w:t>
                            </w:r>
                            <w:r w:rsidR="00A353D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STEAM professional development had been provided with state </w:t>
                            </w:r>
                            <w:r w:rsidRPr="00A353D9">
                              <w:rPr>
                                <w:rFonts w:asciiTheme="minorHAnsi" w:eastAsia="Times New Roman" w:hAnsiTheme="minorHAnsi" w:cstheme="minorHAnsi"/>
                                <w:i/>
                                <w:color w:val="141412"/>
                                <w:sz w:val="20"/>
                                <w:szCs w:val="20"/>
                              </w:rPr>
                              <w:t>grant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funds for middle school teacher</w:t>
                            </w:r>
                            <w:r w:rsid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>s,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and the grant funds were not available for the coming year.  Title IIA funds could be used for this PD, assuming no other presumption was violated</w:t>
                            </w:r>
                            <w:r w:rsidR="00A353D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 xml:space="preserve"> and the district would not otherwise have been able to provide the PD</w:t>
                            </w:r>
                            <w:r w:rsidRPr="00076C69">
                              <w:rPr>
                                <w:rFonts w:asciiTheme="minorHAnsi" w:eastAsia="Times New Roman" w:hAnsiTheme="minorHAnsi" w:cstheme="minorHAnsi"/>
                                <w:color w:val="14141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FEE6C4" w14:textId="76A1E2D3" w:rsidR="00DA7297" w:rsidRPr="00076C69" w:rsidRDefault="00DA7297" w:rsidP="00DA7297">
                            <w:pPr>
                              <w:spacing w:before="100" w:beforeAutospacing="1" w:after="100" w:afterAutospacing="1" w:line="240" w:lineRule="auto"/>
                              <w:ind w:left="1440" w:right="1080"/>
                              <w:rPr>
                                <w:rFonts w:eastAsia="Times New Roman" w:cstheme="minorHAnsi"/>
                                <w:color w:val="141412"/>
                                <w:sz w:val="20"/>
                                <w:szCs w:val="20"/>
                              </w:rPr>
                            </w:pPr>
                          </w:p>
                          <w:p w14:paraId="37B0D381" w14:textId="63C38A16" w:rsidR="00417E1B" w:rsidRDefault="00417E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3310" id="_x0000_s1029" type="#_x0000_t202" style="position:absolute;left:0;text-align:left;margin-left:-2.2pt;margin-top:1.5pt;width:537.35pt;height:247.95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" fillcolor="white [3201]" strokecolor="#0070c0" strokeweight="2pt">
                <v:shadow on="t" color="black" opacity="26214f" origin=",-.5" offset="0,3pt"/>
                <v:textbox>
                  <w:txbxContent>
                    <w:p w14:paraId="41223174" w14:textId="64BCBE44" w:rsidR="003A1C0D" w:rsidRPr="00D8338C" w:rsidRDefault="00076C69" w:rsidP="00417E1B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                                                                   </w:t>
                      </w:r>
                    </w:p>
                    <w:p w14:paraId="10FA9018" w14:textId="77777777" w:rsidR="00B31310" w:rsidRPr="00B31310" w:rsidRDefault="00B31310" w:rsidP="00417E1B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1F497D" w:themeColor="text2"/>
                          <w:sz w:val="8"/>
                          <w:szCs w:val="8"/>
                        </w:rPr>
                      </w:pPr>
                    </w:p>
                    <w:p w14:paraId="0615986C" w14:textId="37DC1411" w:rsidR="00417E1B" w:rsidRPr="00076C69" w:rsidRDefault="00417E1B" w:rsidP="00417E1B">
                      <w:pPr>
                        <w:spacing w:after="0" w:line="240" w:lineRule="auto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  <w:r w:rsidRPr="00076C69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0"/>
                        </w:rPr>
                        <w:t>SNS Presumptions</w:t>
                      </w:r>
                    </w:p>
                    <w:p w14:paraId="23AFB481" w14:textId="77777777" w:rsidR="00417E1B" w:rsidRPr="00570ECB" w:rsidRDefault="00417E1B" w:rsidP="00417E1B">
                      <w:pPr>
                        <w:spacing w:after="0" w:line="240" w:lineRule="auto"/>
                        <w:rPr>
                          <w:rFonts w:eastAsia="Times New Roman" w:cstheme="minorHAnsi"/>
                          <w:color w:val="141412"/>
                          <w:sz w:val="6"/>
                          <w:szCs w:val="6"/>
                        </w:rPr>
                      </w:pPr>
                    </w:p>
                    <w:p w14:paraId="4B18C8EA" w14:textId="77777777" w:rsidR="00076C69" w:rsidRDefault="00076C69" w:rsidP="00417E1B">
                      <w:pPr>
                        <w:spacing w:after="120" w:line="240" w:lineRule="auto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As with Title I, Part A, t</w:t>
                      </w:r>
                      <w:r w:rsidR="003A1C0D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he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goal of SNS for Title II</w:t>
                      </w: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, Part 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A, Title III,</w:t>
                      </w: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Part A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and Title IV</w:t>
                      </w: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, Part 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A is to be sure that federal funds are spent in addition to </w:t>
                      </w:r>
                      <w:r w:rsidR="004159A6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and do not replace services that eligible students would otherwise receive.  U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nlike for Title I, the </w:t>
                      </w:r>
                      <w:r w:rsidR="00417E1B" w:rsidRPr="00076C69">
                        <w:rPr>
                          <w:rFonts w:eastAsia="Times New Roman" w:cstheme="minorHAnsi"/>
                          <w:b/>
                          <w:color w:val="141412"/>
                          <w:sz w:val="20"/>
                          <w:szCs w:val="20"/>
                        </w:rPr>
                        <w:t>test is an expense-by-expense measure</w:t>
                      </w:r>
                      <w:r w:rsidR="003A1C0D" w:rsidRPr="00076C69">
                        <w:rPr>
                          <w:rFonts w:eastAsia="Times New Roman" w:cstheme="minorHAnsi"/>
                          <w:b/>
                          <w:color w:val="141412"/>
                          <w:sz w:val="20"/>
                          <w:szCs w:val="20"/>
                        </w:rPr>
                        <w:t xml:space="preserve"> for these Titles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3AADAB9C" w14:textId="5769FF66" w:rsidR="00076C69" w:rsidRDefault="00076C69" w:rsidP="00076C69">
                      <w:pPr>
                        <w:spacing w:after="120" w:line="240" w:lineRule="auto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141412"/>
                          <w:sz w:val="20"/>
                          <w:szCs w:val="20"/>
                        </w:rPr>
                        <w:t>S</w:t>
                      </w:r>
                      <w:r w:rsidRPr="00076C69">
                        <w:rPr>
                          <w:rFonts w:eastAsia="Times New Roman" w:cstheme="minorHAnsi"/>
                          <w:b/>
                          <w:color w:val="141412"/>
                          <w:sz w:val="20"/>
                          <w:szCs w:val="20"/>
                        </w:rPr>
                        <w:t>upplanting is presumed</w:t>
                      </w:r>
                      <w:r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if any of the following is true</w:t>
                      </w:r>
                      <w:r w:rsidR="00ED2A6E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, according</w:t>
                      </w:r>
                      <w:r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</w:t>
                      </w:r>
                      <w:r w:rsidR="003A1C0D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to federal fiscal guidance (2 CFR Part 200, Appendix XI)</w:t>
                      </w: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:</w:t>
                      </w:r>
                    </w:p>
                    <w:p w14:paraId="24AD9EB9" w14:textId="24202F58" w:rsidR="00024B23" w:rsidRPr="00076C69" w:rsidRDefault="00076C69" w:rsidP="00076C6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20" w:line="240" w:lineRule="auto"/>
                        <w:ind w:left="1440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  <w:r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</w:t>
                      </w:r>
                      <w:r w:rsidR="00337AF2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district 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use</w:t>
                      </w:r>
                      <w:r w:rsidR="00ED2A6E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s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federal funds to provide services that </w:t>
                      </w:r>
                      <w:r w:rsidR="00ED2A6E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are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required under other federal, state</w:t>
                      </w:r>
                      <w:r w:rsidR="00AD1374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,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or local laws.</w:t>
                      </w:r>
                    </w:p>
                    <w:p w14:paraId="40A409C6" w14:textId="440D54C4" w:rsidR="00024B23" w:rsidRPr="00076C69" w:rsidRDefault="00337AF2" w:rsidP="00076C69">
                      <w:pPr>
                        <w:numPr>
                          <w:ilvl w:val="0"/>
                          <w:numId w:val="39"/>
                        </w:numPr>
                        <w:tabs>
                          <w:tab w:val="clear" w:pos="720"/>
                          <w:tab w:val="num" w:pos="810"/>
                        </w:tabs>
                        <w:spacing w:after="120" w:line="240" w:lineRule="auto"/>
                        <w:ind w:left="1440" w:right="1080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  <w:r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 district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use</w:t>
                      </w:r>
                      <w:r w:rsidR="00ED2A6E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s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federal funds to provide services that the</w:t>
                      </w:r>
                      <w:r w:rsidR="00CC432B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district 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provided with non-federal funds in the prior year.</w:t>
                      </w:r>
                    </w:p>
                    <w:p w14:paraId="509B5AE0" w14:textId="17DE168C" w:rsidR="00417E1B" w:rsidRDefault="00CC432B" w:rsidP="00076C69">
                      <w:pPr>
                        <w:numPr>
                          <w:ilvl w:val="0"/>
                          <w:numId w:val="39"/>
                        </w:numPr>
                        <w:tabs>
                          <w:tab w:val="clear" w:pos="720"/>
                          <w:tab w:val="num" w:pos="810"/>
                        </w:tabs>
                        <w:spacing w:after="0" w:line="240" w:lineRule="auto"/>
                        <w:ind w:left="1440" w:right="1080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A district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use</w:t>
                      </w:r>
                      <w:r w:rsidR="00ED2A6E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s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federal funds to provide services that the </w:t>
                      </w:r>
                      <w:r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>district</w:t>
                      </w:r>
                      <w:r w:rsidR="00417E1B" w:rsidRPr="00076C69"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  <w:t xml:space="preserve"> would otherwise provide without federal funds.</w:t>
                      </w:r>
                    </w:p>
                    <w:p w14:paraId="28075F54" w14:textId="77777777" w:rsidR="00076C69" w:rsidRPr="00076C69" w:rsidRDefault="00076C69" w:rsidP="00076C69">
                      <w:pPr>
                        <w:spacing w:after="0" w:line="240" w:lineRule="auto"/>
                        <w:ind w:left="1440" w:right="1080"/>
                        <w:rPr>
                          <w:rFonts w:eastAsia="Times New Roman" w:cstheme="minorHAnsi"/>
                          <w:color w:val="141412"/>
                          <w:sz w:val="16"/>
                          <w:szCs w:val="16"/>
                        </w:rPr>
                      </w:pPr>
                    </w:p>
                    <w:p w14:paraId="3B87C152" w14:textId="637433C9" w:rsidR="00DA7297" w:rsidRPr="00076C69" w:rsidRDefault="00DA7297" w:rsidP="00DA7297">
                      <w:pPr>
                        <w:pStyle w:val="Default"/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</w:pPr>
                      <w:r w:rsidRPr="00076C69">
                        <w:rPr>
                          <w:rFonts w:asciiTheme="minorHAnsi" w:eastAsia="Times New Roman" w:hAnsiTheme="minorHAnsi" w:cstheme="minorHAnsi"/>
                          <w:b/>
                          <w:color w:val="141412"/>
                          <w:sz w:val="20"/>
                          <w:szCs w:val="20"/>
                        </w:rPr>
                        <w:t>Note: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  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b/>
                          <w:color w:val="141412"/>
                          <w:sz w:val="20"/>
                          <w:szCs w:val="20"/>
                        </w:rPr>
                        <w:t>These presumptions may be overcome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 if the district can demonstrate that it would not have provided the services </w:t>
                      </w:r>
                      <w:r w:rsidR="00F7638A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absent the availability of these 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>federal funds</w:t>
                      </w:r>
                      <w:r w:rsidR="00F7638A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>.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 For example, </w:t>
                      </w:r>
                      <w:r w:rsidR="00A353D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new 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STEAM professional development had been provided with state </w:t>
                      </w:r>
                      <w:r w:rsidRPr="00A353D9">
                        <w:rPr>
                          <w:rFonts w:asciiTheme="minorHAnsi" w:eastAsia="Times New Roman" w:hAnsiTheme="minorHAnsi" w:cstheme="minorHAnsi"/>
                          <w:i/>
                          <w:color w:val="141412"/>
                          <w:sz w:val="20"/>
                          <w:szCs w:val="20"/>
                        </w:rPr>
                        <w:t>grant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 funds for middle school teacher</w:t>
                      </w:r>
                      <w:r w:rsid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>s,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 and the grant funds were not available for the coming year.  Title IIA funds could be used for this PD, assuming no other presumption was violated</w:t>
                      </w:r>
                      <w:r w:rsidR="00A353D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 xml:space="preserve"> and the district would not otherwise have been able to provide the PD</w:t>
                      </w:r>
                      <w:r w:rsidRPr="00076C69">
                        <w:rPr>
                          <w:rFonts w:asciiTheme="minorHAnsi" w:eastAsia="Times New Roman" w:hAnsiTheme="minorHAnsi" w:cstheme="minorHAnsi"/>
                          <w:color w:val="141412"/>
                          <w:sz w:val="20"/>
                          <w:szCs w:val="20"/>
                        </w:rPr>
                        <w:t>.</w:t>
                      </w:r>
                    </w:p>
                    <w:p w14:paraId="60FEE6C4" w14:textId="76A1E2D3" w:rsidR="00DA7297" w:rsidRPr="00076C69" w:rsidRDefault="00DA7297" w:rsidP="00DA7297">
                      <w:pPr>
                        <w:spacing w:before="100" w:beforeAutospacing="1" w:after="100" w:afterAutospacing="1" w:line="240" w:lineRule="auto"/>
                        <w:ind w:left="1440" w:right="1080"/>
                        <w:rPr>
                          <w:rFonts w:eastAsia="Times New Roman" w:cstheme="minorHAnsi"/>
                          <w:color w:val="141412"/>
                          <w:sz w:val="20"/>
                          <w:szCs w:val="20"/>
                        </w:rPr>
                      </w:pPr>
                    </w:p>
                    <w:p w14:paraId="37B0D381" w14:textId="63C38A16" w:rsidR="00417E1B" w:rsidRDefault="00417E1B"/>
                  </w:txbxContent>
                </v:textbox>
                <w10:wrap type="square" anchorx="margin"/>
              </v:shape>
            </w:pict>
          </mc:Fallback>
        </mc:AlternateContent>
      </w:r>
      <w:r w:rsidR="00570ECB" w:rsidRPr="0015588C">
        <w:rPr>
          <w:b/>
          <w:noProof/>
          <w:color w:val="984806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8A72E9" wp14:editId="35600C40">
                <wp:simplePos x="0" y="0"/>
                <wp:positionH relativeFrom="margin">
                  <wp:posOffset>2706526</wp:posOffset>
                </wp:positionH>
                <wp:positionV relativeFrom="paragraph">
                  <wp:posOffset>3260922</wp:posOffset>
                </wp:positionV>
                <wp:extent cx="4302760" cy="1784791"/>
                <wp:effectExtent l="0" t="0" r="2159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760" cy="178479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FBF9" w14:textId="77777777" w:rsidR="00A353D9" w:rsidRDefault="0015588C" w:rsidP="005738A8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2C4167">
                              <w:rPr>
                                <w:b/>
                                <w:sz w:val="19"/>
                                <w:szCs w:val="19"/>
                              </w:rPr>
                              <w:t xml:space="preserve">SNS for </w:t>
                            </w:r>
                            <w:r w:rsidRPr="002C4167">
                              <w:rPr>
                                <w:b/>
                                <w:color w:val="FFC000"/>
                                <w:sz w:val="19"/>
                                <w:szCs w:val="19"/>
                              </w:rPr>
                              <w:t xml:space="preserve">Title III, Part A </w:t>
                            </w:r>
                            <w:r w:rsidRPr="002C4167">
                              <w:rPr>
                                <w:b/>
                                <w:sz w:val="19"/>
                                <w:szCs w:val="19"/>
                              </w:rPr>
                              <w:t>presents unique challenges</w:t>
                            </w:r>
                            <w:r w:rsidRPr="002C4167">
                              <w:rPr>
                                <w:sz w:val="19"/>
                                <w:szCs w:val="19"/>
                              </w:rPr>
                              <w:t xml:space="preserve">.  </w:t>
                            </w:r>
                          </w:p>
                          <w:p w14:paraId="53F12D34" w14:textId="21825A15" w:rsidR="00A353D9" w:rsidRDefault="0015588C" w:rsidP="00E754A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180" w:hanging="270"/>
                              <w:rPr>
                                <w:sz w:val="19"/>
                                <w:szCs w:val="19"/>
                              </w:rPr>
                            </w:pPr>
                            <w:r w:rsidRPr="00A353D9">
                              <w:rPr>
                                <w:sz w:val="19"/>
                                <w:szCs w:val="19"/>
                              </w:rPr>
                              <w:t xml:space="preserve">In addition to supplementing state and local funds, Title III requires that funds supplement </w:t>
                            </w:r>
                            <w:r w:rsidRPr="00A353D9">
                              <w:rPr>
                                <w:b/>
                                <w:sz w:val="19"/>
                                <w:szCs w:val="19"/>
                              </w:rPr>
                              <w:t>federal</w:t>
                            </w:r>
                            <w:r w:rsidR="005738A8">
                              <w:rPr>
                                <w:sz w:val="19"/>
                                <w:szCs w:val="19"/>
                              </w:rPr>
                              <w:t xml:space="preserve"> funds</w:t>
                            </w:r>
                            <w:r w:rsidRPr="00A353D9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  <w:r w:rsidR="007A5EAE" w:rsidRPr="00A353D9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F00AB98" w14:textId="7CB3F891" w:rsidR="0015588C" w:rsidRPr="00A353D9" w:rsidRDefault="005738A8" w:rsidP="00E754A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180" w:hanging="27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Because th</w:t>
                            </w:r>
                            <w:r w:rsidR="00403FBB" w:rsidRPr="00A353D9">
                              <w:rPr>
                                <w:sz w:val="19"/>
                                <w:szCs w:val="19"/>
                              </w:rPr>
                              <w:t>e education of English learners is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heavily regulated by the state and federally, avoiding the first presumption of supplanting can be </w:t>
                            </w:r>
                            <w:r w:rsidRPr="00E754AF">
                              <w:rPr>
                                <w:sz w:val="19"/>
                                <w:szCs w:val="19"/>
                              </w:rPr>
                              <w:t>challenging. For example, Title III, Part A funds may not be used to meet requirements of</w:t>
                            </w:r>
                            <w:r w:rsidR="00403FBB" w:rsidRPr="00E754AF">
                              <w:rPr>
                                <w:sz w:val="19"/>
                                <w:szCs w:val="19"/>
                              </w:rPr>
                              <w:t xml:space="preserve"> federal</w:t>
                            </w:r>
                            <w:r w:rsidR="0015588C" w:rsidRPr="00E754A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754AF" w:rsidRPr="00E754AF">
                              <w:rPr>
                                <w:sz w:val="19"/>
                                <w:szCs w:val="19"/>
                              </w:rPr>
                              <w:t>laws governing ELs</w:t>
                            </w:r>
                            <w:r w:rsidR="005A17F1" w:rsidRPr="00E754AF">
                              <w:rPr>
                                <w:sz w:val="19"/>
                                <w:szCs w:val="19"/>
                              </w:rPr>
                              <w:t xml:space="preserve"> (Title </w:t>
                            </w:r>
                            <w:r w:rsidR="00403FBB" w:rsidRPr="00E754AF">
                              <w:rPr>
                                <w:sz w:val="19"/>
                                <w:szCs w:val="19"/>
                              </w:rPr>
                              <w:t>V</w:t>
                            </w:r>
                            <w:r w:rsidR="005A17F1" w:rsidRPr="00E754AF">
                              <w:rPr>
                                <w:sz w:val="19"/>
                                <w:szCs w:val="19"/>
                              </w:rPr>
                              <w:t>I of the Civil Rights Act of 1964</w:t>
                            </w:r>
                            <w:r w:rsidR="00403FBB" w:rsidRPr="00E754AF">
                              <w:rPr>
                                <w:sz w:val="19"/>
                                <w:szCs w:val="19"/>
                              </w:rPr>
                              <w:t xml:space="preserve"> and E</w:t>
                            </w:r>
                            <w:r w:rsidR="00E754AF" w:rsidRPr="00E754AF">
                              <w:rPr>
                                <w:sz w:val="19"/>
                                <w:szCs w:val="19"/>
                              </w:rPr>
                              <w:t>qual Education Opportunities Act of 1974)</w:t>
                            </w:r>
                            <w:r w:rsidR="00403FBB" w:rsidRPr="00E754AF"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AD1374" w:rsidRPr="00E754AF">
                              <w:rPr>
                                <w:sz w:val="19"/>
                                <w:szCs w:val="19"/>
                              </w:rPr>
                              <w:t xml:space="preserve"> the </w:t>
                            </w:r>
                            <w:r w:rsidR="00403FBB" w:rsidRPr="00E754AF">
                              <w:rPr>
                                <w:sz w:val="19"/>
                                <w:szCs w:val="19"/>
                              </w:rPr>
                              <w:t>Massachusetts LOOK Act</w:t>
                            </w:r>
                            <w:r w:rsidR="00182869" w:rsidRPr="00E754AF">
                              <w:rPr>
                                <w:sz w:val="19"/>
                                <w:szCs w:val="19"/>
                              </w:rPr>
                              <w:t xml:space="preserve"> (Chapter 138 of the </w:t>
                            </w:r>
                            <w:r w:rsidR="00E43CAA" w:rsidRPr="00E754AF">
                              <w:rPr>
                                <w:sz w:val="19"/>
                                <w:szCs w:val="19"/>
                              </w:rPr>
                              <w:t>Acts</w:t>
                            </w:r>
                            <w:r w:rsidRPr="00E754AF">
                              <w:rPr>
                                <w:sz w:val="19"/>
                                <w:szCs w:val="19"/>
                              </w:rPr>
                              <w:t xml:space="preserve"> of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2017), among others</w:t>
                            </w:r>
                            <w:r w:rsidR="00403FBB" w:rsidRPr="00A353D9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  <w:r w:rsidR="0015588C" w:rsidRPr="00A353D9"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478A39A5" w14:textId="38047B73" w:rsidR="0015588C" w:rsidRPr="00A60DA8" w:rsidRDefault="0015588C" w:rsidP="001558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A72E9" id="Rounded Rectangle 8" o:spid="_x0000_s1030" style="position:absolute;left:0;text-align:left;margin-left:213.1pt;margin-top:256.75pt;width:338.8pt;height:140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" fillcolor="#548dd4 [1951]" strokecolor="#243f60 [1604]" strokeweight="2pt">
                <v:textbox>
                  <w:txbxContent>
                    <w:p w14:paraId="02F0FBF9" w14:textId="77777777" w:rsidR="00A353D9" w:rsidRDefault="0015588C" w:rsidP="005738A8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2C4167">
                        <w:rPr>
                          <w:b/>
                          <w:sz w:val="19"/>
                          <w:szCs w:val="19"/>
                        </w:rPr>
                        <w:t xml:space="preserve">SNS for </w:t>
                      </w:r>
                      <w:r w:rsidRPr="002C4167">
                        <w:rPr>
                          <w:b/>
                          <w:color w:val="FFC000"/>
                          <w:sz w:val="19"/>
                          <w:szCs w:val="19"/>
                        </w:rPr>
                        <w:t xml:space="preserve">Title III, Part A </w:t>
                      </w:r>
                      <w:r w:rsidRPr="002C4167">
                        <w:rPr>
                          <w:b/>
                          <w:sz w:val="19"/>
                          <w:szCs w:val="19"/>
                        </w:rPr>
                        <w:t>presents unique challenges</w:t>
                      </w:r>
                      <w:r w:rsidRPr="002C4167">
                        <w:rPr>
                          <w:sz w:val="19"/>
                          <w:szCs w:val="19"/>
                        </w:rPr>
                        <w:t xml:space="preserve">.  </w:t>
                      </w:r>
                    </w:p>
                    <w:p w14:paraId="53F12D34" w14:textId="21825A15" w:rsidR="00A353D9" w:rsidRDefault="0015588C" w:rsidP="00E754A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180" w:hanging="270"/>
                        <w:rPr>
                          <w:sz w:val="19"/>
                          <w:szCs w:val="19"/>
                        </w:rPr>
                      </w:pPr>
                      <w:r w:rsidRPr="00A353D9">
                        <w:rPr>
                          <w:sz w:val="19"/>
                          <w:szCs w:val="19"/>
                        </w:rPr>
                        <w:t xml:space="preserve">In addition to supplementing state and local funds, Title III requires that funds supplement </w:t>
                      </w:r>
                      <w:r w:rsidRPr="00A353D9">
                        <w:rPr>
                          <w:b/>
                          <w:sz w:val="19"/>
                          <w:szCs w:val="19"/>
                        </w:rPr>
                        <w:t>federal</w:t>
                      </w:r>
                      <w:r w:rsidR="005738A8">
                        <w:rPr>
                          <w:sz w:val="19"/>
                          <w:szCs w:val="19"/>
                        </w:rPr>
                        <w:t xml:space="preserve"> funds</w:t>
                      </w:r>
                      <w:r w:rsidRPr="00A353D9">
                        <w:rPr>
                          <w:sz w:val="19"/>
                          <w:szCs w:val="19"/>
                        </w:rPr>
                        <w:t>.</w:t>
                      </w:r>
                      <w:r w:rsidR="007A5EAE" w:rsidRPr="00A353D9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1F00AB98" w14:textId="7CB3F891" w:rsidR="0015588C" w:rsidRPr="00A353D9" w:rsidRDefault="005738A8" w:rsidP="00E754A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180" w:hanging="27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Because th</w:t>
                      </w:r>
                      <w:r w:rsidR="00403FBB" w:rsidRPr="00A353D9">
                        <w:rPr>
                          <w:sz w:val="19"/>
                          <w:szCs w:val="19"/>
                        </w:rPr>
                        <w:t>e education of English learners is</w:t>
                      </w:r>
                      <w:r>
                        <w:rPr>
                          <w:sz w:val="19"/>
                          <w:szCs w:val="19"/>
                        </w:rPr>
                        <w:t xml:space="preserve"> heavily regulated by the state and federally, avoiding the first presumption of supplanting can be </w:t>
                      </w:r>
                      <w:r w:rsidRPr="00E754AF">
                        <w:rPr>
                          <w:sz w:val="19"/>
                          <w:szCs w:val="19"/>
                        </w:rPr>
                        <w:t>challenging. For example, Title III, Part A funds may not be used to meet requirements of</w:t>
                      </w:r>
                      <w:r w:rsidR="00403FBB" w:rsidRPr="00E754AF">
                        <w:rPr>
                          <w:sz w:val="19"/>
                          <w:szCs w:val="19"/>
                        </w:rPr>
                        <w:t xml:space="preserve"> federal</w:t>
                      </w:r>
                      <w:r w:rsidR="0015588C" w:rsidRPr="00E754A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E754AF" w:rsidRPr="00E754AF">
                        <w:rPr>
                          <w:sz w:val="19"/>
                          <w:szCs w:val="19"/>
                        </w:rPr>
                        <w:t>laws governing ELs</w:t>
                      </w:r>
                      <w:r w:rsidR="005A17F1" w:rsidRPr="00E754AF">
                        <w:rPr>
                          <w:sz w:val="19"/>
                          <w:szCs w:val="19"/>
                        </w:rPr>
                        <w:t xml:space="preserve"> (Title </w:t>
                      </w:r>
                      <w:r w:rsidR="00403FBB" w:rsidRPr="00E754AF">
                        <w:rPr>
                          <w:sz w:val="19"/>
                          <w:szCs w:val="19"/>
                        </w:rPr>
                        <w:t>V</w:t>
                      </w:r>
                      <w:r w:rsidR="005A17F1" w:rsidRPr="00E754AF">
                        <w:rPr>
                          <w:sz w:val="19"/>
                          <w:szCs w:val="19"/>
                        </w:rPr>
                        <w:t>I of the Civil Rights Act of 1964</w:t>
                      </w:r>
                      <w:r w:rsidR="00403FBB" w:rsidRPr="00E754AF">
                        <w:rPr>
                          <w:sz w:val="19"/>
                          <w:szCs w:val="19"/>
                        </w:rPr>
                        <w:t xml:space="preserve"> and E</w:t>
                      </w:r>
                      <w:r w:rsidR="00E754AF" w:rsidRPr="00E754AF">
                        <w:rPr>
                          <w:sz w:val="19"/>
                          <w:szCs w:val="19"/>
                        </w:rPr>
                        <w:t>qual Education Opportunities Act of 1974)</w:t>
                      </w:r>
                      <w:r w:rsidR="00403FBB" w:rsidRPr="00E754AF"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AD1374" w:rsidRPr="00E754AF">
                        <w:rPr>
                          <w:sz w:val="19"/>
                          <w:szCs w:val="19"/>
                        </w:rPr>
                        <w:t xml:space="preserve"> the </w:t>
                      </w:r>
                      <w:r w:rsidR="00403FBB" w:rsidRPr="00E754AF">
                        <w:rPr>
                          <w:sz w:val="19"/>
                          <w:szCs w:val="19"/>
                        </w:rPr>
                        <w:t>Massachusetts LOOK Act</w:t>
                      </w:r>
                      <w:r w:rsidR="00182869" w:rsidRPr="00E754AF">
                        <w:rPr>
                          <w:sz w:val="19"/>
                          <w:szCs w:val="19"/>
                        </w:rPr>
                        <w:t xml:space="preserve"> (Chapter 138 of the </w:t>
                      </w:r>
                      <w:r w:rsidR="00E43CAA" w:rsidRPr="00E754AF">
                        <w:rPr>
                          <w:sz w:val="19"/>
                          <w:szCs w:val="19"/>
                        </w:rPr>
                        <w:t>Acts</w:t>
                      </w:r>
                      <w:r w:rsidRPr="00E754AF">
                        <w:rPr>
                          <w:sz w:val="19"/>
                          <w:szCs w:val="19"/>
                        </w:rPr>
                        <w:t xml:space="preserve"> of</w:t>
                      </w:r>
                      <w:r>
                        <w:rPr>
                          <w:sz w:val="19"/>
                          <w:szCs w:val="19"/>
                        </w:rPr>
                        <w:t xml:space="preserve"> 2017), among others</w:t>
                      </w:r>
                      <w:r w:rsidR="00403FBB" w:rsidRPr="00A353D9">
                        <w:rPr>
                          <w:sz w:val="19"/>
                          <w:szCs w:val="19"/>
                        </w:rPr>
                        <w:t>.</w:t>
                      </w:r>
                      <w:r w:rsidR="0015588C" w:rsidRPr="00A353D9">
                        <w:rPr>
                          <w:sz w:val="19"/>
                          <w:szCs w:val="19"/>
                        </w:rPr>
                        <w:t xml:space="preserve">  </w:t>
                      </w:r>
                    </w:p>
                    <w:p w14:paraId="478A39A5" w14:textId="38047B73" w:rsidR="0015588C" w:rsidRPr="00A60DA8" w:rsidRDefault="0015588C" w:rsidP="0015588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0ECB" w:rsidRPr="0015588C">
        <w:rPr>
          <w:b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89B0C9" wp14:editId="4D4AAB06">
                <wp:simplePos x="0" y="0"/>
                <wp:positionH relativeFrom="column">
                  <wp:posOffset>-207818</wp:posOffset>
                </wp:positionH>
                <wp:positionV relativeFrom="paragraph">
                  <wp:posOffset>3422287</wp:posOffset>
                </wp:positionV>
                <wp:extent cx="2816031" cy="1618537"/>
                <wp:effectExtent l="0" t="0" r="22860" b="2032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031" cy="1618537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5D949F" w14:textId="38524FD6" w:rsidR="00403FBB" w:rsidRPr="002C4167" w:rsidRDefault="007A5EAE" w:rsidP="00403FBB">
                            <w:pP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2C4167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SNS for </w:t>
                            </w:r>
                            <w:r w:rsidRPr="002C4167">
                              <w:rPr>
                                <w:b/>
                                <w:color w:val="FFC000"/>
                                <w:sz w:val="19"/>
                                <w:szCs w:val="19"/>
                              </w:rPr>
                              <w:t xml:space="preserve">Title I, Part D </w:t>
                            </w:r>
                            <w:r w:rsidRPr="002C4167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(services for students who are neglected, delinquen</w:t>
                            </w:r>
                            <w:r w:rsidRPr="00CC432B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t</w:t>
                            </w:r>
                            <w:r w:rsidR="00CC432B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,</w:t>
                            </w:r>
                            <w:r w:rsidRPr="00CC432B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C4167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or at-risk) is measured simply</w:t>
                            </w:r>
                            <w:r w:rsidRPr="002C4167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:  If a Title I, D program supplements the number of hours of instruction students receive from State and local sources</w:t>
                            </w:r>
                            <w:r w:rsidR="004B5738" w:rsidRPr="002C4167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, it complies with </w:t>
                            </w:r>
                            <w:r w:rsidR="00F7638A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supplement- not-s</w:t>
                            </w:r>
                            <w:r w:rsidRPr="002C4167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upplant requirement</w:t>
                            </w:r>
                            <w:r w:rsidR="004B5738" w:rsidRPr="002C4167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s</w:t>
                            </w:r>
                            <w:r w:rsidRPr="002C4167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without regard to the subject areas in which instruction is given during those hours. </w:t>
                            </w:r>
                          </w:p>
                          <w:p w14:paraId="0B1B7EA4" w14:textId="77777777" w:rsidR="00403FBB" w:rsidRDefault="00403FBB" w:rsidP="00403F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9B0C9" id="Rounded Rectangle 12" o:spid="_x0000_s1031" style="position:absolute;left:0;text-align:left;margin-left:-16.35pt;margin-top:269.45pt;width:221.75pt;height:12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" fillcolor="#558ed5" strokecolor="#385d8a" strokeweight="2pt">
                <v:textbox>
                  <w:txbxContent>
                    <w:p w14:paraId="725D949F" w14:textId="38524FD6" w:rsidR="00403FBB" w:rsidRPr="002C4167" w:rsidRDefault="007A5EAE" w:rsidP="00403FBB">
                      <w:pPr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2C4167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SNS for </w:t>
                      </w:r>
                      <w:r w:rsidRPr="002C4167">
                        <w:rPr>
                          <w:b/>
                          <w:color w:val="FFC000"/>
                          <w:sz w:val="19"/>
                          <w:szCs w:val="19"/>
                        </w:rPr>
                        <w:t xml:space="preserve">Title I, Part D </w:t>
                      </w:r>
                      <w:r w:rsidRPr="002C4167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(services for students who are neglected, delinquen</w:t>
                      </w:r>
                      <w:r w:rsidRPr="00CC432B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t</w:t>
                      </w:r>
                      <w:r w:rsidR="00CC432B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,</w:t>
                      </w:r>
                      <w:r w:rsidRPr="00CC432B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r w:rsidRPr="002C4167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or at-risk) is measured simply</w:t>
                      </w:r>
                      <w:r w:rsidRPr="002C4167">
                        <w:rPr>
                          <w:color w:val="FFFFFF" w:themeColor="background1"/>
                          <w:sz w:val="19"/>
                          <w:szCs w:val="19"/>
                        </w:rPr>
                        <w:t>:  If a Title I, D program supplements the number of hours of instruction students receive from State and local sources</w:t>
                      </w:r>
                      <w:r w:rsidR="004B5738" w:rsidRPr="002C4167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, it complies with </w:t>
                      </w:r>
                      <w:r w:rsidR="00F7638A">
                        <w:rPr>
                          <w:color w:val="FFFFFF" w:themeColor="background1"/>
                          <w:sz w:val="19"/>
                          <w:szCs w:val="19"/>
                        </w:rPr>
                        <w:t>supplement- not-s</w:t>
                      </w:r>
                      <w:r w:rsidRPr="002C4167">
                        <w:rPr>
                          <w:color w:val="FFFFFF" w:themeColor="background1"/>
                          <w:sz w:val="19"/>
                          <w:szCs w:val="19"/>
                        </w:rPr>
                        <w:t>upplant requirement</w:t>
                      </w:r>
                      <w:r w:rsidR="004B5738" w:rsidRPr="002C4167">
                        <w:rPr>
                          <w:color w:val="FFFFFF" w:themeColor="background1"/>
                          <w:sz w:val="19"/>
                          <w:szCs w:val="19"/>
                        </w:rPr>
                        <w:t>s</w:t>
                      </w:r>
                      <w:r w:rsidRPr="002C4167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 without regard to the subject areas in which instruction is given during those hours. </w:t>
                      </w:r>
                    </w:p>
                    <w:p w14:paraId="0B1B7EA4" w14:textId="77777777" w:rsidR="00403FBB" w:rsidRDefault="00403FBB" w:rsidP="00403F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0EC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C262D6" wp14:editId="5550147A">
                <wp:simplePos x="0" y="0"/>
                <wp:positionH relativeFrom="margin">
                  <wp:posOffset>-119129</wp:posOffset>
                </wp:positionH>
                <wp:positionV relativeFrom="paragraph">
                  <wp:posOffset>3240843</wp:posOffset>
                </wp:positionV>
                <wp:extent cx="987748" cy="282894"/>
                <wp:effectExtent l="0" t="0" r="22225" b="222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8" cy="2828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DFD0" w14:textId="51ABCE57" w:rsidR="004B5738" w:rsidRPr="00FC4004" w:rsidRDefault="004B5738" w:rsidP="00FC400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C4004">
                              <w:rPr>
                                <w:b/>
                                <w:color w:val="FFFFFF" w:themeColor="background1"/>
                              </w:rPr>
                              <w:t>Special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62D6" id="_x0000_s1032" type="#_x0000_t202" style="position:absolute;left:0;text-align:left;margin-left:-9.4pt;margin-top:255.2pt;width:77.8pt;height:22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" fillcolor="#e36c0a [2409]" strokecolor="#974706 [1609]" strokeweight="2pt">
                <v:textbox>
                  <w:txbxContent>
                    <w:p w14:paraId="570BDFD0" w14:textId="51ABCE57" w:rsidR="004B5738" w:rsidRPr="00FC4004" w:rsidRDefault="004B5738" w:rsidP="00FC400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C4004">
                        <w:rPr>
                          <w:b/>
                          <w:color w:val="FFFFFF" w:themeColor="background1"/>
                        </w:rPr>
                        <w:t>Special Cases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A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4C79B8" wp14:editId="159D7968">
                <wp:simplePos x="0" y="0"/>
                <wp:positionH relativeFrom="margin">
                  <wp:posOffset>2851789</wp:posOffset>
                </wp:positionH>
                <wp:positionV relativeFrom="paragraph">
                  <wp:posOffset>-59632</wp:posOffset>
                </wp:positionV>
                <wp:extent cx="1109980" cy="274955"/>
                <wp:effectExtent l="57150" t="57150" r="52070" b="679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74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orthographicFront">
                            <a:rot lat="0" lon="21599984" rev="0"/>
                          </a:camera>
                          <a:lightRig rig="balanced" dir="t"/>
                        </a:scene3d>
                        <a:sp3d contourW="12700">
                          <a:bevelT w="1905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D99B9" w14:textId="5709B0EB" w:rsidR="00F61DF3" w:rsidRPr="007922F3" w:rsidRDefault="00F61DF3" w:rsidP="00F61DF3">
                            <w:pPr>
                              <w:rPr>
                                <w:b/>
                              </w:rPr>
                            </w:pPr>
                            <w:r w:rsidRPr="007922F3">
                              <w:rPr>
                                <w:b/>
                              </w:rPr>
                              <w:t>Title I</w:t>
                            </w:r>
                            <w:r>
                              <w:rPr>
                                <w:b/>
                              </w:rPr>
                              <w:t>V, 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79B8" id="_x0000_s1033" type="#_x0000_t202" style="position:absolute;left:0;text-align:left;margin-left:224.55pt;margin-top:-4.7pt;width:87.4pt;height:21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" fillcolor="#e36c0a [2409]" strokecolor="#0070c0">
                <v:textbox>
                  <w:txbxContent>
                    <w:p w14:paraId="4E6D99B9" w14:textId="5709B0EB" w:rsidR="00F61DF3" w:rsidRPr="007922F3" w:rsidRDefault="00F61DF3" w:rsidP="00F61DF3">
                      <w:pPr>
                        <w:rPr>
                          <w:b/>
                        </w:rPr>
                      </w:pPr>
                      <w:r w:rsidRPr="007922F3">
                        <w:rPr>
                          <w:b/>
                        </w:rPr>
                        <w:t>Title I</w:t>
                      </w:r>
                      <w:r>
                        <w:rPr>
                          <w:b/>
                        </w:rPr>
                        <w:t>V, Part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A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47A537" wp14:editId="376A57C6">
                <wp:simplePos x="0" y="0"/>
                <wp:positionH relativeFrom="margin">
                  <wp:posOffset>1480820</wp:posOffset>
                </wp:positionH>
                <wp:positionV relativeFrom="paragraph">
                  <wp:posOffset>-84964</wp:posOffset>
                </wp:positionV>
                <wp:extent cx="1109980" cy="274955"/>
                <wp:effectExtent l="57150" t="57150" r="52070" b="679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74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orthographicFront">
                            <a:rot lat="0" lon="21599984" rev="0"/>
                          </a:camera>
                          <a:lightRig rig="balanced" dir="t"/>
                        </a:scene3d>
                        <a:sp3d contourW="12700">
                          <a:bevelT w="1905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1F25E" w14:textId="4B7C2594" w:rsidR="00F61DF3" w:rsidRPr="007922F3" w:rsidRDefault="00F61DF3" w:rsidP="00F61DF3">
                            <w:pPr>
                              <w:rPr>
                                <w:b/>
                              </w:rPr>
                            </w:pPr>
                            <w:r w:rsidRPr="007922F3">
                              <w:rPr>
                                <w:b/>
                              </w:rPr>
                              <w:t xml:space="preserve">Title 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r w:rsidRPr="007922F3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, 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A537" id="_x0000_s1034" type="#_x0000_t202" style="position:absolute;left:0;text-align:left;margin-left:116.6pt;margin-top:-6.7pt;width:87.4pt;height:21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" fillcolor="#e36c0a [2409]" strokecolor="#0070c0">
                <v:textbox>
                  <w:txbxContent>
                    <w:p w14:paraId="09B1F25E" w14:textId="4B7C2594" w:rsidR="00F61DF3" w:rsidRPr="007922F3" w:rsidRDefault="00F61DF3" w:rsidP="00F61DF3">
                      <w:pPr>
                        <w:rPr>
                          <w:b/>
                        </w:rPr>
                      </w:pPr>
                      <w:r w:rsidRPr="007922F3">
                        <w:rPr>
                          <w:b/>
                        </w:rPr>
                        <w:t xml:space="preserve">Title </w:t>
                      </w:r>
                      <w:r>
                        <w:rPr>
                          <w:b/>
                        </w:rPr>
                        <w:t>II</w:t>
                      </w:r>
                      <w:r w:rsidRPr="007922F3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, Part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A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702875" wp14:editId="73254D7F">
                <wp:simplePos x="0" y="0"/>
                <wp:positionH relativeFrom="margin">
                  <wp:posOffset>123890</wp:posOffset>
                </wp:positionH>
                <wp:positionV relativeFrom="paragraph">
                  <wp:posOffset>-84081</wp:posOffset>
                </wp:positionV>
                <wp:extent cx="1106424" cy="274320"/>
                <wp:effectExtent l="57150" t="57150" r="55880" b="685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424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scene3d>
                          <a:camera prst="orthographicFront">
                            <a:rot lat="0" lon="21599984" rev="0"/>
                          </a:camera>
                          <a:lightRig rig="balanced" dir="t"/>
                        </a:scene3d>
                        <a:sp3d contourW="12700">
                          <a:bevelT w="1905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59E4B" w14:textId="373BBC42" w:rsidR="00CB2431" w:rsidRPr="007922F3" w:rsidRDefault="00CB2431" w:rsidP="00CB2431">
                            <w:pPr>
                              <w:rPr>
                                <w:b/>
                              </w:rPr>
                            </w:pPr>
                            <w:r w:rsidRPr="007922F3">
                              <w:rPr>
                                <w:b/>
                              </w:rPr>
                              <w:t>Title I</w:t>
                            </w:r>
                            <w:r w:rsidR="00F61DF3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, 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5" id="_x0000_s1035" type="#_x0000_t202" style="position:absolute;left:0;text-align:left;margin-left:9.75pt;margin-top:-6.6pt;width:87.1pt;height:21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" fillcolor="#e36c0a [2409]" strokecolor="#0070c0">
                <v:textbox>
                  <w:txbxContent>
                    <w:p w14:paraId="64C59E4B" w14:textId="373BBC42" w:rsidR="00CB2431" w:rsidRPr="007922F3" w:rsidRDefault="00CB2431" w:rsidP="00CB2431">
                      <w:pPr>
                        <w:rPr>
                          <w:b/>
                        </w:rPr>
                      </w:pPr>
                      <w:r w:rsidRPr="007922F3">
                        <w:rPr>
                          <w:b/>
                        </w:rPr>
                        <w:t>Title I</w:t>
                      </w:r>
                      <w:r w:rsidR="00F61DF3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, Part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310" w:rsidRPr="000A6B8F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3A2AEE" wp14:editId="391DADEB">
                <wp:simplePos x="0" y="0"/>
                <wp:positionH relativeFrom="column">
                  <wp:posOffset>2544822</wp:posOffset>
                </wp:positionH>
                <wp:positionV relativeFrom="paragraph">
                  <wp:posOffset>56260</wp:posOffset>
                </wp:positionV>
                <wp:extent cx="175892" cy="2400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5892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6DAD" w14:textId="77777777" w:rsidR="000A6B8F" w:rsidRPr="00F61DF3" w:rsidRDefault="000A6B8F" w:rsidP="000A6B8F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61DF3">
                              <w:rPr>
                                <w:b/>
                                <w:color w:val="17365D" w:themeColor="text2" w:themeShade="BF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2AEE" id="_x0000_s1036" type="#_x0000_t202" style="position:absolute;left:0;text-align:left;margin-left:200.4pt;margin-top:4.45pt;width:13.85pt;height:18.9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" filled="f" stroked="f">
                <v:textbox>
                  <w:txbxContent>
                    <w:p w14:paraId="51276DAD" w14:textId="77777777" w:rsidR="000A6B8F" w:rsidRPr="00F61DF3" w:rsidRDefault="000A6B8F" w:rsidP="000A6B8F">
                      <w:pPr>
                        <w:rPr>
                          <w:b/>
                          <w:color w:val="17365D" w:themeColor="text2" w:themeShade="BF"/>
                        </w:rPr>
                      </w:pPr>
                      <w:r w:rsidRPr="00F61DF3">
                        <w:rPr>
                          <w:b/>
                          <w:color w:val="17365D" w:themeColor="text2" w:themeShade="BF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 w:rsidR="00B31310" w:rsidRPr="000A6B8F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1E61B4" wp14:editId="2BC57D66">
                <wp:simplePos x="0" y="0"/>
                <wp:positionH relativeFrom="column">
                  <wp:posOffset>1190992</wp:posOffset>
                </wp:positionH>
                <wp:positionV relativeFrom="paragraph">
                  <wp:posOffset>57585</wp:posOffset>
                </wp:positionV>
                <wp:extent cx="273746" cy="24938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746" cy="249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7E70" w14:textId="77777777" w:rsidR="00076C69" w:rsidRPr="00F61DF3" w:rsidRDefault="00076C69" w:rsidP="00076C69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61DF3">
                              <w:rPr>
                                <w:b/>
                                <w:color w:val="17365D" w:themeColor="text2" w:themeShade="BF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61B4" id="_x0000_s1037" type="#_x0000_t202" style="position:absolute;left:0;text-align:left;margin-left:93.8pt;margin-top:4.55pt;width:21.55pt;height:19.6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" filled="f" stroked="f">
                <v:textbox>
                  <w:txbxContent>
                    <w:p w14:paraId="672E7E70" w14:textId="77777777" w:rsidR="00076C69" w:rsidRPr="00F61DF3" w:rsidRDefault="00076C69" w:rsidP="00076C69">
                      <w:pPr>
                        <w:rPr>
                          <w:b/>
                          <w:color w:val="17365D" w:themeColor="text2" w:themeShade="BF"/>
                        </w:rPr>
                      </w:pPr>
                      <w:r w:rsidRPr="00F61DF3">
                        <w:rPr>
                          <w:b/>
                          <w:color w:val="17365D" w:themeColor="text2" w:themeShade="BF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</w:p>
    <w:p w14:paraId="5C17FC58" w14:textId="51C3200C" w:rsidR="004159A6" w:rsidRDefault="004159A6" w:rsidP="009E1E82">
      <w:pPr>
        <w:pStyle w:val="Default"/>
        <w:rPr>
          <w:sz w:val="23"/>
          <w:szCs w:val="23"/>
        </w:rPr>
      </w:pPr>
    </w:p>
    <w:p w14:paraId="7F43713B" w14:textId="51224AB1" w:rsidR="00403FBB" w:rsidRDefault="00403FBB" w:rsidP="009E1E82">
      <w:pPr>
        <w:pStyle w:val="Default"/>
        <w:rPr>
          <w:sz w:val="23"/>
          <w:szCs w:val="23"/>
        </w:rPr>
      </w:pPr>
    </w:p>
    <w:p w14:paraId="37A698C9" w14:textId="4B339C60" w:rsidR="00403FBB" w:rsidRDefault="00403FBB" w:rsidP="009E1E82">
      <w:pPr>
        <w:pStyle w:val="Default"/>
        <w:rPr>
          <w:sz w:val="23"/>
          <w:szCs w:val="23"/>
        </w:rPr>
      </w:pPr>
    </w:p>
    <w:p w14:paraId="700177B9" w14:textId="035AF516" w:rsidR="00403FBB" w:rsidRDefault="00403FBB" w:rsidP="009E1E82">
      <w:pPr>
        <w:pStyle w:val="Default"/>
        <w:rPr>
          <w:sz w:val="23"/>
          <w:szCs w:val="23"/>
        </w:rPr>
      </w:pPr>
    </w:p>
    <w:p w14:paraId="537910A7" w14:textId="6680B154" w:rsidR="00403FBB" w:rsidRDefault="00403FBB" w:rsidP="009E1E82">
      <w:pPr>
        <w:pStyle w:val="Default"/>
        <w:rPr>
          <w:sz w:val="23"/>
          <w:szCs w:val="23"/>
        </w:rPr>
      </w:pPr>
    </w:p>
    <w:p w14:paraId="721FDB79" w14:textId="478700D6" w:rsidR="00403FBB" w:rsidRDefault="00403FBB" w:rsidP="009E1E82">
      <w:pPr>
        <w:pStyle w:val="Default"/>
        <w:rPr>
          <w:sz w:val="23"/>
          <w:szCs w:val="23"/>
        </w:rPr>
      </w:pPr>
    </w:p>
    <w:p w14:paraId="1803B05F" w14:textId="6091F7E3" w:rsidR="00403FBB" w:rsidRDefault="00403FBB" w:rsidP="009E1E82">
      <w:pPr>
        <w:pStyle w:val="Default"/>
        <w:rPr>
          <w:sz w:val="23"/>
          <w:szCs w:val="23"/>
        </w:rPr>
      </w:pPr>
    </w:p>
    <w:p w14:paraId="5ADFB553" w14:textId="00D4BF61" w:rsidR="00403FBB" w:rsidRDefault="00D12B86" w:rsidP="009E1E8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B9456B" wp14:editId="7AB16917">
                <wp:simplePos x="0" y="0"/>
                <wp:positionH relativeFrom="margin">
                  <wp:posOffset>-167545</wp:posOffset>
                </wp:positionH>
                <wp:positionV relativeFrom="paragraph">
                  <wp:posOffset>193636</wp:posOffset>
                </wp:positionV>
                <wp:extent cx="7139165" cy="3998370"/>
                <wp:effectExtent l="57150" t="19050" r="81280" b="1168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165" cy="3998370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BF26C" w14:textId="0AB931C9" w:rsidR="004B5738" w:rsidRDefault="00A60DA8" w:rsidP="007D2A54">
                            <w:pPr>
                              <w:spacing w:after="0"/>
                              <w:jc w:val="both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2C4167">
                              <w:rPr>
                                <w:b/>
                                <w:color w:val="365F91" w:themeColor="accent1" w:themeShade="BF"/>
                              </w:rPr>
                              <w:t xml:space="preserve">Test your understanding:  </w:t>
                            </w:r>
                            <w:r w:rsidR="008F5052">
                              <w:rPr>
                                <w:b/>
                                <w:color w:val="E36C0A" w:themeColor="accent6" w:themeShade="BF"/>
                              </w:rPr>
                              <w:t>Doe</w:t>
                            </w:r>
                            <w:r w:rsidR="00B31310" w:rsidRPr="00683C4F">
                              <w:rPr>
                                <w:b/>
                                <w:color w:val="E36C0A" w:themeColor="accent6" w:themeShade="BF"/>
                              </w:rPr>
                              <w:t xml:space="preserve">s this </w:t>
                            </w:r>
                            <w:r w:rsidR="008F5052">
                              <w:rPr>
                                <w:b/>
                                <w:color w:val="E36C0A" w:themeColor="accent6" w:themeShade="BF"/>
                              </w:rPr>
                              <w:t xml:space="preserve">meet supplement not </w:t>
                            </w:r>
                            <w:r w:rsidR="00B31310" w:rsidRPr="00683C4F">
                              <w:rPr>
                                <w:b/>
                                <w:color w:val="E36C0A" w:themeColor="accent6" w:themeShade="BF"/>
                              </w:rPr>
                              <w:t>supplant</w:t>
                            </w:r>
                            <w:r w:rsidR="008F5052">
                              <w:rPr>
                                <w:b/>
                                <w:color w:val="E36C0A" w:themeColor="accent6" w:themeShade="BF"/>
                              </w:rPr>
                              <w:t xml:space="preserve"> requirements</w:t>
                            </w:r>
                            <w:r w:rsidR="004B5738" w:rsidRPr="00683C4F">
                              <w:rPr>
                                <w:b/>
                                <w:color w:val="E36C0A" w:themeColor="accent6" w:themeShade="BF"/>
                              </w:rPr>
                              <w:t>?</w:t>
                            </w:r>
                          </w:p>
                          <w:p w14:paraId="17DB49F7" w14:textId="77777777" w:rsidR="00C01AD3" w:rsidRPr="00C01AD3" w:rsidRDefault="00C01AD3" w:rsidP="007D2A54">
                            <w:pPr>
                              <w:spacing w:after="0"/>
                              <w:jc w:val="both"/>
                              <w:rPr>
                                <w:b/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1DA41CE1" w14:textId="7DB7960D" w:rsidR="00AA4343" w:rsidRPr="00FC4004" w:rsidRDefault="00AA4343" w:rsidP="00AE2C17">
                            <w:pPr>
                              <w:pStyle w:val="ListParagraph"/>
                              <w:numPr>
                                <w:ilvl w:val="3"/>
                                <w:numId w:val="41"/>
                              </w:numPr>
                              <w:spacing w:after="0"/>
                              <w:ind w:left="360"/>
                              <w:jc w:val="both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district was paying for </w:t>
                            </w:r>
                            <w:r w:rsidR="007D2A54"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 elementary school’s 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digital learning software with Title I, A funds, but wants to use those funds for math intervention this year. </w:t>
                            </w:r>
                            <w:r w:rsidR="00FC4004"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If the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district use</w:t>
                            </w:r>
                            <w:r w:rsidR="00FC4004"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IV, A funds to pay for the digital learning software</w:t>
                            </w:r>
                            <w:r w:rsidR="00AD13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C4004"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 it supplanting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35A1411E" w14:textId="07046D1B" w:rsidR="00AE2C17" w:rsidRDefault="00AE2C17" w:rsidP="00167475">
                            <w:pPr>
                              <w:spacing w:after="120"/>
                              <w:ind w:left="360" w:hanging="360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FC400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No</w:t>
                            </w:r>
                            <w:r w:rsidR="00B3131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,</w:t>
                            </w:r>
                            <w:r w:rsidR="00FC400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this switch would not be supplanting and would be allowable</w:t>
                            </w:r>
                            <w:r w:rsidR="00B3131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assuming other Title IV</w:t>
                            </w:r>
                            <w:r w:rsidR="00167475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A requirement</w:t>
                            </w:r>
                            <w:r w:rsidR="00B3131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s are met. For Title IV</w:t>
                            </w:r>
                            <w:r w:rsidR="00167475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,</w:t>
                            </w:r>
                            <w:r w:rsidR="00B3131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A</w:t>
                            </w:r>
                            <w:r w:rsidR="00B3131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, supplanting</w:t>
                            </w:r>
                            <w:r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applies only to </w:t>
                            </w:r>
                            <w:r w:rsidR="00B3131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replacing </w:t>
                            </w:r>
                            <w:r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state and local funds</w:t>
                            </w:r>
                            <w:r w:rsidRPr="00AE2C17">
                              <w:rPr>
                                <w:color w:val="548DD4" w:themeColor="text2" w:themeTint="99"/>
                              </w:rPr>
                              <w:t>.</w:t>
                            </w:r>
                          </w:p>
                          <w:p w14:paraId="3A041FB3" w14:textId="226B3466" w:rsidR="00AE2C17" w:rsidRPr="00AE2C17" w:rsidRDefault="00AA4343" w:rsidP="00AE2C17">
                            <w:pPr>
                              <w:pStyle w:val="ListParagraph"/>
                              <w:numPr>
                                <w:ilvl w:val="3"/>
                                <w:numId w:val="41"/>
                              </w:numPr>
                              <w:ind w:left="360"/>
                              <w:rPr>
                                <w:color w:val="548DD4" w:themeColor="text2" w:themeTint="99"/>
                              </w:rPr>
                            </w:pP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Assume that the digital learning software </w:t>
                            </w:r>
                            <w:r w:rsidR="00F763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funded by Title I, A 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="00AD13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previous</w:t>
                            </w:r>
                            <w:r w:rsidR="00AD1374"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3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example</w:t>
                            </w:r>
                            <w:r w:rsidR="00AD1374"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was for English learners, could the district use Title III, Part A funds </w:t>
                            </w:r>
                            <w:r w:rsidR="005738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FC40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pay for the program this year?</w:t>
                            </w:r>
                            <w:r w:rsidR="00AE2C17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AE2C17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No</w:t>
                            </w:r>
                            <w:r w:rsidR="00FC400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, this switch would be supplanting. F</w:t>
                            </w:r>
                            <w:r w:rsidR="00AE2C17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or Title III, Part A, supplanting includes other federal funds.</w:t>
                            </w:r>
                          </w:p>
                          <w:p w14:paraId="3122554B" w14:textId="77777777" w:rsidR="002C4167" w:rsidRPr="002C4167" w:rsidRDefault="002C4167" w:rsidP="002C4167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48D9D44A" w14:textId="365592AB" w:rsidR="00AE2C17" w:rsidRPr="00FC4004" w:rsidRDefault="00AA4343" w:rsidP="00C01AD3">
                            <w:pPr>
                              <w:pStyle w:val="ListParagraph"/>
                              <w:numPr>
                                <w:ilvl w:val="3"/>
                                <w:numId w:val="41"/>
                              </w:numPr>
                              <w:spacing w:after="120"/>
                              <w:ind w:left="360"/>
                              <w:contextualSpacing w:val="0"/>
                              <w:rPr>
                                <w:color w:val="548DD4" w:themeColor="text2" w:themeTint="99"/>
                              </w:rPr>
                            </w:pPr>
                            <w:r w:rsidRPr="00FC4004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A targeted assistance school wants to buy math enrichment software for all students using Title I funds. Is this supplanting? Is it allowable under Title I?</w:t>
                            </w:r>
                            <w:r w:rsidR="003A5D20">
                              <w:rPr>
                                <w:color w:val="000000" w:themeColor="text1" w:themeShade="BF"/>
                              </w:rPr>
                              <w:t xml:space="preserve"> </w:t>
                            </w:r>
                            <w:r w:rsidR="00AD137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T</w:t>
                            </w:r>
                            <w:r w:rsidR="00AE2C17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his purchase would not be supplanting as long as the school received state and local funds without regard to its receipt of Title I funds. However, since the school </w:t>
                            </w:r>
                            <w:r w:rsidR="00C01AD3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has elected to target services</w:t>
                            </w:r>
                            <w:r w:rsidR="00AE2C17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only </w:t>
                            </w:r>
                            <w:r w:rsidR="00C01AD3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t</w:t>
                            </w:r>
                            <w:r w:rsidR="00C01AD3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o</w:t>
                            </w:r>
                            <w:r w:rsidR="00C01AD3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2C17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its highest need students</w:t>
                            </w:r>
                            <w:r w:rsidR="003A5D2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(as opposed to running a schoolwide</w:t>
                            </w:r>
                            <w:r w:rsidR="00AD137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program</w:t>
                            </w:r>
                            <w:r w:rsidR="008F5052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)</w:t>
                            </w:r>
                            <w:r w:rsidR="00AD137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,</w:t>
                            </w:r>
                            <w:r w:rsidR="00B07253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1374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the expenditure </w:t>
                            </w:r>
                            <w:r w:rsidR="003A5D2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is not </w:t>
                            </w:r>
                            <w:r w:rsidR="00AD1374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allowable</w:t>
                            </w:r>
                            <w:r w:rsidR="003A5D2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70EC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By law,</w:t>
                            </w:r>
                            <w:r w:rsidR="003A5D2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target</w:t>
                            </w:r>
                            <w:r w:rsidR="00CC432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ed</w:t>
                            </w:r>
                            <w:r w:rsidR="003A5D20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assistance schools may use Title I funds “only for programs that provide services to eligible children...identified as having the greatest need for special assistance.” Section 1115).</w:t>
                            </w:r>
                            <w:r w:rsidR="00AE2C17" w:rsidRPr="00AE2C17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08D17D" w14:textId="632928C1" w:rsidR="00FC4004" w:rsidRPr="00570ECB" w:rsidRDefault="00182869" w:rsidP="00570ECB">
                            <w:pPr>
                              <w:pStyle w:val="ListParagraph"/>
                              <w:numPr>
                                <w:ilvl w:val="3"/>
                                <w:numId w:val="41"/>
                              </w:numPr>
                              <w:spacing w:after="120"/>
                              <w:ind w:left="360"/>
                              <w:rPr>
                                <w:color w:val="000000" w:themeColor="text1" w:themeShade="BF"/>
                                <w:sz w:val="18"/>
                                <w:szCs w:val="18"/>
                              </w:rPr>
                            </w:pPr>
                            <w:r w:rsidRPr="00182869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A district wants to</w:t>
                            </w:r>
                            <w:r w:rsidR="00F047FB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 xml:space="preserve"> use Title III funds to pay for a</w:t>
                            </w:r>
                            <w:r w:rsidR="00C01AD3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n outreach</w:t>
                            </w:r>
                            <w:r w:rsidR="00F047FB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 xml:space="preserve"> coordinator for the district’s Englis</w:t>
                            </w:r>
                            <w:r w:rsidR="00C01AD3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h Learner Parent Advisory Council, a new requirement under the LOOK Act for this district with 350 English learners.  Is this supplanting</w:t>
                            </w:r>
                            <w:r w:rsidRPr="00182869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?</w:t>
                            </w:r>
                            <w:r w:rsidR="00C01AD3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01AD3" w:rsidRPr="00CC432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Yes, because</w:t>
                            </w:r>
                            <w:r w:rsidR="008F5052" w:rsidRPr="00CC432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the existence of</w:t>
                            </w:r>
                            <w:r w:rsidR="00C01AD3" w:rsidRPr="00CC432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this council is required by state law</w:t>
                            </w:r>
                            <w:r w:rsidR="008F5052" w:rsidRPr="00CC432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,</w:t>
                            </w:r>
                            <w:r w:rsidR="00C01AD3" w:rsidRPr="00CC432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it is not considered supplemental.</w:t>
                            </w:r>
                          </w:p>
                          <w:p w14:paraId="3D0D7238" w14:textId="77777777" w:rsidR="00570ECB" w:rsidRPr="00570ECB" w:rsidRDefault="00570ECB" w:rsidP="00570ECB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color w:val="000000" w:themeColor="text1" w:themeShade="BF"/>
                                <w:sz w:val="10"/>
                                <w:szCs w:val="10"/>
                              </w:rPr>
                            </w:pPr>
                          </w:p>
                          <w:p w14:paraId="1CCEA70D" w14:textId="5ACBB7B7" w:rsidR="00F7638A" w:rsidRPr="00F7638A" w:rsidRDefault="00F7638A" w:rsidP="00F7638A">
                            <w:pPr>
                              <w:pStyle w:val="ListParagraph"/>
                              <w:numPr>
                                <w:ilvl w:val="3"/>
                                <w:numId w:val="41"/>
                              </w:numPr>
                              <w:spacing w:after="0"/>
                              <w:ind w:left="360"/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07267D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A district has been paying for a Title I middle school’s math enrichment software using local funds. Could the district use Title I, A funds to fund the math enrichment software this year</w:t>
                            </w:r>
                            <w:r w:rsidR="00570ECB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 xml:space="preserve"> without violating SNS</w:t>
                            </w:r>
                            <w:r w:rsidRPr="0007267D"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color w:val="000000" w:themeColor="tex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70EC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Yes, if the district has distributed its state and local funds to the school in a Title-I neutral way, it may use its Title I, Part A funds for any expense</w:t>
                            </w:r>
                            <w:r w:rsidR="00F9750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allowable under</w:t>
                            </w:r>
                            <w:r w:rsidR="00570ECB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7504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Title I</w:t>
                            </w:r>
                            <w:r w:rsidRPr="00F7638A">
                              <w:rPr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0D2F10" w14:textId="77777777" w:rsidR="00CC432B" w:rsidRPr="00570ECB" w:rsidRDefault="00CC432B" w:rsidP="00CC432B">
                            <w:pPr>
                              <w:spacing w:after="0"/>
                              <w:rPr>
                                <w:i/>
                                <w:color w:val="000000" w:themeColor="text1" w:themeShade="BF"/>
                                <w:sz w:val="4"/>
                                <w:szCs w:val="4"/>
                              </w:rPr>
                            </w:pPr>
                          </w:p>
                          <w:p w14:paraId="32C56498" w14:textId="40CA5BE2" w:rsidR="00CC432B" w:rsidRPr="00CC432B" w:rsidRDefault="00CC432B" w:rsidP="00CC432B">
                            <w:pPr>
                              <w:spacing w:after="0"/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</w:pPr>
                            <w:r w:rsidRPr="00CC432B"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>Acknowledgment:  Thanks</w:t>
                            </w:r>
                            <w:r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 xml:space="preserve"> to Brustein &amp; Manasevit, PLLC</w:t>
                            </w:r>
                            <w:r w:rsidR="00F97504"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CC432B"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 xml:space="preserve"> Federal Education Group</w:t>
                            </w:r>
                            <w:r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A438A"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 xml:space="preserve">PLLC </w:t>
                            </w:r>
                            <w:r w:rsidR="001A438A" w:rsidRPr="00CC432B"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>whose</w:t>
                            </w:r>
                            <w:r w:rsidRPr="00CC432B">
                              <w:rPr>
                                <w:i/>
                                <w:color w:val="000000" w:themeColor="text1" w:themeShade="BF"/>
                                <w:sz w:val="16"/>
                                <w:szCs w:val="16"/>
                              </w:rPr>
                              <w:t xml:space="preserve"> materials informed some of the content in this document.  </w:t>
                            </w:r>
                          </w:p>
                          <w:p w14:paraId="1E3076AA" w14:textId="77777777" w:rsidR="00182869" w:rsidRDefault="00182869" w:rsidP="00182869">
                            <w:pPr>
                              <w:pStyle w:val="ListParagraph"/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456B" id="Rectangle 14" o:spid="_x0000_s1038" style="position:absolute;margin-left:-13.2pt;margin-top:15.25pt;width:562.15pt;height:314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" fillcolor="white [3201]" strokecolor="#4f81bd [3204]" strokeweight="2pt">
                <v:shadow on="t" color="black" opacity="26214f" origin=",-.5" offset="0,3pt"/>
                <v:textbox>
                  <w:txbxContent>
                    <w:p w14:paraId="5C9BF26C" w14:textId="0AB931C9" w:rsidR="004B5738" w:rsidRDefault="00A60DA8" w:rsidP="007D2A54">
                      <w:pPr>
                        <w:spacing w:after="0"/>
                        <w:jc w:val="both"/>
                        <w:rPr>
                          <w:b/>
                          <w:color w:val="E36C0A" w:themeColor="accent6" w:themeShade="BF"/>
                        </w:rPr>
                      </w:pPr>
                      <w:r w:rsidRPr="002C4167">
                        <w:rPr>
                          <w:b/>
                          <w:color w:val="365F91" w:themeColor="accent1" w:themeShade="BF"/>
                        </w:rPr>
                        <w:t xml:space="preserve">Test your understanding:  </w:t>
                      </w:r>
                      <w:r w:rsidR="008F5052">
                        <w:rPr>
                          <w:b/>
                          <w:color w:val="E36C0A" w:themeColor="accent6" w:themeShade="BF"/>
                        </w:rPr>
                        <w:t>Doe</w:t>
                      </w:r>
                      <w:r w:rsidR="00B31310" w:rsidRPr="00683C4F">
                        <w:rPr>
                          <w:b/>
                          <w:color w:val="E36C0A" w:themeColor="accent6" w:themeShade="BF"/>
                        </w:rPr>
                        <w:t xml:space="preserve">s this </w:t>
                      </w:r>
                      <w:r w:rsidR="008F5052">
                        <w:rPr>
                          <w:b/>
                          <w:color w:val="E36C0A" w:themeColor="accent6" w:themeShade="BF"/>
                        </w:rPr>
                        <w:t xml:space="preserve">meet supplement not </w:t>
                      </w:r>
                      <w:r w:rsidR="00B31310" w:rsidRPr="00683C4F">
                        <w:rPr>
                          <w:b/>
                          <w:color w:val="E36C0A" w:themeColor="accent6" w:themeShade="BF"/>
                        </w:rPr>
                        <w:t>supplant</w:t>
                      </w:r>
                      <w:r w:rsidR="008F5052">
                        <w:rPr>
                          <w:b/>
                          <w:color w:val="E36C0A" w:themeColor="accent6" w:themeShade="BF"/>
                        </w:rPr>
                        <w:t xml:space="preserve"> requirements</w:t>
                      </w:r>
                      <w:r w:rsidR="004B5738" w:rsidRPr="00683C4F">
                        <w:rPr>
                          <w:b/>
                          <w:color w:val="E36C0A" w:themeColor="accent6" w:themeShade="BF"/>
                        </w:rPr>
                        <w:t>?</w:t>
                      </w:r>
                    </w:p>
                    <w:p w14:paraId="17DB49F7" w14:textId="77777777" w:rsidR="00C01AD3" w:rsidRPr="00C01AD3" w:rsidRDefault="00C01AD3" w:rsidP="007D2A54">
                      <w:pPr>
                        <w:spacing w:after="0"/>
                        <w:jc w:val="both"/>
                        <w:rPr>
                          <w:b/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14:paraId="1DA41CE1" w14:textId="7DB7960D" w:rsidR="00AA4343" w:rsidRPr="00FC4004" w:rsidRDefault="00AA4343" w:rsidP="00AE2C17">
                      <w:pPr>
                        <w:pStyle w:val="ListParagraph"/>
                        <w:numPr>
                          <w:ilvl w:val="3"/>
                          <w:numId w:val="41"/>
                        </w:numPr>
                        <w:spacing w:after="0"/>
                        <w:ind w:left="360"/>
                        <w:jc w:val="both"/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district was paying for </w:t>
                      </w:r>
                      <w:r w:rsidR="007D2A54"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an elementary school’s 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digital learning software with Title I, A funds, but wants to use those funds for math intervention this year. </w:t>
                      </w:r>
                      <w:r w:rsidR="00FC4004"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>If the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district use</w:t>
                      </w:r>
                      <w:r w:rsidR="00FC4004"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Title IV, A funds to pay for the digital learning software</w:t>
                      </w:r>
                      <w:r w:rsidR="00AD137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C4004"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is it supplanting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35A1411E" w14:textId="07046D1B" w:rsidR="00AE2C17" w:rsidRDefault="00AE2C17" w:rsidP="00167475">
                      <w:pPr>
                        <w:spacing w:after="120"/>
                        <w:ind w:left="360" w:hanging="360"/>
                        <w:rPr>
                          <w:color w:val="548DD4" w:themeColor="text2" w:themeTint="99"/>
                        </w:rPr>
                      </w:pPr>
                      <w:r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        </w:t>
                      </w:r>
                      <w:r w:rsidR="00FC400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No</w:t>
                      </w:r>
                      <w:r w:rsidR="00B3131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,</w:t>
                      </w:r>
                      <w:r w:rsidR="00FC400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this switch would not be supplanting and would be allowable</w:t>
                      </w:r>
                      <w:r w:rsidR="00B3131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assuming other Title IV</w:t>
                      </w:r>
                      <w:r w:rsidR="00167475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, </w:t>
                      </w:r>
                      <w:r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A requirement</w:t>
                      </w:r>
                      <w:r w:rsidR="00B3131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s are met. For Title IV</w:t>
                      </w:r>
                      <w:r w:rsidR="00167475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,</w:t>
                      </w:r>
                      <w:r w:rsidR="00B3131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A</w:t>
                      </w:r>
                      <w:r w:rsidR="00B3131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, supplanting</w:t>
                      </w:r>
                      <w:r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applies only to </w:t>
                      </w:r>
                      <w:r w:rsidR="00B3131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replacing </w:t>
                      </w:r>
                      <w:r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state and local funds</w:t>
                      </w:r>
                      <w:r w:rsidRPr="00AE2C17">
                        <w:rPr>
                          <w:color w:val="548DD4" w:themeColor="text2" w:themeTint="99"/>
                        </w:rPr>
                        <w:t>.</w:t>
                      </w:r>
                    </w:p>
                    <w:p w14:paraId="3A041FB3" w14:textId="226B3466" w:rsidR="00AE2C17" w:rsidRPr="00AE2C17" w:rsidRDefault="00AA4343" w:rsidP="00AE2C17">
                      <w:pPr>
                        <w:pStyle w:val="ListParagraph"/>
                        <w:numPr>
                          <w:ilvl w:val="3"/>
                          <w:numId w:val="41"/>
                        </w:numPr>
                        <w:ind w:left="360"/>
                        <w:rPr>
                          <w:color w:val="548DD4" w:themeColor="text2" w:themeTint="99"/>
                        </w:rPr>
                      </w:pP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Assume that the digital learning software </w:t>
                      </w:r>
                      <w:r w:rsidR="00F7638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funded by Title I, A 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 the </w:t>
                      </w:r>
                      <w:r w:rsidR="00AD1374">
                        <w:rPr>
                          <w:color w:val="000000" w:themeColor="text1"/>
                          <w:sz w:val="20"/>
                          <w:szCs w:val="20"/>
                        </w:rPr>
                        <w:t>previous</w:t>
                      </w:r>
                      <w:r w:rsidR="00AD1374"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D1374">
                        <w:rPr>
                          <w:color w:val="000000" w:themeColor="text1"/>
                          <w:sz w:val="20"/>
                          <w:szCs w:val="20"/>
                        </w:rPr>
                        <w:t>example</w:t>
                      </w:r>
                      <w:r w:rsidR="00AD1374"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was for English learners, could the district use Title III, Part A funds </w:t>
                      </w:r>
                      <w:r w:rsidR="005738A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Pr="00FC4004">
                        <w:rPr>
                          <w:color w:val="000000" w:themeColor="text1"/>
                          <w:sz w:val="20"/>
                          <w:szCs w:val="20"/>
                        </w:rPr>
                        <w:t>pay for the program this year?</w:t>
                      </w:r>
                      <w:r w:rsidR="00AE2C17">
                        <w:rPr>
                          <w:color w:val="000000" w:themeColor="text1"/>
                        </w:rPr>
                        <w:t xml:space="preserve">  </w:t>
                      </w:r>
                      <w:r w:rsidR="00AE2C17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No</w:t>
                      </w:r>
                      <w:r w:rsidR="00FC400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, this switch would be supplanting. F</w:t>
                      </w:r>
                      <w:r w:rsidR="00AE2C17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or Title III, Part A, supplanting includes other federal funds.</w:t>
                      </w:r>
                    </w:p>
                    <w:p w14:paraId="3122554B" w14:textId="77777777" w:rsidR="002C4167" w:rsidRPr="002C4167" w:rsidRDefault="002C4167" w:rsidP="002C4167">
                      <w:pPr>
                        <w:pStyle w:val="ListParagraph"/>
                        <w:ind w:left="360"/>
                        <w:jc w:val="both"/>
                        <w:rPr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14:paraId="48D9D44A" w14:textId="365592AB" w:rsidR="00AE2C17" w:rsidRPr="00FC4004" w:rsidRDefault="00AA4343" w:rsidP="00C01AD3">
                      <w:pPr>
                        <w:pStyle w:val="ListParagraph"/>
                        <w:numPr>
                          <w:ilvl w:val="3"/>
                          <w:numId w:val="41"/>
                        </w:numPr>
                        <w:spacing w:after="120"/>
                        <w:ind w:left="360"/>
                        <w:contextualSpacing w:val="0"/>
                        <w:rPr>
                          <w:color w:val="548DD4" w:themeColor="text2" w:themeTint="99"/>
                        </w:rPr>
                      </w:pPr>
                      <w:r w:rsidRPr="00FC4004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A targeted assistance school wants to buy math enrichment software for all students using Title I funds. Is this supplanting? Is it allowable under Title I?</w:t>
                      </w:r>
                      <w:r w:rsidR="003A5D20">
                        <w:rPr>
                          <w:color w:val="000000" w:themeColor="text1" w:themeShade="BF"/>
                        </w:rPr>
                        <w:t xml:space="preserve"> </w:t>
                      </w:r>
                      <w:r w:rsidR="00AD137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T</w:t>
                      </w:r>
                      <w:r w:rsidR="00AE2C17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his purchase would not be supplanting as long as the school received state and local funds without regard to its receipt of Title I funds. However, since the school </w:t>
                      </w:r>
                      <w:r w:rsidR="00C01AD3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has elected to target services</w:t>
                      </w:r>
                      <w:r w:rsidR="00AE2C17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only </w:t>
                      </w:r>
                      <w:r w:rsidR="00C01AD3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t</w:t>
                      </w:r>
                      <w:r w:rsidR="00C01AD3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o</w:t>
                      </w:r>
                      <w:r w:rsidR="00C01AD3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="00AE2C17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its highest need students</w:t>
                      </w:r>
                      <w:r w:rsidR="003A5D2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(as opposed to running a schoolwide</w:t>
                      </w:r>
                      <w:r w:rsidR="00AD137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program</w:t>
                      </w:r>
                      <w:r w:rsidR="008F5052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)</w:t>
                      </w:r>
                      <w:r w:rsidR="00AD137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,</w:t>
                      </w:r>
                      <w:r w:rsidR="00B07253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="00AD1374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the expenditure </w:t>
                      </w:r>
                      <w:r w:rsidR="003A5D2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is not </w:t>
                      </w:r>
                      <w:r w:rsidR="00AD1374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allowable</w:t>
                      </w:r>
                      <w:r w:rsidR="003A5D2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(</w:t>
                      </w:r>
                      <w:r w:rsidR="00570EC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By law,</w:t>
                      </w:r>
                      <w:r w:rsidR="003A5D2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target</w:t>
                      </w:r>
                      <w:r w:rsidR="00CC432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ed</w:t>
                      </w:r>
                      <w:r w:rsidR="003A5D20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assistance schools may use Title I funds “only for programs that provide services to eligible children...identified as having the greatest need for special assistance.” Section 1115).</w:t>
                      </w:r>
                      <w:r w:rsidR="00AE2C17" w:rsidRPr="00AE2C17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08D17D" w14:textId="632928C1" w:rsidR="00FC4004" w:rsidRPr="00570ECB" w:rsidRDefault="00182869" w:rsidP="00570ECB">
                      <w:pPr>
                        <w:pStyle w:val="ListParagraph"/>
                        <w:numPr>
                          <w:ilvl w:val="3"/>
                          <w:numId w:val="41"/>
                        </w:numPr>
                        <w:spacing w:after="120"/>
                        <w:ind w:left="360"/>
                        <w:rPr>
                          <w:color w:val="000000" w:themeColor="text1" w:themeShade="BF"/>
                          <w:sz w:val="18"/>
                          <w:szCs w:val="18"/>
                        </w:rPr>
                      </w:pPr>
                      <w:r w:rsidRPr="00182869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A district wants to</w:t>
                      </w:r>
                      <w:r w:rsidR="00F047FB">
                        <w:rPr>
                          <w:color w:val="000000" w:themeColor="text1" w:themeShade="BF"/>
                          <w:sz w:val="20"/>
                          <w:szCs w:val="20"/>
                        </w:rPr>
                        <w:t xml:space="preserve"> use Title III funds to pay for a</w:t>
                      </w:r>
                      <w:r w:rsidR="00C01AD3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n outreach</w:t>
                      </w:r>
                      <w:r w:rsidR="00F047FB">
                        <w:rPr>
                          <w:color w:val="000000" w:themeColor="text1" w:themeShade="BF"/>
                          <w:sz w:val="20"/>
                          <w:szCs w:val="20"/>
                        </w:rPr>
                        <w:t xml:space="preserve"> coordinator for the district’s Englis</w:t>
                      </w:r>
                      <w:r w:rsidR="00C01AD3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h Learner Parent Advisory Council, a new requirement under the LOOK Act for this district with 350 English learners.  Is this supplanting</w:t>
                      </w:r>
                      <w:r w:rsidRPr="00182869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?</w:t>
                      </w:r>
                      <w:r w:rsidR="00C01AD3">
                        <w:rPr>
                          <w:color w:val="000000" w:themeColor="text1" w:themeShade="BF"/>
                          <w:sz w:val="20"/>
                          <w:szCs w:val="20"/>
                        </w:rPr>
                        <w:t xml:space="preserve">  </w:t>
                      </w:r>
                      <w:r w:rsidR="00C01AD3" w:rsidRPr="00CC432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Yes, because</w:t>
                      </w:r>
                      <w:r w:rsidR="008F5052" w:rsidRPr="00CC432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the existence of</w:t>
                      </w:r>
                      <w:r w:rsidR="00C01AD3" w:rsidRPr="00CC432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this council is required by state law</w:t>
                      </w:r>
                      <w:r w:rsidR="008F5052" w:rsidRPr="00CC432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,</w:t>
                      </w:r>
                      <w:r w:rsidR="00C01AD3" w:rsidRPr="00CC432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it is not considered supplemental.</w:t>
                      </w:r>
                    </w:p>
                    <w:p w14:paraId="3D0D7238" w14:textId="77777777" w:rsidR="00570ECB" w:rsidRPr="00570ECB" w:rsidRDefault="00570ECB" w:rsidP="00570ECB">
                      <w:pPr>
                        <w:pStyle w:val="ListParagraph"/>
                        <w:spacing w:after="120"/>
                        <w:ind w:left="360"/>
                        <w:rPr>
                          <w:color w:val="000000" w:themeColor="text1" w:themeShade="BF"/>
                          <w:sz w:val="10"/>
                          <w:szCs w:val="10"/>
                        </w:rPr>
                      </w:pPr>
                    </w:p>
                    <w:p w14:paraId="1CCEA70D" w14:textId="5ACBB7B7" w:rsidR="00F7638A" w:rsidRPr="00F7638A" w:rsidRDefault="00F7638A" w:rsidP="00F7638A">
                      <w:pPr>
                        <w:pStyle w:val="ListParagraph"/>
                        <w:numPr>
                          <w:ilvl w:val="3"/>
                          <w:numId w:val="41"/>
                        </w:numPr>
                        <w:spacing w:after="0"/>
                        <w:ind w:left="360"/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07267D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A district has been paying for a Title I middle school’s math enrichment software using local funds. Could the district use Title I, A funds to fund the math enrichment software this year</w:t>
                      </w:r>
                      <w:r w:rsidR="00570ECB">
                        <w:rPr>
                          <w:color w:val="000000" w:themeColor="text1" w:themeShade="BF"/>
                          <w:sz w:val="20"/>
                          <w:szCs w:val="20"/>
                        </w:rPr>
                        <w:t xml:space="preserve"> without violating SNS</w:t>
                      </w:r>
                      <w:r w:rsidRPr="0007267D">
                        <w:rPr>
                          <w:color w:val="000000" w:themeColor="text1" w:themeShade="BF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color w:val="000000" w:themeColor="text1" w:themeShade="BF"/>
                          <w:sz w:val="20"/>
                          <w:szCs w:val="20"/>
                        </w:rPr>
                        <w:t xml:space="preserve">  </w:t>
                      </w:r>
                      <w:r w:rsidR="00570EC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Yes, if the district has distributed its state and local funds to the school in a Title-I neutral way, it may use its Title I, Part A funds for any expense</w:t>
                      </w:r>
                      <w:r w:rsidR="00F9750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allowable under</w:t>
                      </w:r>
                      <w:r w:rsidR="00570ECB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="00F97504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Title I</w:t>
                      </w:r>
                      <w:r w:rsidRPr="00F7638A">
                        <w:rPr>
                          <w:i/>
                          <w:color w:val="548DD4" w:themeColor="text2" w:themeTint="99"/>
                          <w:sz w:val="18"/>
                          <w:szCs w:val="18"/>
                        </w:rPr>
                        <w:t>.</w:t>
                      </w:r>
                    </w:p>
                    <w:p w14:paraId="790D2F10" w14:textId="77777777" w:rsidR="00CC432B" w:rsidRPr="00570ECB" w:rsidRDefault="00CC432B" w:rsidP="00CC432B">
                      <w:pPr>
                        <w:spacing w:after="0"/>
                        <w:rPr>
                          <w:i/>
                          <w:color w:val="000000" w:themeColor="text1" w:themeShade="BF"/>
                          <w:sz w:val="4"/>
                          <w:szCs w:val="4"/>
                        </w:rPr>
                      </w:pPr>
                    </w:p>
                    <w:p w14:paraId="32C56498" w14:textId="40CA5BE2" w:rsidR="00CC432B" w:rsidRPr="00CC432B" w:rsidRDefault="00CC432B" w:rsidP="00CC432B">
                      <w:pPr>
                        <w:spacing w:after="0"/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</w:pPr>
                      <w:r w:rsidRPr="00CC432B"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>Acknowledgment:  Thanks</w:t>
                      </w:r>
                      <w:r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 xml:space="preserve"> to Brustein &amp; Manasevit, PLLC</w:t>
                      </w:r>
                      <w:r w:rsidR="00F97504"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 xml:space="preserve"> and</w:t>
                      </w:r>
                      <w:r w:rsidRPr="00CC432B"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 xml:space="preserve"> Federal Education Group</w:t>
                      </w:r>
                      <w:r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 xml:space="preserve">, </w:t>
                      </w:r>
                      <w:r w:rsidR="001A438A"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 xml:space="preserve">PLLC </w:t>
                      </w:r>
                      <w:r w:rsidR="001A438A" w:rsidRPr="00CC432B"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>whose</w:t>
                      </w:r>
                      <w:r w:rsidRPr="00CC432B">
                        <w:rPr>
                          <w:i/>
                          <w:color w:val="000000" w:themeColor="text1" w:themeShade="BF"/>
                          <w:sz w:val="16"/>
                          <w:szCs w:val="16"/>
                        </w:rPr>
                        <w:t xml:space="preserve"> materials informed some of the content in this document.  </w:t>
                      </w:r>
                    </w:p>
                    <w:p w14:paraId="1E3076AA" w14:textId="77777777" w:rsidR="00182869" w:rsidRDefault="00182869" w:rsidP="00182869">
                      <w:pPr>
                        <w:pStyle w:val="ListParagraph"/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A33439" w14:textId="43ADE270" w:rsidR="00403FBB" w:rsidRDefault="00403FBB" w:rsidP="009E1E82">
      <w:pPr>
        <w:pStyle w:val="Default"/>
        <w:rPr>
          <w:sz w:val="23"/>
          <w:szCs w:val="23"/>
        </w:rPr>
      </w:pPr>
    </w:p>
    <w:p w14:paraId="17497D62" w14:textId="4C18A5A3" w:rsidR="00403FBB" w:rsidRDefault="00403FBB" w:rsidP="009E1E82">
      <w:pPr>
        <w:pStyle w:val="Default"/>
        <w:rPr>
          <w:sz w:val="23"/>
          <w:szCs w:val="23"/>
        </w:rPr>
      </w:pPr>
    </w:p>
    <w:p w14:paraId="560F1AA1" w14:textId="34D318F1" w:rsidR="00403FBB" w:rsidRDefault="00403FBB" w:rsidP="009E1E82">
      <w:pPr>
        <w:pStyle w:val="Default"/>
        <w:rPr>
          <w:sz w:val="23"/>
          <w:szCs w:val="23"/>
        </w:rPr>
      </w:pPr>
    </w:p>
    <w:p w14:paraId="13DC96BE" w14:textId="6E647FDA" w:rsidR="00403FBB" w:rsidRDefault="00403FBB" w:rsidP="009E1E82">
      <w:pPr>
        <w:pStyle w:val="Default"/>
        <w:rPr>
          <w:sz w:val="23"/>
          <w:szCs w:val="23"/>
        </w:rPr>
      </w:pPr>
    </w:p>
    <w:p w14:paraId="6437AF3B" w14:textId="3DBECBAF" w:rsidR="00403FBB" w:rsidRDefault="00403FBB" w:rsidP="009E1E82">
      <w:pPr>
        <w:pStyle w:val="Default"/>
        <w:rPr>
          <w:sz w:val="23"/>
          <w:szCs w:val="23"/>
        </w:rPr>
      </w:pPr>
    </w:p>
    <w:p w14:paraId="0B263136" w14:textId="26DAE0DC" w:rsidR="004B5738" w:rsidRDefault="004B5738" w:rsidP="009E1E82">
      <w:pPr>
        <w:pStyle w:val="Default"/>
        <w:rPr>
          <w:sz w:val="23"/>
          <w:szCs w:val="23"/>
        </w:rPr>
      </w:pPr>
    </w:p>
    <w:p w14:paraId="29234E4E" w14:textId="64563968" w:rsidR="00403FBB" w:rsidRDefault="004B5738" w:rsidP="009E1E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Does this comply?</w:t>
      </w:r>
    </w:p>
    <w:p w14:paraId="24388D82" w14:textId="3D154022" w:rsidR="00D12B86" w:rsidRDefault="00D12B86" w:rsidP="009E1E82">
      <w:pPr>
        <w:pStyle w:val="Default"/>
        <w:rPr>
          <w:sz w:val="23"/>
          <w:szCs w:val="23"/>
        </w:rPr>
      </w:pPr>
    </w:p>
    <w:p w14:paraId="6A2CDB6F" w14:textId="77777777" w:rsidR="00D12B86" w:rsidRPr="00D12B86" w:rsidRDefault="00D12B86" w:rsidP="00D12B86"/>
    <w:p w14:paraId="3AA70761" w14:textId="77777777" w:rsidR="00D12B86" w:rsidRPr="00D12B86" w:rsidRDefault="00D12B86" w:rsidP="00D12B86"/>
    <w:p w14:paraId="18BFA110" w14:textId="77777777" w:rsidR="00D12B86" w:rsidRPr="00D12B86" w:rsidRDefault="00D12B86" w:rsidP="00D12B86"/>
    <w:p w14:paraId="38903908" w14:textId="77777777" w:rsidR="00D12B86" w:rsidRPr="00D12B86" w:rsidRDefault="00D12B86" w:rsidP="00D12B86"/>
    <w:p w14:paraId="734A32DD" w14:textId="34F2B79A" w:rsidR="00403FBB" w:rsidRPr="00D12B86" w:rsidRDefault="00403FBB" w:rsidP="00D12B86">
      <w:pPr>
        <w:tabs>
          <w:tab w:val="left" w:pos="1127"/>
          <w:tab w:val="center" w:pos="5400"/>
        </w:tabs>
      </w:pPr>
    </w:p>
    <w:sectPr w:rsidR="00403FBB" w:rsidRPr="00D12B86" w:rsidSect="00D12B86">
      <w:headerReference w:type="default" r:id="rId19"/>
      <w:footerReference w:type="default" r:id="rId20"/>
      <w:pgSz w:w="12240" w:h="15840"/>
      <w:pgMar w:top="288" w:right="720" w:bottom="288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B8E0" w14:textId="77777777" w:rsidR="00DE4FC3" w:rsidRDefault="00DE4FC3" w:rsidP="002123C2">
      <w:pPr>
        <w:spacing w:after="0" w:line="240" w:lineRule="auto"/>
      </w:pPr>
      <w:r>
        <w:separator/>
      </w:r>
    </w:p>
  </w:endnote>
  <w:endnote w:type="continuationSeparator" w:id="0">
    <w:p w14:paraId="1E87AD11" w14:textId="77777777" w:rsidR="00DE4FC3" w:rsidRDefault="00DE4FC3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6D27" w14:textId="77777777" w:rsidR="00D12B86" w:rsidRDefault="00D12B86" w:rsidP="00D12B86">
    <w:pPr>
      <w:pStyle w:val="Footer"/>
      <w:jc w:val="center"/>
      <w:rPr>
        <w:sz w:val="20"/>
        <w:szCs w:val="20"/>
      </w:rPr>
    </w:pPr>
  </w:p>
  <w:p w14:paraId="60174FC8" w14:textId="77777777" w:rsidR="00D12B86" w:rsidRDefault="00D12B86" w:rsidP="00D12B86">
    <w:pPr>
      <w:pStyle w:val="Footer"/>
      <w:rPr>
        <w:sz w:val="18"/>
        <w:szCs w:val="18"/>
      </w:rPr>
    </w:pPr>
  </w:p>
  <w:p w14:paraId="78DA9AB5" w14:textId="7C5CF6A6" w:rsidR="003F2ED6" w:rsidRPr="00D12B86" w:rsidRDefault="00D12B86" w:rsidP="00D12B86">
    <w:pPr>
      <w:pStyle w:val="Footer"/>
      <w:rPr>
        <w:sz w:val="18"/>
        <w:szCs w:val="18"/>
      </w:rPr>
    </w:pPr>
    <w:r w:rsidRPr="00D12B86">
      <w:rPr>
        <w:rFonts w:cstheme="minorHAnsi"/>
        <w:i/>
        <w:iCs/>
        <w:color w:val="808080" w:themeColor="background1" w:themeShade="80"/>
        <w:sz w:val="18"/>
        <w:szCs w:val="18"/>
        <w:shd w:val="clear" w:color="auto" w:fill="FFFFFF"/>
      </w:rPr>
      <w:t>The contents of this document do not have the force and effect of law and are not meant to bind the public in any way; they are intended only to provide clarity to the public regarding existing requirements under the law or agency policies.</w:t>
    </w:r>
    <w:r>
      <w:rPr>
        <w:rFonts w:cstheme="minorHAnsi"/>
        <w:i/>
        <w:iCs/>
        <w:color w:val="808080" w:themeColor="background1" w:themeShade="80"/>
        <w:sz w:val="18"/>
        <w:szCs w:val="18"/>
        <w:shd w:val="clear" w:color="auto" w:fill="FFFFFF"/>
      </w:rPr>
      <w:tab/>
    </w:r>
    <w:r w:rsidRPr="00D12B86">
      <w:rPr>
        <w:rFonts w:cstheme="minorHAnsi"/>
        <w:iCs/>
        <w:sz w:val="18"/>
        <w:szCs w:val="18"/>
        <w:shd w:val="clear" w:color="auto" w:fill="FFFFFF"/>
      </w:rPr>
      <w:t>December 2018</w:t>
    </w:r>
  </w:p>
  <w:p w14:paraId="756E000C" w14:textId="77777777" w:rsidR="00DF4F96" w:rsidRPr="00DE012F" w:rsidRDefault="00DF4F96" w:rsidP="00DE0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FD5DA" w14:textId="77777777" w:rsidR="00DE4FC3" w:rsidRDefault="00DE4FC3" w:rsidP="002123C2">
      <w:pPr>
        <w:spacing w:after="0" w:line="240" w:lineRule="auto"/>
      </w:pPr>
      <w:r>
        <w:separator/>
      </w:r>
    </w:p>
  </w:footnote>
  <w:footnote w:type="continuationSeparator" w:id="0">
    <w:p w14:paraId="7A095469" w14:textId="77777777" w:rsidR="00DE4FC3" w:rsidRDefault="00DE4FC3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6759" w14:textId="0082BC1B" w:rsidR="00DF4F96" w:rsidRPr="003A0D3D" w:rsidRDefault="00DF4F96" w:rsidP="002E041D">
    <w:pPr>
      <w:pStyle w:val="Heading1"/>
      <w:tabs>
        <w:tab w:val="left" w:pos="337"/>
        <w:tab w:val="center" w:pos="5112"/>
      </w:tabs>
      <w:spacing w:before="240" w:after="24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37A"/>
    <w:multiLevelType w:val="hybridMultilevel"/>
    <w:tmpl w:val="ECAE9802"/>
    <w:lvl w:ilvl="0" w:tplc="0D04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844"/>
    <w:multiLevelType w:val="hybridMultilevel"/>
    <w:tmpl w:val="21A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F8B"/>
    <w:multiLevelType w:val="hybridMultilevel"/>
    <w:tmpl w:val="E354A9D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7D63E1F"/>
    <w:multiLevelType w:val="hybridMultilevel"/>
    <w:tmpl w:val="5608EC0E"/>
    <w:lvl w:ilvl="0" w:tplc="AF70F6E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AE2"/>
    <w:multiLevelType w:val="hybridMultilevel"/>
    <w:tmpl w:val="4D3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3D5F"/>
    <w:multiLevelType w:val="hybridMultilevel"/>
    <w:tmpl w:val="67743B12"/>
    <w:lvl w:ilvl="0" w:tplc="B9520C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35DF0"/>
    <w:multiLevelType w:val="multilevel"/>
    <w:tmpl w:val="2D0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3F1A36"/>
    <w:multiLevelType w:val="hybridMultilevel"/>
    <w:tmpl w:val="674A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0A5"/>
    <w:multiLevelType w:val="hybridMultilevel"/>
    <w:tmpl w:val="FAD8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3D83"/>
    <w:multiLevelType w:val="hybridMultilevel"/>
    <w:tmpl w:val="C3CE6E64"/>
    <w:lvl w:ilvl="0" w:tplc="840C4D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17FDA"/>
    <w:multiLevelType w:val="hybridMultilevel"/>
    <w:tmpl w:val="39D4C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A0940"/>
    <w:multiLevelType w:val="hybridMultilevel"/>
    <w:tmpl w:val="55F8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3EFF"/>
    <w:multiLevelType w:val="hybridMultilevel"/>
    <w:tmpl w:val="F21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67"/>
    <w:multiLevelType w:val="hybridMultilevel"/>
    <w:tmpl w:val="F3EE86AC"/>
    <w:lvl w:ilvl="0" w:tplc="B9520C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5147"/>
    <w:multiLevelType w:val="hybridMultilevel"/>
    <w:tmpl w:val="E34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82695"/>
    <w:multiLevelType w:val="hybridMultilevel"/>
    <w:tmpl w:val="94E8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51533"/>
    <w:multiLevelType w:val="multilevel"/>
    <w:tmpl w:val="D1F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1E5BAF"/>
    <w:multiLevelType w:val="hybridMultilevel"/>
    <w:tmpl w:val="D9A8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AC8196A"/>
    <w:multiLevelType w:val="hybridMultilevel"/>
    <w:tmpl w:val="3DCAD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63041"/>
    <w:multiLevelType w:val="hybridMultilevel"/>
    <w:tmpl w:val="CCC63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D84C0F"/>
    <w:multiLevelType w:val="hybridMultilevel"/>
    <w:tmpl w:val="99A8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6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D35FB"/>
    <w:multiLevelType w:val="hybridMultilevel"/>
    <w:tmpl w:val="5F46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961E3"/>
    <w:multiLevelType w:val="multilevel"/>
    <w:tmpl w:val="28500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F008C1"/>
    <w:multiLevelType w:val="hybridMultilevel"/>
    <w:tmpl w:val="744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033B2"/>
    <w:multiLevelType w:val="hybridMultilevel"/>
    <w:tmpl w:val="205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50E81"/>
    <w:multiLevelType w:val="hybridMultilevel"/>
    <w:tmpl w:val="151C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6584C"/>
    <w:multiLevelType w:val="hybridMultilevel"/>
    <w:tmpl w:val="502C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882BA6"/>
    <w:multiLevelType w:val="hybridMultilevel"/>
    <w:tmpl w:val="96F2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035E"/>
    <w:multiLevelType w:val="hybridMultilevel"/>
    <w:tmpl w:val="ADE6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00CF7"/>
    <w:multiLevelType w:val="hybridMultilevel"/>
    <w:tmpl w:val="96CEE382"/>
    <w:lvl w:ilvl="0" w:tplc="D4AC8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838E7"/>
    <w:multiLevelType w:val="hybridMultilevel"/>
    <w:tmpl w:val="677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F7CF6"/>
    <w:multiLevelType w:val="hybridMultilevel"/>
    <w:tmpl w:val="8634FCA8"/>
    <w:lvl w:ilvl="0" w:tplc="67826B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A6107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26ED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CCCC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8CB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257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454C4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E0F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64DC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7AA44A08"/>
    <w:multiLevelType w:val="hybridMultilevel"/>
    <w:tmpl w:val="9872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F14874"/>
    <w:multiLevelType w:val="hybridMultilevel"/>
    <w:tmpl w:val="017A2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4"/>
  </w:num>
  <w:num w:numId="5">
    <w:abstractNumId w:val="13"/>
  </w:num>
  <w:num w:numId="6">
    <w:abstractNumId w:val="20"/>
  </w:num>
  <w:num w:numId="7">
    <w:abstractNumId w:val="22"/>
  </w:num>
  <w:num w:numId="8">
    <w:abstractNumId w:val="21"/>
  </w:num>
  <w:num w:numId="9">
    <w:abstractNumId w:val="12"/>
  </w:num>
  <w:num w:numId="10">
    <w:abstractNumId w:val="26"/>
  </w:num>
  <w:num w:numId="11">
    <w:abstractNumId w:val="27"/>
  </w:num>
  <w:num w:numId="12">
    <w:abstractNumId w:val="34"/>
  </w:num>
  <w:num w:numId="13">
    <w:abstractNumId w:val="3"/>
  </w:num>
  <w:num w:numId="14">
    <w:abstractNumId w:val="8"/>
  </w:num>
  <w:num w:numId="15">
    <w:abstractNumId w:val="41"/>
  </w:num>
  <w:num w:numId="16">
    <w:abstractNumId w:val="35"/>
  </w:num>
  <w:num w:numId="17">
    <w:abstractNumId w:val="14"/>
  </w:num>
  <w:num w:numId="18">
    <w:abstractNumId w:val="32"/>
  </w:num>
  <w:num w:numId="19">
    <w:abstractNumId w:val="23"/>
  </w:num>
  <w:num w:numId="20">
    <w:abstractNumId w:val="17"/>
  </w:num>
  <w:num w:numId="21">
    <w:abstractNumId w:val="1"/>
  </w:num>
  <w:num w:numId="22">
    <w:abstractNumId w:val="31"/>
  </w:num>
  <w:num w:numId="23">
    <w:abstractNumId w:val="36"/>
  </w:num>
  <w:num w:numId="24">
    <w:abstractNumId w:val="16"/>
  </w:num>
  <w:num w:numId="25">
    <w:abstractNumId w:val="5"/>
  </w:num>
  <w:num w:numId="26">
    <w:abstractNumId w:val="29"/>
  </w:num>
  <w:num w:numId="27">
    <w:abstractNumId w:val="0"/>
  </w:num>
  <w:num w:numId="28">
    <w:abstractNumId w:val="4"/>
  </w:num>
  <w:num w:numId="29">
    <w:abstractNumId w:val="15"/>
  </w:num>
  <w:num w:numId="30">
    <w:abstractNumId w:val="30"/>
  </w:num>
  <w:num w:numId="31">
    <w:abstractNumId w:val="2"/>
  </w:num>
  <w:num w:numId="32">
    <w:abstractNumId w:val="33"/>
  </w:num>
  <w:num w:numId="33">
    <w:abstractNumId w:val="40"/>
  </w:num>
  <w:num w:numId="34">
    <w:abstractNumId w:val="38"/>
  </w:num>
  <w:num w:numId="35">
    <w:abstractNumId w:val="37"/>
  </w:num>
  <w:num w:numId="36">
    <w:abstractNumId w:val="9"/>
  </w:num>
  <w:num w:numId="37">
    <w:abstractNumId w:val="6"/>
  </w:num>
  <w:num w:numId="38">
    <w:abstractNumId w:val="39"/>
  </w:num>
  <w:num w:numId="39">
    <w:abstractNumId w:val="19"/>
  </w:num>
  <w:num w:numId="40">
    <w:abstractNumId w:val="18"/>
  </w:num>
  <w:num w:numId="41">
    <w:abstractNumId w:val="2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C2"/>
    <w:rsid w:val="00001441"/>
    <w:rsid w:val="00006B02"/>
    <w:rsid w:val="00006C87"/>
    <w:rsid w:val="000074E1"/>
    <w:rsid w:val="00007BDE"/>
    <w:rsid w:val="000125F3"/>
    <w:rsid w:val="0002190C"/>
    <w:rsid w:val="00024B23"/>
    <w:rsid w:val="00032390"/>
    <w:rsid w:val="00041E0A"/>
    <w:rsid w:val="00043D42"/>
    <w:rsid w:val="00044DDF"/>
    <w:rsid w:val="00056FFB"/>
    <w:rsid w:val="00076146"/>
    <w:rsid w:val="0007624F"/>
    <w:rsid w:val="00076C69"/>
    <w:rsid w:val="0007729A"/>
    <w:rsid w:val="000808F3"/>
    <w:rsid w:val="0008207E"/>
    <w:rsid w:val="00083EB2"/>
    <w:rsid w:val="00084041"/>
    <w:rsid w:val="00086F4E"/>
    <w:rsid w:val="000871D6"/>
    <w:rsid w:val="000A1148"/>
    <w:rsid w:val="000A4E97"/>
    <w:rsid w:val="000A5D6C"/>
    <w:rsid w:val="000A6682"/>
    <w:rsid w:val="000A6A4C"/>
    <w:rsid w:val="000A6B8F"/>
    <w:rsid w:val="000A74D7"/>
    <w:rsid w:val="000D13F0"/>
    <w:rsid w:val="000D1DAA"/>
    <w:rsid w:val="000D3FCB"/>
    <w:rsid w:val="000D4A11"/>
    <w:rsid w:val="000D4A78"/>
    <w:rsid w:val="000F210C"/>
    <w:rsid w:val="000F6D88"/>
    <w:rsid w:val="00102EC9"/>
    <w:rsid w:val="001033C4"/>
    <w:rsid w:val="00104A2D"/>
    <w:rsid w:val="00112037"/>
    <w:rsid w:val="0012247C"/>
    <w:rsid w:val="001257AF"/>
    <w:rsid w:val="00126F93"/>
    <w:rsid w:val="00142DB2"/>
    <w:rsid w:val="00144928"/>
    <w:rsid w:val="00150EF0"/>
    <w:rsid w:val="001513A6"/>
    <w:rsid w:val="0015588C"/>
    <w:rsid w:val="00157136"/>
    <w:rsid w:val="001574D3"/>
    <w:rsid w:val="00161728"/>
    <w:rsid w:val="00166240"/>
    <w:rsid w:val="00167475"/>
    <w:rsid w:val="00172B73"/>
    <w:rsid w:val="00174313"/>
    <w:rsid w:val="00174E70"/>
    <w:rsid w:val="00175467"/>
    <w:rsid w:val="00182869"/>
    <w:rsid w:val="001860A8"/>
    <w:rsid w:val="00186E2D"/>
    <w:rsid w:val="001A438A"/>
    <w:rsid w:val="001B111D"/>
    <w:rsid w:val="001C4D99"/>
    <w:rsid w:val="001C5770"/>
    <w:rsid w:val="001D0F73"/>
    <w:rsid w:val="001E3706"/>
    <w:rsid w:val="001E4A3B"/>
    <w:rsid w:val="001E7E32"/>
    <w:rsid w:val="001F0C9A"/>
    <w:rsid w:val="001F3EC7"/>
    <w:rsid w:val="001F4AB0"/>
    <w:rsid w:val="00200FAC"/>
    <w:rsid w:val="0020151F"/>
    <w:rsid w:val="00205019"/>
    <w:rsid w:val="0020643D"/>
    <w:rsid w:val="002123C2"/>
    <w:rsid w:val="002250D0"/>
    <w:rsid w:val="002251D1"/>
    <w:rsid w:val="002259FC"/>
    <w:rsid w:val="00231D56"/>
    <w:rsid w:val="00231DDF"/>
    <w:rsid w:val="002433E6"/>
    <w:rsid w:val="0024610A"/>
    <w:rsid w:val="00247627"/>
    <w:rsid w:val="002636CA"/>
    <w:rsid w:val="00267B36"/>
    <w:rsid w:val="00270A58"/>
    <w:rsid w:val="00271597"/>
    <w:rsid w:val="0028324E"/>
    <w:rsid w:val="00294558"/>
    <w:rsid w:val="002955BB"/>
    <w:rsid w:val="002A0D06"/>
    <w:rsid w:val="002C4167"/>
    <w:rsid w:val="002D39D2"/>
    <w:rsid w:val="002E041D"/>
    <w:rsid w:val="002E6CE8"/>
    <w:rsid w:val="002F2AC5"/>
    <w:rsid w:val="00301353"/>
    <w:rsid w:val="00302255"/>
    <w:rsid w:val="003049E7"/>
    <w:rsid w:val="003102F2"/>
    <w:rsid w:val="003135AE"/>
    <w:rsid w:val="0031459A"/>
    <w:rsid w:val="003178E1"/>
    <w:rsid w:val="003250D3"/>
    <w:rsid w:val="0032528C"/>
    <w:rsid w:val="0033200D"/>
    <w:rsid w:val="00333555"/>
    <w:rsid w:val="00337AF2"/>
    <w:rsid w:val="0034241C"/>
    <w:rsid w:val="00342FD0"/>
    <w:rsid w:val="003448E3"/>
    <w:rsid w:val="003461A7"/>
    <w:rsid w:val="003467DB"/>
    <w:rsid w:val="003511BC"/>
    <w:rsid w:val="003557D1"/>
    <w:rsid w:val="00356B3D"/>
    <w:rsid w:val="00356C00"/>
    <w:rsid w:val="0036578E"/>
    <w:rsid w:val="003660A3"/>
    <w:rsid w:val="00382625"/>
    <w:rsid w:val="0039486A"/>
    <w:rsid w:val="00397260"/>
    <w:rsid w:val="003A0622"/>
    <w:rsid w:val="003A0D3D"/>
    <w:rsid w:val="003A1C0D"/>
    <w:rsid w:val="003A4FB0"/>
    <w:rsid w:val="003A5D20"/>
    <w:rsid w:val="003A6BCA"/>
    <w:rsid w:val="003A7938"/>
    <w:rsid w:val="003B2F2B"/>
    <w:rsid w:val="003B6176"/>
    <w:rsid w:val="003D14FF"/>
    <w:rsid w:val="003D31F2"/>
    <w:rsid w:val="003E7E69"/>
    <w:rsid w:val="003F1138"/>
    <w:rsid w:val="003F2ED6"/>
    <w:rsid w:val="003F66FA"/>
    <w:rsid w:val="004019BB"/>
    <w:rsid w:val="00403FBB"/>
    <w:rsid w:val="00406A42"/>
    <w:rsid w:val="004075DC"/>
    <w:rsid w:val="00407BE0"/>
    <w:rsid w:val="00411DA1"/>
    <w:rsid w:val="004156BD"/>
    <w:rsid w:val="004159A6"/>
    <w:rsid w:val="00417E1B"/>
    <w:rsid w:val="0042016C"/>
    <w:rsid w:val="0042470F"/>
    <w:rsid w:val="004305CE"/>
    <w:rsid w:val="004349D5"/>
    <w:rsid w:val="0043728A"/>
    <w:rsid w:val="00441FF5"/>
    <w:rsid w:val="00444807"/>
    <w:rsid w:val="00451061"/>
    <w:rsid w:val="00453C71"/>
    <w:rsid w:val="00454167"/>
    <w:rsid w:val="0045685E"/>
    <w:rsid w:val="0047230E"/>
    <w:rsid w:val="004727F3"/>
    <w:rsid w:val="00477D32"/>
    <w:rsid w:val="00482610"/>
    <w:rsid w:val="00485676"/>
    <w:rsid w:val="004A3319"/>
    <w:rsid w:val="004A4AB3"/>
    <w:rsid w:val="004B5738"/>
    <w:rsid w:val="004B5EBE"/>
    <w:rsid w:val="004B6498"/>
    <w:rsid w:val="004C1D65"/>
    <w:rsid w:val="004C3A7C"/>
    <w:rsid w:val="004C7ED5"/>
    <w:rsid w:val="004E0E81"/>
    <w:rsid w:val="004E1065"/>
    <w:rsid w:val="004E4502"/>
    <w:rsid w:val="004F29A0"/>
    <w:rsid w:val="00504AE3"/>
    <w:rsid w:val="00510D00"/>
    <w:rsid w:val="005206E9"/>
    <w:rsid w:val="00521F6F"/>
    <w:rsid w:val="00532791"/>
    <w:rsid w:val="00533551"/>
    <w:rsid w:val="00533860"/>
    <w:rsid w:val="00537142"/>
    <w:rsid w:val="00544235"/>
    <w:rsid w:val="00546B72"/>
    <w:rsid w:val="00547FDF"/>
    <w:rsid w:val="00551669"/>
    <w:rsid w:val="00554BAB"/>
    <w:rsid w:val="00555745"/>
    <w:rsid w:val="00564973"/>
    <w:rsid w:val="00570588"/>
    <w:rsid w:val="00570ECB"/>
    <w:rsid w:val="005738A8"/>
    <w:rsid w:val="00577430"/>
    <w:rsid w:val="0058441D"/>
    <w:rsid w:val="005857BC"/>
    <w:rsid w:val="005863A1"/>
    <w:rsid w:val="00591745"/>
    <w:rsid w:val="00592B55"/>
    <w:rsid w:val="005A17F1"/>
    <w:rsid w:val="005C23CD"/>
    <w:rsid w:val="005C6C1D"/>
    <w:rsid w:val="005C7CC9"/>
    <w:rsid w:val="005C7D9C"/>
    <w:rsid w:val="005D29B4"/>
    <w:rsid w:val="005D31FE"/>
    <w:rsid w:val="005D56AD"/>
    <w:rsid w:val="005E53B3"/>
    <w:rsid w:val="005F0C09"/>
    <w:rsid w:val="00601532"/>
    <w:rsid w:val="00601F4E"/>
    <w:rsid w:val="006119B9"/>
    <w:rsid w:val="00621434"/>
    <w:rsid w:val="00623E03"/>
    <w:rsid w:val="00624057"/>
    <w:rsid w:val="00631AA7"/>
    <w:rsid w:val="00632EDA"/>
    <w:rsid w:val="006339E0"/>
    <w:rsid w:val="0063603F"/>
    <w:rsid w:val="00643D1F"/>
    <w:rsid w:val="00644DF9"/>
    <w:rsid w:val="006819E3"/>
    <w:rsid w:val="00683C4F"/>
    <w:rsid w:val="0068601C"/>
    <w:rsid w:val="006C09C0"/>
    <w:rsid w:val="006C720B"/>
    <w:rsid w:val="006D612B"/>
    <w:rsid w:val="006E13B5"/>
    <w:rsid w:val="006E1B91"/>
    <w:rsid w:val="006E781A"/>
    <w:rsid w:val="006F2BB5"/>
    <w:rsid w:val="006F6B0E"/>
    <w:rsid w:val="007025F1"/>
    <w:rsid w:val="00704FE4"/>
    <w:rsid w:val="007131B9"/>
    <w:rsid w:val="00733320"/>
    <w:rsid w:val="007338F6"/>
    <w:rsid w:val="00735A72"/>
    <w:rsid w:val="00743F65"/>
    <w:rsid w:val="00744CE8"/>
    <w:rsid w:val="007470EB"/>
    <w:rsid w:val="00747AF9"/>
    <w:rsid w:val="00774EB2"/>
    <w:rsid w:val="00783E7A"/>
    <w:rsid w:val="00784E18"/>
    <w:rsid w:val="007922F3"/>
    <w:rsid w:val="007944D2"/>
    <w:rsid w:val="00794E04"/>
    <w:rsid w:val="007A5EAE"/>
    <w:rsid w:val="007B2E02"/>
    <w:rsid w:val="007B48A1"/>
    <w:rsid w:val="007C0AAD"/>
    <w:rsid w:val="007C4A03"/>
    <w:rsid w:val="007C559C"/>
    <w:rsid w:val="007D2A54"/>
    <w:rsid w:val="007D350A"/>
    <w:rsid w:val="007E638A"/>
    <w:rsid w:val="007F4984"/>
    <w:rsid w:val="00806391"/>
    <w:rsid w:val="00811F57"/>
    <w:rsid w:val="008135CE"/>
    <w:rsid w:val="008201D0"/>
    <w:rsid w:val="00827131"/>
    <w:rsid w:val="00833F0F"/>
    <w:rsid w:val="00844745"/>
    <w:rsid w:val="00845120"/>
    <w:rsid w:val="008468CB"/>
    <w:rsid w:val="008475A9"/>
    <w:rsid w:val="008530BF"/>
    <w:rsid w:val="00870464"/>
    <w:rsid w:val="0087528C"/>
    <w:rsid w:val="008833AD"/>
    <w:rsid w:val="00897F49"/>
    <w:rsid w:val="008A197C"/>
    <w:rsid w:val="008A316B"/>
    <w:rsid w:val="008A468A"/>
    <w:rsid w:val="008A4FB9"/>
    <w:rsid w:val="008B4DEC"/>
    <w:rsid w:val="008B6A52"/>
    <w:rsid w:val="008C0CF9"/>
    <w:rsid w:val="008C5978"/>
    <w:rsid w:val="008D1003"/>
    <w:rsid w:val="008D22FF"/>
    <w:rsid w:val="008D5EF6"/>
    <w:rsid w:val="008D6D24"/>
    <w:rsid w:val="008D7359"/>
    <w:rsid w:val="008E0075"/>
    <w:rsid w:val="008F162F"/>
    <w:rsid w:val="008F5052"/>
    <w:rsid w:val="00900869"/>
    <w:rsid w:val="00903340"/>
    <w:rsid w:val="00907F9D"/>
    <w:rsid w:val="00910ACA"/>
    <w:rsid w:val="0092051A"/>
    <w:rsid w:val="0093452A"/>
    <w:rsid w:val="009363EF"/>
    <w:rsid w:val="00940535"/>
    <w:rsid w:val="009421C4"/>
    <w:rsid w:val="00953722"/>
    <w:rsid w:val="00965002"/>
    <w:rsid w:val="00966D4C"/>
    <w:rsid w:val="00971A94"/>
    <w:rsid w:val="00972D90"/>
    <w:rsid w:val="0097445C"/>
    <w:rsid w:val="00977600"/>
    <w:rsid w:val="00982620"/>
    <w:rsid w:val="00987386"/>
    <w:rsid w:val="0099059B"/>
    <w:rsid w:val="0099300D"/>
    <w:rsid w:val="0099504F"/>
    <w:rsid w:val="009A0CB7"/>
    <w:rsid w:val="009A47D8"/>
    <w:rsid w:val="009B741F"/>
    <w:rsid w:val="009D072A"/>
    <w:rsid w:val="009D2461"/>
    <w:rsid w:val="009D2D48"/>
    <w:rsid w:val="009D5F80"/>
    <w:rsid w:val="009D7A8A"/>
    <w:rsid w:val="009E1E82"/>
    <w:rsid w:val="009E493C"/>
    <w:rsid w:val="009F29B9"/>
    <w:rsid w:val="009F40D9"/>
    <w:rsid w:val="009F4B90"/>
    <w:rsid w:val="009F512A"/>
    <w:rsid w:val="00A01977"/>
    <w:rsid w:val="00A14255"/>
    <w:rsid w:val="00A16A10"/>
    <w:rsid w:val="00A16F26"/>
    <w:rsid w:val="00A225A7"/>
    <w:rsid w:val="00A25C25"/>
    <w:rsid w:val="00A26FCC"/>
    <w:rsid w:val="00A30D9E"/>
    <w:rsid w:val="00A353D9"/>
    <w:rsid w:val="00A362B4"/>
    <w:rsid w:val="00A366EB"/>
    <w:rsid w:val="00A4263C"/>
    <w:rsid w:val="00A44FFF"/>
    <w:rsid w:val="00A50D93"/>
    <w:rsid w:val="00A51EDC"/>
    <w:rsid w:val="00A60DA8"/>
    <w:rsid w:val="00A64CCF"/>
    <w:rsid w:val="00A759BC"/>
    <w:rsid w:val="00A805D0"/>
    <w:rsid w:val="00A86E93"/>
    <w:rsid w:val="00A92452"/>
    <w:rsid w:val="00A92D46"/>
    <w:rsid w:val="00A94E43"/>
    <w:rsid w:val="00AA4343"/>
    <w:rsid w:val="00AA45EF"/>
    <w:rsid w:val="00AB05E3"/>
    <w:rsid w:val="00AB4944"/>
    <w:rsid w:val="00AC0F6D"/>
    <w:rsid w:val="00AC17AA"/>
    <w:rsid w:val="00AD1374"/>
    <w:rsid w:val="00AD1C20"/>
    <w:rsid w:val="00AD3852"/>
    <w:rsid w:val="00AD5EB7"/>
    <w:rsid w:val="00AE2C17"/>
    <w:rsid w:val="00AE4FA2"/>
    <w:rsid w:val="00AE7A38"/>
    <w:rsid w:val="00AF11A7"/>
    <w:rsid w:val="00AF29FE"/>
    <w:rsid w:val="00B00277"/>
    <w:rsid w:val="00B040F8"/>
    <w:rsid w:val="00B07253"/>
    <w:rsid w:val="00B12A87"/>
    <w:rsid w:val="00B13EB9"/>
    <w:rsid w:val="00B16149"/>
    <w:rsid w:val="00B2153A"/>
    <w:rsid w:val="00B230DE"/>
    <w:rsid w:val="00B25672"/>
    <w:rsid w:val="00B31310"/>
    <w:rsid w:val="00B37D26"/>
    <w:rsid w:val="00B40191"/>
    <w:rsid w:val="00B40647"/>
    <w:rsid w:val="00B4332D"/>
    <w:rsid w:val="00B4519C"/>
    <w:rsid w:val="00B5042F"/>
    <w:rsid w:val="00B5196C"/>
    <w:rsid w:val="00B554F9"/>
    <w:rsid w:val="00B570C5"/>
    <w:rsid w:val="00B61902"/>
    <w:rsid w:val="00B717E5"/>
    <w:rsid w:val="00B71EDF"/>
    <w:rsid w:val="00B73CEB"/>
    <w:rsid w:val="00B75880"/>
    <w:rsid w:val="00B7702D"/>
    <w:rsid w:val="00B77C97"/>
    <w:rsid w:val="00B80368"/>
    <w:rsid w:val="00B84425"/>
    <w:rsid w:val="00B90880"/>
    <w:rsid w:val="00B90E45"/>
    <w:rsid w:val="00B945C5"/>
    <w:rsid w:val="00B96B60"/>
    <w:rsid w:val="00BA4A9C"/>
    <w:rsid w:val="00BA5EA3"/>
    <w:rsid w:val="00BB2195"/>
    <w:rsid w:val="00BB21A0"/>
    <w:rsid w:val="00BC54D4"/>
    <w:rsid w:val="00BC58CE"/>
    <w:rsid w:val="00BC73A1"/>
    <w:rsid w:val="00BD0357"/>
    <w:rsid w:val="00BD0978"/>
    <w:rsid w:val="00BD3E3F"/>
    <w:rsid w:val="00BD6FD3"/>
    <w:rsid w:val="00BE26C7"/>
    <w:rsid w:val="00BF2AFB"/>
    <w:rsid w:val="00BF4166"/>
    <w:rsid w:val="00C01AD3"/>
    <w:rsid w:val="00C02FD1"/>
    <w:rsid w:val="00C11075"/>
    <w:rsid w:val="00C117FB"/>
    <w:rsid w:val="00C15697"/>
    <w:rsid w:val="00C2154C"/>
    <w:rsid w:val="00C24C6E"/>
    <w:rsid w:val="00C26AE4"/>
    <w:rsid w:val="00C304D8"/>
    <w:rsid w:val="00C31011"/>
    <w:rsid w:val="00C33526"/>
    <w:rsid w:val="00C3686D"/>
    <w:rsid w:val="00C56E6F"/>
    <w:rsid w:val="00C64A67"/>
    <w:rsid w:val="00C672AE"/>
    <w:rsid w:val="00C67EA2"/>
    <w:rsid w:val="00C70FA3"/>
    <w:rsid w:val="00C80650"/>
    <w:rsid w:val="00C80D4D"/>
    <w:rsid w:val="00C83AE6"/>
    <w:rsid w:val="00C85DEB"/>
    <w:rsid w:val="00C91EAE"/>
    <w:rsid w:val="00C944A9"/>
    <w:rsid w:val="00C94931"/>
    <w:rsid w:val="00CA1899"/>
    <w:rsid w:val="00CA3513"/>
    <w:rsid w:val="00CA4D14"/>
    <w:rsid w:val="00CB2431"/>
    <w:rsid w:val="00CB2B87"/>
    <w:rsid w:val="00CC2FEB"/>
    <w:rsid w:val="00CC432B"/>
    <w:rsid w:val="00CC71BF"/>
    <w:rsid w:val="00CD049D"/>
    <w:rsid w:val="00CD216B"/>
    <w:rsid w:val="00CE132A"/>
    <w:rsid w:val="00CE405C"/>
    <w:rsid w:val="00CE6144"/>
    <w:rsid w:val="00CF176A"/>
    <w:rsid w:val="00CF48CE"/>
    <w:rsid w:val="00CF4C60"/>
    <w:rsid w:val="00CF52C3"/>
    <w:rsid w:val="00CF5678"/>
    <w:rsid w:val="00D0630D"/>
    <w:rsid w:val="00D12B86"/>
    <w:rsid w:val="00D130A8"/>
    <w:rsid w:val="00D20433"/>
    <w:rsid w:val="00D21B0D"/>
    <w:rsid w:val="00D22302"/>
    <w:rsid w:val="00D279FB"/>
    <w:rsid w:val="00D42CB7"/>
    <w:rsid w:val="00D44A9D"/>
    <w:rsid w:val="00D54287"/>
    <w:rsid w:val="00D659A6"/>
    <w:rsid w:val="00D81055"/>
    <w:rsid w:val="00D8338C"/>
    <w:rsid w:val="00D8646A"/>
    <w:rsid w:val="00D86719"/>
    <w:rsid w:val="00D91C6F"/>
    <w:rsid w:val="00D92727"/>
    <w:rsid w:val="00DA4E55"/>
    <w:rsid w:val="00DA670D"/>
    <w:rsid w:val="00DA7297"/>
    <w:rsid w:val="00DB4504"/>
    <w:rsid w:val="00DB4B83"/>
    <w:rsid w:val="00DB72D3"/>
    <w:rsid w:val="00DC63FB"/>
    <w:rsid w:val="00DD1CB5"/>
    <w:rsid w:val="00DD5E81"/>
    <w:rsid w:val="00DD7467"/>
    <w:rsid w:val="00DE012F"/>
    <w:rsid w:val="00DE2279"/>
    <w:rsid w:val="00DE35E2"/>
    <w:rsid w:val="00DE4FC3"/>
    <w:rsid w:val="00DF4F96"/>
    <w:rsid w:val="00DF551B"/>
    <w:rsid w:val="00E02476"/>
    <w:rsid w:val="00E10B31"/>
    <w:rsid w:val="00E250E1"/>
    <w:rsid w:val="00E26698"/>
    <w:rsid w:val="00E4096A"/>
    <w:rsid w:val="00E41C66"/>
    <w:rsid w:val="00E43CAA"/>
    <w:rsid w:val="00E44686"/>
    <w:rsid w:val="00E47503"/>
    <w:rsid w:val="00E52BD6"/>
    <w:rsid w:val="00E64A49"/>
    <w:rsid w:val="00E6581A"/>
    <w:rsid w:val="00E703ED"/>
    <w:rsid w:val="00E70C1D"/>
    <w:rsid w:val="00E7306A"/>
    <w:rsid w:val="00E754AF"/>
    <w:rsid w:val="00E768BF"/>
    <w:rsid w:val="00E96267"/>
    <w:rsid w:val="00EB3A99"/>
    <w:rsid w:val="00EC25E8"/>
    <w:rsid w:val="00EC2EAA"/>
    <w:rsid w:val="00EC342F"/>
    <w:rsid w:val="00EC74F2"/>
    <w:rsid w:val="00EC74FA"/>
    <w:rsid w:val="00EC7F66"/>
    <w:rsid w:val="00ED00FB"/>
    <w:rsid w:val="00ED2A6E"/>
    <w:rsid w:val="00ED57EC"/>
    <w:rsid w:val="00EE3C17"/>
    <w:rsid w:val="00EF11BB"/>
    <w:rsid w:val="00EF56DE"/>
    <w:rsid w:val="00EF5AA2"/>
    <w:rsid w:val="00F02FD1"/>
    <w:rsid w:val="00F047FB"/>
    <w:rsid w:val="00F05108"/>
    <w:rsid w:val="00F114D6"/>
    <w:rsid w:val="00F13019"/>
    <w:rsid w:val="00F1496E"/>
    <w:rsid w:val="00F2115F"/>
    <w:rsid w:val="00F2601C"/>
    <w:rsid w:val="00F267B2"/>
    <w:rsid w:val="00F2754F"/>
    <w:rsid w:val="00F311BB"/>
    <w:rsid w:val="00F31FB8"/>
    <w:rsid w:val="00F416E7"/>
    <w:rsid w:val="00F53E9D"/>
    <w:rsid w:val="00F61DF3"/>
    <w:rsid w:val="00F63D26"/>
    <w:rsid w:val="00F712EF"/>
    <w:rsid w:val="00F71E79"/>
    <w:rsid w:val="00F7421B"/>
    <w:rsid w:val="00F759F4"/>
    <w:rsid w:val="00F7638A"/>
    <w:rsid w:val="00F779CC"/>
    <w:rsid w:val="00F77CFE"/>
    <w:rsid w:val="00F82D1B"/>
    <w:rsid w:val="00F85C1D"/>
    <w:rsid w:val="00F87D05"/>
    <w:rsid w:val="00F918AC"/>
    <w:rsid w:val="00F95AB8"/>
    <w:rsid w:val="00F97504"/>
    <w:rsid w:val="00FA0217"/>
    <w:rsid w:val="00FA2E43"/>
    <w:rsid w:val="00FA34A8"/>
    <w:rsid w:val="00FA5399"/>
    <w:rsid w:val="00FB0D62"/>
    <w:rsid w:val="00FB7ABC"/>
    <w:rsid w:val="00FC4004"/>
    <w:rsid w:val="00FD2069"/>
    <w:rsid w:val="00FE0AE5"/>
    <w:rsid w:val="00FE1A9F"/>
    <w:rsid w:val="00FE7B5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09C1F"/>
  <w15:docId w15:val="{9D44D52A-8E30-4096-92BA-5F99EC1A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66"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nhideWhenUsed/>
    <w:rsid w:val="00B451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C"/>
    <w:rPr>
      <w:b/>
      <w:bCs/>
      <w:sz w:val="20"/>
      <w:szCs w:val="20"/>
    </w:rPr>
  </w:style>
  <w:style w:type="paragraph" w:customStyle="1" w:styleId="Bullet1">
    <w:name w:val="Bullet 1"/>
    <w:basedOn w:val="Normal"/>
    <w:qFormat/>
    <w:rsid w:val="007131B9"/>
    <w:pPr>
      <w:numPr>
        <w:numId w:val="13"/>
      </w:numPr>
      <w:spacing w:before="160" w:after="160"/>
    </w:pPr>
    <w:rPr>
      <w:rFonts w:ascii="Arial" w:eastAsia="Calibri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70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3ED"/>
    <w:rPr>
      <w:sz w:val="20"/>
      <w:szCs w:val="20"/>
    </w:rPr>
  </w:style>
  <w:style w:type="character" w:styleId="FootnoteReference">
    <w:name w:val="footnote reference"/>
    <w:uiPriority w:val="99"/>
    <w:rsid w:val="00E703E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250E1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8A46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1513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91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C304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90E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4-Accent1">
    <w:name w:val="Grid Table 4 Accent 1"/>
    <w:basedOn w:val="TableNormal"/>
    <w:uiPriority w:val="49"/>
    <w:rsid w:val="001C4D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7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B0F12A-981B-4172-A75E-DEB17EEA9312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1F9FBAC6-3A1E-4038-8A03-6A36772559C8}">
      <dgm:prSet phldrT="[Text]" custT="1"/>
      <dgm:spPr/>
      <dgm:t>
        <a:bodyPr/>
        <a:lstStyle/>
        <a:p>
          <a:pPr algn="l"/>
          <a:r>
            <a:rPr lang="en-US" sz="800" b="1"/>
            <a:t>Maintenance of effort</a:t>
          </a:r>
          <a:r>
            <a:rPr lang="en-US" sz="800"/>
            <a:t>:  Requires districts to have a consistent base of state and local funding for public education from year to year.</a:t>
          </a:r>
        </a:p>
      </dgm:t>
    </dgm:pt>
    <dgm:pt modelId="{038D75AF-2BB9-438A-ABE3-0A08C2F7E452}" type="parTrans" cxnId="{5AD2C27A-F036-4BEC-A276-AD16FD5B0115}">
      <dgm:prSet/>
      <dgm:spPr/>
      <dgm:t>
        <a:bodyPr/>
        <a:lstStyle/>
        <a:p>
          <a:endParaRPr lang="en-US"/>
        </a:p>
      </dgm:t>
    </dgm:pt>
    <dgm:pt modelId="{278A0F24-7537-477C-BC3A-0648B1FEF631}" type="sibTrans" cxnId="{5AD2C27A-F036-4BEC-A276-AD16FD5B0115}">
      <dgm:prSet/>
      <dgm:spPr/>
      <dgm:t>
        <a:bodyPr/>
        <a:lstStyle/>
        <a:p>
          <a:endParaRPr lang="en-US"/>
        </a:p>
      </dgm:t>
    </dgm:pt>
    <dgm:pt modelId="{7D22763B-8773-49E0-AA97-30B8A0103E94}">
      <dgm:prSet phldrT="[Text]" custT="1"/>
      <dgm:spPr/>
      <dgm:t>
        <a:bodyPr/>
        <a:lstStyle/>
        <a:p>
          <a:pPr algn="l"/>
          <a:r>
            <a:rPr lang="en-US" sz="800" b="1"/>
            <a:t>Comparability</a:t>
          </a:r>
          <a:r>
            <a:rPr lang="en-US" sz="800"/>
            <a:t>:  Requires that state and local funds are used, as a whole, to provide services that are comparable among Title I and non-Title I schools.</a:t>
          </a:r>
        </a:p>
      </dgm:t>
      <dgm:extLst>
        <a:ext uri="{E40237B7-FDA0-4F09-8148-C483321AD2D9}">
          <dgm14:cNvPr xmlns:dgm14="http://schemas.microsoft.com/office/drawing/2010/diagram" id="0" name="" descr="Title I maintenance of effort and comparability - how does supplement not supplant fit in"/>
        </a:ext>
      </dgm:extLst>
    </dgm:pt>
    <dgm:pt modelId="{B9AF3B47-F4DD-45BB-AD09-26970D3F350C}" type="parTrans" cxnId="{22BAC15F-28AF-4B30-9637-DF8D4B912E70}">
      <dgm:prSet/>
      <dgm:spPr/>
      <dgm:t>
        <a:bodyPr/>
        <a:lstStyle/>
        <a:p>
          <a:endParaRPr lang="en-US"/>
        </a:p>
      </dgm:t>
    </dgm:pt>
    <dgm:pt modelId="{31E689DF-3441-4260-A3D4-64D4DCEE92ED}" type="sibTrans" cxnId="{22BAC15F-28AF-4B30-9637-DF8D4B912E70}">
      <dgm:prSet/>
      <dgm:spPr/>
      <dgm:t>
        <a:bodyPr/>
        <a:lstStyle/>
        <a:p>
          <a:endParaRPr lang="en-US"/>
        </a:p>
      </dgm:t>
    </dgm:pt>
    <dgm:pt modelId="{BE4C353C-4C5E-4A6B-B5C2-3AAAE400A78A}">
      <dgm:prSet custT="1"/>
      <dgm:spPr/>
      <dgm:t>
        <a:bodyPr/>
        <a:lstStyle/>
        <a:p>
          <a:pPr algn="l"/>
          <a:r>
            <a:rPr lang="en-US" sz="800" b="1"/>
            <a:t>Supplement not supplant</a:t>
          </a:r>
          <a:r>
            <a:rPr lang="en-US" sz="800"/>
            <a:t>:  Requires that districts distribute state and local funds to schools without regard to whether a school receives Title I funds.</a:t>
          </a:r>
        </a:p>
      </dgm:t>
    </dgm:pt>
    <dgm:pt modelId="{FD4F9F12-9C58-4C3E-9A88-ADE2FEE7F1EA}" type="parTrans" cxnId="{C3505C27-C2B3-421A-8E32-C8C3136A8B62}">
      <dgm:prSet/>
      <dgm:spPr/>
      <dgm:t>
        <a:bodyPr/>
        <a:lstStyle/>
        <a:p>
          <a:endParaRPr lang="en-US"/>
        </a:p>
      </dgm:t>
    </dgm:pt>
    <dgm:pt modelId="{2FB37F7B-B1DC-4567-B6B9-E7E1CBD49D68}" type="sibTrans" cxnId="{C3505C27-C2B3-421A-8E32-C8C3136A8B62}">
      <dgm:prSet/>
      <dgm:spPr/>
      <dgm:t>
        <a:bodyPr/>
        <a:lstStyle/>
        <a:p>
          <a:endParaRPr lang="en-US"/>
        </a:p>
      </dgm:t>
    </dgm:pt>
    <dgm:pt modelId="{94A047C2-9476-4B9F-844A-F5FAE2E424B0}" type="pres">
      <dgm:prSet presAssocID="{44B0F12A-981B-4172-A75E-DEB17EEA9312}" presName="compositeShape" presStyleCnt="0">
        <dgm:presLayoutVars>
          <dgm:dir/>
          <dgm:resizeHandles/>
        </dgm:presLayoutVars>
      </dgm:prSet>
      <dgm:spPr/>
    </dgm:pt>
    <dgm:pt modelId="{8379C130-1DE5-4D88-8D72-0FF815CF77CA}" type="pres">
      <dgm:prSet presAssocID="{44B0F12A-981B-4172-A75E-DEB17EEA9312}" presName="pyramid" presStyleLbl="node1" presStyleIdx="0" presStyleCnt="1" custAng="10800000" custScaleX="196935"/>
      <dgm:spPr/>
    </dgm:pt>
    <dgm:pt modelId="{85F866FB-EEE0-4B22-B68C-6698E7D22F85}" type="pres">
      <dgm:prSet presAssocID="{44B0F12A-981B-4172-A75E-DEB17EEA9312}" presName="theList" presStyleCnt="0"/>
      <dgm:spPr/>
    </dgm:pt>
    <dgm:pt modelId="{4C4C5E82-24EB-4F8E-8FB0-D695F61EA53F}" type="pres">
      <dgm:prSet presAssocID="{1F9FBAC6-3A1E-4038-8A03-6A36772559C8}" presName="aNode" presStyleLbl="fgAcc1" presStyleIdx="0" presStyleCnt="3" custScaleX="1056340">
        <dgm:presLayoutVars>
          <dgm:bulletEnabled val="1"/>
        </dgm:presLayoutVars>
      </dgm:prSet>
      <dgm:spPr/>
    </dgm:pt>
    <dgm:pt modelId="{C716F9E8-DA0B-4DB2-BAD6-A2CE81279E5B}" type="pres">
      <dgm:prSet presAssocID="{1F9FBAC6-3A1E-4038-8A03-6A36772559C8}" presName="aSpace" presStyleCnt="0"/>
      <dgm:spPr/>
    </dgm:pt>
    <dgm:pt modelId="{46153449-AAEC-4619-919B-30A652141C82}" type="pres">
      <dgm:prSet presAssocID="{7D22763B-8773-49E0-AA97-30B8A0103E94}" presName="aNode" presStyleLbl="fgAcc1" presStyleIdx="1" presStyleCnt="3" custScaleX="1053783">
        <dgm:presLayoutVars>
          <dgm:bulletEnabled val="1"/>
        </dgm:presLayoutVars>
      </dgm:prSet>
      <dgm:spPr/>
    </dgm:pt>
    <dgm:pt modelId="{34F2256B-B665-49C4-A396-3425B1972FC3}" type="pres">
      <dgm:prSet presAssocID="{7D22763B-8773-49E0-AA97-30B8A0103E94}" presName="aSpace" presStyleCnt="0"/>
      <dgm:spPr/>
    </dgm:pt>
    <dgm:pt modelId="{79A0125F-D566-4B24-80F9-23D3B298BEA8}" type="pres">
      <dgm:prSet presAssocID="{BE4C353C-4C5E-4A6B-B5C2-3AAAE400A78A}" presName="aNode" presStyleLbl="fgAcc1" presStyleIdx="2" presStyleCnt="3" custScaleX="1056340">
        <dgm:presLayoutVars>
          <dgm:bulletEnabled val="1"/>
        </dgm:presLayoutVars>
      </dgm:prSet>
      <dgm:spPr/>
    </dgm:pt>
    <dgm:pt modelId="{D52E0413-FF0B-4F38-BFF0-E168492AAD5D}" type="pres">
      <dgm:prSet presAssocID="{BE4C353C-4C5E-4A6B-B5C2-3AAAE400A78A}" presName="aSpace" presStyleCnt="0"/>
      <dgm:spPr/>
    </dgm:pt>
  </dgm:ptLst>
  <dgm:cxnLst>
    <dgm:cxn modelId="{B5C6381B-4458-40A4-9EC6-7BD83BD68CFA}" type="presOf" srcId="{44B0F12A-981B-4172-A75E-DEB17EEA9312}" destId="{94A047C2-9476-4B9F-844A-F5FAE2E424B0}" srcOrd="0" destOrd="0" presId="urn:microsoft.com/office/officeart/2005/8/layout/pyramid2"/>
    <dgm:cxn modelId="{C3505C27-C2B3-421A-8E32-C8C3136A8B62}" srcId="{44B0F12A-981B-4172-A75E-DEB17EEA9312}" destId="{BE4C353C-4C5E-4A6B-B5C2-3AAAE400A78A}" srcOrd="2" destOrd="0" parTransId="{FD4F9F12-9C58-4C3E-9A88-ADE2FEE7F1EA}" sibTransId="{2FB37F7B-B1DC-4567-B6B9-E7E1CBD49D68}"/>
    <dgm:cxn modelId="{22BAC15F-28AF-4B30-9637-DF8D4B912E70}" srcId="{44B0F12A-981B-4172-A75E-DEB17EEA9312}" destId="{7D22763B-8773-49E0-AA97-30B8A0103E94}" srcOrd="1" destOrd="0" parTransId="{B9AF3B47-F4DD-45BB-AD09-26970D3F350C}" sibTransId="{31E689DF-3441-4260-A3D4-64D4DCEE92ED}"/>
    <dgm:cxn modelId="{5AD2C27A-F036-4BEC-A276-AD16FD5B0115}" srcId="{44B0F12A-981B-4172-A75E-DEB17EEA9312}" destId="{1F9FBAC6-3A1E-4038-8A03-6A36772559C8}" srcOrd="0" destOrd="0" parTransId="{038D75AF-2BB9-438A-ABE3-0A08C2F7E452}" sibTransId="{278A0F24-7537-477C-BC3A-0648B1FEF631}"/>
    <dgm:cxn modelId="{C6093FA8-3194-4502-A757-8D707DF80B55}" type="presOf" srcId="{1F9FBAC6-3A1E-4038-8A03-6A36772559C8}" destId="{4C4C5E82-24EB-4F8E-8FB0-D695F61EA53F}" srcOrd="0" destOrd="0" presId="urn:microsoft.com/office/officeart/2005/8/layout/pyramid2"/>
    <dgm:cxn modelId="{B6ABE1C6-E379-4131-9F23-CCAEF675ECB6}" type="presOf" srcId="{BE4C353C-4C5E-4A6B-B5C2-3AAAE400A78A}" destId="{79A0125F-D566-4B24-80F9-23D3B298BEA8}" srcOrd="0" destOrd="0" presId="urn:microsoft.com/office/officeart/2005/8/layout/pyramid2"/>
    <dgm:cxn modelId="{C01BEFF2-44A6-4219-96F8-B9349916C77E}" type="presOf" srcId="{7D22763B-8773-49E0-AA97-30B8A0103E94}" destId="{46153449-AAEC-4619-919B-30A652141C82}" srcOrd="0" destOrd="0" presId="urn:microsoft.com/office/officeart/2005/8/layout/pyramid2"/>
    <dgm:cxn modelId="{071A2675-1B9A-4695-BB8B-A83005544919}" type="presParOf" srcId="{94A047C2-9476-4B9F-844A-F5FAE2E424B0}" destId="{8379C130-1DE5-4D88-8D72-0FF815CF77CA}" srcOrd="0" destOrd="0" presId="urn:microsoft.com/office/officeart/2005/8/layout/pyramid2"/>
    <dgm:cxn modelId="{887391EA-7A40-4C50-8527-80DE1C30BF6F}" type="presParOf" srcId="{94A047C2-9476-4B9F-844A-F5FAE2E424B0}" destId="{85F866FB-EEE0-4B22-B68C-6698E7D22F85}" srcOrd="1" destOrd="0" presId="urn:microsoft.com/office/officeart/2005/8/layout/pyramid2"/>
    <dgm:cxn modelId="{73FA9C8F-9454-4D44-8767-CFA0181C4B39}" type="presParOf" srcId="{85F866FB-EEE0-4B22-B68C-6698E7D22F85}" destId="{4C4C5E82-24EB-4F8E-8FB0-D695F61EA53F}" srcOrd="0" destOrd="0" presId="urn:microsoft.com/office/officeart/2005/8/layout/pyramid2"/>
    <dgm:cxn modelId="{87D9FDEF-A123-4F7C-A8FE-D0A79BCA59D3}" type="presParOf" srcId="{85F866FB-EEE0-4B22-B68C-6698E7D22F85}" destId="{C716F9E8-DA0B-4DB2-BAD6-A2CE81279E5B}" srcOrd="1" destOrd="0" presId="urn:microsoft.com/office/officeart/2005/8/layout/pyramid2"/>
    <dgm:cxn modelId="{14BFB763-354A-4A9A-A6B0-82E2F30D2283}" type="presParOf" srcId="{85F866FB-EEE0-4B22-B68C-6698E7D22F85}" destId="{46153449-AAEC-4619-919B-30A652141C82}" srcOrd="2" destOrd="0" presId="urn:microsoft.com/office/officeart/2005/8/layout/pyramid2"/>
    <dgm:cxn modelId="{2A7DF161-E135-4994-B0C6-F7422CF13AD3}" type="presParOf" srcId="{85F866FB-EEE0-4B22-B68C-6698E7D22F85}" destId="{34F2256B-B665-49C4-A396-3425B1972FC3}" srcOrd="3" destOrd="0" presId="urn:microsoft.com/office/officeart/2005/8/layout/pyramid2"/>
    <dgm:cxn modelId="{3B3684BD-EEAA-481D-98F9-03D318EF4C3E}" type="presParOf" srcId="{85F866FB-EEE0-4B22-B68C-6698E7D22F85}" destId="{79A0125F-D566-4B24-80F9-23D3B298BEA8}" srcOrd="4" destOrd="0" presId="urn:microsoft.com/office/officeart/2005/8/layout/pyramid2"/>
    <dgm:cxn modelId="{5449AC9E-C69D-47C7-B934-A9B1080CDF1E}" type="presParOf" srcId="{85F866FB-EEE0-4B22-B68C-6698E7D22F85}" destId="{D52E0413-FF0B-4F38-BFF0-E168492AAD5D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4B0F12A-981B-4172-A75E-DEB17EEA9312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1F9FBAC6-3A1E-4038-8A03-6A36772559C8}">
      <dgm:prSet phldrT="[Text]" custT="1"/>
      <dgm:spPr/>
      <dgm:t>
        <a:bodyPr/>
        <a:lstStyle/>
        <a:p>
          <a:pPr algn="l"/>
          <a:r>
            <a:rPr lang="en-US" sz="800" b="1"/>
            <a:t>Maintenance of effort</a:t>
          </a:r>
          <a:r>
            <a:rPr lang="en-US" sz="800"/>
            <a:t>:  Requires districts to have a consistent base of state and local funding for public education from year to year.</a:t>
          </a:r>
        </a:p>
      </dgm:t>
    </dgm:pt>
    <dgm:pt modelId="{038D75AF-2BB9-438A-ABE3-0A08C2F7E452}" type="parTrans" cxnId="{5AD2C27A-F036-4BEC-A276-AD16FD5B0115}">
      <dgm:prSet/>
      <dgm:spPr/>
      <dgm:t>
        <a:bodyPr/>
        <a:lstStyle/>
        <a:p>
          <a:endParaRPr lang="en-US"/>
        </a:p>
      </dgm:t>
    </dgm:pt>
    <dgm:pt modelId="{278A0F24-7537-477C-BC3A-0648B1FEF631}" type="sibTrans" cxnId="{5AD2C27A-F036-4BEC-A276-AD16FD5B0115}">
      <dgm:prSet/>
      <dgm:spPr/>
      <dgm:t>
        <a:bodyPr/>
        <a:lstStyle/>
        <a:p>
          <a:endParaRPr lang="en-US"/>
        </a:p>
      </dgm:t>
    </dgm:pt>
    <dgm:pt modelId="{7D22763B-8773-49E0-AA97-30B8A0103E94}">
      <dgm:prSet phldrT="[Text]" custT="1"/>
      <dgm:spPr/>
      <dgm:t>
        <a:bodyPr/>
        <a:lstStyle/>
        <a:p>
          <a:pPr algn="l"/>
          <a:r>
            <a:rPr lang="en-US" sz="800" b="1"/>
            <a:t>Comparability</a:t>
          </a:r>
          <a:r>
            <a:rPr lang="en-US" sz="800"/>
            <a:t>:  Requires that state and local funds are used, as a whole, to provide services that are comparable among Title I and non-Title I schools.</a:t>
          </a:r>
        </a:p>
      </dgm:t>
      <dgm:extLst>
        <a:ext uri="{E40237B7-FDA0-4F09-8148-C483321AD2D9}">
          <dgm14:cNvPr xmlns:dgm14="http://schemas.microsoft.com/office/drawing/2010/diagram" id="0" name="" descr="Title I maintenance of effort and comparability - how does supplement not supplant fit in"/>
        </a:ext>
      </dgm:extLst>
    </dgm:pt>
    <dgm:pt modelId="{B9AF3B47-F4DD-45BB-AD09-26970D3F350C}" type="parTrans" cxnId="{22BAC15F-28AF-4B30-9637-DF8D4B912E70}">
      <dgm:prSet/>
      <dgm:spPr/>
      <dgm:t>
        <a:bodyPr/>
        <a:lstStyle/>
        <a:p>
          <a:endParaRPr lang="en-US"/>
        </a:p>
      </dgm:t>
    </dgm:pt>
    <dgm:pt modelId="{31E689DF-3441-4260-A3D4-64D4DCEE92ED}" type="sibTrans" cxnId="{22BAC15F-28AF-4B30-9637-DF8D4B912E70}">
      <dgm:prSet/>
      <dgm:spPr/>
      <dgm:t>
        <a:bodyPr/>
        <a:lstStyle/>
        <a:p>
          <a:endParaRPr lang="en-US"/>
        </a:p>
      </dgm:t>
    </dgm:pt>
    <dgm:pt modelId="{BE4C353C-4C5E-4A6B-B5C2-3AAAE400A78A}">
      <dgm:prSet custT="1"/>
      <dgm:spPr/>
      <dgm:t>
        <a:bodyPr/>
        <a:lstStyle/>
        <a:p>
          <a:pPr algn="l"/>
          <a:r>
            <a:rPr lang="en-US" sz="800" b="1"/>
            <a:t>Supplement not supplant</a:t>
          </a:r>
          <a:r>
            <a:rPr lang="en-US" sz="800"/>
            <a:t>:  Requires that districts distribute state and local funds to schools without regard to whether a school receives Title I funds.</a:t>
          </a:r>
        </a:p>
      </dgm:t>
    </dgm:pt>
    <dgm:pt modelId="{FD4F9F12-9C58-4C3E-9A88-ADE2FEE7F1EA}" type="parTrans" cxnId="{C3505C27-C2B3-421A-8E32-C8C3136A8B62}">
      <dgm:prSet/>
      <dgm:spPr/>
      <dgm:t>
        <a:bodyPr/>
        <a:lstStyle/>
        <a:p>
          <a:endParaRPr lang="en-US"/>
        </a:p>
      </dgm:t>
    </dgm:pt>
    <dgm:pt modelId="{2FB37F7B-B1DC-4567-B6B9-E7E1CBD49D68}" type="sibTrans" cxnId="{C3505C27-C2B3-421A-8E32-C8C3136A8B62}">
      <dgm:prSet/>
      <dgm:spPr/>
      <dgm:t>
        <a:bodyPr/>
        <a:lstStyle/>
        <a:p>
          <a:endParaRPr lang="en-US"/>
        </a:p>
      </dgm:t>
    </dgm:pt>
    <dgm:pt modelId="{94A047C2-9476-4B9F-844A-F5FAE2E424B0}" type="pres">
      <dgm:prSet presAssocID="{44B0F12A-981B-4172-A75E-DEB17EEA9312}" presName="compositeShape" presStyleCnt="0">
        <dgm:presLayoutVars>
          <dgm:dir/>
          <dgm:resizeHandles/>
        </dgm:presLayoutVars>
      </dgm:prSet>
      <dgm:spPr/>
    </dgm:pt>
    <dgm:pt modelId="{8379C130-1DE5-4D88-8D72-0FF815CF77CA}" type="pres">
      <dgm:prSet presAssocID="{44B0F12A-981B-4172-A75E-DEB17EEA9312}" presName="pyramid" presStyleLbl="node1" presStyleIdx="0" presStyleCnt="1" custAng="10800000" custScaleX="196935"/>
      <dgm:spPr/>
    </dgm:pt>
    <dgm:pt modelId="{85F866FB-EEE0-4B22-B68C-6698E7D22F85}" type="pres">
      <dgm:prSet presAssocID="{44B0F12A-981B-4172-A75E-DEB17EEA9312}" presName="theList" presStyleCnt="0"/>
      <dgm:spPr/>
    </dgm:pt>
    <dgm:pt modelId="{4C4C5E82-24EB-4F8E-8FB0-D695F61EA53F}" type="pres">
      <dgm:prSet presAssocID="{1F9FBAC6-3A1E-4038-8A03-6A36772559C8}" presName="aNode" presStyleLbl="fgAcc1" presStyleIdx="0" presStyleCnt="3" custScaleX="1056340">
        <dgm:presLayoutVars>
          <dgm:bulletEnabled val="1"/>
        </dgm:presLayoutVars>
      </dgm:prSet>
      <dgm:spPr/>
    </dgm:pt>
    <dgm:pt modelId="{C716F9E8-DA0B-4DB2-BAD6-A2CE81279E5B}" type="pres">
      <dgm:prSet presAssocID="{1F9FBAC6-3A1E-4038-8A03-6A36772559C8}" presName="aSpace" presStyleCnt="0"/>
      <dgm:spPr/>
    </dgm:pt>
    <dgm:pt modelId="{46153449-AAEC-4619-919B-30A652141C82}" type="pres">
      <dgm:prSet presAssocID="{7D22763B-8773-49E0-AA97-30B8A0103E94}" presName="aNode" presStyleLbl="fgAcc1" presStyleIdx="1" presStyleCnt="3" custScaleX="1053783">
        <dgm:presLayoutVars>
          <dgm:bulletEnabled val="1"/>
        </dgm:presLayoutVars>
      </dgm:prSet>
      <dgm:spPr/>
    </dgm:pt>
    <dgm:pt modelId="{34F2256B-B665-49C4-A396-3425B1972FC3}" type="pres">
      <dgm:prSet presAssocID="{7D22763B-8773-49E0-AA97-30B8A0103E94}" presName="aSpace" presStyleCnt="0"/>
      <dgm:spPr/>
    </dgm:pt>
    <dgm:pt modelId="{79A0125F-D566-4B24-80F9-23D3B298BEA8}" type="pres">
      <dgm:prSet presAssocID="{BE4C353C-4C5E-4A6B-B5C2-3AAAE400A78A}" presName="aNode" presStyleLbl="fgAcc1" presStyleIdx="2" presStyleCnt="3" custScaleX="1056340">
        <dgm:presLayoutVars>
          <dgm:bulletEnabled val="1"/>
        </dgm:presLayoutVars>
      </dgm:prSet>
      <dgm:spPr/>
    </dgm:pt>
    <dgm:pt modelId="{D52E0413-FF0B-4F38-BFF0-E168492AAD5D}" type="pres">
      <dgm:prSet presAssocID="{BE4C353C-4C5E-4A6B-B5C2-3AAAE400A78A}" presName="aSpace" presStyleCnt="0"/>
      <dgm:spPr/>
    </dgm:pt>
  </dgm:ptLst>
  <dgm:cxnLst>
    <dgm:cxn modelId="{B5C6381B-4458-40A4-9EC6-7BD83BD68CFA}" type="presOf" srcId="{44B0F12A-981B-4172-A75E-DEB17EEA9312}" destId="{94A047C2-9476-4B9F-844A-F5FAE2E424B0}" srcOrd="0" destOrd="0" presId="urn:microsoft.com/office/officeart/2005/8/layout/pyramid2"/>
    <dgm:cxn modelId="{C3505C27-C2B3-421A-8E32-C8C3136A8B62}" srcId="{44B0F12A-981B-4172-A75E-DEB17EEA9312}" destId="{BE4C353C-4C5E-4A6B-B5C2-3AAAE400A78A}" srcOrd="2" destOrd="0" parTransId="{FD4F9F12-9C58-4C3E-9A88-ADE2FEE7F1EA}" sibTransId="{2FB37F7B-B1DC-4567-B6B9-E7E1CBD49D68}"/>
    <dgm:cxn modelId="{22BAC15F-28AF-4B30-9637-DF8D4B912E70}" srcId="{44B0F12A-981B-4172-A75E-DEB17EEA9312}" destId="{7D22763B-8773-49E0-AA97-30B8A0103E94}" srcOrd="1" destOrd="0" parTransId="{B9AF3B47-F4DD-45BB-AD09-26970D3F350C}" sibTransId="{31E689DF-3441-4260-A3D4-64D4DCEE92ED}"/>
    <dgm:cxn modelId="{5AD2C27A-F036-4BEC-A276-AD16FD5B0115}" srcId="{44B0F12A-981B-4172-A75E-DEB17EEA9312}" destId="{1F9FBAC6-3A1E-4038-8A03-6A36772559C8}" srcOrd="0" destOrd="0" parTransId="{038D75AF-2BB9-438A-ABE3-0A08C2F7E452}" sibTransId="{278A0F24-7537-477C-BC3A-0648B1FEF631}"/>
    <dgm:cxn modelId="{C6093FA8-3194-4502-A757-8D707DF80B55}" type="presOf" srcId="{1F9FBAC6-3A1E-4038-8A03-6A36772559C8}" destId="{4C4C5E82-24EB-4F8E-8FB0-D695F61EA53F}" srcOrd="0" destOrd="0" presId="urn:microsoft.com/office/officeart/2005/8/layout/pyramid2"/>
    <dgm:cxn modelId="{B6ABE1C6-E379-4131-9F23-CCAEF675ECB6}" type="presOf" srcId="{BE4C353C-4C5E-4A6B-B5C2-3AAAE400A78A}" destId="{79A0125F-D566-4B24-80F9-23D3B298BEA8}" srcOrd="0" destOrd="0" presId="urn:microsoft.com/office/officeart/2005/8/layout/pyramid2"/>
    <dgm:cxn modelId="{C01BEFF2-44A6-4219-96F8-B9349916C77E}" type="presOf" srcId="{7D22763B-8773-49E0-AA97-30B8A0103E94}" destId="{46153449-AAEC-4619-919B-30A652141C82}" srcOrd="0" destOrd="0" presId="urn:microsoft.com/office/officeart/2005/8/layout/pyramid2"/>
    <dgm:cxn modelId="{071A2675-1B9A-4695-BB8B-A83005544919}" type="presParOf" srcId="{94A047C2-9476-4B9F-844A-F5FAE2E424B0}" destId="{8379C130-1DE5-4D88-8D72-0FF815CF77CA}" srcOrd="0" destOrd="0" presId="urn:microsoft.com/office/officeart/2005/8/layout/pyramid2"/>
    <dgm:cxn modelId="{887391EA-7A40-4C50-8527-80DE1C30BF6F}" type="presParOf" srcId="{94A047C2-9476-4B9F-844A-F5FAE2E424B0}" destId="{85F866FB-EEE0-4B22-B68C-6698E7D22F85}" srcOrd="1" destOrd="0" presId="urn:microsoft.com/office/officeart/2005/8/layout/pyramid2"/>
    <dgm:cxn modelId="{73FA9C8F-9454-4D44-8767-CFA0181C4B39}" type="presParOf" srcId="{85F866FB-EEE0-4B22-B68C-6698E7D22F85}" destId="{4C4C5E82-24EB-4F8E-8FB0-D695F61EA53F}" srcOrd="0" destOrd="0" presId="urn:microsoft.com/office/officeart/2005/8/layout/pyramid2"/>
    <dgm:cxn modelId="{87D9FDEF-A123-4F7C-A8FE-D0A79BCA59D3}" type="presParOf" srcId="{85F866FB-EEE0-4B22-B68C-6698E7D22F85}" destId="{C716F9E8-DA0B-4DB2-BAD6-A2CE81279E5B}" srcOrd="1" destOrd="0" presId="urn:microsoft.com/office/officeart/2005/8/layout/pyramid2"/>
    <dgm:cxn modelId="{14BFB763-354A-4A9A-A6B0-82E2F30D2283}" type="presParOf" srcId="{85F866FB-EEE0-4B22-B68C-6698E7D22F85}" destId="{46153449-AAEC-4619-919B-30A652141C82}" srcOrd="2" destOrd="0" presId="urn:microsoft.com/office/officeart/2005/8/layout/pyramid2"/>
    <dgm:cxn modelId="{2A7DF161-E135-4994-B0C6-F7422CF13AD3}" type="presParOf" srcId="{85F866FB-EEE0-4B22-B68C-6698E7D22F85}" destId="{34F2256B-B665-49C4-A396-3425B1972FC3}" srcOrd="3" destOrd="0" presId="urn:microsoft.com/office/officeart/2005/8/layout/pyramid2"/>
    <dgm:cxn modelId="{3B3684BD-EEAA-481D-98F9-03D318EF4C3E}" type="presParOf" srcId="{85F866FB-EEE0-4B22-B68C-6698E7D22F85}" destId="{79A0125F-D566-4B24-80F9-23D3B298BEA8}" srcOrd="4" destOrd="0" presId="urn:microsoft.com/office/officeart/2005/8/layout/pyramid2"/>
    <dgm:cxn modelId="{5449AC9E-C69D-47C7-B934-A9B1080CDF1E}" type="presParOf" srcId="{85F866FB-EEE0-4B22-B68C-6698E7D22F85}" destId="{D52E0413-FF0B-4F38-BFF0-E168492AAD5D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9C130-1DE5-4D88-8D72-0FF815CF77CA}">
      <dsp:nvSpPr>
        <dsp:cNvPr id="0" name=""/>
        <dsp:cNvSpPr/>
      </dsp:nvSpPr>
      <dsp:spPr>
        <a:xfrm rot="10800000">
          <a:off x="2180098" y="0"/>
          <a:ext cx="1839294" cy="93396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4C5E82-24EB-4F8E-8FB0-D695F61EA53F}">
      <dsp:nvSpPr>
        <dsp:cNvPr id="0" name=""/>
        <dsp:cNvSpPr/>
      </dsp:nvSpPr>
      <dsp:spPr>
        <a:xfrm>
          <a:off x="196899" y="93897"/>
          <a:ext cx="6412765" cy="22108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Maintenance of effort</a:t>
          </a:r>
          <a:r>
            <a:rPr lang="en-US" sz="800" kern="1200"/>
            <a:t>:  Requires districts to have a consistent base of state and local funding for public education from year to year.</a:t>
          </a:r>
        </a:p>
      </dsp:txBody>
      <dsp:txXfrm>
        <a:off x="207691" y="104689"/>
        <a:ext cx="6391181" cy="199501"/>
      </dsp:txXfrm>
    </dsp:sp>
    <dsp:sp modelId="{46153449-AAEC-4619-919B-30A652141C82}">
      <dsp:nvSpPr>
        <dsp:cNvPr id="0" name=""/>
        <dsp:cNvSpPr/>
      </dsp:nvSpPr>
      <dsp:spPr>
        <a:xfrm>
          <a:off x="204661" y="342619"/>
          <a:ext cx="6397242" cy="22108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Comparability</a:t>
          </a:r>
          <a:r>
            <a:rPr lang="en-US" sz="800" kern="1200"/>
            <a:t>:  Requires that state and local funds are used, as a whole, to provide services that are comparable among Title I and non-Title I schools.</a:t>
          </a:r>
        </a:p>
      </dsp:txBody>
      <dsp:txXfrm>
        <a:off x="215453" y="353411"/>
        <a:ext cx="6375658" cy="199501"/>
      </dsp:txXfrm>
    </dsp:sp>
    <dsp:sp modelId="{79A0125F-D566-4B24-80F9-23D3B298BEA8}">
      <dsp:nvSpPr>
        <dsp:cNvPr id="0" name=""/>
        <dsp:cNvSpPr/>
      </dsp:nvSpPr>
      <dsp:spPr>
        <a:xfrm>
          <a:off x="196899" y="591340"/>
          <a:ext cx="6412765" cy="22108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Supplement not supplant</a:t>
          </a:r>
          <a:r>
            <a:rPr lang="en-US" sz="800" kern="1200"/>
            <a:t>:  Requires that districts distribute state and local funds to schools without regard to whether a school receives Title I funds.</a:t>
          </a:r>
        </a:p>
      </dsp:txBody>
      <dsp:txXfrm>
        <a:off x="207691" y="602132"/>
        <a:ext cx="6391181" cy="199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DESE-231-57508</_dlc_DocId>
    <_dlc_DocIdUrl xmlns="733efe1c-5bbe-4968-87dc-d400e65c879f">
      <Url>https://sharepoint.doemass.org/ese/webteam/cps/_layouts/DocIdRedir.aspx?ID=DESE-231-57508</Url>
      <Description>DESE-231-57508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348AF-F464-4617-9151-3A8F4DA679C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1E20D6F-0BFF-46C0-9009-94699252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2EF44-4F1A-4103-865D-02093DD69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42160-AC46-4652-90C6-9FEE0491CA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625609-0969-4094-9278-43918996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876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Guide: Supplement not Supplant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Guide: Supplement not Supplant</dc:title>
  <dc:subject>Quick Reference Guide: Supplement not Supplant</dc:subject>
  <dc:creator>DESE</dc:creator>
  <cp:lastModifiedBy>O'Brien-Driscoll, Courtney (EOE)</cp:lastModifiedBy>
  <cp:revision>4</cp:revision>
  <cp:lastPrinted>2018-11-08T22:18:00Z</cp:lastPrinted>
  <dcterms:created xsi:type="dcterms:W3CDTF">2020-01-15T16:27:00Z</dcterms:created>
  <dcterms:modified xsi:type="dcterms:W3CDTF">2020-01-22T16:05:00Z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2020</vt:lpwstr>
  </property>
  <property fmtid="{D5CDD505-2E9C-101B-9397-08002B2CF9AE}" pid="3" name="_dlc_DocIdItemGuid">
    <vt:lpwstr>dcccdd87-401f-4a6c-ae5e-0e8cae977699</vt:lpwstr>
  </property>
  <property fmtid="{D5CDD505-2E9C-101B-9397-08002B2CF9AE}" pid="4" name="ContentTypeId">
    <vt:lpwstr>0x010100524261BFE874874F899C38CF9C771BFF</vt:lpwstr>
  </property>
</Properties>
</file>