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C38D7" w14:textId="77777777" w:rsidR="00723A4D" w:rsidRPr="00FA6142" w:rsidRDefault="00723A4D" w:rsidP="00CF4E0D">
      <w:pPr>
        <w:pStyle w:val="Title"/>
        <w:pBdr>
          <w:bottom w:val="single" w:sz="8" w:space="3" w:color="4F81BD"/>
        </w:pBdr>
        <w:spacing w:after="300"/>
        <w:contextualSpacing/>
        <w:jc w:val="left"/>
        <w:rPr>
          <w:rFonts w:ascii="Arial" w:eastAsia="Calibri" w:hAnsi="Arial" w:cs="Arial"/>
          <w:b w:val="0"/>
          <w:bCs w:val="0"/>
          <w:color w:val="17365D"/>
          <w:spacing w:val="5"/>
          <w:kern w:val="28"/>
          <w:sz w:val="28"/>
          <w:szCs w:val="28"/>
        </w:rPr>
      </w:pPr>
      <w:r w:rsidRPr="00FA6142">
        <w:rPr>
          <w:rFonts w:ascii="Arial" w:eastAsia="Calibri" w:hAnsi="Arial" w:cs="Arial"/>
          <w:b w:val="0"/>
          <w:bCs w:val="0"/>
          <w:color w:val="17365D"/>
          <w:spacing w:val="5"/>
          <w:kern w:val="28"/>
          <w:sz w:val="28"/>
          <w:szCs w:val="28"/>
        </w:rPr>
        <w:t>Guidance Regarding Title I</w:t>
      </w:r>
      <w:r w:rsidR="00796214">
        <w:rPr>
          <w:rFonts w:ascii="Arial" w:eastAsia="Calibri" w:hAnsi="Arial" w:cs="Arial"/>
          <w:b w:val="0"/>
          <w:bCs w:val="0"/>
          <w:color w:val="17365D"/>
          <w:spacing w:val="5"/>
          <w:kern w:val="28"/>
          <w:sz w:val="28"/>
          <w:szCs w:val="28"/>
        </w:rPr>
        <w:t xml:space="preserve"> </w:t>
      </w:r>
      <w:r w:rsidR="00DD0AC7">
        <w:rPr>
          <w:rFonts w:ascii="Arial" w:eastAsia="Calibri" w:hAnsi="Arial" w:cs="Arial"/>
          <w:b w:val="0"/>
          <w:bCs w:val="0"/>
          <w:color w:val="17365D"/>
          <w:spacing w:val="5"/>
          <w:kern w:val="28"/>
          <w:sz w:val="28"/>
          <w:szCs w:val="28"/>
        </w:rPr>
        <w:t>Carryover from Year 1 to Year 2</w:t>
      </w:r>
      <w:r w:rsidR="006A1B72" w:rsidRPr="000216DF">
        <w:rPr>
          <w:rFonts w:ascii="Arial" w:eastAsia="Calibri" w:hAnsi="Arial" w:cs="Arial"/>
          <w:bCs w:val="0"/>
          <w:color w:val="17365D"/>
          <w:spacing w:val="5"/>
          <w:kern w:val="28"/>
          <w:szCs w:val="28"/>
          <w:vertAlign w:val="superscript"/>
        </w:rPr>
        <w:footnoteReference w:id="1"/>
      </w:r>
    </w:p>
    <w:p w14:paraId="5CFD6F0A" w14:textId="77777777" w:rsidR="00723A4D" w:rsidRPr="00FA6142" w:rsidRDefault="002D4548" w:rsidP="00FA6142">
      <w:pPr>
        <w:pStyle w:val="Heading1"/>
        <w:keepLines/>
        <w:spacing w:before="480" w:line="276" w:lineRule="auto"/>
        <w:rPr>
          <w:rFonts w:ascii="Arial" w:eastAsia="Calibri" w:hAnsi="Arial" w:cs="Arial"/>
          <w:color w:val="365F91"/>
        </w:rPr>
      </w:pPr>
      <w:r>
        <w:rPr>
          <w:rFonts w:ascii="Arial" w:eastAsia="Calibri" w:hAnsi="Arial" w:cs="Arial"/>
          <w:color w:val="365F91"/>
        </w:rPr>
        <w:t xml:space="preserve">Overview </w:t>
      </w:r>
    </w:p>
    <w:p w14:paraId="0199B1CC" w14:textId="77777777" w:rsidR="000A123D" w:rsidRDefault="000A123D" w:rsidP="00FA6142">
      <w:pPr>
        <w:tabs>
          <w:tab w:val="left" w:pos="700"/>
        </w:tabs>
        <w:spacing w:before="120" w:after="120"/>
        <w:rPr>
          <w:rFonts w:ascii="Calibri" w:hAnsi="Calibri" w:cs="Calibri"/>
          <w:sz w:val="20"/>
        </w:rPr>
      </w:pPr>
      <w:r>
        <w:rPr>
          <w:rFonts w:ascii="Calibri" w:hAnsi="Calibri" w:cs="Calibri"/>
          <w:sz w:val="20"/>
        </w:rPr>
        <w:t xml:space="preserve">The federal Title I grant program </w:t>
      </w:r>
      <w:r w:rsidR="00D142A9">
        <w:rPr>
          <w:rFonts w:ascii="Calibri" w:hAnsi="Calibri" w:cs="Calibri"/>
          <w:sz w:val="20"/>
        </w:rPr>
        <w:t xml:space="preserve">annually </w:t>
      </w:r>
      <w:r>
        <w:rPr>
          <w:rFonts w:ascii="Calibri" w:hAnsi="Calibri" w:cs="Calibri"/>
          <w:sz w:val="20"/>
        </w:rPr>
        <w:t xml:space="preserve">provides supplemental </w:t>
      </w:r>
      <w:r w:rsidR="00AF5173">
        <w:rPr>
          <w:rFonts w:ascii="Calibri" w:hAnsi="Calibri" w:cs="Calibri"/>
          <w:sz w:val="20"/>
        </w:rPr>
        <w:t>financial assistance</w:t>
      </w:r>
      <w:r>
        <w:rPr>
          <w:rFonts w:ascii="Calibri" w:hAnsi="Calibri" w:cs="Calibri"/>
          <w:sz w:val="20"/>
        </w:rPr>
        <w:t xml:space="preserve"> to eligible school districts to help ensure that all students </w:t>
      </w:r>
      <w:r w:rsidR="00AF5173">
        <w:rPr>
          <w:rFonts w:ascii="Calibri" w:hAnsi="Calibri" w:cs="Calibri"/>
          <w:sz w:val="20"/>
        </w:rPr>
        <w:t xml:space="preserve">in the district, </w:t>
      </w:r>
      <w:r w:rsidR="00D142A9">
        <w:rPr>
          <w:rFonts w:ascii="Calibri" w:hAnsi="Calibri" w:cs="Calibri"/>
          <w:sz w:val="20"/>
        </w:rPr>
        <w:t>particularly</w:t>
      </w:r>
      <w:r w:rsidR="00AF5173">
        <w:rPr>
          <w:rFonts w:ascii="Calibri" w:hAnsi="Calibri" w:cs="Calibri"/>
          <w:sz w:val="20"/>
        </w:rPr>
        <w:t xml:space="preserve"> those who struggle academically, </w:t>
      </w:r>
      <w:r>
        <w:rPr>
          <w:rFonts w:ascii="Calibri" w:hAnsi="Calibri" w:cs="Calibri"/>
          <w:sz w:val="20"/>
        </w:rPr>
        <w:t>are able to meet the state’s academic standards. Each district is expected to spend at least 85 percent of its annual Title I alloc</w:t>
      </w:r>
      <w:r w:rsidR="00D142A9">
        <w:rPr>
          <w:rFonts w:ascii="Calibri" w:hAnsi="Calibri" w:cs="Calibri"/>
          <w:sz w:val="20"/>
        </w:rPr>
        <w:t>ation within the first year of the grant</w:t>
      </w:r>
      <w:r>
        <w:rPr>
          <w:rFonts w:ascii="Calibri" w:hAnsi="Calibri" w:cs="Calibri"/>
          <w:sz w:val="20"/>
        </w:rPr>
        <w:t xml:space="preserve">. The Title I carryover provision, however, allows districts access to Title I grant funds for a total of up to 27 months. </w:t>
      </w:r>
    </w:p>
    <w:p w14:paraId="00468673" w14:textId="77BF7B6B" w:rsidR="00D142A9" w:rsidRPr="008D2898" w:rsidRDefault="63028029" w:rsidP="23BFCB76">
      <w:pPr>
        <w:pStyle w:val="NormalWeb"/>
        <w:rPr>
          <w:rFonts w:asciiTheme="minorHAnsi" w:hAnsiTheme="minorHAnsi"/>
          <w:sz w:val="20"/>
          <w:szCs w:val="20"/>
        </w:rPr>
      </w:pPr>
      <w:r w:rsidRPr="23BFCB76">
        <w:rPr>
          <w:rFonts w:ascii="Calibri" w:hAnsi="Calibri" w:cs="Calibri"/>
          <w:sz w:val="20"/>
          <w:szCs w:val="20"/>
        </w:rPr>
        <w:t xml:space="preserve">Beginning with the 2012-2013 school year, </w:t>
      </w:r>
      <w:r w:rsidR="6C1A6AA1" w:rsidRPr="23BFCB76">
        <w:rPr>
          <w:rFonts w:ascii="Calibri" w:hAnsi="Calibri" w:cs="Calibri"/>
          <w:sz w:val="20"/>
          <w:szCs w:val="20"/>
        </w:rPr>
        <w:t xml:space="preserve">the Massachusetts Department of Elementary and Secondary Education (DESE) changed </w:t>
      </w:r>
      <w:r w:rsidR="6742DF87" w:rsidRPr="23BFCB76">
        <w:rPr>
          <w:rFonts w:ascii="Calibri" w:hAnsi="Calibri" w:cs="Calibri"/>
          <w:sz w:val="20"/>
          <w:szCs w:val="20"/>
        </w:rPr>
        <w:t xml:space="preserve">its </w:t>
      </w:r>
      <w:r w:rsidR="7A2F424D" w:rsidRPr="23BFCB76">
        <w:rPr>
          <w:rFonts w:ascii="Calibri" w:hAnsi="Calibri" w:cs="Calibri"/>
          <w:sz w:val="20"/>
          <w:szCs w:val="20"/>
        </w:rPr>
        <w:t>end of yea</w:t>
      </w:r>
      <w:r w:rsidR="6C1A6AA1" w:rsidRPr="23BFCB76">
        <w:rPr>
          <w:rFonts w:ascii="Calibri" w:hAnsi="Calibri" w:cs="Calibri"/>
          <w:sz w:val="20"/>
          <w:szCs w:val="20"/>
        </w:rPr>
        <w:t xml:space="preserve">r grant procedures </w:t>
      </w:r>
      <w:r w:rsidR="7A2F424D" w:rsidRPr="23BFCB76">
        <w:rPr>
          <w:rFonts w:ascii="Calibri" w:hAnsi="Calibri" w:cs="Calibri"/>
          <w:sz w:val="20"/>
          <w:szCs w:val="20"/>
        </w:rPr>
        <w:t xml:space="preserve">for Title I </w:t>
      </w:r>
      <w:r w:rsidR="6C1A6AA1" w:rsidRPr="23BFCB76">
        <w:rPr>
          <w:rFonts w:ascii="Calibri" w:hAnsi="Calibri" w:cs="Calibri"/>
          <w:sz w:val="20"/>
          <w:szCs w:val="20"/>
        </w:rPr>
        <w:t xml:space="preserve">to facilitate </w:t>
      </w:r>
      <w:r w:rsidR="64204B6A" w:rsidRPr="23BFCB76">
        <w:rPr>
          <w:rFonts w:ascii="Calibri" w:hAnsi="Calibri" w:cs="Calibri"/>
          <w:sz w:val="20"/>
          <w:szCs w:val="20"/>
        </w:rPr>
        <w:t xml:space="preserve">district </w:t>
      </w:r>
      <w:r w:rsidR="6C1A6AA1" w:rsidRPr="23BFCB76">
        <w:rPr>
          <w:rFonts w:ascii="Calibri" w:hAnsi="Calibri" w:cs="Calibri"/>
          <w:sz w:val="20"/>
          <w:szCs w:val="20"/>
        </w:rPr>
        <w:t>ac</w:t>
      </w:r>
      <w:r w:rsidR="6742DF87" w:rsidRPr="23BFCB76">
        <w:rPr>
          <w:rFonts w:ascii="Calibri" w:hAnsi="Calibri" w:cs="Calibri"/>
          <w:sz w:val="20"/>
          <w:szCs w:val="20"/>
        </w:rPr>
        <w:t>cess to grant funds beyond the Year 1 (June 30</w:t>
      </w:r>
      <w:r w:rsidR="6742DF87" w:rsidRPr="23BFCB76">
        <w:rPr>
          <w:rFonts w:ascii="Calibri" w:hAnsi="Calibri" w:cs="Calibri"/>
          <w:sz w:val="20"/>
          <w:szCs w:val="20"/>
          <w:vertAlign w:val="superscript"/>
        </w:rPr>
        <w:t>th</w:t>
      </w:r>
      <w:r w:rsidR="6742DF87" w:rsidRPr="23BFCB76">
        <w:rPr>
          <w:rFonts w:ascii="Calibri" w:hAnsi="Calibri" w:cs="Calibri"/>
          <w:sz w:val="20"/>
          <w:szCs w:val="20"/>
        </w:rPr>
        <w:t xml:space="preserve">) </w:t>
      </w:r>
      <w:r w:rsidR="544F84C8" w:rsidRPr="23BFCB76">
        <w:rPr>
          <w:rFonts w:ascii="Calibri" w:hAnsi="Calibri" w:cs="Calibri"/>
          <w:sz w:val="20"/>
          <w:szCs w:val="20"/>
        </w:rPr>
        <w:t xml:space="preserve">grant </w:t>
      </w:r>
      <w:r w:rsidR="6C1A6AA1" w:rsidRPr="23BFCB76">
        <w:rPr>
          <w:rFonts w:ascii="Calibri" w:hAnsi="Calibri" w:cs="Calibri"/>
          <w:sz w:val="20"/>
          <w:szCs w:val="20"/>
        </w:rPr>
        <w:t xml:space="preserve">end date. </w:t>
      </w:r>
      <w:r w:rsidR="6742DF87" w:rsidRPr="23BFCB76">
        <w:rPr>
          <w:rFonts w:asciiTheme="minorHAnsi" w:hAnsiTheme="minorHAnsi"/>
          <w:sz w:val="20"/>
          <w:szCs w:val="20"/>
        </w:rPr>
        <w:t>A district that does not expend the full amount of its Title I allocation in Year</w:t>
      </w:r>
      <w:r w:rsidR="7FE533D0" w:rsidRPr="23BFCB76">
        <w:rPr>
          <w:rFonts w:asciiTheme="minorHAnsi" w:hAnsiTheme="minorHAnsi"/>
          <w:sz w:val="20"/>
          <w:szCs w:val="20"/>
        </w:rPr>
        <w:t xml:space="preserve"> 1 of the grant period may </w:t>
      </w:r>
      <w:r w:rsidR="6742DF87" w:rsidRPr="23BFCB76">
        <w:rPr>
          <w:rFonts w:asciiTheme="minorHAnsi" w:hAnsiTheme="minorHAnsi"/>
          <w:sz w:val="20"/>
          <w:szCs w:val="20"/>
        </w:rPr>
        <w:t>carry over up to 15 percent of its total allocation into Year 2 without submitting an additional carryover application.</w:t>
      </w:r>
      <w:r w:rsidR="00025080" w:rsidRPr="23BFCB76">
        <w:rPr>
          <w:rStyle w:val="FootnoteReference"/>
          <w:rFonts w:asciiTheme="minorHAnsi" w:hAnsiTheme="minorHAnsi"/>
          <w:sz w:val="20"/>
          <w:szCs w:val="20"/>
        </w:rPr>
        <w:footnoteReference w:id="2"/>
      </w:r>
      <w:r w:rsidR="6742DF87" w:rsidRPr="23BFCB76">
        <w:rPr>
          <w:rFonts w:asciiTheme="minorHAnsi" w:hAnsiTheme="minorHAnsi"/>
          <w:sz w:val="20"/>
          <w:szCs w:val="20"/>
        </w:rPr>
        <w:t xml:space="preserve"> </w:t>
      </w:r>
      <w:r w:rsidR="08296FB7" w:rsidRPr="23BFCB76">
        <w:rPr>
          <w:rFonts w:ascii="Calibri" w:hAnsi="Calibri" w:cs="Calibri"/>
          <w:sz w:val="20"/>
          <w:szCs w:val="20"/>
        </w:rPr>
        <w:t xml:space="preserve">Districts must continue to track and report on Title I </w:t>
      </w:r>
      <w:r w:rsidR="7FE533D0" w:rsidRPr="23BFCB76">
        <w:rPr>
          <w:rFonts w:ascii="Calibri" w:hAnsi="Calibri" w:cs="Calibri"/>
          <w:sz w:val="20"/>
          <w:szCs w:val="20"/>
        </w:rPr>
        <w:t xml:space="preserve">expenditures by grant year. FY23 </w:t>
      </w:r>
      <w:r w:rsidR="08296FB7" w:rsidRPr="23BFCB76">
        <w:rPr>
          <w:rFonts w:ascii="Calibri" w:hAnsi="Calibri" w:cs="Calibri"/>
          <w:sz w:val="20"/>
          <w:szCs w:val="20"/>
        </w:rPr>
        <w:t>funds expended b</w:t>
      </w:r>
      <w:r w:rsidR="7FE533D0" w:rsidRPr="23BFCB76">
        <w:rPr>
          <w:rFonts w:ascii="Calibri" w:hAnsi="Calibri" w:cs="Calibri"/>
          <w:sz w:val="20"/>
          <w:szCs w:val="20"/>
        </w:rPr>
        <w:t>etween July 1, 2022 and June 30, 2023</w:t>
      </w:r>
      <w:r w:rsidR="08296FB7" w:rsidRPr="23BFCB76">
        <w:rPr>
          <w:rFonts w:ascii="Calibri" w:hAnsi="Calibri" w:cs="Calibri"/>
          <w:sz w:val="20"/>
          <w:szCs w:val="20"/>
        </w:rPr>
        <w:t xml:space="preserve"> are considered to be spent in Year 1. Fun</w:t>
      </w:r>
      <w:r w:rsidR="7FE533D0" w:rsidRPr="23BFCB76">
        <w:rPr>
          <w:rFonts w:ascii="Calibri" w:hAnsi="Calibri" w:cs="Calibri"/>
          <w:sz w:val="20"/>
          <w:szCs w:val="20"/>
        </w:rPr>
        <w:t>ds expended between July 1, 2023 and June 30, 2024</w:t>
      </w:r>
      <w:r w:rsidR="08296FB7" w:rsidRPr="23BFCB76">
        <w:rPr>
          <w:rFonts w:ascii="Calibri" w:hAnsi="Calibri" w:cs="Calibri"/>
          <w:sz w:val="20"/>
          <w:szCs w:val="20"/>
        </w:rPr>
        <w:t xml:space="preserve"> are considered Year 2 of the grant cycle.</w:t>
      </w:r>
    </w:p>
    <w:p w14:paraId="2AD16BDC" w14:textId="77777777" w:rsidR="002B06C6" w:rsidRDefault="00B50C82">
      <w:pPr>
        <w:pStyle w:val="Heading1"/>
        <w:keepLines/>
        <w:spacing w:before="480" w:line="276" w:lineRule="auto"/>
        <w:rPr>
          <w:rFonts w:ascii="Arial" w:eastAsia="Calibri" w:hAnsi="Arial" w:cs="Arial"/>
          <w:color w:val="1F497D" w:themeColor="text2"/>
        </w:rPr>
      </w:pPr>
      <w:r>
        <w:rPr>
          <w:rFonts w:ascii="Arial" w:eastAsia="Calibri" w:hAnsi="Arial" w:cs="Arial"/>
          <w:color w:val="1F497D" w:themeColor="text2"/>
        </w:rPr>
        <w:t xml:space="preserve">What </w:t>
      </w:r>
      <w:r w:rsidR="00CD287C">
        <w:rPr>
          <w:rFonts w:ascii="Arial" w:eastAsia="Calibri" w:hAnsi="Arial" w:cs="Arial"/>
          <w:color w:val="1F497D" w:themeColor="text2"/>
        </w:rPr>
        <w:t>t</w:t>
      </w:r>
      <w:r>
        <w:rPr>
          <w:rFonts w:ascii="Arial" w:eastAsia="Calibri" w:hAnsi="Arial" w:cs="Arial"/>
          <w:color w:val="1F497D" w:themeColor="text2"/>
        </w:rPr>
        <w:t xml:space="preserve">his </w:t>
      </w:r>
      <w:r w:rsidR="00CD287C">
        <w:rPr>
          <w:rFonts w:ascii="Arial" w:eastAsia="Calibri" w:hAnsi="Arial" w:cs="Arial"/>
          <w:color w:val="1F497D" w:themeColor="text2"/>
        </w:rPr>
        <w:t>m</w:t>
      </w:r>
      <w:r>
        <w:rPr>
          <w:rFonts w:ascii="Arial" w:eastAsia="Calibri" w:hAnsi="Arial" w:cs="Arial"/>
          <w:color w:val="1F497D" w:themeColor="text2"/>
        </w:rPr>
        <w:t xml:space="preserve">eans in </w:t>
      </w:r>
      <w:r w:rsidR="00CD287C">
        <w:rPr>
          <w:rFonts w:ascii="Arial" w:eastAsia="Calibri" w:hAnsi="Arial" w:cs="Arial"/>
          <w:color w:val="1F497D" w:themeColor="text2"/>
        </w:rPr>
        <w:t>p</w:t>
      </w:r>
      <w:r>
        <w:rPr>
          <w:rFonts w:ascii="Arial" w:eastAsia="Calibri" w:hAnsi="Arial" w:cs="Arial"/>
          <w:color w:val="1F497D" w:themeColor="text2"/>
        </w:rPr>
        <w:t>ractice</w:t>
      </w:r>
    </w:p>
    <w:p w14:paraId="3F23AFB6" w14:textId="05B4C876" w:rsidR="00740546" w:rsidRDefault="3F23E294" w:rsidP="23BFCB76">
      <w:pPr>
        <w:tabs>
          <w:tab w:val="left" w:pos="700"/>
        </w:tabs>
        <w:spacing w:before="120" w:after="120"/>
        <w:rPr>
          <w:rFonts w:ascii="Calibri" w:hAnsi="Calibri" w:cs="Calibri"/>
          <w:sz w:val="20"/>
          <w:szCs w:val="20"/>
        </w:rPr>
      </w:pPr>
      <w:r w:rsidRPr="23BFCB76">
        <w:rPr>
          <w:rFonts w:ascii="Calibri" w:hAnsi="Calibri" w:cs="Calibri"/>
          <w:sz w:val="20"/>
          <w:szCs w:val="20"/>
        </w:rPr>
        <w:t xml:space="preserve">While DESE strongly encourages all districts to spend at least 85 percent of their annual Title I grant by June 30 each year, the state and federal fiscal years start and end at different times. The state fiscal year runs from July 1 to June 30, whereas the federal fiscal year runs from October 1 to September 30. </w:t>
      </w:r>
    </w:p>
    <w:p w14:paraId="5718BC52" w14:textId="76852588" w:rsidR="008D2898" w:rsidRDefault="3F23E294" w:rsidP="23BFCB76">
      <w:pPr>
        <w:tabs>
          <w:tab w:val="left" w:pos="700"/>
        </w:tabs>
        <w:spacing w:before="120" w:after="120"/>
        <w:rPr>
          <w:rFonts w:ascii="Calibri" w:hAnsi="Calibri" w:cs="Calibri"/>
          <w:b/>
          <w:bCs/>
          <w:sz w:val="20"/>
          <w:szCs w:val="20"/>
        </w:rPr>
      </w:pPr>
      <w:r w:rsidRPr="23BFCB76">
        <w:rPr>
          <w:rFonts w:ascii="Calibri" w:hAnsi="Calibri" w:cs="Calibri"/>
          <w:sz w:val="20"/>
          <w:szCs w:val="20"/>
        </w:rPr>
        <w:t>For this reason,</w:t>
      </w:r>
      <w:r w:rsidR="08296FB7" w:rsidRPr="23BFCB76">
        <w:rPr>
          <w:rFonts w:ascii="Calibri" w:hAnsi="Calibri" w:cs="Calibri"/>
          <w:sz w:val="20"/>
          <w:szCs w:val="20"/>
        </w:rPr>
        <w:t xml:space="preserve"> </w:t>
      </w:r>
      <w:r w:rsidRPr="23BFCB76">
        <w:rPr>
          <w:rFonts w:ascii="Calibri" w:hAnsi="Calibri" w:cs="Calibri"/>
          <w:sz w:val="20"/>
          <w:szCs w:val="20"/>
        </w:rPr>
        <w:t>although Year 1 of the Title I grant period ends on June 30, a district</w:t>
      </w:r>
      <w:r w:rsidR="08296FB7" w:rsidRPr="23BFCB76">
        <w:rPr>
          <w:rFonts w:ascii="Calibri" w:hAnsi="Calibri" w:cs="Calibri"/>
          <w:sz w:val="20"/>
          <w:szCs w:val="20"/>
        </w:rPr>
        <w:t xml:space="preserve"> </w:t>
      </w:r>
      <w:r w:rsidRPr="23BFCB76">
        <w:rPr>
          <w:rFonts w:ascii="Calibri" w:hAnsi="Calibri" w:cs="Calibri"/>
          <w:sz w:val="20"/>
          <w:szCs w:val="20"/>
        </w:rPr>
        <w:t>actually has until September 30 to spend at least 85 percent of its Title I allocation</w:t>
      </w:r>
      <w:r w:rsidR="543028C8" w:rsidRPr="23BFCB76">
        <w:rPr>
          <w:rFonts w:ascii="Calibri" w:hAnsi="Calibri" w:cs="Calibri"/>
          <w:sz w:val="20"/>
          <w:szCs w:val="20"/>
        </w:rPr>
        <w:t>.</w:t>
      </w:r>
      <w:r w:rsidR="070C3314" w:rsidRPr="23BFCB76">
        <w:rPr>
          <w:rFonts w:ascii="Calibri" w:hAnsi="Calibri" w:cs="Calibri"/>
          <w:sz w:val="20"/>
          <w:szCs w:val="20"/>
        </w:rPr>
        <w:t xml:space="preserve"> </w:t>
      </w:r>
      <w:r w:rsidR="1B9E4B2B" w:rsidRPr="23BFCB76">
        <w:rPr>
          <w:rFonts w:ascii="Calibri" w:hAnsi="Calibri" w:cs="Calibri"/>
          <w:sz w:val="20"/>
          <w:szCs w:val="20"/>
        </w:rPr>
        <w:t>If at least</w:t>
      </w:r>
      <w:r w:rsidR="7FE533D0" w:rsidRPr="23BFCB76">
        <w:rPr>
          <w:rFonts w:ascii="Calibri" w:hAnsi="Calibri" w:cs="Calibri"/>
          <w:sz w:val="20"/>
          <w:szCs w:val="20"/>
        </w:rPr>
        <w:t xml:space="preserve"> 85 percent of FY23</w:t>
      </w:r>
      <w:r w:rsidR="3D744F7A" w:rsidRPr="23BFCB76">
        <w:rPr>
          <w:rFonts w:ascii="Calibri" w:hAnsi="Calibri" w:cs="Calibri"/>
          <w:sz w:val="20"/>
          <w:szCs w:val="20"/>
        </w:rPr>
        <w:t xml:space="preserve"> Title I funds </w:t>
      </w:r>
      <w:r w:rsidR="1B9E4B2B" w:rsidRPr="23BFCB76">
        <w:rPr>
          <w:rFonts w:ascii="Calibri" w:hAnsi="Calibri" w:cs="Calibri"/>
          <w:sz w:val="20"/>
          <w:szCs w:val="20"/>
        </w:rPr>
        <w:t>are</w:t>
      </w:r>
      <w:r w:rsidR="3D744F7A" w:rsidRPr="23BFCB76">
        <w:rPr>
          <w:rFonts w:ascii="Calibri" w:hAnsi="Calibri" w:cs="Calibri"/>
          <w:sz w:val="20"/>
          <w:szCs w:val="20"/>
        </w:rPr>
        <w:t xml:space="preserve"> expended </w:t>
      </w:r>
      <w:r w:rsidRPr="23BFCB76">
        <w:rPr>
          <w:rFonts w:ascii="Calibri" w:hAnsi="Calibri" w:cs="Calibri"/>
          <w:sz w:val="20"/>
          <w:szCs w:val="20"/>
        </w:rPr>
        <w:t xml:space="preserve">by </w:t>
      </w:r>
      <w:r w:rsidR="3D744F7A" w:rsidRPr="23BFCB76">
        <w:rPr>
          <w:rFonts w:ascii="Calibri" w:hAnsi="Calibri" w:cs="Calibri"/>
          <w:sz w:val="20"/>
          <w:szCs w:val="20"/>
        </w:rPr>
        <w:t>September 30, 2023</w:t>
      </w:r>
      <w:r w:rsidR="1B9E4B2B" w:rsidRPr="23BFCB76">
        <w:rPr>
          <w:rFonts w:ascii="Calibri" w:hAnsi="Calibri" w:cs="Calibri"/>
          <w:sz w:val="20"/>
          <w:szCs w:val="20"/>
        </w:rPr>
        <w:t xml:space="preserve">, </w:t>
      </w:r>
      <w:r w:rsidR="3D744F7A" w:rsidRPr="23BFCB76">
        <w:rPr>
          <w:rFonts w:ascii="Calibri" w:hAnsi="Calibri" w:cs="Calibri"/>
          <w:sz w:val="20"/>
          <w:szCs w:val="20"/>
        </w:rPr>
        <w:t>then</w:t>
      </w:r>
      <w:r w:rsidR="1B9E4B2B" w:rsidRPr="23BFCB76">
        <w:rPr>
          <w:rFonts w:ascii="Calibri" w:hAnsi="Calibri" w:cs="Calibri"/>
          <w:sz w:val="20"/>
          <w:szCs w:val="20"/>
        </w:rPr>
        <w:t xml:space="preserve"> </w:t>
      </w:r>
      <w:r w:rsidR="3D744F7A" w:rsidRPr="23BFCB76">
        <w:rPr>
          <w:rFonts w:ascii="Calibri" w:hAnsi="Calibri" w:cs="Calibri"/>
          <w:sz w:val="20"/>
          <w:szCs w:val="20"/>
        </w:rPr>
        <w:t xml:space="preserve">the remainder of the </w:t>
      </w:r>
      <w:r w:rsidRPr="23BFCB76">
        <w:rPr>
          <w:rFonts w:ascii="Calibri" w:hAnsi="Calibri" w:cs="Calibri"/>
          <w:sz w:val="20"/>
          <w:szCs w:val="20"/>
        </w:rPr>
        <w:t xml:space="preserve">district’s </w:t>
      </w:r>
      <w:r w:rsidR="3D744F7A" w:rsidRPr="23BFCB76">
        <w:rPr>
          <w:rFonts w:ascii="Calibri" w:hAnsi="Calibri" w:cs="Calibri"/>
          <w:sz w:val="20"/>
          <w:szCs w:val="20"/>
        </w:rPr>
        <w:t>Title I allocation (15</w:t>
      </w:r>
      <w:r w:rsidRPr="23BFCB76">
        <w:rPr>
          <w:rFonts w:ascii="Calibri" w:hAnsi="Calibri" w:cs="Calibri"/>
          <w:sz w:val="20"/>
          <w:szCs w:val="20"/>
        </w:rPr>
        <w:t xml:space="preserve"> percent</w:t>
      </w:r>
      <w:r w:rsidR="3D744F7A" w:rsidRPr="23BFCB76">
        <w:rPr>
          <w:rFonts w:ascii="Calibri" w:hAnsi="Calibri" w:cs="Calibri"/>
          <w:sz w:val="20"/>
          <w:szCs w:val="20"/>
        </w:rPr>
        <w:t xml:space="preserve"> or less) </w:t>
      </w:r>
      <w:r w:rsidR="1B9E4B2B" w:rsidRPr="23BFCB76">
        <w:rPr>
          <w:rFonts w:ascii="Calibri" w:hAnsi="Calibri" w:cs="Calibri"/>
          <w:sz w:val="20"/>
          <w:szCs w:val="20"/>
        </w:rPr>
        <w:t xml:space="preserve">can be spent </w:t>
      </w:r>
      <w:r w:rsidR="3D744F7A" w:rsidRPr="23BFCB76">
        <w:rPr>
          <w:rFonts w:ascii="Calibri" w:hAnsi="Calibri" w:cs="Calibri"/>
          <w:sz w:val="20"/>
          <w:szCs w:val="20"/>
        </w:rPr>
        <w:t>in Year 2.</w:t>
      </w:r>
      <w:r w:rsidR="719EDD35" w:rsidRPr="23BFCB76">
        <w:rPr>
          <w:rFonts w:ascii="Calibri" w:hAnsi="Calibri" w:cs="Calibri"/>
          <w:sz w:val="20"/>
          <w:szCs w:val="20"/>
        </w:rPr>
        <w:t xml:space="preserve"> Please see below for an example.</w:t>
      </w:r>
      <w:r w:rsidR="719EDD35" w:rsidRPr="23BFCB76">
        <w:rPr>
          <w:rFonts w:ascii="Calibri" w:hAnsi="Calibri" w:cs="Calibri"/>
          <w:b/>
          <w:bCs/>
          <w:sz w:val="20"/>
          <w:szCs w:val="20"/>
        </w:rPr>
        <w:t xml:space="preserve"> </w:t>
      </w:r>
    </w:p>
    <w:p w14:paraId="6AFD8282" w14:textId="25BC63A2" w:rsidR="00FB1CE7" w:rsidRPr="000216DF" w:rsidRDefault="00FB1CE7" w:rsidP="00FB1CE7">
      <w:pPr>
        <w:tabs>
          <w:tab w:val="left" w:pos="700"/>
        </w:tabs>
        <w:spacing w:before="120" w:after="120"/>
        <w:jc w:val="center"/>
        <w:rPr>
          <w:rFonts w:ascii="Calibri" w:hAnsi="Calibri" w:cs="Calibri"/>
          <w:b/>
          <w:bCs/>
          <w:sz w:val="20"/>
        </w:rPr>
      </w:pPr>
      <w:r>
        <w:rPr>
          <w:rFonts w:ascii="Calibri" w:hAnsi="Calibri" w:cs="Calibri"/>
          <w:b/>
          <w:bCs/>
          <w:sz w:val="20"/>
        </w:rPr>
        <w:t>FY 20</w:t>
      </w:r>
      <w:r w:rsidR="00232F3A">
        <w:rPr>
          <w:rFonts w:ascii="Calibri" w:hAnsi="Calibri" w:cs="Calibri"/>
          <w:b/>
          <w:bCs/>
          <w:sz w:val="20"/>
        </w:rPr>
        <w:t>23</w:t>
      </w:r>
      <w:r w:rsidRPr="000216DF">
        <w:rPr>
          <w:rFonts w:ascii="Calibri" w:hAnsi="Calibri" w:cs="Calibri"/>
          <w:b/>
          <w:bCs/>
          <w:sz w:val="20"/>
        </w:rPr>
        <w:t xml:space="preserve"> </w:t>
      </w:r>
      <w:r w:rsidR="00740546">
        <w:rPr>
          <w:rFonts w:ascii="Calibri" w:hAnsi="Calibri" w:cs="Calibri"/>
          <w:b/>
          <w:bCs/>
          <w:sz w:val="20"/>
        </w:rPr>
        <w:t>allocation</w:t>
      </w:r>
      <w:r w:rsidRPr="000216DF">
        <w:rPr>
          <w:rFonts w:ascii="Calibri" w:hAnsi="Calibri" w:cs="Calibri"/>
          <w:b/>
          <w:bCs/>
          <w:sz w:val="20"/>
        </w:rPr>
        <w:t xml:space="preserve"> (Title I, Part A </w:t>
      </w:r>
      <w:r w:rsidR="00CD287C">
        <w:rPr>
          <w:rFonts w:ascii="Calibri" w:hAnsi="Calibri" w:cs="Calibri"/>
          <w:b/>
          <w:bCs/>
          <w:sz w:val="20"/>
        </w:rPr>
        <w:t>f</w:t>
      </w:r>
      <w:r w:rsidRPr="000216DF">
        <w:rPr>
          <w:rFonts w:ascii="Calibri" w:hAnsi="Calibri" w:cs="Calibri"/>
          <w:b/>
          <w:bCs/>
          <w:sz w:val="20"/>
        </w:rPr>
        <w:t xml:space="preserve">unds </w:t>
      </w:r>
      <w:r w:rsidR="00CD287C">
        <w:rPr>
          <w:rFonts w:ascii="Calibri" w:hAnsi="Calibri" w:cs="Calibri"/>
          <w:b/>
          <w:bCs/>
          <w:sz w:val="20"/>
        </w:rPr>
        <w:t>a</w:t>
      </w:r>
      <w:r w:rsidRPr="000216DF">
        <w:rPr>
          <w:rFonts w:ascii="Calibri" w:hAnsi="Calibri" w:cs="Calibri"/>
          <w:b/>
          <w:bCs/>
          <w:sz w:val="20"/>
        </w:rPr>
        <w:t xml:space="preserve">llocated to the district </w:t>
      </w:r>
      <w:r w:rsidR="007F3CD6">
        <w:rPr>
          <w:rFonts w:ascii="Calibri" w:hAnsi="Calibri" w:cs="Calibri"/>
          <w:b/>
          <w:bCs/>
          <w:sz w:val="20"/>
        </w:rPr>
        <w:t>for 20</w:t>
      </w:r>
      <w:r w:rsidR="00232F3A">
        <w:rPr>
          <w:rFonts w:ascii="Calibri" w:hAnsi="Calibri" w:cs="Calibri"/>
          <w:b/>
          <w:bCs/>
          <w:sz w:val="20"/>
        </w:rPr>
        <w:t>22</w:t>
      </w:r>
      <w:r w:rsidR="007F3CD6">
        <w:rPr>
          <w:rFonts w:ascii="Calibri" w:hAnsi="Calibri" w:cs="Calibri"/>
          <w:b/>
          <w:bCs/>
          <w:sz w:val="20"/>
        </w:rPr>
        <w:t>-</w:t>
      </w:r>
      <w:r w:rsidR="00232F3A">
        <w:rPr>
          <w:rFonts w:ascii="Calibri" w:hAnsi="Calibri" w:cs="Calibri"/>
          <w:b/>
          <w:bCs/>
          <w:sz w:val="20"/>
        </w:rPr>
        <w:t>23</w:t>
      </w:r>
      <w:r w:rsidR="00740546">
        <w:rPr>
          <w:rFonts w:ascii="Calibri" w:hAnsi="Calibri" w:cs="Calibri"/>
          <w:b/>
          <w:bCs/>
          <w:sz w:val="20"/>
        </w:rPr>
        <w:t xml:space="preserve"> school year – Total $1,0</w:t>
      </w:r>
      <w:r w:rsidRPr="000216DF">
        <w:rPr>
          <w:rFonts w:ascii="Calibri" w:hAnsi="Calibri" w:cs="Calibri"/>
          <w:b/>
          <w:bCs/>
          <w:sz w:val="20"/>
        </w:rPr>
        <w:t>00,000)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9"/>
        <w:gridCol w:w="1575"/>
      </w:tblGrid>
      <w:tr w:rsidR="00FB1CE7" w14:paraId="392DE495" w14:textId="77777777" w:rsidTr="007D6603">
        <w:trPr>
          <w:trHeight w:val="70"/>
        </w:trPr>
        <w:tc>
          <w:tcPr>
            <w:tcW w:w="8382" w:type="dxa"/>
          </w:tcPr>
          <w:p w14:paraId="1A84A493" w14:textId="77777777" w:rsidR="00FB1CE7" w:rsidRPr="000216DF" w:rsidRDefault="00FB1CE7" w:rsidP="007D6603">
            <w:pPr>
              <w:tabs>
                <w:tab w:val="left" w:pos="700"/>
              </w:tabs>
              <w:spacing w:before="120" w:after="120"/>
              <w:jc w:val="both"/>
              <w:rPr>
                <w:rFonts w:ascii="Calibri" w:hAnsi="Calibri" w:cs="Calibri"/>
                <w:sz w:val="20"/>
              </w:rPr>
            </w:pPr>
            <w:r w:rsidRPr="000216DF">
              <w:rPr>
                <w:rFonts w:ascii="Calibri" w:hAnsi="Calibri" w:cs="Calibri"/>
                <w:sz w:val="20"/>
              </w:rPr>
              <w:t>Total allocation</w:t>
            </w:r>
          </w:p>
        </w:tc>
        <w:tc>
          <w:tcPr>
            <w:tcW w:w="1575" w:type="dxa"/>
            <w:vAlign w:val="center"/>
          </w:tcPr>
          <w:p w14:paraId="6DAA4BE1" w14:textId="77777777" w:rsidR="00FB1CE7" w:rsidRPr="000216DF" w:rsidRDefault="00FB1CE7" w:rsidP="00740546">
            <w:pPr>
              <w:tabs>
                <w:tab w:val="left" w:pos="700"/>
              </w:tabs>
              <w:spacing w:before="120" w:after="120"/>
              <w:jc w:val="center"/>
              <w:rPr>
                <w:rFonts w:ascii="Calibri" w:hAnsi="Calibri" w:cs="Calibri"/>
                <w:sz w:val="20"/>
              </w:rPr>
            </w:pPr>
            <w:r w:rsidRPr="000216DF">
              <w:rPr>
                <w:rFonts w:ascii="Calibri" w:hAnsi="Calibri" w:cs="Calibri"/>
                <w:sz w:val="20"/>
              </w:rPr>
              <w:t>$1,</w:t>
            </w:r>
            <w:r w:rsidR="00740546">
              <w:rPr>
                <w:rFonts w:ascii="Calibri" w:hAnsi="Calibri" w:cs="Calibri"/>
                <w:sz w:val="20"/>
              </w:rPr>
              <w:t>0</w:t>
            </w:r>
            <w:r w:rsidRPr="000216DF">
              <w:rPr>
                <w:rFonts w:ascii="Calibri" w:hAnsi="Calibri" w:cs="Calibri"/>
                <w:sz w:val="20"/>
              </w:rPr>
              <w:t>00,000</w:t>
            </w:r>
          </w:p>
        </w:tc>
      </w:tr>
      <w:tr w:rsidR="00FB1CE7" w14:paraId="66266869" w14:textId="77777777" w:rsidTr="007D6603">
        <w:trPr>
          <w:trHeight w:val="161"/>
        </w:trPr>
        <w:tc>
          <w:tcPr>
            <w:tcW w:w="8382" w:type="dxa"/>
          </w:tcPr>
          <w:p w14:paraId="30A70D0F" w14:textId="7A4AFC15" w:rsidR="00FB1CE7" w:rsidRPr="000216DF" w:rsidRDefault="00FB1CE7" w:rsidP="00740546">
            <w:pPr>
              <w:tabs>
                <w:tab w:val="left" w:pos="700"/>
              </w:tabs>
              <w:spacing w:before="120" w:after="120"/>
              <w:rPr>
                <w:rFonts w:ascii="Calibri" w:hAnsi="Calibri" w:cs="Calibri"/>
                <w:sz w:val="20"/>
              </w:rPr>
            </w:pPr>
            <w:r w:rsidRPr="000216DF">
              <w:rPr>
                <w:rFonts w:ascii="Calibri" w:hAnsi="Calibri" w:cs="Calibri"/>
                <w:sz w:val="20"/>
              </w:rPr>
              <w:t>Minimum amount district mu</w:t>
            </w:r>
            <w:r>
              <w:rPr>
                <w:rFonts w:ascii="Calibri" w:hAnsi="Calibri" w:cs="Calibri"/>
                <w:sz w:val="20"/>
              </w:rPr>
              <w:t>st obligate between July 1, 20</w:t>
            </w:r>
            <w:r w:rsidR="00232F3A">
              <w:rPr>
                <w:rFonts w:ascii="Calibri" w:hAnsi="Calibri" w:cs="Calibri"/>
                <w:sz w:val="20"/>
              </w:rPr>
              <w:t>22</w:t>
            </w:r>
            <w:r>
              <w:rPr>
                <w:rFonts w:ascii="Calibri" w:hAnsi="Calibri" w:cs="Calibri"/>
                <w:sz w:val="20"/>
              </w:rPr>
              <w:t xml:space="preserve"> – September 30, 20</w:t>
            </w:r>
            <w:r w:rsidR="00232F3A">
              <w:rPr>
                <w:rFonts w:ascii="Calibri" w:hAnsi="Calibri" w:cs="Calibri"/>
                <w:sz w:val="20"/>
              </w:rPr>
              <w:t>23</w:t>
            </w:r>
            <w:r w:rsidRPr="000216DF">
              <w:rPr>
                <w:rFonts w:ascii="Calibri" w:hAnsi="Calibri" w:cs="Calibri"/>
                <w:sz w:val="20"/>
              </w:rPr>
              <w:t xml:space="preserve"> to avoid excess carryover (85 percent of total </w:t>
            </w:r>
            <w:r w:rsidR="00740546">
              <w:rPr>
                <w:rFonts w:ascii="Calibri" w:hAnsi="Calibri" w:cs="Calibri"/>
                <w:sz w:val="20"/>
              </w:rPr>
              <w:t>allocation</w:t>
            </w:r>
            <w:r w:rsidRPr="000216DF">
              <w:rPr>
                <w:rFonts w:ascii="Calibri" w:hAnsi="Calibri" w:cs="Calibri"/>
                <w:sz w:val="20"/>
              </w:rPr>
              <w:t>)</w:t>
            </w:r>
          </w:p>
        </w:tc>
        <w:tc>
          <w:tcPr>
            <w:tcW w:w="1575" w:type="dxa"/>
            <w:vAlign w:val="center"/>
          </w:tcPr>
          <w:p w14:paraId="13ACC5A1" w14:textId="77777777" w:rsidR="00FB1CE7" w:rsidRPr="000216DF" w:rsidRDefault="00740546" w:rsidP="007D6603">
            <w:pPr>
              <w:tabs>
                <w:tab w:val="left" w:pos="700"/>
              </w:tabs>
              <w:spacing w:before="120" w:after="120"/>
              <w:jc w:val="center"/>
              <w:rPr>
                <w:rFonts w:ascii="Calibri" w:hAnsi="Calibri" w:cs="Calibri"/>
                <w:sz w:val="20"/>
              </w:rPr>
            </w:pPr>
            <w:r>
              <w:rPr>
                <w:rFonts w:ascii="Calibri" w:hAnsi="Calibri" w:cs="Calibri"/>
                <w:sz w:val="20"/>
              </w:rPr>
              <w:t>$850</w:t>
            </w:r>
            <w:r w:rsidR="00FB1CE7" w:rsidRPr="000216DF">
              <w:rPr>
                <w:rFonts w:ascii="Calibri" w:hAnsi="Calibri" w:cs="Calibri"/>
                <w:sz w:val="20"/>
              </w:rPr>
              <w:t>,000</w:t>
            </w:r>
          </w:p>
        </w:tc>
      </w:tr>
      <w:tr w:rsidR="00FB1CE7" w14:paraId="371995C1" w14:textId="77777777" w:rsidTr="007D6603">
        <w:trPr>
          <w:trHeight w:val="70"/>
        </w:trPr>
        <w:tc>
          <w:tcPr>
            <w:tcW w:w="8382" w:type="dxa"/>
          </w:tcPr>
          <w:p w14:paraId="6A806373" w14:textId="28BE78E0" w:rsidR="00FB1CE7" w:rsidRPr="000216DF" w:rsidRDefault="00FB1CE7" w:rsidP="000B78EF">
            <w:pPr>
              <w:tabs>
                <w:tab w:val="left" w:pos="700"/>
              </w:tabs>
              <w:spacing w:before="120" w:after="120"/>
              <w:rPr>
                <w:rFonts w:ascii="Calibri" w:hAnsi="Calibri" w:cs="Calibri"/>
                <w:sz w:val="20"/>
              </w:rPr>
            </w:pPr>
            <w:r w:rsidRPr="000216DF">
              <w:rPr>
                <w:rFonts w:ascii="Calibri" w:hAnsi="Calibri" w:cs="Calibri"/>
                <w:sz w:val="20"/>
              </w:rPr>
              <w:t>Amount district may carry</w:t>
            </w:r>
            <w:r w:rsidR="00275258">
              <w:rPr>
                <w:rFonts w:ascii="Calibri" w:hAnsi="Calibri" w:cs="Calibri"/>
                <w:sz w:val="20"/>
              </w:rPr>
              <w:t xml:space="preserve"> </w:t>
            </w:r>
            <w:r w:rsidRPr="000216DF">
              <w:rPr>
                <w:rFonts w:ascii="Calibri" w:hAnsi="Calibri" w:cs="Calibri"/>
                <w:sz w:val="20"/>
              </w:rPr>
              <w:t>over and</w:t>
            </w:r>
            <w:r>
              <w:rPr>
                <w:rFonts w:ascii="Calibri" w:hAnsi="Calibri" w:cs="Calibri"/>
                <w:sz w:val="20"/>
              </w:rPr>
              <w:t xml:space="preserve"> obligate during October 1, 20</w:t>
            </w:r>
            <w:r w:rsidR="00232F3A">
              <w:rPr>
                <w:rFonts w:ascii="Calibri" w:hAnsi="Calibri" w:cs="Calibri"/>
                <w:sz w:val="20"/>
              </w:rPr>
              <w:t>23</w:t>
            </w:r>
            <w:r w:rsidRPr="000216DF">
              <w:rPr>
                <w:rFonts w:ascii="Calibri" w:hAnsi="Calibri" w:cs="Calibri"/>
                <w:sz w:val="20"/>
              </w:rPr>
              <w:t xml:space="preserve"> – </w:t>
            </w:r>
            <w:r>
              <w:rPr>
                <w:rFonts w:ascii="Calibri" w:hAnsi="Calibri" w:cs="Calibri"/>
                <w:sz w:val="20"/>
              </w:rPr>
              <w:t>September 30, 20</w:t>
            </w:r>
            <w:r w:rsidR="004E3E0E">
              <w:rPr>
                <w:rFonts w:ascii="Calibri" w:hAnsi="Calibri" w:cs="Calibri"/>
                <w:sz w:val="20"/>
              </w:rPr>
              <w:t>24</w:t>
            </w:r>
            <w:r w:rsidRPr="000216DF">
              <w:rPr>
                <w:rFonts w:ascii="Calibri" w:hAnsi="Calibri" w:cs="Calibri"/>
                <w:sz w:val="20"/>
              </w:rPr>
              <w:t xml:space="preserve"> (carryover period provided under </w:t>
            </w:r>
            <w:r w:rsidR="000B78EF">
              <w:rPr>
                <w:rFonts w:ascii="Calibri" w:hAnsi="Calibri" w:cs="Calibri"/>
                <w:sz w:val="20"/>
              </w:rPr>
              <w:t xml:space="preserve">the federal Tydings Amendment, </w:t>
            </w:r>
            <w:r w:rsidRPr="000216DF">
              <w:rPr>
                <w:rFonts w:ascii="Calibri" w:hAnsi="Calibri" w:cs="Calibri"/>
                <w:sz w:val="20"/>
              </w:rPr>
              <w:t xml:space="preserve">section 421(b) of GEPA) </w:t>
            </w:r>
          </w:p>
        </w:tc>
        <w:tc>
          <w:tcPr>
            <w:tcW w:w="1575" w:type="dxa"/>
            <w:vAlign w:val="center"/>
          </w:tcPr>
          <w:p w14:paraId="5A7434C7" w14:textId="77777777" w:rsidR="00FB1CE7" w:rsidRPr="000216DF" w:rsidRDefault="00740546" w:rsidP="007D6603">
            <w:pPr>
              <w:tabs>
                <w:tab w:val="left" w:pos="700"/>
              </w:tabs>
              <w:spacing w:before="120" w:after="120"/>
              <w:jc w:val="center"/>
              <w:rPr>
                <w:rFonts w:ascii="Calibri" w:hAnsi="Calibri" w:cs="Calibri"/>
                <w:sz w:val="20"/>
              </w:rPr>
            </w:pPr>
            <w:r>
              <w:rPr>
                <w:rFonts w:ascii="Calibri" w:hAnsi="Calibri" w:cs="Calibri"/>
                <w:sz w:val="20"/>
              </w:rPr>
              <w:t>$150</w:t>
            </w:r>
            <w:r w:rsidR="00FB1CE7" w:rsidRPr="000216DF">
              <w:rPr>
                <w:rFonts w:ascii="Calibri" w:hAnsi="Calibri" w:cs="Calibri"/>
                <w:sz w:val="20"/>
              </w:rPr>
              <w:t>,000</w:t>
            </w:r>
          </w:p>
        </w:tc>
      </w:tr>
    </w:tbl>
    <w:p w14:paraId="6B92D052" w14:textId="56A7945D" w:rsidR="00B50C82" w:rsidRDefault="719EDD35" w:rsidP="23BFCB76">
      <w:pPr>
        <w:tabs>
          <w:tab w:val="left" w:pos="700"/>
        </w:tabs>
        <w:spacing w:before="120" w:after="120"/>
        <w:rPr>
          <w:rFonts w:ascii="Calibri" w:hAnsi="Calibri" w:cs="Calibri"/>
          <w:sz w:val="20"/>
          <w:szCs w:val="20"/>
        </w:rPr>
      </w:pPr>
      <w:r w:rsidRPr="23BFCB76">
        <w:rPr>
          <w:rFonts w:ascii="Calibri" w:hAnsi="Calibri" w:cs="Calibri"/>
          <w:sz w:val="20"/>
          <w:szCs w:val="20"/>
        </w:rPr>
        <w:t>During the first 15 months that a district’s Title I, Part A funds are available, the district must, by September 30, 2023, obligate at least $</w:t>
      </w:r>
      <w:r w:rsidR="1B7E2DE2" w:rsidRPr="23BFCB76">
        <w:rPr>
          <w:rFonts w:ascii="Calibri" w:hAnsi="Calibri" w:cs="Calibri"/>
          <w:sz w:val="20"/>
          <w:szCs w:val="20"/>
        </w:rPr>
        <w:t>850</w:t>
      </w:r>
      <w:r w:rsidRPr="23BFCB76">
        <w:rPr>
          <w:rFonts w:ascii="Calibri" w:hAnsi="Calibri" w:cs="Calibri"/>
          <w:sz w:val="20"/>
          <w:szCs w:val="20"/>
        </w:rPr>
        <w:t>,000 (85 percent) of the total allocation. The district may carry over a maximum of $</w:t>
      </w:r>
      <w:r w:rsidR="1B7E2DE2" w:rsidRPr="23BFCB76">
        <w:rPr>
          <w:rFonts w:ascii="Calibri" w:hAnsi="Calibri" w:cs="Calibri"/>
          <w:sz w:val="20"/>
          <w:szCs w:val="20"/>
        </w:rPr>
        <w:t>150</w:t>
      </w:r>
      <w:r w:rsidRPr="23BFCB76">
        <w:rPr>
          <w:rFonts w:ascii="Calibri" w:hAnsi="Calibri" w:cs="Calibri"/>
          <w:sz w:val="20"/>
          <w:szCs w:val="20"/>
        </w:rPr>
        <w:t>,000 (15 percent) into the next fiscal year (Year 2) and must obligate those funds by September 30, 2024. Any funds that remain unobligated after that date revert to the U.S. Treasury.</w:t>
      </w:r>
    </w:p>
    <w:p w14:paraId="7A4ED75E" w14:textId="3ED7FA90" w:rsidR="008D2898" w:rsidRDefault="0AF8B5A3" w:rsidP="23BFCB76">
      <w:pPr>
        <w:tabs>
          <w:tab w:val="left" w:pos="700"/>
        </w:tabs>
        <w:spacing w:before="120" w:after="360"/>
        <w:rPr>
          <w:rFonts w:ascii="Calibri" w:hAnsi="Calibri" w:cs="Calibri"/>
          <w:b/>
          <w:bCs/>
          <w:sz w:val="20"/>
          <w:szCs w:val="20"/>
        </w:rPr>
      </w:pPr>
      <w:r w:rsidRPr="23BFCB76">
        <w:rPr>
          <w:rFonts w:ascii="Calibri" w:hAnsi="Calibri" w:cs="Calibri"/>
          <w:sz w:val="20"/>
          <w:szCs w:val="20"/>
        </w:rPr>
        <w:t xml:space="preserve">If a district is unable to expend 85% of </w:t>
      </w:r>
      <w:r w:rsidR="1B9E4B2B" w:rsidRPr="23BFCB76">
        <w:rPr>
          <w:rFonts w:ascii="Calibri" w:hAnsi="Calibri" w:cs="Calibri"/>
          <w:sz w:val="20"/>
          <w:szCs w:val="20"/>
        </w:rPr>
        <w:t>its</w:t>
      </w:r>
      <w:r w:rsidRPr="23BFCB76">
        <w:rPr>
          <w:rFonts w:ascii="Calibri" w:hAnsi="Calibri" w:cs="Calibri"/>
          <w:sz w:val="20"/>
          <w:szCs w:val="20"/>
        </w:rPr>
        <w:t xml:space="preserve"> Title I funds within the first year, then t</w:t>
      </w:r>
      <w:r w:rsidR="1B9E4B2B" w:rsidRPr="23BFCB76">
        <w:rPr>
          <w:rFonts w:ascii="Calibri" w:hAnsi="Calibri" w:cs="Calibri"/>
          <w:sz w:val="20"/>
          <w:szCs w:val="20"/>
        </w:rPr>
        <w:t>he district</w:t>
      </w:r>
      <w:r w:rsidRPr="23BFCB76">
        <w:rPr>
          <w:rFonts w:ascii="Calibri" w:hAnsi="Calibri" w:cs="Calibri"/>
          <w:sz w:val="20"/>
          <w:szCs w:val="20"/>
        </w:rPr>
        <w:t xml:space="preserve"> </w:t>
      </w:r>
      <w:r w:rsidR="1B7E2DE2" w:rsidRPr="23BFCB76">
        <w:rPr>
          <w:rFonts w:ascii="Calibri" w:hAnsi="Calibri" w:cs="Calibri"/>
          <w:sz w:val="20"/>
          <w:szCs w:val="20"/>
        </w:rPr>
        <w:t>must either return the excess funds or</w:t>
      </w:r>
      <w:r w:rsidRPr="23BFCB76">
        <w:rPr>
          <w:rFonts w:ascii="Calibri" w:hAnsi="Calibri" w:cs="Calibri"/>
          <w:sz w:val="20"/>
          <w:szCs w:val="20"/>
        </w:rPr>
        <w:t xml:space="preserve"> request a waiver.</w:t>
      </w:r>
      <w:r w:rsidR="1DF337C0" w:rsidRPr="23BFCB76">
        <w:rPr>
          <w:rFonts w:ascii="Calibri" w:hAnsi="Calibri" w:cs="Calibri"/>
          <w:sz w:val="20"/>
          <w:szCs w:val="20"/>
        </w:rPr>
        <w:t xml:space="preserve"> </w:t>
      </w:r>
      <w:r w:rsidR="7C38F5FA" w:rsidRPr="23BFCB76">
        <w:rPr>
          <w:rFonts w:ascii="Calibri" w:hAnsi="Calibri" w:cs="Calibri"/>
          <w:sz w:val="20"/>
          <w:szCs w:val="20"/>
        </w:rPr>
        <w:t xml:space="preserve">Section 1127(b) of Title I states that a state may, once every three years, waive the 15% carryover limitation if the state determines the request is reasonable and necessary or if supplemental appropriations to </w:t>
      </w:r>
      <w:r w:rsidR="7C38F5FA" w:rsidRPr="23BFCB76">
        <w:rPr>
          <w:rFonts w:ascii="Calibri" w:hAnsi="Calibri" w:cs="Calibri"/>
          <w:sz w:val="20"/>
          <w:szCs w:val="20"/>
        </w:rPr>
        <w:lastRenderedPageBreak/>
        <w:t xml:space="preserve">Title I become available. </w:t>
      </w:r>
      <w:r w:rsidR="248217E1" w:rsidRPr="23BFCB76">
        <w:rPr>
          <w:rFonts w:ascii="Calibri" w:hAnsi="Calibri" w:cs="Calibri"/>
          <w:sz w:val="20"/>
          <w:szCs w:val="20"/>
        </w:rPr>
        <w:t xml:space="preserve">If the waiver is not granted, then the unspent funds in excess of 15% will be reallocated to other </w:t>
      </w:r>
      <w:r w:rsidR="614235C4" w:rsidRPr="23BFCB76">
        <w:rPr>
          <w:rFonts w:ascii="Calibri" w:hAnsi="Calibri" w:cs="Calibri"/>
          <w:sz w:val="20"/>
          <w:szCs w:val="20"/>
        </w:rPr>
        <w:t>eligible</w:t>
      </w:r>
      <w:r w:rsidR="66224031" w:rsidRPr="23BFCB76">
        <w:rPr>
          <w:rFonts w:ascii="Calibri" w:hAnsi="Calibri" w:cs="Calibri"/>
          <w:sz w:val="20"/>
          <w:szCs w:val="20"/>
        </w:rPr>
        <w:t xml:space="preserve"> districts</w:t>
      </w:r>
      <w:r w:rsidR="468C4ADE" w:rsidRPr="23BFCB76">
        <w:rPr>
          <w:rFonts w:ascii="Calibri" w:hAnsi="Calibri" w:cs="Calibri"/>
          <w:sz w:val="20"/>
          <w:szCs w:val="20"/>
        </w:rPr>
        <w:t xml:space="preserve"> in accordance with section 1126(c) of Title I</w:t>
      </w:r>
      <w:r w:rsidR="248217E1" w:rsidRPr="23BFCB76">
        <w:rPr>
          <w:rFonts w:ascii="Calibri" w:hAnsi="Calibri" w:cs="Calibri"/>
          <w:sz w:val="20"/>
          <w:szCs w:val="20"/>
        </w:rPr>
        <w:t>.</w:t>
      </w:r>
      <w:r w:rsidR="73394AA7" w:rsidRPr="23BFCB76">
        <w:rPr>
          <w:rFonts w:ascii="Calibri" w:hAnsi="Calibri" w:cs="Calibri"/>
          <w:b/>
          <w:bCs/>
          <w:sz w:val="20"/>
          <w:szCs w:val="20"/>
        </w:rPr>
        <w:t xml:space="preserve"> </w:t>
      </w:r>
      <w:r w:rsidR="030B84B9" w:rsidRPr="23BFCB76">
        <w:rPr>
          <w:rFonts w:ascii="Calibri" w:hAnsi="Calibri" w:cs="Calibri"/>
          <w:sz w:val="20"/>
          <w:szCs w:val="20"/>
        </w:rPr>
        <w:t>For an example, please see below.</w:t>
      </w:r>
    </w:p>
    <w:tbl>
      <w:tblPr>
        <w:tblW w:w="8657" w:type="dxa"/>
        <w:tblInd w:w="737" w:type="dxa"/>
        <w:tblLayout w:type="fixed"/>
        <w:tblCellMar>
          <w:left w:w="0" w:type="dxa"/>
          <w:right w:w="0" w:type="dxa"/>
        </w:tblCellMar>
        <w:tblLook w:val="0000" w:firstRow="0" w:lastRow="0" w:firstColumn="0" w:lastColumn="0" w:noHBand="0" w:noVBand="0"/>
      </w:tblPr>
      <w:tblGrid>
        <w:gridCol w:w="480"/>
        <w:gridCol w:w="5280"/>
        <w:gridCol w:w="1448"/>
        <w:gridCol w:w="1449"/>
      </w:tblGrid>
      <w:tr w:rsidR="00FB1CE7" w:rsidRPr="000216DF" w14:paraId="466777B5" w14:textId="77777777" w:rsidTr="00032109">
        <w:trPr>
          <w:trHeight w:val="473"/>
        </w:trPr>
        <w:tc>
          <w:tcPr>
            <w:tcW w:w="480" w:type="dxa"/>
            <w:tcBorders>
              <w:bottom w:val="single" w:sz="4" w:space="0" w:color="auto"/>
            </w:tcBorders>
            <w:tcMar>
              <w:top w:w="17" w:type="dxa"/>
              <w:left w:w="17" w:type="dxa"/>
              <w:bottom w:w="0" w:type="dxa"/>
              <w:right w:w="17" w:type="dxa"/>
            </w:tcMar>
          </w:tcPr>
          <w:p w14:paraId="3DA91B79" w14:textId="77777777" w:rsidR="00FB1CE7" w:rsidRPr="000216DF" w:rsidRDefault="00FB1CE7" w:rsidP="007D6603">
            <w:pPr>
              <w:spacing w:before="40" w:after="40"/>
              <w:rPr>
                <w:rFonts w:ascii="Calibri" w:eastAsia="Arial Unicode MS" w:hAnsi="Calibri" w:cs="Calibri"/>
                <w:sz w:val="20"/>
                <w:szCs w:val="20"/>
              </w:rPr>
            </w:pPr>
            <w:r w:rsidRPr="000216DF">
              <w:rPr>
                <w:rFonts w:ascii="Calibri" w:hAnsi="Calibri" w:cs="Calibri"/>
                <w:sz w:val="20"/>
                <w:szCs w:val="20"/>
              </w:rPr>
              <w:t> </w:t>
            </w:r>
          </w:p>
        </w:tc>
        <w:tc>
          <w:tcPr>
            <w:tcW w:w="5280" w:type="dxa"/>
            <w:tcBorders>
              <w:bottom w:val="single" w:sz="4" w:space="0" w:color="auto"/>
              <w:right w:val="single" w:sz="4" w:space="0" w:color="auto"/>
            </w:tcBorders>
          </w:tcPr>
          <w:p w14:paraId="1B8FC135" w14:textId="77777777" w:rsidR="00FB1CE7" w:rsidRPr="000216DF" w:rsidRDefault="00FB1CE7" w:rsidP="007D6603">
            <w:pPr>
              <w:spacing w:before="40" w:after="40"/>
              <w:jc w:val="center"/>
              <w:rPr>
                <w:rFonts w:ascii="Calibri" w:hAnsi="Calibri" w:cs="Calibri"/>
                <w:sz w:val="20"/>
                <w:szCs w:val="20"/>
              </w:rPr>
            </w:pPr>
          </w:p>
        </w:tc>
        <w:tc>
          <w:tcPr>
            <w:tcW w:w="144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74F3D655" w14:textId="77777777" w:rsidR="00FB1CE7" w:rsidRPr="00701181" w:rsidRDefault="00FB1CE7" w:rsidP="007D6603">
            <w:pPr>
              <w:spacing w:before="40" w:after="40"/>
              <w:jc w:val="center"/>
              <w:rPr>
                <w:rFonts w:ascii="Calibri" w:eastAsia="Arial Unicode MS" w:hAnsi="Calibri" w:cs="Calibri"/>
                <w:i/>
                <w:sz w:val="20"/>
                <w:szCs w:val="20"/>
              </w:rPr>
            </w:pPr>
            <w:r w:rsidRPr="00701181">
              <w:rPr>
                <w:rFonts w:ascii="Calibri" w:hAnsi="Calibri" w:cs="Calibri"/>
                <w:i/>
                <w:sz w:val="20"/>
                <w:szCs w:val="20"/>
              </w:rPr>
              <w:t xml:space="preserve">Amount </w:t>
            </w:r>
          </w:p>
        </w:tc>
        <w:tc>
          <w:tcPr>
            <w:tcW w:w="144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972710A" w14:textId="77777777" w:rsidR="00FB1CE7" w:rsidRPr="00701181" w:rsidRDefault="00FB1CE7" w:rsidP="007D6603">
            <w:pPr>
              <w:spacing w:before="40" w:after="40"/>
              <w:jc w:val="center"/>
              <w:rPr>
                <w:rFonts w:ascii="Calibri" w:eastAsia="Arial Unicode MS" w:hAnsi="Calibri" w:cs="Calibri"/>
                <w:i/>
                <w:sz w:val="20"/>
                <w:szCs w:val="20"/>
              </w:rPr>
            </w:pPr>
            <w:r w:rsidRPr="00701181">
              <w:rPr>
                <w:rFonts w:ascii="Calibri" w:hAnsi="Calibri" w:cs="Calibri"/>
                <w:i/>
                <w:sz w:val="20"/>
                <w:szCs w:val="20"/>
              </w:rPr>
              <w:t xml:space="preserve">Percent of </w:t>
            </w:r>
            <w:r w:rsidR="00CD287C" w:rsidRPr="00701181">
              <w:rPr>
                <w:rFonts w:ascii="Calibri" w:hAnsi="Calibri" w:cs="Calibri"/>
                <w:i/>
                <w:sz w:val="20"/>
                <w:szCs w:val="20"/>
              </w:rPr>
              <w:t>t</w:t>
            </w:r>
            <w:r w:rsidRPr="00701181">
              <w:rPr>
                <w:rFonts w:ascii="Calibri" w:hAnsi="Calibri" w:cs="Calibri"/>
                <w:i/>
                <w:sz w:val="20"/>
                <w:szCs w:val="20"/>
              </w:rPr>
              <w:t xml:space="preserve">otal </w:t>
            </w:r>
            <w:r w:rsidR="00CD287C" w:rsidRPr="00701181">
              <w:rPr>
                <w:rFonts w:ascii="Calibri" w:hAnsi="Calibri" w:cs="Calibri"/>
                <w:i/>
                <w:sz w:val="20"/>
                <w:szCs w:val="20"/>
              </w:rPr>
              <w:t>a</w:t>
            </w:r>
            <w:r w:rsidRPr="00701181">
              <w:rPr>
                <w:rFonts w:ascii="Calibri" w:hAnsi="Calibri" w:cs="Calibri"/>
                <w:i/>
                <w:sz w:val="20"/>
                <w:szCs w:val="20"/>
              </w:rPr>
              <w:t xml:space="preserve">llocation </w:t>
            </w:r>
          </w:p>
        </w:tc>
      </w:tr>
      <w:tr w:rsidR="00FB1CE7" w:rsidRPr="000216DF" w14:paraId="6574CB81" w14:textId="77777777" w:rsidTr="00032109">
        <w:trPr>
          <w:trHeight w:val="255"/>
        </w:trPr>
        <w:tc>
          <w:tcPr>
            <w:tcW w:w="4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A6823E3"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eastAsia="Arial Unicode MS" w:hAnsi="Calibri" w:cs="Calibri"/>
                <w:sz w:val="20"/>
                <w:szCs w:val="20"/>
              </w:rPr>
              <w:t>1</w:t>
            </w:r>
          </w:p>
        </w:tc>
        <w:tc>
          <w:tcPr>
            <w:tcW w:w="5280" w:type="dxa"/>
            <w:tcBorders>
              <w:top w:val="single" w:sz="4" w:space="0" w:color="auto"/>
              <w:left w:val="nil"/>
              <w:bottom w:val="single" w:sz="4" w:space="0" w:color="auto"/>
              <w:right w:val="single" w:sz="4" w:space="0" w:color="auto"/>
            </w:tcBorders>
            <w:vAlign w:val="center"/>
          </w:tcPr>
          <w:p w14:paraId="583579BB" w14:textId="5EB1209C" w:rsidR="00FB1CE7" w:rsidRPr="000216DF" w:rsidRDefault="00FB1CE7" w:rsidP="002F3B66">
            <w:pPr>
              <w:spacing w:before="40" w:after="40"/>
              <w:jc w:val="center"/>
              <w:rPr>
                <w:rFonts w:ascii="Calibri" w:eastAsia="Arial Unicode MS" w:hAnsi="Calibri" w:cs="Calibri"/>
                <w:sz w:val="20"/>
                <w:szCs w:val="20"/>
              </w:rPr>
            </w:pPr>
            <w:r>
              <w:rPr>
                <w:rFonts w:ascii="Calibri" w:hAnsi="Calibri" w:cs="Calibri"/>
                <w:sz w:val="20"/>
                <w:szCs w:val="20"/>
              </w:rPr>
              <w:t>Total FY 20</w:t>
            </w:r>
            <w:r w:rsidR="0047197F">
              <w:rPr>
                <w:rFonts w:ascii="Calibri" w:hAnsi="Calibri" w:cs="Calibri"/>
                <w:sz w:val="20"/>
                <w:szCs w:val="20"/>
              </w:rPr>
              <w:t>23</w:t>
            </w:r>
            <w:r w:rsidRPr="000216DF">
              <w:rPr>
                <w:rFonts w:ascii="Calibri" w:hAnsi="Calibri" w:cs="Calibri"/>
                <w:sz w:val="20"/>
                <w:szCs w:val="20"/>
              </w:rPr>
              <w:t xml:space="preserve"> allocation (funds </w:t>
            </w:r>
            <w:r>
              <w:rPr>
                <w:rFonts w:ascii="Calibri" w:hAnsi="Calibri" w:cs="Calibri"/>
                <w:sz w:val="20"/>
                <w:szCs w:val="20"/>
              </w:rPr>
              <w:t xml:space="preserve">become available on July 1, </w:t>
            </w:r>
            <w:r w:rsidR="00BF7ACB">
              <w:rPr>
                <w:rFonts w:ascii="Calibri" w:hAnsi="Calibri" w:cs="Calibri"/>
                <w:sz w:val="20"/>
                <w:szCs w:val="20"/>
              </w:rPr>
              <w:t xml:space="preserve"> </w:t>
            </w:r>
            <w:r>
              <w:rPr>
                <w:rFonts w:ascii="Calibri" w:hAnsi="Calibri" w:cs="Calibri"/>
                <w:sz w:val="20"/>
                <w:szCs w:val="20"/>
              </w:rPr>
              <w:t>20</w:t>
            </w:r>
            <w:r w:rsidR="00CD7165">
              <w:rPr>
                <w:rFonts w:ascii="Calibri" w:hAnsi="Calibri" w:cs="Calibri"/>
                <w:sz w:val="20"/>
                <w:szCs w:val="20"/>
              </w:rPr>
              <w:t>22</w:t>
            </w:r>
            <w:r w:rsidRPr="000216DF">
              <w:rPr>
                <w:rFonts w:ascii="Calibri" w:hAnsi="Calibri" w:cs="Calibri"/>
                <w:sz w:val="20"/>
                <w:szCs w:val="20"/>
              </w:rPr>
              <w:t>)</w:t>
            </w:r>
          </w:p>
        </w:tc>
        <w:tc>
          <w:tcPr>
            <w:tcW w:w="1448"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168BD29A" w14:textId="77777777" w:rsidR="00FB1CE7" w:rsidRPr="000216DF" w:rsidRDefault="00FB1CE7" w:rsidP="002F3B66">
            <w:pPr>
              <w:spacing w:before="40" w:after="40"/>
              <w:jc w:val="center"/>
              <w:rPr>
                <w:rFonts w:ascii="Calibri" w:eastAsia="Arial Unicode MS" w:hAnsi="Calibri" w:cs="Calibri"/>
                <w:sz w:val="20"/>
                <w:szCs w:val="20"/>
              </w:rPr>
            </w:pPr>
            <w:r w:rsidRPr="000216DF">
              <w:rPr>
                <w:rFonts w:ascii="Calibri" w:hAnsi="Calibri" w:cs="Calibri"/>
                <w:sz w:val="20"/>
                <w:szCs w:val="20"/>
              </w:rPr>
              <w:t>$1,</w:t>
            </w:r>
            <w:r w:rsidR="002F3B66">
              <w:rPr>
                <w:rFonts w:ascii="Calibri" w:hAnsi="Calibri" w:cs="Calibri"/>
                <w:sz w:val="20"/>
                <w:szCs w:val="20"/>
              </w:rPr>
              <w:t>0</w:t>
            </w:r>
            <w:r w:rsidRPr="000216DF">
              <w:rPr>
                <w:rFonts w:ascii="Calibri" w:hAnsi="Calibri" w:cs="Calibri"/>
                <w:sz w:val="20"/>
                <w:szCs w:val="20"/>
              </w:rPr>
              <w:t>00,000</w:t>
            </w:r>
          </w:p>
        </w:tc>
        <w:tc>
          <w:tcPr>
            <w:tcW w:w="1449"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0D1B255B" w14:textId="77777777" w:rsidR="00FB1CE7" w:rsidRPr="000216DF" w:rsidRDefault="00C26662" w:rsidP="007D6603">
            <w:pPr>
              <w:spacing w:before="40" w:after="40"/>
              <w:jc w:val="center"/>
              <w:rPr>
                <w:rFonts w:ascii="Calibri" w:eastAsia="Arial Unicode MS" w:hAnsi="Calibri" w:cs="Calibri"/>
                <w:sz w:val="20"/>
                <w:szCs w:val="20"/>
              </w:rPr>
            </w:pPr>
            <w:r>
              <w:rPr>
                <w:rFonts w:ascii="Calibri" w:eastAsia="Arial Unicode MS" w:hAnsi="Calibri" w:cs="Calibri"/>
                <w:sz w:val="20"/>
                <w:szCs w:val="20"/>
              </w:rPr>
              <w:t>100%</w:t>
            </w:r>
          </w:p>
        </w:tc>
      </w:tr>
      <w:tr w:rsidR="00FB1CE7" w:rsidRPr="000216DF" w14:paraId="724B24E0" w14:textId="77777777" w:rsidTr="00032109">
        <w:trPr>
          <w:trHeight w:val="510"/>
        </w:trPr>
        <w:tc>
          <w:tcPr>
            <w:tcW w:w="4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4CAFFD96"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eastAsia="Arial Unicode MS" w:hAnsi="Calibri" w:cs="Calibri"/>
                <w:sz w:val="20"/>
                <w:szCs w:val="20"/>
              </w:rPr>
              <w:t>2</w:t>
            </w:r>
          </w:p>
        </w:tc>
        <w:tc>
          <w:tcPr>
            <w:tcW w:w="5280" w:type="dxa"/>
            <w:tcBorders>
              <w:top w:val="single" w:sz="4" w:space="0" w:color="auto"/>
              <w:left w:val="nil"/>
              <w:bottom w:val="single" w:sz="4" w:space="0" w:color="auto"/>
              <w:right w:val="single" w:sz="4" w:space="0" w:color="auto"/>
            </w:tcBorders>
          </w:tcPr>
          <w:p w14:paraId="16A048A6" w14:textId="47C73E90" w:rsidR="00FB1CE7" w:rsidRPr="00AC7597" w:rsidRDefault="00FB1CE7" w:rsidP="002F3B66">
            <w:pPr>
              <w:spacing w:before="40" w:after="40"/>
              <w:jc w:val="center"/>
              <w:rPr>
                <w:rFonts w:ascii="Calibri" w:hAnsi="Calibri" w:cs="Calibri"/>
                <w:sz w:val="20"/>
                <w:szCs w:val="20"/>
              </w:rPr>
            </w:pPr>
            <w:r w:rsidRPr="000216DF">
              <w:rPr>
                <w:rFonts w:ascii="Calibri" w:hAnsi="Calibri" w:cs="Calibri"/>
                <w:sz w:val="20"/>
                <w:szCs w:val="20"/>
              </w:rPr>
              <w:t>Minimum obligation for period J</w:t>
            </w:r>
            <w:r>
              <w:rPr>
                <w:rFonts w:ascii="Calibri" w:hAnsi="Calibri" w:cs="Calibri"/>
                <w:sz w:val="20"/>
                <w:szCs w:val="20"/>
              </w:rPr>
              <w:t>uly 1, 20</w:t>
            </w:r>
            <w:r w:rsidR="00CD7165">
              <w:rPr>
                <w:rFonts w:ascii="Calibri" w:hAnsi="Calibri" w:cs="Calibri"/>
                <w:sz w:val="20"/>
                <w:szCs w:val="20"/>
              </w:rPr>
              <w:t>22</w:t>
            </w:r>
            <w:r w:rsidRPr="000216DF">
              <w:rPr>
                <w:rFonts w:ascii="Calibri" w:hAnsi="Calibri" w:cs="Calibri"/>
                <w:sz w:val="20"/>
                <w:szCs w:val="20"/>
              </w:rPr>
              <w:t xml:space="preserve"> – September 30, 20</w:t>
            </w:r>
            <w:r w:rsidR="00CD7165">
              <w:rPr>
                <w:rFonts w:ascii="Calibri" w:hAnsi="Calibri" w:cs="Calibri"/>
                <w:sz w:val="20"/>
                <w:szCs w:val="20"/>
              </w:rPr>
              <w:t>23</w:t>
            </w:r>
          </w:p>
        </w:tc>
        <w:tc>
          <w:tcPr>
            <w:tcW w:w="1448"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1E0FC406" w14:textId="77777777" w:rsidR="00FB1CE7" w:rsidRPr="000216DF" w:rsidRDefault="002F3B66" w:rsidP="007D6603">
            <w:pPr>
              <w:spacing w:before="40" w:after="40"/>
              <w:jc w:val="center"/>
              <w:rPr>
                <w:rFonts w:ascii="Calibri" w:eastAsia="Arial Unicode MS" w:hAnsi="Calibri" w:cs="Calibri"/>
                <w:sz w:val="20"/>
                <w:szCs w:val="20"/>
              </w:rPr>
            </w:pPr>
            <w:r>
              <w:rPr>
                <w:rFonts w:ascii="Calibri" w:hAnsi="Calibri" w:cs="Calibri"/>
                <w:sz w:val="20"/>
                <w:szCs w:val="20"/>
              </w:rPr>
              <w:t>$850</w:t>
            </w:r>
            <w:r w:rsidR="00FB1CE7" w:rsidRPr="000216DF">
              <w:rPr>
                <w:rFonts w:ascii="Calibri" w:hAnsi="Calibri" w:cs="Calibri"/>
                <w:sz w:val="20"/>
                <w:szCs w:val="20"/>
              </w:rPr>
              <w:t>,000</w:t>
            </w:r>
          </w:p>
        </w:tc>
        <w:tc>
          <w:tcPr>
            <w:tcW w:w="1449"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DDFEB1A"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hAnsi="Calibri" w:cs="Calibri"/>
                <w:sz w:val="20"/>
                <w:szCs w:val="20"/>
              </w:rPr>
              <w:t>85%</w:t>
            </w:r>
          </w:p>
        </w:tc>
      </w:tr>
      <w:tr w:rsidR="00FB1CE7" w:rsidRPr="000216DF" w14:paraId="5F87FA80" w14:textId="77777777" w:rsidTr="00032109">
        <w:trPr>
          <w:trHeight w:val="533"/>
        </w:trPr>
        <w:tc>
          <w:tcPr>
            <w:tcW w:w="4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47D29CD0"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eastAsia="Arial Unicode MS" w:hAnsi="Calibri" w:cs="Calibri"/>
                <w:sz w:val="20"/>
                <w:szCs w:val="20"/>
              </w:rPr>
              <w:t>3</w:t>
            </w:r>
          </w:p>
        </w:tc>
        <w:tc>
          <w:tcPr>
            <w:tcW w:w="5280" w:type="dxa"/>
            <w:tcBorders>
              <w:top w:val="single" w:sz="4" w:space="0" w:color="auto"/>
              <w:left w:val="nil"/>
              <w:bottom w:val="single" w:sz="4" w:space="0" w:color="auto"/>
              <w:right w:val="single" w:sz="4" w:space="0" w:color="auto"/>
            </w:tcBorders>
            <w:vAlign w:val="center"/>
          </w:tcPr>
          <w:p w14:paraId="75D69FB7" w14:textId="53104B2E" w:rsidR="00FB1CE7" w:rsidRPr="00AC7597" w:rsidRDefault="00FB1CE7" w:rsidP="002F3B66">
            <w:pPr>
              <w:spacing w:before="40" w:after="40"/>
              <w:jc w:val="center"/>
              <w:rPr>
                <w:rFonts w:ascii="Calibri" w:hAnsi="Calibri" w:cs="Calibri"/>
                <w:sz w:val="20"/>
                <w:szCs w:val="20"/>
              </w:rPr>
            </w:pPr>
            <w:r w:rsidRPr="000216DF">
              <w:rPr>
                <w:rFonts w:ascii="Calibri" w:hAnsi="Calibri" w:cs="Calibri"/>
                <w:sz w:val="20"/>
                <w:szCs w:val="20"/>
              </w:rPr>
              <w:t>Maximum amount a district may carry over into next fiscal year</w:t>
            </w:r>
            <w:r>
              <w:rPr>
                <w:rFonts w:ascii="Calibri" w:hAnsi="Calibri" w:cs="Calibri"/>
                <w:sz w:val="20"/>
                <w:szCs w:val="20"/>
              </w:rPr>
              <w:t xml:space="preserve"> (October 1, 20</w:t>
            </w:r>
            <w:r w:rsidR="00CD7165">
              <w:rPr>
                <w:rFonts w:ascii="Calibri" w:hAnsi="Calibri" w:cs="Calibri"/>
                <w:sz w:val="20"/>
                <w:szCs w:val="20"/>
              </w:rPr>
              <w:t>23</w:t>
            </w:r>
            <w:r>
              <w:rPr>
                <w:rFonts w:ascii="Calibri" w:hAnsi="Calibri" w:cs="Calibri"/>
                <w:sz w:val="20"/>
                <w:szCs w:val="20"/>
              </w:rPr>
              <w:t xml:space="preserve"> – September 30, 20</w:t>
            </w:r>
            <w:r w:rsidR="00CD7165">
              <w:rPr>
                <w:rFonts w:ascii="Calibri" w:hAnsi="Calibri" w:cs="Calibri"/>
                <w:sz w:val="20"/>
                <w:szCs w:val="20"/>
              </w:rPr>
              <w:t>24</w:t>
            </w:r>
            <w:r w:rsidRPr="000216DF">
              <w:rPr>
                <w:rFonts w:ascii="Calibri" w:hAnsi="Calibri" w:cs="Calibri"/>
                <w:sz w:val="20"/>
                <w:szCs w:val="20"/>
              </w:rPr>
              <w:t>)</w:t>
            </w:r>
          </w:p>
        </w:tc>
        <w:tc>
          <w:tcPr>
            <w:tcW w:w="1448"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45BA2C9C" w14:textId="77777777" w:rsidR="00FB1CE7" w:rsidRPr="000216DF" w:rsidRDefault="002F3B66" w:rsidP="007D6603">
            <w:pPr>
              <w:spacing w:before="40" w:after="40"/>
              <w:jc w:val="center"/>
              <w:rPr>
                <w:rFonts w:ascii="Calibri" w:eastAsia="Arial Unicode MS" w:hAnsi="Calibri" w:cs="Calibri"/>
                <w:sz w:val="20"/>
                <w:szCs w:val="20"/>
              </w:rPr>
            </w:pPr>
            <w:r>
              <w:rPr>
                <w:rFonts w:ascii="Calibri" w:hAnsi="Calibri" w:cs="Calibri"/>
                <w:sz w:val="20"/>
                <w:szCs w:val="20"/>
              </w:rPr>
              <w:t>$150</w:t>
            </w:r>
            <w:r w:rsidR="00FB1CE7" w:rsidRPr="000216DF">
              <w:rPr>
                <w:rFonts w:ascii="Calibri" w:hAnsi="Calibri" w:cs="Calibri"/>
                <w:sz w:val="20"/>
                <w:szCs w:val="20"/>
              </w:rPr>
              <w:t>,000</w:t>
            </w:r>
          </w:p>
        </w:tc>
        <w:tc>
          <w:tcPr>
            <w:tcW w:w="1449"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24E43B4"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hAnsi="Calibri" w:cs="Calibri"/>
                <w:sz w:val="20"/>
                <w:szCs w:val="20"/>
              </w:rPr>
              <w:t>15%</w:t>
            </w:r>
          </w:p>
        </w:tc>
      </w:tr>
      <w:tr w:rsidR="00FB1CE7" w:rsidRPr="000216DF" w14:paraId="5613E65F" w14:textId="77777777" w:rsidTr="00032109">
        <w:trPr>
          <w:trHeight w:val="570"/>
        </w:trPr>
        <w:tc>
          <w:tcPr>
            <w:tcW w:w="4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7EA1DD7C"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eastAsia="Arial Unicode MS" w:hAnsi="Calibri" w:cs="Calibri"/>
                <w:sz w:val="20"/>
                <w:szCs w:val="20"/>
              </w:rPr>
              <w:t>4</w:t>
            </w:r>
          </w:p>
        </w:tc>
        <w:tc>
          <w:tcPr>
            <w:tcW w:w="5280" w:type="dxa"/>
            <w:tcBorders>
              <w:top w:val="single" w:sz="4" w:space="0" w:color="auto"/>
              <w:left w:val="nil"/>
              <w:bottom w:val="single" w:sz="4" w:space="0" w:color="auto"/>
              <w:right w:val="single" w:sz="4" w:space="0" w:color="auto"/>
            </w:tcBorders>
            <w:vAlign w:val="center"/>
          </w:tcPr>
          <w:p w14:paraId="22BAC7D9" w14:textId="68FCC5DC" w:rsidR="00FB1CE7" w:rsidRPr="00AC7597" w:rsidRDefault="00FB1CE7" w:rsidP="002F3B66">
            <w:pPr>
              <w:spacing w:before="40" w:after="40"/>
              <w:jc w:val="center"/>
              <w:rPr>
                <w:rFonts w:ascii="Calibri" w:hAnsi="Calibri" w:cs="Calibri"/>
                <w:sz w:val="20"/>
                <w:szCs w:val="20"/>
              </w:rPr>
            </w:pPr>
            <w:r w:rsidRPr="000216DF">
              <w:rPr>
                <w:rFonts w:ascii="Calibri" w:hAnsi="Calibri" w:cs="Calibri"/>
                <w:sz w:val="20"/>
                <w:szCs w:val="20"/>
              </w:rPr>
              <w:t>Actual amount district o</w:t>
            </w:r>
            <w:r>
              <w:rPr>
                <w:rFonts w:ascii="Calibri" w:hAnsi="Calibri" w:cs="Calibri"/>
                <w:sz w:val="20"/>
                <w:szCs w:val="20"/>
              </w:rPr>
              <w:t>bligated for period July 1, 20</w:t>
            </w:r>
            <w:r w:rsidR="00CD7165">
              <w:rPr>
                <w:rFonts w:ascii="Calibri" w:hAnsi="Calibri" w:cs="Calibri"/>
                <w:sz w:val="20"/>
                <w:szCs w:val="20"/>
              </w:rPr>
              <w:t>22</w:t>
            </w:r>
            <w:r w:rsidRPr="000216DF">
              <w:rPr>
                <w:rFonts w:ascii="Calibri" w:hAnsi="Calibri" w:cs="Calibri"/>
                <w:sz w:val="20"/>
                <w:szCs w:val="20"/>
              </w:rPr>
              <w:t xml:space="preserve"> – September 30, 20</w:t>
            </w:r>
            <w:r w:rsidR="00CD7165">
              <w:rPr>
                <w:rFonts w:ascii="Calibri" w:hAnsi="Calibri" w:cs="Calibri"/>
                <w:sz w:val="20"/>
                <w:szCs w:val="20"/>
              </w:rPr>
              <w:t>23</w:t>
            </w:r>
          </w:p>
        </w:tc>
        <w:tc>
          <w:tcPr>
            <w:tcW w:w="1448"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72919596" w14:textId="77777777" w:rsidR="00FB1CE7" w:rsidRPr="000216DF" w:rsidRDefault="002F3B66" w:rsidP="007D6603">
            <w:pPr>
              <w:spacing w:before="40" w:after="40"/>
              <w:jc w:val="center"/>
              <w:rPr>
                <w:rFonts w:ascii="Calibri" w:eastAsia="Arial Unicode MS" w:hAnsi="Calibri" w:cs="Calibri"/>
                <w:sz w:val="20"/>
                <w:szCs w:val="20"/>
              </w:rPr>
            </w:pPr>
            <w:r>
              <w:rPr>
                <w:rFonts w:ascii="Calibri" w:hAnsi="Calibri" w:cs="Calibri"/>
                <w:sz w:val="20"/>
                <w:szCs w:val="20"/>
              </w:rPr>
              <w:t>$80</w:t>
            </w:r>
            <w:r w:rsidR="00FB1CE7" w:rsidRPr="000216DF">
              <w:rPr>
                <w:rFonts w:ascii="Calibri" w:hAnsi="Calibri" w:cs="Calibri"/>
                <w:sz w:val="20"/>
                <w:szCs w:val="20"/>
              </w:rPr>
              <w:t>0,000</w:t>
            </w:r>
          </w:p>
        </w:tc>
        <w:tc>
          <w:tcPr>
            <w:tcW w:w="1449"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6249FD1"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hAnsi="Calibri" w:cs="Calibri"/>
                <w:sz w:val="20"/>
                <w:szCs w:val="20"/>
              </w:rPr>
              <w:t>80%</w:t>
            </w:r>
          </w:p>
        </w:tc>
      </w:tr>
      <w:tr w:rsidR="00FB1CE7" w:rsidRPr="000216DF" w14:paraId="11A2AAF1" w14:textId="77777777" w:rsidTr="00032109">
        <w:trPr>
          <w:trHeight w:val="63"/>
        </w:trPr>
        <w:tc>
          <w:tcPr>
            <w:tcW w:w="4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5479B55C"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eastAsia="Arial Unicode MS" w:hAnsi="Calibri" w:cs="Calibri"/>
                <w:sz w:val="20"/>
                <w:szCs w:val="20"/>
              </w:rPr>
              <w:t>5</w:t>
            </w:r>
          </w:p>
        </w:tc>
        <w:tc>
          <w:tcPr>
            <w:tcW w:w="5280" w:type="dxa"/>
            <w:tcBorders>
              <w:top w:val="single" w:sz="4" w:space="0" w:color="auto"/>
              <w:left w:val="nil"/>
              <w:bottom w:val="single" w:sz="4" w:space="0" w:color="auto"/>
              <w:right w:val="single" w:sz="4" w:space="0" w:color="auto"/>
            </w:tcBorders>
            <w:vAlign w:val="center"/>
          </w:tcPr>
          <w:p w14:paraId="5C2F6502" w14:textId="364846B0" w:rsidR="00FB1CE7" w:rsidRPr="00AC7597" w:rsidRDefault="00FB1CE7" w:rsidP="002F3B66">
            <w:pPr>
              <w:spacing w:before="40" w:after="40"/>
              <w:jc w:val="center"/>
              <w:rPr>
                <w:rFonts w:ascii="Calibri" w:hAnsi="Calibri" w:cs="Calibri"/>
                <w:sz w:val="20"/>
                <w:szCs w:val="20"/>
              </w:rPr>
            </w:pPr>
            <w:r w:rsidRPr="000216DF">
              <w:rPr>
                <w:rFonts w:ascii="Calibri" w:hAnsi="Calibri" w:cs="Calibri"/>
                <w:sz w:val="20"/>
                <w:szCs w:val="20"/>
              </w:rPr>
              <w:t>Amount unobligated as of September 30, 20</w:t>
            </w:r>
            <w:r w:rsidR="001538D6">
              <w:rPr>
                <w:rFonts w:ascii="Calibri" w:hAnsi="Calibri" w:cs="Calibri"/>
                <w:sz w:val="20"/>
                <w:szCs w:val="20"/>
              </w:rPr>
              <w:t>23</w:t>
            </w:r>
          </w:p>
        </w:tc>
        <w:tc>
          <w:tcPr>
            <w:tcW w:w="1448"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2142EEB8" w14:textId="77777777" w:rsidR="00FB1CE7" w:rsidRPr="000216DF" w:rsidRDefault="002F3B66" w:rsidP="007D6603">
            <w:pPr>
              <w:spacing w:before="40" w:after="40"/>
              <w:jc w:val="center"/>
              <w:rPr>
                <w:rFonts w:ascii="Calibri" w:eastAsia="Arial Unicode MS" w:hAnsi="Calibri" w:cs="Calibri"/>
                <w:sz w:val="20"/>
                <w:szCs w:val="20"/>
              </w:rPr>
            </w:pPr>
            <w:r>
              <w:rPr>
                <w:rFonts w:ascii="Calibri" w:hAnsi="Calibri" w:cs="Calibri"/>
                <w:sz w:val="20"/>
                <w:szCs w:val="20"/>
              </w:rPr>
              <w:t>$2</w:t>
            </w:r>
            <w:r w:rsidR="00FB1CE7" w:rsidRPr="000216DF">
              <w:rPr>
                <w:rFonts w:ascii="Calibri" w:hAnsi="Calibri" w:cs="Calibri"/>
                <w:sz w:val="20"/>
                <w:szCs w:val="20"/>
              </w:rPr>
              <w:t>00,000</w:t>
            </w:r>
          </w:p>
        </w:tc>
        <w:tc>
          <w:tcPr>
            <w:tcW w:w="1449"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1FCCDF63"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hAnsi="Calibri" w:cs="Calibri"/>
                <w:sz w:val="20"/>
                <w:szCs w:val="20"/>
              </w:rPr>
              <w:t>20%</w:t>
            </w:r>
          </w:p>
        </w:tc>
      </w:tr>
      <w:tr w:rsidR="00FB1CE7" w:rsidRPr="000216DF" w14:paraId="5060347C" w14:textId="77777777" w:rsidTr="00032109">
        <w:trPr>
          <w:trHeight w:val="510"/>
        </w:trPr>
        <w:tc>
          <w:tcPr>
            <w:tcW w:w="48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28848817" w14:textId="77777777" w:rsidR="00FB1CE7" w:rsidRPr="000216DF" w:rsidRDefault="00FB1CE7" w:rsidP="007D6603">
            <w:pPr>
              <w:spacing w:before="40" w:after="40"/>
              <w:jc w:val="center"/>
              <w:rPr>
                <w:rFonts w:ascii="Calibri" w:eastAsia="Arial Unicode MS" w:hAnsi="Calibri" w:cs="Calibri"/>
                <w:sz w:val="20"/>
                <w:szCs w:val="20"/>
              </w:rPr>
            </w:pPr>
            <w:r w:rsidRPr="000216DF">
              <w:rPr>
                <w:rFonts w:ascii="Calibri" w:eastAsia="Arial Unicode MS" w:hAnsi="Calibri" w:cs="Calibri"/>
                <w:sz w:val="20"/>
                <w:szCs w:val="20"/>
              </w:rPr>
              <w:t>6</w:t>
            </w:r>
          </w:p>
        </w:tc>
        <w:tc>
          <w:tcPr>
            <w:tcW w:w="5280" w:type="dxa"/>
            <w:tcBorders>
              <w:top w:val="single" w:sz="4" w:space="0" w:color="auto"/>
              <w:left w:val="nil"/>
              <w:bottom w:val="single" w:sz="4" w:space="0" w:color="auto"/>
              <w:right w:val="single" w:sz="4" w:space="0" w:color="auto"/>
            </w:tcBorders>
          </w:tcPr>
          <w:p w14:paraId="7F659818" w14:textId="77777777" w:rsidR="00FB1CE7" w:rsidRPr="00AC7597" w:rsidRDefault="00FB1CE7" w:rsidP="00AC7597">
            <w:pPr>
              <w:spacing w:before="40" w:after="40"/>
              <w:jc w:val="center"/>
              <w:rPr>
                <w:rFonts w:ascii="Calibri" w:hAnsi="Calibri" w:cs="Calibri"/>
                <w:sz w:val="20"/>
                <w:szCs w:val="20"/>
              </w:rPr>
            </w:pPr>
            <w:r w:rsidRPr="000216DF">
              <w:rPr>
                <w:rFonts w:ascii="Calibri" w:hAnsi="Calibri" w:cs="Calibri"/>
                <w:sz w:val="20"/>
                <w:szCs w:val="20"/>
              </w:rPr>
              <w:t>Amount by which the district is over the 15% carryover limitation and would be reduced  (Line 5- Line 3) *</w:t>
            </w:r>
          </w:p>
        </w:tc>
        <w:tc>
          <w:tcPr>
            <w:tcW w:w="1448"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14:paraId="7788C454" w14:textId="77777777" w:rsidR="00FB1CE7" w:rsidRPr="000216DF" w:rsidRDefault="002F3B66" w:rsidP="007D6603">
            <w:pPr>
              <w:spacing w:before="40" w:after="40"/>
              <w:jc w:val="center"/>
              <w:rPr>
                <w:rFonts w:ascii="Calibri" w:eastAsia="Arial Unicode MS" w:hAnsi="Calibri" w:cs="Calibri"/>
                <w:sz w:val="20"/>
                <w:szCs w:val="20"/>
              </w:rPr>
            </w:pPr>
            <w:r>
              <w:rPr>
                <w:rFonts w:ascii="Calibri" w:hAnsi="Calibri" w:cs="Calibri"/>
                <w:sz w:val="20"/>
                <w:szCs w:val="20"/>
              </w:rPr>
              <w:t>$50</w:t>
            </w:r>
            <w:r w:rsidR="00FB1CE7" w:rsidRPr="000216DF">
              <w:rPr>
                <w:rFonts w:ascii="Calibri" w:hAnsi="Calibri" w:cs="Calibri"/>
                <w:sz w:val="20"/>
                <w:szCs w:val="20"/>
              </w:rPr>
              <w:t>,000</w:t>
            </w:r>
          </w:p>
        </w:tc>
        <w:tc>
          <w:tcPr>
            <w:tcW w:w="1449" w:type="dxa"/>
            <w:tcBorders>
              <w:top w:val="nil"/>
              <w:left w:val="nil"/>
              <w:bottom w:val="single" w:sz="4" w:space="0" w:color="auto"/>
              <w:right w:val="single" w:sz="4" w:space="0" w:color="auto"/>
            </w:tcBorders>
            <w:noWrap/>
            <w:tcMar>
              <w:top w:w="17" w:type="dxa"/>
              <w:left w:w="17" w:type="dxa"/>
              <w:bottom w:w="0" w:type="dxa"/>
              <w:right w:w="17" w:type="dxa"/>
            </w:tcMar>
            <w:vAlign w:val="center"/>
          </w:tcPr>
          <w:p w14:paraId="54E0D535" w14:textId="77777777" w:rsidR="00FB1CE7" w:rsidRPr="000216DF" w:rsidRDefault="00FB1CE7" w:rsidP="007D6603">
            <w:pPr>
              <w:spacing w:before="40" w:after="40"/>
              <w:jc w:val="center"/>
              <w:rPr>
                <w:rFonts w:ascii="Calibri" w:eastAsia="Arial Unicode MS" w:hAnsi="Calibri" w:cs="Calibri"/>
                <w:sz w:val="20"/>
                <w:szCs w:val="20"/>
              </w:rPr>
            </w:pPr>
          </w:p>
        </w:tc>
      </w:tr>
    </w:tbl>
    <w:p w14:paraId="15CA57E9" w14:textId="77777777" w:rsidR="008D2898" w:rsidRPr="00F3577E" w:rsidRDefault="00FB1CE7" w:rsidP="00F3577E">
      <w:pPr>
        <w:tabs>
          <w:tab w:val="left" w:pos="600"/>
        </w:tabs>
        <w:spacing w:before="120" w:after="240"/>
        <w:ind w:left="605"/>
        <w:rPr>
          <w:rFonts w:ascii="Calibri" w:hAnsi="Calibri" w:cs="Calibri"/>
          <w:sz w:val="18"/>
          <w:szCs w:val="20"/>
        </w:rPr>
      </w:pPr>
      <w:r w:rsidRPr="00F3577E">
        <w:rPr>
          <w:rFonts w:ascii="Calibri" w:hAnsi="Calibri" w:cs="Calibri"/>
          <w:sz w:val="18"/>
          <w:szCs w:val="20"/>
        </w:rPr>
        <w:t xml:space="preserve"> </w:t>
      </w:r>
      <w:r w:rsidRPr="00F3577E">
        <w:rPr>
          <w:rFonts w:ascii="Calibri" w:hAnsi="Calibri" w:cs="Calibri"/>
          <w:sz w:val="18"/>
          <w:szCs w:val="20"/>
        </w:rPr>
        <w:tab/>
        <w:t xml:space="preserve">* This amount would be available for the state to reallocate to other </w:t>
      </w:r>
      <w:r w:rsidR="007E1FFC" w:rsidRPr="00F3577E">
        <w:rPr>
          <w:rFonts w:ascii="Calibri" w:hAnsi="Calibri" w:cs="Calibri"/>
          <w:sz w:val="18"/>
          <w:szCs w:val="20"/>
        </w:rPr>
        <w:t>district</w:t>
      </w:r>
      <w:r w:rsidRPr="00F3577E">
        <w:rPr>
          <w:rFonts w:ascii="Calibri" w:hAnsi="Calibri" w:cs="Calibri"/>
          <w:sz w:val="18"/>
          <w:szCs w:val="20"/>
        </w:rPr>
        <w:t>s as provided under section 1126(c) of Title I.</w:t>
      </w:r>
    </w:p>
    <w:p w14:paraId="0E9B377A" w14:textId="1F5C227C" w:rsidR="008D2898" w:rsidRDefault="1CF22C89" w:rsidP="23BFCB76">
      <w:pPr>
        <w:tabs>
          <w:tab w:val="left" w:pos="720"/>
        </w:tabs>
        <w:spacing w:before="120" w:after="120"/>
        <w:rPr>
          <w:rFonts w:ascii="Calibri" w:hAnsi="Calibri" w:cs="Calibri"/>
          <w:sz w:val="20"/>
          <w:szCs w:val="20"/>
        </w:rPr>
      </w:pPr>
      <w:r w:rsidRPr="23BFCB76">
        <w:rPr>
          <w:rFonts w:ascii="Calibri" w:hAnsi="Calibri" w:cs="Calibri"/>
          <w:sz w:val="20"/>
          <w:szCs w:val="20"/>
        </w:rPr>
        <w:t>Districts are</w:t>
      </w:r>
      <w:r w:rsidR="76CED40A" w:rsidRPr="23BFCB76">
        <w:rPr>
          <w:rFonts w:ascii="Calibri" w:hAnsi="Calibri" w:cs="Calibri"/>
          <w:sz w:val="20"/>
          <w:szCs w:val="20"/>
        </w:rPr>
        <w:t xml:space="preserve"> not</w:t>
      </w:r>
      <w:r w:rsidR="2E610F4A" w:rsidRPr="23BFCB76">
        <w:rPr>
          <w:rFonts w:ascii="Calibri" w:hAnsi="Calibri" w:cs="Calibri"/>
          <w:sz w:val="20"/>
          <w:szCs w:val="20"/>
        </w:rPr>
        <w:t xml:space="preserve"> required to </w:t>
      </w:r>
      <w:r w:rsidRPr="23BFCB76">
        <w:rPr>
          <w:rFonts w:ascii="Calibri" w:hAnsi="Calibri" w:cs="Calibri"/>
          <w:sz w:val="20"/>
          <w:szCs w:val="20"/>
        </w:rPr>
        <w:t xml:space="preserve">submit a separate grant (“carryover”) application to </w:t>
      </w:r>
      <w:r w:rsidR="2E610F4A" w:rsidRPr="23BFCB76">
        <w:rPr>
          <w:rFonts w:ascii="Calibri" w:hAnsi="Calibri" w:cs="Calibri"/>
          <w:sz w:val="20"/>
          <w:szCs w:val="20"/>
        </w:rPr>
        <w:t xml:space="preserve">access unspent funds after the initial project year has ended. </w:t>
      </w:r>
      <w:r w:rsidR="76CED40A" w:rsidRPr="23BFCB76">
        <w:rPr>
          <w:rFonts w:ascii="Calibri" w:hAnsi="Calibri" w:cs="Calibri"/>
          <w:sz w:val="20"/>
          <w:szCs w:val="20"/>
        </w:rPr>
        <w:t>Instead, D</w:t>
      </w:r>
      <w:r w:rsidRPr="23BFCB76">
        <w:rPr>
          <w:rFonts w:ascii="Calibri" w:hAnsi="Calibri" w:cs="Calibri"/>
          <w:sz w:val="20"/>
          <w:szCs w:val="20"/>
        </w:rPr>
        <w:t xml:space="preserve">ESE will extend </w:t>
      </w:r>
      <w:r w:rsidR="2E610F4A" w:rsidRPr="23BFCB76">
        <w:rPr>
          <w:rFonts w:ascii="Calibri" w:hAnsi="Calibri" w:cs="Calibri"/>
          <w:sz w:val="20"/>
          <w:szCs w:val="20"/>
        </w:rPr>
        <w:t>the project end date of the initial year grant funding</w:t>
      </w:r>
      <w:r w:rsidR="76CED40A" w:rsidRPr="23BFCB76">
        <w:rPr>
          <w:rFonts w:ascii="Calibri" w:hAnsi="Calibri" w:cs="Calibri"/>
          <w:sz w:val="20"/>
          <w:szCs w:val="20"/>
        </w:rPr>
        <w:t xml:space="preserve">. </w:t>
      </w:r>
      <w:r w:rsidR="66224031" w:rsidRPr="23BFCB76">
        <w:rPr>
          <w:rFonts w:ascii="Calibri" w:hAnsi="Calibri" w:cs="Calibri"/>
          <w:sz w:val="20"/>
          <w:szCs w:val="20"/>
        </w:rPr>
        <w:t>T</w:t>
      </w:r>
      <w:r w:rsidR="2E610F4A" w:rsidRPr="23BFCB76">
        <w:rPr>
          <w:rFonts w:ascii="Calibri" w:hAnsi="Calibri" w:cs="Calibri"/>
          <w:sz w:val="20"/>
          <w:szCs w:val="20"/>
        </w:rPr>
        <w:t xml:space="preserve">he project </w:t>
      </w:r>
      <w:r w:rsidR="66224031" w:rsidRPr="23BFCB76">
        <w:rPr>
          <w:rFonts w:ascii="Calibri" w:hAnsi="Calibri" w:cs="Calibri"/>
          <w:sz w:val="20"/>
          <w:szCs w:val="20"/>
        </w:rPr>
        <w:t>will remain</w:t>
      </w:r>
      <w:r w:rsidR="2E610F4A" w:rsidRPr="23BFCB76">
        <w:rPr>
          <w:rFonts w:ascii="Calibri" w:hAnsi="Calibri" w:cs="Calibri"/>
          <w:sz w:val="20"/>
          <w:szCs w:val="20"/>
        </w:rPr>
        <w:t xml:space="preserve"> open for </w:t>
      </w:r>
      <w:r w:rsidR="66224031" w:rsidRPr="23BFCB76">
        <w:rPr>
          <w:rFonts w:ascii="Calibri" w:hAnsi="Calibri" w:cs="Calibri"/>
          <w:sz w:val="20"/>
          <w:szCs w:val="20"/>
        </w:rPr>
        <w:t>an additional</w:t>
      </w:r>
      <w:r w:rsidR="2E610F4A" w:rsidRPr="23BFCB76">
        <w:rPr>
          <w:rFonts w:ascii="Calibri" w:hAnsi="Calibri" w:cs="Calibri"/>
          <w:sz w:val="20"/>
          <w:szCs w:val="20"/>
        </w:rPr>
        <w:t xml:space="preserve"> year to provide the time needed to utilize and expend remaining funds.</w:t>
      </w:r>
      <w:r w:rsidR="316092C3" w:rsidRPr="23BFCB76">
        <w:rPr>
          <w:rFonts w:ascii="Calibri" w:hAnsi="Calibri" w:cs="Calibri"/>
          <w:sz w:val="20"/>
          <w:szCs w:val="20"/>
        </w:rPr>
        <w:t xml:space="preserve"> </w:t>
      </w:r>
      <w:r w:rsidR="2E610F4A" w:rsidRPr="23BFCB76">
        <w:rPr>
          <w:rFonts w:ascii="Calibri" w:hAnsi="Calibri" w:cs="Calibri"/>
          <w:sz w:val="20"/>
          <w:szCs w:val="20"/>
        </w:rPr>
        <w:t>In the spring of the first year of the project</w:t>
      </w:r>
      <w:r w:rsidR="316092C3" w:rsidRPr="23BFCB76">
        <w:rPr>
          <w:rFonts w:ascii="Calibri" w:hAnsi="Calibri" w:cs="Calibri"/>
          <w:sz w:val="20"/>
          <w:szCs w:val="20"/>
        </w:rPr>
        <w:t>, districts will conduct a preliminary expenditure review to determine</w:t>
      </w:r>
      <w:r w:rsidR="2E610F4A" w:rsidRPr="23BFCB76">
        <w:rPr>
          <w:rFonts w:ascii="Calibri" w:hAnsi="Calibri" w:cs="Calibri"/>
          <w:sz w:val="20"/>
          <w:szCs w:val="20"/>
        </w:rPr>
        <w:t>,</w:t>
      </w:r>
      <w:r w:rsidR="316092C3" w:rsidRPr="23BFCB76">
        <w:rPr>
          <w:rFonts w:ascii="Calibri" w:hAnsi="Calibri" w:cs="Calibri"/>
          <w:sz w:val="20"/>
          <w:szCs w:val="20"/>
        </w:rPr>
        <w:t xml:space="preserve"> as closely as possible, </w:t>
      </w:r>
      <w:r w:rsidR="2E610F4A" w:rsidRPr="23BFCB76">
        <w:rPr>
          <w:rFonts w:ascii="Calibri" w:hAnsi="Calibri" w:cs="Calibri"/>
          <w:sz w:val="20"/>
          <w:szCs w:val="20"/>
        </w:rPr>
        <w:t>the</w:t>
      </w:r>
      <w:r w:rsidR="316092C3" w:rsidRPr="23BFCB76">
        <w:rPr>
          <w:rFonts w:ascii="Calibri" w:hAnsi="Calibri" w:cs="Calibri"/>
          <w:sz w:val="20"/>
          <w:szCs w:val="20"/>
        </w:rPr>
        <w:t xml:space="preserve"> amount of grant funds</w:t>
      </w:r>
      <w:r w:rsidR="24DB4290" w:rsidRPr="23BFCB76">
        <w:rPr>
          <w:rFonts w:ascii="Calibri" w:hAnsi="Calibri" w:cs="Calibri"/>
          <w:sz w:val="20"/>
          <w:szCs w:val="20"/>
        </w:rPr>
        <w:t xml:space="preserve"> </w:t>
      </w:r>
      <w:r w:rsidR="316092C3" w:rsidRPr="23BFCB76">
        <w:rPr>
          <w:rFonts w:ascii="Calibri" w:hAnsi="Calibri" w:cs="Calibri"/>
          <w:sz w:val="20"/>
          <w:szCs w:val="20"/>
        </w:rPr>
        <w:t>likely to be expended by the standard grant end date of June 30</w:t>
      </w:r>
      <w:r w:rsidR="078D3A37" w:rsidRPr="23BFCB76">
        <w:rPr>
          <w:rFonts w:ascii="Calibri" w:hAnsi="Calibri" w:cs="Calibri"/>
          <w:sz w:val="20"/>
          <w:szCs w:val="20"/>
        </w:rPr>
        <w:t>, and the amount of funds likely to be carried over</w:t>
      </w:r>
      <w:r w:rsidR="2CE6B92F" w:rsidRPr="23BFCB76">
        <w:rPr>
          <w:rFonts w:ascii="Calibri" w:hAnsi="Calibri" w:cs="Calibri"/>
          <w:sz w:val="20"/>
          <w:szCs w:val="20"/>
        </w:rPr>
        <w:t xml:space="preserve"> (if any)</w:t>
      </w:r>
      <w:r w:rsidR="078D3A37" w:rsidRPr="23BFCB76">
        <w:rPr>
          <w:rFonts w:ascii="Calibri" w:hAnsi="Calibri" w:cs="Calibri"/>
          <w:sz w:val="20"/>
          <w:szCs w:val="20"/>
        </w:rPr>
        <w:t xml:space="preserve"> to the next fiscal year (beyond June 30)</w:t>
      </w:r>
      <w:r w:rsidR="316092C3" w:rsidRPr="23BFCB76">
        <w:rPr>
          <w:rFonts w:ascii="Calibri" w:hAnsi="Calibri" w:cs="Calibri"/>
          <w:sz w:val="20"/>
          <w:szCs w:val="20"/>
        </w:rPr>
        <w:t xml:space="preserve">. </w:t>
      </w:r>
      <w:r w:rsidR="078D3A37" w:rsidRPr="23BFCB76">
        <w:rPr>
          <w:rFonts w:ascii="Calibri" w:hAnsi="Calibri" w:cs="Calibri"/>
          <w:sz w:val="20"/>
          <w:szCs w:val="20"/>
        </w:rPr>
        <w:t xml:space="preserve">The district will then complete </w:t>
      </w:r>
      <w:r w:rsidR="316092C3" w:rsidRPr="23BFCB76">
        <w:rPr>
          <w:rFonts w:ascii="Calibri" w:hAnsi="Calibri" w:cs="Calibri"/>
          <w:sz w:val="20"/>
          <w:szCs w:val="20"/>
        </w:rPr>
        <w:t>a multiyear delegation form</w:t>
      </w:r>
      <w:r w:rsidR="76CED40A" w:rsidRPr="23BFCB76">
        <w:rPr>
          <w:rFonts w:ascii="Calibri" w:hAnsi="Calibri" w:cs="Calibri"/>
          <w:sz w:val="20"/>
          <w:szCs w:val="20"/>
        </w:rPr>
        <w:t xml:space="preserve"> in EdGrants</w:t>
      </w:r>
      <w:r w:rsidR="2CE6B92F" w:rsidRPr="23BFCB76">
        <w:rPr>
          <w:rFonts w:ascii="Calibri" w:hAnsi="Calibri" w:cs="Calibri"/>
          <w:sz w:val="20"/>
          <w:szCs w:val="20"/>
        </w:rPr>
        <w:t xml:space="preserve"> to indicate this spending, and the grant will be extended for an additional year if necessary. </w:t>
      </w:r>
      <w:r w:rsidR="6FA366C6" w:rsidRPr="23BFCB76">
        <w:rPr>
          <w:rFonts w:ascii="Calibri" w:hAnsi="Calibri" w:cs="Calibri"/>
          <w:sz w:val="20"/>
          <w:szCs w:val="20"/>
        </w:rPr>
        <w:t>For further inquiries on this process, please contact</w:t>
      </w:r>
      <w:r w:rsidR="76CED40A" w:rsidRPr="23BFCB76">
        <w:rPr>
          <w:rFonts w:ascii="Calibri" w:hAnsi="Calibri" w:cs="Calibri"/>
          <w:sz w:val="20"/>
          <w:szCs w:val="20"/>
        </w:rPr>
        <w:t xml:space="preserve"> </w:t>
      </w:r>
      <w:hyperlink r:id="rId12">
        <w:r w:rsidR="5BE9987B" w:rsidRPr="23BFCB76">
          <w:rPr>
            <w:rStyle w:val="Hyperlink"/>
            <w:rFonts w:ascii="Calibri" w:hAnsi="Calibri" w:cs="Calibri"/>
            <w:sz w:val="20"/>
            <w:szCs w:val="20"/>
          </w:rPr>
          <w:t>edgrants@mass.gov</w:t>
        </w:r>
      </w:hyperlink>
      <w:r w:rsidR="6FA366C6" w:rsidRPr="23BFCB76">
        <w:rPr>
          <w:rFonts w:ascii="Calibri" w:hAnsi="Calibri" w:cs="Calibri"/>
          <w:sz w:val="20"/>
          <w:szCs w:val="20"/>
        </w:rPr>
        <w:t xml:space="preserve">. </w:t>
      </w:r>
    </w:p>
    <w:p w14:paraId="73ABEEC7" w14:textId="77777777" w:rsidR="00423189" w:rsidRDefault="00423189" w:rsidP="00D77FF7">
      <w:pPr>
        <w:tabs>
          <w:tab w:val="left" w:pos="700"/>
        </w:tabs>
        <w:spacing w:before="120" w:after="120"/>
        <w:rPr>
          <w:rFonts w:ascii="Arial" w:eastAsia="Calibri" w:hAnsi="Arial" w:cs="Arial"/>
          <w:b/>
          <w:bCs/>
          <w:color w:val="365F91"/>
        </w:rPr>
      </w:pPr>
    </w:p>
    <w:p w14:paraId="25F42F9F" w14:textId="77777777" w:rsidR="00723A4D" w:rsidRPr="00FA6142" w:rsidRDefault="00723A4D" w:rsidP="00D77FF7">
      <w:pPr>
        <w:tabs>
          <w:tab w:val="left" w:pos="700"/>
        </w:tabs>
        <w:spacing w:before="120" w:after="120"/>
        <w:rPr>
          <w:rFonts w:ascii="Arial" w:eastAsia="Calibri" w:hAnsi="Arial" w:cs="Arial"/>
          <w:color w:val="365F91"/>
        </w:rPr>
      </w:pPr>
      <w:r w:rsidRPr="00D77FF7">
        <w:rPr>
          <w:rFonts w:ascii="Arial" w:eastAsia="Calibri" w:hAnsi="Arial" w:cs="Arial"/>
          <w:b/>
          <w:bCs/>
          <w:color w:val="365F91"/>
        </w:rPr>
        <w:t xml:space="preserve">Questions and </w:t>
      </w:r>
      <w:r w:rsidR="00CD287C">
        <w:rPr>
          <w:rFonts w:ascii="Arial" w:eastAsia="Calibri" w:hAnsi="Arial" w:cs="Arial"/>
          <w:b/>
          <w:bCs/>
          <w:color w:val="365F91"/>
        </w:rPr>
        <w:t>a</w:t>
      </w:r>
      <w:r w:rsidRPr="00D77FF7">
        <w:rPr>
          <w:rFonts w:ascii="Arial" w:eastAsia="Calibri" w:hAnsi="Arial" w:cs="Arial"/>
          <w:b/>
          <w:bCs/>
          <w:color w:val="365F91"/>
        </w:rPr>
        <w:t xml:space="preserve">nswers on </w:t>
      </w:r>
      <w:r w:rsidR="00CD287C">
        <w:rPr>
          <w:rFonts w:ascii="Arial" w:eastAsia="Calibri" w:hAnsi="Arial" w:cs="Arial"/>
          <w:b/>
          <w:bCs/>
          <w:color w:val="365F91"/>
        </w:rPr>
        <w:t>c</w:t>
      </w:r>
      <w:r w:rsidRPr="00D77FF7">
        <w:rPr>
          <w:rFonts w:ascii="Arial" w:eastAsia="Calibri" w:hAnsi="Arial" w:cs="Arial"/>
          <w:b/>
          <w:bCs/>
          <w:color w:val="365F91"/>
        </w:rPr>
        <w:t>arry</w:t>
      </w:r>
      <w:r w:rsidR="00D7066A">
        <w:rPr>
          <w:rFonts w:ascii="Arial" w:eastAsia="Calibri" w:hAnsi="Arial" w:cs="Arial"/>
          <w:b/>
          <w:bCs/>
          <w:color w:val="365F91"/>
        </w:rPr>
        <w:t xml:space="preserve">ing </w:t>
      </w:r>
      <w:r w:rsidRPr="00D77FF7">
        <w:rPr>
          <w:rFonts w:ascii="Arial" w:eastAsia="Calibri" w:hAnsi="Arial" w:cs="Arial"/>
          <w:b/>
          <w:bCs/>
          <w:color w:val="365F91"/>
        </w:rPr>
        <w:t>over</w:t>
      </w:r>
      <w:r w:rsidR="00D7066A">
        <w:rPr>
          <w:rFonts w:ascii="Arial" w:eastAsia="Calibri" w:hAnsi="Arial" w:cs="Arial"/>
          <w:b/>
          <w:bCs/>
          <w:color w:val="365F91"/>
        </w:rPr>
        <w:t xml:space="preserve"> </w:t>
      </w:r>
      <w:r w:rsidR="00CD287C">
        <w:rPr>
          <w:rFonts w:ascii="Arial" w:eastAsia="Calibri" w:hAnsi="Arial" w:cs="Arial"/>
          <w:b/>
          <w:bCs/>
          <w:color w:val="365F91"/>
        </w:rPr>
        <w:t>f</w:t>
      </w:r>
      <w:r w:rsidR="00D7066A">
        <w:rPr>
          <w:rFonts w:ascii="Arial" w:eastAsia="Calibri" w:hAnsi="Arial" w:cs="Arial"/>
          <w:b/>
          <w:bCs/>
          <w:color w:val="365F91"/>
        </w:rPr>
        <w:t xml:space="preserve">unds from </w:t>
      </w:r>
      <w:r w:rsidR="00CD287C">
        <w:rPr>
          <w:rFonts w:ascii="Arial" w:eastAsia="Calibri" w:hAnsi="Arial" w:cs="Arial"/>
          <w:b/>
          <w:bCs/>
          <w:color w:val="365F91"/>
        </w:rPr>
        <w:t>y</w:t>
      </w:r>
      <w:r w:rsidR="00D7066A">
        <w:rPr>
          <w:rFonts w:ascii="Arial" w:eastAsia="Calibri" w:hAnsi="Arial" w:cs="Arial"/>
          <w:b/>
          <w:bCs/>
          <w:color w:val="365F91"/>
        </w:rPr>
        <w:t xml:space="preserve">ear 1 to </w:t>
      </w:r>
      <w:r w:rsidR="00CD287C">
        <w:rPr>
          <w:rFonts w:ascii="Arial" w:eastAsia="Calibri" w:hAnsi="Arial" w:cs="Arial"/>
          <w:b/>
          <w:bCs/>
          <w:color w:val="365F91"/>
        </w:rPr>
        <w:t>y</w:t>
      </w:r>
      <w:r w:rsidR="00D7066A">
        <w:rPr>
          <w:rFonts w:ascii="Arial" w:eastAsia="Calibri" w:hAnsi="Arial" w:cs="Arial"/>
          <w:b/>
          <w:bCs/>
          <w:color w:val="365F91"/>
        </w:rPr>
        <w:t>ear 2</w:t>
      </w:r>
    </w:p>
    <w:p w14:paraId="23D3ACD2" w14:textId="77777777" w:rsidR="004D6CB9" w:rsidRPr="00942993" w:rsidRDefault="004D6CB9" w:rsidP="004D6CB9">
      <w:pPr>
        <w:pStyle w:val="ListParagraph"/>
        <w:numPr>
          <w:ilvl w:val="0"/>
          <w:numId w:val="32"/>
        </w:numPr>
        <w:tabs>
          <w:tab w:val="left" w:pos="720"/>
        </w:tabs>
        <w:spacing w:before="120" w:after="120"/>
        <w:rPr>
          <w:rFonts w:ascii="Calibri" w:hAnsi="Calibri" w:cs="Calibri"/>
          <w:b/>
          <w:bCs/>
          <w:sz w:val="20"/>
          <w:szCs w:val="20"/>
        </w:rPr>
      </w:pPr>
      <w:r w:rsidRPr="00942993">
        <w:rPr>
          <w:rFonts w:ascii="Calibri" w:hAnsi="Calibri" w:cs="Calibri"/>
          <w:b/>
          <w:bCs/>
          <w:sz w:val="20"/>
          <w:szCs w:val="20"/>
        </w:rPr>
        <w:t>I hear the term Year 2 used now instead of carryover. What does that mean?</w:t>
      </w:r>
    </w:p>
    <w:p w14:paraId="0A99C7C3" w14:textId="286320E8" w:rsidR="004D6CB9" w:rsidRPr="005135DB" w:rsidRDefault="180F2388" w:rsidP="23BFCB76">
      <w:pPr>
        <w:pStyle w:val="ListParagraph"/>
        <w:tabs>
          <w:tab w:val="left" w:pos="720"/>
        </w:tabs>
        <w:spacing w:after="240"/>
        <w:contextualSpacing w:val="0"/>
        <w:rPr>
          <w:rFonts w:ascii="Calibri" w:hAnsi="Calibri" w:cs="Calibri"/>
          <w:sz w:val="20"/>
          <w:szCs w:val="20"/>
        </w:rPr>
      </w:pPr>
      <w:r w:rsidRPr="23BFCB76">
        <w:rPr>
          <w:rFonts w:ascii="Calibri" w:hAnsi="Calibri" w:cs="Calibri"/>
          <w:sz w:val="20"/>
          <w:szCs w:val="20"/>
        </w:rPr>
        <w:t xml:space="preserve">Since districts can spend funds at any time during the two </w:t>
      </w:r>
      <w:r w:rsidR="63028029" w:rsidRPr="23BFCB76">
        <w:rPr>
          <w:rFonts w:ascii="Calibri" w:hAnsi="Calibri" w:cs="Calibri"/>
          <w:sz w:val="20"/>
          <w:szCs w:val="20"/>
        </w:rPr>
        <w:t>year grant cycle (as long as</w:t>
      </w:r>
      <w:r w:rsidRPr="23BFCB76">
        <w:rPr>
          <w:rFonts w:ascii="Calibri" w:hAnsi="Calibri" w:cs="Calibri"/>
          <w:sz w:val="20"/>
          <w:szCs w:val="20"/>
        </w:rPr>
        <w:t xml:space="preserve"> 85% is spent in </w:t>
      </w:r>
      <w:r w:rsidR="7C38F5FA" w:rsidRPr="23BFCB76">
        <w:rPr>
          <w:rFonts w:ascii="Calibri" w:hAnsi="Calibri" w:cs="Calibri"/>
          <w:sz w:val="20"/>
          <w:szCs w:val="20"/>
        </w:rPr>
        <w:t>the first year</w:t>
      </w:r>
      <w:r w:rsidRPr="23BFCB76">
        <w:rPr>
          <w:rFonts w:ascii="Calibri" w:hAnsi="Calibri" w:cs="Calibri"/>
          <w:sz w:val="20"/>
          <w:szCs w:val="20"/>
        </w:rPr>
        <w:t>) there is technically not a</w:t>
      </w:r>
      <w:r w:rsidR="29C2A5E1" w:rsidRPr="23BFCB76">
        <w:rPr>
          <w:rFonts w:ascii="Calibri" w:hAnsi="Calibri" w:cs="Calibri"/>
          <w:sz w:val="20"/>
          <w:szCs w:val="20"/>
        </w:rPr>
        <w:t>ny money that is “carried over.”</w:t>
      </w:r>
      <w:r w:rsidRPr="23BFCB76">
        <w:rPr>
          <w:rFonts w:ascii="Calibri" w:hAnsi="Calibri" w:cs="Calibri"/>
          <w:sz w:val="20"/>
          <w:szCs w:val="20"/>
        </w:rPr>
        <w:t xml:space="preserve"> DESE uses the terms Year 1 and Year 2 instead to connote where in the grant cycle the money is being spent. </w:t>
      </w:r>
      <w:r w:rsidR="29C2A5E1" w:rsidRPr="23BFCB76">
        <w:rPr>
          <w:rFonts w:ascii="Calibri" w:hAnsi="Calibri" w:cs="Calibri"/>
          <w:sz w:val="20"/>
          <w:szCs w:val="20"/>
        </w:rPr>
        <w:t>Since</w:t>
      </w:r>
      <w:r w:rsidRPr="23BFCB76">
        <w:rPr>
          <w:rFonts w:ascii="Calibri" w:hAnsi="Calibri" w:cs="Calibri"/>
          <w:sz w:val="20"/>
          <w:szCs w:val="20"/>
        </w:rPr>
        <w:t xml:space="preserve"> no more than 15% of funds can be </w:t>
      </w:r>
      <w:r w:rsidR="29C2A5E1" w:rsidRPr="23BFCB76">
        <w:rPr>
          <w:rFonts w:ascii="Calibri" w:hAnsi="Calibri" w:cs="Calibri"/>
          <w:sz w:val="20"/>
          <w:szCs w:val="20"/>
        </w:rPr>
        <w:t xml:space="preserve">left </w:t>
      </w:r>
      <w:r w:rsidRPr="23BFCB76">
        <w:rPr>
          <w:rFonts w:ascii="Calibri" w:hAnsi="Calibri" w:cs="Calibri"/>
          <w:sz w:val="20"/>
          <w:szCs w:val="20"/>
        </w:rPr>
        <w:t>unspent in</w:t>
      </w:r>
      <w:r w:rsidR="25DBDCEA" w:rsidRPr="23BFCB76">
        <w:rPr>
          <w:rFonts w:ascii="Calibri" w:hAnsi="Calibri" w:cs="Calibri"/>
          <w:sz w:val="20"/>
          <w:szCs w:val="20"/>
        </w:rPr>
        <w:t xml:space="preserve"> </w:t>
      </w:r>
      <w:r w:rsidR="7C38F5FA" w:rsidRPr="23BFCB76">
        <w:rPr>
          <w:rFonts w:ascii="Calibri" w:hAnsi="Calibri" w:cs="Calibri"/>
          <w:sz w:val="20"/>
          <w:szCs w:val="20"/>
        </w:rPr>
        <w:t>the first year</w:t>
      </w:r>
      <w:r w:rsidRPr="23BFCB76">
        <w:rPr>
          <w:rFonts w:ascii="Calibri" w:hAnsi="Calibri" w:cs="Calibri"/>
          <w:sz w:val="20"/>
          <w:szCs w:val="20"/>
        </w:rPr>
        <w:t>, distri</w:t>
      </w:r>
      <w:r w:rsidR="25DBDCEA" w:rsidRPr="23BFCB76">
        <w:rPr>
          <w:rFonts w:ascii="Calibri" w:hAnsi="Calibri" w:cs="Calibri"/>
          <w:sz w:val="20"/>
          <w:szCs w:val="20"/>
        </w:rPr>
        <w:t>cts still need to track funds expended in Year 1 and</w:t>
      </w:r>
      <w:r w:rsidRPr="23BFCB76">
        <w:rPr>
          <w:rFonts w:ascii="Calibri" w:hAnsi="Calibri" w:cs="Calibri"/>
          <w:sz w:val="20"/>
          <w:szCs w:val="20"/>
        </w:rPr>
        <w:t xml:space="preserve"> Year 2 of the grant cycle.  </w:t>
      </w:r>
    </w:p>
    <w:p w14:paraId="489144A7" w14:textId="77777777" w:rsidR="001D582C" w:rsidRPr="001344FB" w:rsidRDefault="001D582C" w:rsidP="001D582C">
      <w:pPr>
        <w:pStyle w:val="ListParagraph"/>
        <w:numPr>
          <w:ilvl w:val="0"/>
          <w:numId w:val="32"/>
        </w:numPr>
        <w:tabs>
          <w:tab w:val="left" w:pos="720"/>
        </w:tabs>
        <w:spacing w:before="120" w:after="120"/>
        <w:rPr>
          <w:rFonts w:ascii="Calibri" w:hAnsi="Calibri" w:cs="Calibri"/>
          <w:b/>
          <w:sz w:val="20"/>
        </w:rPr>
      </w:pPr>
      <w:r>
        <w:rPr>
          <w:rFonts w:ascii="Calibri" w:hAnsi="Calibri" w:cs="Calibri"/>
          <w:b/>
          <w:sz w:val="20"/>
        </w:rPr>
        <w:t xml:space="preserve">Are any districts </w:t>
      </w:r>
      <w:r w:rsidRPr="001344FB">
        <w:rPr>
          <w:rFonts w:ascii="Calibri" w:hAnsi="Calibri" w:cs="Calibri"/>
          <w:b/>
          <w:sz w:val="20"/>
        </w:rPr>
        <w:t>with a Title I allocation</w:t>
      </w:r>
      <w:r>
        <w:rPr>
          <w:rFonts w:ascii="Calibri" w:hAnsi="Calibri" w:cs="Calibri"/>
          <w:b/>
          <w:sz w:val="20"/>
        </w:rPr>
        <w:t xml:space="preserve"> exempt from </w:t>
      </w:r>
      <w:r w:rsidRPr="001344FB">
        <w:rPr>
          <w:rFonts w:ascii="Calibri" w:hAnsi="Calibri" w:cs="Calibri"/>
          <w:b/>
          <w:sz w:val="20"/>
        </w:rPr>
        <w:t>the 85% rule</w:t>
      </w:r>
      <w:r>
        <w:rPr>
          <w:rFonts w:ascii="Calibri" w:hAnsi="Calibri" w:cs="Calibri"/>
          <w:b/>
          <w:sz w:val="20"/>
        </w:rPr>
        <w:t>?</w:t>
      </w:r>
      <w:r w:rsidRPr="001344FB">
        <w:rPr>
          <w:rFonts w:ascii="Calibri" w:hAnsi="Calibri" w:cs="Calibri"/>
          <w:b/>
          <w:sz w:val="20"/>
        </w:rPr>
        <w:t xml:space="preserve"> </w:t>
      </w:r>
    </w:p>
    <w:p w14:paraId="08039915" w14:textId="77777777" w:rsidR="001D582C" w:rsidRPr="001D582C" w:rsidRDefault="001D582C" w:rsidP="005135DB">
      <w:pPr>
        <w:pStyle w:val="ListParagraph"/>
        <w:tabs>
          <w:tab w:val="left" w:pos="720"/>
        </w:tabs>
        <w:spacing w:after="240"/>
        <w:contextualSpacing w:val="0"/>
        <w:rPr>
          <w:rFonts w:ascii="Calibri" w:hAnsi="Calibri" w:cs="Calibri"/>
          <w:sz w:val="20"/>
        </w:rPr>
      </w:pPr>
      <w:r>
        <w:rPr>
          <w:rFonts w:ascii="Calibri" w:hAnsi="Calibri" w:cs="Calibri"/>
          <w:b/>
          <w:sz w:val="20"/>
        </w:rPr>
        <w:t>Yes</w:t>
      </w:r>
      <w:r>
        <w:rPr>
          <w:rFonts w:ascii="Calibri" w:hAnsi="Calibri" w:cs="Calibri"/>
          <w:sz w:val="20"/>
        </w:rPr>
        <w:t>. The 85% rule does not apply to districts with an allocation</w:t>
      </w:r>
      <w:r w:rsidRPr="001344FB">
        <w:rPr>
          <w:rFonts w:ascii="Calibri" w:hAnsi="Calibri" w:cs="Calibri"/>
          <w:sz w:val="20"/>
        </w:rPr>
        <w:t xml:space="preserve"> of less than $50,000.</w:t>
      </w:r>
    </w:p>
    <w:p w14:paraId="0D146903" w14:textId="77777777" w:rsidR="007C4114" w:rsidRDefault="007522E1">
      <w:pPr>
        <w:pStyle w:val="ListParagraph"/>
        <w:numPr>
          <w:ilvl w:val="0"/>
          <w:numId w:val="32"/>
        </w:numPr>
        <w:tabs>
          <w:tab w:val="left" w:pos="720"/>
        </w:tabs>
        <w:spacing w:before="120" w:after="120"/>
        <w:rPr>
          <w:rFonts w:ascii="Calibri" w:hAnsi="Calibri" w:cs="Calibri"/>
          <w:b/>
          <w:bCs/>
          <w:sz w:val="20"/>
          <w:szCs w:val="20"/>
        </w:rPr>
      </w:pPr>
      <w:r w:rsidRPr="007522E1">
        <w:rPr>
          <w:rFonts w:ascii="Calibri" w:hAnsi="Calibri" w:cs="Calibri"/>
          <w:b/>
          <w:bCs/>
          <w:sz w:val="20"/>
          <w:szCs w:val="20"/>
        </w:rPr>
        <w:t>Must 85% of a district’s Title I allocation be spent by the end of the initial project, which is the end of the state fiscal year (June 30th)</w:t>
      </w:r>
      <w:r w:rsidR="00B64E1C">
        <w:rPr>
          <w:rFonts w:ascii="Calibri" w:hAnsi="Calibri" w:cs="Calibri"/>
          <w:b/>
          <w:bCs/>
          <w:sz w:val="20"/>
          <w:szCs w:val="20"/>
        </w:rPr>
        <w:t>,</w:t>
      </w:r>
      <w:r w:rsidRPr="007522E1">
        <w:rPr>
          <w:rFonts w:ascii="Calibri" w:hAnsi="Calibri" w:cs="Calibri"/>
          <w:b/>
          <w:bCs/>
          <w:sz w:val="20"/>
          <w:szCs w:val="20"/>
        </w:rPr>
        <w:t xml:space="preserve"> or by the end of the federal fiscal year (September 30th)?</w:t>
      </w:r>
      <w:r w:rsidRPr="007522E1">
        <w:rPr>
          <w:rFonts w:ascii="Calibri" w:hAnsi="Calibri" w:cs="Calibri"/>
          <w:bCs/>
          <w:sz w:val="20"/>
          <w:szCs w:val="20"/>
        </w:rPr>
        <w:t xml:space="preserve"> </w:t>
      </w:r>
    </w:p>
    <w:p w14:paraId="630D5C46" w14:textId="6BA316D7" w:rsidR="00CE1252" w:rsidRPr="001D582C" w:rsidRDefault="359132C2" w:rsidP="23BFCB76">
      <w:pPr>
        <w:pStyle w:val="ListParagraph"/>
        <w:tabs>
          <w:tab w:val="left" w:pos="720"/>
        </w:tabs>
        <w:spacing w:after="240"/>
        <w:contextualSpacing w:val="0"/>
        <w:rPr>
          <w:rFonts w:ascii="Calibri" w:hAnsi="Calibri" w:cs="Calibri"/>
          <w:sz w:val="20"/>
          <w:szCs w:val="20"/>
        </w:rPr>
      </w:pPr>
      <w:r w:rsidRPr="23BFCB76">
        <w:rPr>
          <w:rFonts w:ascii="Calibri" w:hAnsi="Calibri" w:cs="Calibri"/>
          <w:sz w:val="20"/>
          <w:szCs w:val="20"/>
        </w:rPr>
        <w:t>At least 85% of a district’s allocation must be spent by September 30</w:t>
      </w:r>
      <w:r w:rsidRPr="23BFCB76">
        <w:rPr>
          <w:rFonts w:ascii="Calibri" w:hAnsi="Calibri" w:cs="Calibri"/>
          <w:sz w:val="20"/>
          <w:szCs w:val="20"/>
          <w:vertAlign w:val="superscript"/>
        </w:rPr>
        <w:t>th</w:t>
      </w:r>
      <w:r w:rsidRPr="23BFCB76">
        <w:rPr>
          <w:rFonts w:ascii="Calibri" w:hAnsi="Calibri" w:cs="Calibri"/>
          <w:sz w:val="20"/>
          <w:szCs w:val="20"/>
        </w:rPr>
        <w:t xml:space="preserve">. </w:t>
      </w:r>
      <w:r w:rsidR="0AC759C1" w:rsidRPr="23BFCB76">
        <w:rPr>
          <w:rFonts w:ascii="Calibri" w:hAnsi="Calibri" w:cs="Calibri"/>
          <w:sz w:val="20"/>
          <w:szCs w:val="20"/>
        </w:rPr>
        <w:t xml:space="preserve">As a </w:t>
      </w:r>
      <w:r w:rsidR="29C2A5E1" w:rsidRPr="23BFCB76">
        <w:rPr>
          <w:rFonts w:ascii="Calibri" w:hAnsi="Calibri" w:cs="Calibri"/>
          <w:sz w:val="20"/>
          <w:szCs w:val="20"/>
        </w:rPr>
        <w:t>state</w:t>
      </w:r>
      <w:r w:rsidR="0AC759C1" w:rsidRPr="23BFCB76">
        <w:rPr>
          <w:rFonts w:ascii="Calibri" w:hAnsi="Calibri" w:cs="Calibri"/>
          <w:sz w:val="20"/>
          <w:szCs w:val="20"/>
        </w:rPr>
        <w:t xml:space="preserve"> agency, we are obligated to track funds </w:t>
      </w:r>
      <w:r w:rsidR="29C2A5E1" w:rsidRPr="23BFCB76">
        <w:rPr>
          <w:rFonts w:ascii="Calibri" w:hAnsi="Calibri" w:cs="Calibri"/>
          <w:sz w:val="20"/>
          <w:szCs w:val="20"/>
        </w:rPr>
        <w:t>according to</w:t>
      </w:r>
      <w:r w:rsidR="0AC759C1" w:rsidRPr="23BFCB76">
        <w:rPr>
          <w:rFonts w:ascii="Calibri" w:hAnsi="Calibri" w:cs="Calibri"/>
          <w:sz w:val="20"/>
          <w:szCs w:val="20"/>
        </w:rPr>
        <w:t xml:space="preserve"> </w:t>
      </w:r>
      <w:r w:rsidR="5D6DA824" w:rsidRPr="23BFCB76">
        <w:rPr>
          <w:rFonts w:ascii="Calibri" w:hAnsi="Calibri" w:cs="Calibri"/>
          <w:sz w:val="20"/>
          <w:szCs w:val="20"/>
        </w:rPr>
        <w:t xml:space="preserve">the </w:t>
      </w:r>
      <w:r w:rsidR="29C2A5E1" w:rsidRPr="23BFCB76">
        <w:rPr>
          <w:rFonts w:ascii="Calibri" w:hAnsi="Calibri" w:cs="Calibri"/>
          <w:sz w:val="20"/>
          <w:szCs w:val="20"/>
        </w:rPr>
        <w:t>state</w:t>
      </w:r>
      <w:r w:rsidR="5D6DA824" w:rsidRPr="23BFCB76">
        <w:rPr>
          <w:rFonts w:ascii="Calibri" w:hAnsi="Calibri" w:cs="Calibri"/>
          <w:sz w:val="20"/>
          <w:szCs w:val="20"/>
        </w:rPr>
        <w:t xml:space="preserve"> fiscal year</w:t>
      </w:r>
      <w:r w:rsidR="29C2A5E1" w:rsidRPr="23BFCB76">
        <w:rPr>
          <w:rFonts w:ascii="Calibri" w:hAnsi="Calibri" w:cs="Calibri"/>
          <w:sz w:val="20"/>
          <w:szCs w:val="20"/>
        </w:rPr>
        <w:t>, which runs from July 1</w:t>
      </w:r>
      <w:r w:rsidR="29C2A5E1" w:rsidRPr="23BFCB76">
        <w:rPr>
          <w:rFonts w:ascii="Calibri" w:hAnsi="Calibri" w:cs="Calibri"/>
          <w:sz w:val="20"/>
          <w:szCs w:val="20"/>
          <w:vertAlign w:val="superscript"/>
        </w:rPr>
        <w:t>st</w:t>
      </w:r>
      <w:r w:rsidR="0FFBD5B8" w:rsidRPr="23BFCB76">
        <w:rPr>
          <w:rFonts w:ascii="Calibri" w:hAnsi="Calibri" w:cs="Calibri"/>
          <w:sz w:val="20"/>
          <w:szCs w:val="20"/>
        </w:rPr>
        <w:t xml:space="preserve"> through June 30</w:t>
      </w:r>
      <w:r w:rsidR="0FFBD5B8" w:rsidRPr="23BFCB76">
        <w:rPr>
          <w:rFonts w:ascii="Calibri" w:hAnsi="Calibri" w:cs="Calibri"/>
          <w:sz w:val="20"/>
          <w:szCs w:val="20"/>
          <w:vertAlign w:val="superscript"/>
        </w:rPr>
        <w:t>th</w:t>
      </w:r>
      <w:r w:rsidR="5D6DA824" w:rsidRPr="23BFCB76">
        <w:rPr>
          <w:rFonts w:ascii="Calibri" w:hAnsi="Calibri" w:cs="Calibri"/>
          <w:sz w:val="20"/>
          <w:szCs w:val="20"/>
        </w:rPr>
        <w:t xml:space="preserve">. </w:t>
      </w:r>
      <w:r w:rsidR="29C2A5E1" w:rsidRPr="23BFCB76">
        <w:rPr>
          <w:rFonts w:ascii="Calibri" w:hAnsi="Calibri" w:cs="Calibri"/>
          <w:sz w:val="20"/>
          <w:szCs w:val="20"/>
        </w:rPr>
        <w:t>As a</w:t>
      </w:r>
      <w:r w:rsidR="0AC759C1" w:rsidRPr="23BFCB76">
        <w:rPr>
          <w:rFonts w:ascii="Calibri" w:hAnsi="Calibri" w:cs="Calibri"/>
          <w:sz w:val="20"/>
          <w:szCs w:val="20"/>
        </w:rPr>
        <w:t xml:space="preserve"> federal grant, </w:t>
      </w:r>
      <w:r w:rsidR="29C2A5E1" w:rsidRPr="23BFCB76">
        <w:rPr>
          <w:rFonts w:ascii="Calibri" w:hAnsi="Calibri" w:cs="Calibri"/>
          <w:sz w:val="20"/>
          <w:szCs w:val="20"/>
        </w:rPr>
        <w:t xml:space="preserve">however, </w:t>
      </w:r>
      <w:r w:rsidRPr="23BFCB76">
        <w:rPr>
          <w:rFonts w:ascii="Calibri" w:hAnsi="Calibri" w:cs="Calibri"/>
          <w:sz w:val="20"/>
          <w:szCs w:val="20"/>
        </w:rPr>
        <w:t>Title I grant awards are governed by federal law that uses the federal fiscal year</w:t>
      </w:r>
      <w:r w:rsidR="1212BD3F" w:rsidRPr="23BFCB76">
        <w:rPr>
          <w:rFonts w:ascii="Calibri" w:hAnsi="Calibri" w:cs="Calibri"/>
          <w:sz w:val="20"/>
          <w:szCs w:val="20"/>
        </w:rPr>
        <w:t>, which runs from October 1</w:t>
      </w:r>
      <w:r w:rsidR="1212BD3F" w:rsidRPr="23BFCB76">
        <w:rPr>
          <w:rFonts w:ascii="Calibri" w:hAnsi="Calibri" w:cs="Calibri"/>
          <w:sz w:val="20"/>
          <w:szCs w:val="20"/>
          <w:vertAlign w:val="superscript"/>
        </w:rPr>
        <w:t>st</w:t>
      </w:r>
      <w:r w:rsidR="1212BD3F" w:rsidRPr="23BFCB76">
        <w:rPr>
          <w:rFonts w:ascii="Calibri" w:hAnsi="Calibri" w:cs="Calibri"/>
          <w:sz w:val="20"/>
          <w:szCs w:val="20"/>
        </w:rPr>
        <w:t xml:space="preserve"> through September 30</w:t>
      </w:r>
      <w:r w:rsidR="1212BD3F" w:rsidRPr="23BFCB76">
        <w:rPr>
          <w:rFonts w:ascii="Calibri" w:hAnsi="Calibri" w:cs="Calibri"/>
          <w:sz w:val="20"/>
          <w:szCs w:val="20"/>
          <w:vertAlign w:val="superscript"/>
        </w:rPr>
        <w:t>th</w:t>
      </w:r>
      <w:r w:rsidR="66224031" w:rsidRPr="23BFCB76">
        <w:rPr>
          <w:rFonts w:ascii="Calibri" w:hAnsi="Calibri" w:cs="Calibri"/>
          <w:sz w:val="20"/>
          <w:szCs w:val="20"/>
        </w:rPr>
        <w:t xml:space="preserve">. </w:t>
      </w:r>
      <w:r w:rsidR="1212BD3F" w:rsidRPr="23BFCB76">
        <w:rPr>
          <w:rFonts w:ascii="Calibri" w:hAnsi="Calibri" w:cs="Calibri"/>
          <w:sz w:val="20"/>
          <w:szCs w:val="20"/>
        </w:rPr>
        <w:t>As a result, districts have three additional months beyond the initial grant period</w:t>
      </w:r>
      <w:r w:rsidR="08FA2DD6" w:rsidRPr="23BFCB76">
        <w:rPr>
          <w:rFonts w:ascii="Calibri" w:hAnsi="Calibri" w:cs="Calibri"/>
          <w:sz w:val="20"/>
          <w:szCs w:val="20"/>
        </w:rPr>
        <w:t>, if necessary,</w:t>
      </w:r>
      <w:r w:rsidR="1212BD3F" w:rsidRPr="23BFCB76">
        <w:rPr>
          <w:rFonts w:ascii="Calibri" w:hAnsi="Calibri" w:cs="Calibri"/>
          <w:sz w:val="20"/>
          <w:szCs w:val="20"/>
        </w:rPr>
        <w:t xml:space="preserve"> to spend at least 85% of their</w:t>
      </w:r>
      <w:r w:rsidRPr="23BFCB76">
        <w:rPr>
          <w:rFonts w:ascii="Calibri" w:hAnsi="Calibri" w:cs="Calibri"/>
          <w:sz w:val="20"/>
          <w:szCs w:val="20"/>
        </w:rPr>
        <w:t xml:space="preserve"> grant allocation for the year.</w:t>
      </w:r>
      <w:r w:rsidR="08FA2DD6" w:rsidRPr="23BFCB76">
        <w:rPr>
          <w:rFonts w:ascii="Calibri" w:hAnsi="Calibri" w:cs="Calibri"/>
          <w:sz w:val="20"/>
          <w:szCs w:val="20"/>
        </w:rPr>
        <w:t xml:space="preserve"> DESE encourages districts to spend at least 85% of the grant by June 30, where possible.</w:t>
      </w:r>
    </w:p>
    <w:p w14:paraId="1299CE83" w14:textId="77777777" w:rsidR="00032109" w:rsidRDefault="00E966A3" w:rsidP="00E966A3">
      <w:pPr>
        <w:pStyle w:val="ListParagraph"/>
        <w:numPr>
          <w:ilvl w:val="0"/>
          <w:numId w:val="32"/>
        </w:numPr>
        <w:tabs>
          <w:tab w:val="left" w:pos="720"/>
        </w:tabs>
        <w:spacing w:before="120" w:after="120"/>
        <w:rPr>
          <w:rFonts w:ascii="Calibri" w:hAnsi="Calibri" w:cs="Calibri"/>
          <w:b/>
          <w:bCs/>
          <w:sz w:val="20"/>
          <w:szCs w:val="20"/>
        </w:rPr>
      </w:pPr>
      <w:r w:rsidRPr="00D261D4">
        <w:rPr>
          <w:rFonts w:ascii="Calibri" w:hAnsi="Calibri" w:cs="Calibri"/>
          <w:b/>
          <w:bCs/>
          <w:sz w:val="20"/>
          <w:szCs w:val="20"/>
        </w:rPr>
        <w:t>Does this mean the start date for the Title I grant is now July 1?</w:t>
      </w:r>
    </w:p>
    <w:p w14:paraId="31942C57" w14:textId="77777777" w:rsidR="00E966A3" w:rsidRPr="005135DB" w:rsidRDefault="00E966A3" w:rsidP="005135DB">
      <w:pPr>
        <w:pStyle w:val="ListParagraph"/>
        <w:tabs>
          <w:tab w:val="left" w:pos="720"/>
        </w:tabs>
        <w:spacing w:after="240"/>
        <w:contextualSpacing w:val="0"/>
        <w:rPr>
          <w:rFonts w:ascii="Calibri" w:hAnsi="Calibri" w:cs="Calibri"/>
          <w:sz w:val="20"/>
        </w:rPr>
      </w:pPr>
      <w:r w:rsidRPr="00032109">
        <w:rPr>
          <w:rFonts w:ascii="Calibri" w:hAnsi="Calibri" w:cs="Calibri"/>
          <w:b/>
          <w:bCs/>
          <w:sz w:val="20"/>
          <w:szCs w:val="20"/>
        </w:rPr>
        <w:t>No.</w:t>
      </w:r>
      <w:r w:rsidRPr="00032109">
        <w:rPr>
          <w:rFonts w:ascii="Calibri" w:hAnsi="Calibri" w:cs="Calibri"/>
          <w:bCs/>
          <w:sz w:val="20"/>
          <w:szCs w:val="20"/>
        </w:rPr>
        <w:t xml:space="preserve"> The start date continues to be when the application is approved.</w:t>
      </w:r>
    </w:p>
    <w:p w14:paraId="1C75DAA7" w14:textId="77777777" w:rsidR="00C26662" w:rsidRDefault="00C26662" w:rsidP="00E966A3">
      <w:pPr>
        <w:tabs>
          <w:tab w:val="left" w:pos="720"/>
        </w:tabs>
        <w:spacing w:before="120" w:after="120"/>
        <w:rPr>
          <w:rFonts w:ascii="Calibri" w:hAnsi="Calibri" w:cs="Calibri"/>
          <w:bCs/>
          <w:sz w:val="20"/>
          <w:szCs w:val="20"/>
        </w:rPr>
      </w:pPr>
    </w:p>
    <w:p w14:paraId="7051F25C" w14:textId="77777777" w:rsidR="00FB74BA" w:rsidRPr="00032109" w:rsidRDefault="00C26662">
      <w:pPr>
        <w:pStyle w:val="ListParagraph"/>
        <w:numPr>
          <w:ilvl w:val="0"/>
          <w:numId w:val="32"/>
        </w:numPr>
        <w:rPr>
          <w:rFonts w:ascii="Calibri" w:hAnsi="Calibri" w:cs="Calibri"/>
          <w:b/>
          <w:sz w:val="20"/>
        </w:rPr>
      </w:pPr>
      <w:r w:rsidRPr="00032109">
        <w:rPr>
          <w:rFonts w:ascii="Calibri" w:hAnsi="Calibri" w:cs="Calibri"/>
          <w:b/>
          <w:sz w:val="20"/>
          <w:szCs w:val="20"/>
        </w:rPr>
        <w:lastRenderedPageBreak/>
        <w:t>O</w:t>
      </w:r>
      <w:r w:rsidRPr="00032109">
        <w:rPr>
          <w:rFonts w:ascii="Calibri" w:hAnsi="Calibri" w:cs="Calibri"/>
          <w:b/>
          <w:sz w:val="20"/>
        </w:rPr>
        <w:t>ur district will need to carry over more than 15% of our Title I allocation. Can this limitation be waived?</w:t>
      </w:r>
    </w:p>
    <w:p w14:paraId="12CBAE62" w14:textId="77777777" w:rsidR="00C26662" w:rsidRDefault="00C26662" w:rsidP="005135DB">
      <w:pPr>
        <w:pStyle w:val="ListParagraph"/>
        <w:tabs>
          <w:tab w:val="left" w:pos="720"/>
        </w:tabs>
        <w:spacing w:after="240"/>
        <w:contextualSpacing w:val="0"/>
        <w:rPr>
          <w:rFonts w:ascii="Calibri" w:hAnsi="Calibri" w:cs="Calibri"/>
          <w:sz w:val="20"/>
          <w:szCs w:val="20"/>
        </w:rPr>
      </w:pPr>
      <w:r w:rsidRPr="00B64E1C">
        <w:rPr>
          <w:rFonts w:ascii="Calibri" w:hAnsi="Calibri" w:cs="Calibri"/>
          <w:b/>
          <w:sz w:val="20"/>
          <w:szCs w:val="20"/>
        </w:rPr>
        <w:t>Yes.</w:t>
      </w:r>
      <w:r>
        <w:rPr>
          <w:rFonts w:ascii="Calibri" w:hAnsi="Calibri" w:cs="Calibri"/>
          <w:sz w:val="20"/>
          <w:szCs w:val="20"/>
        </w:rPr>
        <w:t xml:space="preserve"> If the district has not exceeded the carryover limit in the past three years, then a waiver may be requested to allow for more than 15% of the district’s allocation to be available in the next fiscal year. Specific instructions regarding carryover limitations and waivers are provided to grant recipients every spring.</w:t>
      </w:r>
    </w:p>
    <w:p w14:paraId="2AED9BED" w14:textId="77777777" w:rsidR="00C26662" w:rsidRDefault="00C26662" w:rsidP="00C26662">
      <w:pPr>
        <w:pStyle w:val="ListParagraph"/>
        <w:numPr>
          <w:ilvl w:val="0"/>
          <w:numId w:val="32"/>
        </w:numPr>
        <w:tabs>
          <w:tab w:val="left" w:pos="720"/>
        </w:tabs>
        <w:spacing w:before="120" w:after="120"/>
        <w:rPr>
          <w:rFonts w:ascii="Calibri" w:hAnsi="Calibri" w:cs="Calibri"/>
          <w:b/>
          <w:sz w:val="20"/>
        </w:rPr>
      </w:pPr>
      <w:r w:rsidRPr="001344FB">
        <w:rPr>
          <w:rFonts w:ascii="Calibri" w:hAnsi="Calibri" w:cs="Calibri"/>
          <w:b/>
          <w:sz w:val="20"/>
        </w:rPr>
        <w:t>Are funds transferred into Title I, Part A from another grant subject to the 85% rule?</w:t>
      </w:r>
    </w:p>
    <w:p w14:paraId="7883A105" w14:textId="77777777" w:rsidR="00C26662" w:rsidRPr="005135DB" w:rsidRDefault="00C26662" w:rsidP="005135DB">
      <w:pPr>
        <w:pStyle w:val="ListParagraph"/>
        <w:tabs>
          <w:tab w:val="left" w:pos="720"/>
        </w:tabs>
        <w:spacing w:after="240"/>
        <w:contextualSpacing w:val="0"/>
        <w:rPr>
          <w:rFonts w:ascii="Calibri" w:hAnsi="Calibri" w:cs="Calibri"/>
          <w:sz w:val="20"/>
          <w:szCs w:val="20"/>
        </w:rPr>
      </w:pPr>
      <w:r w:rsidRPr="001344FB">
        <w:rPr>
          <w:rFonts w:ascii="Calibri" w:hAnsi="Calibri" w:cs="Calibri"/>
          <w:b/>
          <w:sz w:val="20"/>
        </w:rPr>
        <w:t>Yes.</w:t>
      </w:r>
      <w:r>
        <w:rPr>
          <w:rFonts w:ascii="Calibri" w:hAnsi="Calibri" w:cs="Calibri"/>
          <w:sz w:val="20"/>
        </w:rPr>
        <w:t xml:space="preserve"> The 85% rule </w:t>
      </w:r>
      <w:r w:rsidRPr="00CA4B82">
        <w:rPr>
          <w:rFonts w:ascii="Calibri" w:hAnsi="Calibri" w:cs="Calibri"/>
          <w:sz w:val="20"/>
        </w:rPr>
        <w:t>is based on the total Title I allocation figure allocated to the district, plus any funds transferred into Title I, Part A. Funds transferred into Title I are subject to Title I rules, including the Title I spending r</w:t>
      </w:r>
      <w:r w:rsidR="00701181">
        <w:rPr>
          <w:rFonts w:ascii="Calibri" w:hAnsi="Calibri" w:cs="Calibri"/>
          <w:sz w:val="20"/>
        </w:rPr>
        <w:t xml:space="preserve">equirements in the first year. </w:t>
      </w:r>
      <w:r w:rsidRPr="00CA4B82">
        <w:rPr>
          <w:rFonts w:ascii="Calibri" w:hAnsi="Calibri" w:cs="Calibri"/>
          <w:sz w:val="20"/>
        </w:rPr>
        <w:t>For instance, if a district has a Title I allocation of $100,000, and transfers $25,000 from Title II, Part A, then the 85% rule will apply to the $125,000 figure.</w:t>
      </w:r>
    </w:p>
    <w:p w14:paraId="6CC5396B" w14:textId="77777777" w:rsidR="00C26662" w:rsidRDefault="00C26662" w:rsidP="00C26662">
      <w:pPr>
        <w:pStyle w:val="ListParagraph"/>
        <w:numPr>
          <w:ilvl w:val="0"/>
          <w:numId w:val="32"/>
        </w:numPr>
        <w:tabs>
          <w:tab w:val="left" w:pos="720"/>
        </w:tabs>
        <w:spacing w:before="120" w:after="120"/>
        <w:rPr>
          <w:rFonts w:ascii="Calibri" w:hAnsi="Calibri" w:cs="Calibri"/>
          <w:b/>
          <w:sz w:val="20"/>
        </w:rPr>
      </w:pPr>
      <w:r w:rsidRPr="001344FB">
        <w:rPr>
          <w:rFonts w:ascii="Calibri" w:hAnsi="Calibri" w:cs="Calibri"/>
          <w:b/>
          <w:sz w:val="20"/>
        </w:rPr>
        <w:t>Are funds expended in Year 2 subject to the 85% rule the following year?</w:t>
      </w:r>
    </w:p>
    <w:p w14:paraId="6538C0C5" w14:textId="6EF7373D" w:rsidR="00C26662" w:rsidRPr="005135DB" w:rsidRDefault="5787F67C" w:rsidP="005135DB">
      <w:pPr>
        <w:pStyle w:val="ListParagraph"/>
        <w:tabs>
          <w:tab w:val="left" w:pos="720"/>
        </w:tabs>
        <w:spacing w:after="240"/>
        <w:contextualSpacing w:val="0"/>
        <w:rPr>
          <w:rFonts w:ascii="Calibri" w:hAnsi="Calibri" w:cs="Calibri"/>
          <w:sz w:val="20"/>
          <w:szCs w:val="20"/>
        </w:rPr>
      </w:pPr>
      <w:r w:rsidRPr="23BFCB76">
        <w:rPr>
          <w:rFonts w:ascii="Calibri" w:hAnsi="Calibri" w:cs="Calibri"/>
          <w:b/>
          <w:bCs/>
          <w:sz w:val="20"/>
          <w:szCs w:val="20"/>
        </w:rPr>
        <w:t>No</w:t>
      </w:r>
      <w:r w:rsidRPr="23BFCB76">
        <w:rPr>
          <w:rFonts w:ascii="Calibri" w:hAnsi="Calibri" w:cs="Calibri"/>
          <w:sz w:val="20"/>
          <w:szCs w:val="20"/>
        </w:rPr>
        <w:t xml:space="preserve">. With regard to the 85% rule, Year 2 funds do </w:t>
      </w:r>
      <w:r w:rsidRPr="23BFCB76">
        <w:rPr>
          <w:rFonts w:ascii="Calibri" w:hAnsi="Calibri" w:cs="Calibri"/>
          <w:b/>
          <w:bCs/>
          <w:sz w:val="20"/>
          <w:szCs w:val="20"/>
        </w:rPr>
        <w:t xml:space="preserve">not </w:t>
      </w:r>
      <w:r w:rsidRPr="23BFCB76">
        <w:rPr>
          <w:rFonts w:ascii="Calibri" w:hAnsi="Calibri" w:cs="Calibri"/>
          <w:sz w:val="20"/>
          <w:szCs w:val="20"/>
        </w:rPr>
        <w:t xml:space="preserve">apply towards the annual spending requirement. If a district has </w:t>
      </w:r>
      <w:r w:rsidR="76CED40A" w:rsidRPr="23BFCB76">
        <w:rPr>
          <w:rFonts w:ascii="Calibri" w:hAnsi="Calibri" w:cs="Calibri"/>
          <w:sz w:val="20"/>
          <w:szCs w:val="20"/>
        </w:rPr>
        <w:t>FY</w:t>
      </w:r>
      <w:r w:rsidR="48D935C7" w:rsidRPr="23BFCB76">
        <w:rPr>
          <w:rFonts w:ascii="Calibri" w:hAnsi="Calibri" w:cs="Calibri"/>
          <w:sz w:val="20"/>
          <w:szCs w:val="20"/>
        </w:rPr>
        <w:t>22</w:t>
      </w:r>
      <w:r w:rsidRPr="23BFCB76">
        <w:rPr>
          <w:rFonts w:ascii="Calibri" w:hAnsi="Calibri" w:cs="Calibri"/>
          <w:sz w:val="20"/>
          <w:szCs w:val="20"/>
        </w:rPr>
        <w:t xml:space="preserve">, Year 2 funds to expend, those funds will not affect how much </w:t>
      </w:r>
      <w:r w:rsidR="76CED40A" w:rsidRPr="23BFCB76">
        <w:rPr>
          <w:rFonts w:ascii="Calibri" w:hAnsi="Calibri" w:cs="Calibri"/>
          <w:sz w:val="20"/>
          <w:szCs w:val="20"/>
        </w:rPr>
        <w:t>a district has to spend in FY</w:t>
      </w:r>
      <w:r w:rsidR="48D935C7" w:rsidRPr="23BFCB76">
        <w:rPr>
          <w:rFonts w:ascii="Calibri" w:hAnsi="Calibri" w:cs="Calibri"/>
          <w:sz w:val="20"/>
          <w:szCs w:val="20"/>
        </w:rPr>
        <w:t>23</w:t>
      </w:r>
      <w:r w:rsidRPr="23BFCB76">
        <w:rPr>
          <w:rFonts w:ascii="Calibri" w:hAnsi="Calibri" w:cs="Calibri"/>
          <w:sz w:val="20"/>
          <w:szCs w:val="20"/>
        </w:rPr>
        <w:t xml:space="preserve"> Year 1 to meet the 85% threshold. </w:t>
      </w:r>
    </w:p>
    <w:p w14:paraId="4D482BFE" w14:textId="77777777" w:rsidR="00032109" w:rsidRDefault="00C26662" w:rsidP="00032109">
      <w:pPr>
        <w:pStyle w:val="ListParagraph"/>
        <w:numPr>
          <w:ilvl w:val="0"/>
          <w:numId w:val="32"/>
        </w:numPr>
        <w:tabs>
          <w:tab w:val="left" w:pos="720"/>
        </w:tabs>
        <w:spacing w:before="120" w:after="120"/>
        <w:rPr>
          <w:rFonts w:ascii="Calibri" w:hAnsi="Calibri" w:cs="Calibri"/>
          <w:b/>
          <w:sz w:val="20"/>
          <w:szCs w:val="20"/>
        </w:rPr>
      </w:pPr>
      <w:r>
        <w:rPr>
          <w:rFonts w:ascii="Calibri" w:hAnsi="Calibri" w:cs="Calibri"/>
          <w:b/>
          <w:sz w:val="20"/>
          <w:szCs w:val="20"/>
        </w:rPr>
        <w:t>What if</w:t>
      </w:r>
      <w:r w:rsidRPr="008D2898">
        <w:rPr>
          <w:rFonts w:ascii="Calibri" w:hAnsi="Calibri" w:cs="Calibri"/>
          <w:b/>
          <w:sz w:val="20"/>
          <w:szCs w:val="20"/>
        </w:rPr>
        <w:t xml:space="preserve"> spending plans change</w:t>
      </w:r>
      <w:r>
        <w:rPr>
          <w:rFonts w:ascii="Calibri" w:hAnsi="Calibri" w:cs="Calibri"/>
          <w:b/>
          <w:sz w:val="20"/>
          <w:szCs w:val="20"/>
        </w:rPr>
        <w:t xml:space="preserve"> during the course of the two year grant cycle</w:t>
      </w:r>
      <w:r w:rsidRPr="008D2898">
        <w:rPr>
          <w:rFonts w:ascii="Calibri" w:hAnsi="Calibri" w:cs="Calibri"/>
          <w:b/>
          <w:sz w:val="20"/>
          <w:szCs w:val="20"/>
        </w:rPr>
        <w:t>?</w:t>
      </w:r>
    </w:p>
    <w:p w14:paraId="64CC94B9" w14:textId="42B13439" w:rsidR="00C26662" w:rsidRPr="005135DB" w:rsidRDefault="00C26662" w:rsidP="005135DB">
      <w:pPr>
        <w:pStyle w:val="ListParagraph"/>
        <w:tabs>
          <w:tab w:val="left" w:pos="720"/>
        </w:tabs>
        <w:spacing w:after="240"/>
        <w:contextualSpacing w:val="0"/>
        <w:rPr>
          <w:rFonts w:ascii="Calibri" w:hAnsi="Calibri" w:cs="Calibri"/>
          <w:sz w:val="20"/>
          <w:szCs w:val="20"/>
        </w:rPr>
      </w:pPr>
      <w:r w:rsidRPr="00032109">
        <w:rPr>
          <w:rFonts w:ascii="Calibri" w:hAnsi="Calibri" w:cs="Calibri"/>
          <w:sz w:val="20"/>
          <w:szCs w:val="20"/>
        </w:rPr>
        <w:t xml:space="preserve">If spending plans change during the grant cycle, then the district </w:t>
      </w:r>
      <w:r w:rsidR="00701181">
        <w:rPr>
          <w:rFonts w:ascii="Calibri" w:hAnsi="Calibri" w:cs="Calibri"/>
          <w:sz w:val="20"/>
          <w:szCs w:val="20"/>
        </w:rPr>
        <w:t>must</w:t>
      </w:r>
      <w:r w:rsidRPr="00032109">
        <w:rPr>
          <w:rFonts w:ascii="Calibri" w:hAnsi="Calibri" w:cs="Calibri"/>
          <w:sz w:val="20"/>
          <w:szCs w:val="20"/>
        </w:rPr>
        <w:t xml:space="preserve"> apply for an amendment. Amendments are required when spending plans change regardless of whether the change happens with funds expended in Year 1 or Year 2. To complete an amendment, </w:t>
      </w:r>
      <w:r w:rsidR="002B6BE6">
        <w:rPr>
          <w:rFonts w:ascii="Calibri" w:hAnsi="Calibri" w:cs="Calibri"/>
          <w:sz w:val="20"/>
          <w:szCs w:val="20"/>
        </w:rPr>
        <w:t xml:space="preserve">email </w:t>
      </w:r>
      <w:hyperlink r:id="rId13" w:history="1">
        <w:r w:rsidR="001538D6">
          <w:rPr>
            <w:rStyle w:val="Hyperlink"/>
            <w:rFonts w:ascii="Calibri" w:hAnsi="Calibri" w:cs="Calibri"/>
            <w:sz w:val="20"/>
            <w:szCs w:val="20"/>
          </w:rPr>
          <w:t>FederalGrantPrograms@mass.gov</w:t>
        </w:r>
      </w:hyperlink>
      <w:r w:rsidR="002B6BE6">
        <w:rPr>
          <w:rFonts w:ascii="Calibri" w:hAnsi="Calibri" w:cs="Calibri"/>
          <w:sz w:val="20"/>
          <w:szCs w:val="20"/>
        </w:rPr>
        <w:t xml:space="preserve"> and request that an amendment be issued in EdGrants. Then log into EdGrants, revise the budget as needed, and submit the amendment.</w:t>
      </w:r>
      <w:r w:rsidRPr="00032109">
        <w:rPr>
          <w:rFonts w:ascii="Calibri" w:hAnsi="Calibri" w:cs="Calibri"/>
          <w:sz w:val="20"/>
          <w:szCs w:val="20"/>
        </w:rPr>
        <w:t xml:space="preserve"> </w:t>
      </w:r>
    </w:p>
    <w:p w14:paraId="17727B2A" w14:textId="77777777" w:rsidR="00C26662" w:rsidRPr="008D2898" w:rsidRDefault="00C26662" w:rsidP="00C26662">
      <w:pPr>
        <w:pStyle w:val="ListParagraph"/>
        <w:numPr>
          <w:ilvl w:val="0"/>
          <w:numId w:val="32"/>
        </w:numPr>
        <w:tabs>
          <w:tab w:val="left" w:pos="720"/>
        </w:tabs>
        <w:spacing w:before="120" w:after="120"/>
        <w:rPr>
          <w:rFonts w:ascii="Calibri" w:hAnsi="Calibri" w:cs="Calibri"/>
          <w:b/>
          <w:sz w:val="20"/>
          <w:szCs w:val="20"/>
        </w:rPr>
      </w:pPr>
      <w:r w:rsidRPr="008D2898">
        <w:rPr>
          <w:rFonts w:ascii="Calibri" w:hAnsi="Calibri" w:cs="Calibri"/>
          <w:b/>
          <w:sz w:val="20"/>
          <w:szCs w:val="20"/>
        </w:rPr>
        <w:t>Do school allocation rules apply to funds spent in Year 2?</w:t>
      </w:r>
    </w:p>
    <w:p w14:paraId="1DEBBAB3" w14:textId="77777777" w:rsidR="00C26662" w:rsidRDefault="00C26662" w:rsidP="005135DB">
      <w:pPr>
        <w:pStyle w:val="ListParagraph"/>
        <w:tabs>
          <w:tab w:val="left" w:pos="720"/>
        </w:tabs>
        <w:spacing w:after="240"/>
        <w:contextualSpacing w:val="0"/>
        <w:rPr>
          <w:rFonts w:ascii="Calibri" w:hAnsi="Calibri" w:cs="Calibri"/>
          <w:sz w:val="20"/>
          <w:szCs w:val="20"/>
        </w:rPr>
      </w:pPr>
      <w:r w:rsidRPr="008D2898">
        <w:rPr>
          <w:rFonts w:ascii="Calibri" w:hAnsi="Calibri" w:cs="Calibri"/>
          <w:b/>
          <w:sz w:val="20"/>
          <w:szCs w:val="20"/>
        </w:rPr>
        <w:t>Yes</w:t>
      </w:r>
      <w:r>
        <w:rPr>
          <w:rFonts w:ascii="Calibri" w:hAnsi="Calibri" w:cs="Calibri"/>
          <w:sz w:val="20"/>
          <w:szCs w:val="20"/>
        </w:rPr>
        <w:t xml:space="preserve">. Districts still need to allocate funds to schools by rank order </w:t>
      </w:r>
      <w:r w:rsidR="00701181">
        <w:rPr>
          <w:rFonts w:ascii="Calibri" w:hAnsi="Calibri" w:cs="Calibri"/>
          <w:sz w:val="20"/>
          <w:szCs w:val="20"/>
        </w:rPr>
        <w:t xml:space="preserve">of poverty regardless of year. </w:t>
      </w:r>
      <w:r>
        <w:rPr>
          <w:rFonts w:ascii="Calibri" w:hAnsi="Calibri" w:cs="Calibri"/>
          <w:sz w:val="20"/>
          <w:szCs w:val="20"/>
        </w:rPr>
        <w:t>This means a school with a higher poverty rate must receive the same Title I per-pupil funding or greater than all Title I schools in the district wit</w:t>
      </w:r>
      <w:r w:rsidR="00701181">
        <w:rPr>
          <w:rFonts w:ascii="Calibri" w:hAnsi="Calibri" w:cs="Calibri"/>
          <w:sz w:val="20"/>
          <w:szCs w:val="20"/>
        </w:rPr>
        <w:t xml:space="preserve">h lower student poverty rates. </w:t>
      </w:r>
      <w:r>
        <w:rPr>
          <w:rFonts w:ascii="Calibri" w:hAnsi="Calibri" w:cs="Calibri"/>
          <w:sz w:val="20"/>
          <w:szCs w:val="20"/>
        </w:rPr>
        <w:t>This applies whether the funds are being expended in Year 1 or Year 2.</w:t>
      </w:r>
    </w:p>
    <w:p w14:paraId="77662098" w14:textId="77777777" w:rsidR="00FB74BA" w:rsidRDefault="00C26662">
      <w:pPr>
        <w:pStyle w:val="ListParagraph"/>
        <w:numPr>
          <w:ilvl w:val="0"/>
          <w:numId w:val="32"/>
        </w:numPr>
        <w:tabs>
          <w:tab w:val="left" w:pos="720"/>
        </w:tabs>
        <w:spacing w:before="120" w:after="120"/>
        <w:rPr>
          <w:rFonts w:ascii="Calibri" w:hAnsi="Calibri" w:cs="Calibri"/>
          <w:b/>
          <w:sz w:val="20"/>
          <w:szCs w:val="20"/>
        </w:rPr>
      </w:pPr>
      <w:r w:rsidRPr="008D2898">
        <w:rPr>
          <w:rFonts w:ascii="Calibri" w:hAnsi="Calibri" w:cs="Calibri"/>
          <w:b/>
          <w:sz w:val="20"/>
          <w:szCs w:val="20"/>
        </w:rPr>
        <w:t xml:space="preserve">What activities can be funded in Year 2? </w:t>
      </w:r>
    </w:p>
    <w:p w14:paraId="23FD5092" w14:textId="77777777" w:rsidR="00144503" w:rsidRDefault="00C26662" w:rsidP="00144503">
      <w:pPr>
        <w:pStyle w:val="ListParagraph"/>
        <w:tabs>
          <w:tab w:val="left" w:pos="720"/>
        </w:tabs>
        <w:spacing w:after="240"/>
        <w:contextualSpacing w:val="0"/>
        <w:rPr>
          <w:rFonts w:ascii="Calibri" w:hAnsi="Calibri" w:cs="Calibri"/>
          <w:sz w:val="20"/>
          <w:szCs w:val="20"/>
        </w:rPr>
      </w:pPr>
      <w:r>
        <w:rPr>
          <w:rFonts w:ascii="Calibri" w:hAnsi="Calibri" w:cs="Calibri"/>
          <w:sz w:val="20"/>
          <w:szCs w:val="20"/>
        </w:rPr>
        <w:t>The same Title I allowable costs guidelines apply, regardless of the year in which</w:t>
      </w:r>
      <w:r w:rsidR="00701181">
        <w:rPr>
          <w:rFonts w:ascii="Calibri" w:hAnsi="Calibri" w:cs="Calibri"/>
          <w:sz w:val="20"/>
          <w:szCs w:val="20"/>
        </w:rPr>
        <w:t xml:space="preserve"> the funds are being expended. </w:t>
      </w:r>
      <w:r>
        <w:rPr>
          <w:rFonts w:ascii="Calibri" w:hAnsi="Calibri" w:cs="Calibri"/>
          <w:sz w:val="20"/>
          <w:szCs w:val="20"/>
        </w:rPr>
        <w:t>The district should prioritize spending Year 2 funds first to ensure they are spent within the grant cycle and not reverted back to the US Treasury.</w:t>
      </w:r>
    </w:p>
    <w:p w14:paraId="4808B380" w14:textId="77777777" w:rsidR="005135DB" w:rsidRPr="00144503" w:rsidRDefault="00E966A3" w:rsidP="00144503">
      <w:pPr>
        <w:pStyle w:val="ListParagraph"/>
        <w:numPr>
          <w:ilvl w:val="0"/>
          <w:numId w:val="32"/>
        </w:numPr>
        <w:tabs>
          <w:tab w:val="left" w:pos="720"/>
        </w:tabs>
        <w:contextualSpacing w:val="0"/>
        <w:rPr>
          <w:rFonts w:ascii="Calibri" w:hAnsi="Calibri" w:cs="Calibri"/>
          <w:b/>
          <w:sz w:val="20"/>
          <w:szCs w:val="20"/>
        </w:rPr>
      </w:pPr>
      <w:r w:rsidRPr="00144503">
        <w:rPr>
          <w:rFonts w:asciiTheme="minorHAnsi" w:hAnsiTheme="minorHAnsi"/>
          <w:b/>
          <w:bCs/>
          <w:sz w:val="20"/>
          <w:szCs w:val="20"/>
        </w:rPr>
        <w:t xml:space="preserve">How does the </w:t>
      </w:r>
      <w:r w:rsidR="00E11DE4" w:rsidRPr="00144503">
        <w:rPr>
          <w:rFonts w:asciiTheme="minorHAnsi" w:hAnsiTheme="minorHAnsi"/>
          <w:b/>
          <w:bCs/>
          <w:sz w:val="20"/>
          <w:szCs w:val="20"/>
        </w:rPr>
        <w:t>Year 2</w:t>
      </w:r>
      <w:r w:rsidRPr="00144503">
        <w:rPr>
          <w:rFonts w:asciiTheme="minorHAnsi" w:hAnsiTheme="minorHAnsi"/>
          <w:b/>
          <w:bCs/>
          <w:sz w:val="20"/>
          <w:szCs w:val="20"/>
        </w:rPr>
        <w:t xml:space="preserve"> provision apply to equitable services to private school children?</w:t>
      </w:r>
    </w:p>
    <w:p w14:paraId="10DB13C3" w14:textId="77777777" w:rsidR="005135DB" w:rsidRDefault="00E966A3" w:rsidP="00144503">
      <w:pPr>
        <w:pStyle w:val="ListParagraph"/>
        <w:tabs>
          <w:tab w:val="left" w:pos="720"/>
        </w:tabs>
        <w:spacing w:after="240"/>
        <w:contextualSpacing w:val="0"/>
        <w:rPr>
          <w:rFonts w:ascii="Calibri" w:hAnsi="Calibri" w:cs="Calibri"/>
          <w:sz w:val="20"/>
          <w:szCs w:val="20"/>
        </w:rPr>
      </w:pPr>
      <w:r w:rsidRPr="005135DB">
        <w:rPr>
          <w:rFonts w:ascii="Calibri" w:hAnsi="Calibri" w:cs="Calibri"/>
          <w:sz w:val="20"/>
          <w:szCs w:val="20"/>
        </w:rPr>
        <w:t xml:space="preserve">In general, if a district provided equitable services for private school students in the first year, any </w:t>
      </w:r>
      <w:r w:rsidR="00E11DE4" w:rsidRPr="005135DB">
        <w:rPr>
          <w:rFonts w:ascii="Calibri" w:hAnsi="Calibri" w:cs="Calibri"/>
          <w:sz w:val="20"/>
          <w:szCs w:val="20"/>
        </w:rPr>
        <w:t>Year 2</w:t>
      </w:r>
      <w:r w:rsidRPr="005135DB">
        <w:rPr>
          <w:rFonts w:ascii="Calibri" w:hAnsi="Calibri" w:cs="Calibri"/>
          <w:sz w:val="20"/>
          <w:szCs w:val="20"/>
        </w:rPr>
        <w:t xml:space="preserve"> funds would be considered additional funds for the entire Title I program in the subsequent year and would be part of the district’s Title I resource base in the next year. Those funds would be used, along with any other </w:t>
      </w:r>
      <w:r w:rsidR="00CA4B82" w:rsidRPr="005135DB">
        <w:rPr>
          <w:rFonts w:ascii="Calibri" w:hAnsi="Calibri" w:cs="Calibri"/>
          <w:sz w:val="20"/>
          <w:szCs w:val="20"/>
        </w:rPr>
        <w:t>Year 2</w:t>
      </w:r>
      <w:r w:rsidRPr="005135DB">
        <w:rPr>
          <w:rFonts w:ascii="Calibri" w:hAnsi="Calibri" w:cs="Calibri"/>
          <w:sz w:val="20"/>
          <w:szCs w:val="20"/>
        </w:rPr>
        <w:t xml:space="preserve"> funds, for serving both public and private school students on an equitable basis. This situation might occur, for example, if private school students did not fully participate in the Federal program in the first year, even though an equitable program was planned and offered for those students.</w:t>
      </w:r>
    </w:p>
    <w:p w14:paraId="3F91E6A6" w14:textId="77777777" w:rsidR="005135DB" w:rsidRDefault="00E966A3" w:rsidP="005135DB">
      <w:pPr>
        <w:pStyle w:val="ListParagraph"/>
        <w:tabs>
          <w:tab w:val="left" w:pos="720"/>
        </w:tabs>
        <w:spacing w:before="120" w:after="120"/>
        <w:contextualSpacing w:val="0"/>
        <w:rPr>
          <w:rFonts w:ascii="Calibri" w:hAnsi="Calibri" w:cs="Calibri"/>
          <w:i/>
          <w:sz w:val="20"/>
          <w:szCs w:val="20"/>
        </w:rPr>
      </w:pPr>
      <w:r w:rsidRPr="000216DF">
        <w:rPr>
          <w:rFonts w:ascii="Calibri" w:hAnsi="Calibri" w:cs="Calibri"/>
          <w:sz w:val="20"/>
          <w:szCs w:val="20"/>
        </w:rPr>
        <w:t xml:space="preserve">However, there may be a circumstance in which equitable services were not provided. For example, there was a delay by a district in implementing an equitable program for private school children because of consultation and notification issues between private school officials and the district. As a result, the district could not spend all the funds it had available for providing equitable services to private school children and needed to carry over those funds and use them to provide services to private school children in the following year. </w:t>
      </w:r>
      <w:r w:rsidRPr="000216DF">
        <w:rPr>
          <w:rFonts w:ascii="Calibri" w:hAnsi="Calibri" w:cs="Calibri"/>
          <w:i/>
          <w:sz w:val="20"/>
          <w:szCs w:val="20"/>
        </w:rPr>
        <w:t xml:space="preserve">These </w:t>
      </w:r>
      <w:r w:rsidR="00CA4B82">
        <w:rPr>
          <w:rFonts w:ascii="Calibri" w:hAnsi="Calibri" w:cs="Calibri"/>
          <w:i/>
          <w:sz w:val="20"/>
          <w:szCs w:val="20"/>
        </w:rPr>
        <w:t>Year 2</w:t>
      </w:r>
      <w:r w:rsidRPr="000216DF">
        <w:rPr>
          <w:rFonts w:ascii="Calibri" w:hAnsi="Calibri" w:cs="Calibri"/>
          <w:i/>
          <w:sz w:val="20"/>
          <w:szCs w:val="20"/>
        </w:rPr>
        <w:t xml:space="preserve"> funds would be in addition to funds that the district would otherwise be required to use to provide equitable services for private school students out of the district’s current-year allocation. </w:t>
      </w:r>
    </w:p>
    <w:p w14:paraId="5B4A3ABB" w14:textId="77777777" w:rsidR="00E966A3" w:rsidRDefault="00E966A3" w:rsidP="005135DB">
      <w:pPr>
        <w:pStyle w:val="ListParagraph"/>
        <w:tabs>
          <w:tab w:val="left" w:pos="720"/>
        </w:tabs>
        <w:spacing w:before="120" w:after="120"/>
        <w:contextualSpacing w:val="0"/>
        <w:rPr>
          <w:rFonts w:ascii="Calibri" w:hAnsi="Calibri" w:cs="Calibri"/>
          <w:sz w:val="20"/>
          <w:szCs w:val="20"/>
        </w:rPr>
      </w:pPr>
      <w:r w:rsidRPr="000216DF">
        <w:rPr>
          <w:rFonts w:ascii="Calibri" w:hAnsi="Calibri" w:cs="Calibri"/>
          <w:sz w:val="20"/>
          <w:szCs w:val="20"/>
        </w:rPr>
        <w:t>Under either situation, the district retains control of the Federal funds carried ov</w:t>
      </w:r>
      <w:r>
        <w:rPr>
          <w:rFonts w:ascii="Calibri" w:hAnsi="Calibri" w:cs="Calibri"/>
          <w:sz w:val="20"/>
          <w:szCs w:val="20"/>
        </w:rPr>
        <w:t>er into the following year. F</w:t>
      </w:r>
      <w:r w:rsidRPr="000216DF">
        <w:rPr>
          <w:rFonts w:ascii="Calibri" w:hAnsi="Calibri" w:cs="Calibri"/>
          <w:sz w:val="20"/>
          <w:szCs w:val="20"/>
        </w:rPr>
        <w:t xml:space="preserve">unds are </w:t>
      </w:r>
      <w:r w:rsidRPr="00C66B1B">
        <w:rPr>
          <w:rFonts w:ascii="Calibri" w:hAnsi="Calibri" w:cs="Calibri"/>
          <w:b/>
          <w:sz w:val="20"/>
          <w:szCs w:val="20"/>
        </w:rPr>
        <w:t>never</w:t>
      </w:r>
      <w:r>
        <w:rPr>
          <w:rFonts w:ascii="Calibri" w:hAnsi="Calibri" w:cs="Calibri"/>
          <w:sz w:val="20"/>
          <w:szCs w:val="20"/>
        </w:rPr>
        <w:t xml:space="preserve"> </w:t>
      </w:r>
      <w:r w:rsidRPr="000216DF">
        <w:rPr>
          <w:rFonts w:ascii="Calibri" w:hAnsi="Calibri" w:cs="Calibri"/>
          <w:sz w:val="20"/>
          <w:szCs w:val="20"/>
        </w:rPr>
        <w:t>provided directly to private schools.</w:t>
      </w:r>
    </w:p>
    <w:sectPr w:rsidR="00E966A3" w:rsidSect="00032109">
      <w:headerReference w:type="default" r:id="rId14"/>
      <w:footerReference w:type="even" r:id="rId15"/>
      <w:footerReference w:type="default" r:id="rId16"/>
      <w:pgSz w:w="12240" w:h="15840" w:code="1"/>
      <w:pgMar w:top="1138" w:right="1138" w:bottom="1138" w:left="1138"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5D4A4" w14:textId="77777777" w:rsidR="00D50755" w:rsidRDefault="00D50755">
      <w:r>
        <w:separator/>
      </w:r>
    </w:p>
  </w:endnote>
  <w:endnote w:type="continuationSeparator" w:id="0">
    <w:p w14:paraId="5440DF18" w14:textId="77777777" w:rsidR="00D50755" w:rsidRDefault="00D5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356D0" w14:textId="77777777" w:rsidR="00032109" w:rsidRDefault="00EC1D09">
    <w:pPr>
      <w:pStyle w:val="Footer"/>
      <w:framePr w:wrap="around" w:vAnchor="text" w:hAnchor="margin" w:xAlign="center" w:y="1"/>
      <w:rPr>
        <w:rStyle w:val="PageNumber"/>
      </w:rPr>
    </w:pPr>
    <w:r>
      <w:rPr>
        <w:rStyle w:val="PageNumber"/>
      </w:rPr>
      <w:fldChar w:fldCharType="begin"/>
    </w:r>
    <w:r w:rsidR="00032109">
      <w:rPr>
        <w:rStyle w:val="PageNumber"/>
      </w:rPr>
      <w:instrText xml:space="preserve">PAGE  </w:instrText>
    </w:r>
    <w:r>
      <w:rPr>
        <w:rStyle w:val="PageNumber"/>
      </w:rPr>
      <w:fldChar w:fldCharType="end"/>
    </w:r>
  </w:p>
  <w:p w14:paraId="1F664F8B" w14:textId="77777777" w:rsidR="00032109" w:rsidRDefault="00032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A0" w:firstRow="1" w:lastRow="0" w:firstColumn="1" w:lastColumn="0" w:noHBand="0" w:noVBand="0"/>
    </w:tblPr>
    <w:tblGrid>
      <w:gridCol w:w="6804"/>
      <w:gridCol w:w="3160"/>
    </w:tblGrid>
    <w:tr w:rsidR="00032109" w:rsidRPr="0037347D" w14:paraId="62181090" w14:textId="77777777" w:rsidTr="0037347D">
      <w:tc>
        <w:tcPr>
          <w:tcW w:w="6948" w:type="dxa"/>
        </w:tcPr>
        <w:p w14:paraId="124A8609" w14:textId="77777777" w:rsidR="00032109" w:rsidRPr="000216DF" w:rsidRDefault="00032109">
          <w:pPr>
            <w:pStyle w:val="Footer"/>
            <w:rPr>
              <w:rFonts w:ascii="Calibri" w:hAnsi="Calibri" w:cs="Calibri"/>
              <w:bCs/>
              <w:sz w:val="20"/>
            </w:rPr>
          </w:pPr>
          <w:r w:rsidRPr="000216DF">
            <w:rPr>
              <w:rFonts w:ascii="Calibri" w:hAnsi="Calibri" w:cs="Calibri"/>
              <w:bCs/>
              <w:sz w:val="20"/>
            </w:rPr>
            <w:t>Massachusetts Department of Elementary and Secondary Education</w:t>
          </w:r>
        </w:p>
      </w:tc>
      <w:tc>
        <w:tcPr>
          <w:tcW w:w="3228" w:type="dxa"/>
        </w:tcPr>
        <w:p w14:paraId="5004C576" w14:textId="77777777" w:rsidR="00032109" w:rsidRPr="000216DF" w:rsidRDefault="00032109" w:rsidP="0037347D">
          <w:pPr>
            <w:pStyle w:val="Footer"/>
            <w:jc w:val="right"/>
            <w:rPr>
              <w:rFonts w:ascii="Calibri" w:hAnsi="Calibri" w:cs="Calibri"/>
              <w:b/>
              <w:bCs/>
              <w:sz w:val="20"/>
            </w:rPr>
          </w:pPr>
          <w:r w:rsidRPr="000216DF">
            <w:rPr>
              <w:rFonts w:ascii="Calibri" w:hAnsi="Calibri" w:cs="Calibri"/>
              <w:bCs/>
              <w:sz w:val="20"/>
            </w:rPr>
            <w:t>Page</w:t>
          </w:r>
          <w:r w:rsidRPr="000216DF">
            <w:rPr>
              <w:rFonts w:ascii="Calibri" w:hAnsi="Calibri" w:cs="Calibri"/>
              <w:b/>
              <w:bCs/>
              <w:sz w:val="20"/>
            </w:rPr>
            <w:t xml:space="preserve"> </w:t>
          </w:r>
          <w:r w:rsidR="00EC1D09" w:rsidRPr="000216DF">
            <w:rPr>
              <w:rStyle w:val="PageNumber"/>
              <w:rFonts w:ascii="Calibri" w:hAnsi="Calibri" w:cs="Calibri"/>
              <w:sz w:val="20"/>
            </w:rPr>
            <w:fldChar w:fldCharType="begin"/>
          </w:r>
          <w:r w:rsidRPr="000216DF">
            <w:rPr>
              <w:rStyle w:val="PageNumber"/>
              <w:rFonts w:ascii="Calibri" w:hAnsi="Calibri" w:cs="Calibri"/>
              <w:sz w:val="20"/>
            </w:rPr>
            <w:instrText xml:space="preserve"> PAGE </w:instrText>
          </w:r>
          <w:r w:rsidR="00EC1D09" w:rsidRPr="000216DF">
            <w:rPr>
              <w:rStyle w:val="PageNumber"/>
              <w:rFonts w:ascii="Calibri" w:hAnsi="Calibri" w:cs="Calibri"/>
              <w:sz w:val="20"/>
            </w:rPr>
            <w:fldChar w:fldCharType="separate"/>
          </w:r>
          <w:r w:rsidR="00A14EFD">
            <w:rPr>
              <w:rStyle w:val="PageNumber"/>
              <w:rFonts w:ascii="Calibri" w:hAnsi="Calibri" w:cs="Calibri"/>
              <w:noProof/>
              <w:sz w:val="20"/>
            </w:rPr>
            <w:t>1</w:t>
          </w:r>
          <w:r w:rsidR="00EC1D09" w:rsidRPr="000216DF">
            <w:rPr>
              <w:rStyle w:val="PageNumber"/>
              <w:rFonts w:ascii="Calibri" w:hAnsi="Calibri" w:cs="Calibri"/>
              <w:sz w:val="20"/>
            </w:rPr>
            <w:fldChar w:fldCharType="end"/>
          </w:r>
          <w:r w:rsidRPr="000216DF">
            <w:rPr>
              <w:rStyle w:val="PageNumber"/>
              <w:rFonts w:ascii="Calibri" w:hAnsi="Calibri" w:cs="Calibri"/>
            </w:rPr>
            <w:t xml:space="preserve"> </w:t>
          </w:r>
          <w:r w:rsidRPr="000216DF">
            <w:rPr>
              <w:rStyle w:val="PageNumber"/>
              <w:rFonts w:ascii="Calibri" w:hAnsi="Calibri" w:cs="Calibri"/>
              <w:sz w:val="20"/>
            </w:rPr>
            <w:t xml:space="preserve">of </w:t>
          </w:r>
          <w:r w:rsidR="00EC1D09" w:rsidRPr="000216DF">
            <w:rPr>
              <w:rStyle w:val="PageNumber"/>
              <w:rFonts w:ascii="Calibri" w:hAnsi="Calibri" w:cs="Calibri"/>
              <w:sz w:val="20"/>
            </w:rPr>
            <w:fldChar w:fldCharType="begin"/>
          </w:r>
          <w:r w:rsidRPr="000216DF">
            <w:rPr>
              <w:rStyle w:val="PageNumber"/>
              <w:rFonts w:ascii="Calibri" w:hAnsi="Calibri" w:cs="Calibri"/>
              <w:sz w:val="20"/>
            </w:rPr>
            <w:instrText xml:space="preserve"> NUMPAGES </w:instrText>
          </w:r>
          <w:r w:rsidR="00EC1D09" w:rsidRPr="000216DF">
            <w:rPr>
              <w:rStyle w:val="PageNumber"/>
              <w:rFonts w:ascii="Calibri" w:hAnsi="Calibri" w:cs="Calibri"/>
              <w:sz w:val="20"/>
            </w:rPr>
            <w:fldChar w:fldCharType="separate"/>
          </w:r>
          <w:r w:rsidR="00A14EFD">
            <w:rPr>
              <w:rStyle w:val="PageNumber"/>
              <w:rFonts w:ascii="Calibri" w:hAnsi="Calibri" w:cs="Calibri"/>
              <w:noProof/>
              <w:sz w:val="20"/>
            </w:rPr>
            <w:t>3</w:t>
          </w:r>
          <w:r w:rsidR="00EC1D09" w:rsidRPr="000216DF">
            <w:rPr>
              <w:rStyle w:val="PageNumber"/>
              <w:rFonts w:ascii="Calibri" w:hAnsi="Calibri" w:cs="Calibri"/>
              <w:sz w:val="20"/>
            </w:rPr>
            <w:fldChar w:fldCharType="end"/>
          </w:r>
        </w:p>
      </w:tc>
    </w:tr>
  </w:tbl>
  <w:p w14:paraId="50405634" w14:textId="77777777" w:rsidR="00032109" w:rsidRPr="00025080" w:rsidRDefault="00032109">
    <w:pPr>
      <w:pStyle w:val="Footer"/>
      <w:rPr>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5B41D" w14:textId="77777777" w:rsidR="00D50755" w:rsidRDefault="00D50755">
      <w:r>
        <w:separator/>
      </w:r>
    </w:p>
  </w:footnote>
  <w:footnote w:type="continuationSeparator" w:id="0">
    <w:p w14:paraId="7C3D288C" w14:textId="77777777" w:rsidR="00D50755" w:rsidRDefault="00D50755">
      <w:r>
        <w:continuationSeparator/>
      </w:r>
    </w:p>
  </w:footnote>
  <w:footnote w:id="1">
    <w:p w14:paraId="48D27B73" w14:textId="77777777" w:rsidR="00032109" w:rsidRPr="000216DF" w:rsidRDefault="00032109" w:rsidP="000216DF">
      <w:pPr>
        <w:pStyle w:val="FootnoteText"/>
        <w:spacing w:after="120"/>
        <w:rPr>
          <w:rFonts w:ascii="Calibri" w:hAnsi="Calibri" w:cs="Calibri"/>
        </w:rPr>
      </w:pPr>
      <w:r w:rsidRPr="000216DF">
        <w:rPr>
          <w:rStyle w:val="FootnoteReference"/>
          <w:rFonts w:ascii="Calibri" w:hAnsi="Calibri" w:cs="Calibri"/>
          <w:sz w:val="18"/>
        </w:rPr>
        <w:footnoteRef/>
      </w:r>
      <w:r w:rsidRPr="000216DF">
        <w:rPr>
          <w:rFonts w:ascii="Calibri" w:hAnsi="Calibri" w:cs="Calibri"/>
          <w:sz w:val="18"/>
        </w:rPr>
        <w:t xml:space="preserve"> Adapted from the U.S. Department of Education’s Non-Regulatory Guidance on Title I Fiscal Issues: </w:t>
      </w:r>
      <w:hyperlink r:id="rId1" w:history="1">
        <w:r w:rsidRPr="000216DF">
          <w:rPr>
            <w:rStyle w:val="Hyperlink"/>
            <w:rFonts w:ascii="Calibri" w:hAnsi="Calibri" w:cs="Calibri"/>
            <w:sz w:val="18"/>
          </w:rPr>
          <w:t>http://www.ed.gov/programs/titleiparta/fiscalguid.doc</w:t>
        </w:r>
      </w:hyperlink>
      <w:r w:rsidRPr="000216DF">
        <w:rPr>
          <w:rFonts w:ascii="Calibri" w:hAnsi="Calibri" w:cs="Calibri"/>
          <w:sz w:val="18"/>
        </w:rPr>
        <w:t>.</w:t>
      </w:r>
    </w:p>
  </w:footnote>
  <w:footnote w:id="2">
    <w:p w14:paraId="4DD6CAFC" w14:textId="77777777" w:rsidR="00032109" w:rsidRPr="00025080" w:rsidRDefault="00032109">
      <w:pPr>
        <w:pStyle w:val="FootnoteText"/>
        <w:rPr>
          <w:sz w:val="18"/>
        </w:rPr>
      </w:pPr>
      <w:r>
        <w:rPr>
          <w:rStyle w:val="FootnoteReference"/>
        </w:rPr>
        <w:footnoteRef/>
      </w:r>
      <w:r>
        <w:t xml:space="preserve"> </w:t>
      </w:r>
      <w:r w:rsidRPr="00025080">
        <w:rPr>
          <w:rFonts w:ascii="Calibri" w:hAnsi="Calibri" w:cs="Calibri"/>
          <w:sz w:val="18"/>
        </w:rPr>
        <w:t>The 85% rule</w:t>
      </w:r>
      <w:r>
        <w:rPr>
          <w:rFonts w:ascii="Calibri" w:hAnsi="Calibri" w:cs="Calibri"/>
          <w:sz w:val="18"/>
        </w:rPr>
        <w:t>, requiring a district spend at least 85% of its grant in Year 1,</w:t>
      </w:r>
      <w:r w:rsidRPr="00025080">
        <w:rPr>
          <w:rFonts w:ascii="Calibri" w:hAnsi="Calibri" w:cs="Calibri"/>
          <w:sz w:val="18"/>
        </w:rPr>
        <w:t xml:space="preserve"> does not apply to districts with an allocation of less than $50,000.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DDD9" w14:textId="43F1DBB9" w:rsidR="00032109" w:rsidRDefault="00032109" w:rsidP="00111D20">
    <w:pPr>
      <w:pStyle w:val="Header"/>
      <w:jc w:val="right"/>
      <w:rPr>
        <w:rFonts w:ascii="Calibri" w:hAnsi="Calibri" w:cs="Calibri"/>
        <w:sz w:val="20"/>
      </w:rPr>
    </w:pPr>
    <w:r>
      <w:rPr>
        <w:rFonts w:ascii="Calibri" w:hAnsi="Calibri" w:cs="Calibri"/>
        <w:sz w:val="20"/>
      </w:rPr>
      <w:t xml:space="preserve">Last updated </w:t>
    </w:r>
    <w:r w:rsidR="0076440E">
      <w:rPr>
        <w:rFonts w:ascii="Calibri" w:hAnsi="Calibri" w:cs="Calibri"/>
        <w:sz w:val="20"/>
      </w:rPr>
      <w:t>May</w:t>
    </w:r>
    <w:r w:rsidR="00C03243">
      <w:rPr>
        <w:rFonts w:ascii="Calibri" w:hAnsi="Calibri" w:cs="Calibri"/>
        <w:sz w:val="20"/>
      </w:rPr>
      <w:t xml:space="preserve"> 20</w:t>
    </w:r>
    <w:r w:rsidR="0076440E">
      <w:rPr>
        <w:rFonts w:ascii="Calibri" w:hAnsi="Calibri" w:cs="Calibri"/>
        <w:sz w:val="20"/>
      </w:rPr>
      <w:t>22</w:t>
    </w:r>
  </w:p>
  <w:p w14:paraId="30871576" w14:textId="77777777" w:rsidR="00111D20" w:rsidRPr="00D77FF7" w:rsidRDefault="00111D20" w:rsidP="00111D20">
    <w:pPr>
      <w:pStyle w:val="Header"/>
      <w:jc w:val="right"/>
      <w:rPr>
        <w:rFonts w:ascii="Calibri" w:hAnsi="Calibri" w:cs="Calibri"/>
        <w:sz w:val="20"/>
      </w:rPr>
    </w:pPr>
  </w:p>
</w:hdr>
</file>

<file path=word/intelligence.xml><?xml version="1.0" encoding="utf-8"?>
<int:Intelligence xmlns:int="http://schemas.microsoft.com/office/intelligence/2019/intelligence">
  <int:IntelligenceSettings/>
  <int:Manifest>
    <int:ParagraphRange paragraphId="4621939" textId="504359160" start="631" length="20" invalidationStart="631" invalidationLength="20" id="C9b6HnID"/>
    <int:ParagraphRange paragraphId="1461238866" textId="746453360" start="89" length="12" invalidationStart="89" invalidationLength="12" id="AsqbVjGH"/>
  </int:Manifest>
  <int:Observations>
    <int:Content id="C9b6HnID">
      <int:Rejection type="LegacyProofing"/>
    </int:Content>
    <int:Content id="AsqbVjG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23C"/>
    <w:multiLevelType w:val="hybridMultilevel"/>
    <w:tmpl w:val="C1EE5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30ABD"/>
    <w:multiLevelType w:val="hybridMultilevel"/>
    <w:tmpl w:val="5BA086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E63ECE"/>
    <w:multiLevelType w:val="hybridMultilevel"/>
    <w:tmpl w:val="B07AB3A8"/>
    <w:lvl w:ilvl="0" w:tplc="668CA044">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027858"/>
    <w:multiLevelType w:val="hybridMultilevel"/>
    <w:tmpl w:val="087CBEB0"/>
    <w:lvl w:ilvl="0" w:tplc="01F0AE36">
      <w:start w:val="1"/>
      <w:numFmt w:val="decimal"/>
      <w:lvlText w:val="%1."/>
      <w:lvlJc w:val="left"/>
      <w:pPr>
        <w:tabs>
          <w:tab w:val="num" w:pos="1080"/>
        </w:tabs>
        <w:ind w:left="1080" w:hanging="360"/>
      </w:pPr>
      <w:rPr>
        <w:rFonts w:hint="default"/>
        <w:b w:val="0"/>
        <w:i w:val="0"/>
      </w:rPr>
    </w:lvl>
    <w:lvl w:ilvl="1" w:tplc="50FE7758">
      <w:start w:val="1"/>
      <w:numFmt w:val="lowerLetter"/>
      <w:lvlText w:val="(%2)"/>
      <w:lvlJc w:val="left"/>
      <w:pPr>
        <w:tabs>
          <w:tab w:val="num" w:pos="1830"/>
        </w:tabs>
        <w:ind w:left="1830" w:hanging="390"/>
      </w:pPr>
      <w:rPr>
        <w:rFonts w:hint="default"/>
        <w:b w:val="0"/>
        <w:i w:val="0"/>
      </w:rPr>
    </w:lvl>
    <w:lvl w:ilvl="2" w:tplc="0C405CA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EE2E16"/>
    <w:multiLevelType w:val="hybridMultilevel"/>
    <w:tmpl w:val="2F1A3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D5D63"/>
    <w:multiLevelType w:val="hybridMultilevel"/>
    <w:tmpl w:val="E32CAD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643386"/>
    <w:multiLevelType w:val="hybridMultilevel"/>
    <w:tmpl w:val="18003B28"/>
    <w:lvl w:ilvl="0" w:tplc="C6949B80">
      <w:start w:val="1"/>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B8571D3"/>
    <w:multiLevelType w:val="hybridMultilevel"/>
    <w:tmpl w:val="EB0004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CD2DDF"/>
    <w:multiLevelType w:val="hybridMultilevel"/>
    <w:tmpl w:val="86BA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73C30"/>
    <w:multiLevelType w:val="hybridMultilevel"/>
    <w:tmpl w:val="2ADED7F2"/>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1770E1C"/>
    <w:multiLevelType w:val="hybridMultilevel"/>
    <w:tmpl w:val="0F86EA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F32DCE"/>
    <w:multiLevelType w:val="hybridMultilevel"/>
    <w:tmpl w:val="C0A618B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C75E23"/>
    <w:multiLevelType w:val="hybridMultilevel"/>
    <w:tmpl w:val="A2E2500A"/>
    <w:lvl w:ilvl="0" w:tplc="802C98FE">
      <w:start w:val="1"/>
      <w:numFmt w:val="upperLetter"/>
      <w:lvlText w:val="%1."/>
      <w:lvlJc w:val="left"/>
      <w:pPr>
        <w:tabs>
          <w:tab w:val="num" w:pos="720"/>
        </w:tabs>
        <w:ind w:left="720" w:hanging="360"/>
      </w:pPr>
      <w:rPr>
        <w:rFonts w:hint="default"/>
        <w:b/>
      </w:rPr>
    </w:lvl>
    <w:lvl w:ilvl="1" w:tplc="1264C5F2">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D87557"/>
    <w:multiLevelType w:val="hybridMultilevel"/>
    <w:tmpl w:val="AA3E9CF0"/>
    <w:lvl w:ilvl="0" w:tplc="668CA04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866ED0"/>
    <w:multiLevelType w:val="hybridMultilevel"/>
    <w:tmpl w:val="FF9A7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B0FFB"/>
    <w:multiLevelType w:val="hybridMultilevel"/>
    <w:tmpl w:val="2A1CE12C"/>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97D663A6">
      <w:start w:val="1"/>
      <w:numFmt w:val="lowerLetter"/>
      <w:lvlText w:val="%3."/>
      <w:lvlJc w:val="right"/>
      <w:pPr>
        <w:tabs>
          <w:tab w:val="num" w:pos="2160"/>
        </w:tabs>
        <w:ind w:left="2160" w:hanging="180"/>
      </w:pPr>
      <w:rPr>
        <w:rFonts w:hint="default"/>
      </w:rPr>
    </w:lvl>
    <w:lvl w:ilvl="3" w:tplc="A77CABBE">
      <w:start w:val="1"/>
      <w:numFmt w:val="lowerLetter"/>
      <w:lvlText w:val="%4."/>
      <w:lvlJc w:val="left"/>
      <w:pPr>
        <w:tabs>
          <w:tab w:val="num" w:pos="3420"/>
        </w:tabs>
        <w:ind w:left="3420" w:hanging="900"/>
      </w:pPr>
      <w:rPr>
        <w:rFonts w:hint="default"/>
      </w:rPr>
    </w:lvl>
    <w:lvl w:ilvl="4" w:tplc="08700B26">
      <w:start w:val="1"/>
      <w:numFmt w:val="decimal"/>
      <w:lvlText w:val="(%5)"/>
      <w:lvlJc w:val="left"/>
      <w:pPr>
        <w:tabs>
          <w:tab w:val="num" w:pos="4140"/>
        </w:tabs>
        <w:ind w:left="4140" w:hanging="900"/>
      </w:pPr>
      <w:rPr>
        <w:rFonts w:hint="default"/>
      </w:rPr>
    </w:lvl>
    <w:lvl w:ilvl="5" w:tplc="04090003">
      <w:start w:val="1"/>
      <w:numFmt w:val="bullet"/>
      <w:lvlText w:val="o"/>
      <w:lvlJc w:val="left"/>
      <w:pPr>
        <w:tabs>
          <w:tab w:val="num" w:pos="4500"/>
        </w:tabs>
        <w:ind w:left="4500" w:hanging="360"/>
      </w:pPr>
      <w:rPr>
        <w:rFonts w:ascii="Courier New" w:hAnsi="Courier New"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E32E83"/>
    <w:multiLevelType w:val="hybridMultilevel"/>
    <w:tmpl w:val="0E36A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8D5B0B"/>
    <w:multiLevelType w:val="hybridMultilevel"/>
    <w:tmpl w:val="40FC8B3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8" w15:restartNumberingAfterBreak="0">
    <w:nsid w:val="3E3A66D1"/>
    <w:multiLevelType w:val="hybridMultilevel"/>
    <w:tmpl w:val="575838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2153CA"/>
    <w:multiLevelType w:val="hybridMultilevel"/>
    <w:tmpl w:val="837A5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E57681"/>
    <w:multiLevelType w:val="hybridMultilevel"/>
    <w:tmpl w:val="0B9E1422"/>
    <w:lvl w:ilvl="0" w:tplc="04090001">
      <w:start w:val="1"/>
      <w:numFmt w:val="bullet"/>
      <w:lvlText w:val=""/>
      <w:lvlJc w:val="left"/>
      <w:pPr>
        <w:tabs>
          <w:tab w:val="num" w:pos="1080"/>
        </w:tabs>
        <w:ind w:left="1080" w:hanging="360"/>
      </w:pPr>
      <w:rPr>
        <w:rFonts w:ascii="Symbol" w:hAnsi="Symbol" w:hint="default"/>
      </w:rPr>
    </w:lvl>
    <w:lvl w:ilvl="1" w:tplc="97D663A6">
      <w:start w:val="1"/>
      <w:numFmt w:val="lowerLetter"/>
      <w:lvlText w:val="%2."/>
      <w:lvlJc w:val="right"/>
      <w:pPr>
        <w:tabs>
          <w:tab w:val="num" w:pos="1620"/>
        </w:tabs>
        <w:ind w:left="1620" w:hanging="18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9E4E22"/>
    <w:multiLevelType w:val="hybridMultilevel"/>
    <w:tmpl w:val="63680C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4A25E5"/>
    <w:multiLevelType w:val="hybridMultilevel"/>
    <w:tmpl w:val="EB98A6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802999"/>
    <w:multiLevelType w:val="hybridMultilevel"/>
    <w:tmpl w:val="360CD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13A598A"/>
    <w:multiLevelType w:val="hybridMultilevel"/>
    <w:tmpl w:val="556A5FB4"/>
    <w:lvl w:ilvl="0" w:tplc="A7B692CE">
      <w:start w:val="1"/>
      <w:numFmt w:val="decimal"/>
      <w:lvlText w:val="%1."/>
      <w:lvlJc w:val="left"/>
      <w:pPr>
        <w:tabs>
          <w:tab w:val="num" w:pos="840"/>
        </w:tabs>
        <w:ind w:left="840" w:hanging="360"/>
      </w:pPr>
      <w:rPr>
        <w:rFonts w:hint="default"/>
      </w:rPr>
    </w:lvl>
    <w:lvl w:ilvl="1" w:tplc="CA5C9F46">
      <w:start w:val="1"/>
      <w:numFmt w:val="lowerLetter"/>
      <w:lvlText w:val="(%2)"/>
      <w:lvlJc w:val="left"/>
      <w:pPr>
        <w:tabs>
          <w:tab w:val="num" w:pos="1368"/>
        </w:tabs>
        <w:ind w:left="1368" w:hanging="432"/>
      </w:pPr>
      <w:rPr>
        <w:rFonts w:hint="default"/>
        <w:b w:val="0"/>
        <w:i w:val="0"/>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15:restartNumberingAfterBreak="0">
    <w:nsid w:val="55990D04"/>
    <w:multiLevelType w:val="hybridMultilevel"/>
    <w:tmpl w:val="9FCCD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E2520"/>
    <w:multiLevelType w:val="hybridMultilevel"/>
    <w:tmpl w:val="D5C46D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3271201"/>
    <w:multiLevelType w:val="hybridMultilevel"/>
    <w:tmpl w:val="BC302762"/>
    <w:lvl w:ilvl="0" w:tplc="A724B7DE">
      <w:start w:val="1"/>
      <w:numFmt w:val="bullet"/>
      <w:lvlText w:val=""/>
      <w:lvlJc w:val="left"/>
      <w:pPr>
        <w:tabs>
          <w:tab w:val="num" w:pos="864"/>
        </w:tabs>
        <w:ind w:left="864" w:hanging="360"/>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15:restartNumberingAfterBreak="0">
    <w:nsid w:val="64B94BE3"/>
    <w:multiLevelType w:val="hybridMultilevel"/>
    <w:tmpl w:val="43928620"/>
    <w:lvl w:ilvl="0" w:tplc="0409000F">
      <w:start w:val="1"/>
      <w:numFmt w:val="decimal"/>
      <w:lvlText w:val="%1."/>
      <w:lvlJc w:val="left"/>
      <w:pPr>
        <w:tabs>
          <w:tab w:val="num" w:pos="360"/>
        </w:tabs>
        <w:ind w:left="360" w:hanging="360"/>
      </w:pPr>
    </w:lvl>
    <w:lvl w:ilvl="1" w:tplc="072436BC">
      <w:start w:val="1"/>
      <w:numFmt w:val="upperLetter"/>
      <w:lvlText w:val="%2)"/>
      <w:lvlJc w:val="left"/>
      <w:pPr>
        <w:tabs>
          <w:tab w:val="num" w:pos="1080"/>
        </w:tabs>
        <w:ind w:left="1080" w:hanging="360"/>
      </w:pPr>
      <w:rPr>
        <w:rFonts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4BB1C64"/>
    <w:multiLevelType w:val="hybridMultilevel"/>
    <w:tmpl w:val="2F1A3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47608"/>
    <w:multiLevelType w:val="hybridMultilevel"/>
    <w:tmpl w:val="B0EAA74E"/>
    <w:lvl w:ilvl="0" w:tplc="7B7A9A0E">
      <w:start w:val="1"/>
      <w:numFmt w:val="lowerLetter"/>
      <w:lvlText w:val="(%1)"/>
      <w:lvlJc w:val="left"/>
      <w:pPr>
        <w:tabs>
          <w:tab w:val="num" w:pos="2040"/>
        </w:tabs>
        <w:ind w:left="2040" w:hanging="390"/>
      </w:pPr>
      <w:rPr>
        <w:rFonts w:hint="default"/>
        <w:b w:val="0"/>
        <w:i w:val="0"/>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31" w15:restartNumberingAfterBreak="0">
    <w:nsid w:val="6DBD4A4B"/>
    <w:multiLevelType w:val="hybridMultilevel"/>
    <w:tmpl w:val="DA00D27E"/>
    <w:lvl w:ilvl="0" w:tplc="BE8A564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DD3032"/>
    <w:multiLevelType w:val="hybridMultilevel"/>
    <w:tmpl w:val="574435C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75FD408D"/>
    <w:multiLevelType w:val="hybridMultilevel"/>
    <w:tmpl w:val="49AE04BE"/>
    <w:lvl w:ilvl="0" w:tplc="BE8A564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464E33"/>
    <w:multiLevelType w:val="hybridMultilevel"/>
    <w:tmpl w:val="EB98A63C"/>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5A3AAB"/>
    <w:multiLevelType w:val="hybridMultilevel"/>
    <w:tmpl w:val="EB98A63C"/>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0F">
      <w:start w:val="1"/>
      <w:numFmt w:val="decimal"/>
      <w:lvlText w:val="%3."/>
      <w:lvlJc w:val="left"/>
      <w:pPr>
        <w:tabs>
          <w:tab w:val="num" w:pos="360"/>
        </w:tabs>
        <w:ind w:left="360" w:hanging="360"/>
      </w:p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481A8A"/>
    <w:multiLevelType w:val="hybridMultilevel"/>
    <w:tmpl w:val="2F1A3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34"/>
  </w:num>
  <w:num w:numId="4">
    <w:abstractNumId w:val="0"/>
  </w:num>
  <w:num w:numId="5">
    <w:abstractNumId w:val="15"/>
  </w:num>
  <w:num w:numId="6">
    <w:abstractNumId w:val="12"/>
  </w:num>
  <w:num w:numId="7">
    <w:abstractNumId w:val="20"/>
  </w:num>
  <w:num w:numId="8">
    <w:abstractNumId w:val="16"/>
  </w:num>
  <w:num w:numId="9">
    <w:abstractNumId w:val="14"/>
  </w:num>
  <w:num w:numId="10">
    <w:abstractNumId w:val="35"/>
  </w:num>
  <w:num w:numId="11">
    <w:abstractNumId w:val="17"/>
  </w:num>
  <w:num w:numId="12">
    <w:abstractNumId w:val="9"/>
  </w:num>
  <w:num w:numId="13">
    <w:abstractNumId w:val="7"/>
  </w:num>
  <w:num w:numId="14">
    <w:abstractNumId w:val="11"/>
  </w:num>
  <w:num w:numId="15">
    <w:abstractNumId w:val="5"/>
  </w:num>
  <w:num w:numId="16">
    <w:abstractNumId w:val="24"/>
  </w:num>
  <w:num w:numId="17">
    <w:abstractNumId w:val="10"/>
  </w:num>
  <w:num w:numId="18">
    <w:abstractNumId w:val="30"/>
  </w:num>
  <w:num w:numId="19">
    <w:abstractNumId w:val="27"/>
  </w:num>
  <w:num w:numId="20">
    <w:abstractNumId w:val="2"/>
  </w:num>
  <w:num w:numId="21">
    <w:abstractNumId w:val="21"/>
  </w:num>
  <w:num w:numId="22">
    <w:abstractNumId w:val="3"/>
  </w:num>
  <w:num w:numId="23">
    <w:abstractNumId w:val="6"/>
  </w:num>
  <w:num w:numId="24">
    <w:abstractNumId w:val="26"/>
  </w:num>
  <w:num w:numId="25">
    <w:abstractNumId w:val="19"/>
  </w:num>
  <w:num w:numId="26">
    <w:abstractNumId w:val="31"/>
  </w:num>
  <w:num w:numId="27">
    <w:abstractNumId w:val="33"/>
  </w:num>
  <w:num w:numId="28">
    <w:abstractNumId w:val="1"/>
  </w:num>
  <w:num w:numId="29">
    <w:abstractNumId w:val="18"/>
  </w:num>
  <w:num w:numId="30">
    <w:abstractNumId w:val="23"/>
  </w:num>
  <w:num w:numId="31">
    <w:abstractNumId w:val="13"/>
  </w:num>
  <w:num w:numId="32">
    <w:abstractNumId w:val="8"/>
  </w:num>
  <w:num w:numId="33">
    <w:abstractNumId w:val="32"/>
  </w:num>
  <w:num w:numId="34">
    <w:abstractNumId w:val="36"/>
  </w:num>
  <w:num w:numId="35">
    <w:abstractNumId w:val="4"/>
  </w:num>
  <w:num w:numId="36">
    <w:abstractNumId w:val="2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D3"/>
    <w:rsid w:val="00007084"/>
    <w:rsid w:val="000216DF"/>
    <w:rsid w:val="00025080"/>
    <w:rsid w:val="00032109"/>
    <w:rsid w:val="00036C14"/>
    <w:rsid w:val="00052B1E"/>
    <w:rsid w:val="00055065"/>
    <w:rsid w:val="00062116"/>
    <w:rsid w:val="00067430"/>
    <w:rsid w:val="0007219B"/>
    <w:rsid w:val="00074423"/>
    <w:rsid w:val="000847DB"/>
    <w:rsid w:val="00085D81"/>
    <w:rsid w:val="000A123D"/>
    <w:rsid w:val="000B0834"/>
    <w:rsid w:val="000B78EF"/>
    <w:rsid w:val="000E42E3"/>
    <w:rsid w:val="000E70BB"/>
    <w:rsid w:val="000E7B86"/>
    <w:rsid w:val="001012CD"/>
    <w:rsid w:val="00104EC5"/>
    <w:rsid w:val="00105D33"/>
    <w:rsid w:val="00111D20"/>
    <w:rsid w:val="001176D2"/>
    <w:rsid w:val="001344FB"/>
    <w:rsid w:val="00144503"/>
    <w:rsid w:val="0014492F"/>
    <w:rsid w:val="001518A5"/>
    <w:rsid w:val="001538D6"/>
    <w:rsid w:val="001618CB"/>
    <w:rsid w:val="0016320B"/>
    <w:rsid w:val="00166C7F"/>
    <w:rsid w:val="0019448E"/>
    <w:rsid w:val="00197A8A"/>
    <w:rsid w:val="001C2443"/>
    <w:rsid w:val="001C4895"/>
    <w:rsid w:val="001D582C"/>
    <w:rsid w:val="001F5906"/>
    <w:rsid w:val="0020082B"/>
    <w:rsid w:val="002146DC"/>
    <w:rsid w:val="00224369"/>
    <w:rsid w:val="0022598B"/>
    <w:rsid w:val="00230135"/>
    <w:rsid w:val="00232F3A"/>
    <w:rsid w:val="00232FE4"/>
    <w:rsid w:val="00260BED"/>
    <w:rsid w:val="00275258"/>
    <w:rsid w:val="00280327"/>
    <w:rsid w:val="002940ED"/>
    <w:rsid w:val="002A42F2"/>
    <w:rsid w:val="002B06C6"/>
    <w:rsid w:val="002B6BE6"/>
    <w:rsid w:val="002C2606"/>
    <w:rsid w:val="002C549F"/>
    <w:rsid w:val="002D4548"/>
    <w:rsid w:val="002E47A1"/>
    <w:rsid w:val="002F3385"/>
    <w:rsid w:val="002F3B66"/>
    <w:rsid w:val="003443C9"/>
    <w:rsid w:val="00366C8B"/>
    <w:rsid w:val="0037347D"/>
    <w:rsid w:val="00386B44"/>
    <w:rsid w:val="003B0308"/>
    <w:rsid w:val="003E134B"/>
    <w:rsid w:val="004105E4"/>
    <w:rsid w:val="00410E28"/>
    <w:rsid w:val="00423189"/>
    <w:rsid w:val="004231E4"/>
    <w:rsid w:val="00434E1C"/>
    <w:rsid w:val="0044430A"/>
    <w:rsid w:val="00447521"/>
    <w:rsid w:val="004505BE"/>
    <w:rsid w:val="004600AB"/>
    <w:rsid w:val="00464175"/>
    <w:rsid w:val="0047197F"/>
    <w:rsid w:val="004865D2"/>
    <w:rsid w:val="004A7BA7"/>
    <w:rsid w:val="004B0A33"/>
    <w:rsid w:val="004C715F"/>
    <w:rsid w:val="004D4785"/>
    <w:rsid w:val="004D6CB9"/>
    <w:rsid w:val="004E3E0E"/>
    <w:rsid w:val="004F181C"/>
    <w:rsid w:val="005135DB"/>
    <w:rsid w:val="005525DC"/>
    <w:rsid w:val="00552D96"/>
    <w:rsid w:val="005867AF"/>
    <w:rsid w:val="0059404F"/>
    <w:rsid w:val="005A03A1"/>
    <w:rsid w:val="005B74FC"/>
    <w:rsid w:val="005D54FE"/>
    <w:rsid w:val="005F121C"/>
    <w:rsid w:val="0061156A"/>
    <w:rsid w:val="006414AB"/>
    <w:rsid w:val="00666845"/>
    <w:rsid w:val="00670F5F"/>
    <w:rsid w:val="006867D5"/>
    <w:rsid w:val="006A1B72"/>
    <w:rsid w:val="006B0DE0"/>
    <w:rsid w:val="006C7051"/>
    <w:rsid w:val="006D0383"/>
    <w:rsid w:val="006E000D"/>
    <w:rsid w:val="006F56AF"/>
    <w:rsid w:val="006F5C97"/>
    <w:rsid w:val="00701181"/>
    <w:rsid w:val="00723A4D"/>
    <w:rsid w:val="00726BC9"/>
    <w:rsid w:val="00732493"/>
    <w:rsid w:val="00740546"/>
    <w:rsid w:val="00751DD0"/>
    <w:rsid w:val="007522E1"/>
    <w:rsid w:val="0076440E"/>
    <w:rsid w:val="0076449A"/>
    <w:rsid w:val="00783E69"/>
    <w:rsid w:val="00796214"/>
    <w:rsid w:val="007C4114"/>
    <w:rsid w:val="007D6603"/>
    <w:rsid w:val="007D7B18"/>
    <w:rsid w:val="007E1FFC"/>
    <w:rsid w:val="007F0BD1"/>
    <w:rsid w:val="007F3CD6"/>
    <w:rsid w:val="008050C0"/>
    <w:rsid w:val="00815EC2"/>
    <w:rsid w:val="00826A83"/>
    <w:rsid w:val="008610DC"/>
    <w:rsid w:val="0087121A"/>
    <w:rsid w:val="00872239"/>
    <w:rsid w:val="00883763"/>
    <w:rsid w:val="008A386D"/>
    <w:rsid w:val="008A6216"/>
    <w:rsid w:val="008D2898"/>
    <w:rsid w:val="008F4C69"/>
    <w:rsid w:val="009267F0"/>
    <w:rsid w:val="00942993"/>
    <w:rsid w:val="0094386A"/>
    <w:rsid w:val="009915AB"/>
    <w:rsid w:val="009A5DEB"/>
    <w:rsid w:val="009B2C5A"/>
    <w:rsid w:val="009B791C"/>
    <w:rsid w:val="009E5F41"/>
    <w:rsid w:val="00A14EFD"/>
    <w:rsid w:val="00A26C9C"/>
    <w:rsid w:val="00A674A3"/>
    <w:rsid w:val="00AA3C1A"/>
    <w:rsid w:val="00AC7597"/>
    <w:rsid w:val="00AD0C97"/>
    <w:rsid w:val="00AD5A6C"/>
    <w:rsid w:val="00AF5173"/>
    <w:rsid w:val="00B46EAD"/>
    <w:rsid w:val="00B50C82"/>
    <w:rsid w:val="00B520EA"/>
    <w:rsid w:val="00B64E1C"/>
    <w:rsid w:val="00B721E1"/>
    <w:rsid w:val="00B773DD"/>
    <w:rsid w:val="00B8437F"/>
    <w:rsid w:val="00BA1BBB"/>
    <w:rsid w:val="00BB1DD3"/>
    <w:rsid w:val="00BF7ACB"/>
    <w:rsid w:val="00C03243"/>
    <w:rsid w:val="00C25C23"/>
    <w:rsid w:val="00C26662"/>
    <w:rsid w:val="00C26CD5"/>
    <w:rsid w:val="00C30A72"/>
    <w:rsid w:val="00C36BBB"/>
    <w:rsid w:val="00C66B1B"/>
    <w:rsid w:val="00C7473B"/>
    <w:rsid w:val="00C8170E"/>
    <w:rsid w:val="00C86E73"/>
    <w:rsid w:val="00C91753"/>
    <w:rsid w:val="00CA4B82"/>
    <w:rsid w:val="00CB6975"/>
    <w:rsid w:val="00CD287C"/>
    <w:rsid w:val="00CD4C87"/>
    <w:rsid w:val="00CD7165"/>
    <w:rsid w:val="00CE0FAA"/>
    <w:rsid w:val="00CE1252"/>
    <w:rsid w:val="00CF4E0D"/>
    <w:rsid w:val="00D01764"/>
    <w:rsid w:val="00D142A9"/>
    <w:rsid w:val="00D261D4"/>
    <w:rsid w:val="00D31BF0"/>
    <w:rsid w:val="00D35351"/>
    <w:rsid w:val="00D50755"/>
    <w:rsid w:val="00D511E0"/>
    <w:rsid w:val="00D51942"/>
    <w:rsid w:val="00D61FA8"/>
    <w:rsid w:val="00D7066A"/>
    <w:rsid w:val="00D77FF7"/>
    <w:rsid w:val="00DD0AC7"/>
    <w:rsid w:val="00E01621"/>
    <w:rsid w:val="00E0471D"/>
    <w:rsid w:val="00E06F0F"/>
    <w:rsid w:val="00E11DE4"/>
    <w:rsid w:val="00E318A8"/>
    <w:rsid w:val="00E53046"/>
    <w:rsid w:val="00E5363A"/>
    <w:rsid w:val="00E67693"/>
    <w:rsid w:val="00E966A3"/>
    <w:rsid w:val="00EB2618"/>
    <w:rsid w:val="00EB5FD4"/>
    <w:rsid w:val="00EC1D09"/>
    <w:rsid w:val="00F10112"/>
    <w:rsid w:val="00F3577E"/>
    <w:rsid w:val="00F54373"/>
    <w:rsid w:val="00F60E0F"/>
    <w:rsid w:val="00FA212E"/>
    <w:rsid w:val="00FA6142"/>
    <w:rsid w:val="00FA61DC"/>
    <w:rsid w:val="00FB1CE7"/>
    <w:rsid w:val="00FB4ED4"/>
    <w:rsid w:val="00FB74BA"/>
    <w:rsid w:val="00FC07E1"/>
    <w:rsid w:val="00FC15B6"/>
    <w:rsid w:val="021EAA34"/>
    <w:rsid w:val="030B84B9"/>
    <w:rsid w:val="070C3314"/>
    <w:rsid w:val="0765E8B2"/>
    <w:rsid w:val="078D3A37"/>
    <w:rsid w:val="08296FB7"/>
    <w:rsid w:val="08FA2DD6"/>
    <w:rsid w:val="0AC759C1"/>
    <w:rsid w:val="0AF8B5A3"/>
    <w:rsid w:val="0C64F596"/>
    <w:rsid w:val="0DB83220"/>
    <w:rsid w:val="0FFBD5B8"/>
    <w:rsid w:val="1212BD3F"/>
    <w:rsid w:val="150C1B3C"/>
    <w:rsid w:val="180F2388"/>
    <w:rsid w:val="1B7E2DE2"/>
    <w:rsid w:val="1B9E4B2B"/>
    <w:rsid w:val="1CF22C89"/>
    <w:rsid w:val="1DF337C0"/>
    <w:rsid w:val="23BFCB76"/>
    <w:rsid w:val="248217E1"/>
    <w:rsid w:val="24DB4290"/>
    <w:rsid w:val="25DBDCEA"/>
    <w:rsid w:val="29C2A5E1"/>
    <w:rsid w:val="2CE6B92F"/>
    <w:rsid w:val="2E610F4A"/>
    <w:rsid w:val="304C49A4"/>
    <w:rsid w:val="316092C3"/>
    <w:rsid w:val="34D385E9"/>
    <w:rsid w:val="359132C2"/>
    <w:rsid w:val="3D744F7A"/>
    <w:rsid w:val="3F23E294"/>
    <w:rsid w:val="468C4ADE"/>
    <w:rsid w:val="48D935C7"/>
    <w:rsid w:val="4BA28045"/>
    <w:rsid w:val="543028C8"/>
    <w:rsid w:val="544F84C8"/>
    <w:rsid w:val="5787F67C"/>
    <w:rsid w:val="5B14665A"/>
    <w:rsid w:val="5BE9987B"/>
    <w:rsid w:val="5D6DA824"/>
    <w:rsid w:val="614235C4"/>
    <w:rsid w:val="63028029"/>
    <w:rsid w:val="64204B6A"/>
    <w:rsid w:val="66224031"/>
    <w:rsid w:val="67099D30"/>
    <w:rsid w:val="6742DF87"/>
    <w:rsid w:val="6C1A6AA1"/>
    <w:rsid w:val="6D49B623"/>
    <w:rsid w:val="6FA366C6"/>
    <w:rsid w:val="70D895DD"/>
    <w:rsid w:val="719EDD35"/>
    <w:rsid w:val="73394AA7"/>
    <w:rsid w:val="76CED40A"/>
    <w:rsid w:val="79D39AFC"/>
    <w:rsid w:val="7A2F424D"/>
    <w:rsid w:val="7C38F5FA"/>
    <w:rsid w:val="7FE53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8B23EC"/>
  <w15:docId w15:val="{13260B29-57C4-4B85-925E-E989DE77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7E1"/>
    <w:rPr>
      <w:sz w:val="24"/>
      <w:szCs w:val="24"/>
    </w:rPr>
  </w:style>
  <w:style w:type="paragraph" w:styleId="Heading1">
    <w:name w:val="heading 1"/>
    <w:basedOn w:val="Normal"/>
    <w:next w:val="Normal"/>
    <w:link w:val="Heading1Char"/>
    <w:qFormat/>
    <w:rsid w:val="00FC07E1"/>
    <w:pPr>
      <w:keepNext/>
      <w:outlineLvl w:val="0"/>
    </w:pPr>
    <w:rPr>
      <w:b/>
      <w:bCs/>
    </w:rPr>
  </w:style>
  <w:style w:type="paragraph" w:styleId="Heading2">
    <w:name w:val="heading 2"/>
    <w:basedOn w:val="Normal"/>
    <w:next w:val="Normal"/>
    <w:qFormat/>
    <w:rsid w:val="00FC07E1"/>
    <w:pPr>
      <w:keepNext/>
      <w:ind w:left="360"/>
      <w:outlineLvl w:val="1"/>
    </w:pPr>
    <w:rPr>
      <w:b/>
      <w:bCs/>
    </w:rPr>
  </w:style>
  <w:style w:type="paragraph" w:styleId="Heading3">
    <w:name w:val="heading 3"/>
    <w:basedOn w:val="Normal"/>
    <w:next w:val="Normal"/>
    <w:qFormat/>
    <w:rsid w:val="00FC07E1"/>
    <w:pPr>
      <w:keepNext/>
      <w:ind w:firstLine="360"/>
      <w:outlineLvl w:val="2"/>
    </w:pPr>
    <w:rPr>
      <w:b/>
      <w:bCs/>
    </w:rPr>
  </w:style>
  <w:style w:type="paragraph" w:styleId="Heading4">
    <w:name w:val="heading 4"/>
    <w:basedOn w:val="Normal"/>
    <w:next w:val="Normal"/>
    <w:qFormat/>
    <w:rsid w:val="00FC07E1"/>
    <w:pPr>
      <w:keepNext/>
      <w:ind w:left="400"/>
      <w:outlineLvl w:val="3"/>
    </w:pPr>
    <w:rPr>
      <w:b/>
      <w:bCs/>
    </w:rPr>
  </w:style>
  <w:style w:type="paragraph" w:styleId="Heading5">
    <w:name w:val="heading 5"/>
    <w:basedOn w:val="Normal"/>
    <w:next w:val="Normal"/>
    <w:qFormat/>
    <w:rsid w:val="00FC07E1"/>
    <w:pPr>
      <w:keepNext/>
      <w:jc w:val="center"/>
      <w:outlineLvl w:val="4"/>
    </w:pPr>
    <w:rPr>
      <w:b/>
      <w:bCs/>
    </w:rPr>
  </w:style>
  <w:style w:type="paragraph" w:styleId="Heading6">
    <w:name w:val="heading 6"/>
    <w:basedOn w:val="Normal"/>
    <w:next w:val="Normal"/>
    <w:qFormat/>
    <w:rsid w:val="00FC07E1"/>
    <w:pPr>
      <w:keepNext/>
      <w:ind w:left="720" w:hanging="720"/>
      <w:outlineLvl w:val="5"/>
    </w:pPr>
    <w:rPr>
      <w:b/>
      <w:bCs/>
    </w:rPr>
  </w:style>
  <w:style w:type="paragraph" w:styleId="Heading7">
    <w:name w:val="heading 7"/>
    <w:basedOn w:val="Normal"/>
    <w:next w:val="Normal"/>
    <w:qFormat/>
    <w:rsid w:val="00FC07E1"/>
    <w:pPr>
      <w:keepNext/>
      <w:outlineLvl w:val="6"/>
    </w:pPr>
    <w:rPr>
      <w:b/>
      <w:bCs/>
      <w:u w:val="single"/>
    </w:rPr>
  </w:style>
  <w:style w:type="paragraph" w:styleId="Heading8">
    <w:name w:val="heading 8"/>
    <w:basedOn w:val="Normal"/>
    <w:next w:val="Normal"/>
    <w:qFormat/>
    <w:rsid w:val="00FC07E1"/>
    <w:pPr>
      <w:keepNext/>
      <w:tabs>
        <w:tab w:val="left" w:pos="-1440"/>
        <w:tab w:val="left" w:pos="2880"/>
      </w:tabs>
      <w:ind w:left="720" w:hanging="720"/>
      <w:outlineLvl w:val="7"/>
    </w:pPr>
    <w:rPr>
      <w:b/>
      <w:bCs/>
      <w:u w:val="single"/>
    </w:rPr>
  </w:style>
  <w:style w:type="paragraph" w:styleId="Heading9">
    <w:name w:val="heading 9"/>
    <w:basedOn w:val="Normal"/>
    <w:next w:val="Normal"/>
    <w:qFormat/>
    <w:rsid w:val="00FC07E1"/>
    <w:pPr>
      <w:keepNext/>
      <w:tabs>
        <w:tab w:val="left" w:pos="720"/>
      </w:tabs>
      <w:ind w:left="1440" w:hanging="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07E1"/>
    <w:pPr>
      <w:jc w:val="center"/>
    </w:pPr>
    <w:rPr>
      <w:b/>
      <w:bCs/>
    </w:rPr>
  </w:style>
  <w:style w:type="character" w:styleId="Strong">
    <w:name w:val="Strong"/>
    <w:qFormat/>
    <w:rsid w:val="00FC07E1"/>
    <w:rPr>
      <w:b/>
      <w:bCs/>
    </w:rPr>
  </w:style>
  <w:style w:type="paragraph" w:styleId="NormalWeb">
    <w:name w:val="Normal (Web)"/>
    <w:basedOn w:val="Normal"/>
    <w:uiPriority w:val="99"/>
    <w:rsid w:val="00FC07E1"/>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FC07E1"/>
    <w:pPr>
      <w:ind w:left="360"/>
    </w:pPr>
  </w:style>
  <w:style w:type="paragraph" w:styleId="BodyTextIndent2">
    <w:name w:val="Body Text Indent 2"/>
    <w:basedOn w:val="Normal"/>
    <w:rsid w:val="00FC07E1"/>
    <w:pPr>
      <w:ind w:left="400"/>
    </w:pPr>
  </w:style>
  <w:style w:type="paragraph" w:styleId="Footer">
    <w:name w:val="footer"/>
    <w:basedOn w:val="Normal"/>
    <w:rsid w:val="00FC07E1"/>
    <w:pPr>
      <w:tabs>
        <w:tab w:val="center" w:pos="4320"/>
        <w:tab w:val="right" w:pos="8640"/>
      </w:tabs>
    </w:pPr>
  </w:style>
  <w:style w:type="character" w:styleId="PageNumber">
    <w:name w:val="page number"/>
    <w:basedOn w:val="DefaultParagraphFont"/>
    <w:rsid w:val="00FC07E1"/>
  </w:style>
  <w:style w:type="paragraph" w:styleId="BodyText">
    <w:name w:val="Body Text"/>
    <w:basedOn w:val="Normal"/>
    <w:rsid w:val="00FC07E1"/>
    <w:pPr>
      <w:widowControl w:val="0"/>
      <w:autoSpaceDE w:val="0"/>
      <w:autoSpaceDN w:val="0"/>
      <w:adjustRightInd w:val="0"/>
      <w:jc w:val="center"/>
    </w:pPr>
    <w:rPr>
      <w:rFonts w:ascii="Times New Roman TUR" w:hAnsi="Times New Roman TUR"/>
      <w:b/>
      <w:bCs/>
      <w:caps/>
      <w:sz w:val="22"/>
      <w:szCs w:val="22"/>
    </w:rPr>
  </w:style>
  <w:style w:type="paragraph" w:styleId="BodyTextIndent3">
    <w:name w:val="Body Text Indent 3"/>
    <w:basedOn w:val="Normal"/>
    <w:rsid w:val="00FC07E1"/>
    <w:pPr>
      <w:ind w:left="400" w:hanging="400"/>
    </w:pPr>
  </w:style>
  <w:style w:type="paragraph" w:styleId="BodyText3">
    <w:name w:val="Body Text 3"/>
    <w:basedOn w:val="Normal"/>
    <w:rsid w:val="00FC07E1"/>
    <w:rPr>
      <w:sz w:val="28"/>
    </w:rPr>
  </w:style>
  <w:style w:type="paragraph" w:styleId="Header">
    <w:name w:val="header"/>
    <w:basedOn w:val="Normal"/>
    <w:link w:val="HeaderChar"/>
    <w:uiPriority w:val="99"/>
    <w:rsid w:val="00FC07E1"/>
    <w:pPr>
      <w:tabs>
        <w:tab w:val="center" w:pos="4320"/>
        <w:tab w:val="right" w:pos="8640"/>
      </w:tabs>
    </w:pPr>
  </w:style>
  <w:style w:type="paragraph" w:styleId="BodyText2">
    <w:name w:val="Body Text 2"/>
    <w:basedOn w:val="Normal"/>
    <w:rsid w:val="00FC07E1"/>
    <w:pPr>
      <w:jc w:val="both"/>
    </w:pPr>
  </w:style>
  <w:style w:type="paragraph" w:styleId="Subtitle">
    <w:name w:val="Subtitle"/>
    <w:basedOn w:val="Normal"/>
    <w:qFormat/>
    <w:rsid w:val="00FC07E1"/>
    <w:rPr>
      <w:b/>
      <w:bCs/>
    </w:rPr>
  </w:style>
  <w:style w:type="paragraph" w:customStyle="1" w:styleId="xl24">
    <w:name w:val="xl24"/>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27">
    <w:name w:val="xl27"/>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28">
    <w:name w:val="xl28"/>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1">
    <w:name w:val="xl31"/>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2">
    <w:name w:val="xl32"/>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4">
    <w:name w:val="xl34"/>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5">
    <w:name w:val="xl35"/>
    <w:basedOn w:val="Normal"/>
    <w:rsid w:val="00FC07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styleId="FootnoteText">
    <w:name w:val="footnote text"/>
    <w:basedOn w:val="Normal"/>
    <w:semiHidden/>
    <w:rsid w:val="00FC07E1"/>
    <w:rPr>
      <w:sz w:val="20"/>
      <w:szCs w:val="20"/>
    </w:rPr>
  </w:style>
  <w:style w:type="character" w:styleId="FootnoteReference">
    <w:name w:val="footnote reference"/>
    <w:semiHidden/>
    <w:rsid w:val="00FC07E1"/>
    <w:rPr>
      <w:vertAlign w:val="superscript"/>
    </w:rPr>
  </w:style>
  <w:style w:type="character" w:styleId="Hyperlink">
    <w:name w:val="Hyperlink"/>
    <w:rsid w:val="00FC07E1"/>
    <w:rPr>
      <w:color w:val="0000FF"/>
      <w:u w:val="single"/>
    </w:rPr>
  </w:style>
  <w:style w:type="paragraph" w:styleId="HTMLPreformatted">
    <w:name w:val="HTML Preformatted"/>
    <w:basedOn w:val="Normal"/>
    <w:rsid w:val="00FC0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B1DD3"/>
    <w:rPr>
      <w:rFonts w:ascii="Lucida Grande" w:hAnsi="Lucida Grande"/>
      <w:sz w:val="18"/>
      <w:szCs w:val="18"/>
    </w:rPr>
  </w:style>
  <w:style w:type="table" w:styleId="TableGrid">
    <w:name w:val="Table Grid"/>
    <w:basedOn w:val="TableNormal"/>
    <w:rsid w:val="00BB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86B44"/>
    <w:rPr>
      <w:color w:val="800080"/>
      <w:u w:val="single"/>
    </w:rPr>
  </w:style>
  <w:style w:type="character" w:customStyle="1" w:styleId="TitleChar">
    <w:name w:val="Title Char"/>
    <w:link w:val="Title"/>
    <w:locked/>
    <w:rsid w:val="00FA6142"/>
    <w:rPr>
      <w:b/>
      <w:bCs/>
      <w:sz w:val="24"/>
      <w:szCs w:val="24"/>
    </w:rPr>
  </w:style>
  <w:style w:type="character" w:customStyle="1" w:styleId="Heading1Char">
    <w:name w:val="Heading 1 Char"/>
    <w:link w:val="Heading1"/>
    <w:locked/>
    <w:rsid w:val="00FA6142"/>
    <w:rPr>
      <w:b/>
      <w:bCs/>
      <w:sz w:val="24"/>
      <w:szCs w:val="24"/>
    </w:rPr>
  </w:style>
  <w:style w:type="character" w:customStyle="1" w:styleId="HeaderChar">
    <w:name w:val="Header Char"/>
    <w:link w:val="Header"/>
    <w:uiPriority w:val="99"/>
    <w:rsid w:val="000216DF"/>
    <w:rPr>
      <w:sz w:val="24"/>
      <w:szCs w:val="24"/>
    </w:rPr>
  </w:style>
  <w:style w:type="paragraph" w:styleId="ListParagraph">
    <w:name w:val="List Paragraph"/>
    <w:basedOn w:val="Normal"/>
    <w:uiPriority w:val="34"/>
    <w:qFormat/>
    <w:rsid w:val="008F4C69"/>
    <w:pPr>
      <w:ind w:left="720"/>
      <w:contextualSpacing/>
    </w:pPr>
  </w:style>
  <w:style w:type="character" w:styleId="CommentReference">
    <w:name w:val="annotation reference"/>
    <w:basedOn w:val="DefaultParagraphFont"/>
    <w:rsid w:val="00F10112"/>
    <w:rPr>
      <w:sz w:val="16"/>
      <w:szCs w:val="16"/>
    </w:rPr>
  </w:style>
  <w:style w:type="paragraph" w:styleId="CommentText">
    <w:name w:val="annotation text"/>
    <w:basedOn w:val="Normal"/>
    <w:link w:val="CommentTextChar"/>
    <w:rsid w:val="00F10112"/>
    <w:rPr>
      <w:sz w:val="20"/>
      <w:szCs w:val="20"/>
    </w:rPr>
  </w:style>
  <w:style w:type="character" w:customStyle="1" w:styleId="CommentTextChar">
    <w:name w:val="Comment Text Char"/>
    <w:basedOn w:val="DefaultParagraphFont"/>
    <w:link w:val="CommentText"/>
    <w:rsid w:val="00F10112"/>
  </w:style>
  <w:style w:type="paragraph" w:styleId="CommentSubject">
    <w:name w:val="annotation subject"/>
    <w:basedOn w:val="CommentText"/>
    <w:next w:val="CommentText"/>
    <w:link w:val="CommentSubjectChar"/>
    <w:rsid w:val="00F10112"/>
    <w:rPr>
      <w:b/>
      <w:bCs/>
    </w:rPr>
  </w:style>
  <w:style w:type="character" w:customStyle="1" w:styleId="CommentSubjectChar">
    <w:name w:val="Comment Subject Char"/>
    <w:basedOn w:val="CommentTextChar"/>
    <w:link w:val="CommentSubject"/>
    <w:rsid w:val="00F10112"/>
    <w:rPr>
      <w:b/>
      <w:bCs/>
    </w:rPr>
  </w:style>
  <w:style w:type="paragraph" w:styleId="Revision">
    <w:name w:val="Revision"/>
    <w:hidden/>
    <w:uiPriority w:val="99"/>
    <w:semiHidden/>
    <w:rsid w:val="004443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ederalGrantPrograms@mas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grants@mas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e454d23b2bd74e1b"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d.gov/programs/titleiparta/fiscalgui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DESE-231-35811</_dlc_DocId>
    <_dlc_DocIdUrl xmlns="733efe1c-5bbe-4968-87dc-d400e65c879f">
      <Url>https://sharepoint.doemass.org/ese/webteam/cps/_layouts/DocIdRedir.aspx?ID=DESE-231-35811</Url>
      <Description>DESE-231-35811</Description>
    </_dlc_DocIdUrl>
  </documentManagement>
</p:properties>
</file>

<file path=customXml/itemProps1.xml><?xml version="1.0" encoding="utf-8"?>
<ds:datastoreItem xmlns:ds="http://schemas.openxmlformats.org/officeDocument/2006/customXml" ds:itemID="{F18D3A41-0D18-4BEB-8857-6673E548F854}">
  <ds:schemaRefs>
    <ds:schemaRef ds:uri="http://schemas.microsoft.com/sharepoint/v3/contenttype/forms"/>
  </ds:schemaRefs>
</ds:datastoreItem>
</file>

<file path=customXml/itemProps2.xml><?xml version="1.0" encoding="utf-8"?>
<ds:datastoreItem xmlns:ds="http://schemas.openxmlformats.org/officeDocument/2006/customXml" ds:itemID="{38D4AB05-921B-4C84-B378-88A69D251C94}">
  <ds:schemaRefs>
    <ds:schemaRef ds:uri="http://schemas.microsoft.com/sharepoint/events"/>
  </ds:schemaRefs>
</ds:datastoreItem>
</file>

<file path=customXml/itemProps3.xml><?xml version="1.0" encoding="utf-8"?>
<ds:datastoreItem xmlns:ds="http://schemas.openxmlformats.org/officeDocument/2006/customXml" ds:itemID="{4B04AB4E-2323-48EB-BF17-CA64CA87F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47261-52CA-47C5-B8EC-F9B68A2715E4}">
  <ds:schemaRefs>
    <ds:schemaRef ds:uri="http://schemas.openxmlformats.org/officeDocument/2006/bibliography"/>
  </ds:schemaRefs>
</ds:datastoreItem>
</file>

<file path=customXml/itemProps5.xml><?xml version="1.0" encoding="utf-8"?>
<ds:datastoreItem xmlns:ds="http://schemas.openxmlformats.org/officeDocument/2006/customXml" ds:itemID="{DB6AB525-A1E1-4C09-99A6-3E6222A8DD3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Guidance Regarding Title I Carryover Funds</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Regarding Title I Carryover Funds</dc:title>
  <dc:creator>DESE</dc:creator>
  <cp:lastModifiedBy>Zou, Dong (EOE)</cp:lastModifiedBy>
  <cp:revision>16</cp:revision>
  <cp:lastPrinted>2013-12-23T16:48:00Z</cp:lastPrinted>
  <dcterms:created xsi:type="dcterms:W3CDTF">2017-05-10T13:18:00Z</dcterms:created>
  <dcterms:modified xsi:type="dcterms:W3CDTF">2022-06-01T13:44:00Z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2022</vt:lpwstr>
  </property>
</Properties>
</file>