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bottom w:val="single" w:sz="4" w:space="0" w:color="4F81BD"/>
        </w:tblBorders>
        <w:tblLook w:val="01E0" w:firstRow="1" w:lastRow="1" w:firstColumn="1" w:lastColumn="1" w:noHBand="0" w:noVBand="0"/>
      </w:tblPr>
      <w:tblGrid>
        <w:gridCol w:w="3006"/>
        <w:gridCol w:w="6354"/>
      </w:tblGrid>
      <w:tr w:rsidR="00014781" w:rsidRPr="008176E1" w14:paraId="083DF561" w14:textId="77777777" w:rsidTr="005A365F">
        <w:trPr>
          <w:trHeight w:val="1080"/>
        </w:trPr>
        <w:tc>
          <w:tcPr>
            <w:tcW w:w="2628" w:type="dxa"/>
            <w:vAlign w:val="bottom"/>
          </w:tcPr>
          <w:p w14:paraId="125486CD" w14:textId="77777777" w:rsidR="00014781" w:rsidRPr="00E74DDE" w:rsidRDefault="00761CE1" w:rsidP="005A365F">
            <w:pPr>
              <w:pStyle w:val="Title"/>
              <w:rPr>
                <w:sz w:val="24"/>
                <w:szCs w:val="24"/>
              </w:rPr>
            </w:pPr>
            <w:bookmarkStart w:id="0" w:name="OLE_LINK1"/>
            <w:bookmarkStart w:id="1" w:name="OLE_LINK2"/>
            <w:r>
              <w:rPr>
                <w:noProof/>
              </w:rPr>
              <w:drawing>
                <wp:inline distT="0" distB="0" distL="0" distR="0" wp14:anchorId="0A76E623" wp14:editId="0E6782E4">
                  <wp:extent cx="1748790" cy="853901"/>
                  <wp:effectExtent l="19050" t="0" r="3810" b="0"/>
                  <wp:docPr id="2"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Full%20Logo/205x100/Master-Logo_205x100_color.jpg"/>
                          <pic:cNvPicPr>
                            <a:picLocks noChangeAspect="1" noChangeArrowheads="1"/>
                          </pic:cNvPicPr>
                        </pic:nvPicPr>
                        <pic:blipFill>
                          <a:blip r:embed="rId12" cstate="print"/>
                          <a:srcRect/>
                          <a:stretch>
                            <a:fillRect/>
                          </a:stretch>
                        </pic:blipFill>
                        <pic:spPr bwMode="auto">
                          <a:xfrm>
                            <a:off x="0" y="0"/>
                            <a:ext cx="1752213" cy="855572"/>
                          </a:xfrm>
                          <a:prstGeom prst="rect">
                            <a:avLst/>
                          </a:prstGeom>
                          <a:noFill/>
                          <a:ln w="9525">
                            <a:noFill/>
                            <a:miter lim="800000"/>
                            <a:headEnd/>
                            <a:tailEnd/>
                          </a:ln>
                        </pic:spPr>
                      </pic:pic>
                    </a:graphicData>
                  </a:graphic>
                </wp:inline>
              </w:drawing>
            </w:r>
          </w:p>
        </w:tc>
        <w:tc>
          <w:tcPr>
            <w:tcW w:w="6948" w:type="dxa"/>
            <w:vAlign w:val="center"/>
          </w:tcPr>
          <w:p w14:paraId="4FC4251D" w14:textId="77777777" w:rsidR="005A365F" w:rsidRDefault="005A365F" w:rsidP="005A365F">
            <w:pPr>
              <w:pStyle w:val="Title"/>
              <w:jc w:val="left"/>
              <w:rPr>
                <w:rFonts w:ascii="Arial" w:hAnsi="Arial" w:cs="Arial"/>
                <w:b/>
                <w:sz w:val="40"/>
                <w:szCs w:val="40"/>
              </w:rPr>
            </w:pPr>
          </w:p>
          <w:p w14:paraId="32D09DAE" w14:textId="77777777" w:rsidR="004B35C4" w:rsidRPr="00E74DDE" w:rsidRDefault="00014781" w:rsidP="005A365F">
            <w:pPr>
              <w:pStyle w:val="Title"/>
              <w:jc w:val="left"/>
              <w:rPr>
                <w:rFonts w:ascii="Arial" w:hAnsi="Arial" w:cs="Arial"/>
                <w:b/>
                <w:sz w:val="40"/>
                <w:szCs w:val="40"/>
              </w:rPr>
            </w:pPr>
            <w:r w:rsidRPr="00273E4C">
              <w:rPr>
                <w:rFonts w:ascii="Arial" w:hAnsi="Arial" w:cs="Arial"/>
                <w:b/>
                <w:sz w:val="40"/>
                <w:szCs w:val="40"/>
              </w:rPr>
              <w:t>Title I Comparability</w:t>
            </w:r>
            <w:r w:rsidR="00596A50" w:rsidRPr="00273E4C">
              <w:rPr>
                <w:rFonts w:ascii="Arial" w:hAnsi="Arial" w:cs="Arial"/>
                <w:b/>
                <w:sz w:val="40"/>
                <w:szCs w:val="40"/>
              </w:rPr>
              <w:t xml:space="preserve"> </w:t>
            </w:r>
            <w:r w:rsidRPr="00273E4C">
              <w:rPr>
                <w:rFonts w:ascii="Arial" w:hAnsi="Arial" w:cs="Arial"/>
                <w:b/>
                <w:sz w:val="40"/>
                <w:szCs w:val="40"/>
              </w:rPr>
              <w:t>Reporting</w:t>
            </w:r>
            <w:r w:rsidR="0041787E" w:rsidRPr="00273E4C">
              <w:rPr>
                <w:rFonts w:ascii="Arial" w:hAnsi="Arial" w:cs="Arial"/>
                <w:b/>
                <w:sz w:val="40"/>
                <w:szCs w:val="40"/>
              </w:rPr>
              <w:t xml:space="preserve"> </w:t>
            </w:r>
          </w:p>
        </w:tc>
      </w:tr>
      <w:bookmarkEnd w:id="0"/>
      <w:bookmarkEnd w:id="1"/>
    </w:tbl>
    <w:p w14:paraId="4BFB438F" w14:textId="77777777" w:rsidR="004A339D" w:rsidRDefault="004A339D" w:rsidP="005A365F">
      <w:pPr>
        <w:rPr>
          <w:rFonts w:ascii="Calibri" w:hAnsi="Calibri"/>
          <w:sz w:val="22"/>
        </w:rPr>
      </w:pPr>
    </w:p>
    <w:p w14:paraId="015B9D12" w14:textId="77777777" w:rsidR="00014781" w:rsidRPr="00003364" w:rsidRDefault="00014781">
      <w:pPr>
        <w:rPr>
          <w:rFonts w:ascii="Calibri" w:hAnsi="Calibri"/>
          <w:sz w:val="22"/>
        </w:rPr>
      </w:pPr>
    </w:p>
    <w:p w14:paraId="32A56008" w14:textId="77777777" w:rsidR="004A339D" w:rsidRDefault="004A339D">
      <w:pPr>
        <w:pStyle w:val="BodyText"/>
        <w:rPr>
          <w:rFonts w:ascii="Calibri" w:hAnsi="Calibri"/>
          <w:sz w:val="22"/>
        </w:rPr>
      </w:pPr>
      <w:r w:rsidRPr="00003364">
        <w:rPr>
          <w:rFonts w:ascii="Calibri" w:hAnsi="Calibri"/>
          <w:sz w:val="22"/>
        </w:rPr>
        <w:t>Title I</w:t>
      </w:r>
      <w:r w:rsidR="00014781">
        <w:rPr>
          <w:rFonts w:ascii="Calibri" w:hAnsi="Calibri"/>
          <w:sz w:val="22"/>
        </w:rPr>
        <w:t>, Part A of the federal Elementary and Secondary Education Act</w:t>
      </w:r>
      <w:r w:rsidRPr="00003364">
        <w:rPr>
          <w:rFonts w:ascii="Calibri" w:hAnsi="Calibri"/>
          <w:sz w:val="22"/>
        </w:rPr>
        <w:t xml:space="preserve"> </w:t>
      </w:r>
      <w:r w:rsidR="00801CA3">
        <w:rPr>
          <w:rFonts w:ascii="Calibri" w:hAnsi="Calibri"/>
          <w:sz w:val="22"/>
        </w:rPr>
        <w:t xml:space="preserve">(ESEA) </w:t>
      </w:r>
      <w:r w:rsidRPr="00003364">
        <w:rPr>
          <w:rFonts w:ascii="Calibri" w:hAnsi="Calibri"/>
          <w:sz w:val="22"/>
        </w:rPr>
        <w:t xml:space="preserve">provides </w:t>
      </w:r>
      <w:r w:rsidR="005E5652">
        <w:rPr>
          <w:rFonts w:ascii="Calibri" w:hAnsi="Calibri"/>
          <w:sz w:val="22"/>
        </w:rPr>
        <w:t xml:space="preserve">local </w:t>
      </w:r>
      <w:r w:rsidR="00F572BC">
        <w:rPr>
          <w:rFonts w:ascii="Calibri" w:hAnsi="Calibri"/>
          <w:sz w:val="22"/>
        </w:rPr>
        <w:t>s</w:t>
      </w:r>
      <w:r w:rsidR="005E5652">
        <w:rPr>
          <w:rFonts w:ascii="Calibri" w:hAnsi="Calibri"/>
          <w:sz w:val="22"/>
        </w:rPr>
        <w:t>chool districts s</w:t>
      </w:r>
      <w:r w:rsidR="00F572BC">
        <w:rPr>
          <w:rFonts w:ascii="Calibri" w:hAnsi="Calibri"/>
          <w:sz w:val="22"/>
        </w:rPr>
        <w:t xml:space="preserve">upplemental </w:t>
      </w:r>
      <w:r w:rsidRPr="00003364">
        <w:rPr>
          <w:rFonts w:ascii="Calibri" w:hAnsi="Calibri"/>
          <w:sz w:val="22"/>
        </w:rPr>
        <w:t xml:space="preserve">financial assistance to </w:t>
      </w:r>
      <w:r w:rsidR="00014781">
        <w:rPr>
          <w:rFonts w:ascii="Calibri" w:hAnsi="Calibri"/>
          <w:sz w:val="22"/>
        </w:rPr>
        <w:t>help</w:t>
      </w:r>
      <w:r w:rsidRPr="00003364">
        <w:rPr>
          <w:rFonts w:ascii="Calibri" w:hAnsi="Calibri"/>
          <w:sz w:val="22"/>
        </w:rPr>
        <w:t xml:space="preserve"> meet the educational needs of educational</w:t>
      </w:r>
      <w:r w:rsidR="00003364">
        <w:rPr>
          <w:rFonts w:ascii="Calibri" w:hAnsi="Calibri"/>
          <w:sz w:val="22"/>
        </w:rPr>
        <w:t xml:space="preserve">ly disadvantaged children. </w:t>
      </w:r>
      <w:r w:rsidR="00F572BC">
        <w:rPr>
          <w:rFonts w:ascii="Calibri" w:hAnsi="Calibri"/>
          <w:sz w:val="22"/>
        </w:rPr>
        <w:t>A</w:t>
      </w:r>
      <w:r w:rsidR="00F572BC" w:rsidRPr="003F42A0">
        <w:rPr>
          <w:rFonts w:ascii="Calibri" w:hAnsi="Calibri"/>
          <w:sz w:val="22"/>
        </w:rPr>
        <w:t xml:space="preserve"> school district may only receive Title I funds if it uses state and local funds to provide services in Title I schools that, taken as a whole, are at least comparable to the services provided in schools th</w:t>
      </w:r>
      <w:r w:rsidR="00F572BC">
        <w:rPr>
          <w:rFonts w:ascii="Calibri" w:hAnsi="Calibri"/>
          <w:sz w:val="22"/>
        </w:rPr>
        <w:t>at do not receive Title I funds.</w:t>
      </w:r>
      <w:r w:rsidRPr="00003364">
        <w:rPr>
          <w:rFonts w:ascii="Calibri" w:hAnsi="Calibri"/>
          <w:sz w:val="22"/>
        </w:rPr>
        <w:t xml:space="preserve"> This </w:t>
      </w:r>
      <w:r w:rsidR="00014781">
        <w:rPr>
          <w:rFonts w:ascii="Calibri" w:hAnsi="Calibri"/>
          <w:sz w:val="22"/>
        </w:rPr>
        <w:t>guide</w:t>
      </w:r>
      <w:r w:rsidRPr="00003364">
        <w:rPr>
          <w:rFonts w:ascii="Calibri" w:hAnsi="Calibri"/>
          <w:sz w:val="22"/>
        </w:rPr>
        <w:t xml:space="preserve"> provides information </w:t>
      </w:r>
      <w:r w:rsidR="00014781">
        <w:rPr>
          <w:rFonts w:ascii="Calibri" w:hAnsi="Calibri"/>
          <w:sz w:val="22"/>
        </w:rPr>
        <w:t>to assist</w:t>
      </w:r>
      <w:r w:rsidRPr="00003364">
        <w:rPr>
          <w:rFonts w:ascii="Calibri" w:hAnsi="Calibri"/>
          <w:sz w:val="22"/>
        </w:rPr>
        <w:t xml:space="preserve"> school districts </w:t>
      </w:r>
      <w:r w:rsidR="00014781">
        <w:rPr>
          <w:rFonts w:ascii="Calibri" w:hAnsi="Calibri"/>
          <w:sz w:val="22"/>
        </w:rPr>
        <w:t xml:space="preserve">in </w:t>
      </w:r>
      <w:r w:rsidRPr="00003364">
        <w:rPr>
          <w:rFonts w:ascii="Calibri" w:hAnsi="Calibri"/>
          <w:sz w:val="22"/>
        </w:rPr>
        <w:t>comply</w:t>
      </w:r>
      <w:r w:rsidR="00014781">
        <w:rPr>
          <w:rFonts w:ascii="Calibri" w:hAnsi="Calibri"/>
          <w:sz w:val="22"/>
        </w:rPr>
        <w:t>ing</w:t>
      </w:r>
      <w:r w:rsidRPr="00003364">
        <w:rPr>
          <w:rFonts w:ascii="Calibri" w:hAnsi="Calibri"/>
          <w:sz w:val="22"/>
        </w:rPr>
        <w:t xml:space="preserve"> with the </w:t>
      </w:r>
      <w:r w:rsidR="00014781">
        <w:rPr>
          <w:rFonts w:ascii="Calibri" w:hAnsi="Calibri"/>
          <w:sz w:val="22"/>
        </w:rPr>
        <w:t xml:space="preserve">annual Title I </w:t>
      </w:r>
      <w:r w:rsidRPr="00003364">
        <w:rPr>
          <w:rFonts w:ascii="Calibri" w:hAnsi="Calibri"/>
          <w:sz w:val="22"/>
        </w:rPr>
        <w:t>comparability requirements</w:t>
      </w:r>
      <w:r w:rsidR="00014781">
        <w:rPr>
          <w:rFonts w:ascii="Calibri" w:hAnsi="Calibri"/>
          <w:sz w:val="22"/>
        </w:rPr>
        <w:t>.</w:t>
      </w:r>
    </w:p>
    <w:p w14:paraId="0D61D7FF" w14:textId="77777777" w:rsidR="008F2267" w:rsidRPr="00003364" w:rsidRDefault="008F2267">
      <w:pPr>
        <w:pStyle w:val="BodyText"/>
        <w:rPr>
          <w:rFonts w:ascii="Calibri" w:hAnsi="Calibri"/>
          <w:sz w:val="22"/>
        </w:rPr>
      </w:pPr>
    </w:p>
    <w:p w14:paraId="7DA7FC61" w14:textId="77777777" w:rsidR="004A339D" w:rsidRPr="00003364" w:rsidRDefault="004A339D" w:rsidP="008F2267">
      <w:pPr>
        <w:rPr>
          <w:rFonts w:ascii="Calibri" w:hAnsi="Calibri"/>
          <w:sz w:val="22"/>
        </w:rPr>
      </w:pPr>
    </w:p>
    <w:tbl>
      <w:tblPr>
        <w:tblW w:w="0" w:type="auto"/>
        <w:tblInd w:w="108" w:type="dxa"/>
        <w:tblBorders>
          <w:top w:val="single" w:sz="4" w:space="0" w:color="4F81BD"/>
          <w:left w:val="single" w:sz="4" w:space="0" w:color="4F81BD"/>
          <w:bottom w:val="single" w:sz="4" w:space="0" w:color="4F81BD"/>
          <w:right w:val="single" w:sz="4" w:space="0" w:color="4F81BD"/>
          <w:insideH w:val="dotted" w:sz="4" w:space="0" w:color="auto"/>
        </w:tblBorders>
        <w:tblLook w:val="01E0" w:firstRow="1" w:lastRow="1" w:firstColumn="1" w:lastColumn="1" w:noHBand="0" w:noVBand="0"/>
      </w:tblPr>
      <w:tblGrid>
        <w:gridCol w:w="8190"/>
        <w:gridCol w:w="990"/>
      </w:tblGrid>
      <w:tr w:rsidR="007166C8" w:rsidRPr="00793D54" w14:paraId="6121ED7A" w14:textId="77777777" w:rsidTr="00273E4C">
        <w:tc>
          <w:tcPr>
            <w:tcW w:w="8190" w:type="dxa"/>
          </w:tcPr>
          <w:p w14:paraId="308A1A46" w14:textId="77777777" w:rsidR="007166C8" w:rsidRPr="004B35C4" w:rsidRDefault="00DA060D" w:rsidP="004B35C4">
            <w:pPr>
              <w:pStyle w:val="ListParagraph"/>
              <w:numPr>
                <w:ilvl w:val="0"/>
                <w:numId w:val="32"/>
              </w:numPr>
              <w:spacing w:before="40" w:after="40"/>
              <w:rPr>
                <w:rFonts w:ascii="Calibri" w:hAnsi="Calibri"/>
                <w:sz w:val="22"/>
              </w:rPr>
            </w:pPr>
            <w:r w:rsidRPr="004B35C4">
              <w:rPr>
                <w:rFonts w:ascii="Calibri" w:hAnsi="Calibri"/>
                <w:sz w:val="22"/>
              </w:rPr>
              <w:t>What is Title I comparability and why is it important?</w:t>
            </w:r>
          </w:p>
        </w:tc>
        <w:tc>
          <w:tcPr>
            <w:tcW w:w="990" w:type="dxa"/>
          </w:tcPr>
          <w:p w14:paraId="3D1EC96B" w14:textId="77777777" w:rsidR="007166C8" w:rsidRPr="00793D54" w:rsidRDefault="007166C8" w:rsidP="00C918FB">
            <w:pPr>
              <w:spacing w:before="40" w:after="40"/>
              <w:jc w:val="right"/>
              <w:rPr>
                <w:rFonts w:ascii="Calibri" w:hAnsi="Calibri"/>
                <w:bCs/>
                <w:iCs/>
              </w:rPr>
            </w:pPr>
          </w:p>
        </w:tc>
      </w:tr>
      <w:tr w:rsidR="007166C8" w:rsidRPr="00793D54" w14:paraId="39D311EB" w14:textId="77777777" w:rsidTr="00273E4C">
        <w:tc>
          <w:tcPr>
            <w:tcW w:w="8190" w:type="dxa"/>
          </w:tcPr>
          <w:p w14:paraId="6DA058D4" w14:textId="77777777" w:rsidR="007166C8" w:rsidRPr="004B35C4" w:rsidRDefault="00CC781C" w:rsidP="004B35C4">
            <w:pPr>
              <w:pStyle w:val="ListParagraph"/>
              <w:numPr>
                <w:ilvl w:val="0"/>
                <w:numId w:val="32"/>
              </w:numPr>
              <w:spacing w:before="40" w:after="40"/>
              <w:rPr>
                <w:rFonts w:ascii="Calibri" w:hAnsi="Calibri"/>
                <w:sz w:val="22"/>
              </w:rPr>
            </w:pPr>
            <w:r w:rsidRPr="004B35C4">
              <w:rPr>
                <w:rFonts w:ascii="Calibri" w:hAnsi="Calibri"/>
                <w:sz w:val="22"/>
              </w:rPr>
              <w:t>Comparability a</w:t>
            </w:r>
            <w:r w:rsidR="00DA060D" w:rsidRPr="004B35C4">
              <w:rPr>
                <w:rFonts w:ascii="Calibri" w:hAnsi="Calibri"/>
                <w:sz w:val="22"/>
              </w:rPr>
              <w:t>ssurance</w:t>
            </w:r>
            <w:r w:rsidR="00A62DB2" w:rsidRPr="004B35C4">
              <w:rPr>
                <w:rFonts w:ascii="Calibri" w:hAnsi="Calibri"/>
                <w:sz w:val="22"/>
              </w:rPr>
              <w:t>s</w:t>
            </w:r>
            <w:r w:rsidR="00DA060D" w:rsidRPr="004B35C4">
              <w:rPr>
                <w:rFonts w:ascii="Calibri" w:hAnsi="Calibri"/>
                <w:sz w:val="22"/>
              </w:rPr>
              <w:t xml:space="preserve"> and consequences of schools not being comparable</w:t>
            </w:r>
          </w:p>
        </w:tc>
        <w:tc>
          <w:tcPr>
            <w:tcW w:w="990" w:type="dxa"/>
          </w:tcPr>
          <w:p w14:paraId="3B7CB25B" w14:textId="77777777" w:rsidR="007166C8" w:rsidRPr="00793D54" w:rsidRDefault="007166C8" w:rsidP="00C918FB">
            <w:pPr>
              <w:spacing w:before="40" w:after="40"/>
              <w:jc w:val="right"/>
              <w:rPr>
                <w:rFonts w:ascii="Calibri" w:hAnsi="Calibri"/>
                <w:bCs/>
                <w:iCs/>
              </w:rPr>
            </w:pPr>
          </w:p>
        </w:tc>
      </w:tr>
      <w:tr w:rsidR="007166C8" w:rsidRPr="00793D54" w14:paraId="29CAF565" w14:textId="77777777" w:rsidTr="00273E4C">
        <w:tc>
          <w:tcPr>
            <w:tcW w:w="8190" w:type="dxa"/>
          </w:tcPr>
          <w:p w14:paraId="71633B6F" w14:textId="77777777" w:rsidR="007166C8" w:rsidRPr="004B35C4" w:rsidRDefault="00DA060D" w:rsidP="004B35C4">
            <w:pPr>
              <w:pStyle w:val="ListParagraph"/>
              <w:numPr>
                <w:ilvl w:val="0"/>
                <w:numId w:val="32"/>
              </w:numPr>
              <w:spacing w:before="40" w:after="40"/>
              <w:rPr>
                <w:rFonts w:ascii="Calibri" w:hAnsi="Calibri"/>
                <w:sz w:val="22"/>
              </w:rPr>
            </w:pPr>
            <w:r w:rsidRPr="004B35C4">
              <w:rPr>
                <w:rFonts w:ascii="Calibri" w:hAnsi="Calibri"/>
                <w:sz w:val="22"/>
              </w:rPr>
              <w:t>Which districts have to complete comparability reports?</w:t>
            </w:r>
          </w:p>
        </w:tc>
        <w:tc>
          <w:tcPr>
            <w:tcW w:w="990" w:type="dxa"/>
          </w:tcPr>
          <w:p w14:paraId="06EC1414" w14:textId="77777777" w:rsidR="007166C8" w:rsidRPr="00793D54" w:rsidRDefault="007166C8" w:rsidP="00C918FB">
            <w:pPr>
              <w:spacing w:before="40" w:after="40"/>
              <w:jc w:val="right"/>
              <w:rPr>
                <w:rFonts w:ascii="Calibri" w:hAnsi="Calibri"/>
                <w:bCs/>
                <w:iCs/>
              </w:rPr>
            </w:pPr>
          </w:p>
        </w:tc>
      </w:tr>
      <w:tr w:rsidR="007166C8" w:rsidRPr="00793D54" w14:paraId="4324D9A9" w14:textId="77777777" w:rsidTr="00273E4C">
        <w:tc>
          <w:tcPr>
            <w:tcW w:w="8190" w:type="dxa"/>
          </w:tcPr>
          <w:p w14:paraId="6A34EB05" w14:textId="77777777" w:rsidR="007166C8" w:rsidRPr="004B35C4" w:rsidRDefault="00DA060D" w:rsidP="004B35C4">
            <w:pPr>
              <w:pStyle w:val="ListParagraph"/>
              <w:numPr>
                <w:ilvl w:val="0"/>
                <w:numId w:val="32"/>
              </w:numPr>
              <w:spacing w:before="40" w:after="40"/>
              <w:rPr>
                <w:rFonts w:ascii="Calibri" w:hAnsi="Calibri"/>
                <w:sz w:val="22"/>
              </w:rPr>
            </w:pPr>
            <w:r w:rsidRPr="004B35C4">
              <w:rPr>
                <w:rFonts w:ascii="Calibri" w:hAnsi="Calibri"/>
                <w:sz w:val="22"/>
              </w:rPr>
              <w:t>How does a district demonstrate comparability?</w:t>
            </w:r>
          </w:p>
        </w:tc>
        <w:tc>
          <w:tcPr>
            <w:tcW w:w="990" w:type="dxa"/>
          </w:tcPr>
          <w:p w14:paraId="0B291C06" w14:textId="77777777" w:rsidR="007166C8" w:rsidRPr="00793D54" w:rsidRDefault="007166C8" w:rsidP="00C918FB">
            <w:pPr>
              <w:spacing w:before="40" w:after="40"/>
              <w:jc w:val="right"/>
              <w:rPr>
                <w:rFonts w:ascii="Calibri" w:hAnsi="Calibri"/>
                <w:bCs/>
                <w:iCs/>
              </w:rPr>
            </w:pPr>
          </w:p>
        </w:tc>
      </w:tr>
      <w:tr w:rsidR="007166C8" w:rsidRPr="00793D54" w14:paraId="1A5FFE06" w14:textId="77777777" w:rsidTr="00273E4C">
        <w:tc>
          <w:tcPr>
            <w:tcW w:w="8190" w:type="dxa"/>
          </w:tcPr>
          <w:p w14:paraId="77BF0D2C" w14:textId="77777777" w:rsidR="007166C8" w:rsidRPr="004B35C4" w:rsidRDefault="00DA060D" w:rsidP="004B35C4">
            <w:pPr>
              <w:pStyle w:val="ListParagraph"/>
              <w:numPr>
                <w:ilvl w:val="0"/>
                <w:numId w:val="32"/>
              </w:numPr>
              <w:spacing w:before="40" w:after="40"/>
              <w:rPr>
                <w:rFonts w:ascii="Calibri" w:hAnsi="Calibri"/>
                <w:sz w:val="22"/>
              </w:rPr>
            </w:pPr>
            <w:r w:rsidRPr="004B35C4">
              <w:rPr>
                <w:rFonts w:ascii="Calibri" w:hAnsi="Calibri"/>
                <w:sz w:val="22"/>
              </w:rPr>
              <w:t>What are some key things to keep in mind about comparability?</w:t>
            </w:r>
          </w:p>
        </w:tc>
        <w:tc>
          <w:tcPr>
            <w:tcW w:w="990" w:type="dxa"/>
          </w:tcPr>
          <w:p w14:paraId="77693696" w14:textId="77777777" w:rsidR="007166C8" w:rsidRPr="00793D54" w:rsidRDefault="007166C8" w:rsidP="00C918FB">
            <w:pPr>
              <w:spacing w:before="40" w:after="40"/>
              <w:jc w:val="right"/>
              <w:rPr>
                <w:rFonts w:ascii="Calibri" w:hAnsi="Calibri"/>
                <w:bCs/>
                <w:iCs/>
              </w:rPr>
            </w:pPr>
          </w:p>
        </w:tc>
      </w:tr>
      <w:tr w:rsidR="00DA060D" w:rsidRPr="00793D54" w14:paraId="7835A8EE" w14:textId="77777777" w:rsidTr="00273E4C">
        <w:tc>
          <w:tcPr>
            <w:tcW w:w="8190" w:type="dxa"/>
          </w:tcPr>
          <w:p w14:paraId="6FA0E473" w14:textId="77777777" w:rsidR="00DA060D" w:rsidRPr="004B35C4" w:rsidRDefault="00DA060D" w:rsidP="004B35C4">
            <w:pPr>
              <w:pStyle w:val="ListParagraph"/>
              <w:numPr>
                <w:ilvl w:val="0"/>
                <w:numId w:val="32"/>
              </w:numPr>
              <w:rPr>
                <w:rFonts w:ascii="Calibri" w:hAnsi="Calibri"/>
                <w:sz w:val="22"/>
              </w:rPr>
            </w:pPr>
            <w:r w:rsidRPr="004B35C4">
              <w:rPr>
                <w:rFonts w:ascii="Calibri" w:hAnsi="Calibri"/>
                <w:sz w:val="22"/>
              </w:rPr>
              <w:t>St</w:t>
            </w:r>
            <w:r w:rsidR="00CC781C" w:rsidRPr="004B35C4">
              <w:rPr>
                <w:rFonts w:ascii="Calibri" w:hAnsi="Calibri"/>
                <w:sz w:val="22"/>
              </w:rPr>
              <w:t>atutory provisions for Title I c</w:t>
            </w:r>
            <w:r w:rsidRPr="004B35C4">
              <w:rPr>
                <w:rFonts w:ascii="Calibri" w:hAnsi="Calibri"/>
                <w:sz w:val="22"/>
              </w:rPr>
              <w:t>omparability</w:t>
            </w:r>
          </w:p>
        </w:tc>
        <w:tc>
          <w:tcPr>
            <w:tcW w:w="990" w:type="dxa"/>
          </w:tcPr>
          <w:p w14:paraId="0A68F96E" w14:textId="77777777" w:rsidR="00DA060D" w:rsidRPr="00793D54" w:rsidRDefault="00DA060D" w:rsidP="00C918FB">
            <w:pPr>
              <w:spacing w:before="40" w:after="40"/>
              <w:jc w:val="right"/>
              <w:rPr>
                <w:rFonts w:ascii="Calibri" w:hAnsi="Calibri"/>
                <w:bCs/>
                <w:iCs/>
              </w:rPr>
            </w:pPr>
          </w:p>
        </w:tc>
      </w:tr>
    </w:tbl>
    <w:p w14:paraId="3D9EA69A" w14:textId="77777777" w:rsidR="004A339D" w:rsidRPr="00003364" w:rsidRDefault="004A339D">
      <w:pPr>
        <w:rPr>
          <w:rFonts w:ascii="Calibri" w:hAnsi="Calibri"/>
          <w:sz w:val="22"/>
        </w:rPr>
      </w:pPr>
    </w:p>
    <w:p w14:paraId="0A6A2A68" w14:textId="77777777" w:rsidR="004A339D" w:rsidRPr="00003364" w:rsidRDefault="004A339D">
      <w:pPr>
        <w:rPr>
          <w:rFonts w:ascii="Calibri" w:hAnsi="Calibri"/>
          <w:sz w:val="22"/>
        </w:rPr>
      </w:pPr>
    </w:p>
    <w:p w14:paraId="25E97DB2" w14:textId="15467010" w:rsidR="00066A11" w:rsidRPr="00003364" w:rsidRDefault="00066A11" w:rsidP="09699BDF">
      <w:pPr>
        <w:rPr>
          <w:rFonts w:ascii="Calibri" w:hAnsi="Calibri"/>
          <w:sz w:val="22"/>
          <w:szCs w:val="22"/>
        </w:rPr>
      </w:pPr>
      <w:r w:rsidRPr="09699BDF">
        <w:rPr>
          <w:rFonts w:ascii="Calibri" w:hAnsi="Calibri"/>
          <w:sz w:val="22"/>
          <w:szCs w:val="22"/>
        </w:rPr>
        <w:t xml:space="preserve">Questions regarding Title I comparability may be directed to </w:t>
      </w:r>
      <w:hyperlink r:id="rId13">
        <w:r w:rsidR="09699BDF" w:rsidRPr="09699BDF">
          <w:rPr>
            <w:rStyle w:val="Hyperlink"/>
            <w:rFonts w:ascii="Calibri" w:eastAsia="Calibri" w:hAnsi="Calibri" w:cs="Calibri"/>
          </w:rPr>
          <w:t>FederalGrantPrograms@mass.gov</w:t>
        </w:r>
      </w:hyperlink>
      <w:r w:rsidRPr="09699BDF">
        <w:rPr>
          <w:rFonts w:ascii="Calibri" w:hAnsi="Calibri"/>
          <w:sz w:val="22"/>
          <w:szCs w:val="22"/>
        </w:rPr>
        <w:t xml:space="preserve"> or 781-338-6230.</w:t>
      </w:r>
    </w:p>
    <w:p w14:paraId="0987EC0F" w14:textId="77777777" w:rsidR="00C15335" w:rsidRPr="00C15335" w:rsidRDefault="00C15335" w:rsidP="00DF5067">
      <w:pPr>
        <w:pStyle w:val="Heading1"/>
        <w:keepLines/>
        <w:spacing w:before="120" w:after="240"/>
        <w:jc w:val="left"/>
        <w:rPr>
          <w:rFonts w:ascii="Arial" w:eastAsia="Calibri" w:hAnsi="Arial" w:cs="Arial"/>
          <w:bCs/>
          <w:sz w:val="16"/>
          <w:szCs w:val="16"/>
        </w:rPr>
      </w:pPr>
    </w:p>
    <w:p w14:paraId="3E77BF7C" w14:textId="77777777" w:rsidR="00656AA8" w:rsidRPr="003F42A0" w:rsidRDefault="00656AA8" w:rsidP="00DF5067">
      <w:pPr>
        <w:pStyle w:val="Heading1"/>
        <w:keepLines/>
        <w:spacing w:before="120" w:after="240"/>
        <w:jc w:val="left"/>
        <w:rPr>
          <w:rFonts w:ascii="Arial" w:eastAsia="Calibri" w:hAnsi="Arial" w:cs="Arial"/>
          <w:bCs/>
          <w:sz w:val="28"/>
          <w:szCs w:val="28"/>
        </w:rPr>
      </w:pPr>
      <w:r w:rsidRPr="003F42A0">
        <w:rPr>
          <w:rFonts w:ascii="Arial" w:eastAsia="Calibri" w:hAnsi="Arial" w:cs="Arial"/>
          <w:bCs/>
          <w:sz w:val="28"/>
          <w:szCs w:val="28"/>
        </w:rPr>
        <w:t>What is Title I comparability and why is it important?</w:t>
      </w:r>
    </w:p>
    <w:p w14:paraId="12F9CF31" w14:textId="77777777" w:rsidR="00DF5067" w:rsidRDefault="003F42A0" w:rsidP="00DF5067">
      <w:pPr>
        <w:spacing w:after="240"/>
        <w:rPr>
          <w:rFonts w:ascii="Calibri" w:hAnsi="Calibri"/>
          <w:sz w:val="22"/>
        </w:rPr>
      </w:pPr>
      <w:r w:rsidRPr="003F42A0">
        <w:rPr>
          <w:rFonts w:ascii="Calibri" w:hAnsi="Calibri"/>
          <w:sz w:val="22"/>
        </w:rPr>
        <w:t xml:space="preserve">Demonstrating comparability of services is an annual requirement for each school district receiving </w:t>
      </w:r>
      <w:r>
        <w:rPr>
          <w:rFonts w:ascii="Calibri" w:hAnsi="Calibri"/>
          <w:sz w:val="22"/>
        </w:rPr>
        <w:t xml:space="preserve">federal </w:t>
      </w:r>
      <w:r w:rsidRPr="003F42A0">
        <w:rPr>
          <w:rFonts w:ascii="Calibri" w:hAnsi="Calibri"/>
          <w:sz w:val="22"/>
        </w:rPr>
        <w:t xml:space="preserve">Title I, Part A funds. In accordance </w:t>
      </w:r>
      <w:r>
        <w:rPr>
          <w:rFonts w:ascii="Calibri" w:hAnsi="Calibri"/>
          <w:sz w:val="22"/>
        </w:rPr>
        <w:t xml:space="preserve">with </w:t>
      </w:r>
      <w:r w:rsidR="00801CA3">
        <w:rPr>
          <w:rFonts w:ascii="Calibri" w:hAnsi="Calibri"/>
          <w:sz w:val="22"/>
        </w:rPr>
        <w:t>ESEA</w:t>
      </w:r>
      <w:r w:rsidRPr="003F42A0">
        <w:rPr>
          <w:rFonts w:ascii="Calibri" w:hAnsi="Calibri"/>
          <w:sz w:val="22"/>
        </w:rPr>
        <w:t xml:space="preserve">, a school district may only receive Title I funds if it uses state and local funds to provide services in Title I schools that, taken as a whole, are at least comparable to the services provided in schools that do not receive Title I funds. When all schools receive Title I funds, districts must ensure that state and local funds are used to provide services that on the whole are substantially comparable in each school. </w:t>
      </w:r>
    </w:p>
    <w:p w14:paraId="148E47CC" w14:textId="77777777" w:rsidR="00DF5067" w:rsidRDefault="00DF5067" w:rsidP="00DF5067">
      <w:pPr>
        <w:spacing w:after="240"/>
        <w:rPr>
          <w:rFonts w:ascii="Calibri" w:hAnsi="Calibri"/>
          <w:sz w:val="22"/>
        </w:rPr>
      </w:pPr>
      <w:r>
        <w:rPr>
          <w:rFonts w:ascii="Calibri" w:hAnsi="Calibri"/>
          <w:sz w:val="22"/>
        </w:rPr>
        <w:t>The comparability requirement</w:t>
      </w:r>
      <w:r w:rsidR="003F42A0" w:rsidRPr="003F42A0">
        <w:rPr>
          <w:rFonts w:ascii="Calibri" w:hAnsi="Calibri"/>
          <w:sz w:val="22"/>
        </w:rPr>
        <w:t xml:space="preserve"> </w:t>
      </w:r>
      <w:r>
        <w:rPr>
          <w:rFonts w:ascii="Calibri" w:hAnsi="Calibri"/>
          <w:sz w:val="22"/>
        </w:rPr>
        <w:t xml:space="preserve">is intended to ensure that </w:t>
      </w:r>
      <w:r w:rsidR="003F42A0" w:rsidRPr="003F42A0">
        <w:rPr>
          <w:rFonts w:ascii="Calibri" w:hAnsi="Calibri"/>
          <w:sz w:val="22"/>
        </w:rPr>
        <w:t>school</w:t>
      </w:r>
      <w:r w:rsidR="003F42A0">
        <w:rPr>
          <w:rFonts w:ascii="Calibri" w:hAnsi="Calibri"/>
          <w:sz w:val="22"/>
        </w:rPr>
        <w:t xml:space="preserve"> </w:t>
      </w:r>
      <w:r w:rsidR="003F42A0" w:rsidRPr="003F42A0">
        <w:rPr>
          <w:rFonts w:ascii="Calibri" w:hAnsi="Calibri"/>
          <w:sz w:val="22"/>
        </w:rPr>
        <w:t>districts</w:t>
      </w:r>
      <w:r>
        <w:rPr>
          <w:rFonts w:ascii="Calibri" w:hAnsi="Calibri"/>
          <w:sz w:val="22"/>
        </w:rPr>
        <w:t xml:space="preserve"> do not spend</w:t>
      </w:r>
      <w:r w:rsidR="003F42A0" w:rsidRPr="003F42A0">
        <w:rPr>
          <w:rFonts w:ascii="Calibri" w:hAnsi="Calibri"/>
          <w:sz w:val="22"/>
        </w:rPr>
        <w:t xml:space="preserve"> less </w:t>
      </w:r>
      <w:r>
        <w:rPr>
          <w:rFonts w:ascii="Calibri" w:hAnsi="Calibri"/>
          <w:sz w:val="22"/>
        </w:rPr>
        <w:t xml:space="preserve">from state and local sources in higher poverty / Title I-funded schools than they do in lower poverty / non-Title I-funded schools. </w:t>
      </w:r>
      <w:r w:rsidRPr="003F42A0">
        <w:rPr>
          <w:rFonts w:ascii="Calibri" w:hAnsi="Calibri"/>
          <w:sz w:val="22"/>
        </w:rPr>
        <w:t>Comparability reporting is one means of annually demonstrating and documenting the supplemental nature of Title I-funded services.</w:t>
      </w:r>
      <w:r>
        <w:rPr>
          <w:rFonts w:ascii="Calibri" w:hAnsi="Calibri"/>
          <w:sz w:val="22"/>
        </w:rPr>
        <w:t xml:space="preserve"> </w:t>
      </w:r>
    </w:p>
    <w:p w14:paraId="31650B0B" w14:textId="77777777" w:rsidR="004B35C4" w:rsidRDefault="004B35C4" w:rsidP="00DF5067">
      <w:pPr>
        <w:spacing w:after="240"/>
        <w:rPr>
          <w:rFonts w:ascii="Calibri" w:hAnsi="Calibri"/>
          <w:sz w:val="22"/>
        </w:rPr>
      </w:pPr>
    </w:p>
    <w:p w14:paraId="0C6565BD" w14:textId="77777777" w:rsidR="00C15335" w:rsidRDefault="00C15335" w:rsidP="00DF5067">
      <w:pPr>
        <w:spacing w:after="240"/>
        <w:rPr>
          <w:rFonts w:ascii="Calibri" w:hAnsi="Calibri"/>
          <w:sz w:val="22"/>
        </w:rPr>
      </w:pPr>
    </w:p>
    <w:p w14:paraId="28FCB4BD" w14:textId="77777777" w:rsidR="00C15335" w:rsidRDefault="00C15335" w:rsidP="00DF5067">
      <w:pPr>
        <w:spacing w:after="240"/>
        <w:rPr>
          <w:rFonts w:ascii="Calibri" w:hAnsi="Calibri"/>
          <w:sz w:val="22"/>
        </w:rPr>
      </w:pPr>
    </w:p>
    <w:p w14:paraId="01AE8F87" w14:textId="77777777" w:rsidR="00C15335" w:rsidRDefault="00C15335" w:rsidP="00DF5067">
      <w:pPr>
        <w:spacing w:after="240"/>
        <w:rPr>
          <w:rFonts w:ascii="Calibri" w:hAnsi="Calibri"/>
          <w:sz w:val="22"/>
        </w:rPr>
      </w:pPr>
    </w:p>
    <w:p w14:paraId="20C4F1DB" w14:textId="77777777" w:rsidR="004B35C4" w:rsidRDefault="004B35C4" w:rsidP="00DF5067">
      <w:pPr>
        <w:spacing w:after="240"/>
        <w:rPr>
          <w:rFonts w:ascii="Calibri" w:hAnsi="Calibri"/>
          <w:sz w:val="22"/>
        </w:rPr>
      </w:pPr>
    </w:p>
    <w:p w14:paraId="3E7F20CC" w14:textId="77777777" w:rsidR="00BC704E" w:rsidRDefault="00FE5D2E" w:rsidP="00DF5067">
      <w:pPr>
        <w:spacing w:after="240"/>
        <w:rPr>
          <w:rFonts w:ascii="Calibri" w:hAnsi="Calibri"/>
          <w:sz w:val="22"/>
        </w:rPr>
      </w:pPr>
      <w:r>
        <w:rPr>
          <w:rFonts w:ascii="Calibri" w:hAnsi="Calibri"/>
          <w:sz w:val="22"/>
        </w:rPr>
        <w:t>The images below</w:t>
      </w:r>
      <w:r w:rsidR="00441DD1">
        <w:rPr>
          <w:rFonts w:ascii="Calibri" w:hAnsi="Calibri"/>
          <w:sz w:val="22"/>
        </w:rPr>
        <w:t xml:space="preserve"> </w:t>
      </w:r>
      <w:r w:rsidR="000F5D5D">
        <w:rPr>
          <w:rFonts w:ascii="Calibri" w:hAnsi="Calibri"/>
          <w:sz w:val="22"/>
        </w:rPr>
        <w:t>visually</w:t>
      </w:r>
      <w:r w:rsidR="00441DD1">
        <w:rPr>
          <w:rFonts w:ascii="Calibri" w:hAnsi="Calibri"/>
          <w:sz w:val="22"/>
        </w:rPr>
        <w:t xml:space="preserve"> demonstrate the notion of</w:t>
      </w:r>
      <w:r>
        <w:rPr>
          <w:rFonts w:ascii="Calibri" w:hAnsi="Calibri"/>
          <w:sz w:val="22"/>
        </w:rPr>
        <w:t xml:space="preserve"> comparable and non-comparable schools.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5"/>
        <w:gridCol w:w="445"/>
        <w:gridCol w:w="1890"/>
        <w:gridCol w:w="360"/>
        <w:gridCol w:w="1980"/>
      </w:tblGrid>
      <w:tr w:rsidR="00F572BC" w:rsidRPr="00416149" w14:paraId="6F23BD6E" w14:textId="77777777">
        <w:trPr>
          <w:trHeight w:val="494"/>
        </w:trPr>
        <w:tc>
          <w:tcPr>
            <w:tcW w:w="3245" w:type="dxa"/>
            <w:tcBorders>
              <w:top w:val="nil"/>
              <w:left w:val="nil"/>
              <w:bottom w:val="nil"/>
              <w:right w:val="nil"/>
            </w:tcBorders>
          </w:tcPr>
          <w:p w14:paraId="2E1A1278" w14:textId="77777777" w:rsidR="00F572BC" w:rsidRPr="00416149" w:rsidRDefault="00F572BC" w:rsidP="00BC704E">
            <w:pPr>
              <w:rPr>
                <w:rFonts w:ascii="Calibri" w:hAnsi="Calibri"/>
                <w:sz w:val="22"/>
              </w:rPr>
            </w:pPr>
          </w:p>
          <w:p w14:paraId="39434FB3" w14:textId="77777777" w:rsidR="00F572BC" w:rsidRPr="00416149" w:rsidRDefault="00F572BC" w:rsidP="00BC704E">
            <w:pPr>
              <w:rPr>
                <w:rFonts w:ascii="Calibri" w:hAnsi="Calibri"/>
                <w:b/>
                <w:sz w:val="22"/>
              </w:rPr>
            </w:pPr>
            <w:r w:rsidRPr="00416149">
              <w:rPr>
                <w:rFonts w:ascii="Calibri" w:hAnsi="Calibri"/>
                <w:b/>
                <w:sz w:val="22"/>
              </w:rPr>
              <w:t xml:space="preserve">Example A: </w:t>
            </w:r>
          </w:p>
          <w:p w14:paraId="66555227" w14:textId="77777777" w:rsidR="00F572BC" w:rsidRPr="00416149" w:rsidRDefault="00F572BC" w:rsidP="00BC704E">
            <w:pPr>
              <w:rPr>
                <w:rFonts w:ascii="Calibri" w:hAnsi="Calibri"/>
                <w:sz w:val="22"/>
              </w:rPr>
            </w:pPr>
            <w:r w:rsidRPr="00416149">
              <w:rPr>
                <w:rFonts w:ascii="Calibri" w:hAnsi="Calibri"/>
                <w:b/>
                <w:sz w:val="22"/>
              </w:rPr>
              <w:t>Comparable Schools</w:t>
            </w:r>
          </w:p>
        </w:tc>
        <w:tc>
          <w:tcPr>
            <w:tcW w:w="445" w:type="dxa"/>
            <w:tcBorders>
              <w:top w:val="nil"/>
              <w:left w:val="nil"/>
              <w:bottom w:val="nil"/>
              <w:right w:val="nil"/>
            </w:tcBorders>
            <w:shd w:val="clear" w:color="auto" w:fill="auto"/>
          </w:tcPr>
          <w:p w14:paraId="723D90FC" w14:textId="77777777" w:rsidR="00F572BC" w:rsidRPr="00416149" w:rsidRDefault="00F572BC" w:rsidP="00416149">
            <w:pPr>
              <w:jc w:val="center"/>
              <w:rPr>
                <w:rFonts w:ascii="Calibri" w:hAnsi="Calibri"/>
                <w:sz w:val="22"/>
                <w:u w:val="single"/>
              </w:rPr>
            </w:pPr>
          </w:p>
        </w:tc>
        <w:tc>
          <w:tcPr>
            <w:tcW w:w="1890" w:type="dxa"/>
            <w:tcBorders>
              <w:top w:val="nil"/>
              <w:left w:val="nil"/>
              <w:bottom w:val="nil"/>
              <w:right w:val="nil"/>
            </w:tcBorders>
            <w:vAlign w:val="bottom"/>
          </w:tcPr>
          <w:p w14:paraId="3EF00630" w14:textId="77777777" w:rsidR="00F572BC" w:rsidRPr="00416149" w:rsidRDefault="00F572BC" w:rsidP="00416149">
            <w:pPr>
              <w:jc w:val="center"/>
              <w:rPr>
                <w:rFonts w:ascii="Calibri" w:hAnsi="Calibri"/>
                <w:sz w:val="22"/>
                <w:u w:val="single"/>
              </w:rPr>
            </w:pPr>
            <w:r w:rsidRPr="00416149">
              <w:rPr>
                <w:rFonts w:ascii="Calibri" w:hAnsi="Calibri"/>
                <w:sz w:val="22"/>
                <w:u w:val="single"/>
              </w:rPr>
              <w:t>Non-Title I Schools</w:t>
            </w:r>
          </w:p>
        </w:tc>
        <w:tc>
          <w:tcPr>
            <w:tcW w:w="360" w:type="dxa"/>
            <w:tcBorders>
              <w:top w:val="nil"/>
              <w:left w:val="nil"/>
              <w:bottom w:val="nil"/>
              <w:right w:val="nil"/>
            </w:tcBorders>
          </w:tcPr>
          <w:p w14:paraId="192A35FB" w14:textId="77777777" w:rsidR="00F572BC" w:rsidRPr="00416149" w:rsidRDefault="00F572BC" w:rsidP="00416149">
            <w:pPr>
              <w:jc w:val="center"/>
              <w:rPr>
                <w:rFonts w:ascii="Calibri" w:hAnsi="Calibri"/>
                <w:sz w:val="22"/>
                <w:u w:val="single"/>
              </w:rPr>
            </w:pPr>
          </w:p>
        </w:tc>
        <w:tc>
          <w:tcPr>
            <w:tcW w:w="1980" w:type="dxa"/>
            <w:tcBorders>
              <w:top w:val="nil"/>
              <w:left w:val="nil"/>
              <w:bottom w:val="nil"/>
              <w:right w:val="nil"/>
            </w:tcBorders>
            <w:vAlign w:val="bottom"/>
          </w:tcPr>
          <w:p w14:paraId="0365B029" w14:textId="77777777" w:rsidR="00F572BC" w:rsidRPr="00416149" w:rsidRDefault="00F572BC" w:rsidP="00416149">
            <w:pPr>
              <w:jc w:val="center"/>
              <w:rPr>
                <w:rFonts w:ascii="Calibri" w:hAnsi="Calibri"/>
                <w:sz w:val="22"/>
                <w:u w:val="single"/>
              </w:rPr>
            </w:pPr>
            <w:r w:rsidRPr="00416149">
              <w:rPr>
                <w:rFonts w:ascii="Calibri" w:hAnsi="Calibri"/>
                <w:sz w:val="22"/>
                <w:u w:val="single"/>
              </w:rPr>
              <w:t>Title I Schools</w:t>
            </w:r>
          </w:p>
        </w:tc>
      </w:tr>
      <w:tr w:rsidR="00F572BC" w:rsidRPr="00416149" w14:paraId="20DCEFD5" w14:textId="77777777">
        <w:trPr>
          <w:trHeight w:val="359"/>
        </w:trPr>
        <w:tc>
          <w:tcPr>
            <w:tcW w:w="3245" w:type="dxa"/>
            <w:vMerge w:val="restart"/>
            <w:tcBorders>
              <w:top w:val="nil"/>
              <w:left w:val="nil"/>
              <w:right w:val="nil"/>
            </w:tcBorders>
          </w:tcPr>
          <w:p w14:paraId="49270911" w14:textId="77777777" w:rsidR="00F572BC" w:rsidRPr="00416149" w:rsidRDefault="00F572BC" w:rsidP="00BC704E">
            <w:pPr>
              <w:rPr>
                <w:rFonts w:ascii="Calibri" w:hAnsi="Calibri"/>
              </w:rPr>
            </w:pPr>
            <w:r w:rsidRPr="00416149">
              <w:rPr>
                <w:rFonts w:ascii="Calibri" w:hAnsi="Calibri"/>
              </w:rPr>
              <w:t xml:space="preserve">Services funded by state and local sources are equal in Title I &amp; non-Title I schools. </w:t>
            </w:r>
          </w:p>
          <w:p w14:paraId="79939E6C" w14:textId="77777777" w:rsidR="00F572BC" w:rsidRPr="00416149" w:rsidRDefault="00F572BC" w:rsidP="00BC704E">
            <w:pPr>
              <w:rPr>
                <w:rFonts w:ascii="Calibri" w:hAnsi="Calibri"/>
              </w:rPr>
            </w:pPr>
            <w:r w:rsidRPr="00416149">
              <w:rPr>
                <w:rFonts w:ascii="Calibri" w:hAnsi="Calibri"/>
              </w:rPr>
              <w:t xml:space="preserve">Title I funds are </w:t>
            </w:r>
            <w:r w:rsidRPr="00416149">
              <w:rPr>
                <w:rFonts w:ascii="Calibri" w:hAnsi="Calibri"/>
                <w:b/>
              </w:rPr>
              <w:t>supplemental</w:t>
            </w:r>
            <w:r w:rsidRPr="00416149">
              <w:rPr>
                <w:rFonts w:ascii="Calibri" w:hAnsi="Calibri"/>
              </w:rPr>
              <w:t>, or in addition to, the state &amp; local funding in the Title I schools.</w:t>
            </w:r>
          </w:p>
        </w:tc>
        <w:tc>
          <w:tcPr>
            <w:tcW w:w="445" w:type="dxa"/>
            <w:tcBorders>
              <w:top w:val="nil"/>
              <w:left w:val="nil"/>
              <w:bottom w:val="nil"/>
              <w:right w:val="nil"/>
            </w:tcBorders>
            <w:shd w:val="clear" w:color="auto" w:fill="auto"/>
          </w:tcPr>
          <w:p w14:paraId="2F319FDA" w14:textId="77777777" w:rsidR="00F572BC" w:rsidRPr="00416149" w:rsidRDefault="00F572BC" w:rsidP="00BC704E">
            <w:pPr>
              <w:rPr>
                <w:rFonts w:ascii="Calibri" w:hAnsi="Calibri"/>
                <w:sz w:val="22"/>
              </w:rPr>
            </w:pPr>
          </w:p>
        </w:tc>
        <w:tc>
          <w:tcPr>
            <w:tcW w:w="1890" w:type="dxa"/>
            <w:tcBorders>
              <w:top w:val="nil"/>
              <w:left w:val="nil"/>
              <w:bottom w:val="nil"/>
              <w:right w:val="nil"/>
            </w:tcBorders>
          </w:tcPr>
          <w:p w14:paraId="1DCE4989" w14:textId="77777777" w:rsidR="00F572BC" w:rsidRPr="00416149" w:rsidRDefault="00F572BC" w:rsidP="00BC704E">
            <w:pPr>
              <w:rPr>
                <w:rFonts w:ascii="Calibri" w:hAnsi="Calibri"/>
                <w:sz w:val="22"/>
              </w:rPr>
            </w:pPr>
          </w:p>
        </w:tc>
        <w:tc>
          <w:tcPr>
            <w:tcW w:w="360" w:type="dxa"/>
            <w:tcBorders>
              <w:top w:val="nil"/>
              <w:left w:val="nil"/>
              <w:bottom w:val="nil"/>
              <w:right w:val="nil"/>
            </w:tcBorders>
          </w:tcPr>
          <w:p w14:paraId="0DE7D05C" w14:textId="77777777" w:rsidR="00F572BC" w:rsidRPr="00416149" w:rsidRDefault="00F572BC" w:rsidP="00BC704E">
            <w:pPr>
              <w:rPr>
                <w:rFonts w:ascii="Calibri" w:hAnsi="Calibri"/>
                <w:sz w:val="22"/>
              </w:rPr>
            </w:pPr>
          </w:p>
        </w:tc>
        <w:tc>
          <w:tcPr>
            <w:tcW w:w="1980" w:type="dxa"/>
            <w:tcBorders>
              <w:top w:val="nil"/>
              <w:left w:val="nil"/>
              <w:bottom w:val="single" w:sz="4" w:space="0" w:color="auto"/>
              <w:right w:val="nil"/>
            </w:tcBorders>
          </w:tcPr>
          <w:p w14:paraId="113106C2" w14:textId="77777777" w:rsidR="00F572BC" w:rsidRPr="00416149" w:rsidRDefault="00F572BC" w:rsidP="00BC704E">
            <w:pPr>
              <w:rPr>
                <w:rFonts w:ascii="Calibri" w:hAnsi="Calibri"/>
                <w:sz w:val="22"/>
              </w:rPr>
            </w:pPr>
          </w:p>
        </w:tc>
      </w:tr>
      <w:tr w:rsidR="00F572BC" w:rsidRPr="00416149" w14:paraId="23EBD295" w14:textId="77777777">
        <w:trPr>
          <w:trHeight w:val="539"/>
        </w:trPr>
        <w:tc>
          <w:tcPr>
            <w:tcW w:w="3245" w:type="dxa"/>
            <w:vMerge/>
            <w:tcBorders>
              <w:left w:val="nil"/>
              <w:right w:val="nil"/>
            </w:tcBorders>
          </w:tcPr>
          <w:p w14:paraId="56E9906D" w14:textId="77777777" w:rsidR="00F572BC" w:rsidRPr="00416149" w:rsidRDefault="00F572BC" w:rsidP="00BC704E">
            <w:pPr>
              <w:rPr>
                <w:rFonts w:ascii="Calibri" w:hAnsi="Calibri"/>
                <w:sz w:val="22"/>
              </w:rPr>
            </w:pPr>
          </w:p>
        </w:tc>
        <w:tc>
          <w:tcPr>
            <w:tcW w:w="445" w:type="dxa"/>
            <w:tcBorders>
              <w:top w:val="nil"/>
              <w:left w:val="nil"/>
              <w:bottom w:val="nil"/>
              <w:right w:val="nil"/>
            </w:tcBorders>
            <w:shd w:val="clear" w:color="auto" w:fill="auto"/>
          </w:tcPr>
          <w:p w14:paraId="59567B77" w14:textId="77777777" w:rsidR="00F572BC" w:rsidRPr="00416149" w:rsidRDefault="00F572BC" w:rsidP="00BC704E">
            <w:pPr>
              <w:rPr>
                <w:rFonts w:ascii="Calibri" w:hAnsi="Calibri"/>
                <w:sz w:val="22"/>
              </w:rPr>
            </w:pPr>
          </w:p>
        </w:tc>
        <w:tc>
          <w:tcPr>
            <w:tcW w:w="1890" w:type="dxa"/>
            <w:tcBorders>
              <w:top w:val="nil"/>
              <w:left w:val="nil"/>
              <w:bottom w:val="single" w:sz="4" w:space="0" w:color="auto"/>
              <w:right w:val="nil"/>
            </w:tcBorders>
          </w:tcPr>
          <w:p w14:paraId="65CB6436" w14:textId="77777777" w:rsidR="00F572BC" w:rsidRPr="00416149" w:rsidRDefault="00F572BC" w:rsidP="00BC704E">
            <w:pPr>
              <w:rPr>
                <w:rFonts w:ascii="Calibri" w:hAnsi="Calibri"/>
                <w:sz w:val="22"/>
              </w:rPr>
            </w:pPr>
          </w:p>
        </w:tc>
        <w:tc>
          <w:tcPr>
            <w:tcW w:w="360" w:type="dxa"/>
            <w:tcBorders>
              <w:top w:val="nil"/>
              <w:left w:val="nil"/>
              <w:bottom w:val="nil"/>
              <w:right w:val="single" w:sz="4" w:space="0" w:color="auto"/>
            </w:tcBorders>
            <w:shd w:val="clear" w:color="auto" w:fill="auto"/>
          </w:tcPr>
          <w:p w14:paraId="46D05F9B" w14:textId="77777777" w:rsidR="00F572BC" w:rsidRPr="00416149" w:rsidRDefault="00F572BC" w:rsidP="00416149">
            <w:pPr>
              <w:jc w:val="center"/>
              <w:rPr>
                <w:rFonts w:ascii="Calibri" w:hAnsi="Calibri"/>
                <w:sz w:val="22"/>
              </w:rPr>
            </w:pPr>
          </w:p>
        </w:tc>
        <w:tc>
          <w:tcPr>
            <w:tcW w:w="1980" w:type="dxa"/>
            <w:tcBorders>
              <w:top w:val="single" w:sz="4" w:space="0" w:color="auto"/>
              <w:left w:val="single" w:sz="4" w:space="0" w:color="auto"/>
              <w:bottom w:val="dotted" w:sz="4" w:space="0" w:color="auto"/>
              <w:right w:val="single" w:sz="4" w:space="0" w:color="auto"/>
            </w:tcBorders>
            <w:shd w:val="clear" w:color="auto" w:fill="FFFFCC"/>
            <w:vAlign w:val="center"/>
          </w:tcPr>
          <w:p w14:paraId="42F09E0B" w14:textId="77777777" w:rsidR="00F572BC" w:rsidRPr="00416149" w:rsidRDefault="00F572BC" w:rsidP="00416149">
            <w:pPr>
              <w:jc w:val="center"/>
              <w:rPr>
                <w:rFonts w:ascii="Calibri" w:hAnsi="Calibri"/>
                <w:sz w:val="22"/>
              </w:rPr>
            </w:pPr>
            <w:r w:rsidRPr="00416149">
              <w:rPr>
                <w:rFonts w:ascii="Calibri" w:hAnsi="Calibri"/>
                <w:sz w:val="22"/>
              </w:rPr>
              <w:t>Title I Funds</w:t>
            </w:r>
          </w:p>
        </w:tc>
      </w:tr>
      <w:tr w:rsidR="00F572BC" w:rsidRPr="00416149" w14:paraId="38F93244" w14:textId="77777777">
        <w:trPr>
          <w:trHeight w:val="1088"/>
        </w:trPr>
        <w:tc>
          <w:tcPr>
            <w:tcW w:w="3245" w:type="dxa"/>
            <w:vMerge/>
            <w:tcBorders>
              <w:left w:val="nil"/>
              <w:bottom w:val="nil"/>
              <w:right w:val="nil"/>
            </w:tcBorders>
          </w:tcPr>
          <w:p w14:paraId="28FA55A7" w14:textId="77777777" w:rsidR="00F572BC" w:rsidRPr="00416149" w:rsidRDefault="00F572BC" w:rsidP="00BC704E">
            <w:pPr>
              <w:rPr>
                <w:rFonts w:ascii="Calibri" w:hAnsi="Calibri"/>
                <w:sz w:val="22"/>
              </w:rPr>
            </w:pPr>
          </w:p>
        </w:tc>
        <w:tc>
          <w:tcPr>
            <w:tcW w:w="445" w:type="dxa"/>
            <w:tcBorders>
              <w:top w:val="nil"/>
              <w:left w:val="nil"/>
              <w:bottom w:val="nil"/>
              <w:right w:val="single" w:sz="4" w:space="0" w:color="auto"/>
            </w:tcBorders>
            <w:shd w:val="clear" w:color="auto" w:fill="auto"/>
          </w:tcPr>
          <w:p w14:paraId="26B4B200" w14:textId="77777777" w:rsidR="00F572BC" w:rsidRPr="00416149" w:rsidRDefault="00F572BC" w:rsidP="00416149">
            <w:pPr>
              <w:jc w:val="center"/>
              <w:rPr>
                <w:rFonts w:ascii="Calibri" w:hAnsi="Calibri"/>
                <w:sz w:val="22"/>
              </w:rPr>
            </w:pPr>
          </w:p>
        </w:tc>
        <w:tc>
          <w:tcPr>
            <w:tcW w:w="1890" w:type="dxa"/>
            <w:tcBorders>
              <w:top w:val="single" w:sz="4" w:space="0" w:color="auto"/>
              <w:left w:val="single" w:sz="4" w:space="0" w:color="auto"/>
              <w:bottom w:val="single" w:sz="4" w:space="0" w:color="auto"/>
              <w:right w:val="single" w:sz="4" w:space="0" w:color="auto"/>
            </w:tcBorders>
            <w:shd w:val="clear" w:color="auto" w:fill="D9D9D9"/>
            <w:vAlign w:val="center"/>
          </w:tcPr>
          <w:p w14:paraId="7D1D64AA" w14:textId="77777777" w:rsidR="00F572BC" w:rsidRPr="00416149" w:rsidRDefault="00F572BC" w:rsidP="00416149">
            <w:pPr>
              <w:jc w:val="center"/>
              <w:rPr>
                <w:rFonts w:ascii="Calibri" w:hAnsi="Calibri"/>
                <w:sz w:val="22"/>
              </w:rPr>
            </w:pPr>
            <w:r w:rsidRPr="00416149">
              <w:rPr>
                <w:rFonts w:ascii="Calibri" w:hAnsi="Calibri"/>
                <w:sz w:val="22"/>
              </w:rPr>
              <w:t>State &amp; Local Funds</w:t>
            </w:r>
          </w:p>
        </w:tc>
        <w:tc>
          <w:tcPr>
            <w:tcW w:w="360" w:type="dxa"/>
            <w:tcBorders>
              <w:top w:val="nil"/>
              <w:left w:val="single" w:sz="4" w:space="0" w:color="auto"/>
              <w:bottom w:val="nil"/>
              <w:right w:val="single" w:sz="4" w:space="0" w:color="auto"/>
            </w:tcBorders>
            <w:shd w:val="clear" w:color="auto" w:fill="auto"/>
          </w:tcPr>
          <w:p w14:paraId="6BABD693" w14:textId="77777777" w:rsidR="00F572BC" w:rsidRPr="00416149" w:rsidRDefault="00F572BC" w:rsidP="00416149">
            <w:pPr>
              <w:jc w:val="center"/>
              <w:rPr>
                <w:rFonts w:ascii="Calibri" w:hAnsi="Calibri"/>
                <w:sz w:val="22"/>
              </w:rPr>
            </w:pPr>
          </w:p>
        </w:tc>
        <w:tc>
          <w:tcPr>
            <w:tcW w:w="1980" w:type="dxa"/>
            <w:tcBorders>
              <w:top w:val="dotted" w:sz="4" w:space="0" w:color="auto"/>
              <w:left w:val="single" w:sz="4" w:space="0" w:color="auto"/>
              <w:right w:val="single" w:sz="4" w:space="0" w:color="auto"/>
            </w:tcBorders>
            <w:shd w:val="clear" w:color="auto" w:fill="D9D9D9"/>
            <w:vAlign w:val="center"/>
          </w:tcPr>
          <w:p w14:paraId="3A53B951" w14:textId="77777777" w:rsidR="00F572BC" w:rsidRPr="00416149" w:rsidRDefault="00F572BC" w:rsidP="00416149">
            <w:pPr>
              <w:jc w:val="center"/>
              <w:rPr>
                <w:rFonts w:ascii="Calibri" w:hAnsi="Calibri"/>
                <w:sz w:val="22"/>
              </w:rPr>
            </w:pPr>
            <w:r w:rsidRPr="00416149">
              <w:rPr>
                <w:rFonts w:ascii="Calibri" w:hAnsi="Calibri"/>
                <w:sz w:val="22"/>
              </w:rPr>
              <w:t>State &amp; Local Funds</w:t>
            </w:r>
          </w:p>
        </w:tc>
      </w:tr>
    </w:tbl>
    <w:p w14:paraId="4B0A2C60" w14:textId="77777777" w:rsidR="00BC704E" w:rsidRDefault="00BC704E" w:rsidP="00BC704E">
      <w:pPr>
        <w:rPr>
          <w:rFonts w:ascii="Calibri" w:hAnsi="Calibri"/>
          <w:sz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2"/>
        <w:gridCol w:w="448"/>
        <w:gridCol w:w="1890"/>
        <w:gridCol w:w="360"/>
        <w:gridCol w:w="1980"/>
      </w:tblGrid>
      <w:tr w:rsidR="00F572BC" w:rsidRPr="00416149" w14:paraId="759056E1" w14:textId="77777777">
        <w:trPr>
          <w:trHeight w:val="494"/>
        </w:trPr>
        <w:tc>
          <w:tcPr>
            <w:tcW w:w="3242" w:type="dxa"/>
            <w:tcBorders>
              <w:top w:val="nil"/>
              <w:left w:val="nil"/>
              <w:bottom w:val="nil"/>
              <w:right w:val="nil"/>
            </w:tcBorders>
          </w:tcPr>
          <w:p w14:paraId="60553843" w14:textId="77777777" w:rsidR="00F572BC" w:rsidRPr="00416149" w:rsidRDefault="00F572BC" w:rsidP="00C918FB">
            <w:pPr>
              <w:rPr>
                <w:rFonts w:ascii="Calibri" w:hAnsi="Calibri"/>
                <w:sz w:val="22"/>
              </w:rPr>
            </w:pPr>
          </w:p>
          <w:p w14:paraId="405C56EE" w14:textId="77777777" w:rsidR="00F572BC" w:rsidRPr="00416149" w:rsidRDefault="00F572BC" w:rsidP="00C918FB">
            <w:pPr>
              <w:rPr>
                <w:rFonts w:ascii="Calibri" w:hAnsi="Calibri"/>
                <w:b/>
                <w:sz w:val="22"/>
              </w:rPr>
            </w:pPr>
            <w:r w:rsidRPr="00416149">
              <w:rPr>
                <w:rFonts w:ascii="Calibri" w:hAnsi="Calibri"/>
                <w:b/>
                <w:sz w:val="22"/>
              </w:rPr>
              <w:t xml:space="preserve">Example B: </w:t>
            </w:r>
          </w:p>
          <w:p w14:paraId="317FB437" w14:textId="77777777" w:rsidR="00F572BC" w:rsidRPr="00416149" w:rsidRDefault="00F572BC" w:rsidP="00C918FB">
            <w:pPr>
              <w:rPr>
                <w:rFonts w:ascii="Calibri" w:hAnsi="Calibri"/>
                <w:sz w:val="22"/>
              </w:rPr>
            </w:pPr>
            <w:r w:rsidRPr="00416149">
              <w:rPr>
                <w:rFonts w:ascii="Calibri" w:hAnsi="Calibri"/>
                <w:b/>
                <w:sz w:val="22"/>
              </w:rPr>
              <w:t>Non-Comparable Schools</w:t>
            </w:r>
          </w:p>
        </w:tc>
        <w:tc>
          <w:tcPr>
            <w:tcW w:w="448" w:type="dxa"/>
            <w:tcBorders>
              <w:top w:val="nil"/>
              <w:left w:val="nil"/>
              <w:bottom w:val="nil"/>
              <w:right w:val="nil"/>
            </w:tcBorders>
          </w:tcPr>
          <w:p w14:paraId="0B316DF6" w14:textId="77777777" w:rsidR="00F572BC" w:rsidRPr="00416149" w:rsidRDefault="00F572BC" w:rsidP="00416149">
            <w:pPr>
              <w:jc w:val="center"/>
              <w:rPr>
                <w:rFonts w:ascii="Calibri" w:hAnsi="Calibri"/>
                <w:sz w:val="22"/>
                <w:u w:val="single"/>
              </w:rPr>
            </w:pPr>
          </w:p>
        </w:tc>
        <w:tc>
          <w:tcPr>
            <w:tcW w:w="1890" w:type="dxa"/>
            <w:tcBorders>
              <w:top w:val="nil"/>
              <w:left w:val="nil"/>
              <w:bottom w:val="nil"/>
              <w:right w:val="nil"/>
            </w:tcBorders>
            <w:vAlign w:val="bottom"/>
          </w:tcPr>
          <w:p w14:paraId="025430E4" w14:textId="77777777" w:rsidR="00F572BC" w:rsidRPr="00416149" w:rsidRDefault="00F572BC" w:rsidP="00416149">
            <w:pPr>
              <w:jc w:val="center"/>
              <w:rPr>
                <w:rFonts w:ascii="Calibri" w:hAnsi="Calibri"/>
                <w:sz w:val="22"/>
                <w:u w:val="single"/>
              </w:rPr>
            </w:pPr>
            <w:r w:rsidRPr="00416149">
              <w:rPr>
                <w:rFonts w:ascii="Calibri" w:hAnsi="Calibri"/>
                <w:sz w:val="22"/>
                <w:u w:val="single"/>
              </w:rPr>
              <w:t>Non-Title I Schools</w:t>
            </w:r>
          </w:p>
        </w:tc>
        <w:tc>
          <w:tcPr>
            <w:tcW w:w="360" w:type="dxa"/>
            <w:tcBorders>
              <w:top w:val="nil"/>
              <w:left w:val="nil"/>
              <w:bottom w:val="nil"/>
              <w:right w:val="nil"/>
            </w:tcBorders>
          </w:tcPr>
          <w:p w14:paraId="72E448FB" w14:textId="77777777" w:rsidR="00F572BC" w:rsidRPr="00416149" w:rsidRDefault="00F572BC" w:rsidP="00416149">
            <w:pPr>
              <w:jc w:val="center"/>
              <w:rPr>
                <w:rFonts w:ascii="Calibri" w:hAnsi="Calibri"/>
                <w:sz w:val="22"/>
                <w:u w:val="single"/>
              </w:rPr>
            </w:pPr>
          </w:p>
        </w:tc>
        <w:tc>
          <w:tcPr>
            <w:tcW w:w="1980" w:type="dxa"/>
            <w:tcBorders>
              <w:top w:val="nil"/>
              <w:left w:val="nil"/>
              <w:bottom w:val="nil"/>
              <w:right w:val="nil"/>
            </w:tcBorders>
            <w:vAlign w:val="bottom"/>
          </w:tcPr>
          <w:p w14:paraId="3AD0C131" w14:textId="77777777" w:rsidR="00F572BC" w:rsidRPr="00416149" w:rsidRDefault="00F572BC" w:rsidP="00416149">
            <w:pPr>
              <w:jc w:val="center"/>
              <w:rPr>
                <w:rFonts w:ascii="Calibri" w:hAnsi="Calibri"/>
                <w:sz w:val="22"/>
                <w:u w:val="single"/>
              </w:rPr>
            </w:pPr>
            <w:r w:rsidRPr="00416149">
              <w:rPr>
                <w:rFonts w:ascii="Calibri" w:hAnsi="Calibri"/>
                <w:sz w:val="22"/>
                <w:u w:val="single"/>
              </w:rPr>
              <w:t>Title I Schools</w:t>
            </w:r>
          </w:p>
        </w:tc>
      </w:tr>
      <w:tr w:rsidR="00F572BC" w:rsidRPr="00416149" w14:paraId="64602ACE" w14:textId="77777777">
        <w:trPr>
          <w:trHeight w:val="359"/>
        </w:trPr>
        <w:tc>
          <w:tcPr>
            <w:tcW w:w="3242" w:type="dxa"/>
            <w:vMerge w:val="restart"/>
            <w:tcBorders>
              <w:top w:val="nil"/>
              <w:left w:val="nil"/>
              <w:right w:val="nil"/>
            </w:tcBorders>
          </w:tcPr>
          <w:p w14:paraId="3D61ED06" w14:textId="77777777" w:rsidR="00F572BC" w:rsidRPr="00416149" w:rsidRDefault="00F572BC" w:rsidP="00C918FB">
            <w:pPr>
              <w:rPr>
                <w:rFonts w:ascii="Calibri" w:hAnsi="Calibri"/>
              </w:rPr>
            </w:pPr>
            <w:r w:rsidRPr="00416149">
              <w:rPr>
                <w:rFonts w:ascii="Calibri" w:hAnsi="Calibri"/>
              </w:rPr>
              <w:t xml:space="preserve">Title I schools receive lesser amounts of state and </w:t>
            </w:r>
            <w:proofErr w:type="gramStart"/>
            <w:r w:rsidRPr="00416149">
              <w:rPr>
                <w:rFonts w:ascii="Calibri" w:hAnsi="Calibri"/>
              </w:rPr>
              <w:t>locally-funded</w:t>
            </w:r>
            <w:proofErr w:type="gramEnd"/>
            <w:r w:rsidRPr="00416149">
              <w:rPr>
                <w:rFonts w:ascii="Calibri" w:hAnsi="Calibri"/>
              </w:rPr>
              <w:t xml:space="preserve"> services than non-Title I schools. </w:t>
            </w:r>
          </w:p>
          <w:p w14:paraId="70CEDF9C" w14:textId="77777777" w:rsidR="00F572BC" w:rsidRPr="00416149" w:rsidRDefault="00F572BC" w:rsidP="00C918FB">
            <w:pPr>
              <w:rPr>
                <w:rFonts w:ascii="Calibri" w:hAnsi="Calibri"/>
                <w:sz w:val="22"/>
              </w:rPr>
            </w:pPr>
            <w:r w:rsidRPr="00416149">
              <w:rPr>
                <w:rFonts w:ascii="Calibri" w:hAnsi="Calibri"/>
              </w:rPr>
              <w:t xml:space="preserve">Title I funds are </w:t>
            </w:r>
            <w:r w:rsidRPr="00416149">
              <w:rPr>
                <w:rFonts w:ascii="Calibri" w:hAnsi="Calibri"/>
                <w:b/>
              </w:rPr>
              <w:t>supplanting</w:t>
            </w:r>
            <w:r w:rsidRPr="00416149">
              <w:rPr>
                <w:rFonts w:ascii="Calibri" w:hAnsi="Calibri"/>
              </w:rPr>
              <w:t>, or taking the place of, state &amp; local funding in the Title I schools.</w:t>
            </w:r>
          </w:p>
        </w:tc>
        <w:tc>
          <w:tcPr>
            <w:tcW w:w="448" w:type="dxa"/>
            <w:tcBorders>
              <w:top w:val="nil"/>
              <w:left w:val="nil"/>
              <w:bottom w:val="nil"/>
              <w:right w:val="nil"/>
            </w:tcBorders>
            <w:shd w:val="clear" w:color="auto" w:fill="auto"/>
          </w:tcPr>
          <w:p w14:paraId="4B655B1B" w14:textId="77777777" w:rsidR="00F572BC" w:rsidRPr="00416149" w:rsidRDefault="00F572BC" w:rsidP="00C918FB">
            <w:pPr>
              <w:rPr>
                <w:rFonts w:ascii="Calibri" w:hAnsi="Calibri"/>
                <w:sz w:val="22"/>
              </w:rPr>
            </w:pPr>
          </w:p>
        </w:tc>
        <w:tc>
          <w:tcPr>
            <w:tcW w:w="1890" w:type="dxa"/>
            <w:tcBorders>
              <w:top w:val="nil"/>
              <w:left w:val="nil"/>
              <w:bottom w:val="single" w:sz="4" w:space="0" w:color="auto"/>
              <w:right w:val="nil"/>
            </w:tcBorders>
          </w:tcPr>
          <w:p w14:paraId="0A650955" w14:textId="77777777" w:rsidR="00F572BC" w:rsidRPr="00416149" w:rsidRDefault="00F572BC" w:rsidP="00C918FB">
            <w:pPr>
              <w:rPr>
                <w:rFonts w:ascii="Calibri" w:hAnsi="Calibri"/>
                <w:sz w:val="22"/>
              </w:rPr>
            </w:pPr>
          </w:p>
        </w:tc>
        <w:tc>
          <w:tcPr>
            <w:tcW w:w="360" w:type="dxa"/>
            <w:tcBorders>
              <w:top w:val="nil"/>
              <w:left w:val="nil"/>
              <w:bottom w:val="nil"/>
              <w:right w:val="nil"/>
            </w:tcBorders>
          </w:tcPr>
          <w:p w14:paraId="6123B248" w14:textId="77777777" w:rsidR="00F572BC" w:rsidRPr="00416149" w:rsidRDefault="00F572BC" w:rsidP="00C918FB">
            <w:pPr>
              <w:rPr>
                <w:rFonts w:ascii="Calibri" w:hAnsi="Calibri"/>
                <w:sz w:val="22"/>
              </w:rPr>
            </w:pPr>
          </w:p>
        </w:tc>
        <w:tc>
          <w:tcPr>
            <w:tcW w:w="1980" w:type="dxa"/>
            <w:tcBorders>
              <w:top w:val="nil"/>
              <w:left w:val="nil"/>
              <w:bottom w:val="single" w:sz="4" w:space="0" w:color="auto"/>
              <w:right w:val="nil"/>
            </w:tcBorders>
          </w:tcPr>
          <w:p w14:paraId="317B5B09" w14:textId="77777777" w:rsidR="00F572BC" w:rsidRPr="00416149" w:rsidRDefault="00F572BC" w:rsidP="00C918FB">
            <w:pPr>
              <w:rPr>
                <w:rFonts w:ascii="Calibri" w:hAnsi="Calibri"/>
                <w:sz w:val="22"/>
              </w:rPr>
            </w:pPr>
          </w:p>
        </w:tc>
      </w:tr>
      <w:tr w:rsidR="00F572BC" w:rsidRPr="00416149" w14:paraId="5146CCF1" w14:textId="77777777">
        <w:trPr>
          <w:trHeight w:val="476"/>
        </w:trPr>
        <w:tc>
          <w:tcPr>
            <w:tcW w:w="3242" w:type="dxa"/>
            <w:vMerge/>
            <w:tcBorders>
              <w:left w:val="nil"/>
              <w:right w:val="nil"/>
            </w:tcBorders>
          </w:tcPr>
          <w:p w14:paraId="58570610" w14:textId="77777777" w:rsidR="00F572BC" w:rsidRPr="00416149" w:rsidRDefault="00F572BC" w:rsidP="00C918FB">
            <w:pPr>
              <w:rPr>
                <w:rFonts w:ascii="Calibri" w:hAnsi="Calibri"/>
                <w:sz w:val="22"/>
              </w:rPr>
            </w:pPr>
          </w:p>
        </w:tc>
        <w:tc>
          <w:tcPr>
            <w:tcW w:w="448" w:type="dxa"/>
            <w:tcBorders>
              <w:top w:val="nil"/>
              <w:left w:val="nil"/>
              <w:bottom w:val="nil"/>
              <w:right w:val="single" w:sz="4" w:space="0" w:color="auto"/>
            </w:tcBorders>
            <w:shd w:val="clear" w:color="auto" w:fill="auto"/>
          </w:tcPr>
          <w:p w14:paraId="1D907CDD" w14:textId="77777777" w:rsidR="00F572BC" w:rsidRPr="00416149" w:rsidRDefault="00F572BC" w:rsidP="00416149">
            <w:pPr>
              <w:jc w:val="center"/>
              <w:rPr>
                <w:rFonts w:ascii="Calibri" w:hAnsi="Calibri"/>
                <w:sz w:val="22"/>
              </w:rPr>
            </w:pPr>
          </w:p>
        </w:tc>
        <w:tc>
          <w:tcPr>
            <w:tcW w:w="1890" w:type="dxa"/>
            <w:vMerge w:val="restart"/>
            <w:tcBorders>
              <w:left w:val="single" w:sz="4" w:space="0" w:color="auto"/>
              <w:right w:val="single" w:sz="4" w:space="0" w:color="auto"/>
            </w:tcBorders>
            <w:shd w:val="clear" w:color="auto" w:fill="D9D9D9"/>
            <w:vAlign w:val="center"/>
          </w:tcPr>
          <w:p w14:paraId="4B12F716" w14:textId="77777777" w:rsidR="00F572BC" w:rsidRPr="00416149" w:rsidRDefault="00F572BC" w:rsidP="00416149">
            <w:pPr>
              <w:jc w:val="center"/>
              <w:rPr>
                <w:rFonts w:ascii="Calibri" w:hAnsi="Calibri"/>
                <w:sz w:val="22"/>
              </w:rPr>
            </w:pPr>
            <w:r w:rsidRPr="00416149">
              <w:rPr>
                <w:rFonts w:ascii="Calibri" w:hAnsi="Calibri"/>
                <w:sz w:val="22"/>
              </w:rPr>
              <w:t>State &amp; Local Funds</w:t>
            </w:r>
          </w:p>
        </w:tc>
        <w:tc>
          <w:tcPr>
            <w:tcW w:w="360" w:type="dxa"/>
            <w:vMerge w:val="restart"/>
            <w:tcBorders>
              <w:top w:val="nil"/>
              <w:left w:val="single" w:sz="4" w:space="0" w:color="auto"/>
              <w:right w:val="single" w:sz="4" w:space="0" w:color="auto"/>
            </w:tcBorders>
            <w:shd w:val="clear" w:color="auto" w:fill="auto"/>
          </w:tcPr>
          <w:p w14:paraId="319DE7CD" w14:textId="77777777" w:rsidR="00F572BC" w:rsidRPr="00416149" w:rsidRDefault="00F572BC" w:rsidP="00416149">
            <w:pPr>
              <w:jc w:val="center"/>
              <w:rPr>
                <w:rFonts w:ascii="Calibri" w:hAnsi="Calibri"/>
                <w:sz w:val="22"/>
              </w:rPr>
            </w:pPr>
          </w:p>
        </w:tc>
        <w:tc>
          <w:tcPr>
            <w:tcW w:w="1980" w:type="dxa"/>
            <w:tcBorders>
              <w:top w:val="single" w:sz="4" w:space="0" w:color="auto"/>
              <w:left w:val="single" w:sz="4" w:space="0" w:color="auto"/>
              <w:bottom w:val="dotted" w:sz="4" w:space="0" w:color="auto"/>
              <w:right w:val="single" w:sz="4" w:space="0" w:color="auto"/>
            </w:tcBorders>
            <w:shd w:val="clear" w:color="auto" w:fill="FFFFCC"/>
            <w:vAlign w:val="center"/>
          </w:tcPr>
          <w:p w14:paraId="11D27107" w14:textId="77777777" w:rsidR="00F572BC" w:rsidRPr="00416149" w:rsidRDefault="00F572BC" w:rsidP="00416149">
            <w:pPr>
              <w:jc w:val="center"/>
              <w:rPr>
                <w:rFonts w:ascii="Calibri" w:hAnsi="Calibri"/>
                <w:sz w:val="22"/>
              </w:rPr>
            </w:pPr>
            <w:r w:rsidRPr="00416149">
              <w:rPr>
                <w:rFonts w:ascii="Calibri" w:hAnsi="Calibri"/>
                <w:sz w:val="22"/>
              </w:rPr>
              <w:t>Title I Funds</w:t>
            </w:r>
          </w:p>
        </w:tc>
      </w:tr>
      <w:tr w:rsidR="00F572BC" w:rsidRPr="00416149" w14:paraId="26DB1D53" w14:textId="77777777">
        <w:trPr>
          <w:trHeight w:val="611"/>
        </w:trPr>
        <w:tc>
          <w:tcPr>
            <w:tcW w:w="3242" w:type="dxa"/>
            <w:vMerge/>
            <w:tcBorders>
              <w:left w:val="nil"/>
              <w:bottom w:val="nil"/>
              <w:right w:val="nil"/>
            </w:tcBorders>
          </w:tcPr>
          <w:p w14:paraId="24312A9F" w14:textId="77777777" w:rsidR="00F572BC" w:rsidRPr="00416149" w:rsidRDefault="00F572BC" w:rsidP="00C918FB">
            <w:pPr>
              <w:rPr>
                <w:rFonts w:ascii="Calibri" w:hAnsi="Calibri"/>
                <w:sz w:val="22"/>
              </w:rPr>
            </w:pPr>
          </w:p>
        </w:tc>
        <w:tc>
          <w:tcPr>
            <w:tcW w:w="448" w:type="dxa"/>
            <w:tcBorders>
              <w:top w:val="nil"/>
              <w:left w:val="nil"/>
              <w:bottom w:val="nil"/>
              <w:right w:val="single" w:sz="4" w:space="0" w:color="auto"/>
            </w:tcBorders>
            <w:shd w:val="clear" w:color="auto" w:fill="auto"/>
          </w:tcPr>
          <w:p w14:paraId="0D3CCCEA" w14:textId="77777777" w:rsidR="00F572BC" w:rsidRPr="00416149" w:rsidRDefault="00F572BC" w:rsidP="00416149">
            <w:pPr>
              <w:jc w:val="center"/>
              <w:rPr>
                <w:rFonts w:ascii="Calibri" w:hAnsi="Calibri"/>
                <w:sz w:val="22"/>
              </w:rPr>
            </w:pPr>
          </w:p>
        </w:tc>
        <w:tc>
          <w:tcPr>
            <w:tcW w:w="1890" w:type="dxa"/>
            <w:vMerge/>
            <w:tcBorders>
              <w:left w:val="single" w:sz="4" w:space="0" w:color="auto"/>
              <w:right w:val="single" w:sz="4" w:space="0" w:color="auto"/>
            </w:tcBorders>
            <w:shd w:val="clear" w:color="auto" w:fill="D9D9D9"/>
            <w:vAlign w:val="center"/>
          </w:tcPr>
          <w:p w14:paraId="708DD47E" w14:textId="77777777" w:rsidR="00F572BC" w:rsidRPr="00416149" w:rsidRDefault="00F572BC" w:rsidP="00416149">
            <w:pPr>
              <w:jc w:val="center"/>
              <w:rPr>
                <w:rFonts w:ascii="Calibri" w:hAnsi="Calibri"/>
                <w:sz w:val="22"/>
              </w:rPr>
            </w:pPr>
          </w:p>
        </w:tc>
        <w:tc>
          <w:tcPr>
            <w:tcW w:w="360" w:type="dxa"/>
            <w:vMerge/>
            <w:tcBorders>
              <w:left w:val="single" w:sz="4" w:space="0" w:color="auto"/>
              <w:bottom w:val="nil"/>
              <w:right w:val="single" w:sz="4" w:space="0" w:color="auto"/>
            </w:tcBorders>
            <w:shd w:val="clear" w:color="auto" w:fill="auto"/>
          </w:tcPr>
          <w:p w14:paraId="0C1DDB6A" w14:textId="77777777" w:rsidR="00F572BC" w:rsidRPr="00416149" w:rsidRDefault="00F572BC" w:rsidP="00416149">
            <w:pPr>
              <w:jc w:val="center"/>
              <w:rPr>
                <w:rFonts w:ascii="Calibri" w:hAnsi="Calibri"/>
                <w:sz w:val="22"/>
              </w:rPr>
            </w:pPr>
          </w:p>
        </w:tc>
        <w:tc>
          <w:tcPr>
            <w:tcW w:w="1980" w:type="dxa"/>
            <w:tcBorders>
              <w:top w:val="dotted" w:sz="4" w:space="0" w:color="auto"/>
              <w:left w:val="single" w:sz="4" w:space="0" w:color="auto"/>
              <w:right w:val="single" w:sz="4" w:space="0" w:color="auto"/>
            </w:tcBorders>
            <w:shd w:val="clear" w:color="auto" w:fill="D9D9D9"/>
            <w:vAlign w:val="center"/>
          </w:tcPr>
          <w:p w14:paraId="70772BE0" w14:textId="77777777" w:rsidR="00F572BC" w:rsidRPr="00416149" w:rsidRDefault="00F572BC" w:rsidP="00416149">
            <w:pPr>
              <w:jc w:val="center"/>
              <w:rPr>
                <w:rFonts w:ascii="Calibri" w:hAnsi="Calibri"/>
                <w:sz w:val="22"/>
              </w:rPr>
            </w:pPr>
            <w:r w:rsidRPr="00416149">
              <w:rPr>
                <w:rFonts w:ascii="Calibri" w:hAnsi="Calibri"/>
                <w:sz w:val="22"/>
              </w:rPr>
              <w:t>State &amp; Local Funds</w:t>
            </w:r>
          </w:p>
        </w:tc>
      </w:tr>
    </w:tbl>
    <w:p w14:paraId="3F00B0D3" w14:textId="77777777" w:rsidR="00FE5D2E" w:rsidRDefault="00FE5D2E" w:rsidP="00BC704E">
      <w:pPr>
        <w:rPr>
          <w:rFonts w:ascii="Calibri" w:hAnsi="Calibri"/>
          <w:sz w:val="22"/>
        </w:rPr>
      </w:pPr>
    </w:p>
    <w:p w14:paraId="188C66EC" w14:textId="77777777" w:rsidR="00EB56B3" w:rsidRPr="003F42A0" w:rsidRDefault="00EB56B3" w:rsidP="003F42A0">
      <w:pPr>
        <w:rPr>
          <w:rFonts w:ascii="Calibri" w:hAnsi="Calibri"/>
          <w:sz w:val="22"/>
        </w:rPr>
      </w:pPr>
    </w:p>
    <w:p w14:paraId="5D551E29" w14:textId="77777777" w:rsidR="00274BC1" w:rsidRPr="00483AFE" w:rsidRDefault="00543232" w:rsidP="00483AFE">
      <w:pPr>
        <w:pStyle w:val="Heading1"/>
        <w:keepLines/>
        <w:spacing w:before="120" w:after="240"/>
        <w:jc w:val="left"/>
        <w:rPr>
          <w:rFonts w:ascii="Arial" w:eastAsia="Calibri" w:hAnsi="Arial" w:cs="Arial"/>
          <w:bCs/>
          <w:sz w:val="28"/>
          <w:szCs w:val="28"/>
        </w:rPr>
      </w:pPr>
      <w:r w:rsidRPr="00483AFE">
        <w:rPr>
          <w:rFonts w:ascii="Arial" w:eastAsia="Calibri" w:hAnsi="Arial" w:cs="Arial"/>
          <w:bCs/>
          <w:sz w:val="28"/>
          <w:szCs w:val="28"/>
        </w:rPr>
        <w:t xml:space="preserve">What is a </w:t>
      </w:r>
      <w:r w:rsidR="00801CA3">
        <w:rPr>
          <w:rFonts w:ascii="Arial" w:eastAsia="Calibri" w:hAnsi="Arial" w:cs="Arial"/>
          <w:bCs/>
          <w:sz w:val="28"/>
          <w:szCs w:val="28"/>
        </w:rPr>
        <w:t>c</w:t>
      </w:r>
      <w:r w:rsidR="00801CA3" w:rsidRPr="00483AFE">
        <w:rPr>
          <w:rFonts w:ascii="Arial" w:eastAsia="Calibri" w:hAnsi="Arial" w:cs="Arial"/>
          <w:bCs/>
          <w:sz w:val="28"/>
          <w:szCs w:val="28"/>
        </w:rPr>
        <w:t xml:space="preserve">omparability </w:t>
      </w:r>
      <w:r w:rsidR="00801CA3">
        <w:rPr>
          <w:rFonts w:ascii="Arial" w:eastAsia="Calibri" w:hAnsi="Arial" w:cs="Arial"/>
          <w:bCs/>
          <w:sz w:val="28"/>
          <w:szCs w:val="28"/>
        </w:rPr>
        <w:t>a</w:t>
      </w:r>
      <w:r w:rsidR="00801CA3" w:rsidRPr="00483AFE">
        <w:rPr>
          <w:rFonts w:ascii="Arial" w:eastAsia="Calibri" w:hAnsi="Arial" w:cs="Arial"/>
          <w:bCs/>
          <w:sz w:val="28"/>
          <w:szCs w:val="28"/>
        </w:rPr>
        <w:t xml:space="preserve">ssurance </w:t>
      </w:r>
      <w:r w:rsidRPr="00483AFE">
        <w:rPr>
          <w:rFonts w:ascii="Arial" w:eastAsia="Calibri" w:hAnsi="Arial" w:cs="Arial"/>
          <w:bCs/>
          <w:sz w:val="28"/>
          <w:szCs w:val="28"/>
        </w:rPr>
        <w:t>and what are the consequences of schools not being comparable?</w:t>
      </w:r>
    </w:p>
    <w:p w14:paraId="2572EE1A" w14:textId="7F439DCE" w:rsidR="00253DC7" w:rsidRDefault="0051366D" w:rsidP="53262951">
      <w:pPr>
        <w:spacing w:after="180"/>
        <w:rPr>
          <w:rFonts w:ascii="Calibri" w:hAnsi="Calibri"/>
          <w:sz w:val="22"/>
          <w:szCs w:val="22"/>
        </w:rPr>
      </w:pPr>
      <w:r w:rsidRPr="53262951">
        <w:rPr>
          <w:rFonts w:ascii="Calibri" w:hAnsi="Calibri"/>
          <w:sz w:val="22"/>
          <w:szCs w:val="22"/>
        </w:rPr>
        <w:t>Each</w:t>
      </w:r>
      <w:r w:rsidR="004A339D" w:rsidRPr="53262951">
        <w:rPr>
          <w:rFonts w:ascii="Calibri" w:hAnsi="Calibri"/>
          <w:sz w:val="22"/>
          <w:szCs w:val="22"/>
        </w:rPr>
        <w:t xml:space="preserve"> school district must submit a</w:t>
      </w:r>
      <w:r w:rsidR="00543232" w:rsidRPr="53262951">
        <w:rPr>
          <w:rFonts w:ascii="Calibri" w:hAnsi="Calibri"/>
          <w:sz w:val="22"/>
          <w:szCs w:val="22"/>
        </w:rPr>
        <w:t>n annual</w:t>
      </w:r>
      <w:r w:rsidR="004A339D" w:rsidRPr="53262951">
        <w:rPr>
          <w:rFonts w:ascii="Calibri" w:hAnsi="Calibri"/>
          <w:sz w:val="22"/>
          <w:szCs w:val="22"/>
        </w:rPr>
        <w:t xml:space="preserve"> statement of assurance</w:t>
      </w:r>
      <w:r w:rsidR="00253DC7" w:rsidRPr="53262951">
        <w:rPr>
          <w:rFonts w:ascii="Calibri" w:hAnsi="Calibri"/>
          <w:sz w:val="22"/>
          <w:szCs w:val="22"/>
        </w:rPr>
        <w:t>s</w:t>
      </w:r>
      <w:r w:rsidR="004A339D" w:rsidRPr="53262951">
        <w:rPr>
          <w:rFonts w:ascii="Calibri" w:hAnsi="Calibri"/>
          <w:sz w:val="22"/>
          <w:szCs w:val="22"/>
        </w:rPr>
        <w:t xml:space="preserve"> to D</w:t>
      </w:r>
      <w:r w:rsidR="00274BC1" w:rsidRPr="53262951">
        <w:rPr>
          <w:rFonts w:ascii="Calibri" w:hAnsi="Calibri"/>
          <w:sz w:val="22"/>
          <w:szCs w:val="22"/>
        </w:rPr>
        <w:t>ESE</w:t>
      </w:r>
      <w:r w:rsidR="00543232" w:rsidRPr="53262951">
        <w:rPr>
          <w:rFonts w:ascii="Calibri" w:hAnsi="Calibri"/>
          <w:sz w:val="22"/>
          <w:szCs w:val="22"/>
        </w:rPr>
        <w:t xml:space="preserve"> as part of its application for federal</w:t>
      </w:r>
      <w:r w:rsidR="00253DC7" w:rsidRPr="53262951">
        <w:rPr>
          <w:rFonts w:ascii="Calibri" w:hAnsi="Calibri"/>
          <w:sz w:val="22"/>
          <w:szCs w:val="22"/>
        </w:rPr>
        <w:t xml:space="preserve"> funds, including</w:t>
      </w:r>
      <w:r w:rsidR="00543232" w:rsidRPr="53262951">
        <w:rPr>
          <w:rFonts w:ascii="Calibri" w:hAnsi="Calibri"/>
          <w:sz w:val="22"/>
          <w:szCs w:val="22"/>
        </w:rPr>
        <w:t xml:space="preserve"> Title I, Part A funds</w:t>
      </w:r>
      <w:r w:rsidR="004A339D" w:rsidRPr="53262951">
        <w:rPr>
          <w:rFonts w:ascii="Calibri" w:hAnsi="Calibri"/>
          <w:sz w:val="22"/>
          <w:szCs w:val="22"/>
        </w:rPr>
        <w:t xml:space="preserve">. </w:t>
      </w:r>
      <w:r w:rsidR="00253DC7" w:rsidRPr="53262951">
        <w:rPr>
          <w:rFonts w:ascii="Calibri" w:hAnsi="Calibri"/>
          <w:sz w:val="22"/>
          <w:szCs w:val="22"/>
        </w:rPr>
        <w:t>One set of these assurances is related to Title I comparability.</w:t>
      </w:r>
    </w:p>
    <w:p w14:paraId="452521CE" w14:textId="77777777" w:rsidR="004A339D" w:rsidRPr="00003364" w:rsidRDefault="00253DC7" w:rsidP="002376B0">
      <w:pPr>
        <w:spacing w:after="180"/>
        <w:rPr>
          <w:rFonts w:ascii="Calibri" w:hAnsi="Calibri"/>
          <w:sz w:val="22"/>
        </w:rPr>
      </w:pPr>
      <w:r>
        <w:rPr>
          <w:rFonts w:ascii="Calibri" w:hAnsi="Calibri"/>
          <w:sz w:val="22"/>
        </w:rPr>
        <w:t>Specifically, t</w:t>
      </w:r>
      <w:r w:rsidR="004A339D" w:rsidRPr="00003364">
        <w:rPr>
          <w:rFonts w:ascii="Calibri" w:hAnsi="Calibri"/>
          <w:sz w:val="22"/>
        </w:rPr>
        <w:t>he school district must assure that it has established and implemented (1) a district</w:t>
      </w:r>
      <w:r w:rsidR="00213D43">
        <w:rPr>
          <w:rFonts w:ascii="Calibri" w:hAnsi="Calibri"/>
          <w:sz w:val="22"/>
        </w:rPr>
        <w:t>-</w:t>
      </w:r>
      <w:r w:rsidR="004A339D" w:rsidRPr="00003364">
        <w:rPr>
          <w:rFonts w:ascii="Calibri" w:hAnsi="Calibri"/>
          <w:sz w:val="22"/>
        </w:rPr>
        <w:t>wide salary schedule, (2) a policy to ensure equivalence among schools in teachers, administrators, and other staff, and (3) a policy to ensure equivalence among schools in the provision of curriculum materials and i</w:t>
      </w:r>
      <w:r w:rsidR="0051366D">
        <w:rPr>
          <w:rFonts w:ascii="Calibri" w:hAnsi="Calibri"/>
          <w:sz w:val="22"/>
        </w:rPr>
        <w:t>nstructional supplies.</w:t>
      </w:r>
    </w:p>
    <w:p w14:paraId="3C8EA4D1" w14:textId="77777777" w:rsidR="004A339D" w:rsidRDefault="004A339D" w:rsidP="002376B0">
      <w:pPr>
        <w:spacing w:after="180"/>
        <w:rPr>
          <w:rFonts w:ascii="Calibri" w:hAnsi="Calibri"/>
          <w:sz w:val="22"/>
        </w:rPr>
      </w:pPr>
      <w:r w:rsidRPr="00003364">
        <w:rPr>
          <w:rFonts w:ascii="Calibri" w:hAnsi="Calibri"/>
          <w:sz w:val="22"/>
        </w:rPr>
        <w:t xml:space="preserve">All data, documents, and policies supporting the assurance and verifying compliance with the comparability requirement must </w:t>
      </w:r>
      <w:r w:rsidR="00543232">
        <w:rPr>
          <w:rFonts w:ascii="Calibri" w:hAnsi="Calibri"/>
          <w:sz w:val="22"/>
        </w:rPr>
        <w:t>remain</w:t>
      </w:r>
      <w:r w:rsidRPr="00003364">
        <w:rPr>
          <w:rFonts w:ascii="Calibri" w:hAnsi="Calibri"/>
          <w:sz w:val="22"/>
        </w:rPr>
        <w:t xml:space="preserve"> on fil</w:t>
      </w:r>
      <w:r w:rsidR="00274BC1" w:rsidRPr="00003364">
        <w:rPr>
          <w:rFonts w:ascii="Calibri" w:hAnsi="Calibri"/>
          <w:sz w:val="22"/>
        </w:rPr>
        <w:t xml:space="preserve">e at the </w:t>
      </w:r>
      <w:r w:rsidR="00213D43">
        <w:rPr>
          <w:rFonts w:ascii="Calibri" w:hAnsi="Calibri"/>
          <w:sz w:val="22"/>
        </w:rPr>
        <w:t>district offices</w:t>
      </w:r>
      <w:r w:rsidR="00274BC1" w:rsidRPr="00003364">
        <w:rPr>
          <w:rFonts w:ascii="Calibri" w:hAnsi="Calibri"/>
          <w:sz w:val="22"/>
        </w:rPr>
        <w:t xml:space="preserve">. </w:t>
      </w:r>
      <w:r w:rsidRPr="00003364">
        <w:rPr>
          <w:rFonts w:ascii="Calibri" w:hAnsi="Calibri"/>
          <w:sz w:val="22"/>
        </w:rPr>
        <w:t>If such information does not demonstrate to state or federal reviewing officials, or fiscal auditors, that comparability of services provided with state and local funds exists between Title I and non-Title I schools, the following actions may result.</w:t>
      </w:r>
    </w:p>
    <w:p w14:paraId="4755BC9E" w14:textId="77777777" w:rsidR="004A339D" w:rsidRPr="00003364" w:rsidRDefault="004A339D" w:rsidP="002376B0">
      <w:pPr>
        <w:pStyle w:val="BodyText"/>
        <w:numPr>
          <w:ilvl w:val="0"/>
          <w:numId w:val="9"/>
        </w:numPr>
        <w:spacing w:after="120"/>
        <w:ind w:left="1440" w:right="1440" w:hanging="576"/>
        <w:rPr>
          <w:rFonts w:ascii="Calibri" w:hAnsi="Calibri"/>
          <w:sz w:val="22"/>
        </w:rPr>
      </w:pPr>
      <w:r w:rsidRPr="00003364">
        <w:rPr>
          <w:rFonts w:ascii="Calibri" w:hAnsi="Calibri"/>
          <w:sz w:val="22"/>
        </w:rPr>
        <w:t>Immediate suspension of the Title I program at schools in non-compliance until such absence of comparability has been corrected.</w:t>
      </w:r>
    </w:p>
    <w:p w14:paraId="3F31D94F" w14:textId="77777777" w:rsidR="004A339D" w:rsidRPr="00003364" w:rsidRDefault="004A339D" w:rsidP="002376B0">
      <w:pPr>
        <w:pStyle w:val="BodyText"/>
        <w:numPr>
          <w:ilvl w:val="0"/>
          <w:numId w:val="9"/>
        </w:numPr>
        <w:spacing w:after="120"/>
        <w:ind w:left="1440" w:right="1440" w:hanging="576"/>
        <w:rPr>
          <w:rFonts w:ascii="Calibri" w:hAnsi="Calibri"/>
          <w:sz w:val="22"/>
        </w:rPr>
      </w:pPr>
      <w:r w:rsidRPr="00003364">
        <w:rPr>
          <w:rFonts w:ascii="Calibri" w:hAnsi="Calibri"/>
          <w:sz w:val="22"/>
        </w:rPr>
        <w:t>Withholding of payments of Title I funds based upon the amount or percentage by which the school district is out of compliance.</w:t>
      </w:r>
    </w:p>
    <w:p w14:paraId="766A725B" w14:textId="77777777" w:rsidR="004A339D" w:rsidRPr="00003364" w:rsidRDefault="004A339D" w:rsidP="002376B0">
      <w:pPr>
        <w:pStyle w:val="BodyText"/>
        <w:numPr>
          <w:ilvl w:val="0"/>
          <w:numId w:val="9"/>
        </w:numPr>
        <w:spacing w:after="120"/>
        <w:ind w:left="1440" w:right="1440" w:hanging="576"/>
        <w:rPr>
          <w:rFonts w:ascii="Calibri" w:hAnsi="Calibri"/>
          <w:sz w:val="22"/>
        </w:rPr>
      </w:pPr>
      <w:r w:rsidRPr="00003364">
        <w:rPr>
          <w:rFonts w:ascii="Calibri" w:hAnsi="Calibri"/>
          <w:sz w:val="22"/>
        </w:rPr>
        <w:lastRenderedPageBreak/>
        <w:t>Repayment of Title I funds of that project year through the date of suspension equal to the amount or percentage by which the school district has failed the meet the comparability requirement.</w:t>
      </w:r>
    </w:p>
    <w:p w14:paraId="6CB1F1E9" w14:textId="77777777" w:rsidR="002376B0" w:rsidRDefault="002376B0" w:rsidP="002376B0">
      <w:pPr>
        <w:pStyle w:val="Heading1"/>
        <w:keepLines/>
        <w:spacing w:before="120" w:after="240"/>
        <w:jc w:val="left"/>
        <w:rPr>
          <w:rFonts w:ascii="Arial" w:eastAsia="Calibri" w:hAnsi="Arial" w:cs="Arial"/>
          <w:bCs/>
          <w:sz w:val="28"/>
          <w:szCs w:val="28"/>
        </w:rPr>
      </w:pPr>
      <w:r w:rsidRPr="009135B1">
        <w:rPr>
          <w:rFonts w:ascii="Arial" w:eastAsia="Calibri" w:hAnsi="Arial" w:cs="Arial"/>
          <w:bCs/>
          <w:sz w:val="28"/>
          <w:szCs w:val="28"/>
        </w:rPr>
        <w:t>Wh</w:t>
      </w:r>
      <w:r>
        <w:rPr>
          <w:rFonts w:ascii="Arial" w:eastAsia="Calibri" w:hAnsi="Arial" w:cs="Arial"/>
          <w:bCs/>
          <w:sz w:val="28"/>
          <w:szCs w:val="28"/>
        </w:rPr>
        <w:t xml:space="preserve">ich </w:t>
      </w:r>
      <w:r w:rsidRPr="009135B1">
        <w:rPr>
          <w:rFonts w:ascii="Arial" w:eastAsia="Calibri" w:hAnsi="Arial" w:cs="Arial"/>
          <w:bCs/>
          <w:sz w:val="28"/>
          <w:szCs w:val="28"/>
        </w:rPr>
        <w:t>districts have to complete comparability reports?</w:t>
      </w:r>
    </w:p>
    <w:p w14:paraId="019A645F" w14:textId="77777777" w:rsidR="002376B0" w:rsidRPr="00543334" w:rsidRDefault="002376B0" w:rsidP="002376B0">
      <w:pPr>
        <w:numPr>
          <w:ilvl w:val="0"/>
          <w:numId w:val="18"/>
        </w:numPr>
        <w:rPr>
          <w:rFonts w:ascii="Calibri" w:hAnsi="Calibri"/>
          <w:sz w:val="22"/>
          <w:szCs w:val="22"/>
        </w:rPr>
      </w:pPr>
      <w:r w:rsidRPr="00543334">
        <w:rPr>
          <w:rFonts w:ascii="Calibri" w:hAnsi="Calibri"/>
          <w:b/>
          <w:sz w:val="22"/>
          <w:szCs w:val="22"/>
        </w:rPr>
        <w:t>Multi-school districts</w:t>
      </w:r>
      <w:r w:rsidR="00C603B1" w:rsidRPr="00543334">
        <w:rPr>
          <w:rFonts w:ascii="Calibri" w:hAnsi="Calibri"/>
          <w:b/>
          <w:sz w:val="22"/>
          <w:szCs w:val="22"/>
        </w:rPr>
        <w:t xml:space="preserve">: </w:t>
      </w:r>
      <w:r>
        <w:rPr>
          <w:rFonts w:ascii="Calibri" w:hAnsi="Calibri"/>
          <w:sz w:val="22"/>
        </w:rPr>
        <w:br/>
      </w:r>
      <w:r>
        <w:rPr>
          <w:rFonts w:ascii="Calibri" w:hAnsi="Calibri"/>
          <w:sz w:val="22"/>
        </w:rPr>
        <w:br/>
        <w:t xml:space="preserve">Every district comprising more than one school serving similar grade spans </w:t>
      </w:r>
      <w:r w:rsidRPr="00003364">
        <w:rPr>
          <w:rFonts w:ascii="Calibri" w:hAnsi="Calibri"/>
          <w:sz w:val="22"/>
        </w:rPr>
        <w:t xml:space="preserve">must complete a </w:t>
      </w:r>
      <w:r>
        <w:rPr>
          <w:rFonts w:ascii="Calibri" w:hAnsi="Calibri"/>
          <w:sz w:val="22"/>
        </w:rPr>
        <w:t xml:space="preserve">full </w:t>
      </w:r>
      <w:r w:rsidRPr="00003364">
        <w:rPr>
          <w:rFonts w:ascii="Calibri" w:hAnsi="Calibri"/>
          <w:sz w:val="22"/>
        </w:rPr>
        <w:t>comparability report</w:t>
      </w:r>
      <w:r>
        <w:rPr>
          <w:rFonts w:ascii="Calibri" w:hAnsi="Calibri"/>
          <w:sz w:val="22"/>
        </w:rPr>
        <w:t xml:space="preserve"> each year</w:t>
      </w:r>
      <w:r w:rsidRPr="00003364">
        <w:rPr>
          <w:rFonts w:ascii="Calibri" w:hAnsi="Calibri"/>
          <w:sz w:val="22"/>
        </w:rPr>
        <w:t>.</w:t>
      </w:r>
      <w:r>
        <w:rPr>
          <w:rFonts w:ascii="Calibri" w:hAnsi="Calibri"/>
          <w:sz w:val="22"/>
        </w:rPr>
        <w:br/>
      </w:r>
    </w:p>
    <w:p w14:paraId="1B093335" w14:textId="77777777" w:rsidR="002376B0" w:rsidRPr="00003364" w:rsidRDefault="002376B0" w:rsidP="002376B0">
      <w:pPr>
        <w:pStyle w:val="BodyText"/>
        <w:numPr>
          <w:ilvl w:val="1"/>
          <w:numId w:val="18"/>
        </w:numPr>
        <w:tabs>
          <w:tab w:val="left" w:pos="8010"/>
        </w:tabs>
        <w:ind w:right="630"/>
        <w:rPr>
          <w:rFonts w:ascii="Calibri" w:hAnsi="Calibri"/>
          <w:sz w:val="22"/>
        </w:rPr>
      </w:pPr>
      <w:r w:rsidRPr="00003364">
        <w:rPr>
          <w:rFonts w:ascii="Calibri" w:hAnsi="Calibri"/>
          <w:sz w:val="22"/>
        </w:rPr>
        <w:t xml:space="preserve">A school with 100 or fewer students may be excluded from the comparability determination. Make a notation </w:t>
      </w:r>
      <w:r>
        <w:rPr>
          <w:rFonts w:ascii="Calibri" w:hAnsi="Calibri"/>
          <w:sz w:val="22"/>
        </w:rPr>
        <w:t>on the forms</w:t>
      </w:r>
      <w:r w:rsidRPr="00003364">
        <w:rPr>
          <w:rFonts w:ascii="Calibri" w:hAnsi="Calibri"/>
          <w:sz w:val="22"/>
        </w:rPr>
        <w:t xml:space="preserve"> if this exclusion is exercised</w:t>
      </w:r>
      <w:r>
        <w:rPr>
          <w:rFonts w:ascii="Calibri" w:hAnsi="Calibri"/>
          <w:sz w:val="22"/>
        </w:rPr>
        <w:t>.</w:t>
      </w:r>
      <w:r>
        <w:rPr>
          <w:rFonts w:ascii="Calibri" w:hAnsi="Calibri"/>
          <w:sz w:val="22"/>
        </w:rPr>
        <w:br/>
      </w:r>
    </w:p>
    <w:p w14:paraId="4AFE2F8D" w14:textId="77777777" w:rsidR="002376B0" w:rsidRDefault="002376B0" w:rsidP="002376B0">
      <w:pPr>
        <w:numPr>
          <w:ilvl w:val="0"/>
          <w:numId w:val="18"/>
        </w:numPr>
        <w:rPr>
          <w:rFonts w:ascii="Calibri" w:hAnsi="Calibri"/>
          <w:sz w:val="22"/>
        </w:rPr>
      </w:pPr>
      <w:r w:rsidRPr="00DD5B22">
        <w:rPr>
          <w:rFonts w:ascii="Calibri" w:hAnsi="Calibri"/>
          <w:b/>
          <w:sz w:val="22"/>
        </w:rPr>
        <w:t>Districts with only one school per grade span</w:t>
      </w:r>
      <w:r w:rsidR="00C603B1" w:rsidRPr="00DD5B22">
        <w:rPr>
          <w:rFonts w:ascii="Calibri" w:hAnsi="Calibri"/>
          <w:b/>
          <w:sz w:val="22"/>
        </w:rPr>
        <w:t xml:space="preserve">: </w:t>
      </w:r>
      <w:r>
        <w:rPr>
          <w:rFonts w:ascii="Calibri" w:hAnsi="Calibri"/>
          <w:sz w:val="22"/>
        </w:rPr>
        <w:br/>
      </w:r>
      <w:r>
        <w:rPr>
          <w:rFonts w:ascii="Calibri" w:hAnsi="Calibri"/>
          <w:sz w:val="22"/>
        </w:rPr>
        <w:br/>
      </w:r>
      <w:r w:rsidRPr="00003364">
        <w:rPr>
          <w:rFonts w:ascii="Calibri" w:hAnsi="Calibri"/>
          <w:sz w:val="22"/>
        </w:rPr>
        <w:t xml:space="preserve">A school district with </w:t>
      </w:r>
      <w:r>
        <w:rPr>
          <w:rFonts w:ascii="Calibri" w:hAnsi="Calibri"/>
          <w:sz w:val="22"/>
        </w:rPr>
        <w:t xml:space="preserve">only </w:t>
      </w:r>
      <w:r w:rsidRPr="00003364">
        <w:rPr>
          <w:rFonts w:ascii="Calibri" w:hAnsi="Calibri"/>
          <w:sz w:val="22"/>
        </w:rPr>
        <w:t xml:space="preserve">one school for each grade span is </w:t>
      </w:r>
      <w:r w:rsidRPr="00DD4A2E">
        <w:rPr>
          <w:rFonts w:ascii="Calibri" w:hAnsi="Calibri"/>
          <w:b/>
          <w:sz w:val="22"/>
        </w:rPr>
        <w:t>exempt</w:t>
      </w:r>
      <w:r w:rsidRPr="00003364">
        <w:rPr>
          <w:rFonts w:ascii="Calibri" w:hAnsi="Calibri"/>
          <w:sz w:val="22"/>
        </w:rPr>
        <w:t xml:space="preserve"> from the comparability requirement; however, such a school district must </w:t>
      </w:r>
      <w:r>
        <w:rPr>
          <w:rFonts w:ascii="Calibri" w:hAnsi="Calibri"/>
          <w:sz w:val="22"/>
        </w:rPr>
        <w:t>complete</w:t>
      </w:r>
      <w:r w:rsidRPr="00003364">
        <w:rPr>
          <w:rFonts w:ascii="Calibri" w:hAnsi="Calibri"/>
          <w:sz w:val="22"/>
        </w:rPr>
        <w:t xml:space="preserve"> </w:t>
      </w:r>
      <w:r w:rsidRPr="00334007">
        <w:rPr>
          <w:rFonts w:ascii="Calibri" w:hAnsi="Calibri"/>
          <w:sz w:val="22"/>
        </w:rPr>
        <w:t>the</w:t>
      </w:r>
      <w:r w:rsidRPr="00543232">
        <w:rPr>
          <w:rFonts w:ascii="Calibri" w:hAnsi="Calibri"/>
          <w:i/>
          <w:sz w:val="22"/>
        </w:rPr>
        <w:t xml:space="preserve"> Summary Sheet</w:t>
      </w:r>
      <w:r>
        <w:rPr>
          <w:rFonts w:ascii="Calibri" w:hAnsi="Calibri"/>
          <w:sz w:val="22"/>
        </w:rPr>
        <w:t xml:space="preserve"> in the comparability forms to document this fact.</w:t>
      </w:r>
      <w:r>
        <w:rPr>
          <w:rFonts w:ascii="Calibri" w:hAnsi="Calibri"/>
          <w:sz w:val="22"/>
        </w:rPr>
        <w:br/>
      </w:r>
    </w:p>
    <w:p w14:paraId="14731B84" w14:textId="77777777" w:rsidR="002376B0" w:rsidRDefault="002376B0" w:rsidP="002376B0">
      <w:pPr>
        <w:numPr>
          <w:ilvl w:val="0"/>
          <w:numId w:val="18"/>
        </w:numPr>
        <w:rPr>
          <w:rFonts w:ascii="Calibri" w:hAnsi="Calibri"/>
          <w:sz w:val="22"/>
        </w:rPr>
      </w:pPr>
      <w:r w:rsidRPr="00DD5B22">
        <w:rPr>
          <w:rFonts w:ascii="Calibri" w:hAnsi="Calibri"/>
          <w:b/>
          <w:sz w:val="22"/>
        </w:rPr>
        <w:t>Single-school districts</w:t>
      </w:r>
      <w:r w:rsidR="00C603B1" w:rsidRPr="00DD5B22">
        <w:rPr>
          <w:rFonts w:ascii="Calibri" w:hAnsi="Calibri"/>
          <w:b/>
          <w:sz w:val="22"/>
        </w:rPr>
        <w:t xml:space="preserve">: </w:t>
      </w:r>
      <w:r>
        <w:rPr>
          <w:rFonts w:ascii="Calibri" w:hAnsi="Calibri"/>
          <w:sz w:val="22"/>
        </w:rPr>
        <w:br/>
      </w:r>
      <w:r>
        <w:rPr>
          <w:rFonts w:ascii="Calibri" w:hAnsi="Calibri"/>
          <w:sz w:val="22"/>
        </w:rPr>
        <w:br/>
      </w:r>
      <w:r w:rsidRPr="00003364">
        <w:rPr>
          <w:rFonts w:ascii="Calibri" w:hAnsi="Calibri"/>
          <w:sz w:val="22"/>
        </w:rPr>
        <w:t xml:space="preserve">A school district with only </w:t>
      </w:r>
      <w:r w:rsidRPr="00003364">
        <w:rPr>
          <w:rFonts w:ascii="Calibri" w:hAnsi="Calibri"/>
          <w:sz w:val="22"/>
          <w:u w:val="single"/>
        </w:rPr>
        <w:t>one</w:t>
      </w:r>
      <w:r w:rsidRPr="00EA33B9">
        <w:rPr>
          <w:rFonts w:ascii="Calibri" w:hAnsi="Calibri"/>
          <w:sz w:val="22"/>
        </w:rPr>
        <w:t xml:space="preserve"> </w:t>
      </w:r>
      <w:r w:rsidRPr="00003364">
        <w:rPr>
          <w:rFonts w:ascii="Calibri" w:hAnsi="Calibri"/>
          <w:sz w:val="22"/>
        </w:rPr>
        <w:t>school</w:t>
      </w:r>
      <w:r>
        <w:rPr>
          <w:rFonts w:ascii="Calibri" w:hAnsi="Calibri"/>
          <w:sz w:val="22"/>
        </w:rPr>
        <w:t>,</w:t>
      </w:r>
      <w:r w:rsidRPr="00003364">
        <w:rPr>
          <w:rFonts w:ascii="Calibri" w:hAnsi="Calibri"/>
          <w:sz w:val="22"/>
        </w:rPr>
        <w:t xml:space="preserve"> such as a charter school or a regional vocational school</w:t>
      </w:r>
      <w:r>
        <w:rPr>
          <w:rFonts w:ascii="Calibri" w:hAnsi="Calibri"/>
          <w:sz w:val="22"/>
        </w:rPr>
        <w:t>,</w:t>
      </w:r>
      <w:r w:rsidRPr="00003364">
        <w:rPr>
          <w:rFonts w:ascii="Calibri" w:hAnsi="Calibri"/>
          <w:sz w:val="22"/>
        </w:rPr>
        <w:t xml:space="preserve"> </w:t>
      </w:r>
      <w:r>
        <w:rPr>
          <w:rFonts w:ascii="Calibri" w:hAnsi="Calibri"/>
          <w:sz w:val="22"/>
        </w:rPr>
        <w:t xml:space="preserve">is </w:t>
      </w:r>
      <w:r>
        <w:rPr>
          <w:rFonts w:ascii="Calibri" w:hAnsi="Calibri"/>
          <w:b/>
          <w:sz w:val="22"/>
        </w:rPr>
        <w:t xml:space="preserve">exempt </w:t>
      </w:r>
      <w:r w:rsidRPr="00DD4A2E">
        <w:rPr>
          <w:rFonts w:ascii="Calibri" w:hAnsi="Calibri"/>
          <w:sz w:val="22"/>
        </w:rPr>
        <w:t>from the comparability requirement</w:t>
      </w:r>
      <w:r>
        <w:rPr>
          <w:rFonts w:ascii="Calibri" w:hAnsi="Calibri"/>
          <w:b/>
          <w:sz w:val="22"/>
        </w:rPr>
        <w:t xml:space="preserve"> </w:t>
      </w:r>
      <w:r w:rsidRPr="00003364">
        <w:rPr>
          <w:rFonts w:ascii="Calibri" w:hAnsi="Calibri"/>
          <w:sz w:val="22"/>
        </w:rPr>
        <w:t>because</w:t>
      </w:r>
      <w:r>
        <w:rPr>
          <w:rFonts w:ascii="Calibri" w:hAnsi="Calibri"/>
          <w:sz w:val="22"/>
        </w:rPr>
        <w:t>,</w:t>
      </w:r>
      <w:r w:rsidRPr="00003364">
        <w:rPr>
          <w:rFonts w:ascii="Calibri" w:hAnsi="Calibri"/>
          <w:sz w:val="22"/>
        </w:rPr>
        <w:t xml:space="preserve"> as a single school district, there is no basis for comparison. The school district should </w:t>
      </w:r>
      <w:r>
        <w:rPr>
          <w:rFonts w:ascii="Calibri" w:hAnsi="Calibri"/>
          <w:sz w:val="22"/>
        </w:rPr>
        <w:t xml:space="preserve">only </w:t>
      </w:r>
      <w:r w:rsidRPr="00003364">
        <w:rPr>
          <w:rFonts w:ascii="Calibri" w:hAnsi="Calibri"/>
          <w:sz w:val="22"/>
        </w:rPr>
        <w:t xml:space="preserve">complete </w:t>
      </w:r>
      <w:r w:rsidRPr="00334007">
        <w:rPr>
          <w:rFonts w:ascii="Calibri" w:hAnsi="Calibri"/>
          <w:sz w:val="22"/>
        </w:rPr>
        <w:t>the</w:t>
      </w:r>
      <w:r w:rsidRPr="00543232">
        <w:rPr>
          <w:rFonts w:ascii="Calibri" w:hAnsi="Calibri"/>
          <w:i/>
          <w:sz w:val="22"/>
        </w:rPr>
        <w:t xml:space="preserve"> Summary Sheet</w:t>
      </w:r>
      <w:r>
        <w:rPr>
          <w:rFonts w:ascii="Calibri" w:hAnsi="Calibri"/>
          <w:sz w:val="22"/>
        </w:rPr>
        <w:t xml:space="preserve"> in the comparability forms to document this fact.</w:t>
      </w:r>
    </w:p>
    <w:p w14:paraId="1EF3464F" w14:textId="77777777" w:rsidR="004B35C4" w:rsidRDefault="004B35C4" w:rsidP="004B35C4">
      <w:pPr>
        <w:rPr>
          <w:rFonts w:ascii="Calibri" w:hAnsi="Calibri"/>
          <w:sz w:val="22"/>
        </w:rPr>
      </w:pPr>
    </w:p>
    <w:p w14:paraId="75DD16BE" w14:textId="77777777" w:rsidR="004A339D" w:rsidRPr="00DD5B22" w:rsidRDefault="00DD5B22" w:rsidP="00DD5B22">
      <w:pPr>
        <w:pStyle w:val="Heading1"/>
        <w:keepLines/>
        <w:spacing w:before="120" w:after="240"/>
        <w:jc w:val="left"/>
        <w:rPr>
          <w:rFonts w:ascii="Arial" w:eastAsia="Calibri" w:hAnsi="Arial" w:cs="Arial"/>
          <w:bCs/>
          <w:sz w:val="28"/>
          <w:szCs w:val="28"/>
        </w:rPr>
      </w:pPr>
      <w:r>
        <w:rPr>
          <w:rFonts w:ascii="Arial" w:eastAsia="Calibri" w:hAnsi="Arial" w:cs="Arial"/>
          <w:bCs/>
          <w:sz w:val="28"/>
          <w:szCs w:val="28"/>
        </w:rPr>
        <w:t>How does a district demonstrate comparability?</w:t>
      </w:r>
    </w:p>
    <w:p w14:paraId="3DBE7341" w14:textId="77777777" w:rsidR="004A339D" w:rsidRPr="00003364" w:rsidRDefault="004A339D" w:rsidP="0087200C">
      <w:pPr>
        <w:spacing w:after="240"/>
        <w:rPr>
          <w:rFonts w:ascii="Calibri" w:hAnsi="Calibri"/>
          <w:sz w:val="22"/>
        </w:rPr>
      </w:pPr>
      <w:r w:rsidRPr="00003364">
        <w:rPr>
          <w:rFonts w:ascii="Calibri" w:hAnsi="Calibri"/>
          <w:sz w:val="22"/>
        </w:rPr>
        <w:t>Comparability is an ann</w:t>
      </w:r>
      <w:r w:rsidR="00274BC1" w:rsidRPr="00003364">
        <w:rPr>
          <w:rFonts w:ascii="Calibri" w:hAnsi="Calibri"/>
          <w:sz w:val="22"/>
        </w:rPr>
        <w:t>ual requirement under Title I</w:t>
      </w:r>
      <w:r w:rsidR="00DD5B22">
        <w:rPr>
          <w:rFonts w:ascii="Calibri" w:hAnsi="Calibri"/>
          <w:sz w:val="22"/>
        </w:rPr>
        <w:t>, Part A</w:t>
      </w:r>
      <w:r w:rsidR="00274BC1" w:rsidRPr="00003364">
        <w:rPr>
          <w:rFonts w:ascii="Calibri" w:hAnsi="Calibri"/>
          <w:sz w:val="22"/>
        </w:rPr>
        <w:t xml:space="preserve">. </w:t>
      </w:r>
      <w:r w:rsidRPr="00003364">
        <w:rPr>
          <w:rFonts w:ascii="Calibri" w:hAnsi="Calibri"/>
          <w:sz w:val="22"/>
        </w:rPr>
        <w:t xml:space="preserve">Each school district must be able to demonstrate, through appropriate documentation, that it </w:t>
      </w:r>
      <w:proofErr w:type="gramStart"/>
      <w:r w:rsidRPr="00003364">
        <w:rPr>
          <w:rFonts w:ascii="Calibri" w:hAnsi="Calibri"/>
          <w:sz w:val="22"/>
        </w:rPr>
        <w:t>is in compliance with</w:t>
      </w:r>
      <w:proofErr w:type="gramEnd"/>
      <w:r w:rsidRPr="00003364">
        <w:rPr>
          <w:rFonts w:ascii="Calibri" w:hAnsi="Calibri"/>
          <w:sz w:val="22"/>
        </w:rPr>
        <w:t xml:space="preserve"> the Title I comparability requ</w:t>
      </w:r>
      <w:r w:rsidR="00274BC1" w:rsidRPr="00003364">
        <w:rPr>
          <w:rFonts w:ascii="Calibri" w:hAnsi="Calibri"/>
          <w:sz w:val="22"/>
        </w:rPr>
        <w:t xml:space="preserve">irements. </w:t>
      </w:r>
      <w:r w:rsidRPr="00003364">
        <w:rPr>
          <w:rFonts w:ascii="Calibri" w:hAnsi="Calibri"/>
          <w:sz w:val="22"/>
        </w:rPr>
        <w:t>This includes ev</w:t>
      </w:r>
      <w:r w:rsidR="00DD5B22">
        <w:rPr>
          <w:rFonts w:ascii="Calibri" w:hAnsi="Calibri"/>
          <w:sz w:val="22"/>
        </w:rPr>
        <w:t>idence supporting the comparability assurance</w:t>
      </w:r>
      <w:r w:rsidRPr="00003364">
        <w:rPr>
          <w:rFonts w:ascii="Calibri" w:hAnsi="Calibri"/>
          <w:sz w:val="22"/>
        </w:rPr>
        <w:t xml:space="preserve"> the school district submits to </w:t>
      </w:r>
      <w:r w:rsidR="00274BC1" w:rsidRPr="00003364">
        <w:rPr>
          <w:rFonts w:ascii="Calibri" w:hAnsi="Calibri"/>
          <w:sz w:val="22"/>
        </w:rPr>
        <w:t>ESE</w:t>
      </w:r>
      <w:r w:rsidR="00DD5B22">
        <w:rPr>
          <w:rFonts w:ascii="Calibri" w:hAnsi="Calibri"/>
          <w:sz w:val="22"/>
        </w:rPr>
        <w:t xml:space="preserve">. </w:t>
      </w:r>
      <w:r w:rsidR="00796676">
        <w:rPr>
          <w:rFonts w:ascii="Calibri" w:hAnsi="Calibri"/>
          <w:sz w:val="22"/>
        </w:rPr>
        <w:t>A</w:t>
      </w:r>
      <w:r w:rsidRPr="00003364">
        <w:rPr>
          <w:rFonts w:ascii="Calibri" w:hAnsi="Calibri"/>
          <w:sz w:val="22"/>
        </w:rPr>
        <w:t>ppropriate documentation for the three requirements covered by the comparability assurance</w:t>
      </w:r>
      <w:r w:rsidR="00796676">
        <w:rPr>
          <w:rFonts w:ascii="Calibri" w:hAnsi="Calibri"/>
          <w:sz w:val="22"/>
        </w:rPr>
        <w:t xml:space="preserve"> are as follows:</w:t>
      </w:r>
    </w:p>
    <w:p w14:paraId="4E5864BF" w14:textId="77777777" w:rsidR="004A339D" w:rsidRPr="00003364" w:rsidRDefault="004A339D" w:rsidP="00671F13">
      <w:pPr>
        <w:pStyle w:val="BodyText"/>
        <w:numPr>
          <w:ilvl w:val="0"/>
          <w:numId w:val="19"/>
        </w:numPr>
        <w:spacing w:after="120"/>
        <w:ind w:right="720" w:hanging="450"/>
        <w:rPr>
          <w:rFonts w:ascii="Calibri" w:hAnsi="Calibri"/>
          <w:sz w:val="22"/>
        </w:rPr>
      </w:pPr>
      <w:r w:rsidRPr="00003364">
        <w:rPr>
          <w:rFonts w:ascii="Calibri" w:hAnsi="Calibri"/>
          <w:b/>
          <w:sz w:val="22"/>
        </w:rPr>
        <w:t>District</w:t>
      </w:r>
      <w:r w:rsidR="00DD5B22">
        <w:rPr>
          <w:rFonts w:ascii="Calibri" w:hAnsi="Calibri"/>
          <w:b/>
          <w:sz w:val="22"/>
        </w:rPr>
        <w:t>-</w:t>
      </w:r>
      <w:r w:rsidRPr="00003364">
        <w:rPr>
          <w:rFonts w:ascii="Calibri" w:hAnsi="Calibri"/>
          <w:b/>
          <w:sz w:val="22"/>
        </w:rPr>
        <w:t xml:space="preserve">wide </w:t>
      </w:r>
      <w:r w:rsidR="00801CA3">
        <w:rPr>
          <w:rFonts w:ascii="Calibri" w:hAnsi="Calibri"/>
          <w:b/>
          <w:sz w:val="22"/>
        </w:rPr>
        <w:t>s</w:t>
      </w:r>
      <w:r w:rsidR="00801CA3" w:rsidRPr="00003364">
        <w:rPr>
          <w:rFonts w:ascii="Calibri" w:hAnsi="Calibri"/>
          <w:b/>
          <w:sz w:val="22"/>
        </w:rPr>
        <w:t xml:space="preserve">alary </w:t>
      </w:r>
      <w:r w:rsidR="00801CA3">
        <w:rPr>
          <w:rFonts w:ascii="Calibri" w:hAnsi="Calibri"/>
          <w:b/>
          <w:sz w:val="22"/>
        </w:rPr>
        <w:t>s</w:t>
      </w:r>
      <w:r w:rsidR="00801CA3" w:rsidRPr="00003364">
        <w:rPr>
          <w:rFonts w:ascii="Calibri" w:hAnsi="Calibri"/>
          <w:b/>
          <w:sz w:val="22"/>
        </w:rPr>
        <w:t>chedule</w:t>
      </w:r>
    </w:p>
    <w:p w14:paraId="301DCEF3" w14:textId="77777777" w:rsidR="004A339D" w:rsidRDefault="00796676">
      <w:pPr>
        <w:pStyle w:val="BodyText"/>
        <w:ind w:left="720"/>
        <w:rPr>
          <w:rFonts w:ascii="Calibri" w:hAnsi="Calibri"/>
          <w:sz w:val="22"/>
        </w:rPr>
      </w:pPr>
      <w:r>
        <w:rPr>
          <w:rFonts w:ascii="Calibri" w:hAnsi="Calibri"/>
          <w:sz w:val="22"/>
        </w:rPr>
        <w:t>C</w:t>
      </w:r>
      <w:r w:rsidRPr="00003364">
        <w:rPr>
          <w:rFonts w:ascii="Calibri" w:hAnsi="Calibri"/>
          <w:sz w:val="22"/>
        </w:rPr>
        <w:t xml:space="preserve">ompliance with this </w:t>
      </w:r>
      <w:r>
        <w:rPr>
          <w:rFonts w:ascii="Calibri" w:hAnsi="Calibri"/>
          <w:sz w:val="22"/>
        </w:rPr>
        <w:t>requirement may be demonstrated through</w:t>
      </w:r>
      <w:r w:rsidRPr="00003364">
        <w:rPr>
          <w:rFonts w:ascii="Calibri" w:hAnsi="Calibri"/>
          <w:sz w:val="22"/>
        </w:rPr>
        <w:t xml:space="preserve"> </w:t>
      </w:r>
      <w:r>
        <w:rPr>
          <w:rFonts w:ascii="Calibri" w:hAnsi="Calibri"/>
          <w:sz w:val="22"/>
        </w:rPr>
        <w:t>t</w:t>
      </w:r>
      <w:r w:rsidR="004A339D" w:rsidRPr="00003364">
        <w:rPr>
          <w:rFonts w:ascii="Calibri" w:hAnsi="Calibri"/>
          <w:sz w:val="22"/>
        </w:rPr>
        <w:t xml:space="preserve">he </w:t>
      </w:r>
      <w:r>
        <w:rPr>
          <w:rFonts w:ascii="Calibri" w:hAnsi="Calibri"/>
          <w:sz w:val="22"/>
        </w:rPr>
        <w:t xml:space="preserve">district’s </w:t>
      </w:r>
      <w:r w:rsidR="004A339D" w:rsidRPr="00003364">
        <w:rPr>
          <w:rFonts w:ascii="Calibri" w:hAnsi="Calibri"/>
          <w:sz w:val="22"/>
        </w:rPr>
        <w:t>most recent teacher contract with applicable salary schedule</w:t>
      </w:r>
      <w:r w:rsidR="00DD5B22">
        <w:rPr>
          <w:rFonts w:ascii="Calibri" w:hAnsi="Calibri"/>
          <w:sz w:val="22"/>
        </w:rPr>
        <w:t>, as i</w:t>
      </w:r>
      <w:r w:rsidR="004A339D" w:rsidRPr="00003364">
        <w:rPr>
          <w:rFonts w:ascii="Calibri" w:hAnsi="Calibri"/>
          <w:sz w:val="22"/>
        </w:rPr>
        <w:t xml:space="preserve">t is </w:t>
      </w:r>
      <w:r w:rsidR="008B0291">
        <w:rPr>
          <w:rFonts w:ascii="Calibri" w:hAnsi="Calibri"/>
          <w:sz w:val="22"/>
        </w:rPr>
        <w:t>expected</w:t>
      </w:r>
      <w:r w:rsidR="004A339D" w:rsidRPr="00003364">
        <w:rPr>
          <w:rFonts w:ascii="Calibri" w:hAnsi="Calibri"/>
          <w:sz w:val="22"/>
        </w:rPr>
        <w:t xml:space="preserve"> that teacher salaries are based upon a policy consistent for all teachers across all </w:t>
      </w:r>
      <w:r w:rsidR="00274BC1" w:rsidRPr="00003364">
        <w:rPr>
          <w:rFonts w:ascii="Calibri" w:hAnsi="Calibri"/>
          <w:sz w:val="22"/>
        </w:rPr>
        <w:t>schools in the school district.</w:t>
      </w:r>
      <w:r w:rsidR="004A339D" w:rsidRPr="00003364">
        <w:rPr>
          <w:rFonts w:ascii="Calibri" w:hAnsi="Calibri"/>
          <w:sz w:val="22"/>
        </w:rPr>
        <w:t xml:space="preserve"> Additional information verifying consistency in salaries for principals, p</w:t>
      </w:r>
      <w:r w:rsidR="00DD5B22">
        <w:rPr>
          <w:rFonts w:ascii="Calibri" w:hAnsi="Calibri"/>
          <w:sz w:val="22"/>
        </w:rPr>
        <w:t>araprofessionals, and</w:t>
      </w:r>
      <w:r w:rsidR="008B0291">
        <w:rPr>
          <w:rFonts w:ascii="Calibri" w:hAnsi="Calibri"/>
          <w:sz w:val="22"/>
        </w:rPr>
        <w:t xml:space="preserve"> other staff listed below</w:t>
      </w:r>
      <w:r w:rsidR="00DD5B22">
        <w:rPr>
          <w:rFonts w:ascii="Calibri" w:hAnsi="Calibri"/>
          <w:sz w:val="22"/>
        </w:rPr>
        <w:t xml:space="preserve"> must also be kept on file. </w:t>
      </w:r>
      <w:r w:rsidR="004A339D" w:rsidRPr="00003364">
        <w:rPr>
          <w:rFonts w:ascii="Calibri" w:hAnsi="Calibri"/>
          <w:sz w:val="22"/>
        </w:rPr>
        <w:t xml:space="preserve"> </w:t>
      </w:r>
    </w:p>
    <w:p w14:paraId="029918C6" w14:textId="77777777" w:rsidR="00740D6C" w:rsidRDefault="00740D6C">
      <w:pPr>
        <w:pStyle w:val="BodyText"/>
        <w:ind w:left="720"/>
        <w:rPr>
          <w:rFonts w:ascii="Calibri" w:hAnsi="Calibri"/>
          <w:sz w:val="22"/>
        </w:rPr>
      </w:pPr>
    </w:p>
    <w:p w14:paraId="465804E6" w14:textId="77777777" w:rsidR="004A339D" w:rsidRPr="00671F13" w:rsidRDefault="00005AEC" w:rsidP="00671F13">
      <w:pPr>
        <w:pStyle w:val="BodyText"/>
        <w:numPr>
          <w:ilvl w:val="0"/>
          <w:numId w:val="19"/>
        </w:numPr>
        <w:spacing w:after="120"/>
        <w:ind w:right="720" w:hanging="450"/>
        <w:rPr>
          <w:rFonts w:ascii="Calibri" w:hAnsi="Calibri"/>
          <w:b/>
          <w:sz w:val="22"/>
        </w:rPr>
      </w:pPr>
      <w:r w:rsidRPr="00003364">
        <w:rPr>
          <w:rFonts w:ascii="Calibri" w:hAnsi="Calibri"/>
          <w:b/>
          <w:sz w:val="22"/>
        </w:rPr>
        <w:t xml:space="preserve">Equivalence in the </w:t>
      </w:r>
      <w:r w:rsidR="00801CA3">
        <w:rPr>
          <w:rFonts w:ascii="Calibri" w:hAnsi="Calibri"/>
          <w:b/>
          <w:sz w:val="22"/>
        </w:rPr>
        <w:t>a</w:t>
      </w:r>
      <w:r w:rsidR="00801CA3" w:rsidRPr="00003364">
        <w:rPr>
          <w:rFonts w:ascii="Calibri" w:hAnsi="Calibri"/>
          <w:b/>
          <w:sz w:val="22"/>
        </w:rPr>
        <w:t xml:space="preserve">ssignment </w:t>
      </w:r>
      <w:r w:rsidRPr="00003364">
        <w:rPr>
          <w:rFonts w:ascii="Calibri" w:hAnsi="Calibri"/>
          <w:b/>
          <w:sz w:val="22"/>
        </w:rPr>
        <w:t xml:space="preserve">of </w:t>
      </w:r>
      <w:r w:rsidR="00801CA3">
        <w:rPr>
          <w:rFonts w:ascii="Calibri" w:hAnsi="Calibri"/>
          <w:b/>
          <w:sz w:val="22"/>
        </w:rPr>
        <w:t>i</w:t>
      </w:r>
      <w:r w:rsidR="00801CA3" w:rsidRPr="00003364">
        <w:rPr>
          <w:rFonts w:ascii="Calibri" w:hAnsi="Calibri"/>
          <w:b/>
          <w:sz w:val="22"/>
        </w:rPr>
        <w:t xml:space="preserve">nstructional </w:t>
      </w:r>
      <w:r w:rsidR="00801CA3">
        <w:rPr>
          <w:rFonts w:ascii="Calibri" w:hAnsi="Calibri"/>
          <w:b/>
          <w:sz w:val="22"/>
        </w:rPr>
        <w:t>p</w:t>
      </w:r>
      <w:r w:rsidR="00801CA3" w:rsidRPr="00003364">
        <w:rPr>
          <w:rFonts w:ascii="Calibri" w:hAnsi="Calibri"/>
          <w:b/>
          <w:sz w:val="22"/>
        </w:rPr>
        <w:t>ersonnel</w:t>
      </w:r>
    </w:p>
    <w:p w14:paraId="39C0C266" w14:textId="77777777" w:rsidR="00740D6C" w:rsidRDefault="004A339D">
      <w:pPr>
        <w:pStyle w:val="BodyText"/>
        <w:ind w:left="720" w:right="90"/>
        <w:rPr>
          <w:rFonts w:ascii="Calibri" w:hAnsi="Calibri"/>
          <w:sz w:val="22"/>
        </w:rPr>
      </w:pPr>
      <w:r w:rsidRPr="00003364">
        <w:rPr>
          <w:rFonts w:ascii="Calibri" w:hAnsi="Calibri"/>
          <w:sz w:val="22"/>
        </w:rPr>
        <w:t xml:space="preserve">Each school district must demonstrate that the </w:t>
      </w:r>
      <w:r w:rsidR="00796676">
        <w:rPr>
          <w:rFonts w:ascii="Calibri" w:hAnsi="Calibri"/>
          <w:sz w:val="22"/>
        </w:rPr>
        <w:t xml:space="preserve">ratio of </w:t>
      </w:r>
      <w:r w:rsidR="0087200C">
        <w:rPr>
          <w:rFonts w:ascii="Calibri" w:hAnsi="Calibri"/>
          <w:sz w:val="22"/>
        </w:rPr>
        <w:t>student</w:t>
      </w:r>
      <w:r w:rsidR="00796676">
        <w:rPr>
          <w:rFonts w:ascii="Calibri" w:hAnsi="Calibri"/>
          <w:sz w:val="22"/>
        </w:rPr>
        <w:t>s</w:t>
      </w:r>
      <w:r w:rsidR="0087200C">
        <w:rPr>
          <w:rFonts w:ascii="Calibri" w:hAnsi="Calibri"/>
          <w:sz w:val="22"/>
        </w:rPr>
        <w:t xml:space="preserve"> to</w:t>
      </w:r>
      <w:r w:rsidR="00796676">
        <w:rPr>
          <w:rFonts w:ascii="Calibri" w:hAnsi="Calibri"/>
          <w:sz w:val="22"/>
        </w:rPr>
        <w:t xml:space="preserve"> state and locally-funded</w:t>
      </w:r>
      <w:r w:rsidR="0087200C">
        <w:rPr>
          <w:rFonts w:ascii="Calibri" w:hAnsi="Calibri"/>
          <w:sz w:val="22"/>
        </w:rPr>
        <w:t xml:space="preserve"> instructional </w:t>
      </w:r>
      <w:r w:rsidRPr="00003364">
        <w:rPr>
          <w:rFonts w:ascii="Calibri" w:hAnsi="Calibri"/>
          <w:sz w:val="22"/>
        </w:rPr>
        <w:t xml:space="preserve">staff in each Title I school within a grade span is equal to or less than the average </w:t>
      </w:r>
      <w:r w:rsidR="0087200C">
        <w:rPr>
          <w:rFonts w:ascii="Calibri" w:hAnsi="Calibri"/>
          <w:sz w:val="22"/>
        </w:rPr>
        <w:t xml:space="preserve">student to </w:t>
      </w:r>
      <w:r w:rsidR="00796676">
        <w:rPr>
          <w:rFonts w:ascii="Calibri" w:hAnsi="Calibri"/>
          <w:sz w:val="22"/>
        </w:rPr>
        <w:t xml:space="preserve">state and locally-funded </w:t>
      </w:r>
      <w:r w:rsidRPr="00003364">
        <w:rPr>
          <w:rFonts w:ascii="Calibri" w:hAnsi="Calibri"/>
          <w:sz w:val="22"/>
        </w:rPr>
        <w:t>staff ratio for all non-Title I s</w:t>
      </w:r>
      <w:r w:rsidR="0087200C">
        <w:rPr>
          <w:rFonts w:ascii="Calibri" w:hAnsi="Calibri"/>
          <w:sz w:val="22"/>
        </w:rPr>
        <w:t xml:space="preserve">chools within that grade span. </w:t>
      </w:r>
      <w:r w:rsidRPr="00003364">
        <w:rPr>
          <w:rFonts w:ascii="Calibri" w:hAnsi="Calibri"/>
          <w:sz w:val="22"/>
        </w:rPr>
        <w:t>The sc</w:t>
      </w:r>
      <w:r w:rsidR="00C15335">
        <w:rPr>
          <w:rFonts w:ascii="Calibri" w:hAnsi="Calibri"/>
          <w:sz w:val="22"/>
        </w:rPr>
        <w:t xml:space="preserve">hool district must </w:t>
      </w:r>
      <w:r w:rsidRPr="00003364">
        <w:rPr>
          <w:rFonts w:ascii="Calibri" w:hAnsi="Calibri"/>
          <w:sz w:val="22"/>
        </w:rPr>
        <w:t>include the same staff members in the ratios for both Title I schools and th</w:t>
      </w:r>
      <w:r w:rsidR="0087200C">
        <w:rPr>
          <w:rFonts w:ascii="Calibri" w:hAnsi="Calibri"/>
          <w:sz w:val="22"/>
        </w:rPr>
        <w:t xml:space="preserve">e comparison group. </w:t>
      </w:r>
      <w:r w:rsidRPr="00003364">
        <w:rPr>
          <w:rFonts w:ascii="Calibri" w:hAnsi="Calibri"/>
          <w:sz w:val="22"/>
        </w:rPr>
        <w:t xml:space="preserve">This means that the school district must compute the ratio of </w:t>
      </w:r>
      <w:r w:rsidR="0087200C">
        <w:rPr>
          <w:rFonts w:ascii="Calibri" w:hAnsi="Calibri"/>
          <w:sz w:val="22"/>
        </w:rPr>
        <w:t>students</w:t>
      </w:r>
      <w:r w:rsidRPr="00003364">
        <w:rPr>
          <w:rFonts w:ascii="Calibri" w:hAnsi="Calibri"/>
          <w:sz w:val="22"/>
        </w:rPr>
        <w:t xml:space="preserve"> to total instructional staff at each school within a grade span where Title</w:t>
      </w:r>
      <w:r w:rsidR="0087200C">
        <w:rPr>
          <w:rFonts w:ascii="Calibri" w:hAnsi="Calibri"/>
          <w:sz w:val="22"/>
        </w:rPr>
        <w:t xml:space="preserve"> I services are being provided.</w:t>
      </w:r>
      <w:r w:rsidRPr="00003364">
        <w:rPr>
          <w:rFonts w:ascii="Calibri" w:hAnsi="Calibri"/>
          <w:sz w:val="22"/>
        </w:rPr>
        <w:t xml:space="preserve"> For these computations, </w:t>
      </w:r>
      <w:r w:rsidR="0087200C">
        <w:rPr>
          <w:rFonts w:ascii="Calibri" w:hAnsi="Calibri"/>
          <w:sz w:val="22"/>
        </w:rPr>
        <w:t>include</w:t>
      </w:r>
      <w:r w:rsidR="00811390">
        <w:rPr>
          <w:rFonts w:ascii="Calibri" w:hAnsi="Calibri"/>
          <w:sz w:val="22"/>
        </w:rPr>
        <w:t xml:space="preserve"> only</w:t>
      </w:r>
      <w:r w:rsidR="0087200C">
        <w:rPr>
          <w:rFonts w:ascii="Calibri" w:hAnsi="Calibri"/>
          <w:sz w:val="22"/>
        </w:rPr>
        <w:t xml:space="preserve"> </w:t>
      </w:r>
      <w:r w:rsidRPr="00003364">
        <w:rPr>
          <w:rFonts w:ascii="Calibri" w:hAnsi="Calibri"/>
          <w:sz w:val="22"/>
        </w:rPr>
        <w:t xml:space="preserve">the following </w:t>
      </w:r>
      <w:r w:rsidR="00DE27A2" w:rsidRPr="00003364">
        <w:rPr>
          <w:rFonts w:ascii="Calibri" w:hAnsi="Calibri"/>
          <w:sz w:val="22"/>
        </w:rPr>
        <w:t xml:space="preserve">instructional staff </w:t>
      </w:r>
      <w:r w:rsidR="0087200C">
        <w:rPr>
          <w:rFonts w:ascii="Calibri" w:hAnsi="Calibri"/>
          <w:sz w:val="22"/>
        </w:rPr>
        <w:t xml:space="preserve">at each </w:t>
      </w:r>
      <w:r w:rsidR="0087200C">
        <w:rPr>
          <w:rFonts w:ascii="Calibri" w:hAnsi="Calibri"/>
          <w:sz w:val="22"/>
        </w:rPr>
        <w:lastRenderedPageBreak/>
        <w:t>school</w:t>
      </w:r>
      <w:r w:rsidR="00796676">
        <w:rPr>
          <w:rFonts w:ascii="Calibri" w:hAnsi="Calibri"/>
          <w:sz w:val="22"/>
        </w:rPr>
        <w:t xml:space="preserve"> who are </w:t>
      </w:r>
      <w:r w:rsidR="0087200C" w:rsidRPr="00796676">
        <w:rPr>
          <w:rFonts w:ascii="Calibri" w:hAnsi="Calibri"/>
          <w:sz w:val="22"/>
        </w:rPr>
        <w:t xml:space="preserve">paid through state or local </w:t>
      </w:r>
      <w:r w:rsidR="00796676">
        <w:rPr>
          <w:rFonts w:ascii="Calibri" w:hAnsi="Calibri"/>
          <w:sz w:val="22"/>
        </w:rPr>
        <w:t>funds</w:t>
      </w:r>
      <w:r w:rsidR="00796676" w:rsidRPr="00796676">
        <w:rPr>
          <w:rFonts w:ascii="Calibri" w:hAnsi="Calibri"/>
          <w:sz w:val="22"/>
        </w:rPr>
        <w:t>.</w:t>
      </w:r>
      <w:r w:rsidR="00796676">
        <w:rPr>
          <w:rFonts w:ascii="Calibri" w:hAnsi="Calibri"/>
          <w:b/>
          <w:sz w:val="22"/>
        </w:rPr>
        <w:t xml:space="preserve"> </w:t>
      </w:r>
      <w:r w:rsidR="00796676" w:rsidRPr="0087200C">
        <w:rPr>
          <w:rFonts w:ascii="Calibri" w:hAnsi="Calibri"/>
          <w:b/>
          <w:sz w:val="22"/>
        </w:rPr>
        <w:t>Exclude staff paid with Title I or other federal funds</w:t>
      </w:r>
      <w:r w:rsidRPr="00003364">
        <w:rPr>
          <w:rFonts w:ascii="Calibri" w:hAnsi="Calibri"/>
          <w:sz w:val="22"/>
        </w:rPr>
        <w:t xml:space="preserve">: </w:t>
      </w:r>
      <w:r w:rsidR="0087200C">
        <w:rPr>
          <w:rFonts w:ascii="Calibri" w:hAnsi="Calibri"/>
          <w:sz w:val="22"/>
        </w:rPr>
        <w:br/>
      </w:r>
      <w:r w:rsidR="00DE27A2" w:rsidRPr="00003364">
        <w:rPr>
          <w:rFonts w:ascii="Calibri" w:hAnsi="Calibri"/>
          <w:sz w:val="22"/>
        </w:rPr>
        <w:tab/>
      </w:r>
      <w:r w:rsidR="00DE27A2" w:rsidRPr="00003364">
        <w:rPr>
          <w:rFonts w:ascii="Calibri" w:hAnsi="Calibri"/>
          <w:sz w:val="22"/>
        </w:rPr>
        <w:tab/>
      </w:r>
    </w:p>
    <w:p w14:paraId="32EEA18A" w14:textId="77777777" w:rsidR="00DE27A2" w:rsidRPr="00003364" w:rsidRDefault="00DE27A2" w:rsidP="00740D6C">
      <w:pPr>
        <w:pStyle w:val="BodyText"/>
        <w:ind w:left="1440" w:right="90" w:firstLine="720"/>
        <w:rPr>
          <w:rFonts w:ascii="Calibri" w:hAnsi="Calibri"/>
          <w:sz w:val="22"/>
        </w:rPr>
      </w:pPr>
      <w:r w:rsidRPr="00003364">
        <w:rPr>
          <w:rFonts w:ascii="Calibri" w:hAnsi="Calibri"/>
          <w:sz w:val="22"/>
        </w:rPr>
        <w:t>EPIMS 1305</w:t>
      </w:r>
      <w:r w:rsidRPr="00003364">
        <w:rPr>
          <w:rFonts w:ascii="Calibri" w:hAnsi="Calibri"/>
          <w:sz w:val="22"/>
        </w:rPr>
        <w:tab/>
        <w:t>Principal</w:t>
      </w:r>
    </w:p>
    <w:p w14:paraId="07B806D9" w14:textId="77777777" w:rsidR="00DE27A2" w:rsidRPr="00003364" w:rsidRDefault="0087200C">
      <w:pPr>
        <w:pStyle w:val="BodyText"/>
        <w:ind w:left="720" w:right="90"/>
        <w:rPr>
          <w:rFonts w:ascii="Calibri" w:hAnsi="Calibri"/>
          <w:sz w:val="22"/>
        </w:rPr>
      </w:pPr>
      <w:r>
        <w:rPr>
          <w:rFonts w:ascii="Calibri" w:hAnsi="Calibri"/>
          <w:sz w:val="22"/>
        </w:rPr>
        <w:tab/>
      </w:r>
      <w:r>
        <w:rPr>
          <w:rFonts w:ascii="Calibri" w:hAnsi="Calibri"/>
          <w:sz w:val="22"/>
        </w:rPr>
        <w:tab/>
        <w:t>EPIMS 1310</w:t>
      </w:r>
      <w:r>
        <w:rPr>
          <w:rFonts w:ascii="Calibri" w:hAnsi="Calibri"/>
          <w:sz w:val="22"/>
        </w:rPr>
        <w:tab/>
        <w:t>Assistant</w:t>
      </w:r>
      <w:r w:rsidR="00DE27A2" w:rsidRPr="00003364">
        <w:rPr>
          <w:rFonts w:ascii="Calibri" w:hAnsi="Calibri"/>
          <w:sz w:val="22"/>
        </w:rPr>
        <w:t>/Vice Principal</w:t>
      </w:r>
    </w:p>
    <w:p w14:paraId="39EB72E5" w14:textId="77777777" w:rsidR="00DE27A2" w:rsidRPr="00003364" w:rsidRDefault="00DE27A2">
      <w:pPr>
        <w:pStyle w:val="BodyText"/>
        <w:ind w:left="720" w:right="90"/>
        <w:rPr>
          <w:rFonts w:ascii="Calibri" w:hAnsi="Calibri"/>
          <w:sz w:val="22"/>
        </w:rPr>
      </w:pPr>
      <w:r w:rsidRPr="00003364">
        <w:rPr>
          <w:rFonts w:ascii="Calibri" w:hAnsi="Calibri"/>
          <w:sz w:val="22"/>
        </w:rPr>
        <w:tab/>
      </w:r>
      <w:r w:rsidRPr="00003364">
        <w:rPr>
          <w:rFonts w:ascii="Calibri" w:hAnsi="Calibri"/>
          <w:sz w:val="22"/>
        </w:rPr>
        <w:tab/>
        <w:t>EPIMS 2305</w:t>
      </w:r>
      <w:r w:rsidRPr="00003364">
        <w:rPr>
          <w:rFonts w:ascii="Calibri" w:hAnsi="Calibri"/>
          <w:sz w:val="22"/>
        </w:rPr>
        <w:tab/>
        <w:t>Teacher</w:t>
      </w:r>
    </w:p>
    <w:p w14:paraId="18A3A0A6" w14:textId="77777777" w:rsidR="00DE27A2" w:rsidRPr="00003364" w:rsidRDefault="00DE27A2">
      <w:pPr>
        <w:pStyle w:val="BodyText"/>
        <w:ind w:left="720" w:right="90"/>
        <w:rPr>
          <w:rFonts w:ascii="Calibri" w:hAnsi="Calibri"/>
          <w:sz w:val="22"/>
        </w:rPr>
      </w:pPr>
      <w:r w:rsidRPr="00003364">
        <w:rPr>
          <w:rFonts w:ascii="Calibri" w:hAnsi="Calibri"/>
          <w:sz w:val="22"/>
        </w:rPr>
        <w:tab/>
      </w:r>
      <w:r w:rsidRPr="00003364">
        <w:rPr>
          <w:rFonts w:ascii="Calibri" w:hAnsi="Calibri"/>
          <w:sz w:val="22"/>
        </w:rPr>
        <w:tab/>
        <w:t>EPIMS 2310</w:t>
      </w:r>
      <w:r w:rsidRPr="00003364">
        <w:rPr>
          <w:rFonts w:ascii="Calibri" w:hAnsi="Calibri"/>
          <w:sz w:val="22"/>
        </w:rPr>
        <w:tab/>
        <w:t>Teacher – support content instruction</w:t>
      </w:r>
    </w:p>
    <w:p w14:paraId="5856B188" w14:textId="77777777" w:rsidR="00DE27A2" w:rsidRPr="00003364" w:rsidRDefault="00DE27A2">
      <w:pPr>
        <w:pStyle w:val="BodyText"/>
        <w:ind w:left="720" w:right="90"/>
        <w:rPr>
          <w:rFonts w:ascii="Calibri" w:hAnsi="Calibri"/>
          <w:sz w:val="22"/>
        </w:rPr>
      </w:pPr>
      <w:r w:rsidRPr="00003364">
        <w:rPr>
          <w:rFonts w:ascii="Calibri" w:hAnsi="Calibri"/>
          <w:sz w:val="22"/>
        </w:rPr>
        <w:tab/>
      </w:r>
      <w:r w:rsidRPr="00003364">
        <w:rPr>
          <w:rFonts w:ascii="Calibri" w:hAnsi="Calibri"/>
          <w:sz w:val="22"/>
        </w:rPr>
        <w:tab/>
        <w:t>EPIMS 2325</w:t>
      </w:r>
      <w:r w:rsidRPr="00003364">
        <w:rPr>
          <w:rFonts w:ascii="Calibri" w:hAnsi="Calibri"/>
          <w:sz w:val="22"/>
        </w:rPr>
        <w:tab/>
        <w:t>Long Term Substitute Teacher</w:t>
      </w:r>
    </w:p>
    <w:p w14:paraId="10E59536" w14:textId="77777777" w:rsidR="00DE27A2" w:rsidRPr="00003364" w:rsidRDefault="00DE27A2">
      <w:pPr>
        <w:pStyle w:val="BodyText"/>
        <w:ind w:left="720" w:right="90"/>
        <w:rPr>
          <w:rFonts w:ascii="Calibri" w:hAnsi="Calibri"/>
          <w:sz w:val="22"/>
        </w:rPr>
      </w:pPr>
      <w:r w:rsidRPr="00003364">
        <w:rPr>
          <w:rFonts w:ascii="Calibri" w:hAnsi="Calibri"/>
          <w:sz w:val="22"/>
        </w:rPr>
        <w:tab/>
      </w:r>
      <w:r w:rsidRPr="00003364">
        <w:rPr>
          <w:rFonts w:ascii="Calibri" w:hAnsi="Calibri"/>
          <w:sz w:val="22"/>
        </w:rPr>
        <w:tab/>
        <w:t>EPIMS 2330</w:t>
      </w:r>
      <w:r w:rsidRPr="00003364">
        <w:rPr>
          <w:rFonts w:ascii="Calibri" w:hAnsi="Calibri"/>
          <w:sz w:val="22"/>
        </w:rPr>
        <w:tab/>
        <w:t>Instructional Coach</w:t>
      </w:r>
    </w:p>
    <w:p w14:paraId="5299F42F" w14:textId="77777777" w:rsidR="00DE27A2" w:rsidRPr="00003364" w:rsidRDefault="00DE27A2">
      <w:pPr>
        <w:pStyle w:val="BodyText"/>
        <w:ind w:left="720" w:right="90"/>
        <w:rPr>
          <w:rFonts w:ascii="Calibri" w:hAnsi="Calibri"/>
          <w:sz w:val="22"/>
        </w:rPr>
      </w:pPr>
      <w:r w:rsidRPr="00003364">
        <w:rPr>
          <w:rFonts w:ascii="Calibri" w:hAnsi="Calibri"/>
          <w:sz w:val="22"/>
        </w:rPr>
        <w:tab/>
      </w:r>
      <w:r w:rsidRPr="00003364">
        <w:rPr>
          <w:rFonts w:ascii="Calibri" w:hAnsi="Calibri"/>
          <w:sz w:val="22"/>
        </w:rPr>
        <w:tab/>
        <w:t>EPIMS 3329</w:t>
      </w:r>
      <w:r w:rsidRPr="00003364">
        <w:rPr>
          <w:rFonts w:ascii="Calibri" w:hAnsi="Calibri"/>
          <w:sz w:val="22"/>
        </w:rPr>
        <w:tab/>
        <w:t>Guidance Counselor</w:t>
      </w:r>
    </w:p>
    <w:p w14:paraId="7739986C" w14:textId="77777777" w:rsidR="000615F3" w:rsidRPr="00003364" w:rsidRDefault="000615F3">
      <w:pPr>
        <w:pStyle w:val="BodyText"/>
        <w:ind w:left="720" w:right="90"/>
        <w:rPr>
          <w:rFonts w:ascii="Calibri" w:hAnsi="Calibri"/>
          <w:sz w:val="22"/>
        </w:rPr>
      </w:pPr>
    </w:p>
    <w:p w14:paraId="77994FE8" w14:textId="77777777" w:rsidR="004A339D" w:rsidRPr="00003364" w:rsidRDefault="0087200C" w:rsidP="0087200C">
      <w:pPr>
        <w:spacing w:after="240"/>
        <w:ind w:left="720"/>
        <w:rPr>
          <w:rFonts w:ascii="Calibri" w:hAnsi="Calibri"/>
          <w:sz w:val="22"/>
        </w:rPr>
      </w:pPr>
      <w:r>
        <w:rPr>
          <w:rFonts w:ascii="Calibri" w:hAnsi="Calibri"/>
          <w:sz w:val="22"/>
        </w:rPr>
        <w:t>No o</w:t>
      </w:r>
      <w:r w:rsidR="00DE27A2" w:rsidRPr="00003364">
        <w:rPr>
          <w:rFonts w:ascii="Calibri" w:hAnsi="Calibri"/>
          <w:sz w:val="22"/>
        </w:rPr>
        <w:t xml:space="preserve">ther school staff may </w:t>
      </w:r>
      <w:r>
        <w:rPr>
          <w:rFonts w:ascii="Calibri" w:hAnsi="Calibri"/>
          <w:sz w:val="22"/>
        </w:rPr>
        <w:t>be included.</w:t>
      </w:r>
      <w:r w:rsidR="000615F3" w:rsidRPr="00003364">
        <w:rPr>
          <w:rFonts w:ascii="Calibri" w:hAnsi="Calibri"/>
          <w:sz w:val="22"/>
        </w:rPr>
        <w:t xml:space="preserve"> </w:t>
      </w:r>
    </w:p>
    <w:p w14:paraId="4F9B6E0B" w14:textId="74741A6F" w:rsidR="004A339D" w:rsidRPr="00003364" w:rsidRDefault="0087200C" w:rsidP="53262951">
      <w:pPr>
        <w:spacing w:after="240"/>
        <w:ind w:left="720"/>
        <w:rPr>
          <w:rFonts w:ascii="Calibri" w:hAnsi="Calibri"/>
          <w:sz w:val="22"/>
          <w:szCs w:val="22"/>
        </w:rPr>
      </w:pPr>
      <w:r w:rsidRPr="53262951">
        <w:rPr>
          <w:rFonts w:ascii="Calibri" w:hAnsi="Calibri"/>
          <w:sz w:val="22"/>
          <w:szCs w:val="22"/>
        </w:rPr>
        <w:t>Districts</w:t>
      </w:r>
      <w:r w:rsidR="004A339D" w:rsidRPr="53262951">
        <w:rPr>
          <w:rFonts w:ascii="Calibri" w:hAnsi="Calibri"/>
          <w:sz w:val="22"/>
          <w:szCs w:val="22"/>
        </w:rPr>
        <w:t xml:space="preserve"> demonstrate comparability using student</w:t>
      </w:r>
      <w:r w:rsidRPr="53262951">
        <w:rPr>
          <w:rFonts w:ascii="Calibri" w:hAnsi="Calibri"/>
          <w:sz w:val="22"/>
          <w:szCs w:val="22"/>
        </w:rPr>
        <w:t>/</w:t>
      </w:r>
      <w:r w:rsidR="004A339D" w:rsidRPr="53262951">
        <w:rPr>
          <w:rFonts w:ascii="Calibri" w:hAnsi="Calibri"/>
          <w:sz w:val="22"/>
          <w:szCs w:val="22"/>
        </w:rPr>
        <w:t xml:space="preserve">staff ratios </w:t>
      </w:r>
      <w:r w:rsidRPr="53262951">
        <w:rPr>
          <w:rFonts w:ascii="Calibri" w:hAnsi="Calibri"/>
          <w:sz w:val="22"/>
          <w:szCs w:val="22"/>
        </w:rPr>
        <w:t>by</w:t>
      </w:r>
      <w:r w:rsidR="004A339D" w:rsidRPr="53262951">
        <w:rPr>
          <w:rFonts w:ascii="Calibri" w:hAnsi="Calibri"/>
          <w:sz w:val="22"/>
          <w:szCs w:val="22"/>
        </w:rPr>
        <w:t xml:space="preserve"> completing </w:t>
      </w:r>
      <w:r w:rsidRPr="53262951">
        <w:rPr>
          <w:rFonts w:ascii="Calibri" w:hAnsi="Calibri"/>
          <w:sz w:val="22"/>
          <w:szCs w:val="22"/>
        </w:rPr>
        <w:t>comparability forms provided by DESE</w:t>
      </w:r>
      <w:r w:rsidR="004A339D" w:rsidRPr="53262951">
        <w:rPr>
          <w:rFonts w:ascii="Calibri" w:hAnsi="Calibri"/>
          <w:sz w:val="22"/>
          <w:szCs w:val="22"/>
        </w:rPr>
        <w:t>.</w:t>
      </w:r>
    </w:p>
    <w:p w14:paraId="18D97217" w14:textId="77777777" w:rsidR="004A339D" w:rsidRPr="00671F13" w:rsidRDefault="004A339D" w:rsidP="00671F13">
      <w:pPr>
        <w:pStyle w:val="BodyText"/>
        <w:numPr>
          <w:ilvl w:val="0"/>
          <w:numId w:val="19"/>
        </w:numPr>
        <w:spacing w:after="120"/>
        <w:ind w:right="720" w:hanging="450"/>
        <w:rPr>
          <w:rFonts w:ascii="Calibri" w:hAnsi="Calibri"/>
          <w:b/>
          <w:sz w:val="22"/>
        </w:rPr>
      </w:pPr>
      <w:r w:rsidRPr="00003364">
        <w:rPr>
          <w:rFonts w:ascii="Calibri" w:hAnsi="Calibri"/>
          <w:b/>
          <w:sz w:val="22"/>
        </w:rPr>
        <w:t xml:space="preserve">Equivalence in the </w:t>
      </w:r>
      <w:r w:rsidR="00801CA3">
        <w:rPr>
          <w:rFonts w:ascii="Calibri" w:hAnsi="Calibri"/>
          <w:b/>
          <w:sz w:val="22"/>
        </w:rPr>
        <w:t>p</w:t>
      </w:r>
      <w:r w:rsidR="00801CA3" w:rsidRPr="00003364">
        <w:rPr>
          <w:rFonts w:ascii="Calibri" w:hAnsi="Calibri"/>
          <w:b/>
          <w:sz w:val="22"/>
        </w:rPr>
        <w:t xml:space="preserve">rovision </w:t>
      </w:r>
      <w:r w:rsidRPr="00003364">
        <w:rPr>
          <w:rFonts w:ascii="Calibri" w:hAnsi="Calibri"/>
          <w:b/>
          <w:sz w:val="22"/>
        </w:rPr>
        <w:t xml:space="preserve">of </w:t>
      </w:r>
      <w:r w:rsidR="00801CA3">
        <w:rPr>
          <w:rFonts w:ascii="Calibri" w:hAnsi="Calibri"/>
          <w:b/>
          <w:sz w:val="22"/>
        </w:rPr>
        <w:t>i</w:t>
      </w:r>
      <w:r w:rsidR="00801CA3" w:rsidRPr="00003364">
        <w:rPr>
          <w:rFonts w:ascii="Calibri" w:hAnsi="Calibri"/>
          <w:b/>
          <w:sz w:val="22"/>
        </w:rPr>
        <w:t xml:space="preserve">nstructional </w:t>
      </w:r>
      <w:r w:rsidR="00801CA3">
        <w:rPr>
          <w:rFonts w:ascii="Calibri" w:hAnsi="Calibri"/>
          <w:b/>
          <w:sz w:val="22"/>
        </w:rPr>
        <w:t>m</w:t>
      </w:r>
      <w:r w:rsidR="00801CA3" w:rsidRPr="00003364">
        <w:rPr>
          <w:rFonts w:ascii="Calibri" w:hAnsi="Calibri"/>
          <w:b/>
          <w:sz w:val="22"/>
        </w:rPr>
        <w:t xml:space="preserve">aterials </w:t>
      </w:r>
      <w:r w:rsidRPr="00003364">
        <w:rPr>
          <w:rFonts w:ascii="Calibri" w:hAnsi="Calibri"/>
          <w:b/>
          <w:sz w:val="22"/>
        </w:rPr>
        <w:t xml:space="preserve">and </w:t>
      </w:r>
      <w:r w:rsidR="00801CA3">
        <w:rPr>
          <w:rFonts w:ascii="Calibri" w:hAnsi="Calibri"/>
          <w:b/>
          <w:sz w:val="22"/>
        </w:rPr>
        <w:t>s</w:t>
      </w:r>
      <w:r w:rsidR="00801CA3" w:rsidRPr="00003364">
        <w:rPr>
          <w:rFonts w:ascii="Calibri" w:hAnsi="Calibri"/>
          <w:b/>
          <w:sz w:val="22"/>
        </w:rPr>
        <w:t>upplies</w:t>
      </w:r>
    </w:p>
    <w:p w14:paraId="68FAAAE1" w14:textId="77777777" w:rsidR="004A339D" w:rsidRDefault="008B0291">
      <w:pPr>
        <w:pStyle w:val="BodyText"/>
        <w:ind w:left="720"/>
        <w:rPr>
          <w:rFonts w:ascii="Calibri" w:hAnsi="Calibri"/>
          <w:sz w:val="22"/>
        </w:rPr>
      </w:pPr>
      <w:r>
        <w:rPr>
          <w:rFonts w:ascii="Calibri" w:hAnsi="Calibri"/>
          <w:sz w:val="22"/>
        </w:rPr>
        <w:t>Each</w:t>
      </w:r>
      <w:r w:rsidR="004A339D" w:rsidRPr="00003364">
        <w:rPr>
          <w:rFonts w:ascii="Calibri" w:hAnsi="Calibri"/>
          <w:sz w:val="22"/>
        </w:rPr>
        <w:t xml:space="preserve"> school district </w:t>
      </w:r>
      <w:r>
        <w:rPr>
          <w:rFonts w:ascii="Calibri" w:hAnsi="Calibri"/>
          <w:sz w:val="22"/>
        </w:rPr>
        <w:t>must</w:t>
      </w:r>
      <w:r w:rsidR="004A339D" w:rsidRPr="00003364">
        <w:rPr>
          <w:rFonts w:ascii="Calibri" w:hAnsi="Calibri"/>
          <w:sz w:val="22"/>
        </w:rPr>
        <w:t xml:space="preserve"> keep on file a statement of the specific policies and procedures adopted by the school district to ensure that textbooks and other instructional materials are provided in </w:t>
      </w:r>
      <w:r>
        <w:rPr>
          <w:rFonts w:ascii="Calibri" w:hAnsi="Calibri"/>
          <w:sz w:val="22"/>
        </w:rPr>
        <w:t xml:space="preserve">Title I-served </w:t>
      </w:r>
      <w:r w:rsidR="004A339D" w:rsidRPr="00003364">
        <w:rPr>
          <w:rFonts w:ascii="Calibri" w:hAnsi="Calibri"/>
          <w:sz w:val="22"/>
        </w:rPr>
        <w:t>schools on a comparable basis to that for non-Title I s</w:t>
      </w:r>
      <w:r w:rsidR="000615F3" w:rsidRPr="00003364">
        <w:rPr>
          <w:rFonts w:ascii="Calibri" w:hAnsi="Calibri"/>
          <w:sz w:val="22"/>
        </w:rPr>
        <w:t>chools in the same grade span.</w:t>
      </w:r>
    </w:p>
    <w:p w14:paraId="737A615C" w14:textId="77777777" w:rsidR="004B35C4" w:rsidRDefault="004B35C4">
      <w:pPr>
        <w:pStyle w:val="BodyText"/>
        <w:ind w:left="720"/>
        <w:rPr>
          <w:rFonts w:ascii="Calibri" w:hAnsi="Calibri"/>
          <w:sz w:val="22"/>
        </w:rPr>
      </w:pPr>
    </w:p>
    <w:p w14:paraId="38F60EA4" w14:textId="77777777" w:rsidR="004A339D" w:rsidRPr="005E7C92" w:rsidRDefault="005E7C92" w:rsidP="005E7C92">
      <w:pPr>
        <w:pStyle w:val="Heading1"/>
        <w:keepLines/>
        <w:spacing w:before="120" w:after="240"/>
        <w:jc w:val="left"/>
        <w:rPr>
          <w:rFonts w:ascii="Arial" w:eastAsia="Calibri" w:hAnsi="Arial" w:cs="Arial"/>
          <w:bCs/>
          <w:sz w:val="28"/>
          <w:szCs w:val="28"/>
        </w:rPr>
      </w:pPr>
      <w:r w:rsidRPr="005E7C92">
        <w:rPr>
          <w:rFonts w:ascii="Arial" w:eastAsia="Calibri" w:hAnsi="Arial" w:cs="Arial"/>
          <w:bCs/>
          <w:sz w:val="28"/>
          <w:szCs w:val="28"/>
        </w:rPr>
        <w:t xml:space="preserve">What are some </w:t>
      </w:r>
      <w:r>
        <w:rPr>
          <w:rFonts w:ascii="Arial" w:eastAsia="Calibri" w:hAnsi="Arial" w:cs="Arial"/>
          <w:bCs/>
          <w:sz w:val="28"/>
          <w:szCs w:val="28"/>
        </w:rPr>
        <w:t xml:space="preserve">key </w:t>
      </w:r>
      <w:r w:rsidRPr="005E7C92">
        <w:rPr>
          <w:rFonts w:ascii="Arial" w:eastAsia="Calibri" w:hAnsi="Arial" w:cs="Arial"/>
          <w:bCs/>
          <w:sz w:val="28"/>
          <w:szCs w:val="28"/>
        </w:rPr>
        <w:t xml:space="preserve">things to keep in mind </w:t>
      </w:r>
      <w:r w:rsidR="00B4131B">
        <w:rPr>
          <w:rFonts w:ascii="Arial" w:eastAsia="Calibri" w:hAnsi="Arial" w:cs="Arial"/>
          <w:bCs/>
          <w:sz w:val="28"/>
          <w:szCs w:val="28"/>
        </w:rPr>
        <w:t>about</w:t>
      </w:r>
      <w:r w:rsidRPr="005E7C92">
        <w:rPr>
          <w:rFonts w:ascii="Arial" w:eastAsia="Calibri" w:hAnsi="Arial" w:cs="Arial"/>
          <w:bCs/>
          <w:sz w:val="28"/>
          <w:szCs w:val="28"/>
        </w:rPr>
        <w:t xml:space="preserve"> comparability?</w:t>
      </w:r>
    </w:p>
    <w:p w14:paraId="529C8C1C" w14:textId="77777777" w:rsidR="004A339D" w:rsidRPr="005E7C92" w:rsidRDefault="005E7C92" w:rsidP="008164D4">
      <w:pPr>
        <w:numPr>
          <w:ilvl w:val="0"/>
          <w:numId w:val="20"/>
        </w:numPr>
        <w:tabs>
          <w:tab w:val="clear" w:pos="720"/>
          <w:tab w:val="num" w:pos="450"/>
        </w:tabs>
        <w:spacing w:after="240"/>
        <w:ind w:left="450" w:hanging="450"/>
        <w:rPr>
          <w:rFonts w:ascii="Calibri" w:hAnsi="Calibri"/>
          <w:b/>
          <w:sz w:val="22"/>
        </w:rPr>
      </w:pPr>
      <w:r w:rsidRPr="005E7C92">
        <w:rPr>
          <w:rFonts w:ascii="Calibri" w:hAnsi="Calibri"/>
          <w:b/>
          <w:sz w:val="22"/>
        </w:rPr>
        <w:t xml:space="preserve">A district may exclude certain state and local funds from </w:t>
      </w:r>
      <w:r w:rsidR="00B4131B">
        <w:rPr>
          <w:rFonts w:ascii="Calibri" w:hAnsi="Calibri"/>
          <w:b/>
          <w:sz w:val="22"/>
        </w:rPr>
        <w:t>its</w:t>
      </w:r>
      <w:r w:rsidRPr="005E7C92">
        <w:rPr>
          <w:rFonts w:ascii="Calibri" w:hAnsi="Calibri"/>
          <w:b/>
          <w:sz w:val="22"/>
        </w:rPr>
        <w:t xml:space="preserve"> comparability demonstration.</w:t>
      </w:r>
    </w:p>
    <w:p w14:paraId="5AB7E28A" w14:textId="5B0E82DD" w:rsidR="005E7C92" w:rsidRDefault="005E7C92" w:rsidP="53262951">
      <w:pPr>
        <w:numPr>
          <w:ilvl w:val="1"/>
          <w:numId w:val="20"/>
        </w:numPr>
        <w:tabs>
          <w:tab w:val="clear" w:pos="1440"/>
          <w:tab w:val="num" w:pos="900"/>
        </w:tabs>
        <w:spacing w:after="240"/>
        <w:ind w:left="900" w:hanging="450"/>
        <w:rPr>
          <w:rFonts w:ascii="Calibri" w:hAnsi="Calibri"/>
          <w:sz w:val="22"/>
          <w:szCs w:val="22"/>
        </w:rPr>
      </w:pPr>
      <w:r w:rsidRPr="53262951">
        <w:rPr>
          <w:rFonts w:ascii="Calibri" w:hAnsi="Calibri"/>
          <w:sz w:val="22"/>
          <w:szCs w:val="22"/>
        </w:rPr>
        <w:t xml:space="preserve">Programs for </w:t>
      </w:r>
      <w:r w:rsidR="00801CA3" w:rsidRPr="53262951">
        <w:rPr>
          <w:rFonts w:ascii="Calibri" w:hAnsi="Calibri"/>
          <w:sz w:val="22"/>
          <w:szCs w:val="22"/>
        </w:rPr>
        <w:t>English learners (EL)</w:t>
      </w:r>
      <w:r w:rsidRPr="53262951">
        <w:rPr>
          <w:rFonts w:ascii="Calibri" w:hAnsi="Calibri"/>
          <w:sz w:val="22"/>
          <w:szCs w:val="22"/>
        </w:rPr>
        <w:t xml:space="preserve"> and/or </w:t>
      </w:r>
      <w:r w:rsidR="00801CA3" w:rsidRPr="53262951">
        <w:rPr>
          <w:rFonts w:ascii="Calibri" w:hAnsi="Calibri"/>
          <w:sz w:val="22"/>
          <w:szCs w:val="22"/>
        </w:rPr>
        <w:t xml:space="preserve">students with </w:t>
      </w:r>
      <w:r w:rsidRPr="53262951">
        <w:rPr>
          <w:rFonts w:ascii="Calibri" w:hAnsi="Calibri"/>
          <w:sz w:val="22"/>
          <w:szCs w:val="22"/>
        </w:rPr>
        <w:t>disabilities</w:t>
      </w:r>
      <w:r>
        <w:br/>
      </w:r>
      <w:r>
        <w:br/>
      </w:r>
      <w:r w:rsidRPr="53262951">
        <w:rPr>
          <w:rFonts w:ascii="Calibri" w:hAnsi="Calibri"/>
          <w:sz w:val="22"/>
          <w:szCs w:val="22"/>
        </w:rPr>
        <w:t xml:space="preserve">A school district may exclude state and local funds expended for (1) </w:t>
      </w:r>
      <w:r w:rsidR="00B837F9" w:rsidRPr="53262951">
        <w:rPr>
          <w:rFonts w:ascii="Calibri" w:hAnsi="Calibri"/>
          <w:sz w:val="22"/>
          <w:szCs w:val="22"/>
        </w:rPr>
        <w:t>language</w:t>
      </w:r>
      <w:r w:rsidRPr="53262951">
        <w:rPr>
          <w:rFonts w:ascii="Calibri" w:hAnsi="Calibri"/>
          <w:sz w:val="22"/>
          <w:szCs w:val="22"/>
        </w:rPr>
        <w:t xml:space="preserve"> education for </w:t>
      </w:r>
      <w:r w:rsidR="00801CA3" w:rsidRPr="53262951">
        <w:rPr>
          <w:rFonts w:ascii="Calibri" w:hAnsi="Calibri"/>
          <w:sz w:val="22"/>
          <w:szCs w:val="22"/>
        </w:rPr>
        <w:t>ELL</w:t>
      </w:r>
      <w:r w:rsidRPr="53262951">
        <w:rPr>
          <w:rFonts w:ascii="Calibri" w:hAnsi="Calibri"/>
          <w:sz w:val="22"/>
          <w:szCs w:val="22"/>
        </w:rPr>
        <w:t xml:space="preserve"> students, and (2) excess costs of providing services to students with disabilities, as determined by the school district.</w:t>
      </w:r>
      <w:r w:rsidR="00811390" w:rsidRPr="53262951">
        <w:rPr>
          <w:rFonts w:ascii="Calibri" w:hAnsi="Calibri"/>
          <w:sz w:val="22"/>
          <w:szCs w:val="22"/>
        </w:rPr>
        <w:t xml:space="preserve"> Districts choosing to exclude such expenditures must do so consistently for schools across the school district.</w:t>
      </w:r>
      <w:r>
        <w:br/>
      </w:r>
      <w:r>
        <w:br/>
      </w:r>
      <w:r w:rsidRPr="53262951">
        <w:rPr>
          <w:rFonts w:ascii="Calibri" w:hAnsi="Calibri"/>
          <w:sz w:val="22"/>
          <w:szCs w:val="22"/>
        </w:rPr>
        <w:t xml:space="preserve">School districts that choose to include such expenditures in their comparability determinations should count their </w:t>
      </w:r>
      <w:r w:rsidR="00801CA3" w:rsidRPr="53262951">
        <w:rPr>
          <w:rFonts w:ascii="Calibri" w:hAnsi="Calibri"/>
          <w:sz w:val="22"/>
          <w:szCs w:val="22"/>
        </w:rPr>
        <w:t xml:space="preserve">EL </w:t>
      </w:r>
      <w:r w:rsidR="00B4131B" w:rsidRPr="53262951">
        <w:rPr>
          <w:rFonts w:ascii="Calibri" w:hAnsi="Calibri"/>
          <w:sz w:val="22"/>
          <w:szCs w:val="22"/>
        </w:rPr>
        <w:t xml:space="preserve">students </w:t>
      </w:r>
      <w:r w:rsidR="00B837F9" w:rsidRPr="53262951">
        <w:rPr>
          <w:rFonts w:ascii="Calibri" w:hAnsi="Calibri"/>
          <w:sz w:val="22"/>
          <w:szCs w:val="22"/>
        </w:rPr>
        <w:t xml:space="preserve">and/or </w:t>
      </w:r>
      <w:r w:rsidRPr="53262951">
        <w:rPr>
          <w:rFonts w:ascii="Calibri" w:hAnsi="Calibri"/>
          <w:sz w:val="22"/>
          <w:szCs w:val="22"/>
        </w:rPr>
        <w:t xml:space="preserve">students </w:t>
      </w:r>
      <w:r w:rsidR="00B837F9" w:rsidRPr="53262951">
        <w:rPr>
          <w:rFonts w:ascii="Calibri" w:hAnsi="Calibri"/>
          <w:sz w:val="22"/>
          <w:szCs w:val="22"/>
        </w:rPr>
        <w:t xml:space="preserve">with </w:t>
      </w:r>
      <w:r w:rsidRPr="53262951">
        <w:rPr>
          <w:rFonts w:ascii="Calibri" w:hAnsi="Calibri"/>
          <w:sz w:val="22"/>
          <w:szCs w:val="22"/>
        </w:rPr>
        <w:t xml:space="preserve">disabilities in the enrollments of the schools they attend. </w:t>
      </w:r>
      <w:r w:rsidR="00811390" w:rsidRPr="53262951">
        <w:rPr>
          <w:rFonts w:ascii="Calibri" w:hAnsi="Calibri"/>
          <w:sz w:val="22"/>
          <w:szCs w:val="22"/>
        </w:rPr>
        <w:t>Districts choosing</w:t>
      </w:r>
      <w:r w:rsidRPr="53262951">
        <w:rPr>
          <w:rFonts w:ascii="Calibri" w:hAnsi="Calibri"/>
          <w:sz w:val="22"/>
          <w:szCs w:val="22"/>
        </w:rPr>
        <w:t xml:space="preserve"> to include such expenditures must do so consistently for schools across the school district.</w:t>
      </w:r>
    </w:p>
    <w:p w14:paraId="5B7AB633" w14:textId="77777777" w:rsidR="00B837F9" w:rsidRDefault="00B837F9" w:rsidP="008164D4">
      <w:pPr>
        <w:numPr>
          <w:ilvl w:val="1"/>
          <w:numId w:val="20"/>
        </w:numPr>
        <w:tabs>
          <w:tab w:val="clear" w:pos="1440"/>
          <w:tab w:val="num" w:pos="900"/>
        </w:tabs>
        <w:spacing w:after="240"/>
        <w:ind w:left="900" w:hanging="450"/>
        <w:rPr>
          <w:rFonts w:ascii="Calibri" w:hAnsi="Calibri"/>
          <w:sz w:val="22"/>
        </w:rPr>
      </w:pPr>
      <w:r w:rsidRPr="00B837F9">
        <w:rPr>
          <w:rFonts w:ascii="Calibri" w:hAnsi="Calibri"/>
          <w:sz w:val="22"/>
        </w:rPr>
        <w:t>S</w:t>
      </w:r>
      <w:r>
        <w:rPr>
          <w:rFonts w:ascii="Calibri" w:hAnsi="Calibri"/>
          <w:sz w:val="22"/>
        </w:rPr>
        <w:t>tate or local s</w:t>
      </w:r>
      <w:r w:rsidRPr="00B837F9">
        <w:rPr>
          <w:rFonts w:ascii="Calibri" w:hAnsi="Calibri"/>
          <w:sz w:val="22"/>
        </w:rPr>
        <w:t>upplemental programs for educationally at-risk students</w:t>
      </w:r>
      <w:r>
        <w:rPr>
          <w:rFonts w:ascii="Calibri" w:hAnsi="Calibri"/>
          <w:sz w:val="22"/>
        </w:rPr>
        <w:br/>
      </w:r>
      <w:r w:rsidRPr="008164D4">
        <w:rPr>
          <w:rFonts w:ascii="Calibri" w:hAnsi="Calibri"/>
          <w:sz w:val="16"/>
          <w:szCs w:val="16"/>
        </w:rPr>
        <w:br/>
      </w:r>
      <w:r w:rsidRPr="00B837F9">
        <w:rPr>
          <w:rFonts w:ascii="Calibri" w:hAnsi="Calibri"/>
          <w:sz w:val="22"/>
        </w:rPr>
        <w:t>The Title I statute also allows a school district to exclude, for comparability purposes, supplemental state or local funds expended in any school attendance area or school as long as the expenditures are for programs that meet the intent and purposes of Title I</w:t>
      </w:r>
      <w:r>
        <w:rPr>
          <w:rFonts w:ascii="Calibri" w:hAnsi="Calibri"/>
          <w:sz w:val="22"/>
        </w:rPr>
        <w:t>, Part A</w:t>
      </w:r>
      <w:r w:rsidRPr="00B837F9">
        <w:rPr>
          <w:rFonts w:ascii="Calibri" w:hAnsi="Calibri"/>
          <w:sz w:val="22"/>
        </w:rPr>
        <w:t>. In the case of a target</w:t>
      </w:r>
      <w:r w:rsidR="00801CA3">
        <w:rPr>
          <w:rFonts w:ascii="Calibri" w:hAnsi="Calibri"/>
          <w:sz w:val="22"/>
        </w:rPr>
        <w:t>ed</w:t>
      </w:r>
      <w:r w:rsidRPr="00B837F9">
        <w:rPr>
          <w:rFonts w:ascii="Calibri" w:hAnsi="Calibri"/>
          <w:sz w:val="22"/>
        </w:rPr>
        <w:t xml:space="preserve"> assistance-like school, a supplemental program meets the intent and purpose of Title I if it serves only children who are failing, or most at risk of failing, to meet the state’s student performance standards; provides supplementary assistance designed to meet the special educational needs of the children who are participating in the program to support their achievement toward meeting the state’s student performance standards; and uses the state’s system of assessment to review the effectiveness of the program.</w:t>
      </w:r>
      <w:r>
        <w:rPr>
          <w:rFonts w:ascii="Calibri" w:hAnsi="Calibri"/>
          <w:sz w:val="22"/>
        </w:rPr>
        <w:br/>
      </w:r>
      <w:r w:rsidRPr="008164D4">
        <w:rPr>
          <w:rFonts w:ascii="Calibri" w:hAnsi="Calibri"/>
          <w:sz w:val="16"/>
          <w:szCs w:val="16"/>
        </w:rPr>
        <w:br/>
      </w:r>
      <w:r w:rsidRPr="00B837F9">
        <w:rPr>
          <w:rFonts w:ascii="Calibri" w:hAnsi="Calibri"/>
          <w:sz w:val="22"/>
        </w:rPr>
        <w:t xml:space="preserve">In the case of a schoolwide program-like school, a supplemental program meets the intent </w:t>
      </w:r>
      <w:r w:rsidRPr="00B837F9">
        <w:rPr>
          <w:rFonts w:ascii="Calibri" w:hAnsi="Calibri"/>
          <w:sz w:val="22"/>
        </w:rPr>
        <w:lastRenderedPageBreak/>
        <w:t>and purposes of Title I if it is implemented in a school in which the percentage of children from low-income families is at least 40 percent; is designed to promote schoolwide reform and upgrade the entire educational operation of the school to support students in their achievement toward meeting the state’s student performance standards that all students are expected to meet; is designed to meet the educational needs of all children in the school, particularly the needs of children who are failing, or most at risk of failing, to meet the state’s student performance standards; and uses the state’s system of assessment to review the effectiveness of the program.</w:t>
      </w:r>
    </w:p>
    <w:p w14:paraId="0DACBC37" w14:textId="77777777" w:rsidR="00B8690F" w:rsidRDefault="00B837F9" w:rsidP="008164D4">
      <w:pPr>
        <w:numPr>
          <w:ilvl w:val="0"/>
          <w:numId w:val="20"/>
        </w:numPr>
        <w:tabs>
          <w:tab w:val="clear" w:pos="720"/>
          <w:tab w:val="left" w:pos="450"/>
        </w:tabs>
        <w:spacing w:after="240"/>
        <w:ind w:left="450" w:hanging="450"/>
        <w:rPr>
          <w:rFonts w:ascii="Calibri" w:hAnsi="Calibri"/>
          <w:sz w:val="22"/>
        </w:rPr>
      </w:pPr>
      <w:r w:rsidRPr="00B837F9">
        <w:rPr>
          <w:rFonts w:ascii="Calibri" w:hAnsi="Calibri"/>
          <w:b/>
          <w:sz w:val="22"/>
        </w:rPr>
        <w:t>Districts that “skip” (do not serve) Title I-eligible schools must treat such schools as Title I when determining comparability</w:t>
      </w:r>
      <w:r w:rsidRPr="00B837F9">
        <w:rPr>
          <w:rFonts w:ascii="Calibri" w:hAnsi="Calibri"/>
          <w:b/>
          <w:sz w:val="22"/>
        </w:rPr>
        <w:br/>
      </w:r>
      <w:r w:rsidRPr="00B837F9">
        <w:rPr>
          <w:rFonts w:ascii="Calibri" w:hAnsi="Calibri"/>
          <w:b/>
          <w:sz w:val="22"/>
        </w:rPr>
        <w:br/>
      </w:r>
      <w:r w:rsidRPr="00B837F9">
        <w:rPr>
          <w:rFonts w:ascii="Calibri" w:hAnsi="Calibri"/>
          <w:sz w:val="22"/>
        </w:rPr>
        <w:t xml:space="preserve">Section 1113(b)(D) of </w:t>
      </w:r>
      <w:r w:rsidR="008164D4">
        <w:rPr>
          <w:rFonts w:ascii="Calibri" w:hAnsi="Calibri"/>
          <w:sz w:val="22"/>
        </w:rPr>
        <w:t>ESEA</w:t>
      </w:r>
      <w:r w:rsidRPr="00B837F9">
        <w:rPr>
          <w:rFonts w:ascii="Calibri" w:hAnsi="Calibri"/>
          <w:sz w:val="22"/>
        </w:rPr>
        <w:t xml:space="preserve"> allows a district to “skip” an eligible school attendance area or eligible school that has a higher percentage of children from low-income families if (1) the school meets the comparability requirements; (2) the school is receiving supplemental funds from other state or local sources that are spent according to the requirements of section 1114 or 1115; and (3) the funds expended from such other sources equal or exceed the amount that would have been provided under Title I, Part A.</w:t>
      </w:r>
      <w:r w:rsidR="00B4131B">
        <w:rPr>
          <w:rFonts w:ascii="Calibri" w:hAnsi="Calibri"/>
          <w:sz w:val="22"/>
        </w:rPr>
        <w:br/>
      </w:r>
      <w:r w:rsidRPr="00B4131B">
        <w:rPr>
          <w:rFonts w:ascii="Calibri" w:hAnsi="Calibri"/>
          <w:sz w:val="16"/>
          <w:szCs w:val="16"/>
        </w:rPr>
        <w:br/>
      </w:r>
      <w:r w:rsidRPr="00B837F9">
        <w:rPr>
          <w:rFonts w:ascii="Calibri" w:hAnsi="Calibri"/>
          <w:sz w:val="22"/>
        </w:rPr>
        <w:t>When a school district skips an eligible school with a higher concentration of poverty in order to serve a lower ranked school, the district must include the skipped school as a Title I school when making comparability determinations.</w:t>
      </w:r>
    </w:p>
    <w:p w14:paraId="36BD3CDC" w14:textId="77777777" w:rsidR="00B4131B" w:rsidRPr="00837D11" w:rsidRDefault="00837D11" w:rsidP="00837D11">
      <w:pPr>
        <w:pStyle w:val="Heading1"/>
        <w:keepLines/>
        <w:spacing w:before="120" w:after="240"/>
        <w:jc w:val="left"/>
        <w:rPr>
          <w:rFonts w:ascii="Arial" w:eastAsia="Calibri" w:hAnsi="Arial" w:cs="Arial"/>
          <w:bCs/>
          <w:sz w:val="28"/>
          <w:szCs w:val="28"/>
        </w:rPr>
      </w:pPr>
      <w:r w:rsidRPr="00837D11">
        <w:rPr>
          <w:rFonts w:ascii="Arial" w:eastAsia="Calibri" w:hAnsi="Arial" w:cs="Arial"/>
          <w:bCs/>
          <w:sz w:val="28"/>
          <w:szCs w:val="28"/>
        </w:rPr>
        <w:t>How do I complete this year’s Title I comparability demonstration forms?</w:t>
      </w:r>
    </w:p>
    <w:p w14:paraId="14D48437" w14:textId="57A2E52E" w:rsidR="00837D11" w:rsidRDefault="00837D11" w:rsidP="53262951">
      <w:pPr>
        <w:tabs>
          <w:tab w:val="left" w:pos="450"/>
        </w:tabs>
        <w:spacing w:after="240"/>
        <w:rPr>
          <w:rFonts w:ascii="Calibri" w:hAnsi="Calibri"/>
          <w:sz w:val="22"/>
          <w:szCs w:val="22"/>
        </w:rPr>
      </w:pPr>
      <w:r w:rsidRPr="53262951">
        <w:rPr>
          <w:rFonts w:ascii="Calibri" w:hAnsi="Calibri"/>
          <w:sz w:val="22"/>
          <w:szCs w:val="22"/>
        </w:rPr>
        <w:t xml:space="preserve">Districts demonstrate comparability in student to staff ratios by completing </w:t>
      </w:r>
      <w:r w:rsidR="009730CE" w:rsidRPr="53262951">
        <w:rPr>
          <w:rFonts w:ascii="Calibri" w:hAnsi="Calibri"/>
          <w:sz w:val="22"/>
          <w:szCs w:val="22"/>
        </w:rPr>
        <w:t>comparability forms available on the D</w:t>
      </w:r>
      <w:r w:rsidRPr="53262951">
        <w:rPr>
          <w:rFonts w:ascii="Calibri" w:hAnsi="Calibri"/>
          <w:sz w:val="22"/>
          <w:szCs w:val="22"/>
        </w:rPr>
        <w:t>ESE</w:t>
      </w:r>
      <w:r w:rsidR="009730CE" w:rsidRPr="53262951">
        <w:rPr>
          <w:rFonts w:ascii="Calibri" w:hAnsi="Calibri"/>
          <w:sz w:val="22"/>
          <w:szCs w:val="22"/>
        </w:rPr>
        <w:t xml:space="preserve"> Title I website</w:t>
      </w:r>
      <w:r w:rsidRPr="53262951">
        <w:rPr>
          <w:rFonts w:ascii="Calibri" w:hAnsi="Calibri"/>
          <w:sz w:val="22"/>
          <w:szCs w:val="22"/>
        </w:rPr>
        <w:t>.</w:t>
      </w:r>
    </w:p>
    <w:p w14:paraId="37E0DF9D" w14:textId="77777777" w:rsidR="00B4131B" w:rsidRDefault="001D6695" w:rsidP="00B4131B">
      <w:pPr>
        <w:tabs>
          <w:tab w:val="left" w:pos="450"/>
        </w:tabs>
        <w:spacing w:after="240"/>
        <w:rPr>
          <w:rFonts w:ascii="Calibri" w:hAnsi="Calibri"/>
          <w:sz w:val="22"/>
        </w:rPr>
      </w:pPr>
      <w:r>
        <w:rPr>
          <w:rFonts w:ascii="Calibri" w:hAnsi="Calibri"/>
          <w:sz w:val="22"/>
        </w:rPr>
        <w:t>T</w:t>
      </w:r>
      <w:r w:rsidR="00EA01A6">
        <w:rPr>
          <w:rFonts w:ascii="Calibri" w:hAnsi="Calibri"/>
          <w:sz w:val="22"/>
        </w:rPr>
        <w:t xml:space="preserve">he demonstration comprises </w:t>
      </w:r>
      <w:r w:rsidR="00EA01A6" w:rsidRPr="00801746">
        <w:rPr>
          <w:rFonts w:ascii="Calibri" w:hAnsi="Calibri"/>
          <w:b/>
          <w:sz w:val="22"/>
        </w:rPr>
        <w:t>four basic elements</w:t>
      </w:r>
      <w:r w:rsidR="00EA01A6">
        <w:rPr>
          <w:rFonts w:ascii="Calibri" w:hAnsi="Calibri"/>
          <w:sz w:val="22"/>
        </w:rPr>
        <w:t>:</w:t>
      </w:r>
    </w:p>
    <w:p w14:paraId="48EF5543" w14:textId="77777777" w:rsidR="00EA01A6" w:rsidRDefault="00EA01A6" w:rsidP="006372B7">
      <w:pPr>
        <w:numPr>
          <w:ilvl w:val="0"/>
          <w:numId w:val="21"/>
        </w:numPr>
        <w:pBdr>
          <w:top w:val="single" w:sz="4" w:space="1" w:color="808080"/>
          <w:left w:val="single" w:sz="4" w:space="4" w:color="808080"/>
          <w:bottom w:val="single" w:sz="4" w:space="1" w:color="808080"/>
          <w:right w:val="single" w:sz="4" w:space="4" w:color="808080"/>
        </w:pBdr>
        <w:tabs>
          <w:tab w:val="left" w:pos="450"/>
        </w:tabs>
        <w:spacing w:after="240"/>
        <w:rPr>
          <w:rFonts w:ascii="Calibri" w:hAnsi="Calibri"/>
          <w:sz w:val="22"/>
        </w:rPr>
      </w:pPr>
      <w:r>
        <w:rPr>
          <w:rFonts w:ascii="Calibri" w:hAnsi="Calibri"/>
          <w:sz w:val="22"/>
        </w:rPr>
        <w:t xml:space="preserve">School-level </w:t>
      </w:r>
      <w:r w:rsidR="009D629B">
        <w:rPr>
          <w:rFonts w:ascii="Calibri" w:hAnsi="Calibri"/>
          <w:sz w:val="22"/>
        </w:rPr>
        <w:t>rosters</w:t>
      </w:r>
      <w:r>
        <w:rPr>
          <w:rFonts w:ascii="Calibri" w:hAnsi="Calibri"/>
          <w:sz w:val="22"/>
        </w:rPr>
        <w:t xml:space="preserve"> of state and </w:t>
      </w:r>
      <w:proofErr w:type="gramStart"/>
      <w:r>
        <w:rPr>
          <w:rFonts w:ascii="Calibri" w:hAnsi="Calibri"/>
          <w:sz w:val="22"/>
        </w:rPr>
        <w:t>locally-funded</w:t>
      </w:r>
      <w:proofErr w:type="gramEnd"/>
      <w:r>
        <w:rPr>
          <w:rFonts w:ascii="Calibri" w:hAnsi="Calibri"/>
          <w:sz w:val="22"/>
        </w:rPr>
        <w:t xml:space="preserve"> staff, including names, work assignments, and full-time equivalent (FTE) </w:t>
      </w:r>
      <w:r w:rsidR="00B07854">
        <w:rPr>
          <w:rFonts w:ascii="Calibri" w:hAnsi="Calibri"/>
          <w:sz w:val="22"/>
        </w:rPr>
        <w:t xml:space="preserve">staff </w:t>
      </w:r>
      <w:r>
        <w:rPr>
          <w:rFonts w:ascii="Calibri" w:hAnsi="Calibri"/>
          <w:sz w:val="22"/>
        </w:rPr>
        <w:t xml:space="preserve">calculations, for each school included in the district’s comparability demonstration. These lists </w:t>
      </w:r>
      <w:r w:rsidR="00801746">
        <w:rPr>
          <w:rFonts w:ascii="Calibri" w:hAnsi="Calibri"/>
          <w:sz w:val="22"/>
        </w:rPr>
        <w:t>are used to complete</w:t>
      </w:r>
      <w:r>
        <w:rPr>
          <w:rFonts w:ascii="Calibri" w:hAnsi="Calibri"/>
          <w:sz w:val="22"/>
        </w:rPr>
        <w:t xml:space="preserve"> </w:t>
      </w:r>
      <w:r w:rsidR="00B07854">
        <w:rPr>
          <w:rFonts w:ascii="Calibri" w:hAnsi="Calibri"/>
          <w:sz w:val="22"/>
        </w:rPr>
        <w:t xml:space="preserve">the </w:t>
      </w:r>
      <w:r>
        <w:rPr>
          <w:rFonts w:ascii="Calibri" w:hAnsi="Calibri"/>
          <w:sz w:val="22"/>
        </w:rPr>
        <w:t>school-level comparability calculations</w:t>
      </w:r>
      <w:r w:rsidR="00801746">
        <w:rPr>
          <w:rFonts w:ascii="Calibri" w:hAnsi="Calibri"/>
          <w:sz w:val="22"/>
        </w:rPr>
        <w:t>, and serve as evidence of those calculations</w:t>
      </w:r>
      <w:r>
        <w:rPr>
          <w:rFonts w:ascii="Calibri" w:hAnsi="Calibri"/>
          <w:sz w:val="22"/>
        </w:rPr>
        <w:t>.</w:t>
      </w:r>
    </w:p>
    <w:p w14:paraId="20A6D345" w14:textId="77777777" w:rsidR="00EA01A6" w:rsidRDefault="00EA01A6" w:rsidP="006372B7">
      <w:pPr>
        <w:numPr>
          <w:ilvl w:val="0"/>
          <w:numId w:val="21"/>
        </w:numPr>
        <w:pBdr>
          <w:top w:val="single" w:sz="4" w:space="1" w:color="808080"/>
          <w:left w:val="single" w:sz="4" w:space="4" w:color="808080"/>
          <w:bottom w:val="single" w:sz="4" w:space="1" w:color="808080"/>
          <w:right w:val="single" w:sz="4" w:space="4" w:color="808080"/>
        </w:pBdr>
        <w:tabs>
          <w:tab w:val="left" w:pos="450"/>
        </w:tabs>
        <w:spacing w:after="240"/>
        <w:rPr>
          <w:rFonts w:ascii="Calibri" w:hAnsi="Calibri"/>
          <w:sz w:val="22"/>
        </w:rPr>
      </w:pPr>
      <w:r>
        <w:rPr>
          <w:rFonts w:ascii="Calibri" w:hAnsi="Calibri"/>
          <w:sz w:val="22"/>
        </w:rPr>
        <w:t xml:space="preserve">Lists of Title I and non-Title I schools in the district, identified by name and grade span, and including school enrollment, state and </w:t>
      </w:r>
      <w:proofErr w:type="gramStart"/>
      <w:r>
        <w:rPr>
          <w:rFonts w:ascii="Calibri" w:hAnsi="Calibri"/>
          <w:sz w:val="22"/>
        </w:rPr>
        <w:t>locally-funded</w:t>
      </w:r>
      <w:proofErr w:type="gramEnd"/>
      <w:r>
        <w:rPr>
          <w:rFonts w:ascii="Calibri" w:hAnsi="Calibri"/>
          <w:sz w:val="22"/>
        </w:rPr>
        <w:t xml:space="preserve"> FTE counts, and student to state and locally-funded staff ratios.</w:t>
      </w:r>
      <w:r w:rsidR="00AB6558">
        <w:rPr>
          <w:rFonts w:ascii="Calibri" w:hAnsi="Calibri"/>
          <w:sz w:val="22"/>
        </w:rPr>
        <w:t xml:space="preserve"> These lists </w:t>
      </w:r>
      <w:r w:rsidR="00B07854">
        <w:rPr>
          <w:rFonts w:ascii="Calibri" w:hAnsi="Calibri"/>
          <w:sz w:val="22"/>
        </w:rPr>
        <w:t>identify</w:t>
      </w:r>
      <w:r w:rsidR="00AB6558">
        <w:rPr>
          <w:rFonts w:ascii="Calibri" w:hAnsi="Calibri"/>
          <w:sz w:val="22"/>
        </w:rPr>
        <w:t xml:space="preserve"> schools </w:t>
      </w:r>
      <w:r w:rsidR="00B07854">
        <w:rPr>
          <w:rFonts w:ascii="Calibri" w:hAnsi="Calibri"/>
          <w:sz w:val="22"/>
        </w:rPr>
        <w:t>as</w:t>
      </w:r>
      <w:r w:rsidR="00AB6558">
        <w:rPr>
          <w:rFonts w:ascii="Calibri" w:hAnsi="Calibri"/>
          <w:sz w:val="22"/>
        </w:rPr>
        <w:t xml:space="preserve"> comparable</w:t>
      </w:r>
      <w:r w:rsidR="00B07854">
        <w:rPr>
          <w:rFonts w:ascii="Calibri" w:hAnsi="Calibri"/>
          <w:sz w:val="22"/>
        </w:rPr>
        <w:t xml:space="preserve"> or not comparable</w:t>
      </w:r>
      <w:r w:rsidR="00AB6558">
        <w:rPr>
          <w:rFonts w:ascii="Calibri" w:hAnsi="Calibri"/>
          <w:sz w:val="22"/>
        </w:rPr>
        <w:t>.</w:t>
      </w:r>
    </w:p>
    <w:p w14:paraId="3B03AF12" w14:textId="77777777" w:rsidR="00EA01A6" w:rsidRDefault="00EA01A6" w:rsidP="006372B7">
      <w:pPr>
        <w:numPr>
          <w:ilvl w:val="0"/>
          <w:numId w:val="21"/>
        </w:numPr>
        <w:pBdr>
          <w:top w:val="single" w:sz="4" w:space="1" w:color="808080"/>
          <w:left w:val="single" w:sz="4" w:space="4" w:color="808080"/>
          <w:bottom w:val="single" w:sz="4" w:space="1" w:color="808080"/>
          <w:right w:val="single" w:sz="4" w:space="4" w:color="808080"/>
        </w:pBdr>
        <w:tabs>
          <w:tab w:val="left" w:pos="450"/>
        </w:tabs>
        <w:spacing w:after="240"/>
        <w:rPr>
          <w:rFonts w:ascii="Calibri" w:hAnsi="Calibri"/>
          <w:sz w:val="22"/>
        </w:rPr>
      </w:pPr>
      <w:r>
        <w:rPr>
          <w:rFonts w:ascii="Calibri" w:hAnsi="Calibri"/>
          <w:sz w:val="22"/>
        </w:rPr>
        <w:t xml:space="preserve">Identification of </w:t>
      </w:r>
      <w:r w:rsidR="00BA7B08">
        <w:rPr>
          <w:rFonts w:ascii="Calibri" w:hAnsi="Calibri"/>
          <w:sz w:val="22"/>
        </w:rPr>
        <w:t xml:space="preserve">the </w:t>
      </w:r>
      <w:r>
        <w:rPr>
          <w:rFonts w:ascii="Calibri" w:hAnsi="Calibri"/>
          <w:sz w:val="22"/>
        </w:rPr>
        <w:t xml:space="preserve">schools that </w:t>
      </w:r>
      <w:r w:rsidR="00AB6558">
        <w:rPr>
          <w:rFonts w:ascii="Calibri" w:hAnsi="Calibri"/>
          <w:sz w:val="22"/>
        </w:rPr>
        <w:t>are being</w:t>
      </w:r>
      <w:r>
        <w:rPr>
          <w:rFonts w:ascii="Calibri" w:hAnsi="Calibri"/>
          <w:sz w:val="22"/>
        </w:rPr>
        <w:t xml:space="preserve"> compared. In most cases, Title I and non-Title I schools serving the same grade spans will be compared. When all schools with</w:t>
      </w:r>
      <w:r w:rsidR="00AC1194">
        <w:rPr>
          <w:rFonts w:ascii="Calibri" w:hAnsi="Calibri"/>
          <w:sz w:val="22"/>
        </w:rPr>
        <w:t>in</w:t>
      </w:r>
      <w:r>
        <w:rPr>
          <w:rFonts w:ascii="Calibri" w:hAnsi="Calibri"/>
          <w:sz w:val="22"/>
        </w:rPr>
        <w:t xml:space="preserve"> the same grade span</w:t>
      </w:r>
      <w:r w:rsidR="00AC1194">
        <w:rPr>
          <w:rFonts w:ascii="Calibri" w:hAnsi="Calibri"/>
          <w:sz w:val="22"/>
        </w:rPr>
        <w:t xml:space="preserve"> are Title I, schools are compared based on higher/lower poverty percentages.</w:t>
      </w:r>
    </w:p>
    <w:p w14:paraId="17601770" w14:textId="77777777" w:rsidR="00AB6558" w:rsidRDefault="00AB6558" w:rsidP="006372B7">
      <w:pPr>
        <w:numPr>
          <w:ilvl w:val="0"/>
          <w:numId w:val="21"/>
        </w:numPr>
        <w:pBdr>
          <w:top w:val="single" w:sz="4" w:space="1" w:color="808080"/>
          <w:left w:val="single" w:sz="4" w:space="4" w:color="808080"/>
          <w:bottom w:val="single" w:sz="4" w:space="1" w:color="808080"/>
          <w:right w:val="single" w:sz="4" w:space="4" w:color="808080"/>
        </w:pBdr>
        <w:tabs>
          <w:tab w:val="left" w:pos="450"/>
        </w:tabs>
        <w:spacing w:after="360"/>
        <w:rPr>
          <w:rFonts w:ascii="Calibri" w:hAnsi="Calibri"/>
          <w:sz w:val="22"/>
        </w:rPr>
      </w:pPr>
      <w:r>
        <w:rPr>
          <w:rFonts w:ascii="Calibri" w:hAnsi="Calibri"/>
          <w:sz w:val="22"/>
        </w:rPr>
        <w:t>A summary of all schools in the district, Title I or non-Title I, organized by grade span, documenting the name and position of the individual who completed the district’s Title I comparability demonstration.</w:t>
      </w:r>
    </w:p>
    <w:p w14:paraId="5C6FEB9E" w14:textId="77777777" w:rsidR="00C15335" w:rsidRDefault="00C15335" w:rsidP="00E13DF8">
      <w:pPr>
        <w:pStyle w:val="Heading1"/>
        <w:keepLines/>
        <w:spacing w:before="120" w:after="240"/>
        <w:jc w:val="left"/>
        <w:rPr>
          <w:rFonts w:ascii="Arial" w:eastAsia="Calibri" w:hAnsi="Arial" w:cs="Arial"/>
          <w:bCs/>
          <w:sz w:val="28"/>
          <w:szCs w:val="28"/>
        </w:rPr>
      </w:pPr>
    </w:p>
    <w:p w14:paraId="4CAEF4A0" w14:textId="77777777" w:rsidR="00C15335" w:rsidRPr="00C15335" w:rsidRDefault="00C15335" w:rsidP="00C15335">
      <w:pPr>
        <w:rPr>
          <w:rFonts w:eastAsia="Calibri"/>
        </w:rPr>
      </w:pPr>
    </w:p>
    <w:p w14:paraId="6EEB6B00" w14:textId="77777777" w:rsidR="00C40003" w:rsidRPr="00E13DF8" w:rsidRDefault="00C40003" w:rsidP="00E13DF8">
      <w:pPr>
        <w:pStyle w:val="Heading1"/>
        <w:keepLines/>
        <w:spacing w:before="120" w:after="240"/>
        <w:jc w:val="left"/>
        <w:rPr>
          <w:rFonts w:ascii="Arial" w:eastAsia="Calibri" w:hAnsi="Arial" w:cs="Arial"/>
          <w:bCs/>
          <w:sz w:val="28"/>
          <w:szCs w:val="28"/>
        </w:rPr>
      </w:pPr>
      <w:r w:rsidRPr="00E13DF8">
        <w:rPr>
          <w:rFonts w:ascii="Arial" w:eastAsia="Calibri" w:hAnsi="Arial" w:cs="Arial"/>
          <w:bCs/>
          <w:sz w:val="28"/>
          <w:szCs w:val="28"/>
        </w:rPr>
        <w:lastRenderedPageBreak/>
        <w:t>What are the statutory provisions behind the Title I comparability requirements?</w:t>
      </w:r>
    </w:p>
    <w:p w14:paraId="5874C6C6" w14:textId="63CD23D7" w:rsidR="00C40003" w:rsidRPr="00C40003" w:rsidRDefault="00C603B1" w:rsidP="53262951">
      <w:pPr>
        <w:rPr>
          <w:rFonts w:ascii="Calibri" w:hAnsi="Calibri"/>
          <w:b/>
          <w:bCs/>
          <w:sz w:val="24"/>
          <w:szCs w:val="24"/>
        </w:rPr>
      </w:pPr>
      <w:r w:rsidRPr="53262951">
        <w:rPr>
          <w:rFonts w:ascii="Calibri" w:hAnsi="Calibri"/>
          <w:b/>
          <w:bCs/>
          <w:sz w:val="24"/>
          <w:szCs w:val="24"/>
        </w:rPr>
        <w:t>ESEA</w:t>
      </w:r>
      <w:r w:rsidR="00C40003" w:rsidRPr="53262951">
        <w:rPr>
          <w:rFonts w:ascii="Calibri" w:hAnsi="Calibri"/>
          <w:b/>
          <w:bCs/>
          <w:sz w:val="24"/>
          <w:szCs w:val="24"/>
        </w:rPr>
        <w:t xml:space="preserve"> SECTION 1118(c-d). </w:t>
      </w:r>
    </w:p>
    <w:p w14:paraId="4D0E9435" w14:textId="3D3709F6" w:rsidR="00C40003" w:rsidRDefault="53262951" w:rsidP="53262951">
      <w:pPr>
        <w:rPr>
          <w:rFonts w:ascii="Calibri" w:eastAsia="Calibri" w:hAnsi="Calibri" w:cs="Calibri"/>
          <w:sz w:val="22"/>
          <w:szCs w:val="22"/>
        </w:rPr>
      </w:pPr>
      <w:r w:rsidRPr="53262951">
        <w:rPr>
          <w:rFonts w:ascii="Calibri" w:eastAsia="Calibri" w:hAnsi="Calibri" w:cs="Calibri"/>
          <w:sz w:val="22"/>
          <w:szCs w:val="22"/>
        </w:rPr>
        <w:t xml:space="preserve">(c) COMPARABILITY OF SERVICES.— </w:t>
      </w:r>
    </w:p>
    <w:p w14:paraId="3613BAF6" w14:textId="587FA4B3" w:rsidR="00C40003" w:rsidRDefault="53262951" w:rsidP="53262951">
      <w:pPr>
        <w:ind w:firstLine="720"/>
        <w:rPr>
          <w:rFonts w:ascii="Calibri" w:eastAsia="Calibri" w:hAnsi="Calibri" w:cs="Calibri"/>
          <w:sz w:val="22"/>
          <w:szCs w:val="22"/>
        </w:rPr>
      </w:pPr>
      <w:r w:rsidRPr="53262951">
        <w:rPr>
          <w:rFonts w:ascii="Calibri" w:eastAsia="Calibri" w:hAnsi="Calibri" w:cs="Calibri"/>
          <w:sz w:val="22"/>
          <w:szCs w:val="22"/>
        </w:rPr>
        <w:t xml:space="preserve">(1) IN GENERAL.— </w:t>
      </w:r>
    </w:p>
    <w:p w14:paraId="4E32A9A9" w14:textId="14E5BC53" w:rsidR="00C40003" w:rsidRDefault="53262951" w:rsidP="53262951">
      <w:pPr>
        <w:ind w:left="720" w:firstLine="720"/>
        <w:rPr>
          <w:rFonts w:ascii="Calibri" w:eastAsia="Calibri" w:hAnsi="Calibri" w:cs="Calibri"/>
          <w:sz w:val="22"/>
          <w:szCs w:val="22"/>
        </w:rPr>
      </w:pPr>
      <w:r w:rsidRPr="53262951">
        <w:rPr>
          <w:rFonts w:ascii="Calibri" w:eastAsia="Calibri" w:hAnsi="Calibri" w:cs="Calibri"/>
          <w:sz w:val="22"/>
          <w:szCs w:val="22"/>
        </w:rPr>
        <w:t xml:space="preserve">(A) COMPARABLE SERVICES.—Except as provided in paragraphs (4) and (5), a local educational agency may receive funds under this part only if State and local funds will be used in schools served under this part to provide services that, taken as a whole, are at least comparable to services in schools that are not receiving funds under this part. </w:t>
      </w:r>
    </w:p>
    <w:p w14:paraId="46627CB7" w14:textId="7A9B73F1" w:rsidR="00C40003" w:rsidRDefault="53262951" w:rsidP="53262951">
      <w:pPr>
        <w:ind w:left="720" w:firstLine="720"/>
        <w:rPr>
          <w:rFonts w:ascii="Calibri" w:eastAsia="Calibri" w:hAnsi="Calibri" w:cs="Calibri"/>
          <w:sz w:val="22"/>
          <w:szCs w:val="22"/>
        </w:rPr>
      </w:pPr>
      <w:r w:rsidRPr="53262951">
        <w:rPr>
          <w:rFonts w:ascii="Calibri" w:eastAsia="Calibri" w:hAnsi="Calibri" w:cs="Calibri"/>
          <w:sz w:val="22"/>
          <w:szCs w:val="22"/>
        </w:rPr>
        <w:t xml:space="preserve">(B) SUBSTANTIALLY COMPARABLE SERVICES.—If the local educational agency is serving all of such agency’s schools under this part, such agency may receive funds under this part only if such agency will use State and local funds to provide services that, taken as a whole, are substantially comparable in each school. </w:t>
      </w:r>
    </w:p>
    <w:p w14:paraId="50207202" w14:textId="630C0EF0" w:rsidR="00C40003" w:rsidRDefault="53262951" w:rsidP="53262951">
      <w:pPr>
        <w:ind w:left="720" w:firstLine="720"/>
        <w:rPr>
          <w:rFonts w:ascii="Calibri" w:eastAsia="Calibri" w:hAnsi="Calibri" w:cs="Calibri"/>
          <w:sz w:val="22"/>
          <w:szCs w:val="22"/>
        </w:rPr>
      </w:pPr>
      <w:r w:rsidRPr="53262951">
        <w:rPr>
          <w:rFonts w:ascii="Calibri" w:eastAsia="Calibri" w:hAnsi="Calibri" w:cs="Calibri"/>
          <w:sz w:val="22"/>
          <w:szCs w:val="22"/>
        </w:rPr>
        <w:t xml:space="preserve">(C) BASIS.—A local educational agency may meet the requirements of subparagraphs (A) and (B) on a </w:t>
      </w:r>
      <w:proofErr w:type="spellStart"/>
      <w:r w:rsidRPr="53262951">
        <w:rPr>
          <w:rFonts w:ascii="Calibri" w:eastAsia="Calibri" w:hAnsi="Calibri" w:cs="Calibri"/>
          <w:sz w:val="22"/>
          <w:szCs w:val="22"/>
        </w:rPr>
        <w:t>gradespan</w:t>
      </w:r>
      <w:proofErr w:type="spellEnd"/>
      <w:r w:rsidRPr="53262951">
        <w:rPr>
          <w:rFonts w:ascii="Calibri" w:eastAsia="Calibri" w:hAnsi="Calibri" w:cs="Calibri"/>
          <w:sz w:val="22"/>
          <w:szCs w:val="22"/>
        </w:rPr>
        <w:t xml:space="preserve"> by grade-span basis or a school-by-school basis. </w:t>
      </w:r>
    </w:p>
    <w:p w14:paraId="188A5EEF" w14:textId="5E7B7D22" w:rsidR="00C40003" w:rsidRDefault="53262951" w:rsidP="53262951">
      <w:pPr>
        <w:ind w:left="720"/>
        <w:rPr>
          <w:rFonts w:ascii="Calibri" w:eastAsia="Calibri" w:hAnsi="Calibri" w:cs="Calibri"/>
          <w:sz w:val="22"/>
          <w:szCs w:val="22"/>
        </w:rPr>
      </w:pPr>
      <w:r w:rsidRPr="53262951">
        <w:rPr>
          <w:rFonts w:ascii="Calibri" w:eastAsia="Calibri" w:hAnsi="Calibri" w:cs="Calibri"/>
          <w:sz w:val="22"/>
          <w:szCs w:val="22"/>
        </w:rPr>
        <w:t xml:space="preserve">(2) WRITTEN ASSURANCE.— </w:t>
      </w:r>
    </w:p>
    <w:p w14:paraId="6C25C015" w14:textId="7566CA64" w:rsidR="00C40003" w:rsidRDefault="53262951" w:rsidP="53262951">
      <w:pPr>
        <w:ind w:left="720" w:firstLine="720"/>
        <w:rPr>
          <w:rFonts w:ascii="Calibri" w:eastAsia="Calibri" w:hAnsi="Calibri" w:cs="Calibri"/>
          <w:sz w:val="22"/>
          <w:szCs w:val="22"/>
        </w:rPr>
      </w:pPr>
      <w:r w:rsidRPr="53262951">
        <w:rPr>
          <w:rFonts w:ascii="Calibri" w:eastAsia="Calibri" w:hAnsi="Calibri" w:cs="Calibri"/>
          <w:sz w:val="22"/>
          <w:szCs w:val="22"/>
        </w:rPr>
        <w:t xml:space="preserve">(A) EQUIVALENCE.—A local educational agency shall be considered to have met the requirements of paragraph (1) if such agency has filed with the State educational agency a written assurance that such agency has established and implemented— </w:t>
      </w:r>
    </w:p>
    <w:p w14:paraId="7C0EB159" w14:textId="6083D20C" w:rsidR="00C40003" w:rsidRDefault="53262951" w:rsidP="53262951">
      <w:pPr>
        <w:ind w:left="1440" w:firstLine="720"/>
        <w:rPr>
          <w:rFonts w:ascii="Calibri" w:eastAsia="Calibri" w:hAnsi="Calibri" w:cs="Calibri"/>
          <w:sz w:val="22"/>
          <w:szCs w:val="22"/>
        </w:rPr>
      </w:pPr>
      <w:r w:rsidRPr="53262951">
        <w:rPr>
          <w:rFonts w:ascii="Calibri" w:eastAsia="Calibri" w:hAnsi="Calibri" w:cs="Calibri"/>
          <w:sz w:val="22"/>
          <w:szCs w:val="22"/>
        </w:rPr>
        <w:t xml:space="preserve">(i) a local educational agency-wide salary </w:t>
      </w:r>
      <w:proofErr w:type="gramStart"/>
      <w:r w:rsidRPr="53262951">
        <w:rPr>
          <w:rFonts w:ascii="Calibri" w:eastAsia="Calibri" w:hAnsi="Calibri" w:cs="Calibri"/>
          <w:sz w:val="22"/>
          <w:szCs w:val="22"/>
        </w:rPr>
        <w:t>schedule;</w:t>
      </w:r>
      <w:proofErr w:type="gramEnd"/>
      <w:r w:rsidRPr="53262951">
        <w:rPr>
          <w:rFonts w:ascii="Calibri" w:eastAsia="Calibri" w:hAnsi="Calibri" w:cs="Calibri"/>
          <w:sz w:val="22"/>
          <w:szCs w:val="22"/>
        </w:rPr>
        <w:t xml:space="preserve"> </w:t>
      </w:r>
    </w:p>
    <w:p w14:paraId="55663DF9" w14:textId="6146ADB5" w:rsidR="00C40003" w:rsidRDefault="53262951" w:rsidP="53262951">
      <w:pPr>
        <w:ind w:left="1440" w:firstLine="720"/>
        <w:rPr>
          <w:rFonts w:ascii="Calibri" w:eastAsia="Calibri" w:hAnsi="Calibri" w:cs="Calibri"/>
          <w:sz w:val="22"/>
          <w:szCs w:val="22"/>
        </w:rPr>
      </w:pPr>
      <w:r w:rsidRPr="53262951">
        <w:rPr>
          <w:rFonts w:ascii="Calibri" w:eastAsia="Calibri" w:hAnsi="Calibri" w:cs="Calibri"/>
          <w:sz w:val="22"/>
          <w:szCs w:val="22"/>
        </w:rPr>
        <w:t xml:space="preserve">(ii) a policy to ensure equivalence among schools in teachers, administrators, and other staff; and (iii) a policy to ensure equivalence among schools in the provision of curriculum materials and instructional supplies. </w:t>
      </w:r>
    </w:p>
    <w:p w14:paraId="7AFDFA90" w14:textId="2113F306" w:rsidR="00C40003" w:rsidRDefault="53262951" w:rsidP="53262951">
      <w:pPr>
        <w:ind w:left="1440"/>
        <w:rPr>
          <w:rFonts w:ascii="Calibri" w:eastAsia="Calibri" w:hAnsi="Calibri" w:cs="Calibri"/>
          <w:sz w:val="22"/>
          <w:szCs w:val="22"/>
        </w:rPr>
      </w:pPr>
      <w:r w:rsidRPr="53262951">
        <w:rPr>
          <w:rFonts w:ascii="Calibri" w:eastAsia="Calibri" w:hAnsi="Calibri" w:cs="Calibri"/>
          <w:sz w:val="22"/>
          <w:szCs w:val="22"/>
        </w:rPr>
        <w:t xml:space="preserve">(B) DETERMINATIONS.—For the purpose of this subsection, in the determination of expenditures per pupil from State and local funds, or instructional salaries per pupil from State and local funds, staff salary differentials for years of employment shall not be included in such determinations. </w:t>
      </w:r>
    </w:p>
    <w:p w14:paraId="34A5CF9B" w14:textId="01199125" w:rsidR="00C40003" w:rsidRDefault="53262951" w:rsidP="53262951">
      <w:pPr>
        <w:ind w:left="1440"/>
        <w:rPr>
          <w:rFonts w:ascii="Calibri" w:eastAsia="Calibri" w:hAnsi="Calibri" w:cs="Calibri"/>
          <w:sz w:val="22"/>
          <w:szCs w:val="22"/>
        </w:rPr>
      </w:pPr>
      <w:r w:rsidRPr="53262951">
        <w:rPr>
          <w:rFonts w:ascii="Calibri" w:eastAsia="Calibri" w:hAnsi="Calibri" w:cs="Calibri"/>
          <w:sz w:val="22"/>
          <w:szCs w:val="22"/>
        </w:rPr>
        <w:t xml:space="preserve">(C) EXCLUSIONS.—A local educational agency need not include unpredictable changes in student enrollment or personnel assignments that occur after the beginning of a school year in determining comparability of services under this subsection. </w:t>
      </w:r>
    </w:p>
    <w:p w14:paraId="4897236C" w14:textId="0072773B" w:rsidR="00C40003" w:rsidRDefault="53262951" w:rsidP="53262951">
      <w:pPr>
        <w:ind w:left="720"/>
        <w:rPr>
          <w:rFonts w:ascii="Calibri" w:eastAsia="Calibri" w:hAnsi="Calibri" w:cs="Calibri"/>
          <w:sz w:val="22"/>
          <w:szCs w:val="22"/>
        </w:rPr>
      </w:pPr>
      <w:r w:rsidRPr="53262951">
        <w:rPr>
          <w:rFonts w:ascii="Calibri" w:eastAsia="Calibri" w:hAnsi="Calibri" w:cs="Calibri"/>
          <w:sz w:val="22"/>
          <w:szCs w:val="22"/>
        </w:rPr>
        <w:t xml:space="preserve">(3) PROCEDURES AND RECORDS.—Each local educational agency assisted under this part shall— </w:t>
      </w:r>
      <w:r w:rsidR="00C40003">
        <w:tab/>
      </w:r>
      <w:r w:rsidRPr="53262951">
        <w:rPr>
          <w:rFonts w:ascii="Calibri" w:eastAsia="Calibri" w:hAnsi="Calibri" w:cs="Calibri"/>
          <w:sz w:val="22"/>
          <w:szCs w:val="22"/>
        </w:rPr>
        <w:t xml:space="preserve">(A) develop procedures for compliance with this subsection; and </w:t>
      </w:r>
    </w:p>
    <w:p w14:paraId="3976338C" w14:textId="669F6659" w:rsidR="00C40003" w:rsidRDefault="53262951" w:rsidP="53262951">
      <w:pPr>
        <w:ind w:left="720" w:firstLine="720"/>
        <w:rPr>
          <w:rFonts w:ascii="Calibri" w:eastAsia="Calibri" w:hAnsi="Calibri" w:cs="Calibri"/>
          <w:sz w:val="22"/>
          <w:szCs w:val="22"/>
        </w:rPr>
      </w:pPr>
      <w:r w:rsidRPr="53262951">
        <w:rPr>
          <w:rFonts w:ascii="Calibri" w:eastAsia="Calibri" w:hAnsi="Calibri" w:cs="Calibri"/>
          <w:sz w:val="22"/>
          <w:szCs w:val="22"/>
        </w:rPr>
        <w:t xml:space="preserve">(B) maintain records that are updated biennially documenting such agency’s </w:t>
      </w:r>
      <w:r w:rsidR="00C40003">
        <w:tab/>
      </w:r>
      <w:r w:rsidR="00C40003">
        <w:tab/>
      </w:r>
      <w:r w:rsidRPr="53262951">
        <w:rPr>
          <w:rFonts w:ascii="Calibri" w:eastAsia="Calibri" w:hAnsi="Calibri" w:cs="Calibri"/>
          <w:sz w:val="22"/>
          <w:szCs w:val="22"/>
        </w:rPr>
        <w:t xml:space="preserve">compliance with this subsection. </w:t>
      </w:r>
    </w:p>
    <w:p w14:paraId="6297500F" w14:textId="1A2533F8" w:rsidR="00C40003" w:rsidRDefault="53262951" w:rsidP="53262951">
      <w:pPr>
        <w:ind w:left="720"/>
        <w:rPr>
          <w:rFonts w:ascii="Calibri" w:eastAsia="Calibri" w:hAnsi="Calibri" w:cs="Calibri"/>
          <w:sz w:val="22"/>
          <w:szCs w:val="22"/>
        </w:rPr>
      </w:pPr>
      <w:r w:rsidRPr="53262951">
        <w:rPr>
          <w:rFonts w:ascii="Calibri" w:eastAsia="Calibri" w:hAnsi="Calibri" w:cs="Calibri"/>
          <w:sz w:val="22"/>
          <w:szCs w:val="22"/>
        </w:rPr>
        <w:t xml:space="preserve">(4) INAPPLICABILITY.—This subsection shall not apply to a local educational agency that does not have more than one building for each grade span. </w:t>
      </w:r>
    </w:p>
    <w:p w14:paraId="1A189DDA" w14:textId="514DBF7F" w:rsidR="00C40003" w:rsidRDefault="53262951" w:rsidP="53262951">
      <w:pPr>
        <w:ind w:left="720"/>
        <w:rPr>
          <w:rFonts w:ascii="Calibri" w:eastAsia="Calibri" w:hAnsi="Calibri" w:cs="Calibri"/>
          <w:sz w:val="22"/>
          <w:szCs w:val="22"/>
        </w:rPr>
      </w:pPr>
      <w:r w:rsidRPr="53262951">
        <w:rPr>
          <w:rFonts w:ascii="Calibri" w:eastAsia="Calibri" w:hAnsi="Calibri" w:cs="Calibri"/>
          <w:sz w:val="22"/>
          <w:szCs w:val="22"/>
        </w:rPr>
        <w:t xml:space="preserve">(5) COMPLIANCE.—For the purpose of determining compliance with paragraph (1), a local educational agency may exclude State and local funds expended for— </w:t>
      </w:r>
    </w:p>
    <w:p w14:paraId="0FE7FF3F" w14:textId="6925EAF5" w:rsidR="00C40003" w:rsidRDefault="53262951" w:rsidP="53262951">
      <w:pPr>
        <w:ind w:left="720" w:firstLine="720"/>
        <w:rPr>
          <w:rFonts w:ascii="Calibri" w:eastAsia="Calibri" w:hAnsi="Calibri" w:cs="Calibri"/>
          <w:sz w:val="22"/>
          <w:szCs w:val="22"/>
        </w:rPr>
      </w:pPr>
      <w:r w:rsidRPr="53262951">
        <w:rPr>
          <w:rFonts w:ascii="Calibri" w:eastAsia="Calibri" w:hAnsi="Calibri" w:cs="Calibri"/>
          <w:sz w:val="22"/>
          <w:szCs w:val="22"/>
        </w:rPr>
        <w:t xml:space="preserve">(A) language instruction educational programs; and </w:t>
      </w:r>
    </w:p>
    <w:p w14:paraId="5FFC358F" w14:textId="5C544DF3" w:rsidR="00C40003" w:rsidRDefault="53262951" w:rsidP="53262951">
      <w:pPr>
        <w:ind w:left="720" w:firstLine="720"/>
        <w:rPr>
          <w:rFonts w:ascii="Calibri" w:eastAsia="Calibri" w:hAnsi="Calibri" w:cs="Calibri"/>
          <w:sz w:val="22"/>
          <w:szCs w:val="22"/>
        </w:rPr>
      </w:pPr>
      <w:r w:rsidRPr="53262951">
        <w:rPr>
          <w:rFonts w:ascii="Calibri" w:eastAsia="Calibri" w:hAnsi="Calibri" w:cs="Calibri"/>
          <w:sz w:val="22"/>
          <w:szCs w:val="22"/>
        </w:rPr>
        <w:t xml:space="preserve">(B) the excess costs of providing services to children with disabilities as determined by the local educational agency. </w:t>
      </w:r>
    </w:p>
    <w:p w14:paraId="12FA89CD" w14:textId="219E3FB3" w:rsidR="00C40003" w:rsidRDefault="53262951" w:rsidP="53262951">
      <w:pPr>
        <w:rPr>
          <w:rFonts w:ascii="Calibri" w:eastAsia="Calibri" w:hAnsi="Calibri" w:cs="Calibri"/>
          <w:sz w:val="22"/>
          <w:szCs w:val="22"/>
        </w:rPr>
      </w:pPr>
      <w:r w:rsidRPr="53262951">
        <w:rPr>
          <w:rFonts w:ascii="Calibri" w:eastAsia="Calibri" w:hAnsi="Calibri" w:cs="Calibri"/>
          <w:sz w:val="22"/>
          <w:szCs w:val="22"/>
        </w:rPr>
        <w:t>(d) EXCLUSION OF FUNDS.—For the purpose of complying with subsections (b) and (c), a State educational agency or local educational agency may exclude supplemental State or local funds expended in any school attendance area or school for programs that meet the intent and purposes of this part.</w:t>
      </w:r>
    </w:p>
    <w:sectPr w:rsidR="00C40003" w:rsidSect="002376B0">
      <w:headerReference w:type="default" r:id="rId14"/>
      <w:footerReference w:type="default" r:id="rId15"/>
      <w:pgSz w:w="12240" w:h="15840" w:code="1"/>
      <w:pgMar w:top="1152" w:right="1440" w:bottom="864"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9B2C14" w14:textId="77777777" w:rsidR="0022019B" w:rsidRDefault="0022019B">
      <w:r>
        <w:separator/>
      </w:r>
    </w:p>
  </w:endnote>
  <w:endnote w:type="continuationSeparator" w:id="0">
    <w:p w14:paraId="7B4D0FB2" w14:textId="77777777" w:rsidR="0022019B" w:rsidRDefault="00220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P MathA">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40"/>
      <w:gridCol w:w="2920"/>
    </w:tblGrid>
    <w:tr w:rsidR="0073453F" w:rsidRPr="0073453F" w14:paraId="2B6A1A50" w14:textId="77777777" w:rsidTr="0073453F">
      <w:tc>
        <w:tcPr>
          <w:tcW w:w="3440" w:type="pct"/>
        </w:tcPr>
        <w:p w14:paraId="458156A1" w14:textId="77777777" w:rsidR="0073453F" w:rsidRPr="0073453F" w:rsidRDefault="0073453F">
          <w:pPr>
            <w:pStyle w:val="Footer"/>
            <w:rPr>
              <w:rFonts w:asciiTheme="minorHAnsi" w:hAnsiTheme="minorHAnsi"/>
            </w:rPr>
          </w:pPr>
          <w:r w:rsidRPr="0073453F">
            <w:rPr>
              <w:rFonts w:asciiTheme="minorHAnsi" w:hAnsiTheme="minorHAnsi"/>
            </w:rPr>
            <w:t>Massachusetts Department of Elementary and Secondary Education</w:t>
          </w:r>
        </w:p>
      </w:tc>
      <w:tc>
        <w:tcPr>
          <w:tcW w:w="1560" w:type="pct"/>
        </w:tcPr>
        <w:p w14:paraId="0DE52932" w14:textId="77777777" w:rsidR="0073453F" w:rsidRPr="0073453F" w:rsidRDefault="0073453F" w:rsidP="0073453F">
          <w:pPr>
            <w:pStyle w:val="Footer"/>
            <w:jc w:val="right"/>
            <w:rPr>
              <w:rFonts w:asciiTheme="minorHAnsi" w:hAnsiTheme="minorHAnsi"/>
            </w:rPr>
          </w:pPr>
          <w:r>
            <w:rPr>
              <w:rFonts w:asciiTheme="minorHAnsi" w:hAnsiTheme="minorHAnsi"/>
            </w:rPr>
            <w:t xml:space="preserve">Page </w:t>
          </w:r>
          <w:r w:rsidR="00475880" w:rsidRPr="0073453F">
            <w:rPr>
              <w:rFonts w:asciiTheme="minorHAnsi" w:hAnsiTheme="minorHAnsi"/>
            </w:rPr>
            <w:fldChar w:fldCharType="begin"/>
          </w:r>
          <w:r w:rsidRPr="0073453F">
            <w:rPr>
              <w:rFonts w:asciiTheme="minorHAnsi" w:hAnsiTheme="minorHAnsi"/>
            </w:rPr>
            <w:instrText xml:space="preserve"> PAGE   \* MERGEFORMAT </w:instrText>
          </w:r>
          <w:r w:rsidR="00475880" w:rsidRPr="0073453F">
            <w:rPr>
              <w:rFonts w:asciiTheme="minorHAnsi" w:hAnsiTheme="minorHAnsi"/>
            </w:rPr>
            <w:fldChar w:fldCharType="separate"/>
          </w:r>
          <w:r w:rsidR="00953465">
            <w:rPr>
              <w:rFonts w:asciiTheme="minorHAnsi" w:hAnsiTheme="minorHAnsi"/>
              <w:noProof/>
            </w:rPr>
            <w:t>1</w:t>
          </w:r>
          <w:r w:rsidR="00475880" w:rsidRPr="0073453F">
            <w:rPr>
              <w:rFonts w:asciiTheme="minorHAnsi" w:hAnsiTheme="minorHAnsi"/>
            </w:rPr>
            <w:fldChar w:fldCharType="end"/>
          </w:r>
        </w:p>
      </w:tc>
    </w:tr>
  </w:tbl>
  <w:p w14:paraId="20803CEA" w14:textId="77777777" w:rsidR="0073453F" w:rsidRDefault="007345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4CAFAC" w14:textId="77777777" w:rsidR="0022019B" w:rsidRDefault="0022019B">
      <w:r>
        <w:separator/>
      </w:r>
    </w:p>
  </w:footnote>
  <w:footnote w:type="continuationSeparator" w:id="0">
    <w:p w14:paraId="1435B532" w14:textId="77777777" w:rsidR="0022019B" w:rsidRDefault="002201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1E0" w:firstRow="1" w:lastRow="1" w:firstColumn="1" w:lastColumn="1" w:noHBand="0" w:noVBand="0"/>
    </w:tblPr>
    <w:tblGrid>
      <w:gridCol w:w="4671"/>
      <w:gridCol w:w="4689"/>
    </w:tblGrid>
    <w:tr w:rsidR="00801CA3" w:rsidRPr="00416149" w14:paraId="08CC343A" w14:textId="77777777">
      <w:tc>
        <w:tcPr>
          <w:tcW w:w="4788" w:type="dxa"/>
        </w:tcPr>
        <w:p w14:paraId="33CF2F9C" w14:textId="77777777" w:rsidR="00801CA3" w:rsidRPr="00416149" w:rsidRDefault="00801CA3" w:rsidP="00EB216C">
          <w:pPr>
            <w:pStyle w:val="Header"/>
            <w:rPr>
              <w:rFonts w:ascii="Calibri" w:hAnsi="Calibri"/>
            </w:rPr>
          </w:pPr>
        </w:p>
      </w:tc>
      <w:tc>
        <w:tcPr>
          <w:tcW w:w="4788" w:type="dxa"/>
        </w:tcPr>
        <w:p w14:paraId="2E62365C" w14:textId="12E67790" w:rsidR="00801CA3" w:rsidRPr="00416149" w:rsidRDefault="0073453F" w:rsidP="001E7BA2">
          <w:pPr>
            <w:pStyle w:val="Header"/>
            <w:jc w:val="right"/>
            <w:rPr>
              <w:rFonts w:ascii="Calibri" w:hAnsi="Calibri"/>
            </w:rPr>
          </w:pPr>
          <w:r>
            <w:rPr>
              <w:rFonts w:ascii="Calibri" w:hAnsi="Calibri"/>
            </w:rPr>
            <w:t xml:space="preserve">Last Updated </w:t>
          </w:r>
          <w:r w:rsidR="009A684B">
            <w:rPr>
              <w:rFonts w:ascii="Calibri" w:hAnsi="Calibri"/>
            </w:rPr>
            <w:t>May</w:t>
          </w:r>
          <w:r w:rsidR="00C15335">
            <w:rPr>
              <w:rFonts w:ascii="Calibri" w:hAnsi="Calibri"/>
            </w:rPr>
            <w:t xml:space="preserve"> 20</w:t>
          </w:r>
          <w:r w:rsidR="009A684B">
            <w:rPr>
              <w:rFonts w:ascii="Calibri" w:hAnsi="Calibri"/>
            </w:rPr>
            <w:t>22</w:t>
          </w:r>
        </w:p>
      </w:tc>
    </w:tr>
  </w:tbl>
  <w:p w14:paraId="1CFC4F84" w14:textId="77777777" w:rsidR="00801CA3" w:rsidRPr="00003364" w:rsidRDefault="00801CA3" w:rsidP="00793D54">
    <w:pPr>
      <w:pStyle w:val="Header"/>
      <w:rPr>
        <w:rFonts w:ascii="Calibri" w:hAnsi="Calibri"/>
      </w:rPr>
    </w:pPr>
  </w:p>
</w:hdr>
</file>

<file path=word/intelligence.xml><?xml version="1.0" encoding="utf-8"?>
<int:Intelligence xmlns:int="http://schemas.microsoft.com/office/intelligence/2019/intelligence">
  <int:IntelligenceSettings/>
  <int:Manifest>
    <int:ParagraphRange paragraphId="2030388149" textId="2120247836" start="0" length="3256" invalidationStart="0" invalidationLength="3256" id="pASIr5N9"/>
  </int:Manifest>
  <int:Observations>
    <int:Content id="pASIr5N9">
      <int:Rejection type="WordDesignerDefaultAnnotation"/>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B322DF"/>
    <w:multiLevelType w:val="singleLevel"/>
    <w:tmpl w:val="D6A28F62"/>
    <w:lvl w:ilvl="0">
      <w:start w:val="1"/>
      <w:numFmt w:val="decimal"/>
      <w:lvlText w:val="%1."/>
      <w:lvlJc w:val="left"/>
      <w:pPr>
        <w:tabs>
          <w:tab w:val="num" w:pos="1434"/>
        </w:tabs>
        <w:ind w:left="1434" w:hanging="570"/>
      </w:pPr>
      <w:rPr>
        <w:rFonts w:hint="default"/>
      </w:rPr>
    </w:lvl>
  </w:abstractNum>
  <w:abstractNum w:abstractNumId="2" w15:restartNumberingAfterBreak="0">
    <w:nsid w:val="12D770E1"/>
    <w:multiLevelType w:val="singleLevel"/>
    <w:tmpl w:val="7D3CD61A"/>
    <w:lvl w:ilvl="0">
      <w:start w:val="1"/>
      <w:numFmt w:val="lowerRoman"/>
      <w:lvlText w:val="(%1)"/>
      <w:lvlJc w:val="left"/>
      <w:pPr>
        <w:tabs>
          <w:tab w:val="num" w:pos="1830"/>
        </w:tabs>
        <w:ind w:left="1830" w:hanging="720"/>
      </w:pPr>
      <w:rPr>
        <w:rFonts w:hint="default"/>
      </w:rPr>
    </w:lvl>
  </w:abstractNum>
  <w:abstractNum w:abstractNumId="3" w15:restartNumberingAfterBreak="0">
    <w:nsid w:val="17E01E09"/>
    <w:multiLevelType w:val="hybridMultilevel"/>
    <w:tmpl w:val="F7A4D4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197083"/>
    <w:multiLevelType w:val="hybridMultilevel"/>
    <w:tmpl w:val="159668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23158C"/>
    <w:multiLevelType w:val="hybridMultilevel"/>
    <w:tmpl w:val="86BAEC7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2574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0B16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FF524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59F6BFD"/>
    <w:multiLevelType w:val="singleLevel"/>
    <w:tmpl w:val="2A2C5AE6"/>
    <w:lvl w:ilvl="0">
      <w:start w:val="1"/>
      <w:numFmt w:val="upperLetter"/>
      <w:lvlText w:val="(%1)"/>
      <w:lvlJc w:val="left"/>
      <w:pPr>
        <w:tabs>
          <w:tab w:val="num" w:pos="1095"/>
        </w:tabs>
        <w:ind w:left="1095" w:hanging="375"/>
      </w:pPr>
      <w:rPr>
        <w:rFonts w:hint="default"/>
      </w:rPr>
    </w:lvl>
  </w:abstractNum>
  <w:abstractNum w:abstractNumId="10" w15:restartNumberingAfterBreak="0">
    <w:nsid w:val="2C6E21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11C2FB5"/>
    <w:multiLevelType w:val="singleLevel"/>
    <w:tmpl w:val="E682B86E"/>
    <w:lvl w:ilvl="0">
      <w:start w:val="1"/>
      <w:numFmt w:val="decimal"/>
      <w:lvlText w:val="(%1)"/>
      <w:lvlJc w:val="left"/>
      <w:pPr>
        <w:tabs>
          <w:tab w:val="num" w:pos="1110"/>
        </w:tabs>
        <w:ind w:left="1110" w:hanging="390"/>
      </w:pPr>
      <w:rPr>
        <w:rFonts w:hint="default"/>
      </w:rPr>
    </w:lvl>
  </w:abstractNum>
  <w:abstractNum w:abstractNumId="12" w15:restartNumberingAfterBreak="0">
    <w:nsid w:val="37230A24"/>
    <w:multiLevelType w:val="singleLevel"/>
    <w:tmpl w:val="852E95E4"/>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B4E6903"/>
    <w:multiLevelType w:val="hybridMultilevel"/>
    <w:tmpl w:val="D43EDD8A"/>
    <w:lvl w:ilvl="0" w:tplc="1F6A9F58">
      <w:start w:val="1"/>
      <w:numFmt w:val="bullet"/>
      <w:lvlText w:val=""/>
      <w:lvlJc w:val="left"/>
      <w:pPr>
        <w:tabs>
          <w:tab w:val="num" w:pos="576"/>
        </w:tabs>
        <w:ind w:left="576"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D80116"/>
    <w:multiLevelType w:val="hybridMultilevel"/>
    <w:tmpl w:val="D3A02ECE"/>
    <w:lvl w:ilvl="0" w:tplc="1F6A9F58">
      <w:start w:val="1"/>
      <w:numFmt w:val="bullet"/>
      <w:lvlText w:val=""/>
      <w:lvlJc w:val="left"/>
      <w:pPr>
        <w:tabs>
          <w:tab w:val="num" w:pos="576"/>
        </w:tabs>
        <w:ind w:left="576"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BE6C8D"/>
    <w:multiLevelType w:val="hybridMultilevel"/>
    <w:tmpl w:val="39D28320"/>
    <w:lvl w:ilvl="0" w:tplc="0409000F">
      <w:start w:val="1"/>
      <w:numFmt w:val="decimal"/>
      <w:lvlText w:val="%1."/>
      <w:lvlJc w:val="left"/>
      <w:pPr>
        <w:tabs>
          <w:tab w:val="num" w:pos="720"/>
        </w:tabs>
        <w:ind w:left="720" w:hanging="360"/>
      </w:pPr>
      <w:rPr>
        <w:rFonts w:hint="default"/>
      </w:rPr>
    </w:lvl>
    <w:lvl w:ilvl="1" w:tplc="1F6A9F58">
      <w:start w:val="1"/>
      <w:numFmt w:val="bullet"/>
      <w:lvlText w:val=""/>
      <w:lvlJc w:val="left"/>
      <w:pPr>
        <w:tabs>
          <w:tab w:val="num" w:pos="1368"/>
        </w:tabs>
        <w:ind w:left="1368" w:hanging="288"/>
      </w:pPr>
      <w:rPr>
        <w:rFonts w:ascii="Wingdings" w:hAnsi="Wingding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C9948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0232130"/>
    <w:multiLevelType w:val="hybridMultilevel"/>
    <w:tmpl w:val="B240C3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3D25B6A"/>
    <w:multiLevelType w:val="singleLevel"/>
    <w:tmpl w:val="86BC5506"/>
    <w:lvl w:ilvl="0">
      <w:start w:val="1"/>
      <w:numFmt w:val="upperLetter"/>
      <w:lvlText w:val="(%1)"/>
      <w:lvlJc w:val="left"/>
      <w:pPr>
        <w:tabs>
          <w:tab w:val="num" w:pos="1485"/>
        </w:tabs>
        <w:ind w:left="1485" w:hanging="375"/>
      </w:pPr>
      <w:rPr>
        <w:rFonts w:hint="default"/>
      </w:rPr>
    </w:lvl>
  </w:abstractNum>
  <w:abstractNum w:abstractNumId="19" w15:restartNumberingAfterBreak="0">
    <w:nsid w:val="560B390A"/>
    <w:multiLevelType w:val="hybridMultilevel"/>
    <w:tmpl w:val="0C465F0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7C61A85"/>
    <w:multiLevelType w:val="singleLevel"/>
    <w:tmpl w:val="2578C974"/>
    <w:lvl w:ilvl="0">
      <w:start w:val="2"/>
      <w:numFmt w:val="upperLetter"/>
      <w:lvlText w:val="(%1)"/>
      <w:lvlJc w:val="left"/>
      <w:pPr>
        <w:tabs>
          <w:tab w:val="num" w:pos="1575"/>
        </w:tabs>
        <w:ind w:left="1575" w:hanging="420"/>
      </w:pPr>
      <w:rPr>
        <w:rFonts w:hint="default"/>
      </w:rPr>
    </w:lvl>
  </w:abstractNum>
  <w:abstractNum w:abstractNumId="21" w15:restartNumberingAfterBreak="0">
    <w:nsid w:val="57CF6C46"/>
    <w:multiLevelType w:val="multilevel"/>
    <w:tmpl w:val="0C465F0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03F1C36"/>
    <w:multiLevelType w:val="hybridMultilevel"/>
    <w:tmpl w:val="E4DC882A"/>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23" w15:restartNumberingAfterBreak="0">
    <w:nsid w:val="639760E3"/>
    <w:multiLevelType w:val="hybridMultilevel"/>
    <w:tmpl w:val="77BAB6D6"/>
    <w:lvl w:ilvl="0" w:tplc="1F6A9F58">
      <w:start w:val="1"/>
      <w:numFmt w:val="bullet"/>
      <w:lvlText w:val=""/>
      <w:lvlJc w:val="left"/>
      <w:pPr>
        <w:tabs>
          <w:tab w:val="num" w:pos="288"/>
        </w:tabs>
        <w:ind w:left="288" w:hanging="288"/>
      </w:pPr>
      <w:rPr>
        <w:rFonts w:ascii="Wingdings" w:hAnsi="Wingding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4" w15:restartNumberingAfterBreak="0">
    <w:nsid w:val="67C12B74"/>
    <w:multiLevelType w:val="hybridMultilevel"/>
    <w:tmpl w:val="E23CDD8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AAA44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B4E5187"/>
    <w:multiLevelType w:val="hybridMultilevel"/>
    <w:tmpl w:val="D7E652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BAD0B03"/>
    <w:multiLevelType w:val="hybridMultilevel"/>
    <w:tmpl w:val="3462EF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25A38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A777325"/>
    <w:multiLevelType w:val="singleLevel"/>
    <w:tmpl w:val="2716CDC0"/>
    <w:lvl w:ilvl="0">
      <w:start w:val="1"/>
      <w:numFmt w:val="upperLetter"/>
      <w:lvlText w:val="%1."/>
      <w:lvlJc w:val="left"/>
      <w:pPr>
        <w:tabs>
          <w:tab w:val="num" w:pos="720"/>
        </w:tabs>
        <w:ind w:left="720" w:hanging="720"/>
      </w:pPr>
      <w:rPr>
        <w:rFonts w:hint="default"/>
        <w:b/>
      </w:rPr>
    </w:lvl>
  </w:abstractNum>
  <w:abstractNum w:abstractNumId="30" w15:restartNumberingAfterBreak="0">
    <w:nsid w:val="7DD953EC"/>
    <w:multiLevelType w:val="hybridMultilevel"/>
    <w:tmpl w:val="B3E4AB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F635590"/>
    <w:multiLevelType w:val="singleLevel"/>
    <w:tmpl w:val="95509A4E"/>
    <w:lvl w:ilvl="0">
      <w:start w:val="2"/>
      <w:numFmt w:val="upperLetter"/>
      <w:lvlText w:val="(%1)"/>
      <w:lvlJc w:val="left"/>
      <w:pPr>
        <w:tabs>
          <w:tab w:val="num" w:pos="1155"/>
        </w:tabs>
        <w:ind w:left="1155" w:hanging="435"/>
      </w:pPr>
      <w:rPr>
        <w:rFonts w:hint="default"/>
      </w:rPr>
    </w:lvl>
  </w:abstractNum>
  <w:num w:numId="1">
    <w:abstractNumId w:val="12"/>
  </w:num>
  <w:num w:numId="2">
    <w:abstractNumId w:val="11"/>
  </w:num>
  <w:num w:numId="3">
    <w:abstractNumId w:val="31"/>
  </w:num>
  <w:num w:numId="4">
    <w:abstractNumId w:val="2"/>
  </w:num>
  <w:num w:numId="5">
    <w:abstractNumId w:val="9"/>
  </w:num>
  <w:num w:numId="6">
    <w:abstractNumId w:val="18"/>
  </w:num>
  <w:num w:numId="7">
    <w:abstractNumId w:val="20"/>
  </w:num>
  <w:num w:numId="8">
    <w:abstractNumId w:val="0"/>
    <w:lvlOverride w:ilvl="0">
      <w:lvl w:ilvl="0">
        <w:numFmt w:val="bullet"/>
        <w:lvlText w:val=""/>
        <w:legacy w:legacy="1" w:legacySpace="0" w:legacyIndent="720"/>
        <w:lvlJc w:val="left"/>
        <w:pPr>
          <w:ind w:left="720" w:hanging="720"/>
        </w:pPr>
        <w:rPr>
          <w:rFonts w:ascii="WP MathA" w:hAnsi="WP MathA" w:hint="default"/>
        </w:rPr>
      </w:lvl>
    </w:lvlOverride>
  </w:num>
  <w:num w:numId="9">
    <w:abstractNumId w:val="1"/>
  </w:num>
  <w:num w:numId="10">
    <w:abstractNumId w:val="6"/>
  </w:num>
  <w:num w:numId="11">
    <w:abstractNumId w:val="29"/>
  </w:num>
  <w:num w:numId="12">
    <w:abstractNumId w:val="28"/>
  </w:num>
  <w:num w:numId="13">
    <w:abstractNumId w:val="7"/>
  </w:num>
  <w:num w:numId="14">
    <w:abstractNumId w:val="16"/>
  </w:num>
  <w:num w:numId="15">
    <w:abstractNumId w:val="8"/>
  </w:num>
  <w:num w:numId="16">
    <w:abstractNumId w:val="10"/>
  </w:num>
  <w:num w:numId="17">
    <w:abstractNumId w:val="25"/>
  </w:num>
  <w:num w:numId="18">
    <w:abstractNumId w:val="15"/>
  </w:num>
  <w:num w:numId="19">
    <w:abstractNumId w:val="4"/>
  </w:num>
  <w:num w:numId="20">
    <w:abstractNumId w:val="5"/>
  </w:num>
  <w:num w:numId="21">
    <w:abstractNumId w:val="27"/>
  </w:num>
  <w:num w:numId="22">
    <w:abstractNumId w:val="13"/>
  </w:num>
  <w:num w:numId="23">
    <w:abstractNumId w:val="30"/>
  </w:num>
  <w:num w:numId="24">
    <w:abstractNumId w:val="23"/>
  </w:num>
  <w:num w:numId="25">
    <w:abstractNumId w:val="24"/>
  </w:num>
  <w:num w:numId="26">
    <w:abstractNumId w:val="19"/>
  </w:num>
  <w:num w:numId="27">
    <w:abstractNumId w:val="21"/>
  </w:num>
  <w:num w:numId="28">
    <w:abstractNumId w:val="3"/>
  </w:num>
  <w:num w:numId="29">
    <w:abstractNumId w:val="26"/>
  </w:num>
  <w:num w:numId="30">
    <w:abstractNumId w:val="17"/>
  </w:num>
  <w:num w:numId="31">
    <w:abstractNumId w:val="14"/>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B6C"/>
    <w:rsid w:val="00001324"/>
    <w:rsid w:val="00003364"/>
    <w:rsid w:val="0000596E"/>
    <w:rsid w:val="00005AEC"/>
    <w:rsid w:val="00014781"/>
    <w:rsid w:val="00015A74"/>
    <w:rsid w:val="00016D25"/>
    <w:rsid w:val="00026B3B"/>
    <w:rsid w:val="000340AB"/>
    <w:rsid w:val="000615F3"/>
    <w:rsid w:val="00066A11"/>
    <w:rsid w:val="00067D58"/>
    <w:rsid w:val="00070A2D"/>
    <w:rsid w:val="00076C50"/>
    <w:rsid w:val="000957DD"/>
    <w:rsid w:val="000A6410"/>
    <w:rsid w:val="000C1EA4"/>
    <w:rsid w:val="000D059E"/>
    <w:rsid w:val="000D0804"/>
    <w:rsid w:val="000E2D7A"/>
    <w:rsid w:val="000E36DA"/>
    <w:rsid w:val="000F5D5D"/>
    <w:rsid w:val="0010268D"/>
    <w:rsid w:val="00123B95"/>
    <w:rsid w:val="00131245"/>
    <w:rsid w:val="00132092"/>
    <w:rsid w:val="00141103"/>
    <w:rsid w:val="001557A1"/>
    <w:rsid w:val="00161C17"/>
    <w:rsid w:val="00162F1E"/>
    <w:rsid w:val="001747D8"/>
    <w:rsid w:val="00184E66"/>
    <w:rsid w:val="001A063A"/>
    <w:rsid w:val="001D51D7"/>
    <w:rsid w:val="001D6695"/>
    <w:rsid w:val="001E7BA2"/>
    <w:rsid w:val="001F62B5"/>
    <w:rsid w:val="00213D43"/>
    <w:rsid w:val="0022019B"/>
    <w:rsid w:val="00222A4B"/>
    <w:rsid w:val="00226847"/>
    <w:rsid w:val="002310AE"/>
    <w:rsid w:val="002376B0"/>
    <w:rsid w:val="002407D0"/>
    <w:rsid w:val="0024625C"/>
    <w:rsid w:val="00253DC7"/>
    <w:rsid w:val="00254383"/>
    <w:rsid w:val="002553A9"/>
    <w:rsid w:val="00263E71"/>
    <w:rsid w:val="00273E4C"/>
    <w:rsid w:val="00274BC1"/>
    <w:rsid w:val="002813E9"/>
    <w:rsid w:val="0029635E"/>
    <w:rsid w:val="002A2488"/>
    <w:rsid w:val="002A502C"/>
    <w:rsid w:val="002A52DD"/>
    <w:rsid w:val="002B12D1"/>
    <w:rsid w:val="002B6C99"/>
    <w:rsid w:val="002D512B"/>
    <w:rsid w:val="002E1AA7"/>
    <w:rsid w:val="002F0393"/>
    <w:rsid w:val="003066A1"/>
    <w:rsid w:val="00325940"/>
    <w:rsid w:val="00326C5D"/>
    <w:rsid w:val="00326F7B"/>
    <w:rsid w:val="00334007"/>
    <w:rsid w:val="003350B4"/>
    <w:rsid w:val="003514EF"/>
    <w:rsid w:val="0037519C"/>
    <w:rsid w:val="00390B66"/>
    <w:rsid w:val="003A1172"/>
    <w:rsid w:val="003B4507"/>
    <w:rsid w:val="003B5517"/>
    <w:rsid w:val="003B5AE0"/>
    <w:rsid w:val="003E6D67"/>
    <w:rsid w:val="003F42A0"/>
    <w:rsid w:val="0041380B"/>
    <w:rsid w:val="00416149"/>
    <w:rsid w:val="0041787E"/>
    <w:rsid w:val="00425903"/>
    <w:rsid w:val="00441DD1"/>
    <w:rsid w:val="004441F4"/>
    <w:rsid w:val="00444983"/>
    <w:rsid w:val="004536AF"/>
    <w:rsid w:val="004665B7"/>
    <w:rsid w:val="0047018B"/>
    <w:rsid w:val="0047366F"/>
    <w:rsid w:val="00475880"/>
    <w:rsid w:val="00477C84"/>
    <w:rsid w:val="00483AFE"/>
    <w:rsid w:val="00486A89"/>
    <w:rsid w:val="004907C4"/>
    <w:rsid w:val="00495BFB"/>
    <w:rsid w:val="004A0FF1"/>
    <w:rsid w:val="004A339D"/>
    <w:rsid w:val="004A46FA"/>
    <w:rsid w:val="004B35C4"/>
    <w:rsid w:val="004B42C5"/>
    <w:rsid w:val="004B4F26"/>
    <w:rsid w:val="004B7E53"/>
    <w:rsid w:val="004C4576"/>
    <w:rsid w:val="004C4E0E"/>
    <w:rsid w:val="004C6817"/>
    <w:rsid w:val="004C7612"/>
    <w:rsid w:val="004D0D5A"/>
    <w:rsid w:val="004E3726"/>
    <w:rsid w:val="004E3CBF"/>
    <w:rsid w:val="004F0A9E"/>
    <w:rsid w:val="0051366D"/>
    <w:rsid w:val="00520386"/>
    <w:rsid w:val="00521A2C"/>
    <w:rsid w:val="00525821"/>
    <w:rsid w:val="00526D1F"/>
    <w:rsid w:val="00530602"/>
    <w:rsid w:val="0053135F"/>
    <w:rsid w:val="00543232"/>
    <w:rsid w:val="00543334"/>
    <w:rsid w:val="00553742"/>
    <w:rsid w:val="005558F6"/>
    <w:rsid w:val="00560E9C"/>
    <w:rsid w:val="0056649D"/>
    <w:rsid w:val="00567F1E"/>
    <w:rsid w:val="005961DA"/>
    <w:rsid w:val="00596A50"/>
    <w:rsid w:val="005A300F"/>
    <w:rsid w:val="005A365F"/>
    <w:rsid w:val="005B3D4E"/>
    <w:rsid w:val="005B53DC"/>
    <w:rsid w:val="005E5652"/>
    <w:rsid w:val="005E7C92"/>
    <w:rsid w:val="005F5F08"/>
    <w:rsid w:val="005F7C1D"/>
    <w:rsid w:val="006057CB"/>
    <w:rsid w:val="00621424"/>
    <w:rsid w:val="00624740"/>
    <w:rsid w:val="0063562A"/>
    <w:rsid w:val="006372B7"/>
    <w:rsid w:val="00654CFD"/>
    <w:rsid w:val="00656AA8"/>
    <w:rsid w:val="00660185"/>
    <w:rsid w:val="0066166A"/>
    <w:rsid w:val="00663CBB"/>
    <w:rsid w:val="00671F13"/>
    <w:rsid w:val="00675952"/>
    <w:rsid w:val="0069077C"/>
    <w:rsid w:val="006B07B9"/>
    <w:rsid w:val="006C336F"/>
    <w:rsid w:val="006D6E3A"/>
    <w:rsid w:val="006D6FD1"/>
    <w:rsid w:val="006E06F0"/>
    <w:rsid w:val="006E668D"/>
    <w:rsid w:val="006F44CF"/>
    <w:rsid w:val="006F4FAD"/>
    <w:rsid w:val="006F5214"/>
    <w:rsid w:val="007037B2"/>
    <w:rsid w:val="0070450F"/>
    <w:rsid w:val="00706AB8"/>
    <w:rsid w:val="007166C8"/>
    <w:rsid w:val="007203A1"/>
    <w:rsid w:val="00724BE7"/>
    <w:rsid w:val="00733EAE"/>
    <w:rsid w:val="0073453F"/>
    <w:rsid w:val="00740D6C"/>
    <w:rsid w:val="00742515"/>
    <w:rsid w:val="00745FA9"/>
    <w:rsid w:val="00746EE6"/>
    <w:rsid w:val="00747C8E"/>
    <w:rsid w:val="007617B8"/>
    <w:rsid w:val="00761CE1"/>
    <w:rsid w:val="007779F5"/>
    <w:rsid w:val="00793D54"/>
    <w:rsid w:val="00796676"/>
    <w:rsid w:val="007A7896"/>
    <w:rsid w:val="007B0E00"/>
    <w:rsid w:val="007C6568"/>
    <w:rsid w:val="007D3FD8"/>
    <w:rsid w:val="007E5DA0"/>
    <w:rsid w:val="007F6122"/>
    <w:rsid w:val="00801746"/>
    <w:rsid w:val="00801CA3"/>
    <w:rsid w:val="00811390"/>
    <w:rsid w:val="008164D4"/>
    <w:rsid w:val="00816BA4"/>
    <w:rsid w:val="008308A5"/>
    <w:rsid w:val="00837D11"/>
    <w:rsid w:val="00837F05"/>
    <w:rsid w:val="0084779B"/>
    <w:rsid w:val="00865AA0"/>
    <w:rsid w:val="0087033C"/>
    <w:rsid w:val="0087200C"/>
    <w:rsid w:val="0087213B"/>
    <w:rsid w:val="008817F6"/>
    <w:rsid w:val="00881D14"/>
    <w:rsid w:val="008A3734"/>
    <w:rsid w:val="008B0291"/>
    <w:rsid w:val="008B4294"/>
    <w:rsid w:val="008B4907"/>
    <w:rsid w:val="008C378D"/>
    <w:rsid w:val="008D246B"/>
    <w:rsid w:val="008E7BD8"/>
    <w:rsid w:val="008F2267"/>
    <w:rsid w:val="008F41A7"/>
    <w:rsid w:val="009135B1"/>
    <w:rsid w:val="00942612"/>
    <w:rsid w:val="00946E7A"/>
    <w:rsid w:val="0095078C"/>
    <w:rsid w:val="00951D1A"/>
    <w:rsid w:val="00953465"/>
    <w:rsid w:val="0095727A"/>
    <w:rsid w:val="009642EE"/>
    <w:rsid w:val="009730CE"/>
    <w:rsid w:val="009747AA"/>
    <w:rsid w:val="009924AB"/>
    <w:rsid w:val="009A684B"/>
    <w:rsid w:val="009C5B6C"/>
    <w:rsid w:val="009C5DED"/>
    <w:rsid w:val="009C61EC"/>
    <w:rsid w:val="009D2176"/>
    <w:rsid w:val="009D3E8B"/>
    <w:rsid w:val="009D629B"/>
    <w:rsid w:val="009F06B4"/>
    <w:rsid w:val="009F57D4"/>
    <w:rsid w:val="00A00802"/>
    <w:rsid w:val="00A05C89"/>
    <w:rsid w:val="00A11FBE"/>
    <w:rsid w:val="00A14128"/>
    <w:rsid w:val="00A41815"/>
    <w:rsid w:val="00A42554"/>
    <w:rsid w:val="00A610EE"/>
    <w:rsid w:val="00A62DB2"/>
    <w:rsid w:val="00A85B54"/>
    <w:rsid w:val="00AA3F68"/>
    <w:rsid w:val="00AB1DC9"/>
    <w:rsid w:val="00AB6558"/>
    <w:rsid w:val="00AC1194"/>
    <w:rsid w:val="00AC45B3"/>
    <w:rsid w:val="00AC647B"/>
    <w:rsid w:val="00AE2868"/>
    <w:rsid w:val="00B07854"/>
    <w:rsid w:val="00B07F17"/>
    <w:rsid w:val="00B175E5"/>
    <w:rsid w:val="00B24B08"/>
    <w:rsid w:val="00B25C6E"/>
    <w:rsid w:val="00B369FA"/>
    <w:rsid w:val="00B4131B"/>
    <w:rsid w:val="00B54B48"/>
    <w:rsid w:val="00B71B0D"/>
    <w:rsid w:val="00B77A95"/>
    <w:rsid w:val="00B816A9"/>
    <w:rsid w:val="00B837F9"/>
    <w:rsid w:val="00B84352"/>
    <w:rsid w:val="00B8690F"/>
    <w:rsid w:val="00BA7B08"/>
    <w:rsid w:val="00BB334C"/>
    <w:rsid w:val="00BB3701"/>
    <w:rsid w:val="00BB7918"/>
    <w:rsid w:val="00BC1763"/>
    <w:rsid w:val="00BC704E"/>
    <w:rsid w:val="00BD57AC"/>
    <w:rsid w:val="00BE0CC0"/>
    <w:rsid w:val="00BE3550"/>
    <w:rsid w:val="00C0574D"/>
    <w:rsid w:val="00C15335"/>
    <w:rsid w:val="00C1649E"/>
    <w:rsid w:val="00C173BD"/>
    <w:rsid w:val="00C40003"/>
    <w:rsid w:val="00C562C7"/>
    <w:rsid w:val="00C603B1"/>
    <w:rsid w:val="00C6141B"/>
    <w:rsid w:val="00C918FB"/>
    <w:rsid w:val="00C922FF"/>
    <w:rsid w:val="00C92E2B"/>
    <w:rsid w:val="00C96951"/>
    <w:rsid w:val="00CA7D60"/>
    <w:rsid w:val="00CB2F20"/>
    <w:rsid w:val="00CC6F9F"/>
    <w:rsid w:val="00CC781C"/>
    <w:rsid w:val="00CD3356"/>
    <w:rsid w:val="00CD6775"/>
    <w:rsid w:val="00CE6EAC"/>
    <w:rsid w:val="00D00A8D"/>
    <w:rsid w:val="00D03A29"/>
    <w:rsid w:val="00D238FE"/>
    <w:rsid w:val="00D3563E"/>
    <w:rsid w:val="00D36FC4"/>
    <w:rsid w:val="00D61AB2"/>
    <w:rsid w:val="00D63378"/>
    <w:rsid w:val="00D65E5F"/>
    <w:rsid w:val="00D71519"/>
    <w:rsid w:val="00D747C4"/>
    <w:rsid w:val="00D92905"/>
    <w:rsid w:val="00D97A20"/>
    <w:rsid w:val="00DA060D"/>
    <w:rsid w:val="00DA676F"/>
    <w:rsid w:val="00DD4A2E"/>
    <w:rsid w:val="00DD5B22"/>
    <w:rsid w:val="00DE27A2"/>
    <w:rsid w:val="00DF3B49"/>
    <w:rsid w:val="00DF5067"/>
    <w:rsid w:val="00E13DF8"/>
    <w:rsid w:val="00E209FA"/>
    <w:rsid w:val="00E2778C"/>
    <w:rsid w:val="00E362EA"/>
    <w:rsid w:val="00E37C08"/>
    <w:rsid w:val="00E42A09"/>
    <w:rsid w:val="00E6517C"/>
    <w:rsid w:val="00E65C12"/>
    <w:rsid w:val="00E732B2"/>
    <w:rsid w:val="00E74DDE"/>
    <w:rsid w:val="00EA01A6"/>
    <w:rsid w:val="00EA33B9"/>
    <w:rsid w:val="00EA5E9A"/>
    <w:rsid w:val="00EB1441"/>
    <w:rsid w:val="00EB216C"/>
    <w:rsid w:val="00EB56B3"/>
    <w:rsid w:val="00EC1368"/>
    <w:rsid w:val="00EC2BBE"/>
    <w:rsid w:val="00EC40EF"/>
    <w:rsid w:val="00F04D4E"/>
    <w:rsid w:val="00F11FCA"/>
    <w:rsid w:val="00F415AE"/>
    <w:rsid w:val="00F44749"/>
    <w:rsid w:val="00F454A8"/>
    <w:rsid w:val="00F470C0"/>
    <w:rsid w:val="00F572BC"/>
    <w:rsid w:val="00F57D62"/>
    <w:rsid w:val="00F61E31"/>
    <w:rsid w:val="00F7700D"/>
    <w:rsid w:val="00F83E95"/>
    <w:rsid w:val="00FB4BBE"/>
    <w:rsid w:val="00FE5167"/>
    <w:rsid w:val="00FE5D2E"/>
    <w:rsid w:val="00FF2056"/>
    <w:rsid w:val="00FF361E"/>
    <w:rsid w:val="01AA4EA1"/>
    <w:rsid w:val="01E1C2E4"/>
    <w:rsid w:val="03461F02"/>
    <w:rsid w:val="09699BDF"/>
    <w:rsid w:val="0D30C947"/>
    <w:rsid w:val="0DE0C43B"/>
    <w:rsid w:val="1DF6E805"/>
    <w:rsid w:val="2559EC7C"/>
    <w:rsid w:val="283D1A6A"/>
    <w:rsid w:val="2C600097"/>
    <w:rsid w:val="3FF18D22"/>
    <w:rsid w:val="418D5D83"/>
    <w:rsid w:val="43D928D8"/>
    <w:rsid w:val="4BDBAF44"/>
    <w:rsid w:val="527E1BE3"/>
    <w:rsid w:val="53262951"/>
    <w:rsid w:val="548E9CC1"/>
    <w:rsid w:val="63443A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1091E"/>
  <w15:docId w15:val="{B1D613BF-CAD6-41EF-9808-DAD222BA9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3742"/>
  </w:style>
  <w:style w:type="paragraph" w:styleId="Heading1">
    <w:name w:val="heading 1"/>
    <w:basedOn w:val="Normal"/>
    <w:next w:val="Normal"/>
    <w:qFormat/>
    <w:rsid w:val="00553742"/>
    <w:pPr>
      <w:keepNext/>
      <w:jc w:val="center"/>
      <w:outlineLvl w:val="0"/>
    </w:pPr>
    <w:rPr>
      <w:b/>
      <w:sz w:val="36"/>
    </w:rPr>
  </w:style>
  <w:style w:type="paragraph" w:styleId="Heading2">
    <w:name w:val="heading 2"/>
    <w:basedOn w:val="Normal"/>
    <w:next w:val="Normal"/>
    <w:qFormat/>
    <w:rsid w:val="00553742"/>
    <w:pPr>
      <w:keepNext/>
      <w:outlineLvl w:val="1"/>
    </w:pPr>
    <w:rPr>
      <w:rFonts w:ascii="Arial" w:hAnsi="Arial"/>
      <w:i/>
      <w:sz w:val="22"/>
      <w:u w:val="single"/>
    </w:rPr>
  </w:style>
  <w:style w:type="paragraph" w:styleId="Heading3">
    <w:name w:val="heading 3"/>
    <w:basedOn w:val="Normal"/>
    <w:next w:val="Normal"/>
    <w:qFormat/>
    <w:rsid w:val="00553742"/>
    <w:pPr>
      <w:keepNext/>
      <w:ind w:left="2160" w:firstLine="720"/>
      <w:jc w:val="center"/>
      <w:outlineLvl w:val="2"/>
    </w:pPr>
    <w:rPr>
      <w:rFonts w:ascii="Arial" w:hAnsi="Arial"/>
      <w:b/>
      <w:sz w:val="22"/>
    </w:rPr>
  </w:style>
  <w:style w:type="paragraph" w:styleId="Heading4">
    <w:name w:val="heading 4"/>
    <w:basedOn w:val="Normal"/>
    <w:next w:val="Normal"/>
    <w:qFormat/>
    <w:rsid w:val="00553742"/>
    <w:pPr>
      <w:keepNext/>
      <w:outlineLvl w:val="3"/>
    </w:pPr>
    <w:rPr>
      <w:rFonts w:ascii="Arial" w:hAnsi="Arial"/>
      <w:b/>
      <w:sz w:val="22"/>
      <w:u w:val="single"/>
    </w:rPr>
  </w:style>
  <w:style w:type="paragraph" w:styleId="Heading5">
    <w:name w:val="heading 5"/>
    <w:basedOn w:val="Normal"/>
    <w:next w:val="Normal"/>
    <w:qFormat/>
    <w:rsid w:val="00553742"/>
    <w:pPr>
      <w:keepNext/>
      <w:outlineLvl w:val="4"/>
    </w:pPr>
    <w:rPr>
      <w:rFonts w:ascii="Arial" w:hAnsi="Arial"/>
      <w:sz w:val="22"/>
      <w:u w:val="single"/>
    </w:rPr>
  </w:style>
  <w:style w:type="paragraph" w:styleId="Heading6">
    <w:name w:val="heading 6"/>
    <w:basedOn w:val="Normal"/>
    <w:next w:val="Normal"/>
    <w:qFormat/>
    <w:rsid w:val="00553742"/>
    <w:pPr>
      <w:keepNext/>
      <w:jc w:val="center"/>
      <w:outlineLvl w:val="5"/>
    </w:pPr>
    <w:rPr>
      <w:b/>
      <w:sz w:val="28"/>
    </w:rPr>
  </w:style>
  <w:style w:type="paragraph" w:styleId="Heading7">
    <w:name w:val="heading 7"/>
    <w:basedOn w:val="Normal"/>
    <w:next w:val="Normal"/>
    <w:qFormat/>
    <w:rsid w:val="00553742"/>
    <w:pPr>
      <w:keepNext/>
      <w:outlineLvl w:val="6"/>
    </w:pPr>
    <w:rPr>
      <w:sz w:val="24"/>
    </w:rPr>
  </w:style>
  <w:style w:type="paragraph" w:styleId="Heading8">
    <w:name w:val="heading 8"/>
    <w:basedOn w:val="Normal"/>
    <w:next w:val="Normal"/>
    <w:qFormat/>
    <w:rsid w:val="00553742"/>
    <w:pPr>
      <w:keepNext/>
      <w:ind w:left="720" w:firstLine="720"/>
      <w:outlineLvl w:val="7"/>
    </w:pPr>
    <w:rPr>
      <w:b/>
      <w:sz w:val="28"/>
      <w:u w:val="single"/>
    </w:rPr>
  </w:style>
  <w:style w:type="paragraph" w:styleId="Heading9">
    <w:name w:val="heading 9"/>
    <w:basedOn w:val="Normal"/>
    <w:next w:val="Normal"/>
    <w:qFormat/>
    <w:rsid w:val="00553742"/>
    <w:pPr>
      <w:keepNext/>
      <w:ind w:left="1440" w:firstLine="720"/>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53742"/>
    <w:pPr>
      <w:jc w:val="center"/>
    </w:pPr>
    <w:rPr>
      <w:sz w:val="32"/>
    </w:rPr>
  </w:style>
  <w:style w:type="paragraph" w:styleId="BodyText">
    <w:name w:val="Body Text"/>
    <w:basedOn w:val="Normal"/>
    <w:rsid w:val="00553742"/>
    <w:rPr>
      <w:sz w:val="28"/>
    </w:rPr>
  </w:style>
  <w:style w:type="paragraph" w:styleId="Header">
    <w:name w:val="header"/>
    <w:basedOn w:val="Normal"/>
    <w:rsid w:val="00553742"/>
    <w:pPr>
      <w:tabs>
        <w:tab w:val="center" w:pos="4320"/>
        <w:tab w:val="right" w:pos="8640"/>
      </w:tabs>
    </w:pPr>
  </w:style>
  <w:style w:type="paragraph" w:styleId="Footer">
    <w:name w:val="footer"/>
    <w:basedOn w:val="Normal"/>
    <w:rsid w:val="00553742"/>
    <w:pPr>
      <w:tabs>
        <w:tab w:val="center" w:pos="4320"/>
        <w:tab w:val="right" w:pos="8640"/>
      </w:tabs>
    </w:pPr>
  </w:style>
  <w:style w:type="character" w:styleId="PageNumber">
    <w:name w:val="page number"/>
    <w:basedOn w:val="DefaultParagraphFont"/>
    <w:rsid w:val="00553742"/>
  </w:style>
  <w:style w:type="paragraph" w:styleId="BodyTextIndent">
    <w:name w:val="Body Text Indent"/>
    <w:basedOn w:val="Normal"/>
    <w:rsid w:val="00553742"/>
    <w:pPr>
      <w:ind w:left="720"/>
    </w:pPr>
    <w:rPr>
      <w:rFonts w:ascii="Arial" w:hAnsi="Arial"/>
      <w:sz w:val="22"/>
    </w:rPr>
  </w:style>
  <w:style w:type="paragraph" w:styleId="BodyText2">
    <w:name w:val="Body Text 2"/>
    <w:basedOn w:val="Normal"/>
    <w:rsid w:val="00553742"/>
    <w:rPr>
      <w:sz w:val="24"/>
    </w:rPr>
  </w:style>
  <w:style w:type="paragraph" w:styleId="BodyTextIndent2">
    <w:name w:val="Body Text Indent 2"/>
    <w:basedOn w:val="Normal"/>
    <w:rsid w:val="00553742"/>
    <w:pPr>
      <w:ind w:left="720"/>
    </w:pPr>
    <w:rPr>
      <w:b/>
      <w:sz w:val="24"/>
      <w:u w:val="single"/>
    </w:rPr>
  </w:style>
  <w:style w:type="paragraph" w:styleId="BodyText3">
    <w:name w:val="Body Text 3"/>
    <w:basedOn w:val="Normal"/>
    <w:rsid w:val="00553742"/>
    <w:rPr>
      <w:sz w:val="22"/>
    </w:rPr>
  </w:style>
  <w:style w:type="table" w:styleId="TableGrid">
    <w:name w:val="Table Grid"/>
    <w:basedOn w:val="TableNormal"/>
    <w:rsid w:val="00EB2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03364"/>
    <w:rPr>
      <w:color w:val="0000FF"/>
      <w:u w:val="single"/>
    </w:rPr>
  </w:style>
  <w:style w:type="character" w:customStyle="1" w:styleId="TitleChar">
    <w:name w:val="Title Char"/>
    <w:link w:val="Title"/>
    <w:locked/>
    <w:rsid w:val="00014781"/>
    <w:rPr>
      <w:sz w:val="32"/>
      <w:lang w:val="en-US" w:eastAsia="en-US" w:bidi="ar-SA"/>
    </w:rPr>
  </w:style>
  <w:style w:type="character" w:styleId="FollowedHyperlink">
    <w:name w:val="FollowedHyperlink"/>
    <w:rsid w:val="000D059E"/>
    <w:rPr>
      <w:color w:val="800080"/>
      <w:u w:val="single"/>
    </w:rPr>
  </w:style>
  <w:style w:type="paragraph" w:styleId="BalloonText">
    <w:name w:val="Balloon Text"/>
    <w:basedOn w:val="Normal"/>
    <w:link w:val="BalloonTextChar"/>
    <w:rsid w:val="00A85B54"/>
    <w:rPr>
      <w:rFonts w:ascii="Tahoma" w:hAnsi="Tahoma" w:cs="Tahoma"/>
      <w:sz w:val="16"/>
      <w:szCs w:val="16"/>
    </w:rPr>
  </w:style>
  <w:style w:type="character" w:customStyle="1" w:styleId="BalloonTextChar">
    <w:name w:val="Balloon Text Char"/>
    <w:basedOn w:val="DefaultParagraphFont"/>
    <w:link w:val="BalloonText"/>
    <w:rsid w:val="00A85B54"/>
    <w:rPr>
      <w:rFonts w:ascii="Tahoma" w:hAnsi="Tahoma" w:cs="Tahoma"/>
      <w:sz w:val="16"/>
      <w:szCs w:val="16"/>
    </w:rPr>
  </w:style>
  <w:style w:type="paragraph" w:styleId="ListParagraph">
    <w:name w:val="List Paragraph"/>
    <w:basedOn w:val="Normal"/>
    <w:uiPriority w:val="34"/>
    <w:qFormat/>
    <w:rsid w:val="004B35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ederalGrantPrograms@mass.gov"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de03553eda204721" Type="http://schemas.microsoft.com/office/2019/09/relationships/intelligence" Target="intelligenc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documentManagement>
    <_vti_RoutingExistingProperties xmlns="0a4e05da-b9bc-4326-ad73-01ef31b95567" xsi:nil="true"/>
    <_dlc_DocIdPersistId xmlns="733efe1c-5bbe-4968-87dc-d400e65c879f">true</_dlc_DocIdPersistId>
    <_dlc_DocId xmlns="733efe1c-5bbe-4968-87dc-d400e65c879f">DESE-231-35813</_dlc_DocId>
    <_dlc_DocIdUrl xmlns="733efe1c-5bbe-4968-87dc-d400e65c879f">
      <Url>https://sharepoint.doemass.org/ese/webteam/cps/_layouts/DocIdRedir.aspx?ID=DESE-231-35813</Url>
      <Description>DESE-231-35813</Description>
    </_dlc_DocIdUrl>
  </documentManagement>
</p:properties>
</file>

<file path=customXml/itemProps1.xml><?xml version="1.0" encoding="utf-8"?>
<ds:datastoreItem xmlns:ds="http://schemas.openxmlformats.org/officeDocument/2006/customXml" ds:itemID="{3F7DC1CE-D8CA-4087-8C7C-3D1CE544F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163C32-8A95-489E-A033-D095CF160A45}">
  <ds:schemaRefs>
    <ds:schemaRef ds:uri="http://schemas.microsoft.com/sharepoint/v3/contenttype/forms"/>
  </ds:schemaRefs>
</ds:datastoreItem>
</file>

<file path=customXml/itemProps3.xml><?xml version="1.0" encoding="utf-8"?>
<ds:datastoreItem xmlns:ds="http://schemas.openxmlformats.org/officeDocument/2006/customXml" ds:itemID="{05A35C4E-51F3-46F0-B1AC-85DFDE44DAE9}">
  <ds:schemaRefs>
    <ds:schemaRef ds:uri="http://schemas.openxmlformats.org/officeDocument/2006/bibliography"/>
  </ds:schemaRefs>
</ds:datastoreItem>
</file>

<file path=customXml/itemProps4.xml><?xml version="1.0" encoding="utf-8"?>
<ds:datastoreItem xmlns:ds="http://schemas.openxmlformats.org/officeDocument/2006/customXml" ds:itemID="{AB003CA9-16D3-4E6C-A3C0-E17A9A15CD36}">
  <ds:schemaRefs>
    <ds:schemaRef ds:uri="http://schemas.microsoft.com/sharepoint/events"/>
  </ds:schemaRefs>
</ds:datastoreItem>
</file>

<file path=customXml/itemProps5.xml><?xml version="1.0" encoding="utf-8"?>
<ds:datastoreItem xmlns:ds="http://schemas.openxmlformats.org/officeDocument/2006/customXml" ds:itemID="{28914E4A-F7C9-4D06-AF53-0CD7206A363C}">
  <ds:schemaRefs>
    <ds:schemaRef ds:uri="http://schemas.microsoft.com/office/2006/metadata/propertie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2354</Words>
  <Characters>13424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Comparability Instructions</vt:lpstr>
    </vt:vector>
  </TitlesOfParts>
  <Company/>
  <LinksUpToDate>false</LinksUpToDate>
  <CharactersWithSpaces>15747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Comparability Instructions</dc:title>
  <dc:creator>DESE</dc:creator>
  <cp:lastModifiedBy>Zou, Dong (EOE)</cp:lastModifiedBy>
  <cp:revision>6</cp:revision>
  <cp:lastPrinted>2010-11-03T16:06:00Z</cp:lastPrinted>
  <dcterms:created xsi:type="dcterms:W3CDTF">2017-08-23T16:09:00Z</dcterms:created>
  <dcterms:modified xsi:type="dcterms:W3CDTF">2022-06-01T13:45:00Z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 2022</vt:lpwstr>
  </property>
</Properties>
</file>