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26F35" w14:textId="6D568D7D" w:rsidR="00A6490D" w:rsidRPr="006218B1" w:rsidRDefault="00A6490D" w:rsidP="00DC403B">
      <w:pPr>
        <w:pStyle w:val="BodyText"/>
        <w:jc w:val="center"/>
        <w:rPr>
          <w:rFonts w:asciiTheme="minorHAnsi" w:hAnsiTheme="minorHAnsi" w:cstheme="minorHAnsi"/>
          <w:sz w:val="44"/>
        </w:rPr>
      </w:pPr>
    </w:p>
    <w:p w14:paraId="3608EE54" w14:textId="0AE15CB0" w:rsidR="002F1D0A" w:rsidRDefault="006A52A1" w:rsidP="00DC403B">
      <w:pPr>
        <w:pStyle w:val="BodyText"/>
        <w:jc w:val="center"/>
        <w:rPr>
          <w:rFonts w:asciiTheme="minorHAnsi" w:hAnsiTheme="minorHAnsi" w:cstheme="minorBidi"/>
          <w:sz w:val="44"/>
          <w:szCs w:val="44"/>
        </w:rPr>
      </w:pPr>
      <w:r>
        <w:rPr>
          <w:rFonts w:asciiTheme="minorHAnsi" w:hAnsiTheme="minorHAnsi" w:cstheme="minorBidi"/>
          <w:noProof/>
          <w:sz w:val="44"/>
          <w:szCs w:val="44"/>
        </w:rPr>
        <w:drawing>
          <wp:inline distT="0" distB="0" distL="0" distR="0" wp14:anchorId="0473A686" wp14:editId="499841E1">
            <wp:extent cx="6191250" cy="1304925"/>
            <wp:effectExtent l="0" t="0" r="0" b="9525"/>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0" cy="1304925"/>
                    </a:xfrm>
                    <a:prstGeom prst="rect">
                      <a:avLst/>
                    </a:prstGeom>
                    <a:noFill/>
                    <a:ln>
                      <a:noFill/>
                    </a:ln>
                  </pic:spPr>
                </pic:pic>
              </a:graphicData>
            </a:graphic>
          </wp:inline>
        </w:drawing>
      </w:r>
    </w:p>
    <w:p w14:paraId="380D5FFF" w14:textId="0668C5DA" w:rsidR="008519E5" w:rsidRDefault="008519E5" w:rsidP="00DC403B">
      <w:pPr>
        <w:pStyle w:val="BodyText"/>
        <w:jc w:val="center"/>
        <w:rPr>
          <w:rFonts w:asciiTheme="minorHAnsi" w:hAnsiTheme="minorHAnsi" w:cstheme="minorHAnsi"/>
          <w:sz w:val="44"/>
        </w:rPr>
      </w:pPr>
    </w:p>
    <w:p w14:paraId="7C7B015A" w14:textId="77777777" w:rsidR="003E605B" w:rsidRPr="006218B1" w:rsidRDefault="003E605B" w:rsidP="00DC403B">
      <w:pPr>
        <w:pStyle w:val="BodyText"/>
        <w:jc w:val="center"/>
        <w:rPr>
          <w:rFonts w:asciiTheme="minorHAnsi" w:hAnsiTheme="minorHAnsi" w:cstheme="minorHAnsi"/>
          <w:sz w:val="44"/>
        </w:rPr>
      </w:pPr>
    </w:p>
    <w:p w14:paraId="1CD91EAB" w14:textId="77777777" w:rsidR="00B77FDF" w:rsidRDefault="00B77FDF" w:rsidP="00DC403B">
      <w:pPr>
        <w:pStyle w:val="BodyText"/>
        <w:jc w:val="center"/>
        <w:rPr>
          <w:rFonts w:asciiTheme="minorHAnsi" w:hAnsiTheme="minorHAnsi" w:cstheme="minorBidi"/>
          <w:sz w:val="48"/>
          <w:szCs w:val="48"/>
        </w:rPr>
      </w:pPr>
    </w:p>
    <w:p w14:paraId="5D80FF75" w14:textId="78BFBF6B" w:rsidR="0067448A" w:rsidRPr="003E605B" w:rsidRDefault="00F35A42" w:rsidP="00DC403B">
      <w:pPr>
        <w:spacing w:line="276" w:lineRule="auto"/>
        <w:ind w:left="494" w:right="383"/>
        <w:jc w:val="center"/>
        <w:rPr>
          <w:rFonts w:asciiTheme="minorHAnsi" w:hAnsiTheme="minorHAnsi" w:cstheme="minorBidi"/>
          <w:sz w:val="40"/>
          <w:szCs w:val="40"/>
        </w:rPr>
      </w:pPr>
      <w:r w:rsidRPr="003E605B">
        <w:rPr>
          <w:rFonts w:asciiTheme="minorHAnsi" w:hAnsiTheme="minorHAnsi" w:cstheme="minorBidi"/>
          <w:sz w:val="40"/>
          <w:szCs w:val="40"/>
        </w:rPr>
        <w:t xml:space="preserve">Title </w:t>
      </w:r>
      <w:r w:rsidR="008D227A" w:rsidRPr="003E605B">
        <w:rPr>
          <w:rFonts w:asciiTheme="minorHAnsi" w:hAnsiTheme="minorHAnsi" w:cstheme="minorBidi"/>
          <w:sz w:val="40"/>
          <w:szCs w:val="40"/>
        </w:rPr>
        <w:t>I, Part D, Subpart 2</w:t>
      </w:r>
      <w:r w:rsidR="003E605B" w:rsidRPr="003E605B">
        <w:rPr>
          <w:rFonts w:asciiTheme="minorHAnsi" w:hAnsiTheme="minorHAnsi" w:cstheme="minorBidi"/>
          <w:sz w:val="40"/>
          <w:szCs w:val="40"/>
        </w:rPr>
        <w:t xml:space="preserve"> (Neglected and Delinquent)</w:t>
      </w:r>
    </w:p>
    <w:p w14:paraId="7C0316E1" w14:textId="3C600A80" w:rsidR="003E605B" w:rsidRPr="003E605B" w:rsidRDefault="003E605B" w:rsidP="00DC403B">
      <w:pPr>
        <w:spacing w:line="276" w:lineRule="auto"/>
        <w:ind w:left="494" w:right="383"/>
        <w:jc w:val="center"/>
        <w:rPr>
          <w:rFonts w:asciiTheme="minorHAnsi" w:hAnsiTheme="minorHAnsi" w:cstheme="minorBidi"/>
          <w:sz w:val="40"/>
          <w:szCs w:val="40"/>
        </w:rPr>
      </w:pPr>
      <w:r w:rsidRPr="003E605B">
        <w:rPr>
          <w:rFonts w:asciiTheme="minorHAnsi" w:hAnsiTheme="minorHAnsi" w:cstheme="minorBidi"/>
          <w:sz w:val="40"/>
          <w:szCs w:val="40"/>
        </w:rPr>
        <w:t>Resource Guide</w:t>
      </w:r>
    </w:p>
    <w:p w14:paraId="42E09F3F" w14:textId="30FE533A" w:rsidR="00A6490D" w:rsidRPr="006218B1" w:rsidDel="008519E5" w:rsidRDefault="00A6490D" w:rsidP="00DC403B">
      <w:pPr>
        <w:pStyle w:val="BodyText"/>
        <w:spacing w:line="276" w:lineRule="auto"/>
        <w:ind w:left="494" w:right="383"/>
        <w:jc w:val="center"/>
        <w:rPr>
          <w:sz w:val="48"/>
          <w:szCs w:val="48"/>
        </w:rPr>
      </w:pPr>
    </w:p>
    <w:p w14:paraId="3E4A1452" w14:textId="77777777" w:rsidR="00A6490D" w:rsidRPr="006218B1" w:rsidRDefault="00A6490D" w:rsidP="00DC403B">
      <w:pPr>
        <w:pStyle w:val="BodyText"/>
        <w:rPr>
          <w:rFonts w:asciiTheme="minorHAnsi" w:hAnsiTheme="minorHAnsi" w:cstheme="minorHAnsi"/>
          <w:i/>
          <w:sz w:val="20"/>
        </w:rPr>
      </w:pPr>
    </w:p>
    <w:p w14:paraId="3AFA5EDD" w14:textId="77777777" w:rsidR="00A6490D" w:rsidRPr="006218B1" w:rsidRDefault="00A6490D" w:rsidP="00DC403B">
      <w:pPr>
        <w:pStyle w:val="BodyText"/>
        <w:rPr>
          <w:rFonts w:asciiTheme="minorHAnsi" w:hAnsiTheme="minorHAnsi" w:cstheme="minorHAnsi"/>
          <w:i/>
          <w:sz w:val="20"/>
        </w:rPr>
      </w:pPr>
    </w:p>
    <w:p w14:paraId="32160C4B" w14:textId="2AA55725" w:rsidR="00A6490D" w:rsidRDefault="00A6490D" w:rsidP="00DC403B">
      <w:pPr>
        <w:pStyle w:val="BodyText"/>
        <w:rPr>
          <w:rFonts w:asciiTheme="minorHAnsi" w:hAnsiTheme="minorHAnsi" w:cstheme="minorHAnsi"/>
          <w:i/>
          <w:sz w:val="20"/>
        </w:rPr>
      </w:pPr>
    </w:p>
    <w:p w14:paraId="240CE8FB" w14:textId="77777777" w:rsidR="00880FDB" w:rsidRPr="006218B1" w:rsidRDefault="00880FDB" w:rsidP="00DC403B">
      <w:pPr>
        <w:pStyle w:val="BodyText"/>
        <w:rPr>
          <w:rFonts w:asciiTheme="minorHAnsi" w:hAnsiTheme="minorHAnsi" w:cstheme="minorHAnsi"/>
          <w:i/>
          <w:sz w:val="20"/>
        </w:rPr>
      </w:pPr>
    </w:p>
    <w:p w14:paraId="12E26214" w14:textId="6E1ADFAF" w:rsidR="00A6490D" w:rsidRPr="006218B1" w:rsidRDefault="00A6490D" w:rsidP="00DC403B">
      <w:pPr>
        <w:pStyle w:val="BodyText"/>
        <w:rPr>
          <w:rFonts w:asciiTheme="minorHAnsi" w:hAnsiTheme="minorHAnsi" w:cstheme="minorHAnsi"/>
          <w:i/>
          <w:sz w:val="18"/>
        </w:rPr>
      </w:pPr>
    </w:p>
    <w:p w14:paraId="11D96206" w14:textId="77777777" w:rsidR="00A6490D" w:rsidRPr="006218B1" w:rsidRDefault="00A6490D" w:rsidP="00DC403B">
      <w:pPr>
        <w:pStyle w:val="BodyText"/>
        <w:rPr>
          <w:rFonts w:asciiTheme="minorHAnsi" w:hAnsiTheme="minorHAnsi" w:cstheme="minorHAnsi"/>
          <w:i/>
          <w:sz w:val="48"/>
        </w:rPr>
      </w:pPr>
    </w:p>
    <w:p w14:paraId="5D1202F4" w14:textId="2ED1E9A9" w:rsidR="00A6490D" w:rsidRPr="006218B1" w:rsidRDefault="004D156A" w:rsidP="00DC403B">
      <w:pPr>
        <w:ind w:left="382" w:right="383"/>
        <w:jc w:val="center"/>
        <w:rPr>
          <w:rFonts w:asciiTheme="minorHAnsi" w:hAnsiTheme="minorHAnsi" w:cstheme="minorBidi"/>
          <w:sz w:val="40"/>
          <w:szCs w:val="40"/>
        </w:rPr>
      </w:pPr>
      <w:r>
        <w:rPr>
          <w:rFonts w:asciiTheme="minorHAnsi" w:hAnsiTheme="minorHAnsi" w:cstheme="minorBidi"/>
          <w:sz w:val="40"/>
          <w:szCs w:val="40"/>
        </w:rPr>
        <w:t>April</w:t>
      </w:r>
      <w:r w:rsidR="006A52A1">
        <w:rPr>
          <w:rFonts w:asciiTheme="minorHAnsi" w:hAnsiTheme="minorHAnsi" w:cstheme="minorBidi"/>
          <w:sz w:val="40"/>
          <w:szCs w:val="40"/>
        </w:rPr>
        <w:t xml:space="preserve"> 2023</w:t>
      </w:r>
    </w:p>
    <w:p w14:paraId="2DDDB712" w14:textId="77777777" w:rsidR="002F1D0A" w:rsidRPr="006218B1" w:rsidRDefault="002F1D0A" w:rsidP="00DC403B">
      <w:pPr>
        <w:ind w:left="382" w:right="383"/>
        <w:jc w:val="center"/>
        <w:rPr>
          <w:rFonts w:asciiTheme="minorHAnsi" w:hAnsiTheme="minorHAnsi" w:cstheme="minorHAnsi"/>
          <w:sz w:val="40"/>
        </w:rPr>
      </w:pPr>
    </w:p>
    <w:p w14:paraId="04A153BE" w14:textId="1E52A40D" w:rsidR="0056072A" w:rsidRDefault="0056072A" w:rsidP="00DC403B">
      <w:pPr>
        <w:ind w:left="382" w:right="383"/>
        <w:jc w:val="center"/>
        <w:rPr>
          <w:rFonts w:asciiTheme="minorHAnsi" w:hAnsiTheme="minorHAnsi" w:cstheme="minorHAnsi"/>
          <w:sz w:val="40"/>
        </w:rPr>
      </w:pPr>
    </w:p>
    <w:p w14:paraId="7A021A0F" w14:textId="11A82DF5" w:rsidR="00B77FDF" w:rsidRDefault="00B77FDF" w:rsidP="00DC403B">
      <w:pPr>
        <w:ind w:left="382" w:right="383"/>
        <w:jc w:val="center"/>
        <w:rPr>
          <w:rFonts w:asciiTheme="minorHAnsi" w:hAnsiTheme="minorHAnsi" w:cstheme="minorHAnsi"/>
          <w:sz w:val="40"/>
        </w:rPr>
      </w:pPr>
    </w:p>
    <w:p w14:paraId="7BF7CC8B" w14:textId="6C6EE7B4" w:rsidR="00DC403B" w:rsidRDefault="00DC403B" w:rsidP="00DC403B">
      <w:pPr>
        <w:ind w:left="382" w:right="383"/>
        <w:jc w:val="center"/>
        <w:rPr>
          <w:rFonts w:asciiTheme="minorHAnsi" w:hAnsiTheme="minorHAnsi" w:cstheme="minorHAnsi"/>
          <w:sz w:val="40"/>
        </w:rPr>
      </w:pPr>
    </w:p>
    <w:p w14:paraId="75BBE44A" w14:textId="4431ED7C" w:rsidR="00DC403B" w:rsidRDefault="00DC403B" w:rsidP="00DC403B">
      <w:pPr>
        <w:ind w:left="382" w:right="383"/>
        <w:jc w:val="center"/>
        <w:rPr>
          <w:rFonts w:asciiTheme="minorHAnsi" w:hAnsiTheme="minorHAnsi" w:cstheme="minorHAnsi"/>
          <w:sz w:val="40"/>
        </w:rPr>
      </w:pPr>
    </w:p>
    <w:p w14:paraId="4A70789A" w14:textId="57CF7B85" w:rsidR="00DC403B" w:rsidRDefault="00DC403B" w:rsidP="00DC403B">
      <w:pPr>
        <w:ind w:left="382" w:right="383"/>
        <w:jc w:val="center"/>
        <w:rPr>
          <w:rFonts w:asciiTheme="minorHAnsi" w:hAnsiTheme="minorHAnsi" w:cstheme="minorHAnsi"/>
          <w:sz w:val="40"/>
        </w:rPr>
      </w:pPr>
    </w:p>
    <w:p w14:paraId="4DC27369" w14:textId="37D251AC" w:rsidR="00DC403B" w:rsidRDefault="00DC403B" w:rsidP="00DC403B">
      <w:pPr>
        <w:ind w:left="382" w:right="383"/>
        <w:jc w:val="center"/>
        <w:rPr>
          <w:rFonts w:asciiTheme="minorHAnsi" w:hAnsiTheme="minorHAnsi" w:cstheme="minorHAnsi"/>
          <w:sz w:val="40"/>
        </w:rPr>
      </w:pPr>
    </w:p>
    <w:p w14:paraId="1A93F4C0" w14:textId="77777777" w:rsidR="00DC403B" w:rsidRDefault="00DC403B" w:rsidP="00DC403B">
      <w:pPr>
        <w:ind w:left="382" w:right="383"/>
        <w:jc w:val="center"/>
        <w:rPr>
          <w:rFonts w:asciiTheme="minorHAnsi" w:hAnsiTheme="minorHAnsi" w:cstheme="minorHAnsi"/>
          <w:sz w:val="40"/>
        </w:rPr>
      </w:pPr>
    </w:p>
    <w:p w14:paraId="38BD64F2" w14:textId="77777777" w:rsidR="003E605B" w:rsidRPr="003E605B" w:rsidRDefault="003E605B" w:rsidP="00DC403B">
      <w:pPr>
        <w:ind w:left="382" w:right="383"/>
        <w:jc w:val="center"/>
        <w:rPr>
          <w:rFonts w:asciiTheme="minorHAnsi" w:hAnsiTheme="minorHAnsi" w:cstheme="minorHAnsi"/>
          <w:sz w:val="6"/>
          <w:szCs w:val="6"/>
        </w:rPr>
      </w:pPr>
    </w:p>
    <w:p w14:paraId="4A00B961" w14:textId="77777777" w:rsidR="002F1D0A" w:rsidRPr="006218B1" w:rsidRDefault="002F1D0A" w:rsidP="00DC403B">
      <w:pPr>
        <w:jc w:val="center"/>
        <w:rPr>
          <w:rFonts w:asciiTheme="minorHAnsi" w:hAnsiTheme="minorHAnsi" w:cstheme="minorHAnsi"/>
          <w:b/>
        </w:rPr>
      </w:pPr>
      <w:r w:rsidRPr="006218B1">
        <w:rPr>
          <w:rFonts w:asciiTheme="minorHAnsi" w:hAnsiTheme="minorHAnsi" w:cstheme="minorHAnsi"/>
          <w:b/>
        </w:rPr>
        <w:t>Massachusetts Department of Elementary and Secondary Education</w:t>
      </w:r>
    </w:p>
    <w:p w14:paraId="18D4A26C" w14:textId="77777777" w:rsidR="002F1D0A" w:rsidRPr="006218B1" w:rsidRDefault="002F1D0A" w:rsidP="00DC403B">
      <w:pPr>
        <w:jc w:val="center"/>
        <w:rPr>
          <w:rFonts w:asciiTheme="minorHAnsi" w:hAnsiTheme="minorHAnsi" w:cstheme="minorHAnsi"/>
        </w:rPr>
      </w:pPr>
      <w:r w:rsidRPr="006218B1">
        <w:rPr>
          <w:rFonts w:asciiTheme="minorHAnsi" w:hAnsiTheme="minorHAnsi" w:cstheme="minorHAnsi"/>
        </w:rPr>
        <w:t>75 Pleasant Street</w:t>
      </w:r>
    </w:p>
    <w:p w14:paraId="3067B717" w14:textId="77777777" w:rsidR="002F1D0A" w:rsidRPr="006218B1" w:rsidRDefault="002F1D0A" w:rsidP="00DC403B">
      <w:pPr>
        <w:jc w:val="center"/>
        <w:rPr>
          <w:rFonts w:asciiTheme="minorHAnsi" w:hAnsiTheme="minorHAnsi" w:cstheme="minorHAnsi"/>
        </w:rPr>
      </w:pPr>
      <w:r w:rsidRPr="006218B1">
        <w:rPr>
          <w:rFonts w:asciiTheme="minorHAnsi" w:hAnsiTheme="minorHAnsi" w:cstheme="minorHAnsi"/>
        </w:rPr>
        <w:t>Malden, MA  02148</w:t>
      </w:r>
    </w:p>
    <w:p w14:paraId="15E7CD7E" w14:textId="77777777" w:rsidR="002F1D0A" w:rsidRPr="006218B1" w:rsidRDefault="002F1D0A" w:rsidP="00DC403B">
      <w:pPr>
        <w:jc w:val="center"/>
        <w:rPr>
          <w:rFonts w:asciiTheme="minorHAnsi" w:hAnsiTheme="minorHAnsi" w:cstheme="minorHAnsi"/>
        </w:rPr>
      </w:pPr>
      <w:r w:rsidRPr="006218B1">
        <w:rPr>
          <w:rFonts w:asciiTheme="minorHAnsi" w:hAnsiTheme="minorHAnsi" w:cstheme="minorHAnsi"/>
        </w:rPr>
        <w:t>Phone: (781) 338-6230</w:t>
      </w:r>
    </w:p>
    <w:p w14:paraId="1169BD04" w14:textId="3921253E" w:rsidR="002F1D0A" w:rsidRDefault="002F1D0A" w:rsidP="00DC403B">
      <w:pPr>
        <w:ind w:left="382" w:right="383"/>
        <w:rPr>
          <w:rFonts w:asciiTheme="minorHAnsi" w:hAnsiTheme="minorHAnsi" w:cstheme="minorHAnsi"/>
          <w:szCs w:val="12"/>
        </w:rPr>
      </w:pPr>
    </w:p>
    <w:p w14:paraId="479E9DE7" w14:textId="2B1C93B7" w:rsidR="00DC403B" w:rsidRDefault="00DC403B" w:rsidP="00DC403B">
      <w:pPr>
        <w:ind w:left="382" w:right="383"/>
        <w:rPr>
          <w:rFonts w:asciiTheme="minorHAnsi" w:hAnsiTheme="minorHAnsi" w:cstheme="minorHAnsi"/>
          <w:szCs w:val="12"/>
        </w:rPr>
      </w:pPr>
    </w:p>
    <w:p w14:paraId="025BA36F" w14:textId="10998589" w:rsidR="00DC403B" w:rsidRDefault="00DC403B" w:rsidP="00DC403B">
      <w:pPr>
        <w:ind w:left="382" w:right="383"/>
        <w:rPr>
          <w:rFonts w:asciiTheme="minorHAnsi" w:hAnsiTheme="minorHAnsi" w:cstheme="minorHAnsi"/>
          <w:szCs w:val="12"/>
        </w:rPr>
      </w:pPr>
    </w:p>
    <w:p w14:paraId="6CA492B0" w14:textId="77777777" w:rsidR="00DC403B" w:rsidRPr="003E605B" w:rsidRDefault="00DC403B" w:rsidP="00DC403B">
      <w:pPr>
        <w:ind w:left="382" w:right="383"/>
        <w:rPr>
          <w:rFonts w:asciiTheme="minorHAnsi" w:hAnsiTheme="minorHAnsi" w:cstheme="minorHAnsi"/>
          <w:szCs w:val="12"/>
        </w:rPr>
      </w:pPr>
    </w:p>
    <w:sdt>
      <w:sdtPr>
        <w:rPr>
          <w:rFonts w:ascii="Calibri" w:eastAsia="Calibri" w:hAnsi="Calibri" w:cs="Calibri"/>
          <w:color w:val="1F497D" w:themeColor="text2"/>
          <w:sz w:val="22"/>
          <w:szCs w:val="22"/>
        </w:rPr>
        <w:id w:val="-232846076"/>
        <w:docPartObj>
          <w:docPartGallery w:val="Table of Contents"/>
          <w:docPartUnique/>
        </w:docPartObj>
      </w:sdtPr>
      <w:sdtEndPr>
        <w:rPr>
          <w:b/>
          <w:bCs/>
          <w:noProof/>
          <w:color w:val="auto"/>
        </w:rPr>
      </w:sdtEndPr>
      <w:sdtContent>
        <w:p w14:paraId="06508724" w14:textId="43F715E9" w:rsidR="00BF1446" w:rsidRPr="00C56CCF" w:rsidRDefault="00BF1446" w:rsidP="00DC403B">
          <w:pPr>
            <w:pStyle w:val="TOCHeading"/>
            <w:spacing w:before="0"/>
            <w:rPr>
              <w:rFonts w:asciiTheme="minorHAnsi" w:hAnsiTheme="minorHAnsi" w:cstheme="minorHAnsi"/>
              <w:b/>
              <w:bCs/>
              <w:color w:val="1F497D" w:themeColor="text2"/>
            </w:rPr>
          </w:pPr>
          <w:r w:rsidRPr="00C56CCF">
            <w:rPr>
              <w:rFonts w:asciiTheme="minorHAnsi" w:hAnsiTheme="minorHAnsi" w:cstheme="minorHAnsi"/>
              <w:b/>
              <w:bCs/>
              <w:color w:val="1F497D" w:themeColor="text2"/>
            </w:rPr>
            <w:t>Table of Contents</w:t>
          </w:r>
        </w:p>
        <w:p w14:paraId="6B94AF12" w14:textId="40E46A3C" w:rsidR="008F7544" w:rsidRDefault="00BF1446">
          <w:pPr>
            <w:pStyle w:val="TOC1"/>
            <w:tabs>
              <w:tab w:val="right" w:leader="dot" w:pos="97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3221631" w:history="1">
            <w:r w:rsidR="008F7544" w:rsidRPr="00F17504">
              <w:rPr>
                <w:rStyle w:val="Hyperlink"/>
                <w:b/>
                <w:bCs/>
                <w:noProof/>
              </w:rPr>
              <w:t>Introduction</w:t>
            </w:r>
            <w:r w:rsidR="008F7544">
              <w:rPr>
                <w:noProof/>
                <w:webHidden/>
              </w:rPr>
              <w:tab/>
            </w:r>
            <w:r w:rsidR="008F7544">
              <w:rPr>
                <w:noProof/>
                <w:webHidden/>
              </w:rPr>
              <w:fldChar w:fldCharType="begin"/>
            </w:r>
            <w:r w:rsidR="008F7544">
              <w:rPr>
                <w:noProof/>
                <w:webHidden/>
              </w:rPr>
              <w:instrText xml:space="preserve"> PAGEREF _Toc133221631 \h </w:instrText>
            </w:r>
            <w:r w:rsidR="008F7544">
              <w:rPr>
                <w:noProof/>
                <w:webHidden/>
              </w:rPr>
            </w:r>
            <w:r w:rsidR="008F7544">
              <w:rPr>
                <w:noProof/>
                <w:webHidden/>
              </w:rPr>
              <w:fldChar w:fldCharType="separate"/>
            </w:r>
            <w:r w:rsidR="008F7544">
              <w:rPr>
                <w:noProof/>
                <w:webHidden/>
              </w:rPr>
              <w:t>3</w:t>
            </w:r>
            <w:r w:rsidR="008F7544">
              <w:rPr>
                <w:noProof/>
                <w:webHidden/>
              </w:rPr>
              <w:fldChar w:fldCharType="end"/>
            </w:r>
          </w:hyperlink>
        </w:p>
        <w:p w14:paraId="420D3A5A" w14:textId="75C94E58" w:rsidR="008F7544" w:rsidRDefault="00181F64">
          <w:pPr>
            <w:pStyle w:val="TOC1"/>
            <w:tabs>
              <w:tab w:val="right" w:leader="dot" w:pos="9750"/>
            </w:tabs>
            <w:rPr>
              <w:rFonts w:asciiTheme="minorHAnsi" w:eastAsiaTheme="minorEastAsia" w:hAnsiTheme="minorHAnsi" w:cstheme="minorBidi"/>
              <w:noProof/>
            </w:rPr>
          </w:pPr>
          <w:hyperlink w:anchor="_Toc133221632" w:history="1">
            <w:r w:rsidR="008F7544" w:rsidRPr="00F17504">
              <w:rPr>
                <w:rStyle w:val="Hyperlink"/>
                <w:b/>
                <w:bCs/>
                <w:noProof/>
              </w:rPr>
              <w:t>Allowable Uses of Funds</w:t>
            </w:r>
            <w:r w:rsidR="008F7544">
              <w:rPr>
                <w:noProof/>
                <w:webHidden/>
              </w:rPr>
              <w:tab/>
            </w:r>
            <w:r w:rsidR="008F7544">
              <w:rPr>
                <w:noProof/>
                <w:webHidden/>
              </w:rPr>
              <w:fldChar w:fldCharType="begin"/>
            </w:r>
            <w:r w:rsidR="008F7544">
              <w:rPr>
                <w:noProof/>
                <w:webHidden/>
              </w:rPr>
              <w:instrText xml:space="preserve"> PAGEREF _Toc133221632 \h </w:instrText>
            </w:r>
            <w:r w:rsidR="008F7544">
              <w:rPr>
                <w:noProof/>
                <w:webHidden/>
              </w:rPr>
            </w:r>
            <w:r w:rsidR="008F7544">
              <w:rPr>
                <w:noProof/>
                <w:webHidden/>
              </w:rPr>
              <w:fldChar w:fldCharType="separate"/>
            </w:r>
            <w:r w:rsidR="008F7544">
              <w:rPr>
                <w:noProof/>
                <w:webHidden/>
              </w:rPr>
              <w:t>3</w:t>
            </w:r>
            <w:r w:rsidR="008F7544">
              <w:rPr>
                <w:noProof/>
                <w:webHidden/>
              </w:rPr>
              <w:fldChar w:fldCharType="end"/>
            </w:r>
          </w:hyperlink>
        </w:p>
        <w:p w14:paraId="10846F6E" w14:textId="1B8BD41C" w:rsidR="008F7544" w:rsidRDefault="00181F64">
          <w:pPr>
            <w:pStyle w:val="TOC1"/>
            <w:tabs>
              <w:tab w:val="right" w:leader="dot" w:pos="9750"/>
            </w:tabs>
            <w:rPr>
              <w:rFonts w:asciiTheme="minorHAnsi" w:eastAsiaTheme="minorEastAsia" w:hAnsiTheme="minorHAnsi" w:cstheme="minorBidi"/>
              <w:noProof/>
            </w:rPr>
          </w:pPr>
          <w:hyperlink w:anchor="_Toc133221633" w:history="1">
            <w:r w:rsidR="008F7544" w:rsidRPr="00F17504">
              <w:rPr>
                <w:rStyle w:val="Hyperlink"/>
                <w:b/>
                <w:bCs/>
                <w:noProof/>
              </w:rPr>
              <w:t>Title I, D-2 Definitions</w:t>
            </w:r>
            <w:r w:rsidR="008F7544">
              <w:rPr>
                <w:noProof/>
                <w:webHidden/>
              </w:rPr>
              <w:tab/>
            </w:r>
            <w:r w:rsidR="008F7544">
              <w:rPr>
                <w:noProof/>
                <w:webHidden/>
              </w:rPr>
              <w:fldChar w:fldCharType="begin"/>
            </w:r>
            <w:r w:rsidR="008F7544">
              <w:rPr>
                <w:noProof/>
                <w:webHidden/>
              </w:rPr>
              <w:instrText xml:space="preserve"> PAGEREF _Toc133221633 \h </w:instrText>
            </w:r>
            <w:r w:rsidR="008F7544">
              <w:rPr>
                <w:noProof/>
                <w:webHidden/>
              </w:rPr>
            </w:r>
            <w:r w:rsidR="008F7544">
              <w:rPr>
                <w:noProof/>
                <w:webHidden/>
              </w:rPr>
              <w:fldChar w:fldCharType="separate"/>
            </w:r>
            <w:r w:rsidR="008F7544">
              <w:rPr>
                <w:noProof/>
                <w:webHidden/>
              </w:rPr>
              <w:t>6</w:t>
            </w:r>
            <w:r w:rsidR="008F7544">
              <w:rPr>
                <w:noProof/>
                <w:webHidden/>
              </w:rPr>
              <w:fldChar w:fldCharType="end"/>
            </w:r>
          </w:hyperlink>
        </w:p>
        <w:p w14:paraId="43B3958B" w14:textId="10960B60" w:rsidR="008F7544" w:rsidRDefault="00181F64">
          <w:pPr>
            <w:pStyle w:val="TOC1"/>
            <w:tabs>
              <w:tab w:val="right" w:leader="dot" w:pos="9750"/>
            </w:tabs>
            <w:rPr>
              <w:rFonts w:asciiTheme="minorHAnsi" w:eastAsiaTheme="minorEastAsia" w:hAnsiTheme="minorHAnsi" w:cstheme="minorBidi"/>
              <w:noProof/>
            </w:rPr>
          </w:pPr>
          <w:hyperlink w:anchor="_Toc133221634" w:history="1">
            <w:r w:rsidR="008F7544" w:rsidRPr="00F17504">
              <w:rPr>
                <w:rStyle w:val="Hyperlink"/>
                <w:b/>
                <w:bCs/>
                <w:noProof/>
              </w:rPr>
              <w:t>District Responsibilities</w:t>
            </w:r>
            <w:r w:rsidR="008F7544">
              <w:rPr>
                <w:noProof/>
                <w:webHidden/>
              </w:rPr>
              <w:tab/>
            </w:r>
            <w:r w:rsidR="008F7544">
              <w:rPr>
                <w:noProof/>
                <w:webHidden/>
              </w:rPr>
              <w:fldChar w:fldCharType="begin"/>
            </w:r>
            <w:r w:rsidR="008F7544">
              <w:rPr>
                <w:noProof/>
                <w:webHidden/>
              </w:rPr>
              <w:instrText xml:space="preserve"> PAGEREF _Toc133221634 \h </w:instrText>
            </w:r>
            <w:r w:rsidR="008F7544">
              <w:rPr>
                <w:noProof/>
                <w:webHidden/>
              </w:rPr>
            </w:r>
            <w:r w:rsidR="008F7544">
              <w:rPr>
                <w:noProof/>
                <w:webHidden/>
              </w:rPr>
              <w:fldChar w:fldCharType="separate"/>
            </w:r>
            <w:r w:rsidR="008F7544">
              <w:rPr>
                <w:noProof/>
                <w:webHidden/>
              </w:rPr>
              <w:t>7</w:t>
            </w:r>
            <w:r w:rsidR="008F7544">
              <w:rPr>
                <w:noProof/>
                <w:webHidden/>
              </w:rPr>
              <w:fldChar w:fldCharType="end"/>
            </w:r>
          </w:hyperlink>
        </w:p>
        <w:p w14:paraId="5B7CD361" w14:textId="61DC111A" w:rsidR="008F7544" w:rsidRDefault="00181F64">
          <w:pPr>
            <w:pStyle w:val="TOC1"/>
            <w:tabs>
              <w:tab w:val="right" w:leader="dot" w:pos="9750"/>
            </w:tabs>
            <w:rPr>
              <w:rFonts w:asciiTheme="minorHAnsi" w:eastAsiaTheme="minorEastAsia" w:hAnsiTheme="minorHAnsi" w:cstheme="minorBidi"/>
              <w:noProof/>
            </w:rPr>
          </w:pPr>
          <w:hyperlink w:anchor="_Toc133221635" w:history="1">
            <w:r w:rsidR="008F7544" w:rsidRPr="00F17504">
              <w:rPr>
                <w:rStyle w:val="Hyperlink"/>
                <w:b/>
                <w:bCs/>
                <w:noProof/>
              </w:rPr>
              <w:t>Formal Agreements</w:t>
            </w:r>
            <w:r w:rsidR="008F7544">
              <w:rPr>
                <w:noProof/>
                <w:webHidden/>
              </w:rPr>
              <w:tab/>
            </w:r>
            <w:r w:rsidR="008F7544">
              <w:rPr>
                <w:noProof/>
                <w:webHidden/>
              </w:rPr>
              <w:fldChar w:fldCharType="begin"/>
            </w:r>
            <w:r w:rsidR="008F7544">
              <w:rPr>
                <w:noProof/>
                <w:webHidden/>
              </w:rPr>
              <w:instrText xml:space="preserve"> PAGEREF _Toc133221635 \h </w:instrText>
            </w:r>
            <w:r w:rsidR="008F7544">
              <w:rPr>
                <w:noProof/>
                <w:webHidden/>
              </w:rPr>
            </w:r>
            <w:r w:rsidR="008F7544">
              <w:rPr>
                <w:noProof/>
                <w:webHidden/>
              </w:rPr>
              <w:fldChar w:fldCharType="separate"/>
            </w:r>
            <w:r w:rsidR="008F7544">
              <w:rPr>
                <w:noProof/>
                <w:webHidden/>
              </w:rPr>
              <w:t>8</w:t>
            </w:r>
            <w:r w:rsidR="008F7544">
              <w:rPr>
                <w:noProof/>
                <w:webHidden/>
              </w:rPr>
              <w:fldChar w:fldCharType="end"/>
            </w:r>
          </w:hyperlink>
        </w:p>
        <w:p w14:paraId="5EC620EE" w14:textId="002B2FD8" w:rsidR="008F7544" w:rsidRDefault="00181F64">
          <w:pPr>
            <w:pStyle w:val="TOC1"/>
            <w:tabs>
              <w:tab w:val="right" w:leader="dot" w:pos="9750"/>
            </w:tabs>
            <w:rPr>
              <w:rFonts w:asciiTheme="minorHAnsi" w:eastAsiaTheme="minorEastAsia" w:hAnsiTheme="minorHAnsi" w:cstheme="minorBidi"/>
              <w:noProof/>
            </w:rPr>
          </w:pPr>
          <w:hyperlink w:anchor="_Toc133221636" w:history="1">
            <w:r w:rsidR="008F7544" w:rsidRPr="00F17504">
              <w:rPr>
                <w:rStyle w:val="Hyperlink"/>
                <w:b/>
                <w:bCs/>
                <w:noProof/>
              </w:rPr>
              <w:t>Data Reporting Requirements</w:t>
            </w:r>
            <w:r w:rsidR="008F7544">
              <w:rPr>
                <w:noProof/>
                <w:webHidden/>
              </w:rPr>
              <w:tab/>
            </w:r>
            <w:r w:rsidR="008F7544">
              <w:rPr>
                <w:noProof/>
                <w:webHidden/>
              </w:rPr>
              <w:fldChar w:fldCharType="begin"/>
            </w:r>
            <w:r w:rsidR="008F7544">
              <w:rPr>
                <w:noProof/>
                <w:webHidden/>
              </w:rPr>
              <w:instrText xml:space="preserve"> PAGEREF _Toc133221636 \h </w:instrText>
            </w:r>
            <w:r w:rsidR="008F7544">
              <w:rPr>
                <w:noProof/>
                <w:webHidden/>
              </w:rPr>
            </w:r>
            <w:r w:rsidR="008F7544">
              <w:rPr>
                <w:noProof/>
                <w:webHidden/>
              </w:rPr>
              <w:fldChar w:fldCharType="separate"/>
            </w:r>
            <w:r w:rsidR="008F7544">
              <w:rPr>
                <w:noProof/>
                <w:webHidden/>
              </w:rPr>
              <w:t>8</w:t>
            </w:r>
            <w:r w:rsidR="008F7544">
              <w:rPr>
                <w:noProof/>
                <w:webHidden/>
              </w:rPr>
              <w:fldChar w:fldCharType="end"/>
            </w:r>
          </w:hyperlink>
        </w:p>
        <w:p w14:paraId="71EA2B7E" w14:textId="4297BCFD" w:rsidR="008F7544" w:rsidRDefault="00181F64">
          <w:pPr>
            <w:pStyle w:val="TOC1"/>
            <w:tabs>
              <w:tab w:val="right" w:leader="dot" w:pos="9750"/>
            </w:tabs>
            <w:rPr>
              <w:rFonts w:asciiTheme="minorHAnsi" w:eastAsiaTheme="minorEastAsia" w:hAnsiTheme="minorHAnsi" w:cstheme="minorBidi"/>
              <w:noProof/>
            </w:rPr>
          </w:pPr>
          <w:hyperlink w:anchor="_Toc133221637" w:history="1">
            <w:r w:rsidR="008F7544" w:rsidRPr="00F17504">
              <w:rPr>
                <w:rStyle w:val="Hyperlink"/>
                <w:b/>
                <w:bCs/>
                <w:noProof/>
              </w:rPr>
              <w:t>Changes to a Neglected/Delinquent Facility Status</w:t>
            </w:r>
            <w:r w:rsidR="008F7544">
              <w:rPr>
                <w:noProof/>
                <w:webHidden/>
              </w:rPr>
              <w:tab/>
            </w:r>
            <w:r w:rsidR="008F7544">
              <w:rPr>
                <w:noProof/>
                <w:webHidden/>
              </w:rPr>
              <w:fldChar w:fldCharType="begin"/>
            </w:r>
            <w:r w:rsidR="008F7544">
              <w:rPr>
                <w:noProof/>
                <w:webHidden/>
              </w:rPr>
              <w:instrText xml:space="preserve"> PAGEREF _Toc133221637 \h </w:instrText>
            </w:r>
            <w:r w:rsidR="008F7544">
              <w:rPr>
                <w:noProof/>
                <w:webHidden/>
              </w:rPr>
            </w:r>
            <w:r w:rsidR="008F7544">
              <w:rPr>
                <w:noProof/>
                <w:webHidden/>
              </w:rPr>
              <w:fldChar w:fldCharType="separate"/>
            </w:r>
            <w:r w:rsidR="008F7544">
              <w:rPr>
                <w:noProof/>
                <w:webHidden/>
              </w:rPr>
              <w:t>10</w:t>
            </w:r>
            <w:r w:rsidR="008F7544">
              <w:rPr>
                <w:noProof/>
                <w:webHidden/>
              </w:rPr>
              <w:fldChar w:fldCharType="end"/>
            </w:r>
          </w:hyperlink>
        </w:p>
        <w:p w14:paraId="3F93633B" w14:textId="4A792CB6" w:rsidR="008F7544" w:rsidRDefault="00181F64">
          <w:pPr>
            <w:pStyle w:val="TOC1"/>
            <w:tabs>
              <w:tab w:val="right" w:leader="dot" w:pos="9750"/>
            </w:tabs>
            <w:rPr>
              <w:rFonts w:asciiTheme="minorHAnsi" w:eastAsiaTheme="minorEastAsia" w:hAnsiTheme="minorHAnsi" w:cstheme="minorBidi"/>
              <w:noProof/>
            </w:rPr>
          </w:pPr>
          <w:hyperlink w:anchor="_Toc133221638" w:history="1">
            <w:r w:rsidR="008F7544" w:rsidRPr="00F17504">
              <w:rPr>
                <w:rStyle w:val="Hyperlink"/>
                <w:b/>
                <w:bCs/>
                <w:noProof/>
              </w:rPr>
              <w:t>District Title I, D-2 Application to DESE</w:t>
            </w:r>
            <w:r w:rsidR="008F7544">
              <w:rPr>
                <w:noProof/>
                <w:webHidden/>
              </w:rPr>
              <w:tab/>
            </w:r>
            <w:r w:rsidR="008F7544">
              <w:rPr>
                <w:noProof/>
                <w:webHidden/>
              </w:rPr>
              <w:fldChar w:fldCharType="begin"/>
            </w:r>
            <w:r w:rsidR="008F7544">
              <w:rPr>
                <w:noProof/>
                <w:webHidden/>
              </w:rPr>
              <w:instrText xml:space="preserve"> PAGEREF _Toc133221638 \h </w:instrText>
            </w:r>
            <w:r w:rsidR="008F7544">
              <w:rPr>
                <w:noProof/>
                <w:webHidden/>
              </w:rPr>
            </w:r>
            <w:r w:rsidR="008F7544">
              <w:rPr>
                <w:noProof/>
                <w:webHidden/>
              </w:rPr>
              <w:fldChar w:fldCharType="separate"/>
            </w:r>
            <w:r w:rsidR="008F7544">
              <w:rPr>
                <w:noProof/>
                <w:webHidden/>
              </w:rPr>
              <w:t>11</w:t>
            </w:r>
            <w:r w:rsidR="008F7544">
              <w:rPr>
                <w:noProof/>
                <w:webHidden/>
              </w:rPr>
              <w:fldChar w:fldCharType="end"/>
            </w:r>
          </w:hyperlink>
        </w:p>
        <w:p w14:paraId="14529BFD" w14:textId="2D113396" w:rsidR="008F7544" w:rsidRDefault="00181F64">
          <w:pPr>
            <w:pStyle w:val="TOC1"/>
            <w:tabs>
              <w:tab w:val="right" w:leader="dot" w:pos="9750"/>
            </w:tabs>
            <w:rPr>
              <w:rFonts w:asciiTheme="minorHAnsi" w:eastAsiaTheme="minorEastAsia" w:hAnsiTheme="minorHAnsi" w:cstheme="minorBidi"/>
              <w:noProof/>
            </w:rPr>
          </w:pPr>
          <w:hyperlink w:anchor="_Toc133221639" w:history="1">
            <w:r w:rsidR="008F7544" w:rsidRPr="00F17504">
              <w:rPr>
                <w:rStyle w:val="Hyperlink"/>
                <w:b/>
                <w:bCs/>
                <w:noProof/>
              </w:rPr>
              <w:t>Year-at-a-Glance Calendar</w:t>
            </w:r>
            <w:r w:rsidR="008F7544">
              <w:rPr>
                <w:noProof/>
                <w:webHidden/>
              </w:rPr>
              <w:tab/>
            </w:r>
            <w:r w:rsidR="008F7544">
              <w:rPr>
                <w:noProof/>
                <w:webHidden/>
              </w:rPr>
              <w:fldChar w:fldCharType="begin"/>
            </w:r>
            <w:r w:rsidR="008F7544">
              <w:rPr>
                <w:noProof/>
                <w:webHidden/>
              </w:rPr>
              <w:instrText xml:space="preserve"> PAGEREF _Toc133221639 \h </w:instrText>
            </w:r>
            <w:r w:rsidR="008F7544">
              <w:rPr>
                <w:noProof/>
                <w:webHidden/>
              </w:rPr>
            </w:r>
            <w:r w:rsidR="008F7544">
              <w:rPr>
                <w:noProof/>
                <w:webHidden/>
              </w:rPr>
              <w:fldChar w:fldCharType="separate"/>
            </w:r>
            <w:r w:rsidR="008F7544">
              <w:rPr>
                <w:noProof/>
                <w:webHidden/>
              </w:rPr>
              <w:t>12</w:t>
            </w:r>
            <w:r w:rsidR="008F7544">
              <w:rPr>
                <w:noProof/>
                <w:webHidden/>
              </w:rPr>
              <w:fldChar w:fldCharType="end"/>
            </w:r>
          </w:hyperlink>
        </w:p>
        <w:p w14:paraId="4036EC50" w14:textId="0FE728BA" w:rsidR="008F7544" w:rsidRDefault="00181F64">
          <w:pPr>
            <w:pStyle w:val="TOC1"/>
            <w:tabs>
              <w:tab w:val="right" w:leader="dot" w:pos="9750"/>
            </w:tabs>
            <w:rPr>
              <w:rFonts w:asciiTheme="minorHAnsi" w:eastAsiaTheme="minorEastAsia" w:hAnsiTheme="minorHAnsi" w:cstheme="minorBidi"/>
              <w:noProof/>
            </w:rPr>
          </w:pPr>
          <w:hyperlink w:anchor="_Toc133221640" w:history="1">
            <w:r w:rsidR="008F7544" w:rsidRPr="00F17504">
              <w:rPr>
                <w:rStyle w:val="Hyperlink"/>
                <w:b/>
                <w:bCs/>
                <w:noProof/>
              </w:rPr>
              <w:t>Additional Resources</w:t>
            </w:r>
            <w:r w:rsidR="008F7544">
              <w:rPr>
                <w:noProof/>
                <w:webHidden/>
              </w:rPr>
              <w:tab/>
            </w:r>
            <w:r w:rsidR="008F7544">
              <w:rPr>
                <w:noProof/>
                <w:webHidden/>
              </w:rPr>
              <w:fldChar w:fldCharType="begin"/>
            </w:r>
            <w:r w:rsidR="008F7544">
              <w:rPr>
                <w:noProof/>
                <w:webHidden/>
              </w:rPr>
              <w:instrText xml:space="preserve"> PAGEREF _Toc133221640 \h </w:instrText>
            </w:r>
            <w:r w:rsidR="008F7544">
              <w:rPr>
                <w:noProof/>
                <w:webHidden/>
              </w:rPr>
            </w:r>
            <w:r w:rsidR="008F7544">
              <w:rPr>
                <w:noProof/>
                <w:webHidden/>
              </w:rPr>
              <w:fldChar w:fldCharType="separate"/>
            </w:r>
            <w:r w:rsidR="008F7544">
              <w:rPr>
                <w:noProof/>
                <w:webHidden/>
              </w:rPr>
              <w:t>13</w:t>
            </w:r>
            <w:r w:rsidR="008F7544">
              <w:rPr>
                <w:noProof/>
                <w:webHidden/>
              </w:rPr>
              <w:fldChar w:fldCharType="end"/>
            </w:r>
          </w:hyperlink>
        </w:p>
        <w:p w14:paraId="5A5D18D6" w14:textId="161483C5" w:rsidR="00BF1446" w:rsidRDefault="00BF1446" w:rsidP="00DC403B">
          <w:r>
            <w:rPr>
              <w:b/>
              <w:bCs/>
              <w:noProof/>
            </w:rPr>
            <w:fldChar w:fldCharType="end"/>
          </w:r>
        </w:p>
      </w:sdtContent>
    </w:sdt>
    <w:p w14:paraId="5D029780" w14:textId="5386CEB6" w:rsidR="00BF1446" w:rsidRDefault="00980DB8" w:rsidP="00DC403B">
      <w:pPr>
        <w:tabs>
          <w:tab w:val="left" w:pos="2235"/>
        </w:tabs>
        <w:ind w:left="382" w:right="383"/>
        <w:rPr>
          <w:rFonts w:asciiTheme="minorHAnsi" w:hAnsiTheme="minorHAnsi" w:cstheme="minorHAnsi"/>
          <w:sz w:val="40"/>
        </w:rPr>
      </w:pPr>
      <w:r>
        <w:rPr>
          <w:rFonts w:asciiTheme="minorHAnsi" w:hAnsiTheme="minorHAnsi" w:cstheme="minorHAnsi"/>
          <w:sz w:val="40"/>
        </w:rPr>
        <w:tab/>
      </w:r>
    </w:p>
    <w:p w14:paraId="14F98D01" w14:textId="2A37B0EB" w:rsidR="00980DB8" w:rsidRPr="00980DB8" w:rsidRDefault="00980DB8" w:rsidP="00DC403B">
      <w:pPr>
        <w:tabs>
          <w:tab w:val="left" w:pos="2235"/>
        </w:tabs>
        <w:rPr>
          <w:rFonts w:asciiTheme="minorHAnsi" w:hAnsiTheme="minorHAnsi" w:cstheme="minorHAnsi"/>
          <w:sz w:val="40"/>
        </w:rPr>
        <w:sectPr w:rsidR="00980DB8" w:rsidRPr="00980DB8">
          <w:type w:val="continuous"/>
          <w:pgSz w:w="12240" w:h="15840"/>
          <w:pgMar w:top="1460" w:right="1240" w:bottom="280" w:left="1240" w:header="720" w:footer="720" w:gutter="0"/>
          <w:cols w:space="720"/>
        </w:sectPr>
      </w:pPr>
      <w:r>
        <w:rPr>
          <w:rFonts w:asciiTheme="minorHAnsi" w:hAnsiTheme="minorHAnsi" w:cstheme="minorHAnsi"/>
          <w:sz w:val="40"/>
        </w:rPr>
        <w:tab/>
      </w:r>
    </w:p>
    <w:p w14:paraId="4076A76F" w14:textId="465D0612" w:rsidR="00D56798" w:rsidRPr="00DC403B" w:rsidRDefault="00D56798" w:rsidP="00DC403B">
      <w:pPr>
        <w:pStyle w:val="Heading1"/>
        <w:spacing w:before="0"/>
        <w:ind w:left="0"/>
        <w:rPr>
          <w:b/>
          <w:bCs/>
          <w:color w:val="1F497D" w:themeColor="text2"/>
          <w:sz w:val="28"/>
          <w:szCs w:val="28"/>
        </w:rPr>
      </w:pPr>
      <w:bookmarkStart w:id="0" w:name="_Toc133221631"/>
      <w:r w:rsidRPr="00DC403B">
        <w:rPr>
          <w:b/>
          <w:bCs/>
          <w:color w:val="1F497D" w:themeColor="text2"/>
          <w:sz w:val="28"/>
          <w:szCs w:val="28"/>
        </w:rPr>
        <w:lastRenderedPageBreak/>
        <w:t>Introduction</w:t>
      </w:r>
      <w:bookmarkEnd w:id="0"/>
    </w:p>
    <w:p w14:paraId="7D61532A" w14:textId="77777777" w:rsidR="004D7061" w:rsidRPr="006613D4" w:rsidRDefault="004D7061" w:rsidP="00DC403B">
      <w:pPr>
        <w:widowControl/>
        <w:autoSpaceDE/>
        <w:autoSpaceDN/>
        <w:rPr>
          <w:rFonts w:cs="Times New Roman"/>
          <w:sz w:val="12"/>
          <w:szCs w:val="12"/>
        </w:rPr>
      </w:pPr>
    </w:p>
    <w:p w14:paraId="6C07339D" w14:textId="512B18C0" w:rsidR="004D7061" w:rsidRPr="004D7061" w:rsidRDefault="004D7061" w:rsidP="00DC403B">
      <w:pPr>
        <w:widowControl/>
        <w:autoSpaceDE/>
        <w:autoSpaceDN/>
        <w:rPr>
          <w:rFonts w:cs="Times New Roman"/>
        </w:rPr>
      </w:pPr>
      <w:r w:rsidRPr="004D7061">
        <w:rPr>
          <w:rFonts w:cs="Times New Roman"/>
        </w:rPr>
        <w:t>Title I, Part D, Subpart 2 (Title I, D-2) of the Elementary and Secondary Education Act provides financial assistance to support school districts' programs involving collaboration with locally operated residential facilities for neglected or delinquent children and youth. The federal government allocates funds to states based on enrollment collected through an annual survey. These funds are then redistributed through district (LEA) Title I, Part A grants.</w:t>
      </w:r>
    </w:p>
    <w:p w14:paraId="6B540EAF" w14:textId="77777777" w:rsidR="004D7061" w:rsidRPr="004D7061" w:rsidRDefault="004D7061" w:rsidP="00DC403B">
      <w:pPr>
        <w:widowControl/>
        <w:shd w:val="clear" w:color="auto" w:fill="FFFFFF"/>
        <w:autoSpaceDE/>
        <w:autoSpaceDN/>
        <w:rPr>
          <w:rFonts w:cs="Times New Roman"/>
          <w:b/>
          <w:bCs/>
          <w:sz w:val="14"/>
          <w:szCs w:val="14"/>
        </w:rPr>
      </w:pPr>
    </w:p>
    <w:p w14:paraId="12C44B22" w14:textId="77777777" w:rsidR="004D7061" w:rsidRPr="004D7061" w:rsidRDefault="004D7061" w:rsidP="00DC403B">
      <w:pPr>
        <w:widowControl/>
        <w:shd w:val="clear" w:color="auto" w:fill="FFFFFF"/>
        <w:autoSpaceDE/>
        <w:autoSpaceDN/>
        <w:rPr>
          <w:rFonts w:cs="Times New Roman"/>
          <w:b/>
          <w:bCs/>
        </w:rPr>
      </w:pPr>
      <w:r w:rsidRPr="004D7061">
        <w:rPr>
          <w:rFonts w:cs="Times New Roman"/>
          <w:b/>
          <w:bCs/>
        </w:rPr>
        <w:t>Priorities of Title I, Part D, Subpart 2:</w:t>
      </w:r>
    </w:p>
    <w:p w14:paraId="0F831F10" w14:textId="77777777" w:rsidR="004D7061" w:rsidRPr="004D7061" w:rsidRDefault="004D7061" w:rsidP="00FA2C4A">
      <w:pPr>
        <w:widowControl/>
        <w:numPr>
          <w:ilvl w:val="0"/>
          <w:numId w:val="3"/>
        </w:numPr>
        <w:autoSpaceDE/>
        <w:autoSpaceDN/>
        <w:ind w:left="720"/>
        <w:rPr>
          <w:rFonts w:cs="Times New Roman"/>
        </w:rPr>
      </w:pPr>
      <w:r w:rsidRPr="004D7061">
        <w:rPr>
          <w:rFonts w:cs="Times New Roman"/>
        </w:rPr>
        <w:t>Ensure that youth who are neglected or delinquent have the opportunity to meet the same challenging State academic standards that all children are expected to meet.</w:t>
      </w:r>
    </w:p>
    <w:p w14:paraId="344B55C5" w14:textId="77777777" w:rsidR="004D7061" w:rsidRPr="004D7061" w:rsidRDefault="004D7061" w:rsidP="00FA2C4A">
      <w:pPr>
        <w:widowControl/>
        <w:numPr>
          <w:ilvl w:val="0"/>
          <w:numId w:val="3"/>
        </w:numPr>
        <w:autoSpaceDE/>
        <w:autoSpaceDN/>
        <w:ind w:left="720"/>
        <w:rPr>
          <w:rFonts w:cs="Times New Roman"/>
        </w:rPr>
      </w:pPr>
      <w:r w:rsidRPr="004D7061">
        <w:rPr>
          <w:rFonts w:cs="Times New Roman"/>
        </w:rPr>
        <w:t>Improve educational services for youth who are neglected, delinquent, or at risk of involvement with the juvenile justice system.</w:t>
      </w:r>
    </w:p>
    <w:p w14:paraId="49263FCE" w14:textId="77777777" w:rsidR="004D7061" w:rsidRPr="004D7061" w:rsidRDefault="004D7061" w:rsidP="00FA2C4A">
      <w:pPr>
        <w:widowControl/>
        <w:numPr>
          <w:ilvl w:val="0"/>
          <w:numId w:val="3"/>
        </w:numPr>
        <w:autoSpaceDE/>
        <w:autoSpaceDN/>
        <w:ind w:left="720"/>
        <w:rPr>
          <w:rFonts w:cs="Times New Roman"/>
        </w:rPr>
      </w:pPr>
      <w:r w:rsidRPr="004D7061">
        <w:rPr>
          <w:rFonts w:cs="Times New Roman"/>
        </w:rPr>
        <w:t>Provide children and youth who are neglected or delinquent with the services needed to make a successful transition from institutions to schools and/or employment.</w:t>
      </w:r>
    </w:p>
    <w:p w14:paraId="5B6AA87D" w14:textId="77777777" w:rsidR="004D7061" w:rsidRPr="004D7061" w:rsidRDefault="004D7061" w:rsidP="00FA2C4A">
      <w:pPr>
        <w:widowControl/>
        <w:numPr>
          <w:ilvl w:val="0"/>
          <w:numId w:val="3"/>
        </w:numPr>
        <w:autoSpaceDE/>
        <w:autoSpaceDN/>
        <w:ind w:left="720"/>
        <w:rPr>
          <w:rFonts w:cs="Times New Roman"/>
        </w:rPr>
      </w:pPr>
      <w:r w:rsidRPr="004D7061">
        <w:rPr>
          <w:rFonts w:cs="Times New Roman"/>
        </w:rPr>
        <w:t>Prevent youth who are at risk of academic failure from dropping out of school.</w:t>
      </w:r>
    </w:p>
    <w:p w14:paraId="25CE9768" w14:textId="77777777" w:rsidR="004D7061" w:rsidRPr="004D7061" w:rsidRDefault="004D7061" w:rsidP="00FA2C4A">
      <w:pPr>
        <w:widowControl/>
        <w:numPr>
          <w:ilvl w:val="0"/>
          <w:numId w:val="3"/>
        </w:numPr>
        <w:autoSpaceDE/>
        <w:autoSpaceDN/>
        <w:ind w:left="720"/>
        <w:rPr>
          <w:rFonts w:cs="Times New Roman"/>
        </w:rPr>
      </w:pPr>
      <w:r w:rsidRPr="004D7061">
        <w:rPr>
          <w:rFonts w:cs="Times New Roman"/>
        </w:rPr>
        <w:t>Provide children and youth who have dropped out of school or who are returning to school after residing in an institution with a support system to ensure their continued education.</w:t>
      </w:r>
    </w:p>
    <w:p w14:paraId="4C89E028" w14:textId="77777777" w:rsidR="00B513AE" w:rsidRPr="00CE2CF2" w:rsidRDefault="00B513AE" w:rsidP="00CE2CF2">
      <w:pPr>
        <w:pStyle w:val="BodyText"/>
        <w:spacing w:after="240"/>
        <w:ind w:right="208" w:firstLine="720"/>
        <w:rPr>
          <w:rFonts w:asciiTheme="minorHAnsi" w:hAnsiTheme="minorHAnsi" w:cstheme="minorHAnsi"/>
          <w:sz w:val="8"/>
          <w:szCs w:val="8"/>
        </w:rPr>
      </w:pPr>
    </w:p>
    <w:p w14:paraId="3434E8DF" w14:textId="23280DF9" w:rsidR="002F1D0A" w:rsidRPr="006613D4" w:rsidRDefault="00E06821" w:rsidP="00DC403B">
      <w:pPr>
        <w:pStyle w:val="Heading1"/>
        <w:spacing w:before="0"/>
        <w:ind w:left="0"/>
        <w:rPr>
          <w:b/>
          <w:bCs/>
          <w:color w:val="1F497D" w:themeColor="text2"/>
          <w:sz w:val="12"/>
          <w:szCs w:val="12"/>
        </w:rPr>
      </w:pPr>
      <w:bookmarkStart w:id="1" w:name="_Toc133221632"/>
      <w:r w:rsidRPr="00DC403B">
        <w:rPr>
          <w:b/>
          <w:bCs/>
          <w:color w:val="1F497D" w:themeColor="text2"/>
          <w:sz w:val="28"/>
          <w:szCs w:val="28"/>
        </w:rPr>
        <w:t>Allowable Uses of Funds</w:t>
      </w:r>
      <w:bookmarkEnd w:id="1"/>
      <w:r w:rsidR="00EE6816">
        <w:rPr>
          <w:b/>
          <w:bCs/>
          <w:color w:val="1F497D" w:themeColor="text2"/>
        </w:rPr>
        <w:br/>
      </w:r>
    </w:p>
    <w:p w14:paraId="00B9535E" w14:textId="06885008" w:rsidR="00EE6816" w:rsidRPr="00EE6816" w:rsidRDefault="00EE6816" w:rsidP="00DC403B">
      <w:pPr>
        <w:widowControl/>
        <w:autoSpaceDE/>
        <w:autoSpaceDN/>
        <w:rPr>
          <w:rFonts w:cs="Times New Roman"/>
        </w:rPr>
      </w:pPr>
      <w:r w:rsidRPr="00EE6816">
        <w:rPr>
          <w:rFonts w:cs="Times New Roman"/>
        </w:rPr>
        <w:t xml:space="preserve">Title I, D-2 funds are to provide </w:t>
      </w:r>
      <w:r w:rsidRPr="00EE6816">
        <w:rPr>
          <w:rFonts w:cs="Times New Roman"/>
          <w:i/>
          <w:iCs/>
        </w:rPr>
        <w:t>supplementary</w:t>
      </w:r>
      <w:r w:rsidRPr="00EE6816">
        <w:rPr>
          <w:rFonts w:cs="Times New Roman"/>
        </w:rPr>
        <w:t xml:space="preserve"> programs and services. All activities funded with Title I, D-2 must be supplemental to activities that would normally be provided at the facility in the absence of Title I</w:t>
      </w:r>
      <w:r w:rsidR="006B41D0">
        <w:rPr>
          <w:rFonts w:cs="Times New Roman"/>
        </w:rPr>
        <w:t>, D-2</w:t>
      </w:r>
      <w:r w:rsidRPr="00EE6816">
        <w:rPr>
          <w:rFonts w:cs="Times New Roman"/>
        </w:rPr>
        <w:t xml:space="preserve"> funds.</w:t>
      </w:r>
    </w:p>
    <w:p w14:paraId="60BFFE56" w14:textId="77777777" w:rsidR="00EE6816" w:rsidRPr="00EE6816" w:rsidRDefault="00EE6816" w:rsidP="00DC403B">
      <w:pPr>
        <w:widowControl/>
        <w:autoSpaceDE/>
        <w:autoSpaceDN/>
        <w:rPr>
          <w:rFonts w:cs="Times New Roman"/>
          <w:sz w:val="12"/>
          <w:szCs w:val="12"/>
        </w:rPr>
      </w:pPr>
    </w:p>
    <w:p w14:paraId="408D0422" w14:textId="7EC9DAEA" w:rsidR="00EE6816" w:rsidRDefault="00EE6816" w:rsidP="00DC403B">
      <w:pPr>
        <w:widowControl/>
        <w:autoSpaceDE/>
        <w:autoSpaceDN/>
        <w:rPr>
          <w:rFonts w:cs="Times New Roman"/>
        </w:rPr>
      </w:pPr>
      <w:r w:rsidRPr="00EE6816">
        <w:rPr>
          <w:rFonts w:cs="Times New Roman"/>
        </w:rPr>
        <w:t xml:space="preserve">The below list includes examples of allowable and unallowable uses for Title I, D-2 funds. This is </w:t>
      </w:r>
      <w:r w:rsidRPr="00EE6816">
        <w:rPr>
          <w:rFonts w:cs="Times New Roman"/>
          <w:b/>
          <w:bCs/>
          <w:u w:val="single"/>
        </w:rPr>
        <w:t>not</w:t>
      </w:r>
      <w:r w:rsidRPr="00EE6816">
        <w:rPr>
          <w:rFonts w:cs="Times New Roman"/>
        </w:rPr>
        <w:t xml:space="preserve"> an exhaustive list. Contact your </w:t>
      </w:r>
      <w:hyperlink r:id="rId13" w:history="1">
        <w:r w:rsidRPr="00EE6816">
          <w:rPr>
            <w:rFonts w:cs="Times New Roman"/>
            <w:color w:val="0563C1"/>
            <w:u w:val="single"/>
          </w:rPr>
          <w:t>federal grants liaison</w:t>
        </w:r>
      </w:hyperlink>
      <w:r w:rsidRPr="00EE6816">
        <w:rPr>
          <w:rFonts w:cs="Times New Roman"/>
        </w:rPr>
        <w:t xml:space="preserve"> with questions about allowable costs.</w:t>
      </w:r>
    </w:p>
    <w:p w14:paraId="20E0374C" w14:textId="77777777" w:rsidR="00DC0543" w:rsidRPr="00EE6816" w:rsidRDefault="00DC0543" w:rsidP="00DC403B">
      <w:pPr>
        <w:widowControl/>
        <w:autoSpaceDE/>
        <w:autoSpaceDN/>
        <w:rPr>
          <w:rFonts w:cs="Times New Roman"/>
        </w:rPr>
      </w:pPr>
    </w:p>
    <w:p w14:paraId="7CE457F3" w14:textId="77777777" w:rsidR="00EE6816" w:rsidRPr="00EE6816" w:rsidRDefault="00EE6816" w:rsidP="00DC403B">
      <w:pPr>
        <w:widowControl/>
        <w:autoSpaceDE/>
        <w:autoSpaceDN/>
        <w:rPr>
          <w:rFonts w:cs="Times New Roman"/>
          <w:sz w:val="12"/>
          <w:szCs w:val="12"/>
        </w:rPr>
      </w:pPr>
    </w:p>
    <w:tbl>
      <w:tblPr>
        <w:tblStyle w:val="TableGrid"/>
        <w:tblW w:w="9810" w:type="dxa"/>
        <w:tblInd w:w="85" w:type="dxa"/>
        <w:tblLook w:val="04A0" w:firstRow="1" w:lastRow="0" w:firstColumn="1" w:lastColumn="0" w:noHBand="0" w:noVBand="1"/>
      </w:tblPr>
      <w:tblGrid>
        <w:gridCol w:w="1350"/>
        <w:gridCol w:w="2970"/>
        <w:gridCol w:w="5490"/>
      </w:tblGrid>
      <w:tr w:rsidR="005C611C" w:rsidRPr="00281AE5" w14:paraId="34513C69" w14:textId="77777777" w:rsidTr="00DC403B">
        <w:trPr>
          <w:trHeight w:val="324"/>
          <w:tblHeader/>
        </w:trPr>
        <w:tc>
          <w:tcPr>
            <w:tcW w:w="1350" w:type="dxa"/>
            <w:shd w:val="clear" w:color="auto" w:fill="D9D9D9" w:themeFill="background1" w:themeFillShade="D9"/>
          </w:tcPr>
          <w:p w14:paraId="687E47A0" w14:textId="77777777" w:rsidR="00EE7D50" w:rsidRPr="00B5500F" w:rsidRDefault="00EE7D50" w:rsidP="00DC403B">
            <w:pPr>
              <w:ind w:left="72"/>
              <w:jc w:val="center"/>
              <w:rPr>
                <w:b/>
              </w:rPr>
            </w:pPr>
            <w:bookmarkStart w:id="2" w:name="_Hlk128387012"/>
            <w:r w:rsidRPr="00B5500F">
              <w:rPr>
                <w:b/>
              </w:rPr>
              <w:t>Allowable?</w:t>
            </w:r>
          </w:p>
        </w:tc>
        <w:tc>
          <w:tcPr>
            <w:tcW w:w="2970" w:type="dxa"/>
            <w:shd w:val="clear" w:color="auto" w:fill="D9D9D9" w:themeFill="background1" w:themeFillShade="D9"/>
          </w:tcPr>
          <w:p w14:paraId="4F8EAF00" w14:textId="77777777" w:rsidR="00EE7D50" w:rsidRPr="00B5500F" w:rsidRDefault="00EE7D50" w:rsidP="00DC403B">
            <w:pPr>
              <w:jc w:val="center"/>
              <w:rPr>
                <w:b/>
              </w:rPr>
            </w:pPr>
            <w:r w:rsidRPr="00B5500F">
              <w:rPr>
                <w:b/>
              </w:rPr>
              <w:t>Budget Item</w:t>
            </w:r>
          </w:p>
        </w:tc>
        <w:tc>
          <w:tcPr>
            <w:tcW w:w="5490" w:type="dxa"/>
            <w:shd w:val="clear" w:color="auto" w:fill="D9D9D9" w:themeFill="background1" w:themeFillShade="D9"/>
          </w:tcPr>
          <w:p w14:paraId="2FDC5FBA" w14:textId="5C8F1D34" w:rsidR="00EE7D50" w:rsidRPr="00B5500F" w:rsidRDefault="00EE7D50" w:rsidP="00DC403B">
            <w:pPr>
              <w:jc w:val="center"/>
              <w:rPr>
                <w:b/>
              </w:rPr>
            </w:pPr>
            <w:r w:rsidRPr="00B5500F">
              <w:rPr>
                <w:b/>
              </w:rPr>
              <w:t>Additional Information</w:t>
            </w:r>
          </w:p>
        </w:tc>
      </w:tr>
      <w:tr w:rsidR="005C611C" w:rsidRPr="00F75996" w14:paraId="1F94DF6D" w14:textId="77777777" w:rsidTr="006613D4">
        <w:tc>
          <w:tcPr>
            <w:tcW w:w="1350" w:type="dxa"/>
            <w:vAlign w:val="center"/>
          </w:tcPr>
          <w:p w14:paraId="2B8759D1" w14:textId="77777777" w:rsidR="00EE7D50" w:rsidRPr="00861119" w:rsidRDefault="00EE7D50" w:rsidP="00DC403B">
            <w:pPr>
              <w:spacing w:after="60"/>
              <w:jc w:val="center"/>
              <w:rPr>
                <w:color w:val="00B050"/>
                <w:sz w:val="56"/>
                <w:szCs w:val="56"/>
              </w:rPr>
            </w:pPr>
            <w:r w:rsidRPr="00861119">
              <w:rPr>
                <w:b/>
                <w:color w:val="00B050"/>
                <w:sz w:val="56"/>
                <w:szCs w:val="56"/>
              </w:rPr>
              <w:sym w:font="Wingdings 2" w:char="F052"/>
            </w:r>
          </w:p>
        </w:tc>
        <w:tc>
          <w:tcPr>
            <w:tcW w:w="2970" w:type="dxa"/>
            <w:vAlign w:val="center"/>
          </w:tcPr>
          <w:p w14:paraId="028D8052" w14:textId="77777777" w:rsidR="00EE7D50" w:rsidRPr="00F75996" w:rsidRDefault="00EE7D50" w:rsidP="00DC403B">
            <w:pPr>
              <w:spacing w:after="60"/>
              <w:rPr>
                <w:b/>
                <w:bCs/>
              </w:rPr>
            </w:pPr>
            <w:r w:rsidRPr="00F75996">
              <w:rPr>
                <w:b/>
                <w:bCs/>
              </w:rPr>
              <w:t>Assessments for progress monitoring</w:t>
            </w:r>
          </w:p>
        </w:tc>
        <w:tc>
          <w:tcPr>
            <w:tcW w:w="5490" w:type="dxa"/>
          </w:tcPr>
          <w:p w14:paraId="098071A8" w14:textId="3518F2AB" w:rsidR="00EE7D50" w:rsidRPr="00F75996" w:rsidRDefault="00EE7D50" w:rsidP="00DC403B">
            <w:pPr>
              <w:spacing w:after="60"/>
            </w:pPr>
            <w:r>
              <w:t xml:space="preserve">Allowable </w:t>
            </w:r>
            <w:r w:rsidR="0009054F" w:rsidRPr="0009054F">
              <w:rPr>
                <w:b/>
                <w:bCs/>
                <w:u w:val="single"/>
              </w:rPr>
              <w:t>only</w:t>
            </w:r>
            <w:r w:rsidR="0009054F">
              <w:t xml:space="preserve"> </w:t>
            </w:r>
            <w:r w:rsidRPr="0009054F">
              <w:t>if</w:t>
            </w:r>
            <w:r>
              <w:t xml:space="preserve"> supplemental.</w:t>
            </w:r>
          </w:p>
        </w:tc>
      </w:tr>
      <w:bookmarkEnd w:id="2"/>
      <w:tr w:rsidR="005C611C" w14:paraId="497ECBE2" w14:textId="77777777" w:rsidTr="006613D4">
        <w:tc>
          <w:tcPr>
            <w:tcW w:w="1350" w:type="dxa"/>
            <w:vAlign w:val="center"/>
          </w:tcPr>
          <w:p w14:paraId="2D4C1535" w14:textId="77777777" w:rsidR="00EE7D50" w:rsidRPr="00861119" w:rsidRDefault="00EE7D50" w:rsidP="00DC403B">
            <w:pPr>
              <w:spacing w:after="60"/>
              <w:jc w:val="center"/>
              <w:rPr>
                <w:color w:val="00B050"/>
                <w:sz w:val="56"/>
                <w:szCs w:val="56"/>
              </w:rPr>
            </w:pPr>
            <w:r w:rsidRPr="00861119">
              <w:rPr>
                <w:b/>
                <w:color w:val="FF0000"/>
                <w:sz w:val="56"/>
                <w:szCs w:val="56"/>
              </w:rPr>
              <w:sym w:font="Wingdings 2" w:char="F054"/>
            </w:r>
          </w:p>
        </w:tc>
        <w:tc>
          <w:tcPr>
            <w:tcW w:w="2970" w:type="dxa"/>
            <w:vAlign w:val="center"/>
          </w:tcPr>
          <w:p w14:paraId="5AD65AD2" w14:textId="77777777" w:rsidR="00EE7D50" w:rsidRPr="00F75996" w:rsidRDefault="00EE7D50" w:rsidP="00DC403B">
            <w:pPr>
              <w:rPr>
                <w:b/>
                <w:bCs/>
              </w:rPr>
            </w:pPr>
            <w:r w:rsidRPr="00F75996">
              <w:rPr>
                <w:b/>
                <w:bCs/>
              </w:rPr>
              <w:t>Building maintenance or repairs</w:t>
            </w:r>
          </w:p>
        </w:tc>
        <w:tc>
          <w:tcPr>
            <w:tcW w:w="5490" w:type="dxa"/>
          </w:tcPr>
          <w:p w14:paraId="6C671433" w14:textId="77777777" w:rsidR="00EE7D50" w:rsidRDefault="00EE7D50" w:rsidP="00DC403B">
            <w:pPr>
              <w:spacing w:after="60"/>
            </w:pPr>
          </w:p>
        </w:tc>
      </w:tr>
      <w:tr w:rsidR="005C611C" w14:paraId="3C2847B5" w14:textId="77777777" w:rsidTr="006613D4">
        <w:tc>
          <w:tcPr>
            <w:tcW w:w="1350" w:type="dxa"/>
            <w:vAlign w:val="center"/>
          </w:tcPr>
          <w:p w14:paraId="2060718C" w14:textId="77777777" w:rsidR="00EE7D50" w:rsidRPr="00861119" w:rsidRDefault="00EE7D50" w:rsidP="00DC403B">
            <w:pPr>
              <w:spacing w:after="60"/>
              <w:jc w:val="center"/>
              <w:rPr>
                <w:color w:val="00B050"/>
                <w:sz w:val="56"/>
                <w:szCs w:val="56"/>
              </w:rPr>
            </w:pPr>
            <w:r w:rsidRPr="00861119">
              <w:rPr>
                <w:b/>
                <w:color w:val="FF0000"/>
                <w:sz w:val="56"/>
                <w:szCs w:val="56"/>
              </w:rPr>
              <w:sym w:font="Wingdings 2" w:char="F054"/>
            </w:r>
          </w:p>
        </w:tc>
        <w:tc>
          <w:tcPr>
            <w:tcW w:w="2970" w:type="dxa"/>
            <w:vAlign w:val="center"/>
          </w:tcPr>
          <w:p w14:paraId="2EF0D689" w14:textId="77777777" w:rsidR="00EE7D50" w:rsidRPr="00F75996" w:rsidRDefault="00EE7D50" w:rsidP="00DC403B">
            <w:pPr>
              <w:rPr>
                <w:b/>
                <w:bCs/>
              </w:rPr>
            </w:pPr>
            <w:r w:rsidRPr="00F75996">
              <w:rPr>
                <w:b/>
                <w:bCs/>
              </w:rPr>
              <w:t>Entertainment, recreation, or social events</w:t>
            </w:r>
          </w:p>
        </w:tc>
        <w:tc>
          <w:tcPr>
            <w:tcW w:w="5490" w:type="dxa"/>
          </w:tcPr>
          <w:p w14:paraId="686314F7" w14:textId="77777777" w:rsidR="00EE7D50" w:rsidRDefault="00EE7D50" w:rsidP="00DC403B">
            <w:pPr>
              <w:spacing w:after="60"/>
            </w:pPr>
          </w:p>
        </w:tc>
      </w:tr>
      <w:tr w:rsidR="005C611C" w14:paraId="3BAB6B74" w14:textId="77777777" w:rsidTr="006613D4">
        <w:tc>
          <w:tcPr>
            <w:tcW w:w="1350" w:type="dxa"/>
            <w:vAlign w:val="center"/>
          </w:tcPr>
          <w:p w14:paraId="7053CDE2" w14:textId="77777777" w:rsidR="00EE7D50" w:rsidRPr="00861119" w:rsidRDefault="00EE7D50" w:rsidP="00DC403B">
            <w:pPr>
              <w:spacing w:after="60"/>
              <w:jc w:val="center"/>
              <w:rPr>
                <w:sz w:val="56"/>
                <w:szCs w:val="56"/>
              </w:rPr>
            </w:pPr>
            <w:r w:rsidRPr="00861119">
              <w:rPr>
                <w:b/>
                <w:color w:val="FF0000"/>
                <w:sz w:val="56"/>
                <w:szCs w:val="56"/>
              </w:rPr>
              <w:sym w:font="Wingdings 2" w:char="F054"/>
            </w:r>
          </w:p>
        </w:tc>
        <w:tc>
          <w:tcPr>
            <w:tcW w:w="2970" w:type="dxa"/>
            <w:vAlign w:val="center"/>
          </w:tcPr>
          <w:p w14:paraId="5A0E3CDA" w14:textId="77777777" w:rsidR="00EE7D50" w:rsidRPr="00F75996" w:rsidRDefault="00EE7D50" w:rsidP="00DC403B">
            <w:pPr>
              <w:rPr>
                <w:b/>
                <w:bCs/>
              </w:rPr>
            </w:pPr>
            <w:r w:rsidRPr="00F75996">
              <w:rPr>
                <w:b/>
                <w:bCs/>
              </w:rPr>
              <w:t>Equipment required for daily operation of the facility</w:t>
            </w:r>
          </w:p>
        </w:tc>
        <w:tc>
          <w:tcPr>
            <w:tcW w:w="5490" w:type="dxa"/>
          </w:tcPr>
          <w:p w14:paraId="6F416ACF" w14:textId="77777777" w:rsidR="00EE7D50" w:rsidRDefault="00EE7D50" w:rsidP="00DC403B">
            <w:pPr>
              <w:spacing w:after="60"/>
            </w:pPr>
          </w:p>
        </w:tc>
      </w:tr>
      <w:tr w:rsidR="005C611C" w:rsidRPr="00F75996" w14:paraId="789DA94F" w14:textId="77777777" w:rsidTr="006613D4">
        <w:tc>
          <w:tcPr>
            <w:tcW w:w="1350" w:type="dxa"/>
            <w:vAlign w:val="center"/>
          </w:tcPr>
          <w:p w14:paraId="3A461C7B" w14:textId="77777777" w:rsidR="00EE7D50" w:rsidRPr="00861119" w:rsidRDefault="00EE7D50" w:rsidP="00DC403B">
            <w:pPr>
              <w:spacing w:after="60"/>
              <w:jc w:val="center"/>
              <w:rPr>
                <w:color w:val="00B050"/>
                <w:sz w:val="56"/>
                <w:szCs w:val="56"/>
              </w:rPr>
            </w:pPr>
            <w:r w:rsidRPr="00861119">
              <w:rPr>
                <w:b/>
                <w:color w:val="00B050"/>
                <w:sz w:val="56"/>
                <w:szCs w:val="56"/>
              </w:rPr>
              <w:sym w:font="Wingdings 2" w:char="F052"/>
            </w:r>
          </w:p>
        </w:tc>
        <w:tc>
          <w:tcPr>
            <w:tcW w:w="2970" w:type="dxa"/>
            <w:vAlign w:val="center"/>
          </w:tcPr>
          <w:p w14:paraId="2EBF5E45" w14:textId="77777777" w:rsidR="00EE7D50" w:rsidRPr="00F75996" w:rsidRDefault="00EE7D50" w:rsidP="00DC403B">
            <w:pPr>
              <w:spacing w:after="60"/>
              <w:rPr>
                <w:b/>
                <w:bCs/>
              </w:rPr>
            </w:pPr>
            <w:r w:rsidRPr="00F75996">
              <w:rPr>
                <w:b/>
                <w:bCs/>
              </w:rPr>
              <w:t>Family engagement</w:t>
            </w:r>
          </w:p>
        </w:tc>
        <w:tc>
          <w:tcPr>
            <w:tcW w:w="5490" w:type="dxa"/>
          </w:tcPr>
          <w:p w14:paraId="42A61776" w14:textId="64772502" w:rsidR="00BE4ADC" w:rsidRDefault="00BE4ADC" w:rsidP="00BE4ADC">
            <w:pPr>
              <w:widowControl/>
              <w:autoSpaceDE/>
              <w:autoSpaceDN/>
              <w:contextualSpacing/>
            </w:pPr>
            <w:r>
              <w:t>Allowable family engagement costs include:</w:t>
            </w:r>
          </w:p>
          <w:p w14:paraId="01771E90" w14:textId="1D8CEE7E" w:rsidR="00EE7D50" w:rsidRDefault="00EE7D50" w:rsidP="00FA2C4A">
            <w:pPr>
              <w:pStyle w:val="ListParagraph"/>
              <w:widowControl/>
              <w:numPr>
                <w:ilvl w:val="0"/>
                <w:numId w:val="7"/>
              </w:numPr>
              <w:autoSpaceDE/>
              <w:autoSpaceDN/>
              <w:contextualSpacing/>
            </w:pPr>
            <w:r>
              <w:t>Cost for activities including materials, light refreshments</w:t>
            </w:r>
          </w:p>
          <w:p w14:paraId="51DC25FF" w14:textId="77777777" w:rsidR="00EE7D50" w:rsidRDefault="00EE7D50" w:rsidP="00FA2C4A">
            <w:pPr>
              <w:pStyle w:val="ListParagraph"/>
              <w:widowControl/>
              <w:numPr>
                <w:ilvl w:val="0"/>
                <w:numId w:val="7"/>
              </w:numPr>
              <w:autoSpaceDE/>
              <w:autoSpaceDN/>
              <w:contextualSpacing/>
            </w:pPr>
            <w:r>
              <w:t>Transporting family members to meetings</w:t>
            </w:r>
          </w:p>
          <w:p w14:paraId="05AA7D82" w14:textId="77777777" w:rsidR="00EE7D50" w:rsidRPr="00F75996" w:rsidRDefault="00EE7D50" w:rsidP="00DC403B">
            <w:pPr>
              <w:pStyle w:val="ListParagraph"/>
              <w:ind w:left="720" w:firstLine="0"/>
              <w:rPr>
                <w:sz w:val="8"/>
                <w:szCs w:val="8"/>
              </w:rPr>
            </w:pPr>
          </w:p>
        </w:tc>
      </w:tr>
      <w:tr w:rsidR="005C611C" w:rsidRPr="00F75996" w14:paraId="3E782B02" w14:textId="77777777" w:rsidTr="006613D4">
        <w:tc>
          <w:tcPr>
            <w:tcW w:w="1350" w:type="dxa"/>
            <w:vAlign w:val="center"/>
          </w:tcPr>
          <w:p w14:paraId="537527AC" w14:textId="77777777" w:rsidR="00EE7D50" w:rsidRPr="00861119" w:rsidRDefault="00EE7D50" w:rsidP="00DC403B">
            <w:pPr>
              <w:spacing w:after="60"/>
              <w:jc w:val="center"/>
              <w:rPr>
                <w:color w:val="00B050"/>
                <w:sz w:val="56"/>
                <w:szCs w:val="56"/>
              </w:rPr>
            </w:pPr>
            <w:r w:rsidRPr="00861119">
              <w:rPr>
                <w:b/>
                <w:color w:val="00B050"/>
                <w:sz w:val="56"/>
                <w:szCs w:val="56"/>
              </w:rPr>
              <w:sym w:font="Wingdings 2" w:char="F052"/>
            </w:r>
          </w:p>
        </w:tc>
        <w:tc>
          <w:tcPr>
            <w:tcW w:w="2970" w:type="dxa"/>
            <w:vAlign w:val="center"/>
          </w:tcPr>
          <w:p w14:paraId="507FC195" w14:textId="77777777" w:rsidR="00EE7D50" w:rsidRPr="00F75996" w:rsidRDefault="00EE7D50" w:rsidP="00DC403B">
            <w:pPr>
              <w:spacing w:after="60"/>
              <w:rPr>
                <w:b/>
                <w:bCs/>
              </w:rPr>
            </w:pPr>
            <w:r w:rsidRPr="00F75996">
              <w:rPr>
                <w:b/>
                <w:bCs/>
              </w:rPr>
              <w:t>Health and social services</w:t>
            </w:r>
          </w:p>
        </w:tc>
        <w:tc>
          <w:tcPr>
            <w:tcW w:w="5490" w:type="dxa"/>
          </w:tcPr>
          <w:p w14:paraId="58D71FE7" w14:textId="3394C033" w:rsidR="00BE4ADC" w:rsidRDefault="00BE4ADC" w:rsidP="00BE4ADC">
            <w:pPr>
              <w:widowControl/>
              <w:autoSpaceDE/>
              <w:autoSpaceDN/>
              <w:contextualSpacing/>
            </w:pPr>
            <w:r>
              <w:t>Allowable health and social services costs include:</w:t>
            </w:r>
          </w:p>
          <w:p w14:paraId="3572B242" w14:textId="49D3AE6B" w:rsidR="00EE7D50" w:rsidRDefault="00EE7D50" w:rsidP="00FA2C4A">
            <w:pPr>
              <w:pStyle w:val="ListParagraph"/>
              <w:widowControl/>
              <w:numPr>
                <w:ilvl w:val="0"/>
                <w:numId w:val="8"/>
              </w:numPr>
              <w:autoSpaceDE/>
              <w:autoSpaceDN/>
              <w:contextualSpacing/>
            </w:pPr>
            <w:r>
              <w:t>Drug and alcohol counseling</w:t>
            </w:r>
          </w:p>
          <w:p w14:paraId="0C2D51DD" w14:textId="77777777" w:rsidR="00EE7D50" w:rsidRDefault="00EE7D50" w:rsidP="00FA2C4A">
            <w:pPr>
              <w:pStyle w:val="ListParagraph"/>
              <w:widowControl/>
              <w:numPr>
                <w:ilvl w:val="0"/>
                <w:numId w:val="8"/>
              </w:numPr>
              <w:autoSpaceDE/>
              <w:autoSpaceDN/>
              <w:contextualSpacing/>
            </w:pPr>
            <w:r>
              <w:t>Mental health services</w:t>
            </w:r>
          </w:p>
          <w:p w14:paraId="41AA547E" w14:textId="77777777" w:rsidR="00EE7D50" w:rsidRPr="00F75996" w:rsidRDefault="00EE7D50" w:rsidP="00DC403B">
            <w:pPr>
              <w:spacing w:after="60"/>
              <w:rPr>
                <w:sz w:val="8"/>
                <w:szCs w:val="8"/>
              </w:rPr>
            </w:pPr>
          </w:p>
        </w:tc>
      </w:tr>
      <w:tr w:rsidR="005C611C" w:rsidRPr="00F75996" w14:paraId="75FCF598" w14:textId="77777777" w:rsidTr="006613D4">
        <w:tc>
          <w:tcPr>
            <w:tcW w:w="1350" w:type="dxa"/>
            <w:vAlign w:val="center"/>
          </w:tcPr>
          <w:p w14:paraId="2316BF46" w14:textId="77777777" w:rsidR="00EE7D50" w:rsidRPr="00861119" w:rsidRDefault="00EE7D50" w:rsidP="00DC403B">
            <w:pPr>
              <w:spacing w:after="60"/>
              <w:jc w:val="center"/>
              <w:rPr>
                <w:b/>
                <w:color w:val="00B050"/>
                <w:sz w:val="56"/>
                <w:szCs w:val="56"/>
              </w:rPr>
            </w:pPr>
            <w:r w:rsidRPr="00861119">
              <w:rPr>
                <w:b/>
                <w:color w:val="00B050"/>
                <w:sz w:val="56"/>
                <w:szCs w:val="56"/>
              </w:rPr>
              <w:lastRenderedPageBreak/>
              <w:sym w:font="Wingdings 2" w:char="F052"/>
            </w:r>
          </w:p>
        </w:tc>
        <w:tc>
          <w:tcPr>
            <w:tcW w:w="2970" w:type="dxa"/>
            <w:vAlign w:val="center"/>
          </w:tcPr>
          <w:p w14:paraId="3AB4A836" w14:textId="77777777" w:rsidR="00EE7D50" w:rsidRPr="00F75996" w:rsidRDefault="00EE7D50" w:rsidP="00DC403B">
            <w:pPr>
              <w:spacing w:after="60"/>
              <w:rPr>
                <w:b/>
                <w:bCs/>
              </w:rPr>
            </w:pPr>
            <w:r w:rsidRPr="00F75996">
              <w:rPr>
                <w:b/>
                <w:bCs/>
              </w:rPr>
              <w:t>Ongoing, sustained professional development aligned with Title I, Part D</w:t>
            </w:r>
          </w:p>
        </w:tc>
        <w:tc>
          <w:tcPr>
            <w:tcW w:w="5490" w:type="dxa"/>
          </w:tcPr>
          <w:p w14:paraId="0BE5A3AE" w14:textId="5FE0006B" w:rsidR="00BE4ADC" w:rsidRDefault="00BE4ADC" w:rsidP="00BE4ADC">
            <w:pPr>
              <w:widowControl/>
              <w:autoSpaceDE/>
              <w:autoSpaceDN/>
              <w:contextualSpacing/>
            </w:pPr>
            <w:r>
              <w:t xml:space="preserve">Allowable </w:t>
            </w:r>
            <w:r w:rsidR="00DC0543">
              <w:t>professional development</w:t>
            </w:r>
            <w:r w:rsidR="000179FD">
              <w:t xml:space="preserve"> (PD)</w:t>
            </w:r>
            <w:r w:rsidR="00DC0543">
              <w:t xml:space="preserve"> costs include:</w:t>
            </w:r>
          </w:p>
          <w:p w14:paraId="5D710E66" w14:textId="6C9E31B3" w:rsidR="00EE7D50" w:rsidRDefault="00EE7D50" w:rsidP="00FA2C4A">
            <w:pPr>
              <w:pStyle w:val="ListParagraph"/>
              <w:widowControl/>
              <w:numPr>
                <w:ilvl w:val="0"/>
                <w:numId w:val="5"/>
              </w:numPr>
              <w:autoSpaceDE/>
              <w:autoSpaceDN/>
              <w:contextualSpacing/>
            </w:pPr>
            <w:r>
              <w:t>Stipends for staff to attend PD</w:t>
            </w:r>
          </w:p>
          <w:p w14:paraId="55424615" w14:textId="77777777" w:rsidR="00EE7D50" w:rsidRDefault="00EE7D50" w:rsidP="00FA2C4A">
            <w:pPr>
              <w:pStyle w:val="ListParagraph"/>
              <w:widowControl/>
              <w:numPr>
                <w:ilvl w:val="0"/>
                <w:numId w:val="5"/>
              </w:numPr>
              <w:autoSpaceDE/>
              <w:autoSpaceDN/>
              <w:contextualSpacing/>
            </w:pPr>
            <w:r>
              <w:t>Educational Consultants</w:t>
            </w:r>
          </w:p>
          <w:p w14:paraId="6A87641A" w14:textId="77777777" w:rsidR="00EE7D50" w:rsidRDefault="00EE7D50" w:rsidP="00FA2C4A">
            <w:pPr>
              <w:pStyle w:val="ListParagraph"/>
              <w:widowControl/>
              <w:numPr>
                <w:ilvl w:val="0"/>
                <w:numId w:val="5"/>
              </w:numPr>
              <w:autoSpaceDE/>
              <w:autoSpaceDN/>
              <w:contextualSpacing/>
            </w:pPr>
            <w:r>
              <w:t>Materials/supplies necessary for PD</w:t>
            </w:r>
          </w:p>
          <w:p w14:paraId="6718166E" w14:textId="77777777" w:rsidR="00EE7D50" w:rsidRDefault="00EE7D50" w:rsidP="00FA2C4A">
            <w:pPr>
              <w:pStyle w:val="ListParagraph"/>
              <w:widowControl/>
              <w:numPr>
                <w:ilvl w:val="0"/>
                <w:numId w:val="5"/>
              </w:numPr>
              <w:autoSpaceDE/>
              <w:autoSpaceDN/>
              <w:contextualSpacing/>
            </w:pPr>
            <w:r>
              <w:t>Conference registration and travel costs</w:t>
            </w:r>
          </w:p>
          <w:p w14:paraId="222163C3" w14:textId="77777777" w:rsidR="00EE7D50" w:rsidRPr="00F75996" w:rsidRDefault="00EE7D50" w:rsidP="00DC403B">
            <w:pPr>
              <w:pStyle w:val="ListParagraph"/>
              <w:ind w:left="720" w:firstLine="0"/>
              <w:rPr>
                <w:sz w:val="8"/>
                <w:szCs w:val="8"/>
              </w:rPr>
            </w:pPr>
          </w:p>
        </w:tc>
      </w:tr>
      <w:tr w:rsidR="005C611C" w14:paraId="0BB994CC" w14:textId="77777777" w:rsidTr="006613D4">
        <w:tc>
          <w:tcPr>
            <w:tcW w:w="1350" w:type="dxa"/>
            <w:vAlign w:val="center"/>
          </w:tcPr>
          <w:p w14:paraId="0466CC8C" w14:textId="77777777" w:rsidR="00EE7D50" w:rsidRPr="00861119" w:rsidRDefault="00EE7D50" w:rsidP="00DC403B">
            <w:pPr>
              <w:spacing w:after="60"/>
              <w:jc w:val="center"/>
              <w:rPr>
                <w:sz w:val="56"/>
                <w:szCs w:val="56"/>
              </w:rPr>
            </w:pPr>
            <w:r w:rsidRPr="00861119">
              <w:rPr>
                <w:b/>
                <w:color w:val="FF0000"/>
                <w:sz w:val="56"/>
                <w:szCs w:val="56"/>
              </w:rPr>
              <w:sym w:font="Wingdings 2" w:char="F054"/>
            </w:r>
          </w:p>
        </w:tc>
        <w:tc>
          <w:tcPr>
            <w:tcW w:w="2970" w:type="dxa"/>
            <w:vAlign w:val="center"/>
          </w:tcPr>
          <w:p w14:paraId="76C1C1F1" w14:textId="77777777" w:rsidR="00EE7D50" w:rsidRPr="008462FD" w:rsidRDefault="00EE7D50" w:rsidP="00DC403B">
            <w:pPr>
              <w:rPr>
                <w:b/>
                <w:bCs/>
              </w:rPr>
            </w:pPr>
            <w:r w:rsidRPr="00F75996">
              <w:rPr>
                <w:b/>
                <w:bCs/>
              </w:rPr>
              <w:t>Required textbooks or core curriculum materials</w:t>
            </w:r>
          </w:p>
        </w:tc>
        <w:tc>
          <w:tcPr>
            <w:tcW w:w="5490" w:type="dxa"/>
          </w:tcPr>
          <w:p w14:paraId="446164D5" w14:textId="77777777" w:rsidR="00EE7D50" w:rsidRDefault="00EE7D50" w:rsidP="00DC403B">
            <w:pPr>
              <w:spacing w:after="60"/>
            </w:pPr>
          </w:p>
          <w:p w14:paraId="511C1F73" w14:textId="77777777" w:rsidR="000E305E" w:rsidRDefault="000E305E" w:rsidP="00DC403B">
            <w:pPr>
              <w:spacing w:after="60"/>
            </w:pPr>
          </w:p>
          <w:p w14:paraId="023A2567" w14:textId="67660D61" w:rsidR="000E305E" w:rsidRDefault="000E305E" w:rsidP="00DC403B">
            <w:pPr>
              <w:spacing w:after="60"/>
            </w:pPr>
          </w:p>
        </w:tc>
      </w:tr>
      <w:tr w:rsidR="005C611C" w14:paraId="44A86354" w14:textId="77777777" w:rsidTr="006613D4">
        <w:tc>
          <w:tcPr>
            <w:tcW w:w="1350" w:type="dxa"/>
            <w:vAlign w:val="center"/>
          </w:tcPr>
          <w:p w14:paraId="698E0850" w14:textId="77777777" w:rsidR="00EE7D50" w:rsidRPr="00861119" w:rsidRDefault="00EE7D50" w:rsidP="00DC403B">
            <w:pPr>
              <w:spacing w:after="60"/>
              <w:jc w:val="center"/>
              <w:rPr>
                <w:color w:val="00B050"/>
                <w:sz w:val="56"/>
                <w:szCs w:val="56"/>
              </w:rPr>
            </w:pPr>
            <w:r w:rsidRPr="00861119">
              <w:rPr>
                <w:b/>
                <w:color w:val="FF0000"/>
                <w:sz w:val="56"/>
                <w:szCs w:val="56"/>
              </w:rPr>
              <w:sym w:font="Wingdings 2" w:char="F054"/>
            </w:r>
          </w:p>
        </w:tc>
        <w:tc>
          <w:tcPr>
            <w:tcW w:w="2970" w:type="dxa"/>
            <w:vAlign w:val="center"/>
          </w:tcPr>
          <w:p w14:paraId="08E1CA5C" w14:textId="77777777" w:rsidR="00EE7D50" w:rsidRPr="008462FD" w:rsidRDefault="00EE7D50" w:rsidP="00DC403B">
            <w:pPr>
              <w:rPr>
                <w:b/>
                <w:bCs/>
              </w:rPr>
            </w:pPr>
            <w:r w:rsidRPr="00F75996">
              <w:rPr>
                <w:b/>
                <w:bCs/>
              </w:rPr>
              <w:t>Secretary/clerical position (with agency/facility focused duties)</w:t>
            </w:r>
          </w:p>
        </w:tc>
        <w:tc>
          <w:tcPr>
            <w:tcW w:w="5490" w:type="dxa"/>
          </w:tcPr>
          <w:p w14:paraId="7EEDF9A7" w14:textId="77777777" w:rsidR="00EE7D50" w:rsidRDefault="00EE7D50" w:rsidP="00DC403B">
            <w:pPr>
              <w:spacing w:after="60"/>
            </w:pPr>
          </w:p>
          <w:p w14:paraId="3E5922B5" w14:textId="77777777" w:rsidR="000E305E" w:rsidRDefault="000E305E" w:rsidP="00DC403B">
            <w:pPr>
              <w:spacing w:after="60"/>
            </w:pPr>
          </w:p>
          <w:p w14:paraId="591CE5CA" w14:textId="0A8F811E" w:rsidR="000E305E" w:rsidRDefault="000E305E" w:rsidP="00DC403B">
            <w:pPr>
              <w:spacing w:after="60"/>
            </w:pPr>
          </w:p>
        </w:tc>
      </w:tr>
      <w:tr w:rsidR="005C611C" w:rsidRPr="00420C7B" w14:paraId="7BDB4353" w14:textId="77777777" w:rsidTr="006613D4">
        <w:tc>
          <w:tcPr>
            <w:tcW w:w="1350" w:type="dxa"/>
            <w:vAlign w:val="center"/>
          </w:tcPr>
          <w:p w14:paraId="0AF76B68" w14:textId="77777777" w:rsidR="00EE7D50" w:rsidRPr="00861119" w:rsidRDefault="00EE7D50" w:rsidP="00DC403B">
            <w:pPr>
              <w:spacing w:after="60"/>
              <w:jc w:val="center"/>
              <w:rPr>
                <w:sz w:val="56"/>
                <w:szCs w:val="56"/>
              </w:rPr>
            </w:pPr>
            <w:r w:rsidRPr="00861119">
              <w:rPr>
                <w:b/>
                <w:color w:val="FF0000"/>
                <w:sz w:val="56"/>
                <w:szCs w:val="56"/>
              </w:rPr>
              <w:sym w:font="Wingdings 2" w:char="F054"/>
            </w:r>
          </w:p>
        </w:tc>
        <w:tc>
          <w:tcPr>
            <w:tcW w:w="2970" w:type="dxa"/>
            <w:vAlign w:val="center"/>
          </w:tcPr>
          <w:p w14:paraId="50E018BF" w14:textId="77777777" w:rsidR="00EE7D50" w:rsidRPr="00F75996" w:rsidRDefault="00EE7D50" w:rsidP="00DC403B">
            <w:pPr>
              <w:rPr>
                <w:b/>
                <w:bCs/>
              </w:rPr>
            </w:pPr>
            <w:r w:rsidRPr="00F75996">
              <w:rPr>
                <w:b/>
                <w:bCs/>
              </w:rPr>
              <w:t>Security monitoring equipment or software</w:t>
            </w:r>
          </w:p>
        </w:tc>
        <w:tc>
          <w:tcPr>
            <w:tcW w:w="5490" w:type="dxa"/>
          </w:tcPr>
          <w:p w14:paraId="05B2370B" w14:textId="77777777" w:rsidR="00EE7D50" w:rsidRDefault="00EE7D50" w:rsidP="00DC403B">
            <w:pPr>
              <w:tabs>
                <w:tab w:val="left" w:pos="1785"/>
              </w:tabs>
              <w:spacing w:after="60"/>
            </w:pPr>
          </w:p>
          <w:p w14:paraId="26556925" w14:textId="77777777" w:rsidR="000E305E" w:rsidRDefault="000E305E" w:rsidP="00DC403B">
            <w:pPr>
              <w:tabs>
                <w:tab w:val="left" w:pos="1785"/>
              </w:tabs>
              <w:spacing w:after="60"/>
            </w:pPr>
          </w:p>
          <w:p w14:paraId="4022386B" w14:textId="20F65CDE" w:rsidR="000E305E" w:rsidRPr="00420C7B" w:rsidRDefault="000E305E" w:rsidP="00DC403B">
            <w:pPr>
              <w:tabs>
                <w:tab w:val="left" w:pos="1785"/>
              </w:tabs>
              <w:spacing w:after="60"/>
            </w:pPr>
          </w:p>
        </w:tc>
      </w:tr>
      <w:tr w:rsidR="005C611C" w14:paraId="1D35A09D" w14:textId="77777777" w:rsidTr="006613D4">
        <w:tc>
          <w:tcPr>
            <w:tcW w:w="1350" w:type="dxa"/>
            <w:vAlign w:val="center"/>
          </w:tcPr>
          <w:p w14:paraId="25B2BAEB" w14:textId="77777777" w:rsidR="00EE7D50" w:rsidRPr="00861119" w:rsidRDefault="00EE7D50" w:rsidP="00DC403B">
            <w:pPr>
              <w:spacing w:after="60"/>
              <w:jc w:val="center"/>
              <w:rPr>
                <w:color w:val="00B050"/>
                <w:sz w:val="56"/>
                <w:szCs w:val="56"/>
              </w:rPr>
            </w:pPr>
            <w:r w:rsidRPr="00861119">
              <w:rPr>
                <w:b/>
                <w:color w:val="FF0000"/>
                <w:sz w:val="56"/>
                <w:szCs w:val="56"/>
              </w:rPr>
              <w:sym w:font="Wingdings 2" w:char="F054"/>
            </w:r>
          </w:p>
        </w:tc>
        <w:tc>
          <w:tcPr>
            <w:tcW w:w="2970" w:type="dxa"/>
            <w:vAlign w:val="center"/>
          </w:tcPr>
          <w:p w14:paraId="54B99546" w14:textId="77777777" w:rsidR="00EE7D50" w:rsidRPr="00F75996" w:rsidRDefault="00EE7D50" w:rsidP="00DC403B">
            <w:pPr>
              <w:rPr>
                <w:b/>
                <w:bCs/>
              </w:rPr>
            </w:pPr>
            <w:r w:rsidRPr="00F75996">
              <w:rPr>
                <w:b/>
                <w:bCs/>
              </w:rPr>
              <w:t>Special education services included in a student’s IEP</w:t>
            </w:r>
          </w:p>
        </w:tc>
        <w:tc>
          <w:tcPr>
            <w:tcW w:w="5490" w:type="dxa"/>
          </w:tcPr>
          <w:p w14:paraId="2A1980AD" w14:textId="77777777" w:rsidR="00EE7D50" w:rsidRDefault="00EE7D50" w:rsidP="00DC403B">
            <w:pPr>
              <w:spacing w:after="60"/>
            </w:pPr>
          </w:p>
          <w:p w14:paraId="176C4A8C" w14:textId="77777777" w:rsidR="000E305E" w:rsidRDefault="000E305E" w:rsidP="00DC403B">
            <w:pPr>
              <w:spacing w:after="60"/>
            </w:pPr>
          </w:p>
          <w:p w14:paraId="6EA07857" w14:textId="2F6A2DD0" w:rsidR="000E305E" w:rsidRDefault="000E305E" w:rsidP="00DC403B">
            <w:pPr>
              <w:spacing w:after="60"/>
            </w:pPr>
          </w:p>
        </w:tc>
      </w:tr>
      <w:tr w:rsidR="005C611C" w14:paraId="2FD68BFE" w14:textId="77777777" w:rsidTr="006613D4">
        <w:tc>
          <w:tcPr>
            <w:tcW w:w="1350" w:type="dxa"/>
            <w:vAlign w:val="center"/>
          </w:tcPr>
          <w:p w14:paraId="2D5F5604" w14:textId="7A3D0368" w:rsidR="00EE7D50" w:rsidRPr="00861119" w:rsidRDefault="00EE7D50" w:rsidP="00DC403B">
            <w:pPr>
              <w:tabs>
                <w:tab w:val="left" w:pos="255"/>
                <w:tab w:val="center" w:pos="791"/>
              </w:tabs>
              <w:spacing w:after="60"/>
              <w:jc w:val="center"/>
              <w:rPr>
                <w:color w:val="00B050"/>
                <w:sz w:val="56"/>
                <w:szCs w:val="56"/>
              </w:rPr>
            </w:pPr>
            <w:r w:rsidRPr="00861119">
              <w:rPr>
                <w:b/>
                <w:color w:val="FF0000"/>
                <w:sz w:val="56"/>
                <w:szCs w:val="56"/>
              </w:rPr>
              <w:sym w:font="Wingdings 2" w:char="F054"/>
            </w:r>
          </w:p>
        </w:tc>
        <w:tc>
          <w:tcPr>
            <w:tcW w:w="2970" w:type="dxa"/>
            <w:vAlign w:val="center"/>
          </w:tcPr>
          <w:p w14:paraId="3D73AD06" w14:textId="77777777" w:rsidR="00EE7D50" w:rsidRPr="00F75996" w:rsidRDefault="00EE7D50" w:rsidP="00DC403B">
            <w:pPr>
              <w:rPr>
                <w:b/>
                <w:bCs/>
              </w:rPr>
            </w:pPr>
            <w:r w:rsidRPr="00F75996">
              <w:rPr>
                <w:b/>
                <w:bCs/>
              </w:rPr>
              <w:t>Staff recruitment costs</w:t>
            </w:r>
          </w:p>
        </w:tc>
        <w:tc>
          <w:tcPr>
            <w:tcW w:w="5490" w:type="dxa"/>
          </w:tcPr>
          <w:p w14:paraId="19C1834B" w14:textId="77777777" w:rsidR="00EE7D50" w:rsidRDefault="00EE7D50" w:rsidP="00DC403B">
            <w:pPr>
              <w:spacing w:after="60"/>
            </w:pPr>
          </w:p>
        </w:tc>
      </w:tr>
      <w:tr w:rsidR="005C611C" w:rsidRPr="00F75996" w14:paraId="371AD8FA" w14:textId="77777777" w:rsidTr="006613D4">
        <w:tc>
          <w:tcPr>
            <w:tcW w:w="1350" w:type="dxa"/>
            <w:vAlign w:val="center"/>
          </w:tcPr>
          <w:p w14:paraId="54C56E82" w14:textId="77777777" w:rsidR="00EE7D50" w:rsidRPr="00861119" w:rsidRDefault="00EE7D50" w:rsidP="00DC403B">
            <w:pPr>
              <w:spacing w:after="60"/>
              <w:jc w:val="center"/>
              <w:rPr>
                <w:sz w:val="56"/>
                <w:szCs w:val="56"/>
              </w:rPr>
            </w:pPr>
            <w:r w:rsidRPr="00861119">
              <w:rPr>
                <w:b/>
                <w:color w:val="00B050"/>
                <w:sz w:val="56"/>
                <w:szCs w:val="56"/>
              </w:rPr>
              <w:sym w:font="Wingdings 2" w:char="F052"/>
            </w:r>
          </w:p>
        </w:tc>
        <w:tc>
          <w:tcPr>
            <w:tcW w:w="2970" w:type="dxa"/>
            <w:vAlign w:val="center"/>
          </w:tcPr>
          <w:p w14:paraId="352D45E6" w14:textId="77777777" w:rsidR="00EE7D50" w:rsidRPr="00F75996" w:rsidRDefault="00EE7D50" w:rsidP="00DC403B">
            <w:pPr>
              <w:spacing w:after="60"/>
              <w:rPr>
                <w:b/>
                <w:bCs/>
              </w:rPr>
            </w:pPr>
            <w:r w:rsidRPr="00F75996">
              <w:rPr>
                <w:b/>
                <w:bCs/>
              </w:rPr>
              <w:t>Supplemental supplies and materials</w:t>
            </w:r>
          </w:p>
        </w:tc>
        <w:tc>
          <w:tcPr>
            <w:tcW w:w="5490" w:type="dxa"/>
          </w:tcPr>
          <w:p w14:paraId="6D166BA8" w14:textId="77874BF8" w:rsidR="00DC0543" w:rsidRDefault="00DC0543" w:rsidP="00DC0543">
            <w:pPr>
              <w:widowControl/>
              <w:autoSpaceDE/>
              <w:autoSpaceDN/>
              <w:contextualSpacing/>
            </w:pPr>
            <w:r>
              <w:t>Allowable supplemental supplies/materials costs include:</w:t>
            </w:r>
          </w:p>
          <w:p w14:paraId="24847FC5" w14:textId="54B634DA" w:rsidR="00EE7D50" w:rsidRDefault="00EE7D50" w:rsidP="00FA2C4A">
            <w:pPr>
              <w:pStyle w:val="ListParagraph"/>
              <w:widowControl/>
              <w:numPr>
                <w:ilvl w:val="0"/>
                <w:numId w:val="6"/>
              </w:numPr>
              <w:autoSpaceDE/>
              <w:autoSpaceDN/>
              <w:contextualSpacing/>
            </w:pPr>
            <w:r>
              <w:t>Supplemental curriculum materials</w:t>
            </w:r>
          </w:p>
          <w:p w14:paraId="0A265CF2" w14:textId="77777777" w:rsidR="00EE7D50" w:rsidRDefault="00EE7D50" w:rsidP="00FA2C4A">
            <w:pPr>
              <w:pStyle w:val="ListParagraph"/>
              <w:widowControl/>
              <w:numPr>
                <w:ilvl w:val="0"/>
                <w:numId w:val="6"/>
              </w:numPr>
              <w:autoSpaceDE/>
              <w:autoSpaceDN/>
              <w:contextualSpacing/>
            </w:pPr>
            <w:r>
              <w:t>Educational technology (i.e., Chromebooks, laptops, software)</w:t>
            </w:r>
          </w:p>
          <w:p w14:paraId="7CC8621D" w14:textId="77777777" w:rsidR="00EE7D50" w:rsidRDefault="00EE7D50" w:rsidP="00FA2C4A">
            <w:pPr>
              <w:pStyle w:val="ListParagraph"/>
              <w:widowControl/>
              <w:numPr>
                <w:ilvl w:val="0"/>
                <w:numId w:val="6"/>
              </w:numPr>
              <w:autoSpaceDE/>
              <w:autoSpaceDN/>
              <w:contextualSpacing/>
            </w:pPr>
            <w:r>
              <w:t>Assessments for progress monitoring</w:t>
            </w:r>
          </w:p>
          <w:p w14:paraId="2E68E733" w14:textId="77777777" w:rsidR="00EE7D50" w:rsidRDefault="00EE7D50" w:rsidP="00FA2C4A">
            <w:pPr>
              <w:pStyle w:val="ListParagraph"/>
              <w:widowControl/>
              <w:numPr>
                <w:ilvl w:val="0"/>
                <w:numId w:val="6"/>
              </w:numPr>
              <w:autoSpaceDE/>
              <w:autoSpaceDN/>
              <w:contextualSpacing/>
            </w:pPr>
            <w:r>
              <w:t>Classroom libraries</w:t>
            </w:r>
          </w:p>
          <w:p w14:paraId="097A6254" w14:textId="77777777" w:rsidR="00EE7D50" w:rsidRPr="00F75996" w:rsidRDefault="00EE7D50" w:rsidP="00DC403B">
            <w:pPr>
              <w:spacing w:after="60"/>
              <w:rPr>
                <w:sz w:val="8"/>
                <w:szCs w:val="8"/>
              </w:rPr>
            </w:pPr>
          </w:p>
        </w:tc>
      </w:tr>
      <w:tr w:rsidR="005C611C" w:rsidRPr="00F75996" w14:paraId="0D0C7B89" w14:textId="77777777" w:rsidTr="006613D4">
        <w:tc>
          <w:tcPr>
            <w:tcW w:w="1350" w:type="dxa"/>
            <w:vAlign w:val="center"/>
          </w:tcPr>
          <w:p w14:paraId="1C02CBF5" w14:textId="77777777" w:rsidR="00EE7D50" w:rsidRPr="00861119" w:rsidRDefault="00EE7D50" w:rsidP="00DC403B">
            <w:pPr>
              <w:spacing w:after="60"/>
              <w:jc w:val="center"/>
              <w:rPr>
                <w:color w:val="00B050"/>
                <w:sz w:val="56"/>
                <w:szCs w:val="56"/>
              </w:rPr>
            </w:pPr>
            <w:r w:rsidRPr="00861119">
              <w:rPr>
                <w:b/>
                <w:color w:val="00B050"/>
                <w:sz w:val="56"/>
                <w:szCs w:val="56"/>
              </w:rPr>
              <w:sym w:font="Wingdings 2" w:char="F052"/>
            </w:r>
          </w:p>
        </w:tc>
        <w:tc>
          <w:tcPr>
            <w:tcW w:w="2970" w:type="dxa"/>
            <w:vAlign w:val="center"/>
          </w:tcPr>
          <w:p w14:paraId="32574761" w14:textId="77777777" w:rsidR="00EE7D50" w:rsidRPr="00F75996" w:rsidRDefault="00EE7D50" w:rsidP="00DC403B">
            <w:pPr>
              <w:spacing w:after="60"/>
              <w:rPr>
                <w:b/>
                <w:bCs/>
              </w:rPr>
            </w:pPr>
            <w:r w:rsidRPr="00F75996">
              <w:rPr>
                <w:b/>
                <w:bCs/>
              </w:rPr>
              <w:t>Teachers, assistants and/or other staff providing supplemental instruction/services</w:t>
            </w:r>
          </w:p>
        </w:tc>
        <w:tc>
          <w:tcPr>
            <w:tcW w:w="5490" w:type="dxa"/>
          </w:tcPr>
          <w:p w14:paraId="209F006B" w14:textId="5C386FC3" w:rsidR="00DC0543" w:rsidRDefault="00DC0543" w:rsidP="00DC0543">
            <w:pPr>
              <w:widowControl/>
              <w:autoSpaceDE/>
              <w:autoSpaceDN/>
              <w:contextualSpacing/>
            </w:pPr>
            <w:r>
              <w:t>Allowable supplemental instruction/services costs include:</w:t>
            </w:r>
          </w:p>
          <w:p w14:paraId="6F67F7D2" w14:textId="1C7A731E" w:rsidR="00EE7D50" w:rsidRPr="00611962" w:rsidRDefault="00EE7D50" w:rsidP="00FA2C4A">
            <w:pPr>
              <w:pStyle w:val="ListParagraph"/>
              <w:widowControl/>
              <w:numPr>
                <w:ilvl w:val="0"/>
                <w:numId w:val="5"/>
              </w:numPr>
              <w:autoSpaceDE/>
              <w:autoSpaceDN/>
              <w:contextualSpacing/>
            </w:pPr>
            <w:r w:rsidRPr="00611962">
              <w:t>Teachers or teaching assistants for supplemental instruction</w:t>
            </w:r>
          </w:p>
          <w:p w14:paraId="029B23E9" w14:textId="77777777" w:rsidR="00EE7D50" w:rsidRPr="00611962" w:rsidRDefault="00EE7D50" w:rsidP="00FA2C4A">
            <w:pPr>
              <w:pStyle w:val="ListParagraph"/>
              <w:widowControl/>
              <w:numPr>
                <w:ilvl w:val="0"/>
                <w:numId w:val="5"/>
              </w:numPr>
              <w:autoSpaceDE/>
              <w:autoSpaceDN/>
              <w:contextualSpacing/>
            </w:pPr>
            <w:r w:rsidRPr="00611962">
              <w:t>Tutors</w:t>
            </w:r>
          </w:p>
          <w:p w14:paraId="14BD556C" w14:textId="77777777" w:rsidR="00EE7D50" w:rsidRPr="00611962" w:rsidRDefault="00EE7D50" w:rsidP="00FA2C4A">
            <w:pPr>
              <w:pStyle w:val="ListParagraph"/>
              <w:widowControl/>
              <w:numPr>
                <w:ilvl w:val="0"/>
                <w:numId w:val="5"/>
              </w:numPr>
              <w:autoSpaceDE/>
              <w:autoSpaceDN/>
              <w:contextualSpacing/>
            </w:pPr>
            <w:r w:rsidRPr="00611962">
              <w:t>Guidance counselors</w:t>
            </w:r>
          </w:p>
          <w:p w14:paraId="3E82D76B" w14:textId="77777777" w:rsidR="00EE7D50" w:rsidRPr="00611962" w:rsidRDefault="00EE7D50" w:rsidP="00FA2C4A">
            <w:pPr>
              <w:pStyle w:val="ListParagraph"/>
              <w:widowControl/>
              <w:numPr>
                <w:ilvl w:val="0"/>
                <w:numId w:val="5"/>
              </w:numPr>
              <w:autoSpaceDE/>
              <w:autoSpaceDN/>
              <w:contextualSpacing/>
            </w:pPr>
            <w:r w:rsidRPr="00611962">
              <w:t>Social workers</w:t>
            </w:r>
          </w:p>
          <w:p w14:paraId="3C8F03C8" w14:textId="77777777" w:rsidR="00EE7D50" w:rsidRPr="00611962" w:rsidRDefault="00EE7D50" w:rsidP="00FA2C4A">
            <w:pPr>
              <w:pStyle w:val="ListParagraph"/>
              <w:widowControl/>
              <w:numPr>
                <w:ilvl w:val="0"/>
                <w:numId w:val="5"/>
              </w:numPr>
              <w:autoSpaceDE/>
              <w:autoSpaceDN/>
              <w:contextualSpacing/>
            </w:pPr>
            <w:r w:rsidRPr="00611962">
              <w:t>Career and technical education instruction</w:t>
            </w:r>
          </w:p>
          <w:p w14:paraId="5590D650" w14:textId="77777777" w:rsidR="00EE7D50" w:rsidRPr="00611962" w:rsidRDefault="00EE7D50" w:rsidP="00FA2C4A">
            <w:pPr>
              <w:pStyle w:val="ListParagraph"/>
              <w:widowControl/>
              <w:numPr>
                <w:ilvl w:val="0"/>
                <w:numId w:val="5"/>
              </w:numPr>
              <w:autoSpaceDE/>
              <w:autoSpaceDN/>
              <w:contextualSpacing/>
            </w:pPr>
            <w:r w:rsidRPr="00611962">
              <w:t>Transition coordinator and transition staff</w:t>
            </w:r>
          </w:p>
          <w:p w14:paraId="307A9FEB" w14:textId="77777777" w:rsidR="00EE7D50" w:rsidRPr="00611962" w:rsidRDefault="00EE7D50" w:rsidP="00FA2C4A">
            <w:pPr>
              <w:pStyle w:val="ListParagraph"/>
              <w:widowControl/>
              <w:numPr>
                <w:ilvl w:val="0"/>
                <w:numId w:val="5"/>
              </w:numPr>
              <w:autoSpaceDE/>
              <w:autoSpaceDN/>
              <w:contextualSpacing/>
            </w:pPr>
            <w:r w:rsidRPr="00611962">
              <w:t>Data management staff (Title I, Part D focused)</w:t>
            </w:r>
          </w:p>
          <w:p w14:paraId="6B55C094" w14:textId="77777777" w:rsidR="00EE7D50" w:rsidRPr="00611962" w:rsidRDefault="00EE7D50" w:rsidP="00FA2C4A">
            <w:pPr>
              <w:pStyle w:val="ListParagraph"/>
              <w:widowControl/>
              <w:numPr>
                <w:ilvl w:val="0"/>
                <w:numId w:val="5"/>
              </w:numPr>
              <w:autoSpaceDE/>
              <w:autoSpaceDN/>
              <w:contextualSpacing/>
            </w:pPr>
            <w:r w:rsidRPr="00611962">
              <w:t>Program coordinator</w:t>
            </w:r>
          </w:p>
          <w:p w14:paraId="53C9CF2C" w14:textId="77777777" w:rsidR="00EE7D50" w:rsidRPr="00611962" w:rsidRDefault="00EE7D50" w:rsidP="00FA2C4A">
            <w:pPr>
              <w:pStyle w:val="ListParagraph"/>
              <w:widowControl/>
              <w:numPr>
                <w:ilvl w:val="0"/>
                <w:numId w:val="5"/>
              </w:numPr>
              <w:autoSpaceDE/>
              <w:autoSpaceDN/>
              <w:contextualSpacing/>
            </w:pPr>
            <w:r w:rsidRPr="00611962">
              <w:t>Reasonable benefits costs proportionately linked to Title I, Part D funded positions</w:t>
            </w:r>
          </w:p>
          <w:p w14:paraId="001DA9EC" w14:textId="77777777" w:rsidR="00EE7D50" w:rsidRPr="00F75996" w:rsidRDefault="00EE7D50" w:rsidP="00DC403B">
            <w:pPr>
              <w:pStyle w:val="ListParagraph"/>
              <w:ind w:left="720" w:firstLine="0"/>
              <w:rPr>
                <w:sz w:val="8"/>
                <w:szCs w:val="8"/>
              </w:rPr>
            </w:pPr>
          </w:p>
        </w:tc>
      </w:tr>
      <w:tr w:rsidR="005C611C" w14:paraId="3A733FBD" w14:textId="77777777" w:rsidTr="006613D4">
        <w:tc>
          <w:tcPr>
            <w:tcW w:w="1350" w:type="dxa"/>
            <w:vAlign w:val="center"/>
          </w:tcPr>
          <w:p w14:paraId="32EBDE1C" w14:textId="77777777" w:rsidR="00EE7D50" w:rsidRPr="00861119" w:rsidRDefault="00EE7D50" w:rsidP="00DC403B">
            <w:pPr>
              <w:spacing w:after="60"/>
              <w:jc w:val="center"/>
              <w:rPr>
                <w:b/>
                <w:color w:val="00B050"/>
                <w:sz w:val="56"/>
                <w:szCs w:val="56"/>
              </w:rPr>
            </w:pPr>
            <w:r w:rsidRPr="00861119">
              <w:rPr>
                <w:b/>
                <w:color w:val="FF0000"/>
                <w:sz w:val="56"/>
                <w:szCs w:val="56"/>
              </w:rPr>
              <w:sym w:font="Wingdings 2" w:char="F054"/>
            </w:r>
          </w:p>
        </w:tc>
        <w:tc>
          <w:tcPr>
            <w:tcW w:w="2970" w:type="dxa"/>
            <w:vAlign w:val="center"/>
          </w:tcPr>
          <w:p w14:paraId="1DB4A7E3" w14:textId="77777777" w:rsidR="00EE7D50" w:rsidRPr="00F75996" w:rsidRDefault="00EE7D50" w:rsidP="00DC403B">
            <w:pPr>
              <w:rPr>
                <w:b/>
                <w:bCs/>
              </w:rPr>
            </w:pPr>
            <w:r w:rsidRPr="00F75996">
              <w:rPr>
                <w:b/>
                <w:bCs/>
              </w:rPr>
              <w:t>Teachers providing core instruction</w:t>
            </w:r>
          </w:p>
        </w:tc>
        <w:tc>
          <w:tcPr>
            <w:tcW w:w="5490" w:type="dxa"/>
          </w:tcPr>
          <w:p w14:paraId="069219B9" w14:textId="77777777" w:rsidR="00EE7D50" w:rsidRDefault="00EE7D50" w:rsidP="00DC403B">
            <w:pPr>
              <w:spacing w:after="60"/>
            </w:pPr>
            <w:r>
              <w:t>Only supplemental instruction is allowable.</w:t>
            </w:r>
          </w:p>
          <w:p w14:paraId="25A9E101" w14:textId="77777777" w:rsidR="000E305E" w:rsidRDefault="000E305E" w:rsidP="00DC403B">
            <w:pPr>
              <w:spacing w:after="60"/>
            </w:pPr>
          </w:p>
          <w:p w14:paraId="3699843F" w14:textId="2DF185E1" w:rsidR="000E305E" w:rsidRDefault="000E305E" w:rsidP="00DC403B">
            <w:pPr>
              <w:spacing w:after="60"/>
            </w:pPr>
          </w:p>
        </w:tc>
      </w:tr>
      <w:tr w:rsidR="005C611C" w:rsidRPr="00F75996" w14:paraId="66CC21A2" w14:textId="77777777" w:rsidTr="000E0C63">
        <w:trPr>
          <w:trHeight w:val="4238"/>
        </w:trPr>
        <w:tc>
          <w:tcPr>
            <w:tcW w:w="1350" w:type="dxa"/>
            <w:vAlign w:val="center"/>
          </w:tcPr>
          <w:p w14:paraId="72610588" w14:textId="77777777" w:rsidR="00EE7D50" w:rsidRPr="00861119" w:rsidRDefault="00EE7D50" w:rsidP="00DC403B">
            <w:pPr>
              <w:spacing w:after="60"/>
              <w:jc w:val="center"/>
              <w:rPr>
                <w:color w:val="00B050"/>
                <w:sz w:val="56"/>
                <w:szCs w:val="56"/>
              </w:rPr>
            </w:pPr>
            <w:r w:rsidRPr="00861119">
              <w:rPr>
                <w:b/>
                <w:color w:val="00B050"/>
                <w:sz w:val="56"/>
                <w:szCs w:val="56"/>
              </w:rPr>
              <w:lastRenderedPageBreak/>
              <w:sym w:font="Wingdings 2" w:char="F052"/>
            </w:r>
          </w:p>
        </w:tc>
        <w:tc>
          <w:tcPr>
            <w:tcW w:w="2970" w:type="dxa"/>
            <w:vAlign w:val="center"/>
          </w:tcPr>
          <w:p w14:paraId="0F1E2460" w14:textId="77777777" w:rsidR="00EE7D50" w:rsidRPr="009D3BA0" w:rsidRDefault="00EE7D50" w:rsidP="00DC403B">
            <w:pPr>
              <w:spacing w:after="60"/>
            </w:pPr>
            <w:r w:rsidRPr="001F6BD0">
              <w:rPr>
                <w:b/>
              </w:rPr>
              <w:t>Transition services</w:t>
            </w:r>
          </w:p>
        </w:tc>
        <w:tc>
          <w:tcPr>
            <w:tcW w:w="5490" w:type="dxa"/>
          </w:tcPr>
          <w:p w14:paraId="047F3D79" w14:textId="21358A8C" w:rsidR="00DC0543" w:rsidRDefault="00DC0543" w:rsidP="00DC0543">
            <w:pPr>
              <w:widowControl/>
              <w:autoSpaceDE/>
              <w:autoSpaceDN/>
              <w:contextualSpacing/>
            </w:pPr>
            <w:r>
              <w:t>Allowable transition services costs include:</w:t>
            </w:r>
          </w:p>
          <w:p w14:paraId="760BBE00" w14:textId="1C8A6632" w:rsidR="00EE7D50" w:rsidRDefault="00EE7D50" w:rsidP="00FA2C4A">
            <w:pPr>
              <w:pStyle w:val="ListParagraph"/>
              <w:widowControl/>
              <w:numPr>
                <w:ilvl w:val="0"/>
                <w:numId w:val="4"/>
              </w:numPr>
              <w:autoSpaceDE/>
              <w:autoSpaceDN/>
              <w:contextualSpacing/>
            </w:pPr>
            <w:r>
              <w:t>Transition coordinator or transition staff</w:t>
            </w:r>
          </w:p>
          <w:p w14:paraId="3B84FC03" w14:textId="77777777" w:rsidR="00EE7D50" w:rsidRDefault="00EE7D50" w:rsidP="00FA2C4A">
            <w:pPr>
              <w:pStyle w:val="ListParagraph"/>
              <w:widowControl/>
              <w:numPr>
                <w:ilvl w:val="0"/>
                <w:numId w:val="4"/>
              </w:numPr>
              <w:autoSpaceDE/>
              <w:autoSpaceDN/>
              <w:contextualSpacing/>
            </w:pPr>
            <w:r>
              <w:t>Software or other tools that assist with tracking/monitoring/communicating student transitions</w:t>
            </w:r>
          </w:p>
          <w:p w14:paraId="77C4DC39" w14:textId="55101115" w:rsidR="00EE7D50" w:rsidRDefault="00646A81" w:rsidP="00FA2C4A">
            <w:pPr>
              <w:pStyle w:val="ListParagraph"/>
              <w:widowControl/>
              <w:numPr>
                <w:ilvl w:val="0"/>
                <w:numId w:val="4"/>
              </w:numPr>
              <w:autoSpaceDE/>
              <w:autoSpaceDN/>
              <w:contextualSpacing/>
            </w:pPr>
            <w:r>
              <w:t>S</w:t>
            </w:r>
            <w:r w:rsidR="00EE7D50">
              <w:t>ervices needed to ensure a successful transition of a student into, through and from the facility to further education or employment</w:t>
            </w:r>
          </w:p>
          <w:p w14:paraId="56416E71" w14:textId="77777777" w:rsidR="00EE7D50" w:rsidRDefault="00EE7D50" w:rsidP="00FA2C4A">
            <w:pPr>
              <w:pStyle w:val="ListParagraph"/>
              <w:widowControl/>
              <w:numPr>
                <w:ilvl w:val="0"/>
                <w:numId w:val="4"/>
              </w:numPr>
              <w:autoSpaceDE/>
              <w:autoSpaceDN/>
              <w:contextualSpacing/>
            </w:pPr>
            <w:r>
              <w:t>Partnerships with employers to create programs for successful transition to postsecondary education and employment</w:t>
            </w:r>
          </w:p>
          <w:p w14:paraId="2736C915" w14:textId="77777777" w:rsidR="00EE7D50" w:rsidRDefault="00EE7D50" w:rsidP="00FA2C4A">
            <w:pPr>
              <w:pStyle w:val="ListParagraph"/>
              <w:widowControl/>
              <w:numPr>
                <w:ilvl w:val="0"/>
                <w:numId w:val="4"/>
              </w:numPr>
              <w:autoSpaceDE/>
              <w:autoSpaceDN/>
              <w:contextualSpacing/>
            </w:pPr>
            <w:r>
              <w:t>Career and technical educational instruction</w:t>
            </w:r>
          </w:p>
          <w:p w14:paraId="7BCCF0E9" w14:textId="77777777" w:rsidR="00EE7D50" w:rsidRDefault="00EE7D50" w:rsidP="00FA2C4A">
            <w:pPr>
              <w:pStyle w:val="ListParagraph"/>
              <w:widowControl/>
              <w:numPr>
                <w:ilvl w:val="0"/>
                <w:numId w:val="4"/>
              </w:numPr>
              <w:autoSpaceDE/>
              <w:autoSpaceDN/>
              <w:contextualSpacing/>
            </w:pPr>
            <w:r>
              <w:t>Mentoring</w:t>
            </w:r>
          </w:p>
          <w:p w14:paraId="7022E7D5" w14:textId="77777777" w:rsidR="00CE2CF2" w:rsidRDefault="00EE7D50" w:rsidP="00FA2C4A">
            <w:pPr>
              <w:pStyle w:val="ListParagraph"/>
              <w:widowControl/>
              <w:numPr>
                <w:ilvl w:val="0"/>
                <w:numId w:val="4"/>
              </w:numPr>
              <w:autoSpaceDE/>
              <w:autoSpaceDN/>
              <w:contextualSpacing/>
            </w:pPr>
            <w:r>
              <w:t>College/career counseling</w:t>
            </w:r>
          </w:p>
          <w:p w14:paraId="5EC92CE4" w14:textId="3F991E0E" w:rsidR="00EE7D50" w:rsidRPr="00CE2CF2" w:rsidRDefault="00EE7D50" w:rsidP="00FA2C4A">
            <w:pPr>
              <w:pStyle w:val="ListParagraph"/>
              <w:widowControl/>
              <w:numPr>
                <w:ilvl w:val="0"/>
                <w:numId w:val="4"/>
              </w:numPr>
              <w:autoSpaceDE/>
              <w:autoSpaceDN/>
              <w:contextualSpacing/>
            </w:pPr>
            <w:r>
              <w:t>GED prep</w:t>
            </w:r>
          </w:p>
        </w:tc>
      </w:tr>
    </w:tbl>
    <w:p w14:paraId="2FC9BC51" w14:textId="77777777" w:rsidR="000E305E" w:rsidRDefault="000E305E" w:rsidP="00DC403B">
      <w:pPr>
        <w:pStyle w:val="CM7"/>
        <w:spacing w:after="167"/>
        <w:rPr>
          <w:rFonts w:asciiTheme="minorHAnsi" w:hAnsiTheme="minorHAnsi" w:cstheme="minorHAnsi"/>
          <w:b/>
          <w:bCs/>
          <w:color w:val="000000"/>
          <w:sz w:val="22"/>
          <w:szCs w:val="22"/>
        </w:rPr>
      </w:pPr>
    </w:p>
    <w:p w14:paraId="50D2B6AC" w14:textId="31E6F78D" w:rsidR="005C611C" w:rsidRPr="0003457B" w:rsidRDefault="005C611C" w:rsidP="00DC403B">
      <w:pPr>
        <w:pStyle w:val="CM7"/>
        <w:spacing w:after="167"/>
        <w:rPr>
          <w:rFonts w:asciiTheme="minorHAnsi" w:hAnsiTheme="minorHAnsi" w:cstheme="minorHAnsi"/>
          <w:color w:val="000000"/>
          <w:sz w:val="22"/>
          <w:szCs w:val="22"/>
        </w:rPr>
      </w:pPr>
      <w:r w:rsidRPr="0003457B">
        <w:rPr>
          <w:rFonts w:asciiTheme="minorHAnsi" w:hAnsiTheme="minorHAnsi" w:cstheme="minorHAnsi"/>
          <w:b/>
          <w:bCs/>
          <w:color w:val="000000"/>
          <w:sz w:val="22"/>
          <w:szCs w:val="22"/>
        </w:rPr>
        <w:t xml:space="preserve">Questions to be considered prior to </w:t>
      </w:r>
      <w:r>
        <w:rPr>
          <w:rFonts w:asciiTheme="minorHAnsi" w:hAnsiTheme="minorHAnsi" w:cstheme="minorHAnsi"/>
          <w:b/>
          <w:bCs/>
          <w:color w:val="000000"/>
          <w:sz w:val="22"/>
          <w:szCs w:val="22"/>
        </w:rPr>
        <w:t>fund use</w:t>
      </w:r>
      <w:r w:rsidRPr="0003457B">
        <w:rPr>
          <w:rFonts w:asciiTheme="minorHAnsi" w:hAnsiTheme="minorHAnsi" w:cstheme="minorHAnsi"/>
          <w:b/>
          <w:bCs/>
          <w:color w:val="000000"/>
          <w:sz w:val="22"/>
          <w:szCs w:val="22"/>
        </w:rPr>
        <w:t xml:space="preserve">: </w:t>
      </w:r>
    </w:p>
    <w:p w14:paraId="557FD1A7" w14:textId="77777777" w:rsidR="005C611C" w:rsidRDefault="005C611C" w:rsidP="00FA2C4A">
      <w:pPr>
        <w:pStyle w:val="Default"/>
        <w:numPr>
          <w:ilvl w:val="0"/>
          <w:numId w:val="9"/>
        </w:numPr>
        <w:spacing w:after="114"/>
        <w:ind w:left="720" w:hanging="360"/>
        <w:rPr>
          <w:rFonts w:asciiTheme="minorHAnsi" w:hAnsiTheme="minorHAnsi" w:cstheme="minorBidi"/>
          <w:sz w:val="22"/>
          <w:szCs w:val="22"/>
        </w:rPr>
      </w:pPr>
      <w:r w:rsidRPr="005C611C">
        <w:rPr>
          <w:rFonts w:asciiTheme="minorHAnsi" w:hAnsiTheme="minorHAnsi" w:cstheme="minorBidi"/>
          <w:b/>
          <w:bCs/>
          <w:sz w:val="22"/>
          <w:szCs w:val="22"/>
        </w:rPr>
        <w:t>Was this identified in a needs assessment?</w:t>
      </w:r>
      <w:r w:rsidRPr="035FF625">
        <w:rPr>
          <w:rFonts w:asciiTheme="minorHAnsi" w:hAnsiTheme="minorHAnsi" w:cstheme="minorBidi"/>
          <w:sz w:val="22"/>
          <w:szCs w:val="22"/>
        </w:rPr>
        <w:t xml:space="preserve"> </w:t>
      </w:r>
    </w:p>
    <w:p w14:paraId="3EB6D002" w14:textId="28DDFC22" w:rsidR="005C611C" w:rsidRPr="00D275E4" w:rsidRDefault="005C611C" w:rsidP="00FA2C4A">
      <w:pPr>
        <w:pStyle w:val="Default"/>
        <w:numPr>
          <w:ilvl w:val="1"/>
          <w:numId w:val="9"/>
        </w:numPr>
        <w:spacing w:after="114"/>
        <w:ind w:left="844" w:hanging="180"/>
        <w:rPr>
          <w:rFonts w:asciiTheme="minorHAnsi" w:hAnsiTheme="minorHAnsi" w:cstheme="minorBidi"/>
          <w:sz w:val="22"/>
          <w:szCs w:val="22"/>
        </w:rPr>
      </w:pPr>
      <w:r w:rsidRPr="035FF625">
        <w:rPr>
          <w:rFonts w:asciiTheme="minorHAnsi" w:hAnsiTheme="minorHAnsi" w:cstheme="minorBidi"/>
          <w:sz w:val="22"/>
          <w:szCs w:val="22"/>
        </w:rPr>
        <w:t xml:space="preserve">A needs assessment is conducted annually, typically prior to the start of a new school year, to establish priorities for action and make appropriate decisions about the allocation of resources for the upcoming school year. The needs assessment includes an analysis of qualitative and quantitative data, such as data on student achievement and feedback from </w:t>
      </w:r>
      <w:r>
        <w:rPr>
          <w:rFonts w:asciiTheme="minorHAnsi" w:hAnsiTheme="minorHAnsi" w:cstheme="minorBidi"/>
          <w:sz w:val="22"/>
          <w:szCs w:val="22"/>
        </w:rPr>
        <w:t xml:space="preserve">relevant </w:t>
      </w:r>
      <w:r w:rsidRPr="035FF625">
        <w:rPr>
          <w:rFonts w:asciiTheme="minorHAnsi" w:hAnsiTheme="minorHAnsi" w:cstheme="minorBidi"/>
          <w:sz w:val="22"/>
          <w:szCs w:val="22"/>
        </w:rPr>
        <w:t>stakeholders.</w:t>
      </w:r>
      <w:r>
        <w:rPr>
          <w:rFonts w:asciiTheme="minorHAnsi" w:hAnsiTheme="minorHAnsi" w:cstheme="minorBidi"/>
          <w:sz w:val="22"/>
          <w:szCs w:val="22"/>
        </w:rPr>
        <w:t xml:space="preserve"> The needs assessment may also ask the question</w:t>
      </w:r>
      <w:r w:rsidR="009744C4">
        <w:rPr>
          <w:rFonts w:asciiTheme="minorHAnsi" w:hAnsiTheme="minorHAnsi" w:cstheme="minorBidi"/>
          <w:sz w:val="22"/>
          <w:szCs w:val="22"/>
        </w:rPr>
        <w:t>s</w:t>
      </w:r>
      <w:r>
        <w:rPr>
          <w:rFonts w:asciiTheme="minorHAnsi" w:hAnsiTheme="minorHAnsi" w:cstheme="minorBidi"/>
          <w:sz w:val="22"/>
          <w:szCs w:val="22"/>
        </w:rPr>
        <w:t xml:space="preserve">: </w:t>
      </w:r>
      <w:r w:rsidRPr="00052046">
        <w:rPr>
          <w:rFonts w:asciiTheme="minorHAnsi" w:hAnsiTheme="minorHAnsi" w:cstheme="minorBidi"/>
          <w:i/>
          <w:iCs/>
          <w:sz w:val="22"/>
          <w:szCs w:val="22"/>
        </w:rPr>
        <w:t xml:space="preserve">What are the racial equity impacts of </w:t>
      </w:r>
      <w:r>
        <w:rPr>
          <w:rFonts w:asciiTheme="minorHAnsi" w:hAnsiTheme="minorHAnsi" w:cstheme="minorBidi"/>
          <w:i/>
          <w:iCs/>
          <w:sz w:val="22"/>
          <w:szCs w:val="22"/>
        </w:rPr>
        <w:t>a</w:t>
      </w:r>
      <w:r w:rsidRPr="00052046">
        <w:rPr>
          <w:rFonts w:asciiTheme="minorHAnsi" w:hAnsiTheme="minorHAnsi" w:cstheme="minorBidi"/>
          <w:i/>
          <w:iCs/>
          <w:sz w:val="22"/>
          <w:szCs w:val="22"/>
        </w:rPr>
        <w:t xml:space="preserve"> particular decision?</w:t>
      </w:r>
      <w:r w:rsidR="009744C4">
        <w:rPr>
          <w:rFonts w:asciiTheme="minorHAnsi" w:hAnsiTheme="minorHAnsi" w:cstheme="minorBidi"/>
          <w:i/>
          <w:iCs/>
          <w:sz w:val="22"/>
          <w:szCs w:val="22"/>
        </w:rPr>
        <w:t xml:space="preserve"> </w:t>
      </w:r>
      <w:r w:rsidR="00AB2405">
        <w:rPr>
          <w:rFonts w:asciiTheme="minorHAnsi" w:hAnsiTheme="minorHAnsi" w:cstheme="minorBidi"/>
          <w:i/>
          <w:iCs/>
          <w:sz w:val="22"/>
          <w:szCs w:val="22"/>
        </w:rPr>
        <w:t>H</w:t>
      </w:r>
      <w:r w:rsidR="009744C4" w:rsidRPr="00AB2405">
        <w:rPr>
          <w:rFonts w:asciiTheme="minorHAnsi" w:hAnsiTheme="minorHAnsi" w:cstheme="minorBidi"/>
          <w:i/>
          <w:iCs/>
          <w:sz w:val="22"/>
          <w:szCs w:val="22"/>
        </w:rPr>
        <w:t xml:space="preserve">ow </w:t>
      </w:r>
      <w:r w:rsidR="00AB2405">
        <w:rPr>
          <w:rFonts w:asciiTheme="minorHAnsi" w:hAnsiTheme="minorHAnsi" w:cstheme="minorBidi"/>
          <w:i/>
          <w:iCs/>
          <w:sz w:val="22"/>
          <w:szCs w:val="22"/>
        </w:rPr>
        <w:t>can</w:t>
      </w:r>
      <w:r w:rsidR="009744C4" w:rsidRPr="00AB2405">
        <w:rPr>
          <w:rFonts w:asciiTheme="minorHAnsi" w:hAnsiTheme="minorHAnsi" w:cstheme="minorBidi"/>
          <w:i/>
          <w:iCs/>
          <w:sz w:val="22"/>
          <w:szCs w:val="22"/>
        </w:rPr>
        <w:t xml:space="preserve"> these funds</w:t>
      </w:r>
      <w:r w:rsidR="00AB2405">
        <w:rPr>
          <w:rFonts w:asciiTheme="minorHAnsi" w:hAnsiTheme="minorHAnsi" w:cstheme="minorBidi"/>
          <w:i/>
          <w:iCs/>
          <w:sz w:val="22"/>
          <w:szCs w:val="22"/>
        </w:rPr>
        <w:t xml:space="preserve"> be</w:t>
      </w:r>
      <w:r w:rsidR="009744C4" w:rsidRPr="00AB2405">
        <w:rPr>
          <w:rFonts w:asciiTheme="minorHAnsi" w:hAnsiTheme="minorHAnsi" w:cstheme="minorBidi"/>
          <w:i/>
          <w:iCs/>
          <w:sz w:val="22"/>
          <w:szCs w:val="22"/>
        </w:rPr>
        <w:t xml:space="preserve"> used to close achievement and opportunity gaps for traditionally marginalized student groups</w:t>
      </w:r>
      <w:r w:rsidR="00AB2405">
        <w:rPr>
          <w:rFonts w:asciiTheme="minorHAnsi" w:hAnsiTheme="minorHAnsi" w:cstheme="minorBidi"/>
          <w:i/>
          <w:iCs/>
          <w:sz w:val="22"/>
          <w:szCs w:val="22"/>
        </w:rPr>
        <w:t>?</w:t>
      </w:r>
      <w:r>
        <w:rPr>
          <w:rFonts w:asciiTheme="minorHAnsi" w:hAnsiTheme="minorHAnsi" w:cstheme="minorBidi"/>
          <w:sz w:val="22"/>
          <w:szCs w:val="22"/>
        </w:rPr>
        <w:t xml:space="preserve"> </w:t>
      </w:r>
      <w:r w:rsidR="00300AE9">
        <w:rPr>
          <w:rFonts w:asciiTheme="minorHAnsi" w:hAnsiTheme="minorHAnsi" w:cstheme="minorBidi"/>
          <w:sz w:val="22"/>
          <w:szCs w:val="22"/>
        </w:rPr>
        <w:t>Needs assessments</w:t>
      </w:r>
      <w:r w:rsidRPr="035FF625">
        <w:rPr>
          <w:rFonts w:asciiTheme="minorHAnsi" w:hAnsiTheme="minorHAnsi" w:cstheme="minorBidi"/>
          <w:sz w:val="22"/>
          <w:szCs w:val="22"/>
        </w:rPr>
        <w:t xml:space="preserve"> help determine the greatest areas of need and support at the facility and how Title I, D-2 funds can best be used to meet those needs.</w:t>
      </w:r>
      <w:r>
        <w:rPr>
          <w:rFonts w:asciiTheme="minorHAnsi" w:hAnsiTheme="minorHAnsi" w:cstheme="minorBidi"/>
          <w:sz w:val="22"/>
          <w:szCs w:val="22"/>
        </w:rPr>
        <w:t xml:space="preserve"> </w:t>
      </w:r>
      <w:r w:rsidRPr="035FF625">
        <w:rPr>
          <w:rFonts w:asciiTheme="minorHAnsi" w:hAnsiTheme="minorHAnsi" w:cstheme="minorBidi"/>
          <w:sz w:val="22"/>
          <w:szCs w:val="22"/>
        </w:rPr>
        <w:t xml:space="preserve">   </w:t>
      </w:r>
    </w:p>
    <w:p w14:paraId="1DB2EB17" w14:textId="77777777" w:rsidR="005C611C" w:rsidRDefault="005C611C" w:rsidP="00FA2C4A">
      <w:pPr>
        <w:pStyle w:val="Default"/>
        <w:numPr>
          <w:ilvl w:val="0"/>
          <w:numId w:val="9"/>
        </w:numPr>
        <w:spacing w:after="114"/>
        <w:ind w:left="720" w:hanging="360"/>
        <w:rPr>
          <w:rFonts w:asciiTheme="minorHAnsi" w:hAnsiTheme="minorHAnsi" w:cstheme="minorHAnsi"/>
          <w:sz w:val="22"/>
          <w:szCs w:val="22"/>
        </w:rPr>
      </w:pPr>
      <w:r w:rsidRPr="005C611C">
        <w:rPr>
          <w:rFonts w:asciiTheme="minorHAnsi" w:hAnsiTheme="minorHAnsi" w:cstheme="minorHAnsi"/>
          <w:b/>
          <w:bCs/>
          <w:sz w:val="22"/>
          <w:szCs w:val="22"/>
        </w:rPr>
        <w:t>Is this supplemental?</w:t>
      </w:r>
      <w:r w:rsidRPr="00D275E4">
        <w:rPr>
          <w:rFonts w:asciiTheme="minorHAnsi" w:hAnsiTheme="minorHAnsi" w:cstheme="minorHAnsi"/>
          <w:sz w:val="22"/>
          <w:szCs w:val="22"/>
        </w:rPr>
        <w:t xml:space="preserve"> </w:t>
      </w:r>
    </w:p>
    <w:p w14:paraId="0656A94F" w14:textId="3232FD7F" w:rsidR="005C611C" w:rsidRPr="00D275E4" w:rsidRDefault="005C611C" w:rsidP="00FA2C4A">
      <w:pPr>
        <w:pStyle w:val="Default"/>
        <w:numPr>
          <w:ilvl w:val="1"/>
          <w:numId w:val="9"/>
        </w:numPr>
        <w:spacing w:after="114"/>
        <w:ind w:left="844" w:hanging="180"/>
        <w:rPr>
          <w:rFonts w:asciiTheme="minorHAnsi" w:hAnsiTheme="minorHAnsi" w:cstheme="minorHAnsi"/>
          <w:sz w:val="22"/>
          <w:szCs w:val="22"/>
        </w:rPr>
      </w:pPr>
      <w:r w:rsidRPr="00D275E4">
        <w:rPr>
          <w:rFonts w:asciiTheme="minorHAnsi" w:hAnsiTheme="minorHAnsi" w:cstheme="minorHAnsi"/>
          <w:sz w:val="22"/>
          <w:szCs w:val="22"/>
        </w:rPr>
        <w:t>All activities funded with Title I, D-2 must be supplemental to activities that would normally be provided at the facility in the absence of Title I</w:t>
      </w:r>
      <w:r w:rsidR="008676D3">
        <w:rPr>
          <w:rFonts w:asciiTheme="minorHAnsi" w:hAnsiTheme="minorHAnsi" w:cstheme="minorHAnsi"/>
          <w:sz w:val="22"/>
          <w:szCs w:val="22"/>
        </w:rPr>
        <w:t>, D-2</w:t>
      </w:r>
      <w:r w:rsidRPr="00D275E4">
        <w:rPr>
          <w:rFonts w:asciiTheme="minorHAnsi" w:hAnsiTheme="minorHAnsi" w:cstheme="minorHAnsi"/>
          <w:sz w:val="22"/>
          <w:szCs w:val="22"/>
        </w:rPr>
        <w:t xml:space="preserve"> funds.</w:t>
      </w:r>
    </w:p>
    <w:p w14:paraId="15591BD8" w14:textId="77777777" w:rsidR="005C611C" w:rsidRDefault="005C611C" w:rsidP="00FA2C4A">
      <w:pPr>
        <w:pStyle w:val="Default"/>
        <w:numPr>
          <w:ilvl w:val="0"/>
          <w:numId w:val="9"/>
        </w:numPr>
        <w:spacing w:after="114"/>
        <w:ind w:left="720" w:hanging="360"/>
        <w:rPr>
          <w:rFonts w:asciiTheme="minorHAnsi" w:hAnsiTheme="minorHAnsi" w:cstheme="minorHAnsi"/>
          <w:sz w:val="22"/>
          <w:szCs w:val="22"/>
        </w:rPr>
      </w:pPr>
      <w:r w:rsidRPr="005C611C">
        <w:rPr>
          <w:rFonts w:asciiTheme="minorHAnsi" w:hAnsiTheme="minorHAnsi" w:cstheme="minorHAnsi"/>
          <w:b/>
          <w:bCs/>
          <w:sz w:val="22"/>
          <w:szCs w:val="22"/>
        </w:rPr>
        <w:t>Is this necessary and reasonable?</w:t>
      </w:r>
      <w:r w:rsidRPr="00D275E4">
        <w:rPr>
          <w:rFonts w:asciiTheme="minorHAnsi" w:hAnsiTheme="minorHAnsi" w:cstheme="minorHAnsi"/>
          <w:sz w:val="22"/>
          <w:szCs w:val="22"/>
        </w:rPr>
        <w:t xml:space="preserve"> </w:t>
      </w:r>
    </w:p>
    <w:p w14:paraId="45A9E13D" w14:textId="671E6AEF" w:rsidR="005C611C" w:rsidRDefault="005C611C" w:rsidP="00FA2C4A">
      <w:pPr>
        <w:pStyle w:val="Default"/>
        <w:numPr>
          <w:ilvl w:val="1"/>
          <w:numId w:val="9"/>
        </w:numPr>
        <w:spacing w:after="114"/>
        <w:ind w:left="844" w:hanging="180"/>
        <w:rPr>
          <w:rFonts w:asciiTheme="minorHAnsi" w:hAnsiTheme="minorHAnsi" w:cstheme="minorHAnsi"/>
          <w:sz w:val="22"/>
          <w:szCs w:val="22"/>
        </w:rPr>
      </w:pPr>
      <w:r w:rsidRPr="00D275E4">
        <w:rPr>
          <w:rFonts w:asciiTheme="minorHAnsi" w:hAnsiTheme="minorHAnsi" w:cstheme="minorHAnsi"/>
          <w:sz w:val="22"/>
          <w:szCs w:val="22"/>
        </w:rPr>
        <w:t xml:space="preserve">A cost is “necessary” if it meets an important program objective </w:t>
      </w:r>
      <w:r w:rsidR="00B0562E">
        <w:rPr>
          <w:rFonts w:asciiTheme="minorHAnsi" w:hAnsiTheme="minorHAnsi" w:cstheme="minorHAnsi"/>
          <w:sz w:val="22"/>
          <w:szCs w:val="22"/>
        </w:rPr>
        <w:t>and</w:t>
      </w:r>
      <w:r w:rsidRPr="00D275E4">
        <w:rPr>
          <w:rFonts w:asciiTheme="minorHAnsi" w:hAnsiTheme="minorHAnsi" w:cstheme="minorHAnsi"/>
          <w:sz w:val="22"/>
          <w:szCs w:val="22"/>
        </w:rPr>
        <w:t xml:space="preserve"> address</w:t>
      </w:r>
      <w:r w:rsidR="00B0562E">
        <w:rPr>
          <w:rFonts w:asciiTheme="minorHAnsi" w:hAnsiTheme="minorHAnsi" w:cstheme="minorHAnsi"/>
          <w:sz w:val="22"/>
          <w:szCs w:val="22"/>
        </w:rPr>
        <w:t>es</w:t>
      </w:r>
      <w:r w:rsidRPr="00D275E4">
        <w:rPr>
          <w:rFonts w:asciiTheme="minorHAnsi" w:hAnsiTheme="minorHAnsi" w:cstheme="minorHAnsi"/>
          <w:sz w:val="22"/>
          <w:szCs w:val="22"/>
        </w:rPr>
        <w:t xml:space="preserve"> an existing need. A cost is “reasonable” if, in its nature and amount, it does not exceed that which would be incurred by a prudent person.</w:t>
      </w:r>
      <w:r>
        <w:rPr>
          <w:rFonts w:asciiTheme="minorHAnsi" w:hAnsiTheme="minorHAnsi" w:cstheme="minorHAnsi"/>
          <w:sz w:val="22"/>
          <w:szCs w:val="22"/>
        </w:rPr>
        <w:t xml:space="preserve"> </w:t>
      </w:r>
    </w:p>
    <w:p w14:paraId="5E235CC1" w14:textId="77777777" w:rsidR="005C611C" w:rsidRPr="005C611C" w:rsidRDefault="005C611C" w:rsidP="00FA2C4A">
      <w:pPr>
        <w:pStyle w:val="Default"/>
        <w:numPr>
          <w:ilvl w:val="0"/>
          <w:numId w:val="9"/>
        </w:numPr>
        <w:spacing w:after="114"/>
        <w:ind w:left="720" w:hanging="360"/>
        <w:rPr>
          <w:rFonts w:cstheme="minorHAnsi"/>
        </w:rPr>
      </w:pPr>
      <w:r w:rsidRPr="005C611C">
        <w:rPr>
          <w:rFonts w:asciiTheme="minorHAnsi" w:hAnsiTheme="minorHAnsi" w:cstheme="minorHAnsi"/>
          <w:b/>
          <w:bCs/>
          <w:sz w:val="22"/>
          <w:szCs w:val="22"/>
        </w:rPr>
        <w:t>How will the children and youth benefit?</w:t>
      </w:r>
      <w:r w:rsidRPr="00052046">
        <w:rPr>
          <w:rFonts w:asciiTheme="minorHAnsi" w:hAnsiTheme="minorHAnsi" w:cstheme="minorHAnsi"/>
          <w:sz w:val="22"/>
          <w:szCs w:val="22"/>
        </w:rPr>
        <w:t xml:space="preserve"> </w:t>
      </w:r>
    </w:p>
    <w:p w14:paraId="2132BB14" w14:textId="2B227673" w:rsidR="005C611C" w:rsidRPr="003E2686" w:rsidRDefault="005C611C" w:rsidP="00FA2C4A">
      <w:pPr>
        <w:pStyle w:val="Default"/>
        <w:numPr>
          <w:ilvl w:val="1"/>
          <w:numId w:val="9"/>
        </w:numPr>
        <w:spacing w:after="114"/>
        <w:ind w:left="844" w:hanging="180"/>
        <w:rPr>
          <w:rFonts w:cstheme="minorHAnsi"/>
        </w:rPr>
      </w:pPr>
      <w:r>
        <w:rPr>
          <w:rFonts w:asciiTheme="minorHAnsi" w:hAnsiTheme="minorHAnsi" w:cstheme="minorHAnsi"/>
          <w:sz w:val="22"/>
          <w:szCs w:val="22"/>
        </w:rPr>
        <w:t>I</w:t>
      </w:r>
      <w:r w:rsidRPr="00052046">
        <w:rPr>
          <w:rFonts w:asciiTheme="minorHAnsi" w:hAnsiTheme="minorHAnsi" w:cstheme="minorHAnsi"/>
          <w:sz w:val="22"/>
          <w:szCs w:val="22"/>
        </w:rPr>
        <w:t>t is always good practice that services and programs funded through Title I, D-2 be evidence-based. The term ‘evidence-based’ means an intervention that demonstrates a statistically significant effect on improving student outcomes or other relevant outcomes. Using evidence to guide policies, programming choices</w:t>
      </w:r>
      <w:r w:rsidR="00462092">
        <w:rPr>
          <w:rFonts w:asciiTheme="minorHAnsi" w:hAnsiTheme="minorHAnsi" w:cstheme="minorHAnsi"/>
          <w:sz w:val="22"/>
          <w:szCs w:val="22"/>
        </w:rPr>
        <w:t>,</w:t>
      </w:r>
      <w:r w:rsidRPr="00052046">
        <w:rPr>
          <w:rFonts w:asciiTheme="minorHAnsi" w:hAnsiTheme="minorHAnsi" w:cstheme="minorHAnsi"/>
          <w:sz w:val="22"/>
          <w:szCs w:val="22"/>
        </w:rPr>
        <w:t xml:space="preserve"> and program improvement is the best way to maximize the likelihood of success. See the</w:t>
      </w:r>
      <w:r w:rsidR="00802534">
        <w:rPr>
          <w:rFonts w:asciiTheme="minorHAnsi" w:hAnsiTheme="minorHAnsi" w:cstheme="minorHAnsi"/>
          <w:sz w:val="22"/>
          <w:szCs w:val="22"/>
        </w:rPr>
        <w:t xml:space="preserve"> Additional</w:t>
      </w:r>
      <w:r w:rsidRPr="00052046">
        <w:rPr>
          <w:rFonts w:asciiTheme="minorHAnsi" w:hAnsiTheme="minorHAnsi" w:cstheme="minorHAnsi"/>
          <w:sz w:val="22"/>
          <w:szCs w:val="22"/>
        </w:rPr>
        <w:t xml:space="preserve"> Resources section at the end of this document for a list of registries that can be searched to find </w:t>
      </w:r>
      <w:r w:rsidR="00745596">
        <w:rPr>
          <w:rFonts w:asciiTheme="minorHAnsi" w:hAnsiTheme="minorHAnsi" w:cstheme="minorHAnsi"/>
          <w:sz w:val="22"/>
          <w:szCs w:val="22"/>
        </w:rPr>
        <w:t xml:space="preserve">evidence- and research-based </w:t>
      </w:r>
      <w:r w:rsidRPr="00052046">
        <w:rPr>
          <w:rFonts w:asciiTheme="minorHAnsi" w:hAnsiTheme="minorHAnsi" w:cstheme="minorHAnsi"/>
          <w:sz w:val="22"/>
          <w:szCs w:val="22"/>
        </w:rPr>
        <w:t>practices</w:t>
      </w:r>
      <w:r w:rsidR="00B87D99">
        <w:rPr>
          <w:rFonts w:asciiTheme="minorHAnsi" w:hAnsiTheme="minorHAnsi" w:cstheme="minorHAnsi"/>
          <w:sz w:val="22"/>
          <w:szCs w:val="22"/>
        </w:rPr>
        <w:t xml:space="preserve"> and programs</w:t>
      </w:r>
      <w:r w:rsidRPr="00052046">
        <w:rPr>
          <w:rFonts w:asciiTheme="minorHAnsi" w:hAnsiTheme="minorHAnsi" w:cstheme="minorHAnsi"/>
          <w:sz w:val="22"/>
          <w:szCs w:val="22"/>
        </w:rPr>
        <w:t xml:space="preserve"> that have </w:t>
      </w:r>
      <w:r w:rsidR="00745596">
        <w:rPr>
          <w:rFonts w:asciiTheme="minorHAnsi" w:hAnsiTheme="minorHAnsi" w:cstheme="minorHAnsi"/>
          <w:sz w:val="22"/>
          <w:szCs w:val="22"/>
        </w:rPr>
        <w:t>demonstrated success</w:t>
      </w:r>
      <w:r w:rsidRPr="00052046">
        <w:rPr>
          <w:rFonts w:asciiTheme="minorHAnsi" w:hAnsiTheme="minorHAnsi" w:cstheme="minorHAnsi"/>
          <w:sz w:val="22"/>
          <w:szCs w:val="22"/>
        </w:rPr>
        <w:t>.</w:t>
      </w:r>
    </w:p>
    <w:p w14:paraId="15A7373E" w14:textId="77777777" w:rsidR="00AA4A5C" w:rsidRDefault="00AA4A5C" w:rsidP="00DC403B">
      <w:pPr>
        <w:pStyle w:val="Heading1"/>
        <w:spacing w:before="0"/>
        <w:ind w:left="0"/>
        <w:rPr>
          <w:b/>
          <w:bCs/>
          <w:color w:val="1F497D" w:themeColor="text2"/>
          <w:sz w:val="28"/>
          <w:szCs w:val="28"/>
        </w:rPr>
      </w:pPr>
    </w:p>
    <w:p w14:paraId="69F00EAF" w14:textId="17695C15" w:rsidR="005F3800" w:rsidRPr="006613D4" w:rsidRDefault="00DC403B" w:rsidP="00DC403B">
      <w:pPr>
        <w:pStyle w:val="Heading1"/>
        <w:spacing w:before="0"/>
        <w:ind w:left="0"/>
        <w:rPr>
          <w:b/>
          <w:bCs/>
          <w:color w:val="1F497D" w:themeColor="text2"/>
          <w:sz w:val="12"/>
          <w:szCs w:val="12"/>
        </w:rPr>
      </w:pPr>
      <w:bookmarkStart w:id="3" w:name="_Toc133221633"/>
      <w:r>
        <w:rPr>
          <w:b/>
          <w:bCs/>
          <w:color w:val="1F497D" w:themeColor="text2"/>
          <w:sz w:val="28"/>
          <w:szCs w:val="28"/>
        </w:rPr>
        <w:lastRenderedPageBreak/>
        <w:t xml:space="preserve">Title I, D-2 </w:t>
      </w:r>
      <w:r w:rsidR="00E06821" w:rsidRPr="00DC403B">
        <w:rPr>
          <w:b/>
          <w:bCs/>
          <w:color w:val="1F497D" w:themeColor="text2"/>
          <w:sz w:val="28"/>
          <w:szCs w:val="28"/>
        </w:rPr>
        <w:t>Definitions</w:t>
      </w:r>
      <w:bookmarkEnd w:id="3"/>
      <w:r w:rsidR="005F3800">
        <w:rPr>
          <w:b/>
          <w:bCs/>
          <w:color w:val="1F497D" w:themeColor="text2"/>
        </w:rPr>
        <w:br/>
      </w:r>
    </w:p>
    <w:p w14:paraId="047DD714" w14:textId="64411D47" w:rsidR="00765502" w:rsidRDefault="00765502" w:rsidP="00DC403B">
      <w:pPr>
        <w:pStyle w:val="NormalWeb"/>
        <w:spacing w:before="0" w:beforeAutospacing="0" w:after="0" w:afterAutospacing="0"/>
        <w:rPr>
          <w:rFonts w:asciiTheme="minorHAnsi" w:eastAsiaTheme="minorHAnsi" w:hAnsiTheme="minorHAnsi" w:cstheme="minorBidi"/>
          <w:sz w:val="22"/>
          <w:szCs w:val="22"/>
        </w:rPr>
      </w:pPr>
      <w:r w:rsidRPr="008527CC">
        <w:rPr>
          <w:rFonts w:asciiTheme="minorHAnsi" w:eastAsiaTheme="minorHAnsi" w:hAnsiTheme="minorHAnsi" w:cstheme="minorBidi"/>
          <w:sz w:val="22"/>
          <w:szCs w:val="22"/>
        </w:rPr>
        <w:t>Section 1432 of the Title I</w:t>
      </w:r>
      <w:r>
        <w:rPr>
          <w:rFonts w:asciiTheme="minorHAnsi" w:eastAsiaTheme="minorHAnsi" w:hAnsiTheme="minorHAnsi" w:cstheme="minorBidi"/>
          <w:sz w:val="22"/>
          <w:szCs w:val="22"/>
        </w:rPr>
        <w:t>, Part D</w:t>
      </w:r>
      <w:r w:rsidRPr="008527CC">
        <w:rPr>
          <w:rFonts w:asciiTheme="minorHAnsi" w:eastAsiaTheme="minorHAnsi" w:hAnsiTheme="minorHAnsi" w:cstheme="minorBidi"/>
          <w:sz w:val="22"/>
          <w:szCs w:val="22"/>
        </w:rPr>
        <w:t xml:space="preserve"> Statute defines both an institution for neglected children and youth and an institution for delinquent children and youth. The agency charter of a facility </w:t>
      </w:r>
      <w:r>
        <w:rPr>
          <w:rFonts w:asciiTheme="minorHAnsi" w:eastAsiaTheme="minorHAnsi" w:hAnsiTheme="minorHAnsi" w:cstheme="minorBidi"/>
          <w:sz w:val="22"/>
          <w:szCs w:val="22"/>
        </w:rPr>
        <w:t>should be</w:t>
      </w:r>
      <w:r w:rsidRPr="008527CC">
        <w:rPr>
          <w:rFonts w:asciiTheme="minorHAnsi" w:eastAsiaTheme="minorHAnsi" w:hAnsiTheme="minorHAnsi" w:cstheme="minorBidi"/>
          <w:sz w:val="22"/>
          <w:szCs w:val="22"/>
        </w:rPr>
        <w:t xml:space="preserve"> used to determine the purpose of the facility</w:t>
      </w:r>
      <w:r>
        <w:rPr>
          <w:rFonts w:asciiTheme="minorHAnsi" w:eastAsiaTheme="minorHAnsi" w:hAnsiTheme="minorHAnsi" w:cstheme="minorBidi"/>
          <w:sz w:val="22"/>
          <w:szCs w:val="22"/>
        </w:rPr>
        <w:t xml:space="preserve"> and how it will be categorized.</w:t>
      </w:r>
    </w:p>
    <w:p w14:paraId="310D28BA" w14:textId="77777777" w:rsidR="007F13F6" w:rsidRPr="007F13F6" w:rsidRDefault="007F13F6" w:rsidP="00DC403B">
      <w:pPr>
        <w:pStyle w:val="NormalWeb"/>
        <w:spacing w:before="0" w:beforeAutospacing="0" w:after="0" w:afterAutospacing="0"/>
        <w:rPr>
          <w:rFonts w:asciiTheme="minorHAnsi" w:eastAsiaTheme="minorHAnsi" w:hAnsiTheme="minorHAnsi" w:cstheme="minorBidi"/>
          <w:sz w:val="10"/>
          <w:szCs w:val="10"/>
        </w:rPr>
      </w:pPr>
    </w:p>
    <w:p w14:paraId="15F86AB2" w14:textId="77777777" w:rsidR="000E718E" w:rsidRPr="008527CC" w:rsidRDefault="000E718E" w:rsidP="00DC403B">
      <w:pPr>
        <w:pStyle w:val="NormalWeb"/>
        <w:spacing w:before="0" w:beforeAutospacing="0" w:after="0" w:afterAutospacing="0"/>
        <w:rPr>
          <w:rFonts w:asciiTheme="minorHAnsi" w:eastAsiaTheme="minorHAnsi" w:hAnsiTheme="minorHAnsi" w:cstheme="minorBidi"/>
          <w:sz w:val="22"/>
          <w:szCs w:val="22"/>
        </w:rPr>
      </w:pPr>
    </w:p>
    <w:tbl>
      <w:tblPr>
        <w:tblStyle w:val="TableGrid"/>
        <w:tblW w:w="9900" w:type="dxa"/>
        <w:tblInd w:w="85" w:type="dxa"/>
        <w:tblLook w:val="04A0" w:firstRow="1" w:lastRow="0" w:firstColumn="1" w:lastColumn="0" w:noHBand="0" w:noVBand="1"/>
      </w:tblPr>
      <w:tblGrid>
        <w:gridCol w:w="4860"/>
        <w:gridCol w:w="5040"/>
      </w:tblGrid>
      <w:tr w:rsidR="00B5500F" w:rsidRPr="00B5500F" w14:paraId="08926B04" w14:textId="77777777" w:rsidTr="00676274">
        <w:trPr>
          <w:tblHeader/>
        </w:trPr>
        <w:tc>
          <w:tcPr>
            <w:tcW w:w="4860" w:type="dxa"/>
            <w:shd w:val="clear" w:color="auto" w:fill="D9D9D9" w:themeFill="background1" w:themeFillShade="D9"/>
          </w:tcPr>
          <w:p w14:paraId="0D304E6F" w14:textId="02F24993" w:rsidR="00B5500F" w:rsidRPr="00B5500F" w:rsidRDefault="00676274" w:rsidP="00DC403B">
            <w:pPr>
              <w:spacing w:after="20"/>
              <w:rPr>
                <w:rFonts w:asciiTheme="minorHAnsi" w:eastAsiaTheme="minorEastAsia" w:hAnsiTheme="minorHAnsi" w:cstheme="minorHAnsi"/>
                <w:b/>
              </w:rPr>
            </w:pPr>
            <w:r>
              <w:rPr>
                <w:rFonts w:asciiTheme="minorHAnsi" w:eastAsiaTheme="minorEastAsia" w:hAnsiTheme="minorHAnsi" w:cstheme="minorHAnsi"/>
                <w:b/>
              </w:rPr>
              <w:t>Institution for Neglected Youth</w:t>
            </w:r>
          </w:p>
        </w:tc>
        <w:tc>
          <w:tcPr>
            <w:tcW w:w="5040" w:type="dxa"/>
            <w:shd w:val="clear" w:color="auto" w:fill="D9D9D9" w:themeFill="background1" w:themeFillShade="D9"/>
          </w:tcPr>
          <w:p w14:paraId="113DBD43" w14:textId="7BF296BE" w:rsidR="00B5500F" w:rsidRPr="00B5500F" w:rsidRDefault="00676274" w:rsidP="00DC403B">
            <w:pPr>
              <w:spacing w:after="20"/>
              <w:rPr>
                <w:rFonts w:asciiTheme="minorHAnsi" w:eastAsiaTheme="minorEastAsia" w:hAnsiTheme="minorHAnsi" w:cstheme="minorHAnsi"/>
                <w:b/>
              </w:rPr>
            </w:pPr>
            <w:r>
              <w:rPr>
                <w:rFonts w:asciiTheme="minorHAnsi" w:eastAsiaTheme="minorEastAsia" w:hAnsiTheme="minorHAnsi" w:cstheme="minorHAnsi"/>
                <w:b/>
              </w:rPr>
              <w:t>Institution for Delinquent Youth</w:t>
            </w:r>
          </w:p>
        </w:tc>
      </w:tr>
      <w:tr w:rsidR="00B5500F" w:rsidRPr="00B5500F" w14:paraId="2451111D" w14:textId="77777777" w:rsidTr="00992D04">
        <w:trPr>
          <w:trHeight w:val="2591"/>
        </w:trPr>
        <w:tc>
          <w:tcPr>
            <w:tcW w:w="4860" w:type="dxa"/>
            <w:vAlign w:val="center"/>
          </w:tcPr>
          <w:p w14:paraId="4011810C" w14:textId="77777777" w:rsidR="00C228B3" w:rsidRPr="00C228B3" w:rsidRDefault="00C228B3" w:rsidP="00DC403B">
            <w:pPr>
              <w:widowControl/>
              <w:autoSpaceDE/>
              <w:autoSpaceDN/>
              <w:rPr>
                <w:rFonts w:cs="Times New Roman"/>
                <w:b/>
                <w:bCs/>
                <w:sz w:val="12"/>
                <w:szCs w:val="12"/>
              </w:rPr>
            </w:pPr>
          </w:p>
          <w:p w14:paraId="17A4DA95" w14:textId="5579E34A" w:rsidR="002648D9" w:rsidRPr="002648D9" w:rsidRDefault="002648D9" w:rsidP="00DC403B">
            <w:pPr>
              <w:widowControl/>
              <w:autoSpaceDE/>
              <w:autoSpaceDN/>
              <w:rPr>
                <w:rFonts w:cs="Times New Roman"/>
              </w:rPr>
            </w:pPr>
            <w:r w:rsidRPr="002648D9">
              <w:rPr>
                <w:rFonts w:cs="Times New Roman"/>
                <w:b/>
                <w:bCs/>
              </w:rPr>
              <w:t>An institution for neglected children and youth</w:t>
            </w:r>
            <w:r w:rsidRPr="002648D9">
              <w:rPr>
                <w:rFonts w:cs="Times New Roman"/>
              </w:rPr>
              <w:t xml:space="preserve"> is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w:t>
            </w:r>
          </w:p>
          <w:p w14:paraId="74202A5A" w14:textId="27A59DD6" w:rsidR="00B5500F" w:rsidRPr="00B5500F" w:rsidRDefault="00B5500F" w:rsidP="00DC403B">
            <w:pPr>
              <w:rPr>
                <w:rFonts w:asciiTheme="minorHAnsi" w:eastAsiaTheme="minorEastAsia" w:hAnsiTheme="minorHAnsi" w:cstheme="minorHAnsi"/>
                <w:b/>
                <w:bCs/>
              </w:rPr>
            </w:pPr>
          </w:p>
        </w:tc>
        <w:tc>
          <w:tcPr>
            <w:tcW w:w="5040" w:type="dxa"/>
          </w:tcPr>
          <w:p w14:paraId="1611612D" w14:textId="77777777" w:rsidR="00C228B3" w:rsidRPr="00992D04" w:rsidRDefault="00C228B3" w:rsidP="00DC403B">
            <w:pPr>
              <w:widowControl/>
              <w:autoSpaceDE/>
              <w:autoSpaceDN/>
              <w:rPr>
                <w:rFonts w:cs="Times New Roman"/>
                <w:b/>
                <w:bCs/>
              </w:rPr>
            </w:pPr>
          </w:p>
          <w:p w14:paraId="1105BDDA" w14:textId="7A908A2A" w:rsidR="00B5500F" w:rsidRPr="00992D04" w:rsidRDefault="000E718E" w:rsidP="00DC403B">
            <w:pPr>
              <w:widowControl/>
              <w:autoSpaceDE/>
              <w:autoSpaceDN/>
              <w:rPr>
                <w:rFonts w:cs="Times New Roman"/>
                <w:b/>
                <w:bCs/>
              </w:rPr>
            </w:pPr>
            <w:r w:rsidRPr="000E718E">
              <w:rPr>
                <w:rFonts w:cs="Times New Roman"/>
                <w:b/>
                <w:bCs/>
              </w:rPr>
              <w:t>An institution for delinquent children and youth</w:t>
            </w:r>
            <w:r w:rsidRPr="00992D04">
              <w:rPr>
                <w:rFonts w:cs="Times New Roman"/>
              </w:rPr>
              <w:t xml:space="preserve"> is a public or private residential facility for the care of children who have been adjudicated to be delinquent or in need of supervision.</w:t>
            </w:r>
          </w:p>
        </w:tc>
      </w:tr>
    </w:tbl>
    <w:p w14:paraId="06FF73A4" w14:textId="78C8668C" w:rsidR="00765502" w:rsidRDefault="00765502" w:rsidP="00DC403B">
      <w:pPr>
        <w:rPr>
          <w:rFonts w:asciiTheme="minorHAnsi" w:eastAsiaTheme="minorEastAsia" w:hAnsiTheme="minorHAnsi" w:cstheme="minorHAnsi"/>
        </w:rPr>
      </w:pPr>
    </w:p>
    <w:p w14:paraId="3B1308B0" w14:textId="77777777" w:rsidR="007F13F6" w:rsidRDefault="007F13F6" w:rsidP="00DC403B">
      <w:pPr>
        <w:rPr>
          <w:rFonts w:asciiTheme="minorHAnsi" w:eastAsiaTheme="minorEastAsia" w:hAnsiTheme="minorHAnsi" w:cstheme="minorHAnsi"/>
        </w:rPr>
      </w:pPr>
    </w:p>
    <w:p w14:paraId="290D32EB" w14:textId="75086650" w:rsidR="00765502" w:rsidRDefault="00DD27FF" w:rsidP="00DC403B">
      <w:pPr>
        <w:rPr>
          <w:rFonts w:cstheme="minorHAnsi"/>
        </w:rPr>
      </w:pPr>
      <w:r>
        <w:rPr>
          <w:rFonts w:cstheme="minorHAnsi"/>
          <w:b/>
        </w:rPr>
        <w:t xml:space="preserve">An at-risk child or youth </w:t>
      </w:r>
      <w:r>
        <w:rPr>
          <w:rFonts w:cstheme="minorHAnsi"/>
          <w:bCs/>
        </w:rPr>
        <w:t xml:space="preserve">is </w:t>
      </w:r>
      <w:r>
        <w:rPr>
          <w:rFonts w:cstheme="minorHAnsi"/>
        </w:rPr>
        <w:t>a school-aged individual who meets one or more of the following criteria:</w:t>
      </w:r>
    </w:p>
    <w:p w14:paraId="5E49FDA0" w14:textId="77777777" w:rsidR="004C1240" w:rsidRPr="00992D04" w:rsidRDefault="004C1240" w:rsidP="00DC403B">
      <w:pPr>
        <w:rPr>
          <w:rFonts w:asciiTheme="minorHAnsi" w:eastAsiaTheme="minorEastAsia" w:hAnsiTheme="minorHAnsi" w:cstheme="minorHAnsi"/>
        </w:rPr>
      </w:pPr>
    </w:p>
    <w:p w14:paraId="4FBF068A"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bookmarkStart w:id="4" w:name="_Hlk128389361"/>
      <w:r>
        <w:rPr>
          <w:rFonts w:cstheme="minorHAnsi"/>
        </w:rPr>
        <w:t>is at-risk of academic failure</w:t>
      </w:r>
    </w:p>
    <w:bookmarkEnd w:id="4"/>
    <w:p w14:paraId="6E6AB6DE"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has a drug or alcohol problem</w:t>
      </w:r>
    </w:p>
    <w:p w14:paraId="0EF66195"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is pregnant or is a parent</w:t>
      </w:r>
    </w:p>
    <w:p w14:paraId="1D0A3938"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has previously come into contact with the juvenile justice system</w:t>
      </w:r>
    </w:p>
    <w:p w14:paraId="2C41D3A4"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is at least 1 year behind the expected grade level for the age of the individual</w:t>
      </w:r>
    </w:p>
    <w:p w14:paraId="7460FA30"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is a migrant or an immigrant</w:t>
      </w:r>
    </w:p>
    <w:p w14:paraId="476B0BCF"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has limited English proficiency</w:t>
      </w:r>
    </w:p>
    <w:p w14:paraId="70B0CE27"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is a gang member</w:t>
      </w:r>
    </w:p>
    <w:p w14:paraId="49E192B9" w14:textId="77777777" w:rsid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has previously dropped out of school</w:t>
      </w:r>
    </w:p>
    <w:p w14:paraId="1AEC6508" w14:textId="0E446AD5" w:rsidR="008B7215" w:rsidRPr="00646D53" w:rsidRDefault="00646D53" w:rsidP="00992D04">
      <w:pPr>
        <w:pStyle w:val="ListParagraph"/>
        <w:widowControl/>
        <w:numPr>
          <w:ilvl w:val="0"/>
          <w:numId w:val="1"/>
        </w:numPr>
        <w:autoSpaceDE/>
        <w:autoSpaceDN/>
        <w:spacing w:after="200" w:line="360" w:lineRule="auto"/>
        <w:contextualSpacing/>
        <w:rPr>
          <w:rFonts w:cstheme="minorHAnsi"/>
        </w:rPr>
      </w:pPr>
      <w:r>
        <w:rPr>
          <w:rFonts w:cstheme="minorHAnsi"/>
        </w:rPr>
        <w:t>has a high absenteeism rate at school</w:t>
      </w:r>
      <w:r w:rsidR="008B7215" w:rsidRPr="00646D53">
        <w:rPr>
          <w:rFonts w:asciiTheme="minorHAnsi" w:hAnsiTheme="minorHAnsi" w:cstheme="minorHAnsi"/>
        </w:rPr>
        <w:t xml:space="preserve"> </w:t>
      </w:r>
    </w:p>
    <w:p w14:paraId="085A313D" w14:textId="77777777" w:rsidR="00B513AE" w:rsidRPr="00CB3557" w:rsidRDefault="00B513AE" w:rsidP="00DC403B">
      <w:pPr>
        <w:pStyle w:val="ListParagraph"/>
        <w:ind w:left="720" w:firstLine="0"/>
        <w:rPr>
          <w:rFonts w:asciiTheme="minorHAnsi" w:eastAsiaTheme="minorEastAsia" w:hAnsiTheme="minorHAnsi" w:cstheme="minorHAnsi"/>
        </w:rPr>
      </w:pPr>
    </w:p>
    <w:p w14:paraId="20A94ADF" w14:textId="77777777" w:rsidR="00AA4A5C" w:rsidRDefault="00AA4A5C" w:rsidP="00DC403B">
      <w:pPr>
        <w:pStyle w:val="Heading1"/>
        <w:spacing w:before="0"/>
        <w:ind w:left="0"/>
        <w:rPr>
          <w:b/>
          <w:bCs/>
          <w:color w:val="1F497D" w:themeColor="text2"/>
          <w:sz w:val="28"/>
          <w:szCs w:val="28"/>
        </w:rPr>
      </w:pPr>
    </w:p>
    <w:p w14:paraId="2E81D7CD" w14:textId="77777777" w:rsidR="00AA4A5C" w:rsidRDefault="00AA4A5C" w:rsidP="00DC403B">
      <w:pPr>
        <w:pStyle w:val="Heading1"/>
        <w:spacing w:before="0"/>
        <w:ind w:left="0"/>
        <w:rPr>
          <w:b/>
          <w:bCs/>
          <w:color w:val="1F497D" w:themeColor="text2"/>
          <w:sz w:val="28"/>
          <w:szCs w:val="28"/>
        </w:rPr>
      </w:pPr>
    </w:p>
    <w:p w14:paraId="38B8F995" w14:textId="77777777" w:rsidR="00AA4A5C" w:rsidRDefault="00AA4A5C" w:rsidP="00DC403B">
      <w:pPr>
        <w:pStyle w:val="Heading1"/>
        <w:spacing w:before="0"/>
        <w:ind w:left="0"/>
        <w:rPr>
          <w:b/>
          <w:bCs/>
          <w:color w:val="1F497D" w:themeColor="text2"/>
          <w:sz w:val="28"/>
          <w:szCs w:val="28"/>
        </w:rPr>
      </w:pPr>
    </w:p>
    <w:p w14:paraId="0EA3E22F" w14:textId="77777777" w:rsidR="00AA4A5C" w:rsidRDefault="00AA4A5C" w:rsidP="00DC403B">
      <w:pPr>
        <w:pStyle w:val="Heading1"/>
        <w:spacing w:before="0"/>
        <w:ind w:left="0"/>
        <w:rPr>
          <w:b/>
          <w:bCs/>
          <w:color w:val="1F497D" w:themeColor="text2"/>
          <w:sz w:val="28"/>
          <w:szCs w:val="28"/>
        </w:rPr>
      </w:pPr>
    </w:p>
    <w:p w14:paraId="7BC316FA" w14:textId="77777777" w:rsidR="00AA4A5C" w:rsidRDefault="00AA4A5C" w:rsidP="00DC403B">
      <w:pPr>
        <w:pStyle w:val="Heading1"/>
        <w:spacing w:before="0"/>
        <w:ind w:left="0"/>
        <w:rPr>
          <w:b/>
          <w:bCs/>
          <w:color w:val="1F497D" w:themeColor="text2"/>
          <w:sz w:val="28"/>
          <w:szCs w:val="28"/>
        </w:rPr>
      </w:pPr>
    </w:p>
    <w:p w14:paraId="1446DDA8" w14:textId="77777777" w:rsidR="00AA4A5C" w:rsidRDefault="00AA4A5C" w:rsidP="00DC403B">
      <w:pPr>
        <w:pStyle w:val="Heading1"/>
        <w:spacing w:before="0"/>
        <w:ind w:left="0"/>
        <w:rPr>
          <w:b/>
          <w:bCs/>
          <w:color w:val="1F497D" w:themeColor="text2"/>
          <w:sz w:val="28"/>
          <w:szCs w:val="28"/>
        </w:rPr>
      </w:pPr>
    </w:p>
    <w:p w14:paraId="3AD4A506" w14:textId="77777777" w:rsidR="00AA4A5C" w:rsidRDefault="00AA4A5C" w:rsidP="00DC403B">
      <w:pPr>
        <w:pStyle w:val="Heading1"/>
        <w:spacing w:before="0"/>
        <w:ind w:left="0"/>
        <w:rPr>
          <w:b/>
          <w:bCs/>
          <w:color w:val="1F497D" w:themeColor="text2"/>
          <w:sz w:val="28"/>
          <w:szCs w:val="28"/>
        </w:rPr>
      </w:pPr>
    </w:p>
    <w:p w14:paraId="41AF315F" w14:textId="77777777" w:rsidR="00AA4A5C" w:rsidRDefault="00AA4A5C" w:rsidP="00DC403B">
      <w:pPr>
        <w:pStyle w:val="Heading1"/>
        <w:spacing w:before="0"/>
        <w:ind w:left="0"/>
        <w:rPr>
          <w:b/>
          <w:bCs/>
          <w:color w:val="1F497D" w:themeColor="text2"/>
          <w:sz w:val="28"/>
          <w:szCs w:val="28"/>
        </w:rPr>
      </w:pPr>
    </w:p>
    <w:p w14:paraId="700CDB17" w14:textId="77777777" w:rsidR="00AA4A5C" w:rsidRDefault="00AA4A5C" w:rsidP="00DC403B">
      <w:pPr>
        <w:pStyle w:val="Heading1"/>
        <w:spacing w:before="0"/>
        <w:ind w:left="0"/>
        <w:rPr>
          <w:b/>
          <w:bCs/>
          <w:color w:val="1F497D" w:themeColor="text2"/>
          <w:sz w:val="28"/>
          <w:szCs w:val="28"/>
        </w:rPr>
      </w:pPr>
    </w:p>
    <w:p w14:paraId="5D635B39" w14:textId="77777777" w:rsidR="00060D50" w:rsidRDefault="00060D50" w:rsidP="00060D50">
      <w:pPr>
        <w:pStyle w:val="Heading1"/>
        <w:spacing w:before="0"/>
        <w:ind w:left="0"/>
        <w:rPr>
          <w:b/>
          <w:bCs/>
          <w:color w:val="1F497D" w:themeColor="text2"/>
          <w:sz w:val="28"/>
          <w:szCs w:val="28"/>
        </w:rPr>
      </w:pPr>
      <w:bookmarkStart w:id="5" w:name="_Toc133221634"/>
      <w:r w:rsidRPr="00DC403B">
        <w:rPr>
          <w:b/>
          <w:bCs/>
          <w:color w:val="1F497D" w:themeColor="text2"/>
          <w:sz w:val="28"/>
          <w:szCs w:val="28"/>
        </w:rPr>
        <w:lastRenderedPageBreak/>
        <w:t>District Responsibilities</w:t>
      </w:r>
      <w:bookmarkEnd w:id="5"/>
    </w:p>
    <w:p w14:paraId="47AF7319" w14:textId="77777777" w:rsidR="00060D50" w:rsidRDefault="00060D50" w:rsidP="00060D50">
      <w:pPr>
        <w:pStyle w:val="Heading1"/>
        <w:spacing w:before="0"/>
        <w:ind w:left="0"/>
        <w:rPr>
          <w:b/>
          <w:bCs/>
          <w:sz w:val="14"/>
          <w:szCs w:val="14"/>
        </w:rPr>
      </w:pPr>
    </w:p>
    <w:p w14:paraId="30DF544F" w14:textId="77777777" w:rsidR="00060D50" w:rsidRDefault="00060D50" w:rsidP="00060D50">
      <w:pPr>
        <w:pStyle w:val="BodyText"/>
      </w:pPr>
      <w:r w:rsidRPr="00042288">
        <w:t>Any district that receives Title I, D-2 funds must take on the responsibilities associated with serving as a fiscal agent for these funds and monitoring the facilities that implement Title I, D-2 funds</w:t>
      </w:r>
      <w:r>
        <w:t>.</w:t>
      </w:r>
    </w:p>
    <w:p w14:paraId="02B22675" w14:textId="77777777" w:rsidR="00060D50" w:rsidRDefault="00060D50" w:rsidP="00060D50">
      <w:pPr>
        <w:pStyle w:val="BodyText"/>
      </w:pPr>
    </w:p>
    <w:p w14:paraId="0779FC1F" w14:textId="77777777" w:rsidR="00060D50" w:rsidRPr="00B4728A" w:rsidRDefault="00060D50" w:rsidP="00060D50">
      <w:pPr>
        <w:pStyle w:val="BodyText"/>
        <w:rPr>
          <w:b/>
          <w:bCs/>
        </w:rPr>
      </w:pPr>
      <w:r w:rsidRPr="00B4728A">
        <w:rPr>
          <w:b/>
          <w:bCs/>
        </w:rPr>
        <w:t>District responsibilities as fiscal agent for Title I, D-2 funds</w:t>
      </w:r>
    </w:p>
    <w:p w14:paraId="6DC9EBC8" w14:textId="77777777" w:rsidR="00060D50" w:rsidRDefault="00060D50" w:rsidP="00060D50">
      <w:pPr>
        <w:pStyle w:val="BodyText"/>
        <w:numPr>
          <w:ilvl w:val="0"/>
          <w:numId w:val="25"/>
        </w:numPr>
      </w:pPr>
      <w:r w:rsidRPr="00C30642">
        <w:t xml:space="preserve">Each summer when districts are notified of their Title I, Part A allocations, the districts with a participating N/D facility located within district boundaries will also receive a Title I, D-2 allocation, which is added to the total Title I, Part A allocation for the district. </w:t>
      </w:r>
    </w:p>
    <w:p w14:paraId="7667432A" w14:textId="77777777" w:rsidR="00060D50" w:rsidRDefault="00060D50" w:rsidP="00060D50">
      <w:pPr>
        <w:pStyle w:val="BodyText"/>
        <w:numPr>
          <w:ilvl w:val="0"/>
          <w:numId w:val="25"/>
        </w:numPr>
      </w:pPr>
      <w:r w:rsidRPr="00C30642">
        <w:t>The district must budget the Title I, D-2 allocation within their Title I, Part A budget, as well as set aside</w:t>
      </w:r>
      <w:r>
        <w:t xml:space="preserve"> the entire Title I, D-2 allocation amount in the section of the application entitled “Title I, Part A Reservations”</w:t>
      </w:r>
      <w:r w:rsidRPr="00C30642">
        <w:t xml:space="preserve">. The district acts as a fiscal agent for the Title I, D-2 funds, which includes oversight of the funds to ensure they are spent as outlined in the Formal Agreement between the district and the N/D facility. </w:t>
      </w:r>
    </w:p>
    <w:p w14:paraId="7288AC59" w14:textId="77777777" w:rsidR="00060D50" w:rsidRDefault="00060D50" w:rsidP="00060D50">
      <w:pPr>
        <w:pStyle w:val="BodyText"/>
        <w:numPr>
          <w:ilvl w:val="0"/>
          <w:numId w:val="25"/>
        </w:numPr>
      </w:pPr>
      <w:r w:rsidRPr="00C30642">
        <w:t>The district and the N/D facility will set up an agreed</w:t>
      </w:r>
      <w:r>
        <w:t>-</w:t>
      </w:r>
      <w:r w:rsidRPr="00C30642">
        <w:t xml:space="preserve">upon payment schedule for the district to provide the allocated funds to the facility. The district should follow its standard accounting practices that are used with district spending and apply these practices to the N/D facility spending to ensure proper fiscal oversight of these funds. </w:t>
      </w:r>
    </w:p>
    <w:p w14:paraId="0048C98C" w14:textId="77777777" w:rsidR="00060D50" w:rsidRPr="00C30642" w:rsidRDefault="00060D50" w:rsidP="00060D50">
      <w:pPr>
        <w:pStyle w:val="BodyText"/>
        <w:numPr>
          <w:ilvl w:val="0"/>
          <w:numId w:val="25"/>
        </w:numPr>
      </w:pPr>
      <w:r w:rsidRPr="00C30642">
        <w:t xml:space="preserve">Districts must follow </w:t>
      </w:r>
      <w:r>
        <w:t>f</w:t>
      </w:r>
      <w:r w:rsidRPr="00C30642">
        <w:t>ederal and Mass. General Laws regarding procuring services and ensuring services are received. The fiscal oversight may include collection of timesheets and invoices to ensure funds are spent properly, as well as periodic check-ins between the district Title I Director and the N/D facility coordinator.</w:t>
      </w:r>
    </w:p>
    <w:p w14:paraId="0368B30A" w14:textId="77777777" w:rsidR="00060D50" w:rsidRDefault="00060D50" w:rsidP="00060D50">
      <w:pPr>
        <w:pStyle w:val="BodyText"/>
      </w:pPr>
    </w:p>
    <w:p w14:paraId="62A93C6E" w14:textId="77777777" w:rsidR="00060D50" w:rsidRPr="00B4728A" w:rsidRDefault="00060D50" w:rsidP="00060D50">
      <w:pPr>
        <w:pStyle w:val="BodyText"/>
        <w:rPr>
          <w:b/>
          <w:bCs/>
        </w:rPr>
      </w:pPr>
      <w:r w:rsidRPr="00B4728A">
        <w:rPr>
          <w:b/>
          <w:bCs/>
        </w:rPr>
        <w:t>District responsibilities for monitoring of a N/D facility receiving Title I, D-2 funds</w:t>
      </w:r>
    </w:p>
    <w:p w14:paraId="11804036" w14:textId="77777777" w:rsidR="00060D50" w:rsidRDefault="00060D50" w:rsidP="00060D50">
      <w:pPr>
        <w:pStyle w:val="NoSpacing"/>
        <w:numPr>
          <w:ilvl w:val="0"/>
          <w:numId w:val="24"/>
        </w:numPr>
      </w:pPr>
      <w:r>
        <w:t xml:space="preserve">Districts are responsible for monitoring the Title I, D-2 program to ensure that the N/D facility is carrying out its responsibilities as outlined in its formal agreement and is complying with all applicable statutory and regulatory requirements of the grant. </w:t>
      </w:r>
    </w:p>
    <w:p w14:paraId="002C08B3" w14:textId="77777777" w:rsidR="00060D50" w:rsidRDefault="00060D50" w:rsidP="00060D50">
      <w:pPr>
        <w:pStyle w:val="NoSpacing"/>
        <w:numPr>
          <w:ilvl w:val="0"/>
          <w:numId w:val="24"/>
        </w:numPr>
      </w:pPr>
      <w:r>
        <w:t xml:space="preserve">The district should set clear expectations at the beginning of the year regarding the frequency and purpose of communications or visits with the facility. Virtual or in-person check-ins should be scheduled every few months by the district Title I Director in order to monitor the grant activities at the N/D facility. </w:t>
      </w:r>
    </w:p>
    <w:p w14:paraId="34566D88" w14:textId="77777777" w:rsidR="00060D50" w:rsidRDefault="00060D50" w:rsidP="00060D50">
      <w:pPr>
        <w:pStyle w:val="NoSpacing"/>
        <w:numPr>
          <w:ilvl w:val="0"/>
          <w:numId w:val="24"/>
        </w:numPr>
      </w:pPr>
      <w:r>
        <w:t xml:space="preserve">The district Title I Director must also work with the N/D facility coordinator to evaluate the impact of Title I, D-2 activities on the children and youth in the facility. Similar to the Title I, Part A evaluation requirements, there should be a procedure in place that outlines the evaluation process and timeline, data to be collected and analyzed, stakeholders to be consulted, and how the findings might be used to modify the program for next year. </w:t>
      </w:r>
    </w:p>
    <w:p w14:paraId="72B4BE37" w14:textId="77777777" w:rsidR="00060D50" w:rsidRDefault="00060D50" w:rsidP="00060D50">
      <w:pPr>
        <w:pStyle w:val="NoSpacing"/>
        <w:numPr>
          <w:ilvl w:val="0"/>
          <w:numId w:val="24"/>
        </w:numPr>
      </w:pPr>
      <w:r>
        <w:t xml:space="preserve">DESE’s sample </w:t>
      </w:r>
      <w:hyperlink r:id="rId14" w:history="1">
        <w:r w:rsidRPr="00AF258F">
          <w:rPr>
            <w:rStyle w:val="Hyperlink"/>
          </w:rPr>
          <w:t>Title I, Part A program evaluation procedure</w:t>
        </w:r>
      </w:hyperlink>
      <w:r>
        <w:t xml:space="preserve"> can be used as a starting point to develop an evaluation procedure for Title I, D-2. </w:t>
      </w:r>
    </w:p>
    <w:p w14:paraId="59CD00A7" w14:textId="77777777" w:rsidR="00060D50" w:rsidRDefault="00060D50" w:rsidP="00E81A6D">
      <w:pPr>
        <w:pStyle w:val="Heading1"/>
        <w:spacing w:before="0"/>
        <w:ind w:left="0"/>
        <w:rPr>
          <w:b/>
          <w:bCs/>
          <w:color w:val="1F497D" w:themeColor="text2"/>
          <w:sz w:val="28"/>
          <w:szCs w:val="28"/>
        </w:rPr>
      </w:pPr>
    </w:p>
    <w:p w14:paraId="733FBF93" w14:textId="77777777" w:rsidR="00060D50" w:rsidRDefault="00060D50" w:rsidP="00E81A6D">
      <w:pPr>
        <w:pStyle w:val="Heading1"/>
        <w:spacing w:before="0"/>
        <w:ind w:left="0"/>
        <w:rPr>
          <w:b/>
          <w:bCs/>
          <w:color w:val="1F497D" w:themeColor="text2"/>
          <w:sz w:val="28"/>
          <w:szCs w:val="28"/>
        </w:rPr>
      </w:pPr>
    </w:p>
    <w:p w14:paraId="37877306" w14:textId="77777777" w:rsidR="00060D50" w:rsidRDefault="00060D50" w:rsidP="00E81A6D">
      <w:pPr>
        <w:pStyle w:val="Heading1"/>
        <w:spacing w:before="0"/>
        <w:ind w:left="0"/>
        <w:rPr>
          <w:b/>
          <w:bCs/>
          <w:color w:val="1F497D" w:themeColor="text2"/>
          <w:sz w:val="28"/>
          <w:szCs w:val="28"/>
        </w:rPr>
      </w:pPr>
    </w:p>
    <w:p w14:paraId="60D51097" w14:textId="77777777" w:rsidR="00060D50" w:rsidRDefault="00060D50" w:rsidP="00E81A6D">
      <w:pPr>
        <w:pStyle w:val="Heading1"/>
        <w:spacing w:before="0"/>
        <w:ind w:left="0"/>
        <w:rPr>
          <w:b/>
          <w:bCs/>
          <w:color w:val="1F497D" w:themeColor="text2"/>
          <w:sz w:val="28"/>
          <w:szCs w:val="28"/>
        </w:rPr>
      </w:pPr>
    </w:p>
    <w:p w14:paraId="7FDB9959" w14:textId="77777777" w:rsidR="00060D50" w:rsidRDefault="00060D50" w:rsidP="00E81A6D">
      <w:pPr>
        <w:pStyle w:val="Heading1"/>
        <w:spacing w:before="0"/>
        <w:ind w:left="0"/>
        <w:rPr>
          <w:b/>
          <w:bCs/>
          <w:color w:val="1F497D" w:themeColor="text2"/>
          <w:sz w:val="28"/>
          <w:szCs w:val="28"/>
        </w:rPr>
      </w:pPr>
    </w:p>
    <w:p w14:paraId="07EAAC1B" w14:textId="77777777" w:rsidR="00060D50" w:rsidRDefault="00060D50" w:rsidP="00E81A6D">
      <w:pPr>
        <w:pStyle w:val="Heading1"/>
        <w:spacing w:before="0"/>
        <w:ind w:left="0"/>
        <w:rPr>
          <w:b/>
          <w:bCs/>
          <w:color w:val="1F497D" w:themeColor="text2"/>
          <w:sz w:val="28"/>
          <w:szCs w:val="28"/>
        </w:rPr>
      </w:pPr>
    </w:p>
    <w:p w14:paraId="37F25AA2" w14:textId="77777777" w:rsidR="00060D50" w:rsidRDefault="00060D50" w:rsidP="00E81A6D">
      <w:pPr>
        <w:pStyle w:val="Heading1"/>
        <w:spacing w:before="0"/>
        <w:ind w:left="0"/>
        <w:rPr>
          <w:b/>
          <w:bCs/>
          <w:color w:val="1F497D" w:themeColor="text2"/>
          <w:sz w:val="28"/>
          <w:szCs w:val="28"/>
        </w:rPr>
      </w:pPr>
    </w:p>
    <w:p w14:paraId="79248D39" w14:textId="77777777" w:rsidR="00060D50" w:rsidRDefault="00060D50" w:rsidP="00E81A6D">
      <w:pPr>
        <w:pStyle w:val="Heading1"/>
        <w:spacing w:before="0"/>
        <w:ind w:left="0"/>
        <w:rPr>
          <w:b/>
          <w:bCs/>
          <w:color w:val="1F497D" w:themeColor="text2"/>
          <w:sz w:val="28"/>
          <w:szCs w:val="28"/>
        </w:rPr>
      </w:pPr>
    </w:p>
    <w:p w14:paraId="5DE19DA6" w14:textId="678BCC2B" w:rsidR="00E81A6D" w:rsidRPr="00DC403B" w:rsidRDefault="00E81A6D" w:rsidP="00E81A6D">
      <w:pPr>
        <w:pStyle w:val="Heading1"/>
        <w:spacing w:before="0"/>
        <w:ind w:left="0"/>
        <w:rPr>
          <w:b/>
          <w:bCs/>
          <w:color w:val="1F497D" w:themeColor="text2"/>
          <w:sz w:val="28"/>
          <w:szCs w:val="28"/>
        </w:rPr>
      </w:pPr>
      <w:bookmarkStart w:id="6" w:name="_Toc133221635"/>
      <w:r w:rsidRPr="00DC403B">
        <w:rPr>
          <w:b/>
          <w:bCs/>
          <w:color w:val="1F497D" w:themeColor="text2"/>
          <w:sz w:val="28"/>
          <w:szCs w:val="28"/>
        </w:rPr>
        <w:lastRenderedPageBreak/>
        <w:t>Formal Agreements</w:t>
      </w:r>
      <w:bookmarkEnd w:id="6"/>
    </w:p>
    <w:p w14:paraId="3369C518" w14:textId="77777777" w:rsidR="00E81A6D" w:rsidRDefault="00E81A6D" w:rsidP="00E81A6D">
      <w:pPr>
        <w:spacing w:before="100"/>
        <w:rPr>
          <w:rFonts w:asciiTheme="minorHAnsi" w:hAnsiTheme="minorHAnsi" w:cstheme="minorHAnsi"/>
        </w:rPr>
      </w:pPr>
      <w:r w:rsidRPr="00AD390B">
        <w:rPr>
          <w:rFonts w:asciiTheme="minorHAnsi" w:hAnsiTheme="minorHAnsi" w:cstheme="minorHAnsi"/>
        </w:rPr>
        <w:t>Each year, the district and the N/D facility establish a signed Formal Agreement for the Title I, D-2 funds. The Formal Agreement should include the following topics, and any other information that the district and the N/D facility determine to be pertinent</w:t>
      </w:r>
      <w:r>
        <w:rPr>
          <w:rFonts w:asciiTheme="minorHAnsi" w:hAnsiTheme="minorHAnsi" w:cstheme="minorHAnsi"/>
        </w:rPr>
        <w:t>:</w:t>
      </w:r>
    </w:p>
    <w:p w14:paraId="7BBAF0BF" w14:textId="77777777" w:rsidR="00E81A6D" w:rsidRPr="00157D95" w:rsidRDefault="00E81A6D" w:rsidP="00E81A6D">
      <w:pPr>
        <w:rPr>
          <w:rFonts w:asciiTheme="minorHAnsi" w:hAnsiTheme="minorHAnsi" w:cstheme="minorHAnsi"/>
          <w:b/>
          <w:bCs/>
        </w:rPr>
      </w:pPr>
    </w:p>
    <w:p w14:paraId="4DB2D715" w14:textId="77777777" w:rsidR="00E81A6D" w:rsidRPr="00D15EEF" w:rsidRDefault="00E81A6D" w:rsidP="00E81A6D">
      <w:pPr>
        <w:pStyle w:val="ListParagraph"/>
        <w:numPr>
          <w:ilvl w:val="0"/>
          <w:numId w:val="11"/>
        </w:numPr>
        <w:rPr>
          <w:rFonts w:asciiTheme="minorHAnsi" w:hAnsiTheme="minorHAnsi" w:cstheme="minorHAnsi"/>
          <w:b/>
          <w:bCs/>
        </w:rPr>
      </w:pPr>
      <w:r w:rsidRPr="00D15EEF">
        <w:rPr>
          <w:rFonts w:asciiTheme="minorHAnsi" w:hAnsiTheme="minorHAnsi" w:cstheme="minorHAnsi"/>
          <w:b/>
          <w:bCs/>
        </w:rPr>
        <w:t>General information about the facility</w:t>
      </w:r>
    </w:p>
    <w:p w14:paraId="60F218AB" w14:textId="77777777" w:rsidR="00E81A6D" w:rsidRPr="0012626A" w:rsidRDefault="00E81A6D" w:rsidP="00E81A6D">
      <w:pPr>
        <w:pStyle w:val="ListParagraph"/>
        <w:widowControl/>
        <w:numPr>
          <w:ilvl w:val="1"/>
          <w:numId w:val="12"/>
        </w:numPr>
        <w:autoSpaceDE/>
        <w:autoSpaceDN/>
        <w:spacing w:after="200" w:line="276" w:lineRule="auto"/>
        <w:contextualSpacing/>
        <w:rPr>
          <w:rFonts w:cstheme="minorHAnsi"/>
        </w:rPr>
      </w:pPr>
      <w:bookmarkStart w:id="7" w:name="_Hlk128389476"/>
      <w:r>
        <w:rPr>
          <w:rFonts w:cstheme="minorHAnsi"/>
        </w:rPr>
        <w:t>F</w:t>
      </w:r>
      <w:r w:rsidRPr="0012626A">
        <w:rPr>
          <w:rFonts w:cstheme="minorHAnsi"/>
        </w:rPr>
        <w:t>acility name, location, contact information, and persons responsible for the implementation of Title I services in the facility</w:t>
      </w:r>
    </w:p>
    <w:bookmarkEnd w:id="7"/>
    <w:p w14:paraId="42A9425F" w14:textId="77777777" w:rsidR="00E81A6D" w:rsidRPr="0012626A" w:rsidRDefault="00E81A6D" w:rsidP="00E81A6D">
      <w:pPr>
        <w:pStyle w:val="ListParagraph"/>
        <w:widowControl/>
        <w:numPr>
          <w:ilvl w:val="1"/>
          <w:numId w:val="12"/>
        </w:numPr>
        <w:autoSpaceDE/>
        <w:autoSpaceDN/>
        <w:spacing w:after="200" w:line="276" w:lineRule="auto"/>
        <w:contextualSpacing/>
        <w:rPr>
          <w:rFonts w:cstheme="minorHAnsi"/>
        </w:rPr>
      </w:pPr>
      <w:r>
        <w:rPr>
          <w:rFonts w:cstheme="minorHAnsi"/>
        </w:rPr>
        <w:t>D</w:t>
      </w:r>
      <w:r w:rsidRPr="0012626A">
        <w:rPr>
          <w:rFonts w:cstheme="minorHAnsi"/>
        </w:rPr>
        <w:t>escription of the characteristics (including learning difficulties, substance abuse problems, and other special needs) of the children and youth in the facility</w:t>
      </w:r>
    </w:p>
    <w:p w14:paraId="7263FFB7" w14:textId="77777777" w:rsidR="00E81A6D" w:rsidRPr="0012626A" w:rsidRDefault="00E81A6D" w:rsidP="00E81A6D">
      <w:pPr>
        <w:pStyle w:val="ListParagraph"/>
        <w:widowControl/>
        <w:numPr>
          <w:ilvl w:val="1"/>
          <w:numId w:val="12"/>
        </w:numPr>
        <w:autoSpaceDE/>
        <w:autoSpaceDN/>
        <w:spacing w:after="200" w:line="276" w:lineRule="auto"/>
        <w:contextualSpacing/>
        <w:rPr>
          <w:rFonts w:cstheme="minorHAnsi"/>
        </w:rPr>
      </w:pPr>
      <w:r>
        <w:rPr>
          <w:rFonts w:cstheme="minorHAnsi"/>
        </w:rPr>
        <w:t>S</w:t>
      </w:r>
      <w:r w:rsidRPr="0012626A">
        <w:rPr>
          <w:rFonts w:cstheme="minorHAnsi"/>
        </w:rPr>
        <w:t>ubjects taught</w:t>
      </w:r>
    </w:p>
    <w:p w14:paraId="0155FB15" w14:textId="77777777" w:rsidR="00E81A6D" w:rsidRPr="0012626A" w:rsidRDefault="00E81A6D" w:rsidP="00E81A6D">
      <w:pPr>
        <w:pStyle w:val="ListParagraph"/>
        <w:widowControl/>
        <w:numPr>
          <w:ilvl w:val="1"/>
          <w:numId w:val="12"/>
        </w:numPr>
        <w:autoSpaceDE/>
        <w:autoSpaceDN/>
        <w:spacing w:after="200" w:line="276" w:lineRule="auto"/>
        <w:contextualSpacing/>
        <w:rPr>
          <w:rFonts w:cstheme="minorHAnsi"/>
        </w:rPr>
      </w:pPr>
      <w:r>
        <w:rPr>
          <w:rFonts w:cstheme="minorHAnsi"/>
        </w:rPr>
        <w:t>N</w:t>
      </w:r>
      <w:r w:rsidRPr="0012626A">
        <w:rPr>
          <w:rFonts w:cstheme="minorHAnsi"/>
        </w:rPr>
        <w:t>umber of students enrolled</w:t>
      </w:r>
    </w:p>
    <w:p w14:paraId="5A8E01CF" w14:textId="77777777" w:rsidR="00E81A6D" w:rsidRPr="0012626A" w:rsidRDefault="00E81A6D" w:rsidP="00E81A6D">
      <w:pPr>
        <w:pStyle w:val="ListParagraph"/>
        <w:widowControl/>
        <w:numPr>
          <w:ilvl w:val="1"/>
          <w:numId w:val="12"/>
        </w:numPr>
        <w:autoSpaceDE/>
        <w:autoSpaceDN/>
        <w:spacing w:after="200" w:line="276" w:lineRule="auto"/>
        <w:contextualSpacing/>
        <w:rPr>
          <w:rFonts w:cstheme="minorHAnsi"/>
        </w:rPr>
      </w:pPr>
      <w:r>
        <w:rPr>
          <w:rFonts w:cstheme="minorHAnsi"/>
        </w:rPr>
        <w:t>D</w:t>
      </w:r>
      <w:r w:rsidRPr="0012626A">
        <w:rPr>
          <w:rFonts w:cstheme="minorHAnsi"/>
        </w:rPr>
        <w:t>aily schedule</w:t>
      </w:r>
    </w:p>
    <w:p w14:paraId="14E85059" w14:textId="77777777" w:rsidR="00E81A6D" w:rsidRDefault="00E81A6D" w:rsidP="00E81A6D">
      <w:pPr>
        <w:pStyle w:val="ListParagraph"/>
        <w:widowControl/>
        <w:numPr>
          <w:ilvl w:val="1"/>
          <w:numId w:val="12"/>
        </w:numPr>
        <w:autoSpaceDE/>
        <w:autoSpaceDN/>
        <w:spacing w:line="276" w:lineRule="auto"/>
        <w:contextualSpacing/>
        <w:rPr>
          <w:rFonts w:cstheme="minorHAnsi"/>
        </w:rPr>
      </w:pPr>
      <w:r>
        <w:rPr>
          <w:rFonts w:cstheme="minorHAnsi"/>
        </w:rPr>
        <w:t>D</w:t>
      </w:r>
      <w:r w:rsidRPr="0012626A">
        <w:rPr>
          <w:rFonts w:cstheme="minorHAnsi"/>
        </w:rPr>
        <w:t>escription of how the Title I, D-2 funds will be used at the facility</w:t>
      </w:r>
    </w:p>
    <w:p w14:paraId="2F5F25B9" w14:textId="77777777" w:rsidR="00E81A6D" w:rsidRPr="00992D04" w:rsidRDefault="00E81A6D" w:rsidP="00E81A6D">
      <w:pPr>
        <w:pStyle w:val="ListParagraph"/>
        <w:widowControl/>
        <w:autoSpaceDE/>
        <w:autoSpaceDN/>
        <w:ind w:left="1440" w:firstLine="0"/>
        <w:contextualSpacing/>
        <w:rPr>
          <w:rFonts w:cstheme="minorHAnsi"/>
          <w:sz w:val="14"/>
          <w:szCs w:val="14"/>
        </w:rPr>
      </w:pPr>
    </w:p>
    <w:p w14:paraId="7036F74E" w14:textId="77777777" w:rsidR="00E81A6D" w:rsidRPr="00D15EEF" w:rsidRDefault="00E81A6D" w:rsidP="00E81A6D">
      <w:pPr>
        <w:pStyle w:val="ListParagraph"/>
        <w:widowControl/>
        <w:numPr>
          <w:ilvl w:val="0"/>
          <w:numId w:val="11"/>
        </w:numPr>
        <w:autoSpaceDE/>
        <w:autoSpaceDN/>
        <w:contextualSpacing/>
        <w:rPr>
          <w:b/>
          <w:bCs/>
        </w:rPr>
      </w:pPr>
      <w:r w:rsidRPr="00D15EEF">
        <w:rPr>
          <w:b/>
          <w:bCs/>
        </w:rPr>
        <w:t>Payment terms agreed upon between the facility and district</w:t>
      </w:r>
    </w:p>
    <w:p w14:paraId="07BA6805" w14:textId="77777777" w:rsidR="00E81A6D" w:rsidRPr="00D15EEF" w:rsidRDefault="00E81A6D" w:rsidP="00E81A6D">
      <w:pPr>
        <w:pStyle w:val="ListParagraph"/>
        <w:widowControl/>
        <w:numPr>
          <w:ilvl w:val="1"/>
          <w:numId w:val="12"/>
        </w:numPr>
        <w:autoSpaceDE/>
        <w:autoSpaceDN/>
        <w:spacing w:after="200" w:line="276" w:lineRule="auto"/>
        <w:contextualSpacing/>
        <w:rPr>
          <w:rFonts w:cstheme="minorHAnsi"/>
        </w:rPr>
      </w:pPr>
      <w:r w:rsidRPr="00D15EEF">
        <w:rPr>
          <w:rFonts w:cstheme="minorHAnsi"/>
        </w:rPr>
        <w:t>Outline of billing time period (quarterly, monthly, other)</w:t>
      </w:r>
    </w:p>
    <w:p w14:paraId="153544E3" w14:textId="77777777" w:rsidR="00E81A6D" w:rsidRPr="00D15EEF" w:rsidRDefault="00E81A6D" w:rsidP="00E81A6D">
      <w:pPr>
        <w:pStyle w:val="ListParagraph"/>
        <w:widowControl/>
        <w:numPr>
          <w:ilvl w:val="1"/>
          <w:numId w:val="12"/>
        </w:numPr>
        <w:autoSpaceDE/>
        <w:autoSpaceDN/>
        <w:spacing w:after="200" w:line="276" w:lineRule="auto"/>
        <w:contextualSpacing/>
        <w:rPr>
          <w:rFonts w:cstheme="minorHAnsi"/>
        </w:rPr>
      </w:pPr>
      <w:r w:rsidRPr="00D15EEF">
        <w:rPr>
          <w:rFonts w:cstheme="minorHAnsi"/>
        </w:rPr>
        <w:t>Collection of instructor timecards; vendor invoices, other expectations</w:t>
      </w:r>
    </w:p>
    <w:p w14:paraId="37A06D5D" w14:textId="77777777" w:rsidR="00E81A6D" w:rsidRPr="00992D04" w:rsidRDefault="00E81A6D" w:rsidP="00E81A6D">
      <w:pPr>
        <w:pStyle w:val="ListParagraph"/>
        <w:widowControl/>
        <w:numPr>
          <w:ilvl w:val="1"/>
          <w:numId w:val="12"/>
        </w:numPr>
        <w:autoSpaceDE/>
        <w:autoSpaceDN/>
        <w:spacing w:line="276" w:lineRule="auto"/>
        <w:contextualSpacing/>
        <w:rPr>
          <w:rFonts w:asciiTheme="minorHAnsi" w:hAnsiTheme="minorHAnsi" w:cstheme="minorHAnsi"/>
          <w:b/>
          <w:bCs/>
        </w:rPr>
      </w:pPr>
      <w:r w:rsidRPr="00D15EEF">
        <w:rPr>
          <w:rFonts w:cstheme="minorHAnsi"/>
        </w:rPr>
        <w:t>Billing support and documentation expectations</w:t>
      </w:r>
    </w:p>
    <w:p w14:paraId="20906BC5" w14:textId="77777777" w:rsidR="00E81A6D" w:rsidRPr="00992D04" w:rsidRDefault="00E81A6D" w:rsidP="00E81A6D">
      <w:pPr>
        <w:pStyle w:val="ListParagraph"/>
        <w:widowControl/>
        <w:autoSpaceDE/>
        <w:autoSpaceDN/>
        <w:ind w:left="1440" w:firstLine="0"/>
        <w:contextualSpacing/>
        <w:rPr>
          <w:rFonts w:asciiTheme="minorHAnsi" w:hAnsiTheme="minorHAnsi" w:cstheme="minorHAnsi"/>
          <w:b/>
          <w:bCs/>
          <w:sz w:val="14"/>
          <w:szCs w:val="14"/>
        </w:rPr>
      </w:pPr>
    </w:p>
    <w:p w14:paraId="5F831604" w14:textId="77777777" w:rsidR="00E81A6D" w:rsidRPr="00D15EEF" w:rsidRDefault="00E81A6D" w:rsidP="00E81A6D">
      <w:pPr>
        <w:pStyle w:val="ListParagraph"/>
        <w:widowControl/>
        <w:numPr>
          <w:ilvl w:val="0"/>
          <w:numId w:val="11"/>
        </w:numPr>
        <w:autoSpaceDE/>
        <w:autoSpaceDN/>
        <w:spacing w:after="200"/>
        <w:contextualSpacing/>
        <w:rPr>
          <w:rFonts w:asciiTheme="minorHAnsi" w:hAnsiTheme="minorHAnsi" w:cstheme="minorHAnsi"/>
          <w:b/>
          <w:bCs/>
        </w:rPr>
      </w:pPr>
      <w:r w:rsidRPr="00D15EEF">
        <w:rPr>
          <w:rFonts w:asciiTheme="minorHAnsi" w:hAnsiTheme="minorHAnsi" w:cstheme="minorHAnsi"/>
          <w:b/>
          <w:bCs/>
        </w:rPr>
        <w:t xml:space="preserve">Monitoring of the facility by </w:t>
      </w:r>
      <w:r>
        <w:rPr>
          <w:rFonts w:asciiTheme="minorHAnsi" w:hAnsiTheme="minorHAnsi" w:cstheme="minorHAnsi"/>
          <w:b/>
          <w:bCs/>
        </w:rPr>
        <w:t xml:space="preserve">the </w:t>
      </w:r>
      <w:r w:rsidRPr="00D15EEF">
        <w:rPr>
          <w:rFonts w:asciiTheme="minorHAnsi" w:hAnsiTheme="minorHAnsi" w:cstheme="minorHAnsi"/>
          <w:b/>
          <w:bCs/>
        </w:rPr>
        <w:t>district</w:t>
      </w:r>
    </w:p>
    <w:p w14:paraId="42F09329" w14:textId="77777777" w:rsidR="00E81A6D" w:rsidRPr="00D15EEF" w:rsidRDefault="00E81A6D" w:rsidP="00E81A6D">
      <w:pPr>
        <w:pStyle w:val="ListParagraph"/>
        <w:widowControl/>
        <w:numPr>
          <w:ilvl w:val="1"/>
          <w:numId w:val="12"/>
        </w:numPr>
        <w:autoSpaceDE/>
        <w:autoSpaceDN/>
        <w:spacing w:after="200" w:line="276" w:lineRule="auto"/>
        <w:contextualSpacing/>
        <w:rPr>
          <w:rFonts w:cstheme="minorHAnsi"/>
        </w:rPr>
      </w:pPr>
      <w:r>
        <w:rPr>
          <w:rFonts w:cstheme="minorHAnsi"/>
        </w:rPr>
        <w:t>T</w:t>
      </w:r>
      <w:r w:rsidRPr="00D15EEF">
        <w:rPr>
          <w:rFonts w:cstheme="minorHAnsi"/>
        </w:rPr>
        <w:t>ypes of data used for program evaluation and when it is collected</w:t>
      </w:r>
    </w:p>
    <w:p w14:paraId="224A6177" w14:textId="77777777" w:rsidR="00E81A6D" w:rsidRDefault="00E81A6D" w:rsidP="00E81A6D">
      <w:pPr>
        <w:pStyle w:val="ListParagraph"/>
        <w:widowControl/>
        <w:numPr>
          <w:ilvl w:val="1"/>
          <w:numId w:val="12"/>
        </w:numPr>
        <w:autoSpaceDE/>
        <w:autoSpaceDN/>
        <w:spacing w:after="200" w:line="276" w:lineRule="auto"/>
        <w:contextualSpacing/>
        <w:rPr>
          <w:rFonts w:cstheme="minorHAnsi"/>
        </w:rPr>
      </w:pPr>
      <w:r>
        <w:rPr>
          <w:rFonts w:cstheme="minorHAnsi"/>
        </w:rPr>
        <w:t>C</w:t>
      </w:r>
      <w:r w:rsidRPr="00D15EEF">
        <w:rPr>
          <w:rFonts w:cstheme="minorHAnsi"/>
        </w:rPr>
        <w:t>ommunication plan between district and facility: number of times during the year the district will communicate with the facility education coordinator regarding questions or other concerns associated with Title I, D-2 funding, number of times the district will visit the facility</w:t>
      </w:r>
    </w:p>
    <w:p w14:paraId="1A89D658" w14:textId="77777777" w:rsidR="00E81A6D" w:rsidRPr="00992D04" w:rsidRDefault="00E81A6D" w:rsidP="00E81A6D">
      <w:pPr>
        <w:pStyle w:val="ListParagraph"/>
        <w:widowControl/>
        <w:autoSpaceDE/>
        <w:autoSpaceDN/>
        <w:spacing w:after="200"/>
        <w:ind w:left="1440" w:firstLine="0"/>
        <w:contextualSpacing/>
        <w:rPr>
          <w:rFonts w:cstheme="minorHAnsi"/>
          <w:sz w:val="14"/>
          <w:szCs w:val="14"/>
        </w:rPr>
      </w:pPr>
    </w:p>
    <w:p w14:paraId="34F0A5B7" w14:textId="77777777" w:rsidR="00E81A6D" w:rsidRPr="00615B82" w:rsidRDefault="00E81A6D" w:rsidP="00E81A6D">
      <w:pPr>
        <w:pStyle w:val="ListParagraph"/>
        <w:widowControl/>
        <w:numPr>
          <w:ilvl w:val="0"/>
          <w:numId w:val="11"/>
        </w:numPr>
        <w:autoSpaceDE/>
        <w:autoSpaceDN/>
        <w:spacing w:after="200"/>
        <w:contextualSpacing/>
        <w:rPr>
          <w:rFonts w:cstheme="minorHAnsi"/>
          <w:b/>
          <w:bCs/>
        </w:rPr>
      </w:pPr>
      <w:r w:rsidRPr="00615B82">
        <w:rPr>
          <w:rFonts w:cstheme="minorHAnsi"/>
          <w:b/>
          <w:bCs/>
        </w:rPr>
        <w:t>Signature of both parties (district representative and facility representative)</w:t>
      </w:r>
    </w:p>
    <w:p w14:paraId="51DD4AF1" w14:textId="77777777" w:rsidR="00E81A6D" w:rsidRDefault="00E81A6D" w:rsidP="00DC403B">
      <w:pPr>
        <w:pStyle w:val="Heading1"/>
        <w:spacing w:before="0"/>
        <w:ind w:left="0"/>
        <w:rPr>
          <w:b/>
          <w:bCs/>
          <w:color w:val="1F497D" w:themeColor="text2"/>
          <w:sz w:val="28"/>
          <w:szCs w:val="28"/>
        </w:rPr>
      </w:pPr>
    </w:p>
    <w:p w14:paraId="6D937657" w14:textId="4740446D" w:rsidR="00EB57CB" w:rsidRPr="00DC403B" w:rsidRDefault="00E06821" w:rsidP="00DC403B">
      <w:pPr>
        <w:pStyle w:val="Heading1"/>
        <w:spacing w:before="0"/>
        <w:ind w:left="0"/>
        <w:rPr>
          <w:b/>
          <w:bCs/>
          <w:color w:val="1F497D" w:themeColor="text2"/>
          <w:sz w:val="28"/>
          <w:szCs w:val="28"/>
        </w:rPr>
      </w:pPr>
      <w:bookmarkStart w:id="8" w:name="_Toc133221636"/>
      <w:r w:rsidRPr="00DC403B">
        <w:rPr>
          <w:b/>
          <w:bCs/>
          <w:color w:val="1F497D" w:themeColor="text2"/>
          <w:sz w:val="28"/>
          <w:szCs w:val="28"/>
        </w:rPr>
        <w:t>Data Reporting Requirements</w:t>
      </w:r>
      <w:bookmarkEnd w:id="8"/>
    </w:p>
    <w:p w14:paraId="5A3DE577" w14:textId="77777777" w:rsidR="005F3800" w:rsidRPr="006613D4" w:rsidRDefault="005F3800" w:rsidP="00DC403B">
      <w:pPr>
        <w:widowControl/>
        <w:autoSpaceDE/>
        <w:autoSpaceDN/>
        <w:rPr>
          <w:sz w:val="12"/>
          <w:szCs w:val="12"/>
          <w:u w:val="single"/>
        </w:rPr>
      </w:pPr>
    </w:p>
    <w:p w14:paraId="5DDAA055" w14:textId="04FF2F1C" w:rsidR="004A0AAB" w:rsidRDefault="00206C23" w:rsidP="00DC403B">
      <w:pPr>
        <w:widowControl/>
        <w:autoSpaceDE/>
        <w:autoSpaceDN/>
        <w:rPr>
          <w:rFonts w:cs="Times New Roman"/>
        </w:rPr>
      </w:pPr>
      <w:r>
        <w:rPr>
          <w:rFonts w:cs="Times New Roman"/>
        </w:rPr>
        <w:t>There are two major categories of Title I, D-2 data that must be reported.</w:t>
      </w:r>
      <w:r w:rsidR="009C56E8">
        <w:rPr>
          <w:rFonts w:cs="Times New Roman"/>
        </w:rPr>
        <w:t xml:space="preserve"> Please review the descriptions below and ensure you are complying with all requirements</w:t>
      </w:r>
      <w:r w:rsidR="00030AEA">
        <w:rPr>
          <w:rFonts w:cs="Times New Roman"/>
        </w:rPr>
        <w:t>.</w:t>
      </w:r>
    </w:p>
    <w:p w14:paraId="5E13090A" w14:textId="77777777" w:rsidR="009C56E8" w:rsidRPr="00042BB3" w:rsidRDefault="009C56E8" w:rsidP="00DC403B">
      <w:pPr>
        <w:widowControl/>
        <w:autoSpaceDE/>
        <w:autoSpaceDN/>
        <w:rPr>
          <w:rFonts w:cs="Times New Roman"/>
          <w:sz w:val="12"/>
          <w:szCs w:val="12"/>
        </w:rPr>
      </w:pPr>
    </w:p>
    <w:p w14:paraId="011133CA" w14:textId="77C4E6A4" w:rsidR="004A0AAB" w:rsidRPr="00992D04" w:rsidRDefault="00E82F8B" w:rsidP="00DC403B">
      <w:pPr>
        <w:widowControl/>
        <w:autoSpaceDE/>
        <w:autoSpaceDN/>
        <w:rPr>
          <w:rFonts w:cs="Times New Roman"/>
          <w:b/>
          <w:bCs/>
          <w:sz w:val="24"/>
          <w:szCs w:val="24"/>
        </w:rPr>
      </w:pPr>
      <w:r w:rsidRPr="00992D04">
        <w:rPr>
          <w:rFonts w:cs="Times New Roman"/>
          <w:b/>
          <w:bCs/>
          <w:sz w:val="24"/>
          <w:szCs w:val="24"/>
        </w:rPr>
        <w:t xml:space="preserve">Category 1: </w:t>
      </w:r>
      <w:r w:rsidR="004A0AAB" w:rsidRPr="00992D04">
        <w:rPr>
          <w:rFonts w:cs="Times New Roman"/>
          <w:b/>
          <w:bCs/>
          <w:sz w:val="24"/>
          <w:szCs w:val="24"/>
        </w:rPr>
        <w:t>Annual Count</w:t>
      </w:r>
    </w:p>
    <w:p w14:paraId="72E6F3E4" w14:textId="77777777" w:rsidR="004A0AAB" w:rsidRPr="009C56E8" w:rsidRDefault="004A0AAB" w:rsidP="00DC403B">
      <w:pPr>
        <w:widowControl/>
        <w:autoSpaceDE/>
        <w:autoSpaceDN/>
        <w:rPr>
          <w:rFonts w:cs="Times New Roman"/>
        </w:rPr>
      </w:pPr>
      <w:r w:rsidRPr="009C56E8">
        <w:rPr>
          <w:rFonts w:cs="Times New Roman"/>
        </w:rPr>
        <w:t xml:space="preserve">In November/December of each year, DESE conducts an Annual Count in community residential </w:t>
      </w:r>
      <w:r w:rsidR="00BF7F80" w:rsidRPr="009C56E8">
        <w:rPr>
          <w:rFonts w:cs="Times New Roman"/>
        </w:rPr>
        <w:t xml:space="preserve">Neglected or Delinquent (N/D) </w:t>
      </w:r>
      <w:r w:rsidRPr="009C56E8">
        <w:rPr>
          <w:rFonts w:cs="Times New Roman"/>
        </w:rPr>
        <w:t>facilities for that intend to apply for federal Title I, Part D funding for the following academic year. The count provides the United States Department of Education (ED) updated information on the numbers of eligible children residing at N/D facilities and is used to determine state and district Title I</w:t>
      </w:r>
      <w:r w:rsidR="000F0ACF">
        <w:rPr>
          <w:rFonts w:cs="Times New Roman"/>
        </w:rPr>
        <w:t>, D-2</w:t>
      </w:r>
      <w:r w:rsidRPr="009C56E8">
        <w:rPr>
          <w:rFonts w:cs="Times New Roman"/>
        </w:rPr>
        <w:t xml:space="preserve"> allocations for the following school year. </w:t>
      </w:r>
    </w:p>
    <w:p w14:paraId="2127693B" w14:textId="77777777" w:rsidR="004A0AAB" w:rsidRPr="00055C12" w:rsidRDefault="004A0AAB" w:rsidP="00DC403B">
      <w:pPr>
        <w:widowControl/>
        <w:autoSpaceDE/>
        <w:autoSpaceDN/>
        <w:rPr>
          <w:rFonts w:cs="Times New Roman"/>
          <w:sz w:val="8"/>
          <w:szCs w:val="8"/>
        </w:rPr>
      </w:pPr>
    </w:p>
    <w:p w14:paraId="7FFCADCF" w14:textId="77777777" w:rsidR="004A0AAB" w:rsidRPr="006F6E93" w:rsidRDefault="004A0AAB" w:rsidP="00DC403B">
      <w:pPr>
        <w:widowControl/>
        <w:autoSpaceDE/>
        <w:autoSpaceDN/>
        <w:rPr>
          <w:rFonts w:cs="Times New Roman"/>
          <w:i/>
          <w:iCs/>
        </w:rPr>
      </w:pPr>
      <w:r w:rsidRPr="006F6E93">
        <w:rPr>
          <w:rFonts w:cs="Times New Roman"/>
          <w:i/>
          <w:iCs/>
        </w:rPr>
        <w:t>How are eligible students counted?</w:t>
      </w:r>
    </w:p>
    <w:p w14:paraId="4659EF1C" w14:textId="4A5BFF33" w:rsidR="00E05DC3" w:rsidRDefault="004A0AAB" w:rsidP="00FA2C4A">
      <w:pPr>
        <w:pStyle w:val="ListParagraph"/>
        <w:widowControl/>
        <w:numPr>
          <w:ilvl w:val="0"/>
          <w:numId w:val="13"/>
        </w:numPr>
        <w:autoSpaceDE/>
        <w:autoSpaceDN/>
        <w:rPr>
          <w:rFonts w:cs="Times New Roman"/>
        </w:rPr>
      </w:pPr>
      <w:r w:rsidRPr="00E05DC3">
        <w:rPr>
          <w:rFonts w:cs="Times New Roman"/>
        </w:rPr>
        <w:t xml:space="preserve">In order to be eligible to be counted, a child aged 5 through 17 must live in a locally operated facility that meets the definition of an institution for neglected children or an institution for delinquent children, as provided in Section 1432 of the Title I statute (see definitions section </w:t>
      </w:r>
      <w:r w:rsidR="000B78B2">
        <w:rPr>
          <w:rFonts w:cs="Times New Roman"/>
        </w:rPr>
        <w:t>earlier in document</w:t>
      </w:r>
      <w:r w:rsidRPr="00E05DC3">
        <w:rPr>
          <w:rFonts w:cs="Times New Roman"/>
        </w:rPr>
        <w:t xml:space="preserve">). </w:t>
      </w:r>
    </w:p>
    <w:p w14:paraId="67C92732" w14:textId="77777777" w:rsidR="00E05DC3" w:rsidRDefault="004A0AAB" w:rsidP="00FA2C4A">
      <w:pPr>
        <w:pStyle w:val="ListParagraph"/>
        <w:widowControl/>
        <w:numPr>
          <w:ilvl w:val="0"/>
          <w:numId w:val="13"/>
        </w:numPr>
        <w:autoSpaceDE/>
        <w:autoSpaceDN/>
        <w:rPr>
          <w:rFonts w:cs="Times New Roman"/>
        </w:rPr>
      </w:pPr>
      <w:r w:rsidRPr="0051375C">
        <w:rPr>
          <w:rFonts w:cs="Times New Roman"/>
        </w:rPr>
        <w:lastRenderedPageBreak/>
        <w:t>It is not necessary to differentiate between children/youth that are ‘neglected’ versus those who are ‘delinquent’ within a given facility;</w:t>
      </w:r>
      <w:r w:rsidRPr="00E05DC3">
        <w:rPr>
          <w:rFonts w:cs="Times New Roman"/>
        </w:rPr>
        <w:t xml:space="preserve"> it is the facility that gets the neglected or delinquent distinction, not the child/youth. This protects children/youth from potentially uncomfortable labeling. </w:t>
      </w:r>
    </w:p>
    <w:p w14:paraId="13CD4EE4" w14:textId="77777777" w:rsidR="00E05DC3" w:rsidRDefault="004A0AAB" w:rsidP="00FA2C4A">
      <w:pPr>
        <w:pStyle w:val="ListParagraph"/>
        <w:widowControl/>
        <w:numPr>
          <w:ilvl w:val="0"/>
          <w:numId w:val="13"/>
        </w:numPr>
        <w:autoSpaceDE/>
        <w:autoSpaceDN/>
        <w:rPr>
          <w:rFonts w:cs="Times New Roman"/>
        </w:rPr>
      </w:pPr>
      <w:r w:rsidRPr="00E05DC3">
        <w:rPr>
          <w:rFonts w:cs="Times New Roman"/>
        </w:rPr>
        <w:t xml:space="preserve">If the facility was chartered originally as either Neglected or Delinquent, then that designation should carry forward to the present, unless the charter or purpose of the facility has changed. </w:t>
      </w:r>
    </w:p>
    <w:p w14:paraId="1BA4D2F1" w14:textId="2AF1A82B" w:rsidR="004A0AAB" w:rsidRPr="00E05DC3" w:rsidRDefault="004A0AAB" w:rsidP="00FA2C4A">
      <w:pPr>
        <w:pStyle w:val="ListParagraph"/>
        <w:widowControl/>
        <w:numPr>
          <w:ilvl w:val="0"/>
          <w:numId w:val="13"/>
        </w:numPr>
        <w:autoSpaceDE/>
        <w:autoSpaceDN/>
        <w:rPr>
          <w:rFonts w:cs="Times New Roman"/>
        </w:rPr>
      </w:pPr>
      <w:r w:rsidRPr="00E05DC3">
        <w:rPr>
          <w:rFonts w:cs="Times New Roman"/>
        </w:rPr>
        <w:t>The annual count should include the number of children who live in an eligible institution for at least one day during a 30 consecutive day period, at least one day of which falls within the month of October.</w:t>
      </w:r>
    </w:p>
    <w:p w14:paraId="4C42AD37" w14:textId="77777777" w:rsidR="004A0AAB" w:rsidRPr="004C1240" w:rsidRDefault="004A0AAB" w:rsidP="00DC403B">
      <w:pPr>
        <w:widowControl/>
        <w:autoSpaceDE/>
        <w:autoSpaceDN/>
        <w:rPr>
          <w:rFonts w:cs="Times New Roman"/>
          <w:sz w:val="8"/>
          <w:szCs w:val="8"/>
        </w:rPr>
      </w:pPr>
    </w:p>
    <w:p w14:paraId="34FBF05F" w14:textId="77777777" w:rsidR="004A0AAB" w:rsidRPr="006F6E93" w:rsidRDefault="004A0AAB" w:rsidP="00DC403B">
      <w:pPr>
        <w:widowControl/>
        <w:autoSpaceDE/>
        <w:autoSpaceDN/>
        <w:rPr>
          <w:rFonts w:cs="Times New Roman"/>
          <w:i/>
          <w:iCs/>
        </w:rPr>
      </w:pPr>
      <w:r w:rsidRPr="006F6E93">
        <w:rPr>
          <w:rFonts w:cs="Times New Roman"/>
          <w:i/>
          <w:iCs/>
        </w:rPr>
        <w:t>How is the data submitted?</w:t>
      </w:r>
    </w:p>
    <w:p w14:paraId="331FB972" w14:textId="0FF54357" w:rsidR="00D749B4" w:rsidRDefault="000C3DD2" w:rsidP="005C44DB">
      <w:pPr>
        <w:pStyle w:val="ListParagraph"/>
        <w:widowControl/>
        <w:numPr>
          <w:ilvl w:val="0"/>
          <w:numId w:val="22"/>
        </w:numPr>
        <w:autoSpaceDE/>
        <w:autoSpaceDN/>
        <w:rPr>
          <w:rFonts w:cs="Times New Roman"/>
        </w:rPr>
      </w:pPr>
      <w:r>
        <w:rPr>
          <w:rFonts w:cs="Times New Roman"/>
        </w:rPr>
        <w:t>A</w:t>
      </w:r>
      <w:r w:rsidRPr="005C44DB">
        <w:rPr>
          <w:rFonts w:cs="Times New Roman"/>
        </w:rPr>
        <w:t xml:space="preserve"> </w:t>
      </w:r>
      <w:r w:rsidR="004A0AAB" w:rsidRPr="005C44DB">
        <w:rPr>
          <w:rFonts w:cs="Times New Roman"/>
        </w:rPr>
        <w:t>N</w:t>
      </w:r>
      <w:r w:rsidR="003D285F">
        <w:rPr>
          <w:rFonts w:cs="Times New Roman"/>
        </w:rPr>
        <w:t>eglected</w:t>
      </w:r>
      <w:r w:rsidR="004A0AAB" w:rsidRPr="005C44DB">
        <w:rPr>
          <w:rFonts w:cs="Times New Roman"/>
        </w:rPr>
        <w:t>/D</w:t>
      </w:r>
      <w:r w:rsidR="003D285F">
        <w:rPr>
          <w:rFonts w:cs="Times New Roman"/>
        </w:rPr>
        <w:t>elinquent</w:t>
      </w:r>
      <w:r w:rsidR="004A0AAB" w:rsidRPr="005C44DB">
        <w:rPr>
          <w:rFonts w:cs="Times New Roman"/>
        </w:rPr>
        <w:t xml:space="preserve"> facility representative must complete an online form located in DESE’s Security Portal, as well as upload a roster to the Security Portal. Each facility should maintain on file detailed information regarding each of the students included in the annual count to verify their eligibility for inclusion in the count. </w:t>
      </w:r>
    </w:p>
    <w:p w14:paraId="40413ABD" w14:textId="168219F3" w:rsidR="004A0AAB" w:rsidRPr="00783214" w:rsidRDefault="004A0AAB" w:rsidP="00783214">
      <w:pPr>
        <w:pStyle w:val="ListParagraph"/>
        <w:widowControl/>
        <w:numPr>
          <w:ilvl w:val="0"/>
          <w:numId w:val="22"/>
        </w:numPr>
        <w:autoSpaceDE/>
        <w:autoSpaceDN/>
        <w:rPr>
          <w:rFonts w:cs="Times New Roman"/>
        </w:rPr>
      </w:pPr>
      <w:r w:rsidRPr="005C44DB">
        <w:rPr>
          <w:rFonts w:cs="Times New Roman"/>
          <w:b/>
          <w:bCs/>
        </w:rPr>
        <w:t xml:space="preserve">The </w:t>
      </w:r>
      <w:r w:rsidR="00F243B9" w:rsidRPr="005C44DB">
        <w:rPr>
          <w:rFonts w:cs="Times New Roman"/>
          <w:b/>
          <w:bCs/>
        </w:rPr>
        <w:t xml:space="preserve">submission </w:t>
      </w:r>
      <w:r w:rsidRPr="005C44DB">
        <w:rPr>
          <w:rFonts w:cs="Times New Roman"/>
          <w:b/>
          <w:bCs/>
        </w:rPr>
        <w:t>tool opens in November of each year and submission is due in mid-December.</w:t>
      </w:r>
      <w:r w:rsidR="00783214">
        <w:rPr>
          <w:rFonts w:cs="Times New Roman"/>
        </w:rPr>
        <w:t xml:space="preserve"> </w:t>
      </w:r>
      <w:r w:rsidRPr="00783214">
        <w:rPr>
          <w:rFonts w:cs="Times New Roman"/>
        </w:rPr>
        <w:t xml:space="preserve">DESE’s </w:t>
      </w:r>
      <w:hyperlink r:id="rId15" w:history="1">
        <w:r w:rsidRPr="00783214">
          <w:rPr>
            <w:rFonts w:cs="Times New Roman"/>
            <w:color w:val="0563C1"/>
            <w:u w:val="single"/>
          </w:rPr>
          <w:t>N/D data reporting webpage</w:t>
        </w:r>
      </w:hyperlink>
      <w:r w:rsidRPr="00783214">
        <w:rPr>
          <w:rFonts w:cs="Times New Roman"/>
        </w:rPr>
        <w:t xml:space="preserve"> includes further guidance and resources.</w:t>
      </w:r>
    </w:p>
    <w:p w14:paraId="74891E7B" w14:textId="77777777" w:rsidR="004A0AAB" w:rsidRPr="004C1240" w:rsidRDefault="004A0AAB" w:rsidP="00DC403B">
      <w:pPr>
        <w:widowControl/>
        <w:autoSpaceDE/>
        <w:autoSpaceDN/>
        <w:rPr>
          <w:rFonts w:cs="Times New Roman"/>
          <w:sz w:val="18"/>
          <w:szCs w:val="18"/>
        </w:rPr>
      </w:pPr>
    </w:p>
    <w:p w14:paraId="6C79EFA7" w14:textId="77777777" w:rsidR="0078638A" w:rsidRDefault="0078638A" w:rsidP="00DC403B">
      <w:pPr>
        <w:widowControl/>
        <w:autoSpaceDE/>
        <w:autoSpaceDN/>
        <w:rPr>
          <w:rFonts w:cs="Times New Roman"/>
          <w:b/>
          <w:bCs/>
          <w:sz w:val="24"/>
          <w:szCs w:val="24"/>
        </w:rPr>
      </w:pPr>
    </w:p>
    <w:p w14:paraId="3DCA8E0E" w14:textId="7EFA8980" w:rsidR="004A0AAB" w:rsidRPr="00992D04" w:rsidRDefault="00E82F8B" w:rsidP="00DC403B">
      <w:pPr>
        <w:widowControl/>
        <w:autoSpaceDE/>
        <w:autoSpaceDN/>
        <w:rPr>
          <w:rFonts w:cs="Times New Roman"/>
          <w:b/>
          <w:bCs/>
          <w:sz w:val="24"/>
          <w:szCs w:val="24"/>
        </w:rPr>
      </w:pPr>
      <w:r w:rsidRPr="00992D04">
        <w:rPr>
          <w:rFonts w:cs="Times New Roman"/>
          <w:b/>
          <w:bCs/>
          <w:sz w:val="24"/>
          <w:szCs w:val="24"/>
        </w:rPr>
        <w:t xml:space="preserve">Category 2: </w:t>
      </w:r>
      <w:r w:rsidR="004A0AAB" w:rsidRPr="00992D04">
        <w:rPr>
          <w:rFonts w:cs="Times New Roman"/>
          <w:b/>
          <w:bCs/>
          <w:sz w:val="24"/>
          <w:szCs w:val="24"/>
        </w:rPr>
        <w:t>Program Evaluation Data</w:t>
      </w:r>
    </w:p>
    <w:p w14:paraId="1EB88BB3" w14:textId="77777777" w:rsidR="004A0AAB" w:rsidRPr="004A0AAB" w:rsidRDefault="004A0AAB" w:rsidP="00DC403B">
      <w:pPr>
        <w:widowControl/>
        <w:autoSpaceDE/>
        <w:autoSpaceDN/>
        <w:rPr>
          <w:rFonts w:cs="Times New Roman"/>
        </w:rPr>
      </w:pPr>
      <w:r w:rsidRPr="004A0AAB">
        <w:rPr>
          <w:rFonts w:cs="Times New Roman"/>
        </w:rPr>
        <w:t xml:space="preserve">In September of each year, the N/D facilities must submit program evaluation data through a tool in DESE’s Security Portal. This data is a follow-up to the Annual Count, and it includes information about each program and demographics of the participants, as well as data on their academic performance results and their academic/vocational outcomes. </w:t>
      </w:r>
      <w:r w:rsidRPr="009058E5">
        <w:rPr>
          <w:rFonts w:cs="Times New Roman"/>
          <w:b/>
          <w:bCs/>
        </w:rPr>
        <w:t>The reporting period for this data collection is July 1 through June 30 for the previous school year.</w:t>
      </w:r>
      <w:r w:rsidRPr="004A0AAB">
        <w:rPr>
          <w:rFonts w:cs="Times New Roman"/>
        </w:rPr>
        <w:t xml:space="preserve"> DESE’s </w:t>
      </w:r>
      <w:hyperlink r:id="rId16" w:history="1">
        <w:r w:rsidRPr="004A0AAB">
          <w:rPr>
            <w:rFonts w:cs="Times New Roman"/>
            <w:color w:val="0563C1"/>
            <w:u w:val="single"/>
          </w:rPr>
          <w:t>N/D data reporting webpage</w:t>
        </w:r>
      </w:hyperlink>
      <w:r w:rsidRPr="004A0AAB">
        <w:rPr>
          <w:rFonts w:cs="Times New Roman"/>
        </w:rPr>
        <w:t xml:space="preserve"> includes further guidance and resources, including a list of the specific elements that must be reported.</w:t>
      </w:r>
    </w:p>
    <w:p w14:paraId="28D418FC" w14:textId="77777777" w:rsidR="004A0AAB" w:rsidRPr="004A0AAB" w:rsidRDefault="004A0AAB" w:rsidP="00DC403B">
      <w:pPr>
        <w:widowControl/>
        <w:autoSpaceDE/>
        <w:autoSpaceDN/>
        <w:rPr>
          <w:rFonts w:cs="Times New Roman"/>
          <w:sz w:val="12"/>
          <w:szCs w:val="12"/>
        </w:rPr>
      </w:pPr>
    </w:p>
    <w:p w14:paraId="6BCF55E8" w14:textId="7859686A" w:rsidR="004A0AAB" w:rsidRPr="004A0AAB" w:rsidRDefault="00055C12" w:rsidP="00DC403B">
      <w:pPr>
        <w:widowControl/>
        <w:autoSpaceDE/>
        <w:autoSpaceDN/>
        <w:rPr>
          <w:rFonts w:cs="Times New Roman"/>
        </w:rPr>
      </w:pPr>
      <w:r>
        <w:rPr>
          <w:rFonts w:cs="Times New Roman"/>
        </w:rPr>
        <w:t>Federal</w:t>
      </w:r>
      <w:r w:rsidR="004A0AAB" w:rsidRPr="004A0AAB">
        <w:rPr>
          <w:rFonts w:cs="Times New Roman"/>
        </w:rPr>
        <w:t xml:space="preserve"> law requires all agencies receiving these funds to evaluate their programs’ impact on the ability of students to:</w:t>
      </w:r>
    </w:p>
    <w:p w14:paraId="0C1FA7BC" w14:textId="77777777" w:rsidR="004A0AAB" w:rsidRPr="004A0AAB" w:rsidRDefault="004A0AAB" w:rsidP="00FA2C4A">
      <w:pPr>
        <w:widowControl/>
        <w:numPr>
          <w:ilvl w:val="0"/>
          <w:numId w:val="10"/>
        </w:numPr>
        <w:autoSpaceDE/>
        <w:autoSpaceDN/>
        <w:contextualSpacing/>
        <w:rPr>
          <w:rFonts w:cs="Times New Roman"/>
        </w:rPr>
      </w:pPr>
      <w:r w:rsidRPr="004A0AAB">
        <w:rPr>
          <w:rFonts w:cs="Times New Roman"/>
        </w:rPr>
        <w:t>Maintain and improve educational achievement</w:t>
      </w:r>
    </w:p>
    <w:p w14:paraId="357293EA" w14:textId="77777777" w:rsidR="004A0AAB" w:rsidRPr="004A0AAB" w:rsidRDefault="004A0AAB" w:rsidP="00FA2C4A">
      <w:pPr>
        <w:widowControl/>
        <w:numPr>
          <w:ilvl w:val="0"/>
          <w:numId w:val="10"/>
        </w:numPr>
        <w:autoSpaceDE/>
        <w:autoSpaceDN/>
        <w:contextualSpacing/>
        <w:rPr>
          <w:rFonts w:cs="Times New Roman"/>
        </w:rPr>
      </w:pPr>
      <w:r w:rsidRPr="004A0AAB">
        <w:rPr>
          <w:rFonts w:cs="Times New Roman"/>
        </w:rPr>
        <w:t>Accrue course credits that meet State requirements for grade promotion and secondary school graduation</w:t>
      </w:r>
    </w:p>
    <w:p w14:paraId="07A14FD4" w14:textId="77777777" w:rsidR="004A0AAB" w:rsidRPr="004A0AAB" w:rsidRDefault="004A0AAB" w:rsidP="00FA2C4A">
      <w:pPr>
        <w:widowControl/>
        <w:numPr>
          <w:ilvl w:val="0"/>
          <w:numId w:val="10"/>
        </w:numPr>
        <w:autoSpaceDE/>
        <w:autoSpaceDN/>
        <w:contextualSpacing/>
        <w:rPr>
          <w:rFonts w:cs="Times New Roman"/>
        </w:rPr>
      </w:pPr>
      <w:r w:rsidRPr="004A0AAB">
        <w:rPr>
          <w:rFonts w:cs="Times New Roman"/>
        </w:rPr>
        <w:t>Transition to a regular community school or other education program operated by an LEA</w:t>
      </w:r>
    </w:p>
    <w:p w14:paraId="528026FF" w14:textId="77777777" w:rsidR="004A0AAB" w:rsidRPr="004A0AAB" w:rsidRDefault="004A0AAB" w:rsidP="00FA2C4A">
      <w:pPr>
        <w:widowControl/>
        <w:numPr>
          <w:ilvl w:val="0"/>
          <w:numId w:val="10"/>
        </w:numPr>
        <w:autoSpaceDE/>
        <w:autoSpaceDN/>
        <w:contextualSpacing/>
        <w:rPr>
          <w:rFonts w:cs="Times New Roman"/>
        </w:rPr>
      </w:pPr>
      <w:r w:rsidRPr="004A0AAB">
        <w:rPr>
          <w:rFonts w:cs="Times New Roman"/>
        </w:rPr>
        <w:t>Complete secondary school (or secondary school equivalency requirements) and obtain employment after leaving a facility or program serving children and youth who are considered neglected or delinquent</w:t>
      </w:r>
    </w:p>
    <w:p w14:paraId="1964DA35" w14:textId="77777777" w:rsidR="004A0AAB" w:rsidRPr="004A0AAB" w:rsidRDefault="004A0AAB" w:rsidP="00FA2C4A">
      <w:pPr>
        <w:widowControl/>
        <w:numPr>
          <w:ilvl w:val="0"/>
          <w:numId w:val="10"/>
        </w:numPr>
        <w:autoSpaceDE/>
        <w:autoSpaceDN/>
        <w:contextualSpacing/>
        <w:rPr>
          <w:rFonts w:cs="Times New Roman"/>
        </w:rPr>
      </w:pPr>
      <w:r w:rsidRPr="004A0AAB">
        <w:rPr>
          <w:rFonts w:cs="Times New Roman"/>
        </w:rPr>
        <w:t>Participate in postsecondary education and job training programs, as appropriate.</w:t>
      </w:r>
    </w:p>
    <w:p w14:paraId="4D13E75D" w14:textId="77777777" w:rsidR="004A0AAB" w:rsidRPr="004A0AAB" w:rsidRDefault="004A0AAB" w:rsidP="00DC403B">
      <w:pPr>
        <w:widowControl/>
        <w:autoSpaceDE/>
        <w:autoSpaceDN/>
        <w:rPr>
          <w:rFonts w:cs="Times New Roman"/>
          <w:sz w:val="12"/>
          <w:szCs w:val="12"/>
        </w:rPr>
      </w:pPr>
    </w:p>
    <w:p w14:paraId="0F9FB8E6" w14:textId="77777777" w:rsidR="004A0AAB" w:rsidRPr="004A0AAB" w:rsidRDefault="004A0AAB" w:rsidP="00DC403B">
      <w:pPr>
        <w:widowControl/>
        <w:autoSpaceDE/>
        <w:autoSpaceDN/>
        <w:rPr>
          <w:rFonts w:cs="Times New Roman"/>
        </w:rPr>
      </w:pPr>
      <w:r w:rsidRPr="004A0AAB">
        <w:rPr>
          <w:rFonts w:cs="Times New Roman"/>
        </w:rPr>
        <w:t>The statute further clarifies that evaluation results collected by subgrantees must be submitted to the State Education Agency, who then submits them to the US Department of Education (ED), and that information gleaned from this data must be used to inform and improve the operation of Title I, Part D programs. The data reported are aggregated at the national level and used by ED to demonstrate the effectiveness of Title I, Part D programs in Federal program performance reports that are submitted to Congress.</w:t>
      </w:r>
    </w:p>
    <w:p w14:paraId="14B232EE" w14:textId="15E405AA" w:rsidR="000E305E" w:rsidRDefault="000E305E" w:rsidP="00DC403B">
      <w:pPr>
        <w:pStyle w:val="Heading1"/>
        <w:spacing w:before="0"/>
        <w:ind w:left="0"/>
        <w:rPr>
          <w:b/>
          <w:bCs/>
          <w:color w:val="1F497D" w:themeColor="text2"/>
          <w:sz w:val="28"/>
          <w:szCs w:val="28"/>
        </w:rPr>
      </w:pPr>
    </w:p>
    <w:p w14:paraId="1EE79328" w14:textId="77777777" w:rsidR="00500772" w:rsidRDefault="00500772" w:rsidP="00992D04">
      <w:pPr>
        <w:pStyle w:val="Heading1"/>
        <w:spacing w:before="0"/>
        <w:ind w:left="0"/>
        <w:rPr>
          <w:b/>
          <w:bCs/>
          <w:color w:val="1F497D" w:themeColor="text2"/>
          <w:sz w:val="28"/>
          <w:szCs w:val="28"/>
        </w:rPr>
      </w:pPr>
    </w:p>
    <w:p w14:paraId="37E521CC" w14:textId="77777777" w:rsidR="00992D04" w:rsidRDefault="00992D04" w:rsidP="00DC403B">
      <w:pPr>
        <w:pStyle w:val="Heading1"/>
        <w:spacing w:before="0"/>
        <w:ind w:left="0"/>
        <w:rPr>
          <w:b/>
          <w:bCs/>
          <w:color w:val="1F497D" w:themeColor="text2"/>
          <w:sz w:val="28"/>
          <w:szCs w:val="28"/>
        </w:rPr>
      </w:pPr>
    </w:p>
    <w:p w14:paraId="13B32B44" w14:textId="77777777" w:rsidR="00992D04" w:rsidRDefault="00992D04" w:rsidP="00DC403B">
      <w:pPr>
        <w:pStyle w:val="Heading1"/>
        <w:spacing w:before="0"/>
        <w:ind w:left="0"/>
        <w:rPr>
          <w:b/>
          <w:bCs/>
          <w:color w:val="1F497D" w:themeColor="text2"/>
          <w:sz w:val="28"/>
          <w:szCs w:val="28"/>
        </w:rPr>
      </w:pPr>
    </w:p>
    <w:p w14:paraId="2F62A273" w14:textId="77777777" w:rsidR="00992D04" w:rsidRDefault="00992D04" w:rsidP="00DC403B">
      <w:pPr>
        <w:pStyle w:val="Heading1"/>
        <w:spacing w:before="0"/>
        <w:ind w:left="0"/>
        <w:rPr>
          <w:b/>
          <w:bCs/>
          <w:color w:val="1F497D" w:themeColor="text2"/>
          <w:sz w:val="28"/>
          <w:szCs w:val="28"/>
        </w:rPr>
      </w:pPr>
    </w:p>
    <w:p w14:paraId="4C58BED1" w14:textId="77777777" w:rsidR="00992D04" w:rsidRDefault="00992D04" w:rsidP="00DC403B">
      <w:pPr>
        <w:pStyle w:val="Heading1"/>
        <w:spacing w:before="0"/>
        <w:ind w:left="0"/>
        <w:rPr>
          <w:b/>
          <w:bCs/>
          <w:color w:val="1F497D" w:themeColor="text2"/>
          <w:sz w:val="28"/>
          <w:szCs w:val="28"/>
        </w:rPr>
      </w:pPr>
    </w:p>
    <w:p w14:paraId="45ED5D18" w14:textId="0E9E105E" w:rsidR="00AA4A5C" w:rsidRPr="00C0353A" w:rsidRDefault="00AA4A5C" w:rsidP="00AA4A5C">
      <w:pPr>
        <w:outlineLvl w:val="0"/>
        <w:rPr>
          <w:b/>
          <w:bCs/>
          <w:color w:val="1F497D" w:themeColor="text2"/>
          <w:sz w:val="28"/>
          <w:szCs w:val="28"/>
        </w:rPr>
      </w:pPr>
      <w:bookmarkStart w:id="9" w:name="_Toc133221637"/>
      <w:r w:rsidRPr="00C0353A">
        <w:rPr>
          <w:b/>
          <w:bCs/>
          <w:color w:val="1F497D" w:themeColor="text2"/>
          <w:sz w:val="28"/>
          <w:szCs w:val="28"/>
        </w:rPr>
        <w:lastRenderedPageBreak/>
        <w:t>Changes to a Neglected/Delinquent Facility Status</w:t>
      </w:r>
      <w:bookmarkEnd w:id="9"/>
    </w:p>
    <w:p w14:paraId="74E5DEB4" w14:textId="77777777" w:rsidR="00992D04" w:rsidRPr="00992D04" w:rsidRDefault="00992D04" w:rsidP="00992D04">
      <w:pPr>
        <w:pStyle w:val="Heading1"/>
        <w:spacing w:before="0"/>
        <w:ind w:left="0"/>
        <w:rPr>
          <w:sz w:val="14"/>
          <w:szCs w:val="14"/>
        </w:rPr>
      </w:pPr>
    </w:p>
    <w:p w14:paraId="3E193723" w14:textId="00987C51" w:rsidR="00C0353A" w:rsidRPr="00F21243" w:rsidRDefault="008E4D8A" w:rsidP="00657D47">
      <w:pPr>
        <w:spacing w:before="60"/>
        <w:rPr>
          <w:sz w:val="16"/>
          <w:szCs w:val="16"/>
        </w:rPr>
      </w:pPr>
      <w:r>
        <w:t xml:space="preserve">The processes below should be followed in the event that </w:t>
      </w:r>
      <w:r w:rsidRPr="00C0353A">
        <w:t>a</w:t>
      </w:r>
      <w:r w:rsidR="00C0353A" w:rsidRPr="00C0353A">
        <w:t xml:space="preserve"> new N/D facility opens, or if an existing N/D facility closes</w:t>
      </w:r>
      <w:r w:rsidR="00CA0D11">
        <w:t>.</w:t>
      </w:r>
      <w:r w:rsidR="00C0353A" w:rsidRPr="00C0353A">
        <w:br/>
      </w:r>
    </w:p>
    <w:tbl>
      <w:tblPr>
        <w:tblStyle w:val="TableGrid2"/>
        <w:tblW w:w="9805" w:type="dxa"/>
        <w:tblLook w:val="04A0" w:firstRow="1" w:lastRow="0" w:firstColumn="1" w:lastColumn="0" w:noHBand="0" w:noVBand="1"/>
      </w:tblPr>
      <w:tblGrid>
        <w:gridCol w:w="9805"/>
      </w:tblGrid>
      <w:tr w:rsidR="002F466D" w:rsidRPr="00C0353A" w14:paraId="4B79A16E" w14:textId="77777777" w:rsidTr="00271FDE">
        <w:trPr>
          <w:trHeight w:val="494"/>
        </w:trPr>
        <w:tc>
          <w:tcPr>
            <w:tcW w:w="9805" w:type="dxa"/>
            <w:shd w:val="clear" w:color="auto" w:fill="D9D9D9" w:themeFill="background1" w:themeFillShade="D9"/>
            <w:vAlign w:val="center"/>
          </w:tcPr>
          <w:p w14:paraId="68651640" w14:textId="02EFABD3" w:rsidR="009A6C4D" w:rsidRPr="00C0353A" w:rsidRDefault="002F466D" w:rsidP="00271FDE">
            <w:pPr>
              <w:jc w:val="center"/>
              <w:rPr>
                <w:b/>
                <w:bCs/>
              </w:rPr>
            </w:pPr>
            <w:r w:rsidRPr="00C0353A">
              <w:rPr>
                <w:b/>
                <w:bCs/>
              </w:rPr>
              <w:t>What if a new N/D facility opens in my district?</w:t>
            </w:r>
          </w:p>
        </w:tc>
      </w:tr>
      <w:tr w:rsidR="002F466D" w:rsidRPr="00C0353A" w14:paraId="1202461D" w14:textId="77777777" w:rsidTr="00992D04">
        <w:trPr>
          <w:trHeight w:val="5408"/>
        </w:trPr>
        <w:tc>
          <w:tcPr>
            <w:tcW w:w="9805" w:type="dxa"/>
          </w:tcPr>
          <w:p w14:paraId="413C9735" w14:textId="77777777" w:rsidR="00534014" w:rsidRPr="00534014" w:rsidRDefault="00534014" w:rsidP="00534014">
            <w:pPr>
              <w:ind w:left="450"/>
              <w:rPr>
                <w:sz w:val="14"/>
                <w:szCs w:val="14"/>
              </w:rPr>
            </w:pPr>
          </w:p>
          <w:p w14:paraId="1432D4AD" w14:textId="6C3B7D23" w:rsidR="002F466D" w:rsidRPr="00C0353A" w:rsidRDefault="002F466D" w:rsidP="000F4280">
            <w:pPr>
              <w:numPr>
                <w:ilvl w:val="0"/>
                <w:numId w:val="14"/>
              </w:numPr>
            </w:pPr>
            <w:r w:rsidRPr="00C0353A">
              <w:t xml:space="preserve">The district must notify the Federal Grants Office by emailing </w:t>
            </w:r>
            <w:hyperlink r:id="rId17" w:history="1">
              <w:r w:rsidRPr="00C0353A">
                <w:rPr>
                  <w:rFonts w:cs="Times New Roman"/>
                  <w:color w:val="0563C1"/>
                  <w:u w:val="single"/>
                </w:rPr>
                <w:t>federalgrantprograms@mass.gov</w:t>
              </w:r>
            </w:hyperlink>
            <w:r w:rsidRPr="00C0353A">
              <w:t xml:space="preserve"> if there is a new facility in the district. </w:t>
            </w:r>
          </w:p>
          <w:p w14:paraId="4FDF92CF" w14:textId="0F8A1493" w:rsidR="002F466D" w:rsidRPr="00B215AC" w:rsidRDefault="002F466D" w:rsidP="000F4280">
            <w:pPr>
              <w:numPr>
                <w:ilvl w:val="0"/>
                <w:numId w:val="14"/>
              </w:numPr>
            </w:pPr>
            <w:r w:rsidRPr="00F50280">
              <w:rPr>
                <w:color w:val="0E101A"/>
              </w:rPr>
              <w:t xml:space="preserve">The facility </w:t>
            </w:r>
            <w:r>
              <w:rPr>
                <w:color w:val="0E101A"/>
              </w:rPr>
              <w:t>must</w:t>
            </w:r>
            <w:r w:rsidRPr="00F50280">
              <w:rPr>
                <w:color w:val="0E101A"/>
              </w:rPr>
              <w:t xml:space="preserve"> submit </w:t>
            </w:r>
            <w:r w:rsidRPr="00CA6C97">
              <w:rPr>
                <w:b/>
                <w:bCs/>
                <w:color w:val="0E101A"/>
              </w:rPr>
              <w:t>official (legal) documentation</w:t>
            </w:r>
            <w:r w:rsidRPr="001549A3">
              <w:rPr>
                <w:color w:val="0E101A"/>
              </w:rPr>
              <w:t xml:space="preserve"> </w:t>
            </w:r>
            <w:r w:rsidRPr="001549A3">
              <w:t>that shows that the facility meets the definition of a neglected or delinquent facility found in ESEA section 1432. The documentation must</w:t>
            </w:r>
            <w:r w:rsidRPr="001549A3">
              <w:rPr>
                <w:color w:val="0E101A"/>
              </w:rPr>
              <w:t xml:space="preserve"> address the following components:</w:t>
            </w:r>
          </w:p>
          <w:p w14:paraId="4F0FF1E1" w14:textId="77777777" w:rsidR="002F466D" w:rsidRDefault="002F466D" w:rsidP="000F4280">
            <w:pPr>
              <w:numPr>
                <w:ilvl w:val="1"/>
                <w:numId w:val="14"/>
              </w:numPr>
            </w:pPr>
            <w:r w:rsidRPr="00B215AC">
              <w:rPr>
                <w:rFonts w:eastAsia="Times New Roman"/>
                <w:color w:val="0E101A"/>
              </w:rPr>
              <w:t>The official name of the facility </w:t>
            </w:r>
          </w:p>
          <w:p w14:paraId="31BF270C" w14:textId="77777777" w:rsidR="002F466D" w:rsidRDefault="002F466D" w:rsidP="000F4280">
            <w:pPr>
              <w:numPr>
                <w:ilvl w:val="1"/>
                <w:numId w:val="14"/>
              </w:numPr>
            </w:pPr>
            <w:r w:rsidRPr="00B215AC">
              <w:rPr>
                <w:rFonts w:eastAsia="Times New Roman"/>
                <w:color w:val="0E101A"/>
              </w:rPr>
              <w:t>Address of facility </w:t>
            </w:r>
          </w:p>
          <w:p w14:paraId="0D49B6D4" w14:textId="77777777" w:rsidR="002F466D" w:rsidRDefault="002F466D" w:rsidP="000F4280">
            <w:pPr>
              <w:numPr>
                <w:ilvl w:val="1"/>
                <w:numId w:val="14"/>
              </w:numPr>
            </w:pPr>
            <w:r w:rsidRPr="00B215AC">
              <w:rPr>
                <w:rFonts w:eastAsia="Times New Roman"/>
                <w:color w:val="0E101A"/>
              </w:rPr>
              <w:t>Executive Director name </w:t>
            </w:r>
          </w:p>
          <w:p w14:paraId="5FF790B8" w14:textId="77777777" w:rsidR="002F466D" w:rsidRDefault="002F466D" w:rsidP="000F4280">
            <w:pPr>
              <w:numPr>
                <w:ilvl w:val="1"/>
                <w:numId w:val="14"/>
              </w:numPr>
            </w:pPr>
            <w:r w:rsidRPr="00B215AC">
              <w:rPr>
                <w:rFonts w:eastAsia="Times New Roman"/>
                <w:color w:val="0E101A"/>
              </w:rPr>
              <w:t>Date organization was founded </w:t>
            </w:r>
          </w:p>
          <w:p w14:paraId="3777DB67" w14:textId="77777777" w:rsidR="002F466D" w:rsidRPr="00B215AC" w:rsidRDefault="002F466D" w:rsidP="000F4280">
            <w:pPr>
              <w:numPr>
                <w:ilvl w:val="1"/>
                <w:numId w:val="14"/>
              </w:numPr>
            </w:pPr>
            <w:r w:rsidRPr="00B215AC">
              <w:rPr>
                <w:rFonts w:eastAsia="Times New Roman"/>
                <w:color w:val="0E101A"/>
              </w:rPr>
              <w:t>Description of the population served</w:t>
            </w:r>
          </w:p>
          <w:p w14:paraId="0C28E23A" w14:textId="77777777" w:rsidR="002F466D" w:rsidRPr="00B215AC" w:rsidRDefault="002F466D" w:rsidP="000F4280">
            <w:pPr>
              <w:numPr>
                <w:ilvl w:val="1"/>
                <w:numId w:val="14"/>
              </w:numPr>
            </w:pPr>
            <w:r w:rsidRPr="00B215AC">
              <w:rPr>
                <w:rFonts w:eastAsia="Times New Roman"/>
                <w:color w:val="0E101A"/>
              </w:rPr>
              <w:t>Description of the services provided</w:t>
            </w:r>
          </w:p>
          <w:p w14:paraId="177B7C73" w14:textId="77777777" w:rsidR="002F466D" w:rsidRPr="0054059C" w:rsidRDefault="002F466D" w:rsidP="007D1E0F">
            <w:pPr>
              <w:ind w:left="450"/>
              <w:rPr>
                <w:rFonts w:eastAsia="Times New Roman"/>
                <w:color w:val="0E101A"/>
              </w:rPr>
            </w:pPr>
            <w:r w:rsidRPr="001549A3">
              <w:rPr>
                <w:color w:val="0E101A"/>
              </w:rPr>
              <w:t>This documentation must be official and may include Articles of Organization, Certificate of Organization, Agency Charter, a Board Resolution, or filings with licensing or oversight agencies, or the Secretary of State. The facility may submit multiple documents to satisfy these requirements, but in no case will a letter satisfy a requirement.</w:t>
            </w:r>
            <w:r>
              <w:rPr>
                <w:color w:val="0E101A"/>
              </w:rPr>
              <w:t xml:space="preserve"> </w:t>
            </w:r>
          </w:p>
          <w:p w14:paraId="7D15B0E8" w14:textId="5966716A" w:rsidR="002F466D" w:rsidRPr="00C0353A" w:rsidRDefault="002F466D" w:rsidP="000F4280">
            <w:pPr>
              <w:numPr>
                <w:ilvl w:val="0"/>
                <w:numId w:val="14"/>
              </w:numPr>
            </w:pPr>
            <w:r w:rsidRPr="00C0353A">
              <w:t>DESE will then review th</w:t>
            </w:r>
            <w:r>
              <w:t>is</w:t>
            </w:r>
            <w:r w:rsidRPr="00C0353A">
              <w:t xml:space="preserve"> information for approval. </w:t>
            </w:r>
          </w:p>
          <w:p w14:paraId="5A3AD796" w14:textId="77777777" w:rsidR="002F466D" w:rsidRDefault="002F466D" w:rsidP="000F4280">
            <w:pPr>
              <w:numPr>
                <w:ilvl w:val="0"/>
                <w:numId w:val="14"/>
              </w:numPr>
            </w:pPr>
            <w:r w:rsidRPr="00C0353A">
              <w:t>If approved, the facility must then submit their Annual Counts during the reporting period in December in order to receive an allocation for the following year (see section above on annual counts).</w:t>
            </w:r>
          </w:p>
          <w:p w14:paraId="68D8F017" w14:textId="77777777" w:rsidR="00992D04" w:rsidRDefault="00992D04" w:rsidP="00992D04">
            <w:pPr>
              <w:ind w:left="450"/>
            </w:pPr>
          </w:p>
          <w:p w14:paraId="1D4656D3" w14:textId="1E6D7973" w:rsidR="00992D04" w:rsidRPr="00C0353A" w:rsidRDefault="00992D04" w:rsidP="00992D04">
            <w:pPr>
              <w:ind w:left="450"/>
            </w:pPr>
          </w:p>
        </w:tc>
      </w:tr>
      <w:tr w:rsidR="002F466D" w:rsidRPr="00C0353A" w14:paraId="3E4BE83C" w14:textId="77777777" w:rsidTr="00271FDE">
        <w:trPr>
          <w:trHeight w:val="503"/>
        </w:trPr>
        <w:tc>
          <w:tcPr>
            <w:tcW w:w="9805" w:type="dxa"/>
            <w:shd w:val="clear" w:color="auto" w:fill="D9D9D9" w:themeFill="background1" w:themeFillShade="D9"/>
            <w:vAlign w:val="center"/>
          </w:tcPr>
          <w:p w14:paraId="10B9ADC4" w14:textId="3ECC682C" w:rsidR="009A6C4D" w:rsidRPr="00C0353A" w:rsidRDefault="002F466D" w:rsidP="00271FDE">
            <w:pPr>
              <w:jc w:val="center"/>
              <w:rPr>
                <w:b/>
                <w:bCs/>
              </w:rPr>
            </w:pPr>
            <w:r w:rsidRPr="00C0353A">
              <w:rPr>
                <w:b/>
                <w:bCs/>
              </w:rPr>
              <w:t>What if a N/D facility in my district closes?</w:t>
            </w:r>
          </w:p>
        </w:tc>
      </w:tr>
      <w:tr w:rsidR="002F466D" w:rsidRPr="00C0353A" w14:paraId="2854B39C" w14:textId="77777777" w:rsidTr="00992D04">
        <w:trPr>
          <w:trHeight w:val="2339"/>
        </w:trPr>
        <w:tc>
          <w:tcPr>
            <w:tcW w:w="9805" w:type="dxa"/>
          </w:tcPr>
          <w:p w14:paraId="266BA5C5" w14:textId="77777777" w:rsidR="00534014" w:rsidRPr="00534014" w:rsidRDefault="00534014" w:rsidP="00534014">
            <w:pPr>
              <w:ind w:left="450"/>
              <w:rPr>
                <w:sz w:val="14"/>
                <w:szCs w:val="14"/>
              </w:rPr>
            </w:pPr>
          </w:p>
          <w:p w14:paraId="011909D6" w14:textId="4C81B0E2" w:rsidR="002F466D" w:rsidRPr="00C0353A" w:rsidRDefault="002F466D" w:rsidP="00950BC9">
            <w:pPr>
              <w:numPr>
                <w:ilvl w:val="0"/>
                <w:numId w:val="14"/>
              </w:numPr>
            </w:pPr>
            <w:r w:rsidRPr="00C0353A">
              <w:t xml:space="preserve">The district and the facility must notify the Federal Grants Office as soon as possible by emailing </w:t>
            </w:r>
            <w:hyperlink r:id="rId18" w:history="1">
              <w:r w:rsidRPr="00C0353A">
                <w:rPr>
                  <w:rFonts w:cs="Times New Roman"/>
                  <w:color w:val="0563C1"/>
                  <w:u w:val="single"/>
                </w:rPr>
                <w:t>federalgrantprograms@mass.gov</w:t>
              </w:r>
            </w:hyperlink>
            <w:r w:rsidRPr="00C0353A">
              <w:t xml:space="preserve"> if a facility has closed. </w:t>
            </w:r>
          </w:p>
          <w:p w14:paraId="389B0785" w14:textId="77777777" w:rsidR="002F466D" w:rsidRPr="00C0353A" w:rsidRDefault="002F466D" w:rsidP="00950BC9">
            <w:pPr>
              <w:numPr>
                <w:ilvl w:val="0"/>
                <w:numId w:val="14"/>
              </w:numPr>
            </w:pPr>
            <w:r w:rsidRPr="00C0353A">
              <w:t xml:space="preserve">If there are unspent Title I, D-2 funds following a facility’s closure, DESE will work with the district on a plan to spend those funds. In some cases, the funds may revert back to the district to be used for the at-risk student population within the district. </w:t>
            </w:r>
          </w:p>
          <w:p w14:paraId="2E7C5CAD" w14:textId="77777777" w:rsidR="002F466D" w:rsidRPr="00C0353A" w:rsidRDefault="002F466D" w:rsidP="00950BC9">
            <w:pPr>
              <w:numPr>
                <w:ilvl w:val="0"/>
                <w:numId w:val="14"/>
              </w:numPr>
            </w:pPr>
            <w:r w:rsidRPr="00C0353A">
              <w:t>The district must receive DESE approval prior to reallocating the funds.</w:t>
            </w:r>
          </w:p>
          <w:p w14:paraId="73FC123D" w14:textId="77777777" w:rsidR="002F466D" w:rsidRPr="00C0353A" w:rsidRDefault="002F466D" w:rsidP="00950BC9"/>
        </w:tc>
      </w:tr>
    </w:tbl>
    <w:p w14:paraId="684C4E42" w14:textId="77777777" w:rsidR="00042BB3" w:rsidRDefault="00042BB3" w:rsidP="00DC403B">
      <w:pPr>
        <w:pStyle w:val="Heading1"/>
        <w:spacing w:before="0"/>
        <w:ind w:left="0"/>
        <w:rPr>
          <w:b/>
          <w:bCs/>
          <w:color w:val="1F497D" w:themeColor="text2"/>
          <w:sz w:val="28"/>
          <w:szCs w:val="28"/>
        </w:rPr>
      </w:pPr>
    </w:p>
    <w:p w14:paraId="4FDF532F" w14:textId="77777777" w:rsidR="003E0629" w:rsidRDefault="003E0629" w:rsidP="00DC403B">
      <w:pPr>
        <w:pStyle w:val="Heading1"/>
        <w:spacing w:before="0"/>
        <w:ind w:left="0"/>
        <w:rPr>
          <w:b/>
          <w:bCs/>
          <w:color w:val="1F497D" w:themeColor="text2"/>
          <w:sz w:val="28"/>
          <w:szCs w:val="28"/>
        </w:rPr>
      </w:pPr>
    </w:p>
    <w:p w14:paraId="6B4DC5BE" w14:textId="77777777" w:rsidR="003E0629" w:rsidRDefault="003E0629" w:rsidP="00DC403B">
      <w:pPr>
        <w:pStyle w:val="Heading1"/>
        <w:spacing w:before="0"/>
        <w:ind w:left="0"/>
        <w:rPr>
          <w:b/>
          <w:bCs/>
          <w:color w:val="1F497D" w:themeColor="text2"/>
          <w:sz w:val="28"/>
          <w:szCs w:val="28"/>
        </w:rPr>
      </w:pPr>
    </w:p>
    <w:p w14:paraId="1E72ABA1" w14:textId="77777777" w:rsidR="003E0629" w:rsidRDefault="003E0629" w:rsidP="00DC403B">
      <w:pPr>
        <w:pStyle w:val="Heading1"/>
        <w:spacing w:before="0"/>
        <w:ind w:left="0"/>
        <w:rPr>
          <w:b/>
          <w:bCs/>
          <w:color w:val="1F497D" w:themeColor="text2"/>
          <w:sz w:val="28"/>
          <w:szCs w:val="28"/>
        </w:rPr>
      </w:pPr>
    </w:p>
    <w:p w14:paraId="0E240E98" w14:textId="77777777" w:rsidR="00992D04" w:rsidRDefault="00992D04" w:rsidP="00DC403B">
      <w:pPr>
        <w:pStyle w:val="Heading1"/>
        <w:spacing w:before="0"/>
        <w:ind w:left="0"/>
        <w:rPr>
          <w:b/>
          <w:bCs/>
          <w:color w:val="1F497D" w:themeColor="text2"/>
          <w:sz w:val="28"/>
          <w:szCs w:val="28"/>
        </w:rPr>
      </w:pPr>
    </w:p>
    <w:p w14:paraId="65C04EDA" w14:textId="77777777" w:rsidR="00992D04" w:rsidRDefault="00992D04" w:rsidP="00DC403B">
      <w:pPr>
        <w:pStyle w:val="Heading1"/>
        <w:spacing w:before="0"/>
        <w:ind w:left="0"/>
        <w:rPr>
          <w:b/>
          <w:bCs/>
          <w:color w:val="1F497D" w:themeColor="text2"/>
          <w:sz w:val="28"/>
          <w:szCs w:val="28"/>
        </w:rPr>
      </w:pPr>
    </w:p>
    <w:p w14:paraId="4E4FDE44" w14:textId="77777777" w:rsidR="00992D04" w:rsidRDefault="00992D04" w:rsidP="00DC403B">
      <w:pPr>
        <w:pStyle w:val="Heading1"/>
        <w:spacing w:before="0"/>
        <w:ind w:left="0"/>
        <w:rPr>
          <w:b/>
          <w:bCs/>
          <w:color w:val="1F497D" w:themeColor="text2"/>
          <w:sz w:val="28"/>
          <w:szCs w:val="28"/>
        </w:rPr>
      </w:pPr>
    </w:p>
    <w:p w14:paraId="569E361F" w14:textId="2D3D3D0D" w:rsidR="00F120B3" w:rsidRPr="00DC403B" w:rsidRDefault="00E2061A" w:rsidP="00DC403B">
      <w:pPr>
        <w:pStyle w:val="Heading1"/>
        <w:spacing w:before="0"/>
        <w:ind w:left="0"/>
        <w:rPr>
          <w:b/>
          <w:bCs/>
          <w:color w:val="1F497D" w:themeColor="text2"/>
          <w:sz w:val="28"/>
          <w:szCs w:val="28"/>
        </w:rPr>
      </w:pPr>
      <w:bookmarkStart w:id="10" w:name="_Toc133221638"/>
      <w:r w:rsidRPr="00DC403B">
        <w:rPr>
          <w:b/>
          <w:bCs/>
          <w:color w:val="1F497D" w:themeColor="text2"/>
          <w:sz w:val="28"/>
          <w:szCs w:val="28"/>
        </w:rPr>
        <w:lastRenderedPageBreak/>
        <w:t xml:space="preserve">District </w:t>
      </w:r>
      <w:r w:rsidR="008E4D8A" w:rsidRPr="008E4D8A">
        <w:rPr>
          <w:b/>
          <w:bCs/>
          <w:color w:val="1F497D" w:themeColor="text2"/>
          <w:sz w:val="28"/>
          <w:szCs w:val="28"/>
        </w:rPr>
        <w:t xml:space="preserve">Title I, D-2 </w:t>
      </w:r>
      <w:r w:rsidRPr="00DC403B">
        <w:rPr>
          <w:b/>
          <w:bCs/>
          <w:color w:val="1F497D" w:themeColor="text2"/>
          <w:sz w:val="28"/>
          <w:szCs w:val="28"/>
        </w:rPr>
        <w:t>Application to DESE</w:t>
      </w:r>
      <w:bookmarkEnd w:id="10"/>
    </w:p>
    <w:p w14:paraId="741876C6" w14:textId="28BFBE11" w:rsidR="00812A9B" w:rsidRDefault="006B660C" w:rsidP="00241F24">
      <w:pPr>
        <w:spacing w:before="100"/>
        <w:rPr>
          <w:rFonts w:asciiTheme="minorHAnsi" w:hAnsiTheme="minorHAnsi" w:cstheme="minorHAnsi"/>
        </w:rPr>
      </w:pPr>
      <w:r w:rsidRPr="006B660C">
        <w:rPr>
          <w:rFonts w:asciiTheme="minorHAnsi" w:hAnsiTheme="minorHAnsi" w:cstheme="minorHAnsi"/>
        </w:rPr>
        <w:t xml:space="preserve">Each year in July, </w:t>
      </w:r>
      <w:r w:rsidR="0070294E">
        <w:rPr>
          <w:rFonts w:asciiTheme="minorHAnsi" w:hAnsiTheme="minorHAnsi" w:cstheme="minorHAnsi"/>
        </w:rPr>
        <w:t xml:space="preserve">DESE publicly releases </w:t>
      </w:r>
      <w:r w:rsidRPr="006B660C">
        <w:rPr>
          <w:rFonts w:asciiTheme="minorHAnsi" w:hAnsiTheme="minorHAnsi" w:cstheme="minorHAnsi"/>
        </w:rPr>
        <w:t xml:space="preserve">Title I, Parts A&amp;D allocations. Districts must </w:t>
      </w:r>
      <w:proofErr w:type="gramStart"/>
      <w:r w:rsidR="00E52640" w:rsidRPr="006B660C">
        <w:rPr>
          <w:rFonts w:asciiTheme="minorHAnsi" w:hAnsiTheme="minorHAnsi" w:cstheme="minorHAnsi"/>
        </w:rPr>
        <w:t>submit an application</w:t>
      </w:r>
      <w:proofErr w:type="gramEnd"/>
      <w:r w:rsidR="00E52640" w:rsidRPr="006B660C">
        <w:rPr>
          <w:rFonts w:asciiTheme="minorHAnsi" w:hAnsiTheme="minorHAnsi" w:cstheme="minorHAnsi"/>
        </w:rPr>
        <w:t xml:space="preserve"> to DESE</w:t>
      </w:r>
      <w:r w:rsidR="0004012E">
        <w:rPr>
          <w:rFonts w:asciiTheme="minorHAnsi" w:hAnsiTheme="minorHAnsi" w:cstheme="minorHAnsi"/>
        </w:rPr>
        <w:t xml:space="preserve"> </w:t>
      </w:r>
      <w:r w:rsidRPr="006B660C">
        <w:rPr>
          <w:rFonts w:asciiTheme="minorHAnsi" w:hAnsiTheme="minorHAnsi" w:cstheme="minorHAnsi"/>
        </w:rPr>
        <w:t>for these funds by mid-September. The Title I, D-2 application for funding is included within the ESSA consolidated grant application</w:t>
      </w:r>
      <w:r w:rsidR="009B4479">
        <w:rPr>
          <w:rFonts w:asciiTheme="minorHAnsi" w:hAnsiTheme="minorHAnsi" w:cstheme="minorHAnsi"/>
        </w:rPr>
        <w:t>. While t</w:t>
      </w:r>
      <w:r w:rsidR="009B4479" w:rsidRPr="006B660C">
        <w:rPr>
          <w:rFonts w:asciiTheme="minorHAnsi" w:hAnsiTheme="minorHAnsi" w:cstheme="minorHAnsi"/>
        </w:rPr>
        <w:t>he application is</w:t>
      </w:r>
      <w:r w:rsidR="009B4479">
        <w:rPr>
          <w:rFonts w:asciiTheme="minorHAnsi" w:hAnsiTheme="minorHAnsi" w:cstheme="minorHAnsi"/>
        </w:rPr>
        <w:t xml:space="preserve"> ultimately</w:t>
      </w:r>
      <w:r w:rsidR="009B4479" w:rsidRPr="006B660C">
        <w:rPr>
          <w:rFonts w:asciiTheme="minorHAnsi" w:hAnsiTheme="minorHAnsi" w:cstheme="minorHAnsi"/>
        </w:rPr>
        <w:t xml:space="preserve"> submitted by the district representative</w:t>
      </w:r>
      <w:r w:rsidR="009B4479">
        <w:rPr>
          <w:rFonts w:asciiTheme="minorHAnsi" w:hAnsiTheme="minorHAnsi" w:cstheme="minorHAnsi"/>
        </w:rPr>
        <w:t xml:space="preserve">, </w:t>
      </w:r>
      <w:r w:rsidR="006E17EB">
        <w:rPr>
          <w:rFonts w:asciiTheme="minorHAnsi" w:hAnsiTheme="minorHAnsi" w:cstheme="minorHAnsi"/>
        </w:rPr>
        <w:t>filling it out</w:t>
      </w:r>
      <w:r w:rsidR="009B4479" w:rsidRPr="006B660C">
        <w:rPr>
          <w:rFonts w:asciiTheme="minorHAnsi" w:hAnsiTheme="minorHAnsi" w:cstheme="minorHAnsi"/>
        </w:rPr>
        <w:t xml:space="preserve"> require</w:t>
      </w:r>
      <w:r w:rsidR="006E17EB">
        <w:rPr>
          <w:rFonts w:asciiTheme="minorHAnsi" w:hAnsiTheme="minorHAnsi" w:cstheme="minorHAnsi"/>
        </w:rPr>
        <w:t>s some</w:t>
      </w:r>
      <w:r w:rsidR="009B4479" w:rsidRPr="006B660C">
        <w:rPr>
          <w:rFonts w:asciiTheme="minorHAnsi" w:hAnsiTheme="minorHAnsi" w:cstheme="minorHAnsi"/>
        </w:rPr>
        <w:t xml:space="preserve"> collaboration with the N/D facility representative</w:t>
      </w:r>
      <w:r w:rsidR="006E17EB">
        <w:rPr>
          <w:rFonts w:asciiTheme="minorHAnsi" w:hAnsiTheme="minorHAnsi" w:cstheme="minorHAnsi"/>
        </w:rPr>
        <w:t>.</w:t>
      </w:r>
      <w:r w:rsidR="009B4479" w:rsidRPr="006B660C">
        <w:rPr>
          <w:rFonts w:asciiTheme="minorHAnsi" w:hAnsiTheme="minorHAnsi" w:cstheme="minorHAnsi"/>
        </w:rPr>
        <w:t xml:space="preserve"> </w:t>
      </w:r>
      <w:r w:rsidRPr="006B660C">
        <w:rPr>
          <w:rFonts w:asciiTheme="minorHAnsi" w:hAnsiTheme="minorHAnsi" w:cstheme="minorHAnsi"/>
        </w:rPr>
        <w:t xml:space="preserve">The Title I, D-2 section of the ESSA consolidated application </w:t>
      </w:r>
      <w:r w:rsidR="003D1337">
        <w:rPr>
          <w:rFonts w:asciiTheme="minorHAnsi" w:hAnsiTheme="minorHAnsi" w:cstheme="minorHAnsi"/>
        </w:rPr>
        <w:t>requires</w:t>
      </w:r>
      <w:r w:rsidR="007375D0">
        <w:rPr>
          <w:rFonts w:asciiTheme="minorHAnsi" w:hAnsiTheme="minorHAnsi" w:cstheme="minorHAnsi"/>
        </w:rPr>
        <w:t xml:space="preserve"> </w:t>
      </w:r>
      <w:r w:rsidRPr="006B660C">
        <w:rPr>
          <w:rFonts w:asciiTheme="minorHAnsi" w:hAnsiTheme="minorHAnsi" w:cstheme="minorHAnsi"/>
        </w:rPr>
        <w:t>the following information.</w:t>
      </w:r>
    </w:p>
    <w:p w14:paraId="663B065E" w14:textId="77777777" w:rsidR="00241F24" w:rsidRPr="00587058" w:rsidRDefault="00241F24" w:rsidP="00DC403B">
      <w:pPr>
        <w:spacing w:after="1"/>
        <w:rPr>
          <w:rFonts w:asciiTheme="minorHAnsi" w:hAnsiTheme="minorHAnsi" w:cstheme="minorHAnsi"/>
          <w:b/>
          <w:bCs/>
        </w:rPr>
      </w:pPr>
    </w:p>
    <w:tbl>
      <w:tblPr>
        <w:tblW w:w="9905" w:type="dxa"/>
        <w:tblInd w:w="-5"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425"/>
        <w:gridCol w:w="6480"/>
      </w:tblGrid>
      <w:tr w:rsidR="00587058" w:rsidRPr="00587058" w14:paraId="616C10B2" w14:textId="77777777" w:rsidTr="0083249D">
        <w:trPr>
          <w:trHeight w:val="276"/>
        </w:trPr>
        <w:tc>
          <w:tcPr>
            <w:tcW w:w="3425" w:type="dxa"/>
            <w:shd w:val="clear" w:color="auto" w:fill="D9D9D9" w:themeFill="background1" w:themeFillShade="D9"/>
          </w:tcPr>
          <w:p w14:paraId="6A67C0E5" w14:textId="2B348776" w:rsidR="00587058" w:rsidRPr="00587058" w:rsidRDefault="00902DE7" w:rsidP="00DC403B">
            <w:pPr>
              <w:spacing w:line="248" w:lineRule="exact"/>
              <w:ind w:left="107"/>
              <w:jc w:val="both"/>
              <w:rPr>
                <w:rFonts w:asciiTheme="minorHAnsi" w:hAnsiTheme="minorHAnsi" w:cstheme="minorHAnsi"/>
                <w:b/>
              </w:rPr>
            </w:pPr>
            <w:r>
              <w:rPr>
                <w:rFonts w:asciiTheme="minorHAnsi" w:hAnsiTheme="minorHAnsi" w:cstheme="minorHAnsi"/>
                <w:b/>
              </w:rPr>
              <w:t xml:space="preserve">Application </w:t>
            </w:r>
            <w:r w:rsidR="00794548">
              <w:rPr>
                <w:rFonts w:asciiTheme="minorHAnsi" w:hAnsiTheme="minorHAnsi" w:cstheme="minorHAnsi"/>
                <w:b/>
              </w:rPr>
              <w:t>Section</w:t>
            </w:r>
          </w:p>
        </w:tc>
        <w:tc>
          <w:tcPr>
            <w:tcW w:w="6480" w:type="dxa"/>
            <w:shd w:val="clear" w:color="auto" w:fill="D9D9D9" w:themeFill="background1" w:themeFillShade="D9"/>
          </w:tcPr>
          <w:p w14:paraId="295FF5F9" w14:textId="59D2EC51" w:rsidR="00587058" w:rsidRPr="00587058" w:rsidRDefault="00902DE7" w:rsidP="00DC403B">
            <w:pPr>
              <w:spacing w:line="248" w:lineRule="exact"/>
              <w:ind w:right="1933"/>
              <w:rPr>
                <w:rFonts w:asciiTheme="minorHAnsi" w:hAnsiTheme="minorHAnsi" w:cstheme="minorHAnsi"/>
                <w:b/>
              </w:rPr>
            </w:pPr>
            <w:r>
              <w:rPr>
                <w:rFonts w:asciiTheme="minorHAnsi" w:hAnsiTheme="minorHAnsi" w:cstheme="minorHAnsi"/>
                <w:b/>
              </w:rPr>
              <w:t xml:space="preserve">           </w:t>
            </w:r>
            <w:r w:rsidR="00783214">
              <w:rPr>
                <w:rFonts w:asciiTheme="minorHAnsi" w:hAnsiTheme="minorHAnsi" w:cstheme="minorHAnsi"/>
                <w:b/>
              </w:rPr>
              <w:t xml:space="preserve">  </w:t>
            </w:r>
            <w:r w:rsidR="00794548">
              <w:rPr>
                <w:rFonts w:asciiTheme="minorHAnsi" w:hAnsiTheme="minorHAnsi" w:cstheme="minorHAnsi"/>
                <w:b/>
              </w:rPr>
              <w:t>Required Information</w:t>
            </w:r>
          </w:p>
        </w:tc>
      </w:tr>
      <w:tr w:rsidR="00587058" w:rsidRPr="00587058" w14:paraId="52251294" w14:textId="77777777" w:rsidTr="0083249D">
        <w:trPr>
          <w:trHeight w:val="650"/>
        </w:trPr>
        <w:tc>
          <w:tcPr>
            <w:tcW w:w="3425" w:type="dxa"/>
          </w:tcPr>
          <w:p w14:paraId="09C96232" w14:textId="3478156D" w:rsidR="00587058" w:rsidRPr="00587058" w:rsidRDefault="00596A54" w:rsidP="00783214">
            <w:pPr>
              <w:ind w:right="1072"/>
              <w:rPr>
                <w:rFonts w:asciiTheme="minorHAnsi" w:hAnsiTheme="minorHAnsi" w:cstheme="minorHAnsi"/>
              </w:rPr>
            </w:pPr>
            <w:r w:rsidRPr="00596A54">
              <w:rPr>
                <w:rFonts w:asciiTheme="minorHAnsi" w:hAnsiTheme="minorHAnsi" w:cstheme="minorHAnsi"/>
              </w:rPr>
              <w:t>Program Details</w:t>
            </w:r>
          </w:p>
        </w:tc>
        <w:tc>
          <w:tcPr>
            <w:tcW w:w="6480" w:type="dxa"/>
          </w:tcPr>
          <w:p w14:paraId="38A523E9" w14:textId="77777777" w:rsidR="005C4371" w:rsidRDefault="005C4371" w:rsidP="00FA2C4A">
            <w:pPr>
              <w:numPr>
                <w:ilvl w:val="0"/>
                <w:numId w:val="2"/>
              </w:numPr>
            </w:pPr>
            <w:r>
              <w:t>N/D facility contact information</w:t>
            </w:r>
          </w:p>
          <w:p w14:paraId="325F659B" w14:textId="77777777" w:rsidR="005C4371" w:rsidRDefault="005C4371" w:rsidP="00FA2C4A">
            <w:pPr>
              <w:numPr>
                <w:ilvl w:val="0"/>
                <w:numId w:val="2"/>
              </w:numPr>
            </w:pPr>
            <w:r>
              <w:t>Description of the N/D facility, including characteristics of the children and youth served</w:t>
            </w:r>
          </w:p>
          <w:p w14:paraId="10C9BB7C" w14:textId="77777777" w:rsidR="005C4371" w:rsidRDefault="005C4371" w:rsidP="00FA2C4A">
            <w:pPr>
              <w:numPr>
                <w:ilvl w:val="0"/>
                <w:numId w:val="2"/>
              </w:numPr>
            </w:pPr>
            <w:r>
              <w:t>Cost breakdown of Title I, D-2 activities</w:t>
            </w:r>
          </w:p>
          <w:p w14:paraId="2D8493C1" w14:textId="77777777" w:rsidR="00587058" w:rsidRPr="003E0629" w:rsidRDefault="00587058" w:rsidP="00DC403B">
            <w:pPr>
              <w:ind w:left="1080"/>
              <w:rPr>
                <w:sz w:val="10"/>
                <w:szCs w:val="10"/>
              </w:rPr>
            </w:pPr>
          </w:p>
        </w:tc>
      </w:tr>
      <w:tr w:rsidR="00587058" w:rsidRPr="00587058" w14:paraId="0DC3F0E3" w14:textId="77777777" w:rsidTr="0083249D">
        <w:trPr>
          <w:trHeight w:val="2338"/>
        </w:trPr>
        <w:tc>
          <w:tcPr>
            <w:tcW w:w="3425" w:type="dxa"/>
          </w:tcPr>
          <w:p w14:paraId="65CC0FAB" w14:textId="1B00C7A0" w:rsidR="00587058" w:rsidRPr="00587058" w:rsidRDefault="002B2DFD" w:rsidP="00DC403B">
            <w:pPr>
              <w:rPr>
                <w:rFonts w:asciiTheme="minorHAnsi" w:hAnsiTheme="minorHAnsi" w:cstheme="minorHAnsi"/>
              </w:rPr>
            </w:pPr>
            <w:r w:rsidRPr="002B2DFD">
              <w:rPr>
                <w:rFonts w:asciiTheme="minorHAnsi" w:hAnsiTheme="minorHAnsi" w:cstheme="minorHAnsi"/>
              </w:rPr>
              <w:t>Program Coordination</w:t>
            </w:r>
          </w:p>
        </w:tc>
        <w:tc>
          <w:tcPr>
            <w:tcW w:w="6480" w:type="dxa"/>
          </w:tcPr>
          <w:p w14:paraId="606CFE0A" w14:textId="77777777" w:rsidR="0083249D" w:rsidRDefault="0083249D" w:rsidP="00FA2C4A">
            <w:pPr>
              <w:numPr>
                <w:ilvl w:val="0"/>
                <w:numId w:val="2"/>
              </w:numPr>
            </w:pPr>
            <w:r>
              <w:t>Description of how the Title I, D-2 program will be coordinated with other Federal, State, and local programs</w:t>
            </w:r>
          </w:p>
          <w:p w14:paraId="505A9CD9" w14:textId="77777777" w:rsidR="0083249D" w:rsidRDefault="0083249D" w:rsidP="00FA2C4A">
            <w:pPr>
              <w:numPr>
                <w:ilvl w:val="0"/>
                <w:numId w:val="2"/>
              </w:numPr>
            </w:pPr>
            <w:r>
              <w:t>Description of how participating schools will coordinate with facilities to ensure that children and youth are enrolled in an education program that is comparable to the one in the local school they would otherwise attend</w:t>
            </w:r>
          </w:p>
          <w:p w14:paraId="718EC90D" w14:textId="37F4161F" w:rsidR="00587058" w:rsidRPr="00587058" w:rsidRDefault="0083249D" w:rsidP="00FA2C4A">
            <w:pPr>
              <w:numPr>
                <w:ilvl w:val="0"/>
                <w:numId w:val="2"/>
              </w:numPr>
            </w:pPr>
            <w:r>
              <w:t>Description of how the program will involve parents and family members, as appropriate</w:t>
            </w:r>
          </w:p>
        </w:tc>
      </w:tr>
      <w:tr w:rsidR="00587058" w:rsidRPr="00587058" w14:paraId="614A320F" w14:textId="77777777" w:rsidTr="0083249D">
        <w:trPr>
          <w:trHeight w:val="833"/>
        </w:trPr>
        <w:tc>
          <w:tcPr>
            <w:tcW w:w="3425" w:type="dxa"/>
          </w:tcPr>
          <w:p w14:paraId="30FCDD01" w14:textId="6F76E51D" w:rsidR="00587058" w:rsidRPr="00587058" w:rsidRDefault="00A3394F" w:rsidP="00783214">
            <w:pPr>
              <w:ind w:right="233"/>
              <w:rPr>
                <w:rFonts w:asciiTheme="minorHAnsi" w:hAnsiTheme="minorHAnsi" w:cstheme="minorHAnsi"/>
              </w:rPr>
            </w:pPr>
            <w:r w:rsidRPr="00A3394F">
              <w:rPr>
                <w:rFonts w:asciiTheme="minorHAnsi" w:hAnsiTheme="minorHAnsi" w:cstheme="minorHAnsi"/>
              </w:rPr>
              <w:t>Transitions from Facilities back to Public Schools</w:t>
            </w:r>
          </w:p>
        </w:tc>
        <w:tc>
          <w:tcPr>
            <w:tcW w:w="6480" w:type="dxa"/>
          </w:tcPr>
          <w:p w14:paraId="32079552" w14:textId="77777777" w:rsidR="001E64A6" w:rsidRPr="001E64A6" w:rsidRDefault="001E64A6" w:rsidP="00FA2C4A">
            <w:pPr>
              <w:pStyle w:val="ListParagraph"/>
              <w:numPr>
                <w:ilvl w:val="0"/>
                <w:numId w:val="2"/>
              </w:numPr>
            </w:pPr>
            <w:r w:rsidRPr="001E64A6">
              <w:t>Description of how the district will help to facilitate a successful transition for children and youth returning to public schools from the N/D facility</w:t>
            </w:r>
          </w:p>
          <w:p w14:paraId="6FB72D1A" w14:textId="2C5ACA17" w:rsidR="00587058" w:rsidRPr="003E0629" w:rsidRDefault="00587058" w:rsidP="00DC403B">
            <w:pPr>
              <w:ind w:left="1080"/>
              <w:rPr>
                <w:sz w:val="12"/>
                <w:szCs w:val="12"/>
              </w:rPr>
            </w:pPr>
          </w:p>
        </w:tc>
      </w:tr>
      <w:tr w:rsidR="005C4371" w:rsidRPr="00587058" w14:paraId="3F3BAA41" w14:textId="77777777" w:rsidTr="0083249D">
        <w:trPr>
          <w:trHeight w:val="833"/>
        </w:trPr>
        <w:tc>
          <w:tcPr>
            <w:tcW w:w="3425" w:type="dxa"/>
          </w:tcPr>
          <w:p w14:paraId="69015B2F" w14:textId="31F55912" w:rsidR="005C4371" w:rsidRPr="00587058" w:rsidRDefault="00485845" w:rsidP="00783214">
            <w:pPr>
              <w:ind w:right="233"/>
              <w:rPr>
                <w:rFonts w:asciiTheme="minorHAnsi" w:hAnsiTheme="minorHAnsi" w:cstheme="minorHAnsi"/>
              </w:rPr>
            </w:pPr>
            <w:r w:rsidRPr="00485845">
              <w:rPr>
                <w:rFonts w:asciiTheme="minorHAnsi" w:hAnsiTheme="minorHAnsi" w:cstheme="minorHAnsi"/>
              </w:rPr>
              <w:t>Monitoring and Program Evaluation</w:t>
            </w:r>
          </w:p>
        </w:tc>
        <w:tc>
          <w:tcPr>
            <w:tcW w:w="6480" w:type="dxa"/>
          </w:tcPr>
          <w:p w14:paraId="53BD28B8" w14:textId="77777777" w:rsidR="001E5ACA" w:rsidRDefault="001E5ACA" w:rsidP="00FA2C4A">
            <w:pPr>
              <w:numPr>
                <w:ilvl w:val="0"/>
                <w:numId w:val="2"/>
              </w:numPr>
            </w:pPr>
            <w:r>
              <w:t>Description of the district’s plan to monitor the facility to ensure that funds are spent in accordance with the formal agreement and grant regulations</w:t>
            </w:r>
          </w:p>
          <w:p w14:paraId="7414061E" w14:textId="18224A3D" w:rsidR="005C4371" w:rsidRPr="00587058" w:rsidRDefault="001E5ACA" w:rsidP="002F466D">
            <w:pPr>
              <w:numPr>
                <w:ilvl w:val="0"/>
                <w:numId w:val="2"/>
              </w:numPr>
            </w:pPr>
            <w:r>
              <w:t>Description of the district’s plan to evaluate the impact of Title I, D-2 activities on the children and youth in the facility</w:t>
            </w:r>
          </w:p>
        </w:tc>
      </w:tr>
      <w:tr w:rsidR="005C4371" w:rsidRPr="00587058" w14:paraId="43D93700" w14:textId="77777777" w:rsidTr="0083249D">
        <w:trPr>
          <w:trHeight w:val="833"/>
        </w:trPr>
        <w:tc>
          <w:tcPr>
            <w:tcW w:w="3425" w:type="dxa"/>
          </w:tcPr>
          <w:p w14:paraId="06F46F4C" w14:textId="234E344B" w:rsidR="005C4371" w:rsidRPr="00587058" w:rsidRDefault="00C41504" w:rsidP="00783214">
            <w:pPr>
              <w:ind w:right="233"/>
              <w:rPr>
                <w:rFonts w:asciiTheme="minorHAnsi" w:hAnsiTheme="minorHAnsi" w:cstheme="minorHAnsi"/>
              </w:rPr>
            </w:pPr>
            <w:r w:rsidRPr="00C41504">
              <w:rPr>
                <w:rFonts w:asciiTheme="minorHAnsi" w:hAnsiTheme="minorHAnsi" w:cstheme="minorHAnsi"/>
              </w:rPr>
              <w:t>Other Required Documents uploaded with the application</w:t>
            </w:r>
          </w:p>
        </w:tc>
        <w:tc>
          <w:tcPr>
            <w:tcW w:w="6480" w:type="dxa"/>
          </w:tcPr>
          <w:p w14:paraId="522625AA" w14:textId="75E98118" w:rsidR="001549A3" w:rsidRDefault="00902DE7" w:rsidP="001549A3">
            <w:pPr>
              <w:numPr>
                <w:ilvl w:val="0"/>
                <w:numId w:val="2"/>
              </w:numPr>
            </w:pPr>
            <w:r>
              <w:t>Formal Agreement</w:t>
            </w:r>
            <w:r w:rsidR="00A04A81">
              <w:t>(s)</w:t>
            </w:r>
          </w:p>
          <w:p w14:paraId="3DEE71BF" w14:textId="77777777" w:rsidR="00B215AC" w:rsidRPr="00B215AC" w:rsidRDefault="001549A3" w:rsidP="00B215AC">
            <w:pPr>
              <w:numPr>
                <w:ilvl w:val="0"/>
                <w:numId w:val="2"/>
              </w:numPr>
            </w:pPr>
            <w:r w:rsidRPr="0019082A">
              <w:rPr>
                <w:color w:val="0E101A"/>
              </w:rPr>
              <w:t>Official (legal)</w:t>
            </w:r>
            <w:r w:rsidRPr="0019082A">
              <w:rPr>
                <w:b/>
                <w:bCs/>
                <w:color w:val="0E101A"/>
              </w:rPr>
              <w:t> </w:t>
            </w:r>
            <w:r w:rsidRPr="001549A3">
              <w:rPr>
                <w:color w:val="0E101A"/>
              </w:rPr>
              <w:t xml:space="preserve">documentation for each facility </w:t>
            </w:r>
            <w:r w:rsidRPr="001549A3">
              <w:t>that shows that the facility meets the definition of a neglected or delinquent facility found in ESEA section 1432. The documentation must</w:t>
            </w:r>
            <w:r w:rsidRPr="001549A3">
              <w:rPr>
                <w:color w:val="0E101A"/>
              </w:rPr>
              <w:t xml:space="preserve"> address the following components:</w:t>
            </w:r>
          </w:p>
          <w:p w14:paraId="18303302" w14:textId="77777777" w:rsidR="00B215AC" w:rsidRDefault="001549A3" w:rsidP="001024CC">
            <w:pPr>
              <w:numPr>
                <w:ilvl w:val="1"/>
                <w:numId w:val="2"/>
              </w:numPr>
            </w:pPr>
            <w:r w:rsidRPr="00B215AC">
              <w:rPr>
                <w:rFonts w:eastAsia="Times New Roman"/>
                <w:color w:val="0E101A"/>
              </w:rPr>
              <w:t>The official name of the facility </w:t>
            </w:r>
          </w:p>
          <w:p w14:paraId="115EB7D8" w14:textId="77777777" w:rsidR="00B215AC" w:rsidRDefault="001549A3" w:rsidP="001024CC">
            <w:pPr>
              <w:numPr>
                <w:ilvl w:val="1"/>
                <w:numId w:val="2"/>
              </w:numPr>
            </w:pPr>
            <w:r w:rsidRPr="00B215AC">
              <w:rPr>
                <w:rFonts w:eastAsia="Times New Roman"/>
                <w:color w:val="0E101A"/>
              </w:rPr>
              <w:t>Address of facility </w:t>
            </w:r>
          </w:p>
          <w:p w14:paraId="22B6A703" w14:textId="77777777" w:rsidR="00B215AC" w:rsidRDefault="001549A3" w:rsidP="001024CC">
            <w:pPr>
              <w:numPr>
                <w:ilvl w:val="1"/>
                <w:numId w:val="2"/>
              </w:numPr>
            </w:pPr>
            <w:r w:rsidRPr="00B215AC">
              <w:rPr>
                <w:rFonts w:eastAsia="Times New Roman"/>
                <w:color w:val="0E101A"/>
              </w:rPr>
              <w:t>Executive Director name </w:t>
            </w:r>
          </w:p>
          <w:p w14:paraId="6BEAC9BF" w14:textId="294A893E" w:rsidR="00B215AC" w:rsidRDefault="001549A3" w:rsidP="001024CC">
            <w:pPr>
              <w:numPr>
                <w:ilvl w:val="1"/>
                <w:numId w:val="2"/>
              </w:numPr>
            </w:pPr>
            <w:r w:rsidRPr="00B215AC">
              <w:rPr>
                <w:rFonts w:eastAsia="Times New Roman"/>
                <w:color w:val="0E101A"/>
              </w:rPr>
              <w:t>Date organization was founded </w:t>
            </w:r>
          </w:p>
          <w:p w14:paraId="2C3A30DF" w14:textId="77777777" w:rsidR="00B215AC" w:rsidRPr="00B215AC" w:rsidRDefault="001549A3" w:rsidP="001024CC">
            <w:pPr>
              <w:numPr>
                <w:ilvl w:val="1"/>
                <w:numId w:val="2"/>
              </w:numPr>
            </w:pPr>
            <w:r w:rsidRPr="00B215AC">
              <w:rPr>
                <w:rFonts w:eastAsia="Times New Roman"/>
                <w:color w:val="0E101A"/>
              </w:rPr>
              <w:t>Description of the population served</w:t>
            </w:r>
          </w:p>
          <w:p w14:paraId="0C131DFF" w14:textId="171F70E1" w:rsidR="001549A3" w:rsidRPr="00B215AC" w:rsidRDefault="001549A3" w:rsidP="001024CC">
            <w:pPr>
              <w:numPr>
                <w:ilvl w:val="1"/>
                <w:numId w:val="2"/>
              </w:numPr>
            </w:pPr>
            <w:r w:rsidRPr="00B215AC">
              <w:rPr>
                <w:rFonts w:eastAsia="Times New Roman"/>
                <w:color w:val="0E101A"/>
              </w:rPr>
              <w:t>Description of the services provided</w:t>
            </w:r>
          </w:p>
          <w:p w14:paraId="6A5E6F1A" w14:textId="100F400B" w:rsidR="005C4371" w:rsidRPr="003E0629" w:rsidRDefault="001549A3" w:rsidP="003E0629">
            <w:pPr>
              <w:ind w:left="1080"/>
              <w:rPr>
                <w:rFonts w:eastAsia="Times New Roman"/>
                <w:color w:val="0E101A"/>
              </w:rPr>
            </w:pPr>
            <w:r w:rsidRPr="001549A3">
              <w:rPr>
                <w:color w:val="0E101A"/>
              </w:rPr>
              <w:t>This documentation must be official and may include Articles of Organization, Certificate of Organization, Agency Charter, a Board Resolution, or filings with licensing or oversight agencies, or the Secretary of State. The facility may submit multiple documents to satisfy these requirements, but in no case will a letter satisfy a requirement.</w:t>
            </w:r>
            <w:r>
              <w:rPr>
                <w:color w:val="0E101A"/>
              </w:rPr>
              <w:t xml:space="preserve"> </w:t>
            </w:r>
          </w:p>
        </w:tc>
      </w:tr>
    </w:tbl>
    <w:p w14:paraId="1F4D43BE" w14:textId="4FB9098D" w:rsidR="00A6490D" w:rsidRDefault="00E2061A" w:rsidP="00DC403B">
      <w:pPr>
        <w:pStyle w:val="Heading1"/>
        <w:spacing w:before="0"/>
        <w:ind w:left="0"/>
        <w:rPr>
          <w:b/>
          <w:bCs/>
          <w:color w:val="1F497D" w:themeColor="text2"/>
          <w:sz w:val="28"/>
          <w:szCs w:val="28"/>
        </w:rPr>
      </w:pPr>
      <w:bookmarkStart w:id="11" w:name="_Toc133221639"/>
      <w:r w:rsidRPr="00246024">
        <w:rPr>
          <w:b/>
          <w:bCs/>
          <w:color w:val="1F497D" w:themeColor="text2"/>
          <w:sz w:val="28"/>
          <w:szCs w:val="28"/>
        </w:rPr>
        <w:lastRenderedPageBreak/>
        <w:t>Year-at-a-Glance Calendar</w:t>
      </w:r>
      <w:bookmarkEnd w:id="11"/>
    </w:p>
    <w:p w14:paraId="48DC6462" w14:textId="77777777" w:rsidR="00483EDF" w:rsidRPr="00483EDF" w:rsidRDefault="00483EDF" w:rsidP="00DC403B">
      <w:pPr>
        <w:pStyle w:val="Heading1"/>
        <w:spacing w:before="0"/>
        <w:ind w:left="0"/>
        <w:rPr>
          <w:b/>
          <w:bCs/>
          <w:color w:val="1F497D" w:themeColor="text2"/>
          <w:sz w:val="12"/>
          <w:szCs w:val="12"/>
        </w:rPr>
      </w:pPr>
    </w:p>
    <w:p w14:paraId="7BAF51CB" w14:textId="76C63B24" w:rsidR="00E920EB" w:rsidRDefault="008A474C" w:rsidP="00DC403B">
      <w:pPr>
        <w:spacing w:after="240"/>
        <w:rPr>
          <w:rFonts w:asciiTheme="minorHAnsi" w:hAnsiTheme="minorHAnsi" w:cstheme="minorHAnsi"/>
        </w:rPr>
      </w:pPr>
      <w:r>
        <w:rPr>
          <w:rFonts w:asciiTheme="minorHAnsi" w:hAnsiTheme="minorHAnsi" w:cstheme="minorHAnsi"/>
        </w:rPr>
        <w:t xml:space="preserve">Use this calendar to keep track of important </w:t>
      </w:r>
      <w:r w:rsidR="00C57975">
        <w:rPr>
          <w:rFonts w:asciiTheme="minorHAnsi" w:hAnsiTheme="minorHAnsi" w:cstheme="minorHAnsi"/>
        </w:rPr>
        <w:t>Title I</w:t>
      </w:r>
      <w:r w:rsidR="00D16BAF">
        <w:rPr>
          <w:rFonts w:asciiTheme="minorHAnsi" w:hAnsiTheme="minorHAnsi" w:cstheme="minorHAnsi"/>
        </w:rPr>
        <w:t xml:space="preserve">, </w:t>
      </w:r>
      <w:r w:rsidR="00C57975">
        <w:rPr>
          <w:rFonts w:asciiTheme="minorHAnsi" w:hAnsiTheme="minorHAnsi" w:cstheme="minorHAnsi"/>
        </w:rPr>
        <w:t xml:space="preserve">D-2 </w:t>
      </w:r>
      <w:r w:rsidR="00FE56A5">
        <w:rPr>
          <w:rFonts w:asciiTheme="minorHAnsi" w:hAnsiTheme="minorHAnsi" w:cstheme="minorHAnsi"/>
        </w:rPr>
        <w:t>timelines</w:t>
      </w:r>
      <w:r w:rsidR="00483EDF">
        <w:rPr>
          <w:rFonts w:asciiTheme="minorHAnsi" w:hAnsiTheme="minorHAnsi" w:cstheme="minorHAnsi"/>
        </w:rPr>
        <w:t xml:space="preserve"> </w:t>
      </w:r>
      <w:r w:rsidR="00685FC3">
        <w:rPr>
          <w:rFonts w:asciiTheme="minorHAnsi" w:hAnsiTheme="minorHAnsi" w:cstheme="minorHAnsi"/>
        </w:rPr>
        <w:t xml:space="preserve">and ensure </w:t>
      </w:r>
      <w:r w:rsidR="005D1308">
        <w:rPr>
          <w:rFonts w:asciiTheme="minorHAnsi" w:hAnsiTheme="minorHAnsi" w:cstheme="minorHAnsi"/>
        </w:rPr>
        <w:t>that you</w:t>
      </w:r>
      <w:r w:rsidR="00AA4A5C">
        <w:rPr>
          <w:rFonts w:asciiTheme="minorHAnsi" w:hAnsiTheme="minorHAnsi" w:cstheme="minorHAnsi"/>
        </w:rPr>
        <w:t xml:space="preserve">r district </w:t>
      </w:r>
      <w:r w:rsidR="00D55831">
        <w:rPr>
          <w:rFonts w:asciiTheme="minorHAnsi" w:hAnsiTheme="minorHAnsi" w:cstheme="minorHAnsi"/>
        </w:rPr>
        <w:t>complies</w:t>
      </w:r>
      <w:r w:rsidR="005D1308">
        <w:rPr>
          <w:rFonts w:asciiTheme="minorHAnsi" w:hAnsiTheme="minorHAnsi" w:cstheme="minorHAnsi"/>
        </w:rPr>
        <w:t xml:space="preserve"> with the annual requirements around Title I</w:t>
      </w:r>
      <w:r w:rsidR="00D16BAF">
        <w:rPr>
          <w:rFonts w:asciiTheme="minorHAnsi" w:hAnsiTheme="minorHAnsi" w:cstheme="minorHAnsi"/>
        </w:rPr>
        <w:t xml:space="preserve">, </w:t>
      </w:r>
      <w:r w:rsidR="005D1308">
        <w:rPr>
          <w:rFonts w:asciiTheme="minorHAnsi" w:hAnsiTheme="minorHAnsi" w:cstheme="minorHAnsi"/>
        </w:rPr>
        <w:t xml:space="preserve">D-2 funds. </w:t>
      </w:r>
      <w:r w:rsidR="00547835">
        <w:rPr>
          <w:rFonts w:asciiTheme="minorHAnsi" w:hAnsiTheme="minorHAnsi" w:cstheme="minorHAnsi"/>
        </w:rPr>
        <w:t xml:space="preserve">Completing the actions listed below in the months where they are listed </w:t>
      </w:r>
      <w:r w:rsidR="0075121F">
        <w:rPr>
          <w:rFonts w:asciiTheme="minorHAnsi" w:hAnsiTheme="minorHAnsi" w:cstheme="minorHAnsi"/>
        </w:rPr>
        <w:t>will</w:t>
      </w:r>
      <w:r w:rsidR="00AA4A5C">
        <w:rPr>
          <w:rFonts w:asciiTheme="minorHAnsi" w:hAnsiTheme="minorHAnsi" w:cstheme="minorHAnsi"/>
        </w:rPr>
        <w:t xml:space="preserve"> help</w:t>
      </w:r>
      <w:r w:rsidR="00547835">
        <w:rPr>
          <w:rFonts w:asciiTheme="minorHAnsi" w:hAnsiTheme="minorHAnsi" w:cstheme="minorHAnsi"/>
        </w:rPr>
        <w:t xml:space="preserve"> reduce issues around reporting, data collection, monitoring, and other elements of </w:t>
      </w:r>
      <w:r w:rsidR="00AA4A5C">
        <w:rPr>
          <w:rFonts w:asciiTheme="minorHAnsi" w:hAnsiTheme="minorHAnsi" w:cstheme="minorHAnsi"/>
        </w:rPr>
        <w:t>the Title I</w:t>
      </w:r>
      <w:r w:rsidR="006D59C4">
        <w:rPr>
          <w:rFonts w:asciiTheme="minorHAnsi" w:hAnsiTheme="minorHAnsi" w:cstheme="minorHAnsi"/>
        </w:rPr>
        <w:t xml:space="preserve">, </w:t>
      </w:r>
      <w:r w:rsidR="00AA4A5C">
        <w:rPr>
          <w:rFonts w:asciiTheme="minorHAnsi" w:hAnsiTheme="minorHAnsi" w:cstheme="minorHAnsi"/>
        </w:rPr>
        <w:t>D-2 program.</w:t>
      </w:r>
      <w:r w:rsidR="00B57E8B">
        <w:rPr>
          <w:rFonts w:asciiTheme="minorHAnsi" w:hAnsiTheme="minorHAnsi" w:cstheme="minorHAnsi"/>
        </w:rPr>
        <w:t xml:space="preserve"> Meeting deadlines will also ensure there are no funding delays or allocation errors.</w:t>
      </w:r>
    </w:p>
    <w:p w14:paraId="603C6130" w14:textId="1C7E7F71" w:rsidR="008A474C" w:rsidRDefault="008A474C" w:rsidP="008A474C">
      <w:pPr>
        <w:rPr>
          <w:b/>
          <w:bCs/>
        </w:rPr>
      </w:pPr>
      <w:r w:rsidRPr="006161C4">
        <w:rPr>
          <w:b/>
          <w:bCs/>
        </w:rPr>
        <w:t xml:space="preserve">Year-at-a-Glance: August </w:t>
      </w:r>
      <w:r>
        <w:rPr>
          <w:b/>
          <w:bCs/>
        </w:rPr>
        <w:t>–</w:t>
      </w:r>
      <w:r w:rsidRPr="006161C4">
        <w:rPr>
          <w:b/>
          <w:bCs/>
        </w:rPr>
        <w:t xml:space="preserve"> November</w:t>
      </w:r>
      <w:r>
        <w:rPr>
          <w:b/>
          <w:bCs/>
        </w:rPr>
        <w:br/>
      </w:r>
    </w:p>
    <w:tbl>
      <w:tblPr>
        <w:tblStyle w:val="TableGrid"/>
        <w:tblW w:w="0" w:type="auto"/>
        <w:tblLook w:val="00A0" w:firstRow="1" w:lastRow="0" w:firstColumn="1" w:lastColumn="0" w:noHBand="0" w:noVBand="0"/>
      </w:tblPr>
      <w:tblGrid>
        <w:gridCol w:w="2337"/>
        <w:gridCol w:w="2337"/>
        <w:gridCol w:w="2338"/>
        <w:gridCol w:w="2338"/>
      </w:tblGrid>
      <w:tr w:rsidR="004A7D2B" w:rsidRPr="004A7D2B" w14:paraId="22289AB6" w14:textId="77777777" w:rsidTr="005D1308">
        <w:tc>
          <w:tcPr>
            <w:tcW w:w="2337" w:type="dxa"/>
            <w:shd w:val="clear" w:color="auto" w:fill="DBE5F1" w:themeFill="accent1" w:themeFillTint="33"/>
          </w:tcPr>
          <w:p w14:paraId="326D8A1B"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August</w:t>
            </w:r>
          </w:p>
        </w:tc>
        <w:tc>
          <w:tcPr>
            <w:tcW w:w="2337" w:type="dxa"/>
          </w:tcPr>
          <w:p w14:paraId="2F57F930"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September</w:t>
            </w:r>
          </w:p>
        </w:tc>
        <w:tc>
          <w:tcPr>
            <w:tcW w:w="2338" w:type="dxa"/>
            <w:shd w:val="clear" w:color="auto" w:fill="DBE5F1" w:themeFill="accent1" w:themeFillTint="33"/>
          </w:tcPr>
          <w:p w14:paraId="5CFF75EF"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October</w:t>
            </w:r>
          </w:p>
        </w:tc>
        <w:tc>
          <w:tcPr>
            <w:tcW w:w="2338" w:type="dxa"/>
          </w:tcPr>
          <w:p w14:paraId="4F5C4750"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November</w:t>
            </w:r>
          </w:p>
        </w:tc>
      </w:tr>
      <w:tr w:rsidR="004A7D2B" w:rsidRPr="004A7D2B" w14:paraId="5F8864D7" w14:textId="77777777" w:rsidTr="005D1308">
        <w:trPr>
          <w:trHeight w:val="4601"/>
        </w:trPr>
        <w:tc>
          <w:tcPr>
            <w:tcW w:w="2337" w:type="dxa"/>
            <w:shd w:val="clear" w:color="auto" w:fill="DBE5F1" w:themeFill="accent1" w:themeFillTint="33"/>
          </w:tcPr>
          <w:p w14:paraId="7010CA93" w14:textId="77777777" w:rsidR="004A7D2B" w:rsidRPr="004A7D2B" w:rsidRDefault="004A7D2B" w:rsidP="00FA2C4A">
            <w:pPr>
              <w:pStyle w:val="ListParagraph"/>
              <w:numPr>
                <w:ilvl w:val="0"/>
                <w:numId w:val="15"/>
              </w:numPr>
              <w:rPr>
                <w:rFonts w:asciiTheme="minorHAnsi" w:eastAsia="Times New Roman" w:hAnsiTheme="minorHAnsi" w:cstheme="minorHAnsi"/>
                <w:b/>
                <w:bCs/>
                <w:color w:val="212121"/>
              </w:rPr>
            </w:pPr>
            <w:r w:rsidRPr="004A7D2B">
              <w:rPr>
                <w:rFonts w:asciiTheme="minorHAnsi" w:eastAsia="Times New Roman" w:hAnsiTheme="minorHAnsi" w:cstheme="minorHAnsi"/>
                <w:color w:val="212121"/>
              </w:rPr>
              <w:t>District and N/D facility finalize Formal Agreement and both parties sign it</w:t>
            </w:r>
          </w:p>
          <w:p w14:paraId="4F385009" w14:textId="77777777" w:rsidR="004A7D2B" w:rsidRPr="004A7D2B" w:rsidRDefault="004A7D2B" w:rsidP="00FA2C4A">
            <w:pPr>
              <w:pStyle w:val="ListParagraph"/>
              <w:numPr>
                <w:ilvl w:val="0"/>
                <w:numId w:val="15"/>
              </w:numPr>
              <w:rPr>
                <w:rFonts w:asciiTheme="minorHAnsi" w:eastAsia="Times New Roman" w:hAnsiTheme="minorHAnsi" w:cstheme="minorHAnsi"/>
                <w:color w:val="212121"/>
              </w:rPr>
            </w:pPr>
            <w:r w:rsidRPr="004A7D2B">
              <w:rPr>
                <w:rFonts w:asciiTheme="minorHAnsi" w:eastAsia="Times New Roman" w:hAnsiTheme="minorHAnsi" w:cstheme="minorHAnsi"/>
                <w:color w:val="212121"/>
              </w:rPr>
              <w:t>District collects Agency Charter from N/D facility to ensure it meets the definition of a N/D facility</w:t>
            </w:r>
          </w:p>
          <w:p w14:paraId="4EF67A0A" w14:textId="77777777" w:rsidR="004A7D2B" w:rsidRPr="008C1EBF" w:rsidRDefault="004A7D2B" w:rsidP="00FA2C4A">
            <w:pPr>
              <w:pStyle w:val="ListParagraph"/>
              <w:numPr>
                <w:ilvl w:val="0"/>
                <w:numId w:val="15"/>
              </w:numPr>
              <w:rPr>
                <w:rFonts w:asciiTheme="minorHAnsi" w:eastAsia="Times New Roman" w:hAnsiTheme="minorHAnsi" w:cstheme="minorHAnsi"/>
                <w:b/>
                <w:bCs/>
                <w:color w:val="212121"/>
              </w:rPr>
            </w:pPr>
            <w:r w:rsidRPr="004A7D2B">
              <w:rPr>
                <w:rFonts w:asciiTheme="minorHAnsi" w:eastAsia="Times New Roman" w:hAnsiTheme="minorHAnsi" w:cstheme="minorHAnsi"/>
                <w:color w:val="212121"/>
              </w:rPr>
              <w:t>District attends DESE webinars on Title I, D-</w:t>
            </w:r>
            <w:proofErr w:type="gramStart"/>
            <w:r w:rsidRPr="004A7D2B">
              <w:rPr>
                <w:rFonts w:asciiTheme="minorHAnsi" w:eastAsia="Times New Roman" w:hAnsiTheme="minorHAnsi" w:cstheme="minorHAnsi"/>
                <w:color w:val="212121"/>
              </w:rPr>
              <w:t>2</w:t>
            </w:r>
            <w:proofErr w:type="gramEnd"/>
            <w:r w:rsidRPr="004A7D2B">
              <w:rPr>
                <w:rFonts w:asciiTheme="minorHAnsi" w:eastAsia="Times New Roman" w:hAnsiTheme="minorHAnsi" w:cstheme="minorHAnsi"/>
                <w:color w:val="212121"/>
              </w:rPr>
              <w:t xml:space="preserve"> and ESSA grant application submission</w:t>
            </w:r>
          </w:p>
          <w:p w14:paraId="0AC3F902" w14:textId="149C65B4" w:rsidR="008C1EBF" w:rsidRPr="004A7D2B" w:rsidRDefault="008C1EBF" w:rsidP="008C1EBF">
            <w:pPr>
              <w:pStyle w:val="ListParagraph"/>
              <w:ind w:left="360" w:firstLine="0"/>
              <w:rPr>
                <w:rFonts w:asciiTheme="minorHAnsi" w:eastAsia="Times New Roman" w:hAnsiTheme="minorHAnsi" w:cstheme="minorHAnsi"/>
                <w:b/>
                <w:bCs/>
                <w:color w:val="212121"/>
              </w:rPr>
            </w:pPr>
          </w:p>
        </w:tc>
        <w:tc>
          <w:tcPr>
            <w:tcW w:w="2337" w:type="dxa"/>
          </w:tcPr>
          <w:p w14:paraId="45A0F2F1" w14:textId="77777777" w:rsidR="004A7D2B" w:rsidRPr="004A7D2B" w:rsidRDefault="004A7D2B" w:rsidP="00FA2C4A">
            <w:pPr>
              <w:pStyle w:val="ListParagraph"/>
              <w:numPr>
                <w:ilvl w:val="0"/>
                <w:numId w:val="15"/>
              </w:numPr>
              <w:rPr>
                <w:rFonts w:asciiTheme="minorHAnsi" w:eastAsia="Times New Roman" w:hAnsiTheme="minorHAnsi" w:cstheme="minorHAnsi"/>
                <w:b/>
                <w:bCs/>
                <w:color w:val="212121"/>
              </w:rPr>
            </w:pPr>
            <w:r w:rsidRPr="004A7D2B">
              <w:rPr>
                <w:rFonts w:asciiTheme="minorHAnsi" w:eastAsia="Times New Roman" w:hAnsiTheme="minorHAnsi" w:cstheme="minorHAnsi"/>
                <w:color w:val="212121"/>
              </w:rPr>
              <w:t>District submits ESSA Consolidated Grant Application to DESE</w:t>
            </w:r>
          </w:p>
          <w:p w14:paraId="1B3480BE" w14:textId="4A94DB78" w:rsidR="004A7D2B" w:rsidRPr="004A7D2B" w:rsidRDefault="004A7D2B" w:rsidP="00FA2C4A">
            <w:pPr>
              <w:pStyle w:val="ListParagraph"/>
              <w:numPr>
                <w:ilvl w:val="0"/>
                <w:numId w:val="15"/>
              </w:numPr>
              <w:rPr>
                <w:rFonts w:asciiTheme="minorHAnsi" w:eastAsia="Times New Roman" w:hAnsiTheme="minorHAnsi" w:cstheme="minorHAnsi"/>
                <w:b/>
                <w:bCs/>
                <w:color w:val="212121"/>
              </w:rPr>
            </w:pPr>
            <w:r w:rsidRPr="004A7D2B">
              <w:rPr>
                <w:rFonts w:asciiTheme="minorHAnsi" w:eastAsia="Times New Roman" w:hAnsiTheme="minorHAnsi" w:cstheme="minorHAnsi"/>
                <w:color w:val="212121"/>
              </w:rPr>
              <w:t>N/D facility submits Program Evaluation data through DESE Security Portal</w:t>
            </w:r>
          </w:p>
        </w:tc>
        <w:tc>
          <w:tcPr>
            <w:tcW w:w="2338" w:type="dxa"/>
            <w:shd w:val="clear" w:color="auto" w:fill="DBE5F1" w:themeFill="accent1" w:themeFillTint="33"/>
          </w:tcPr>
          <w:p w14:paraId="13DA515C" w14:textId="77777777" w:rsidR="004A7D2B" w:rsidRPr="004A7D2B" w:rsidRDefault="004A7D2B" w:rsidP="00FA2C4A">
            <w:pPr>
              <w:pStyle w:val="ListParagraph"/>
              <w:numPr>
                <w:ilvl w:val="0"/>
                <w:numId w:val="16"/>
              </w:numPr>
              <w:rPr>
                <w:rFonts w:asciiTheme="minorHAnsi" w:eastAsia="Times New Roman" w:hAnsiTheme="minorHAnsi" w:cstheme="minorHAnsi"/>
                <w:color w:val="212121"/>
              </w:rPr>
            </w:pPr>
            <w:r w:rsidRPr="004A7D2B">
              <w:rPr>
                <w:rFonts w:asciiTheme="minorHAnsi" w:eastAsia="Times New Roman" w:hAnsiTheme="minorHAnsi" w:cstheme="minorHAnsi"/>
                <w:color w:val="212121"/>
              </w:rPr>
              <w:t xml:space="preserve">District meets with N/D facility (in-person or virtual) to ensure funds are spent in accordance with Formal Agreement and grant regulations </w:t>
            </w:r>
          </w:p>
          <w:p w14:paraId="483BC9A5" w14:textId="396FE088" w:rsidR="004A7D2B" w:rsidRPr="004A7D2B" w:rsidRDefault="004A7D2B" w:rsidP="00FA2C4A">
            <w:pPr>
              <w:pStyle w:val="ListParagraph"/>
              <w:numPr>
                <w:ilvl w:val="0"/>
                <w:numId w:val="16"/>
              </w:numPr>
              <w:rPr>
                <w:rFonts w:asciiTheme="minorHAnsi" w:eastAsia="Times New Roman" w:hAnsiTheme="minorHAnsi" w:cstheme="minorHAnsi"/>
                <w:color w:val="212121"/>
              </w:rPr>
            </w:pPr>
            <w:r w:rsidRPr="004A7D2B">
              <w:rPr>
                <w:rFonts w:asciiTheme="minorHAnsi" w:eastAsia="Times New Roman" w:hAnsiTheme="minorHAnsi" w:cstheme="minorHAnsi"/>
                <w:color w:val="212121"/>
              </w:rPr>
              <w:t>District and N/D facility review and update program evaluation and needs assessment procedures, as needed</w:t>
            </w:r>
          </w:p>
        </w:tc>
        <w:tc>
          <w:tcPr>
            <w:tcW w:w="2338" w:type="dxa"/>
          </w:tcPr>
          <w:p w14:paraId="38B3A9DD" w14:textId="77777777" w:rsidR="004A7D2B" w:rsidRPr="004A7D2B" w:rsidRDefault="004A7D2B" w:rsidP="00FA2C4A">
            <w:pPr>
              <w:pStyle w:val="ListParagraph"/>
              <w:numPr>
                <w:ilvl w:val="0"/>
                <w:numId w:val="16"/>
              </w:numPr>
              <w:rPr>
                <w:rFonts w:asciiTheme="minorHAnsi" w:eastAsia="Times New Roman" w:hAnsiTheme="minorHAnsi" w:cstheme="minorHAnsi"/>
                <w:b/>
                <w:bCs/>
                <w:color w:val="212121"/>
              </w:rPr>
            </w:pPr>
            <w:r w:rsidRPr="004A7D2B">
              <w:rPr>
                <w:rFonts w:asciiTheme="minorHAnsi" w:eastAsia="Times New Roman" w:hAnsiTheme="minorHAnsi" w:cstheme="minorHAnsi"/>
                <w:color w:val="212121"/>
              </w:rPr>
              <w:t>District begins to organize materials for Federal Grants monitoring if district is up for a 6-year cycle review</w:t>
            </w:r>
          </w:p>
        </w:tc>
      </w:tr>
    </w:tbl>
    <w:p w14:paraId="165DA4F3" w14:textId="07778D2B" w:rsidR="004A7D2B" w:rsidRDefault="004A7D2B" w:rsidP="004A7D2B">
      <w:pPr>
        <w:rPr>
          <w:rFonts w:asciiTheme="minorHAnsi" w:eastAsia="Times New Roman" w:hAnsiTheme="minorHAnsi" w:cstheme="minorHAnsi"/>
          <w:b/>
          <w:bCs/>
          <w:color w:val="212121"/>
        </w:rPr>
      </w:pPr>
    </w:p>
    <w:p w14:paraId="106F607F" w14:textId="77777777" w:rsidR="00042BB3" w:rsidRPr="004A7D2B" w:rsidRDefault="00042BB3" w:rsidP="004A7D2B">
      <w:pPr>
        <w:rPr>
          <w:rFonts w:asciiTheme="minorHAnsi" w:eastAsia="Times New Roman" w:hAnsiTheme="minorHAnsi" w:cstheme="minorHAnsi"/>
          <w:b/>
          <w:bCs/>
          <w:color w:val="212121"/>
        </w:rPr>
      </w:pPr>
    </w:p>
    <w:p w14:paraId="1277FE73"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Year-at-a-Glance: December – March</w:t>
      </w:r>
    </w:p>
    <w:p w14:paraId="206939FA" w14:textId="77777777" w:rsidR="004A7D2B" w:rsidRPr="004A7D2B" w:rsidRDefault="004A7D2B" w:rsidP="004A7D2B">
      <w:pPr>
        <w:rPr>
          <w:rFonts w:asciiTheme="minorHAnsi" w:eastAsia="Times New Roman" w:hAnsiTheme="minorHAnsi" w:cstheme="minorHAnsi"/>
          <w:b/>
          <w:bCs/>
          <w:color w:val="212121"/>
        </w:rPr>
      </w:pPr>
    </w:p>
    <w:tbl>
      <w:tblPr>
        <w:tblStyle w:val="TableGrid"/>
        <w:tblW w:w="0" w:type="auto"/>
        <w:tblLook w:val="00A0" w:firstRow="1" w:lastRow="0" w:firstColumn="1" w:lastColumn="0" w:noHBand="0" w:noVBand="0"/>
      </w:tblPr>
      <w:tblGrid>
        <w:gridCol w:w="2337"/>
        <w:gridCol w:w="2337"/>
        <w:gridCol w:w="2338"/>
        <w:gridCol w:w="2338"/>
      </w:tblGrid>
      <w:tr w:rsidR="004A7D2B" w:rsidRPr="004A7D2B" w14:paraId="2636754A" w14:textId="77777777" w:rsidTr="005D1308">
        <w:tc>
          <w:tcPr>
            <w:tcW w:w="2337" w:type="dxa"/>
            <w:shd w:val="clear" w:color="auto" w:fill="DBE5F1" w:themeFill="accent1" w:themeFillTint="33"/>
          </w:tcPr>
          <w:p w14:paraId="7FE1E822"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December</w:t>
            </w:r>
          </w:p>
        </w:tc>
        <w:tc>
          <w:tcPr>
            <w:tcW w:w="2337" w:type="dxa"/>
          </w:tcPr>
          <w:p w14:paraId="18936906"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January</w:t>
            </w:r>
          </w:p>
        </w:tc>
        <w:tc>
          <w:tcPr>
            <w:tcW w:w="2338" w:type="dxa"/>
            <w:shd w:val="clear" w:color="auto" w:fill="DBE5F1" w:themeFill="accent1" w:themeFillTint="33"/>
          </w:tcPr>
          <w:p w14:paraId="6A30CAA4"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February</w:t>
            </w:r>
          </w:p>
        </w:tc>
        <w:tc>
          <w:tcPr>
            <w:tcW w:w="2338" w:type="dxa"/>
          </w:tcPr>
          <w:p w14:paraId="6CDAF002"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March</w:t>
            </w:r>
          </w:p>
        </w:tc>
      </w:tr>
      <w:tr w:rsidR="008C1EBF" w:rsidRPr="004A7D2B" w14:paraId="47357420" w14:textId="77777777" w:rsidTr="005D1308">
        <w:trPr>
          <w:trHeight w:val="3515"/>
        </w:trPr>
        <w:tc>
          <w:tcPr>
            <w:tcW w:w="2337" w:type="dxa"/>
            <w:shd w:val="clear" w:color="auto" w:fill="DBE5F1" w:themeFill="accent1" w:themeFillTint="33"/>
          </w:tcPr>
          <w:p w14:paraId="40AB8420" w14:textId="77777777" w:rsidR="008C1EBF" w:rsidRPr="008C1EBF" w:rsidRDefault="008C1EBF" w:rsidP="00FA2C4A">
            <w:pPr>
              <w:pStyle w:val="ListParagraph"/>
              <w:numPr>
                <w:ilvl w:val="0"/>
                <w:numId w:val="17"/>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N/D facility submits Annual Count data through DESE Security Portal</w:t>
            </w:r>
          </w:p>
          <w:p w14:paraId="0E9EAD12" w14:textId="77777777" w:rsidR="008C1EBF" w:rsidRPr="008C1EBF" w:rsidRDefault="008C1EBF" w:rsidP="00FA2C4A">
            <w:pPr>
              <w:pStyle w:val="ListParagraph"/>
              <w:numPr>
                <w:ilvl w:val="0"/>
                <w:numId w:val="17"/>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District meets with N/D facility (in-person or virtual) to ensure funds are spent in accordance with Formal Agreement and grant regulations</w:t>
            </w:r>
          </w:p>
          <w:p w14:paraId="123E5567" w14:textId="60B4AEB1" w:rsidR="008C1EBF" w:rsidRPr="008C1EBF" w:rsidRDefault="008C1EBF" w:rsidP="008C1EBF">
            <w:pPr>
              <w:pStyle w:val="ListParagraph"/>
              <w:ind w:left="360" w:firstLine="0"/>
              <w:rPr>
                <w:rFonts w:asciiTheme="minorHAnsi" w:eastAsia="Times New Roman" w:hAnsiTheme="minorHAnsi" w:cstheme="minorHAnsi"/>
                <w:b/>
                <w:bCs/>
                <w:color w:val="212121"/>
              </w:rPr>
            </w:pPr>
          </w:p>
        </w:tc>
        <w:tc>
          <w:tcPr>
            <w:tcW w:w="2337" w:type="dxa"/>
          </w:tcPr>
          <w:p w14:paraId="7C5F08C3" w14:textId="77777777" w:rsidR="008C1EBF" w:rsidRPr="008C1EBF" w:rsidRDefault="008C1EBF" w:rsidP="00FA2C4A">
            <w:pPr>
              <w:pStyle w:val="ListParagraph"/>
              <w:numPr>
                <w:ilvl w:val="0"/>
                <w:numId w:val="18"/>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District submits Federal Grants monitoring materials to DESE if up for a 6-year cycle review</w:t>
            </w:r>
          </w:p>
        </w:tc>
        <w:tc>
          <w:tcPr>
            <w:tcW w:w="2338" w:type="dxa"/>
            <w:shd w:val="clear" w:color="auto" w:fill="DBE5F1" w:themeFill="accent1" w:themeFillTint="33"/>
          </w:tcPr>
          <w:p w14:paraId="64E01175" w14:textId="77777777" w:rsidR="008C1EBF" w:rsidRPr="008C1EBF" w:rsidRDefault="008C1EBF" w:rsidP="00FA2C4A">
            <w:pPr>
              <w:pStyle w:val="ListParagraph"/>
              <w:numPr>
                <w:ilvl w:val="0"/>
                <w:numId w:val="19"/>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District meets with N/D facility (in-person or virtual) to ensure funds are spent in accordance with Formal Agreement and grant regulations</w:t>
            </w:r>
          </w:p>
        </w:tc>
        <w:tc>
          <w:tcPr>
            <w:tcW w:w="2338" w:type="dxa"/>
          </w:tcPr>
          <w:p w14:paraId="030A8FA6" w14:textId="77777777" w:rsidR="008C1EBF" w:rsidRPr="008C1EBF" w:rsidRDefault="008C1EBF" w:rsidP="00FA2C4A">
            <w:pPr>
              <w:pStyle w:val="ListParagraph"/>
              <w:numPr>
                <w:ilvl w:val="0"/>
                <w:numId w:val="20"/>
              </w:numPr>
              <w:rPr>
                <w:rFonts w:asciiTheme="minorHAnsi" w:eastAsia="Times New Roman" w:hAnsiTheme="minorHAnsi" w:cstheme="minorHAnsi"/>
                <w:color w:val="212121"/>
              </w:rPr>
            </w:pPr>
            <w:r w:rsidRPr="008C1EBF">
              <w:rPr>
                <w:rFonts w:asciiTheme="minorHAnsi" w:eastAsia="Times New Roman" w:hAnsiTheme="minorHAnsi" w:cstheme="minorHAnsi"/>
                <w:color w:val="212121"/>
              </w:rPr>
              <w:t>District begins to collect program outcome data from N/D facility, to be used in end-of-year program evaluation</w:t>
            </w:r>
          </w:p>
        </w:tc>
      </w:tr>
    </w:tbl>
    <w:p w14:paraId="1FE76247" w14:textId="77777777" w:rsidR="005D1308" w:rsidRDefault="005D1308" w:rsidP="004A7D2B">
      <w:pPr>
        <w:rPr>
          <w:rFonts w:asciiTheme="minorHAnsi" w:eastAsia="Times New Roman" w:hAnsiTheme="minorHAnsi" w:cstheme="minorHAnsi"/>
          <w:b/>
          <w:bCs/>
          <w:color w:val="212121"/>
        </w:rPr>
      </w:pPr>
    </w:p>
    <w:p w14:paraId="114D911C" w14:textId="77777777" w:rsidR="00042BB3" w:rsidRDefault="00042BB3" w:rsidP="004A7D2B">
      <w:pPr>
        <w:rPr>
          <w:rFonts w:asciiTheme="minorHAnsi" w:eastAsia="Times New Roman" w:hAnsiTheme="minorHAnsi" w:cstheme="minorHAnsi"/>
          <w:b/>
          <w:bCs/>
          <w:color w:val="212121"/>
        </w:rPr>
      </w:pPr>
    </w:p>
    <w:p w14:paraId="6BE9CC73" w14:textId="750A8DCB"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lastRenderedPageBreak/>
        <w:t>Year-at-a-Glance: April – July</w:t>
      </w:r>
    </w:p>
    <w:p w14:paraId="035547F3" w14:textId="77777777" w:rsidR="004A7D2B" w:rsidRPr="004A7D2B" w:rsidRDefault="004A7D2B" w:rsidP="004A7D2B">
      <w:pPr>
        <w:rPr>
          <w:rFonts w:asciiTheme="minorHAnsi" w:eastAsia="Times New Roman" w:hAnsiTheme="minorHAnsi" w:cstheme="minorHAnsi"/>
          <w:b/>
          <w:bCs/>
          <w:color w:val="212121"/>
        </w:rPr>
      </w:pPr>
    </w:p>
    <w:tbl>
      <w:tblPr>
        <w:tblStyle w:val="TableGrid"/>
        <w:tblW w:w="0" w:type="auto"/>
        <w:tblLook w:val="00A0" w:firstRow="1" w:lastRow="0" w:firstColumn="1" w:lastColumn="0" w:noHBand="0" w:noVBand="0"/>
      </w:tblPr>
      <w:tblGrid>
        <w:gridCol w:w="2337"/>
        <w:gridCol w:w="2337"/>
        <w:gridCol w:w="2338"/>
        <w:gridCol w:w="2338"/>
      </w:tblGrid>
      <w:tr w:rsidR="004A7D2B" w:rsidRPr="004A7D2B" w14:paraId="55710C17" w14:textId="77777777" w:rsidTr="005D1308">
        <w:tc>
          <w:tcPr>
            <w:tcW w:w="2337" w:type="dxa"/>
            <w:shd w:val="clear" w:color="auto" w:fill="DBE5F1" w:themeFill="accent1" w:themeFillTint="33"/>
          </w:tcPr>
          <w:p w14:paraId="79B5E59A"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April</w:t>
            </w:r>
          </w:p>
        </w:tc>
        <w:tc>
          <w:tcPr>
            <w:tcW w:w="2337" w:type="dxa"/>
          </w:tcPr>
          <w:p w14:paraId="52364B38"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May</w:t>
            </w:r>
          </w:p>
        </w:tc>
        <w:tc>
          <w:tcPr>
            <w:tcW w:w="2338" w:type="dxa"/>
            <w:shd w:val="clear" w:color="auto" w:fill="DBE5F1" w:themeFill="accent1" w:themeFillTint="33"/>
          </w:tcPr>
          <w:p w14:paraId="07F08115"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June</w:t>
            </w:r>
          </w:p>
        </w:tc>
        <w:tc>
          <w:tcPr>
            <w:tcW w:w="2338" w:type="dxa"/>
          </w:tcPr>
          <w:p w14:paraId="3094BF06" w14:textId="77777777" w:rsidR="004A7D2B" w:rsidRPr="004A7D2B" w:rsidRDefault="004A7D2B" w:rsidP="004A7D2B">
            <w:pPr>
              <w:rPr>
                <w:rFonts w:asciiTheme="minorHAnsi" w:eastAsia="Times New Roman" w:hAnsiTheme="minorHAnsi" w:cstheme="minorHAnsi"/>
                <w:b/>
                <w:bCs/>
                <w:color w:val="212121"/>
              </w:rPr>
            </w:pPr>
            <w:r w:rsidRPr="004A7D2B">
              <w:rPr>
                <w:rFonts w:asciiTheme="minorHAnsi" w:eastAsia="Times New Roman" w:hAnsiTheme="minorHAnsi" w:cstheme="minorHAnsi"/>
                <w:b/>
                <w:bCs/>
                <w:color w:val="212121"/>
              </w:rPr>
              <w:t>July</w:t>
            </w:r>
          </w:p>
        </w:tc>
      </w:tr>
      <w:tr w:rsidR="008C1EBF" w:rsidRPr="004A7D2B" w14:paraId="03417D28" w14:textId="77777777" w:rsidTr="005D1308">
        <w:trPr>
          <w:trHeight w:val="6480"/>
        </w:trPr>
        <w:tc>
          <w:tcPr>
            <w:tcW w:w="2337" w:type="dxa"/>
            <w:shd w:val="clear" w:color="auto" w:fill="DBE5F1" w:themeFill="accent1" w:themeFillTint="33"/>
          </w:tcPr>
          <w:p w14:paraId="6CE9B00F" w14:textId="77777777" w:rsidR="008C1EBF" w:rsidRPr="008C1EBF" w:rsidRDefault="008C1EBF" w:rsidP="00FA2C4A">
            <w:pPr>
              <w:pStyle w:val="ListParagraph"/>
              <w:numPr>
                <w:ilvl w:val="0"/>
                <w:numId w:val="20"/>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District meets with N/D facility (in-person or virtual) to ensure funds are being spent in accordance with Formal Agreement and grant regulations</w:t>
            </w:r>
          </w:p>
        </w:tc>
        <w:tc>
          <w:tcPr>
            <w:tcW w:w="2337" w:type="dxa"/>
          </w:tcPr>
          <w:p w14:paraId="673EC77C" w14:textId="77777777" w:rsidR="008C1EBF" w:rsidRPr="008C1EBF" w:rsidRDefault="008C1EBF" w:rsidP="00FA2C4A">
            <w:pPr>
              <w:pStyle w:val="ListParagraph"/>
              <w:numPr>
                <w:ilvl w:val="0"/>
                <w:numId w:val="20"/>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Districts conducts end-of-year Title I program evaluation, including activities funded by Title I, D-2 funds</w:t>
            </w:r>
          </w:p>
          <w:p w14:paraId="6E77BDC8" w14:textId="77777777" w:rsidR="008C1EBF" w:rsidRPr="008C1EBF" w:rsidRDefault="008C1EBF" w:rsidP="00FA2C4A">
            <w:pPr>
              <w:pStyle w:val="ListParagraph"/>
              <w:numPr>
                <w:ilvl w:val="0"/>
                <w:numId w:val="20"/>
              </w:numPr>
              <w:rPr>
                <w:rFonts w:asciiTheme="minorHAnsi" w:eastAsia="Times New Roman" w:hAnsiTheme="minorHAnsi" w:cstheme="minorHAnsi"/>
                <w:color w:val="212121"/>
              </w:rPr>
            </w:pPr>
            <w:r w:rsidRPr="008C1EBF">
              <w:rPr>
                <w:rFonts w:asciiTheme="minorHAnsi" w:eastAsia="Times New Roman" w:hAnsiTheme="minorHAnsi" w:cstheme="minorHAnsi"/>
                <w:color w:val="212121"/>
              </w:rPr>
              <w:t>N/D facility and district conduct needs assessment based on findings of program evaluation, to help determine use of funds for the upcoming school year</w:t>
            </w:r>
          </w:p>
          <w:p w14:paraId="6E3795AE" w14:textId="77777777" w:rsidR="008C1EBF" w:rsidRPr="008C1EBF" w:rsidRDefault="008C1EBF" w:rsidP="00FA2C4A">
            <w:pPr>
              <w:pStyle w:val="ListParagraph"/>
              <w:numPr>
                <w:ilvl w:val="0"/>
                <w:numId w:val="20"/>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 xml:space="preserve">District and N/D facility consult on use of Title I, D-2 funds for the upcoming school year  </w:t>
            </w:r>
          </w:p>
          <w:p w14:paraId="5C142A41" w14:textId="78624D2C" w:rsidR="008C1EBF" w:rsidRPr="008C1EBF" w:rsidRDefault="008C1EBF" w:rsidP="008C1EBF">
            <w:pPr>
              <w:pStyle w:val="ListParagraph"/>
              <w:ind w:left="360" w:firstLine="0"/>
              <w:rPr>
                <w:rFonts w:asciiTheme="minorHAnsi" w:eastAsia="Times New Roman" w:hAnsiTheme="minorHAnsi" w:cstheme="minorHAnsi"/>
                <w:b/>
                <w:bCs/>
                <w:color w:val="212121"/>
              </w:rPr>
            </w:pPr>
          </w:p>
        </w:tc>
        <w:tc>
          <w:tcPr>
            <w:tcW w:w="2338" w:type="dxa"/>
            <w:shd w:val="clear" w:color="auto" w:fill="DBE5F1" w:themeFill="accent1" w:themeFillTint="33"/>
          </w:tcPr>
          <w:p w14:paraId="13490DE6" w14:textId="46C57F70" w:rsidR="008C1EBF" w:rsidRPr="008C1EBF" w:rsidRDefault="008C1EBF" w:rsidP="00FA2C4A">
            <w:pPr>
              <w:pStyle w:val="ListParagraph"/>
              <w:numPr>
                <w:ilvl w:val="0"/>
                <w:numId w:val="20"/>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District checks in with N/D facility to ensure funds are spent by Year 1 of the grant (end of June). Carryover is permitted i</w:t>
            </w:r>
            <w:r w:rsidR="00E40102">
              <w:rPr>
                <w:rFonts w:asciiTheme="minorHAnsi" w:eastAsia="Times New Roman" w:hAnsiTheme="minorHAnsi" w:cstheme="minorHAnsi"/>
                <w:color w:val="212121"/>
              </w:rPr>
              <w:t>f</w:t>
            </w:r>
            <w:r w:rsidRPr="008C1EBF">
              <w:rPr>
                <w:rFonts w:asciiTheme="minorHAnsi" w:eastAsia="Times New Roman" w:hAnsiTheme="minorHAnsi" w:cstheme="minorHAnsi"/>
                <w:color w:val="212121"/>
              </w:rPr>
              <w:t xml:space="preserve"> extenuating circumstances</w:t>
            </w:r>
            <w:r w:rsidR="00E40102">
              <w:rPr>
                <w:rFonts w:asciiTheme="minorHAnsi" w:eastAsia="Times New Roman" w:hAnsiTheme="minorHAnsi" w:cstheme="minorHAnsi"/>
                <w:color w:val="212121"/>
              </w:rPr>
              <w:t xml:space="preserve"> exist</w:t>
            </w:r>
            <w:r w:rsidRPr="008C1EBF">
              <w:rPr>
                <w:rFonts w:asciiTheme="minorHAnsi" w:eastAsia="Times New Roman" w:hAnsiTheme="minorHAnsi" w:cstheme="minorHAnsi"/>
                <w:color w:val="212121"/>
              </w:rPr>
              <w:t>.</w:t>
            </w:r>
          </w:p>
          <w:p w14:paraId="74A6DE69" w14:textId="21B6C694" w:rsidR="008C1EBF" w:rsidRPr="008C1EBF" w:rsidRDefault="008C1EBF" w:rsidP="00FA2C4A">
            <w:pPr>
              <w:pStyle w:val="ListParagraph"/>
              <w:numPr>
                <w:ilvl w:val="0"/>
                <w:numId w:val="20"/>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Draft the Formal Agreement between the district and N/D facility for the upcoming school year</w:t>
            </w:r>
          </w:p>
          <w:p w14:paraId="0CA5F4BB" w14:textId="40AF4DC8" w:rsidR="008C1EBF" w:rsidRPr="008C1EBF" w:rsidRDefault="008C1EBF" w:rsidP="00FA2C4A">
            <w:pPr>
              <w:pStyle w:val="ListParagraph"/>
              <w:numPr>
                <w:ilvl w:val="0"/>
                <w:numId w:val="20"/>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District submits Title I Data to DESE, which includes info on Title I, D-2 program participation</w:t>
            </w:r>
          </w:p>
        </w:tc>
        <w:tc>
          <w:tcPr>
            <w:tcW w:w="2338" w:type="dxa"/>
          </w:tcPr>
          <w:p w14:paraId="55AA59BD" w14:textId="7BECDBE7" w:rsidR="008C1EBF" w:rsidRPr="008C1EBF" w:rsidRDefault="008C1EBF" w:rsidP="00FA2C4A">
            <w:pPr>
              <w:pStyle w:val="ListParagraph"/>
              <w:numPr>
                <w:ilvl w:val="0"/>
                <w:numId w:val="20"/>
              </w:numPr>
              <w:rPr>
                <w:rFonts w:asciiTheme="minorHAnsi" w:eastAsia="Times New Roman" w:hAnsiTheme="minorHAnsi" w:cstheme="minorHAnsi"/>
                <w:b/>
                <w:bCs/>
                <w:color w:val="212121"/>
              </w:rPr>
            </w:pPr>
            <w:r w:rsidRPr="008C1EBF">
              <w:rPr>
                <w:rFonts w:asciiTheme="minorHAnsi" w:eastAsia="Times New Roman" w:hAnsiTheme="minorHAnsi" w:cstheme="minorHAnsi"/>
                <w:color w:val="212121"/>
              </w:rPr>
              <w:t>DESE releases Title I, Parts A&amp;D allocations</w:t>
            </w:r>
            <w:r w:rsidR="004D2B2B">
              <w:rPr>
                <w:rFonts w:asciiTheme="minorHAnsi" w:eastAsia="Times New Roman" w:hAnsiTheme="minorHAnsi" w:cstheme="minorHAnsi"/>
                <w:color w:val="212121"/>
              </w:rPr>
              <w:t xml:space="preserve">. </w:t>
            </w:r>
            <w:r w:rsidRPr="008C1EBF">
              <w:rPr>
                <w:rFonts w:asciiTheme="minorHAnsi" w:eastAsia="Times New Roman" w:hAnsiTheme="minorHAnsi" w:cstheme="minorHAnsi"/>
                <w:color w:val="212121"/>
              </w:rPr>
              <w:t xml:space="preserve"> District should notify the N/D facility of their allocation amount</w:t>
            </w:r>
          </w:p>
        </w:tc>
      </w:tr>
    </w:tbl>
    <w:p w14:paraId="480769B2" w14:textId="2C51773D" w:rsidR="004B533E" w:rsidRDefault="004B533E" w:rsidP="008A77AF">
      <w:pPr>
        <w:rPr>
          <w:rFonts w:asciiTheme="minorHAnsi" w:eastAsia="Times New Roman" w:hAnsiTheme="minorHAnsi" w:cstheme="minorHAnsi"/>
          <w:color w:val="212121"/>
        </w:rPr>
      </w:pPr>
    </w:p>
    <w:p w14:paraId="4C583939" w14:textId="45534935" w:rsidR="004A7D2B" w:rsidRDefault="004A7D2B" w:rsidP="008A77AF">
      <w:pPr>
        <w:rPr>
          <w:rFonts w:asciiTheme="minorHAnsi" w:eastAsia="Times New Roman" w:hAnsiTheme="minorHAnsi" w:cstheme="minorHAnsi"/>
          <w:color w:val="212121"/>
        </w:rPr>
      </w:pPr>
    </w:p>
    <w:p w14:paraId="2AA10B46" w14:textId="77777777" w:rsidR="00D60817" w:rsidRPr="00E521C8" w:rsidRDefault="00E2061A" w:rsidP="00E521C8">
      <w:pPr>
        <w:pStyle w:val="Heading1"/>
        <w:spacing w:before="0"/>
        <w:ind w:left="0"/>
        <w:rPr>
          <w:b/>
          <w:bCs/>
          <w:color w:val="1F497D" w:themeColor="text2"/>
          <w:sz w:val="28"/>
          <w:szCs w:val="28"/>
        </w:rPr>
      </w:pPr>
      <w:bookmarkStart w:id="12" w:name="_Toc133221640"/>
      <w:r w:rsidRPr="00E521C8">
        <w:rPr>
          <w:b/>
          <w:bCs/>
          <w:color w:val="1F497D" w:themeColor="text2"/>
          <w:sz w:val="28"/>
          <w:szCs w:val="28"/>
        </w:rPr>
        <w:t>Additional Resources</w:t>
      </w:r>
      <w:bookmarkEnd w:id="12"/>
    </w:p>
    <w:p w14:paraId="2DA1DDF0" w14:textId="77777777" w:rsidR="00D60817" w:rsidRDefault="00D60817" w:rsidP="00D60817"/>
    <w:p w14:paraId="05AB401D" w14:textId="4AFB8172" w:rsidR="00F83D78" w:rsidRDefault="00181F64" w:rsidP="00D60817">
      <w:hyperlink r:id="rId19" w:history="1">
        <w:r w:rsidR="00F83D78" w:rsidRPr="002D2999">
          <w:rPr>
            <w:rStyle w:val="Hyperlink"/>
            <w:rFonts w:cs="Times New Roman"/>
          </w:rPr>
          <w:t>Title I, Part D Federal Statute</w:t>
        </w:r>
      </w:hyperlink>
    </w:p>
    <w:p w14:paraId="148959C3" w14:textId="666E09E1" w:rsidR="002D2999" w:rsidRDefault="002D2999" w:rsidP="008A77AF">
      <w:pPr>
        <w:rPr>
          <w:rFonts w:cs="Times New Roman"/>
        </w:rPr>
      </w:pPr>
      <w:r>
        <w:rPr>
          <w:rFonts w:cs="Times New Roman"/>
        </w:rPr>
        <w:t>A searchable web-based version of the Title I, Part D Federal Statute</w:t>
      </w:r>
      <w:r w:rsidR="006A2BD8">
        <w:rPr>
          <w:rFonts w:cs="Times New Roman"/>
        </w:rPr>
        <w:t xml:space="preserve"> – Section 1401 of the Elementary and Secondary Education Act, amended in 2015 (ESEA).</w:t>
      </w:r>
    </w:p>
    <w:p w14:paraId="185490EE" w14:textId="77777777" w:rsidR="00F83D78" w:rsidRDefault="00F83D78" w:rsidP="008A77AF">
      <w:pPr>
        <w:rPr>
          <w:rFonts w:cs="Times New Roman"/>
        </w:rPr>
      </w:pPr>
    </w:p>
    <w:p w14:paraId="72AD97EC" w14:textId="77777777" w:rsidR="00FB27EE" w:rsidRPr="00AE2A06" w:rsidRDefault="00181F64" w:rsidP="00FB27EE">
      <w:pPr>
        <w:widowControl/>
        <w:autoSpaceDE/>
        <w:autoSpaceDN/>
      </w:pPr>
      <w:hyperlink r:id="rId20" w:history="1">
        <w:r w:rsidR="00FB27EE" w:rsidRPr="00AE2A06">
          <w:rPr>
            <w:rStyle w:val="Hyperlink"/>
          </w:rPr>
          <w:t>National Technical Assistance Center for the Education of Neglected or Delinquent Children &amp; Youth (NDTAC)</w:t>
        </w:r>
      </w:hyperlink>
    </w:p>
    <w:p w14:paraId="08AA4082" w14:textId="77777777" w:rsidR="00FB27EE" w:rsidRPr="00AE2A06" w:rsidRDefault="00FB27EE" w:rsidP="00FB27EE">
      <w:pPr>
        <w:widowControl/>
        <w:autoSpaceDE/>
        <w:autoSpaceDN/>
        <w:rPr>
          <w:b/>
          <w:bCs/>
        </w:rPr>
      </w:pPr>
      <w:r w:rsidRPr="00AE2A06">
        <w:t>A national resource center providing direct assistance to states, schools, communities, and parents seeking information on the education of children and youth who are considered neglected, delinquent, or at-risk.</w:t>
      </w:r>
    </w:p>
    <w:p w14:paraId="085F9A0D" w14:textId="77777777" w:rsidR="00FB27EE" w:rsidRDefault="00FB27EE" w:rsidP="008A77AF">
      <w:pPr>
        <w:rPr>
          <w:rFonts w:cs="Times New Roman"/>
        </w:rPr>
      </w:pPr>
    </w:p>
    <w:p w14:paraId="4A2697BB" w14:textId="15C742A6" w:rsidR="008A77AF" w:rsidRDefault="00181F64" w:rsidP="008A77AF">
      <w:pPr>
        <w:rPr>
          <w:rFonts w:cs="Times New Roman"/>
          <w:b/>
          <w:bCs/>
        </w:rPr>
      </w:pPr>
      <w:hyperlink r:id="rId21" w:history="1">
        <w:r w:rsidR="008A77AF" w:rsidRPr="00AE2A06">
          <w:rPr>
            <w:rStyle w:val="Hyperlink"/>
            <w:rFonts w:cs="Times New Roman"/>
          </w:rPr>
          <w:t>Title I, Part D, Subpart 2</w:t>
        </w:r>
      </w:hyperlink>
    </w:p>
    <w:p w14:paraId="359E63E2" w14:textId="384FAF51" w:rsidR="00E23841" w:rsidRPr="00AE2A06" w:rsidRDefault="00E23841" w:rsidP="008A77AF">
      <w:pPr>
        <w:rPr>
          <w:rFonts w:cs="Times New Roman"/>
        </w:rPr>
      </w:pPr>
      <w:r w:rsidRPr="00AE2A06">
        <w:rPr>
          <w:rFonts w:cs="Times New Roman"/>
        </w:rPr>
        <w:t>DESE</w:t>
      </w:r>
      <w:r w:rsidR="00587107" w:rsidRPr="00AE2A06">
        <w:rPr>
          <w:rFonts w:cs="Times New Roman"/>
        </w:rPr>
        <w:t>’s webpage on Title I, D-2. You will find allocation amounts, as well as resources and guidance documents.</w:t>
      </w:r>
    </w:p>
    <w:p w14:paraId="738FBEF0" w14:textId="77777777" w:rsidR="00121489" w:rsidRPr="008A77AF" w:rsidRDefault="00121489" w:rsidP="008A77AF">
      <w:pPr>
        <w:widowControl/>
        <w:autoSpaceDE/>
        <w:autoSpaceDN/>
        <w:rPr>
          <w:rFonts w:cs="Times New Roman"/>
        </w:rPr>
      </w:pPr>
    </w:p>
    <w:p w14:paraId="0186BB1E" w14:textId="6DF3C3FD" w:rsidR="008A77AF" w:rsidRPr="00AE2A06" w:rsidRDefault="00181F64" w:rsidP="008A77AF">
      <w:pPr>
        <w:widowControl/>
        <w:autoSpaceDE/>
        <w:autoSpaceDN/>
        <w:rPr>
          <w:rFonts w:cs="Times New Roman"/>
        </w:rPr>
      </w:pPr>
      <w:hyperlink r:id="rId22" w:history="1">
        <w:r w:rsidR="008A77AF" w:rsidRPr="00AE2A06">
          <w:rPr>
            <w:rStyle w:val="Hyperlink"/>
            <w:rFonts w:cs="Times New Roman"/>
          </w:rPr>
          <w:t>Title I, Part D Data Reporting</w:t>
        </w:r>
      </w:hyperlink>
    </w:p>
    <w:p w14:paraId="42F843D6" w14:textId="44252BBE" w:rsidR="00587107" w:rsidRPr="00AE2A06" w:rsidRDefault="00587107" w:rsidP="008A77AF">
      <w:pPr>
        <w:widowControl/>
        <w:autoSpaceDE/>
        <w:autoSpaceDN/>
        <w:rPr>
          <w:rFonts w:cs="Times New Roman"/>
        </w:rPr>
      </w:pPr>
      <w:r w:rsidRPr="00AE2A06">
        <w:rPr>
          <w:rFonts w:cs="Times New Roman"/>
        </w:rPr>
        <w:t xml:space="preserve">DESE’s webpage on </w:t>
      </w:r>
      <w:r w:rsidR="002B602C" w:rsidRPr="00AE2A06">
        <w:rPr>
          <w:rFonts w:cs="Times New Roman"/>
        </w:rPr>
        <w:t xml:space="preserve">Title I, Part D data reporting, run by </w:t>
      </w:r>
      <w:r w:rsidR="00E73CE1" w:rsidRPr="00AE2A06">
        <w:rPr>
          <w:rFonts w:cs="Times New Roman"/>
        </w:rPr>
        <w:t>DESE’s Data Office</w:t>
      </w:r>
      <w:r w:rsidR="002B602C" w:rsidRPr="00AE2A06">
        <w:rPr>
          <w:rFonts w:cs="Times New Roman"/>
        </w:rPr>
        <w:t>. This includes information on the Annual Counts and the Program Evaluation requirements.</w:t>
      </w:r>
    </w:p>
    <w:p w14:paraId="6708B3FB" w14:textId="0DCCBB77" w:rsidR="008A77AF" w:rsidRDefault="008A77AF" w:rsidP="008A77AF">
      <w:pPr>
        <w:widowControl/>
        <w:autoSpaceDE/>
        <w:autoSpaceDN/>
        <w:rPr>
          <w:rFonts w:cs="Times New Roman"/>
          <w:b/>
          <w:bCs/>
        </w:rPr>
      </w:pPr>
    </w:p>
    <w:p w14:paraId="02407CA8" w14:textId="77777777" w:rsidR="00992D04" w:rsidRPr="008A77AF" w:rsidRDefault="00992D04" w:rsidP="008A77AF">
      <w:pPr>
        <w:widowControl/>
        <w:autoSpaceDE/>
        <w:autoSpaceDN/>
        <w:rPr>
          <w:rFonts w:cs="Times New Roman"/>
          <w:b/>
          <w:bCs/>
        </w:rPr>
      </w:pPr>
    </w:p>
    <w:p w14:paraId="596A3974" w14:textId="77777777" w:rsidR="008A77AF" w:rsidRPr="002D2720" w:rsidRDefault="008A77AF" w:rsidP="008A77AF">
      <w:pPr>
        <w:widowControl/>
        <w:autoSpaceDE/>
        <w:autoSpaceDN/>
        <w:rPr>
          <w:rFonts w:cs="Times New Roman"/>
          <w:u w:val="single"/>
        </w:rPr>
      </w:pPr>
      <w:r w:rsidRPr="002D2720">
        <w:rPr>
          <w:rFonts w:cs="Times New Roman"/>
          <w:u w:val="single"/>
        </w:rPr>
        <w:lastRenderedPageBreak/>
        <w:t>Evidence-Based Practices Registries</w:t>
      </w:r>
    </w:p>
    <w:p w14:paraId="69BD0E39" w14:textId="501B272E" w:rsidR="007D2900" w:rsidRPr="002C588E" w:rsidRDefault="007D2900" w:rsidP="008A77AF">
      <w:pPr>
        <w:widowControl/>
        <w:autoSpaceDE/>
        <w:autoSpaceDN/>
        <w:rPr>
          <w:rFonts w:cs="Times New Roman"/>
        </w:rPr>
      </w:pPr>
      <w:r w:rsidRPr="002C588E">
        <w:rPr>
          <w:rFonts w:cs="Times New Roman"/>
        </w:rPr>
        <w:t>Search practices and programs that have been proven to be effective based on data and evidence.</w:t>
      </w:r>
    </w:p>
    <w:p w14:paraId="5B2AFDDE" w14:textId="1BB18419" w:rsidR="008A77AF" w:rsidRPr="00A02520" w:rsidRDefault="00181F64" w:rsidP="00A02520">
      <w:pPr>
        <w:pStyle w:val="ListParagraph"/>
        <w:widowControl/>
        <w:numPr>
          <w:ilvl w:val="0"/>
          <w:numId w:val="28"/>
        </w:numPr>
        <w:autoSpaceDE/>
        <w:autoSpaceDN/>
        <w:rPr>
          <w:rFonts w:cs="Times New Roman"/>
        </w:rPr>
      </w:pPr>
      <w:hyperlink r:id="rId23" w:history="1">
        <w:r w:rsidR="008A77AF" w:rsidRPr="00A02520">
          <w:rPr>
            <w:rStyle w:val="Hyperlink"/>
            <w:rFonts w:cs="Times New Roman"/>
          </w:rPr>
          <w:t>What Works Clearinghouse</w:t>
        </w:r>
      </w:hyperlink>
    </w:p>
    <w:p w14:paraId="1B5A089D" w14:textId="75F41F68" w:rsidR="008A77AF" w:rsidRPr="00A02520" w:rsidRDefault="00181F64" w:rsidP="00A02520">
      <w:pPr>
        <w:pStyle w:val="ListParagraph"/>
        <w:widowControl/>
        <w:numPr>
          <w:ilvl w:val="0"/>
          <w:numId w:val="28"/>
        </w:numPr>
        <w:autoSpaceDE/>
        <w:autoSpaceDN/>
        <w:rPr>
          <w:rFonts w:cs="Times New Roman"/>
        </w:rPr>
      </w:pPr>
      <w:hyperlink r:id="rId24" w:history="1">
        <w:r w:rsidR="008A77AF" w:rsidRPr="00A02520">
          <w:rPr>
            <w:rStyle w:val="Hyperlink"/>
            <w:rFonts w:cs="Times New Roman"/>
          </w:rPr>
          <w:t>National Institute of Justice – Crime Solutions</w:t>
        </w:r>
      </w:hyperlink>
    </w:p>
    <w:p w14:paraId="68093624" w14:textId="3C9850D5" w:rsidR="008A77AF" w:rsidRPr="00A02520" w:rsidRDefault="00181F64" w:rsidP="00A02520">
      <w:pPr>
        <w:pStyle w:val="ListParagraph"/>
        <w:widowControl/>
        <w:numPr>
          <w:ilvl w:val="0"/>
          <w:numId w:val="28"/>
        </w:numPr>
        <w:autoSpaceDE/>
        <w:autoSpaceDN/>
        <w:rPr>
          <w:rFonts w:eastAsia="Times New Roman"/>
          <w:color w:val="049FD9"/>
        </w:rPr>
      </w:pPr>
      <w:hyperlink r:id="rId25" w:history="1">
        <w:r w:rsidR="008A77AF" w:rsidRPr="002C588E">
          <w:rPr>
            <w:rStyle w:val="Hyperlink"/>
          </w:rPr>
          <w:t>Youth.gov Evidence-Based Program Directories</w:t>
        </w:r>
      </w:hyperlink>
    </w:p>
    <w:p w14:paraId="446EEB61" w14:textId="1BB1B192" w:rsidR="008A77AF" w:rsidRPr="008A77AF" w:rsidRDefault="00181F64" w:rsidP="00A02520">
      <w:pPr>
        <w:pStyle w:val="ListParagraph"/>
        <w:widowControl/>
        <w:numPr>
          <w:ilvl w:val="0"/>
          <w:numId w:val="28"/>
        </w:numPr>
        <w:autoSpaceDE/>
        <w:autoSpaceDN/>
      </w:pPr>
      <w:hyperlink r:id="rId26" w:history="1">
        <w:r w:rsidR="008A77AF" w:rsidRPr="00A02520">
          <w:rPr>
            <w:rStyle w:val="Hyperlink"/>
            <w:rFonts w:eastAsia="Times New Roman"/>
          </w:rPr>
          <w:t>Blueprints for Healthy Youth Development</w:t>
        </w:r>
      </w:hyperlink>
    </w:p>
    <w:p w14:paraId="6E48BC15" w14:textId="77777777" w:rsidR="008A77AF" w:rsidRPr="008A77AF" w:rsidRDefault="008A77AF" w:rsidP="008A77AF">
      <w:pPr>
        <w:widowControl/>
        <w:autoSpaceDE/>
        <w:autoSpaceDN/>
        <w:rPr>
          <w:rFonts w:cs="Times New Roman"/>
          <w:b/>
          <w:bCs/>
        </w:rPr>
      </w:pPr>
    </w:p>
    <w:p w14:paraId="0B1090EF" w14:textId="2BECC556" w:rsidR="000B3EA5" w:rsidRPr="00B87FE9" w:rsidRDefault="00181F64" w:rsidP="000B3EA5">
      <w:pPr>
        <w:widowControl/>
        <w:autoSpaceDE/>
        <w:autoSpaceDN/>
        <w:rPr>
          <w:rFonts w:cs="Times New Roman"/>
        </w:rPr>
      </w:pPr>
      <w:hyperlink r:id="rId27" w:history="1">
        <w:r w:rsidR="000B3EA5" w:rsidRPr="00B87FE9">
          <w:rPr>
            <w:rStyle w:val="Hyperlink"/>
            <w:rFonts w:cs="Times New Roman"/>
          </w:rPr>
          <w:t xml:space="preserve">How </w:t>
        </w:r>
        <w:r w:rsidR="00BF6A66" w:rsidRPr="00B87FE9">
          <w:rPr>
            <w:rStyle w:val="Hyperlink"/>
            <w:rFonts w:cs="Times New Roman"/>
          </w:rPr>
          <w:t>D</w:t>
        </w:r>
        <w:r w:rsidR="000B3EA5" w:rsidRPr="00B87FE9">
          <w:rPr>
            <w:rStyle w:val="Hyperlink"/>
            <w:rFonts w:cs="Times New Roman"/>
          </w:rPr>
          <w:t xml:space="preserve">o </w:t>
        </w:r>
        <w:r w:rsidR="00BF6A66" w:rsidRPr="00B87FE9">
          <w:rPr>
            <w:rStyle w:val="Hyperlink"/>
            <w:rFonts w:cs="Times New Roman"/>
          </w:rPr>
          <w:t>W</w:t>
        </w:r>
        <w:r w:rsidR="000B3EA5" w:rsidRPr="00B87FE9">
          <w:rPr>
            <w:rStyle w:val="Hyperlink"/>
            <w:rFonts w:cs="Times New Roman"/>
          </w:rPr>
          <w:t>e Know Initiative</w:t>
        </w:r>
      </w:hyperlink>
    </w:p>
    <w:p w14:paraId="7C881167" w14:textId="076DBF9D" w:rsidR="000B3EA5" w:rsidRDefault="00E2321D" w:rsidP="008A77AF">
      <w:pPr>
        <w:widowControl/>
        <w:autoSpaceDE/>
        <w:autoSpaceDN/>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The </w:t>
      </w:r>
      <w:r w:rsidR="00D125B6" w:rsidRPr="00E2321D">
        <w:rPr>
          <w:rFonts w:asciiTheme="minorHAnsi" w:hAnsiTheme="minorHAnsi" w:cstheme="minorHAnsi"/>
          <w:color w:val="222222"/>
          <w:shd w:val="clear" w:color="auto" w:fill="FFFFFF"/>
        </w:rPr>
        <w:t>"</w:t>
      </w:r>
      <w:r w:rsidR="00D125B6" w:rsidRPr="00E2321D">
        <w:rPr>
          <w:rFonts w:asciiTheme="minorHAnsi" w:hAnsiTheme="minorHAnsi" w:cstheme="minorHAnsi"/>
          <w:shd w:val="clear" w:color="auto" w:fill="FFFFFF"/>
        </w:rPr>
        <w:t>How Do We Know?</w:t>
      </w:r>
      <w:r w:rsidR="00D125B6" w:rsidRPr="00E2321D">
        <w:rPr>
          <w:rFonts w:asciiTheme="minorHAnsi" w:hAnsiTheme="minorHAnsi" w:cstheme="minorHAnsi"/>
          <w:color w:val="222222"/>
          <w:shd w:val="clear" w:color="auto" w:fill="FFFFFF"/>
        </w:rPr>
        <w:t>" initiative provide</w:t>
      </w:r>
      <w:r w:rsidR="00F010E9">
        <w:rPr>
          <w:rFonts w:asciiTheme="minorHAnsi" w:hAnsiTheme="minorHAnsi" w:cstheme="minorHAnsi"/>
          <w:color w:val="222222"/>
          <w:shd w:val="clear" w:color="auto" w:fill="FFFFFF"/>
        </w:rPr>
        <w:t>s</w:t>
      </w:r>
      <w:r w:rsidR="00D125B6" w:rsidRPr="00E2321D">
        <w:rPr>
          <w:rFonts w:asciiTheme="minorHAnsi" w:hAnsiTheme="minorHAnsi" w:cstheme="minorHAnsi"/>
          <w:color w:val="222222"/>
          <w:shd w:val="clear" w:color="auto" w:fill="FFFFFF"/>
        </w:rPr>
        <w:t xml:space="preserve"> resources to help Massachusetts districts locate existing research and to support their ability to measure implementation and impact as part of their improvement strategy. </w:t>
      </w:r>
    </w:p>
    <w:p w14:paraId="33E15596" w14:textId="77777777" w:rsidR="008A77AF" w:rsidRDefault="008A77AF" w:rsidP="008A77AF">
      <w:pPr>
        <w:widowControl/>
        <w:autoSpaceDE/>
        <w:autoSpaceDN/>
        <w:rPr>
          <w:rFonts w:cs="Times New Roman"/>
          <w:b/>
          <w:bCs/>
        </w:rPr>
      </w:pPr>
    </w:p>
    <w:p w14:paraId="71B7A0FA" w14:textId="77777777" w:rsidR="00CA4E65" w:rsidRPr="00226C0E" w:rsidRDefault="00181F64" w:rsidP="00CA4E65">
      <w:pPr>
        <w:widowControl/>
        <w:autoSpaceDE/>
        <w:autoSpaceDN/>
      </w:pPr>
      <w:hyperlink r:id="rId28" w:history="1">
        <w:r w:rsidR="00CA4E65" w:rsidRPr="00226C0E">
          <w:rPr>
            <w:rStyle w:val="Hyperlink"/>
          </w:rPr>
          <w:t>Turnaround Practices Research and Evaluation Reports</w:t>
        </w:r>
      </w:hyperlink>
    </w:p>
    <w:p w14:paraId="2CA77AC7" w14:textId="77777777" w:rsidR="00CA4E65" w:rsidRPr="00226C0E" w:rsidRDefault="00CA4E65" w:rsidP="00CA4E65">
      <w:pPr>
        <w:widowControl/>
        <w:autoSpaceDE/>
        <w:autoSpaceDN/>
      </w:pPr>
      <w:r w:rsidRPr="00226C0E">
        <w:t>Evidence of best practice in implementing the Turnaround Practices in low performing schools.</w:t>
      </w:r>
    </w:p>
    <w:p w14:paraId="2F6506C2" w14:textId="77777777" w:rsidR="00C14FA8" w:rsidRDefault="00C14FA8" w:rsidP="008A77AF">
      <w:pPr>
        <w:widowControl/>
        <w:autoSpaceDE/>
        <w:autoSpaceDN/>
        <w:rPr>
          <w:rFonts w:cs="Times New Roman"/>
          <w:color w:val="0563C1"/>
          <w:u w:val="single"/>
        </w:rPr>
      </w:pPr>
    </w:p>
    <w:p w14:paraId="3866C43E" w14:textId="77777777" w:rsidR="00F833C2" w:rsidRPr="00B87FE9" w:rsidRDefault="00181F64" w:rsidP="00F833C2">
      <w:pPr>
        <w:widowControl/>
        <w:autoSpaceDE/>
        <w:autoSpaceDN/>
        <w:rPr>
          <w:rFonts w:cs="Times New Roman"/>
        </w:rPr>
      </w:pPr>
      <w:hyperlink r:id="rId29" w:history="1">
        <w:r w:rsidR="00F833C2" w:rsidRPr="00B87FE9">
          <w:rPr>
            <w:rStyle w:val="Hyperlink"/>
            <w:rFonts w:cs="Times New Roman"/>
          </w:rPr>
          <w:t>Massachusetts Rethinking Discipline Initiative</w:t>
        </w:r>
      </w:hyperlink>
    </w:p>
    <w:p w14:paraId="59833E70" w14:textId="157320F6" w:rsidR="00F833C2" w:rsidRPr="00B87FE9" w:rsidRDefault="00F833C2" w:rsidP="00F833C2">
      <w:pPr>
        <w:widowControl/>
        <w:autoSpaceDE/>
        <w:autoSpaceDN/>
        <w:rPr>
          <w:rFonts w:cs="Times New Roman"/>
        </w:rPr>
      </w:pPr>
      <w:r>
        <w:rPr>
          <w:rFonts w:cs="Times New Roman"/>
        </w:rPr>
        <w:t>I</w:t>
      </w:r>
      <w:r w:rsidRPr="00B87FE9">
        <w:rPr>
          <w:rFonts w:cs="Times New Roman"/>
        </w:rPr>
        <w:t>nformation about the Rethinking Discipline Initiative and Professional Learning Network</w:t>
      </w:r>
      <w:r w:rsidR="004D56E7">
        <w:rPr>
          <w:rFonts w:cs="Times New Roman"/>
        </w:rPr>
        <w:t>;</w:t>
      </w:r>
      <w:r w:rsidRPr="00B87FE9">
        <w:rPr>
          <w:rFonts w:cs="Times New Roman"/>
        </w:rPr>
        <w:t xml:space="preserve"> includes examples of additional resources related to supportive, inclusive, culturally responsive school climate and discipline practices and policies.</w:t>
      </w:r>
    </w:p>
    <w:p w14:paraId="121B3256" w14:textId="77777777" w:rsidR="00F833C2" w:rsidRDefault="00F833C2" w:rsidP="008A77AF">
      <w:pPr>
        <w:widowControl/>
        <w:autoSpaceDE/>
        <w:autoSpaceDN/>
        <w:rPr>
          <w:rFonts w:cs="Times New Roman"/>
          <w:color w:val="0563C1"/>
          <w:u w:val="single"/>
        </w:rPr>
      </w:pPr>
    </w:p>
    <w:p w14:paraId="5691D031" w14:textId="32ECD7AB" w:rsidR="00FE6757" w:rsidRPr="00226C0E" w:rsidRDefault="00181F64" w:rsidP="00A77EE4">
      <w:pPr>
        <w:rPr>
          <w:rFonts w:asciiTheme="minorHAnsi" w:hAnsiTheme="minorHAnsi" w:cstheme="minorHAnsi"/>
          <w:color w:val="222222"/>
          <w:shd w:val="clear" w:color="auto" w:fill="FFFFFF"/>
        </w:rPr>
      </w:pPr>
      <w:hyperlink r:id="rId30" w:history="1">
        <w:r w:rsidR="00A77EE4" w:rsidRPr="00226C0E">
          <w:rPr>
            <w:rStyle w:val="Hyperlink"/>
            <w:rFonts w:asciiTheme="minorHAnsi" w:hAnsiTheme="minorHAnsi" w:cstheme="minorHAnsi"/>
            <w:shd w:val="clear" w:color="auto" w:fill="FFFFFF"/>
          </w:rPr>
          <w:t>My Career and Academic Plan </w:t>
        </w:r>
      </w:hyperlink>
    </w:p>
    <w:p w14:paraId="42C3CD97" w14:textId="037C2583" w:rsidR="00A77EE4" w:rsidRDefault="00FE6757" w:rsidP="00A77EE4">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My Career and Academic Plan </w:t>
      </w:r>
      <w:r w:rsidR="00A77EE4" w:rsidRPr="00A77EE4">
        <w:rPr>
          <w:rFonts w:asciiTheme="minorHAnsi" w:hAnsiTheme="minorHAnsi" w:cstheme="minorHAnsi"/>
          <w:color w:val="222222"/>
          <w:shd w:val="clear" w:color="auto" w:fill="FFFFFF"/>
        </w:rPr>
        <w:t xml:space="preserve">prepares students for college, </w:t>
      </w:r>
      <w:proofErr w:type="gramStart"/>
      <w:r w:rsidR="00A77EE4" w:rsidRPr="00A77EE4">
        <w:rPr>
          <w:rFonts w:asciiTheme="minorHAnsi" w:hAnsiTheme="minorHAnsi" w:cstheme="minorHAnsi"/>
          <w:color w:val="222222"/>
          <w:shd w:val="clear" w:color="auto" w:fill="FFFFFF"/>
        </w:rPr>
        <w:t>career</w:t>
      </w:r>
      <w:proofErr w:type="gramEnd"/>
      <w:r w:rsidR="00A77EE4" w:rsidRPr="00A77EE4">
        <w:rPr>
          <w:rFonts w:asciiTheme="minorHAnsi" w:hAnsiTheme="minorHAnsi" w:cstheme="minorHAnsi"/>
          <w:color w:val="222222"/>
          <w:shd w:val="clear" w:color="auto" w:fill="FFFFFF"/>
        </w:rPr>
        <w:t xml:space="preserve"> and civic readiness. The MyCAP process engages students in authentic postsecondary planning through a continuum of learning focused on the individual student's interests, </w:t>
      </w:r>
      <w:proofErr w:type="gramStart"/>
      <w:r w:rsidR="00A77EE4" w:rsidRPr="00A77EE4">
        <w:rPr>
          <w:rFonts w:asciiTheme="minorHAnsi" w:hAnsiTheme="minorHAnsi" w:cstheme="minorHAnsi"/>
          <w:color w:val="222222"/>
          <w:shd w:val="clear" w:color="auto" w:fill="FFFFFF"/>
        </w:rPr>
        <w:t>skills</w:t>
      </w:r>
      <w:proofErr w:type="gramEnd"/>
      <w:r w:rsidR="00A77EE4" w:rsidRPr="00A77EE4">
        <w:rPr>
          <w:rFonts w:asciiTheme="minorHAnsi" w:hAnsiTheme="minorHAnsi" w:cstheme="minorHAnsi"/>
          <w:color w:val="222222"/>
          <w:shd w:val="clear" w:color="auto" w:fill="FFFFFF"/>
        </w:rPr>
        <w:t xml:space="preserve"> and talents. This process allows students to be the drivers of their education and empowers them to connect their course taking with career interests, to seek out career development opportunities such as internships, apprenticeships, capstone projects, and to identify the personal, social, and behavioral skills needed to be successful in the workplace.</w:t>
      </w:r>
    </w:p>
    <w:p w14:paraId="5060BC13" w14:textId="77777777" w:rsidR="00AC5E8D" w:rsidRDefault="00AC5E8D" w:rsidP="00A77EE4">
      <w:pPr>
        <w:rPr>
          <w:rFonts w:asciiTheme="minorHAnsi" w:hAnsiTheme="minorHAnsi" w:cstheme="minorHAnsi"/>
          <w:color w:val="222222"/>
          <w:shd w:val="clear" w:color="auto" w:fill="FFFFFF"/>
        </w:rPr>
      </w:pPr>
    </w:p>
    <w:p w14:paraId="1255AAAD" w14:textId="0905764E" w:rsidR="00AC5E8D" w:rsidRDefault="00181F64" w:rsidP="00226C0E">
      <w:pPr>
        <w:shd w:val="clear" w:color="auto" w:fill="FFFFFF"/>
        <w:spacing w:after="100" w:afterAutospacing="1"/>
        <w:rPr>
          <w:rFonts w:asciiTheme="minorHAnsi" w:eastAsiaTheme="minorHAnsi" w:hAnsiTheme="minorHAnsi" w:cstheme="minorHAnsi"/>
          <w:color w:val="222222"/>
        </w:rPr>
      </w:pPr>
      <w:hyperlink r:id="rId31" w:history="1">
        <w:r w:rsidR="00AC5E8D" w:rsidRPr="00226C0E">
          <w:rPr>
            <w:rStyle w:val="Hyperlink"/>
            <w:rFonts w:asciiTheme="minorHAnsi" w:hAnsiTheme="minorHAnsi" w:cstheme="minorHAnsi"/>
          </w:rPr>
          <w:t>Alternative Education Pathways</w:t>
        </w:r>
      </w:hyperlink>
      <w:r w:rsidR="00AC5E8D" w:rsidRPr="00AC5E8D">
        <w:rPr>
          <w:rFonts w:asciiTheme="minorHAnsi" w:hAnsiTheme="minorHAnsi" w:cstheme="minorHAnsi"/>
          <w:color w:val="222222"/>
        </w:rPr>
        <w:br/>
        <w:t>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w:t>
      </w:r>
      <w:hyperlink r:id="rId32" w:history="1">
        <w:r w:rsidR="00AC5E8D" w:rsidRPr="00A02520">
          <w:rPr>
            <w:rStyle w:val="Hyperlink"/>
            <w:rFonts w:asciiTheme="minorHAnsi" w:hAnsiTheme="minorHAnsi" w:cstheme="minorHAnsi"/>
          </w:rPr>
          <w:t>A guide to frequently asked questions on alternative education</w:t>
        </w:r>
        <w:r w:rsidR="00AC5E8D" w:rsidRPr="00AC5E8D">
          <w:rPr>
            <w:rStyle w:val="Hyperlink"/>
            <w:rFonts w:asciiTheme="minorHAnsi" w:hAnsiTheme="minorHAnsi" w:cstheme="minorHAnsi"/>
            <w:color w:val="0060C7"/>
          </w:rPr>
          <w:t> </w:t>
        </w:r>
      </w:hyperlink>
      <w:r w:rsidR="00AC5E8D" w:rsidRPr="00AC5E8D">
        <w:rPr>
          <w:rFonts w:asciiTheme="minorHAnsi" w:hAnsiTheme="minorHAnsi" w:cstheme="minorHAnsi"/>
          <w:color w:val="222222"/>
        </w:rPr>
        <w:t>is available.</w:t>
      </w:r>
    </w:p>
    <w:p w14:paraId="79806451" w14:textId="77777777" w:rsidR="00226C0E" w:rsidRPr="00A02520" w:rsidRDefault="00181F64" w:rsidP="00226C0E">
      <w:pPr>
        <w:shd w:val="clear" w:color="auto" w:fill="FFFFFF"/>
        <w:rPr>
          <w:rStyle w:val="Hyperlink"/>
        </w:rPr>
      </w:pPr>
      <w:hyperlink r:id="rId33" w:history="1">
        <w:r w:rsidR="00226C0E" w:rsidRPr="00A02520">
          <w:rPr>
            <w:rStyle w:val="Hyperlink"/>
            <w:rFonts w:asciiTheme="minorHAnsi" w:hAnsiTheme="minorHAnsi" w:cstheme="minorHAnsi"/>
          </w:rPr>
          <w:t>Dropout Prevention and Reengagement Network</w:t>
        </w:r>
      </w:hyperlink>
    </w:p>
    <w:p w14:paraId="6B3D6711" w14:textId="61D30BA0" w:rsidR="0069443B" w:rsidRPr="003A56A4" w:rsidRDefault="00226C0E" w:rsidP="003A56A4">
      <w:pPr>
        <w:shd w:val="clear" w:color="auto" w:fill="FFFFFF"/>
        <w:rPr>
          <w:rFonts w:asciiTheme="minorHAnsi" w:hAnsiTheme="minorHAnsi" w:cstheme="minorHAnsi"/>
          <w:color w:val="222222"/>
        </w:rPr>
      </w:pPr>
      <w:r w:rsidRPr="00226C0E">
        <w:rPr>
          <w:rFonts w:asciiTheme="minorHAnsi" w:hAnsiTheme="minorHAnsi" w:cstheme="minorHAnsi"/>
          <w:color w:val="222222"/>
        </w:rPr>
        <w:t>Open to any district/school in the Commonwealth, the Dropout Prevention and Reengagement (DPR) Network Meetings provide a venue for hearing from experts from both within and outside of the state on leading topics related to dropout prevention and reengagement, structured opportunities guided by a case consultancy protocol for school teams to learn from one another, and opportunities to meet with DESE staff for additional support.</w:t>
      </w:r>
    </w:p>
    <w:sectPr w:rsidR="0069443B" w:rsidRPr="003A56A4" w:rsidSect="00042BB3">
      <w:headerReference w:type="default" r:id="rId34"/>
      <w:footerReference w:type="default" r:id="rId35"/>
      <w:pgSz w:w="12240" w:h="15840"/>
      <w:pgMar w:top="1296" w:right="1238" w:bottom="1152" w:left="1238" w:header="821"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023F" w14:textId="77777777" w:rsidR="00181F64" w:rsidRDefault="00181F64">
      <w:r>
        <w:separator/>
      </w:r>
    </w:p>
  </w:endnote>
  <w:endnote w:type="continuationSeparator" w:id="0">
    <w:p w14:paraId="3A16B46F" w14:textId="77777777" w:rsidR="00181F64" w:rsidRDefault="00181F64">
      <w:r>
        <w:continuationSeparator/>
      </w:r>
    </w:p>
  </w:endnote>
  <w:endnote w:type="continuationNotice" w:id="1">
    <w:p w14:paraId="7D6A59A3" w14:textId="77777777" w:rsidR="00181F64" w:rsidRDefault="00181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861319"/>
      <w:docPartObj>
        <w:docPartGallery w:val="Page Numbers (Bottom of Page)"/>
        <w:docPartUnique/>
      </w:docPartObj>
    </w:sdtPr>
    <w:sdtEndPr>
      <w:rPr>
        <w:color w:val="595959" w:themeColor="text1" w:themeTint="A6"/>
        <w:spacing w:val="60"/>
      </w:rPr>
    </w:sdtEndPr>
    <w:sdtContent>
      <w:p w14:paraId="454D5036" w14:textId="3932CEF9" w:rsidR="007026F2" w:rsidRDefault="007026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CD01A7">
          <w:rPr>
            <w:color w:val="595959" w:themeColor="text1" w:themeTint="A6"/>
            <w:spacing w:val="60"/>
          </w:rPr>
          <w:t>Page</w:t>
        </w:r>
      </w:p>
    </w:sdtContent>
  </w:sdt>
  <w:p w14:paraId="55395FA7" w14:textId="7BECC4F8" w:rsidR="00607761" w:rsidRDefault="006077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2B6E9" w14:textId="77777777" w:rsidR="00181F64" w:rsidRDefault="00181F64">
      <w:r>
        <w:separator/>
      </w:r>
    </w:p>
  </w:footnote>
  <w:footnote w:type="continuationSeparator" w:id="0">
    <w:p w14:paraId="1EE4CF94" w14:textId="77777777" w:rsidR="00181F64" w:rsidRDefault="00181F64">
      <w:r>
        <w:continuationSeparator/>
      </w:r>
    </w:p>
  </w:footnote>
  <w:footnote w:type="continuationNotice" w:id="1">
    <w:p w14:paraId="44989513" w14:textId="77777777" w:rsidR="00181F64" w:rsidRDefault="00181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8B31" w14:textId="7B705521" w:rsidR="00607761" w:rsidRPr="00FF3E0F" w:rsidRDefault="00607761" w:rsidP="00FF3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620591"/>
    <w:multiLevelType w:val="hybridMultilevel"/>
    <w:tmpl w:val="8A58B84C"/>
    <w:lvl w:ilvl="0" w:tplc="B53EC02A">
      <w:start w:val="1"/>
      <w:numFmt w:val="decimal"/>
      <w:lvlText w:val="%1."/>
      <w:lvlJc w:val="left"/>
      <w:rPr>
        <w:rFonts w:asciiTheme="minorHAnsi" w:hAnsiTheme="minorHAnsi" w:cstheme="minorHAnsi" w:hint="default"/>
        <w:b/>
        <w:bCs/>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D60EF"/>
    <w:multiLevelType w:val="hybridMultilevel"/>
    <w:tmpl w:val="0FC8C20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3055E31"/>
    <w:multiLevelType w:val="hybridMultilevel"/>
    <w:tmpl w:val="A260B6F4"/>
    <w:lvl w:ilvl="0" w:tplc="492ECE0A">
      <w:numFmt w:val="bullet"/>
      <w:lvlText w:val="•"/>
      <w:lvlJc w:val="left"/>
      <w:pPr>
        <w:ind w:left="1080" w:hanging="360"/>
      </w:pPr>
      <w:rPr>
        <w:rFonts w:hint="default"/>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443FE"/>
    <w:multiLevelType w:val="hybridMultilevel"/>
    <w:tmpl w:val="9BAED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F36DD"/>
    <w:multiLevelType w:val="hybridMultilevel"/>
    <w:tmpl w:val="47A284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C32C8"/>
    <w:multiLevelType w:val="hybridMultilevel"/>
    <w:tmpl w:val="20B88BF6"/>
    <w:lvl w:ilvl="0" w:tplc="DBAAB62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227994"/>
    <w:multiLevelType w:val="hybridMultilevel"/>
    <w:tmpl w:val="ED80FE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65672"/>
    <w:multiLevelType w:val="hybridMultilevel"/>
    <w:tmpl w:val="D6CCD5F6"/>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34649D2"/>
    <w:multiLevelType w:val="hybridMultilevel"/>
    <w:tmpl w:val="68E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5278A"/>
    <w:multiLevelType w:val="hybridMultilevel"/>
    <w:tmpl w:val="0310DFC2"/>
    <w:lvl w:ilvl="0" w:tplc="A21CA828">
      <w:start w:val="1"/>
      <w:numFmt w:val="bullet"/>
      <w:lvlText w:val=""/>
      <w:lvlJc w:val="left"/>
      <w:pPr>
        <w:ind w:left="720" w:hanging="360"/>
      </w:pPr>
      <w:rPr>
        <w:rFonts w:ascii="Wingdings" w:hAnsi="Wingdings" w:hint="default"/>
      </w:rPr>
    </w:lvl>
    <w:lvl w:ilvl="1" w:tplc="9BEC30A6">
      <w:start w:val="1"/>
      <w:numFmt w:val="bullet"/>
      <w:lvlText w:val="o"/>
      <w:lvlJc w:val="left"/>
      <w:pPr>
        <w:ind w:left="1440" w:hanging="360"/>
      </w:pPr>
      <w:rPr>
        <w:rFonts w:ascii="Courier New" w:hAnsi="Courier New" w:hint="default"/>
      </w:rPr>
    </w:lvl>
    <w:lvl w:ilvl="2" w:tplc="C1AA35AE">
      <w:start w:val="1"/>
      <w:numFmt w:val="bullet"/>
      <w:lvlText w:val=""/>
      <w:lvlJc w:val="left"/>
      <w:pPr>
        <w:ind w:left="2160" w:hanging="360"/>
      </w:pPr>
      <w:rPr>
        <w:rFonts w:ascii="Wingdings" w:hAnsi="Wingdings" w:hint="default"/>
      </w:rPr>
    </w:lvl>
    <w:lvl w:ilvl="3" w:tplc="E6C6EB0E">
      <w:start w:val="1"/>
      <w:numFmt w:val="bullet"/>
      <w:lvlText w:val=""/>
      <w:lvlJc w:val="left"/>
      <w:pPr>
        <w:ind w:left="2880" w:hanging="360"/>
      </w:pPr>
      <w:rPr>
        <w:rFonts w:ascii="Symbol" w:hAnsi="Symbol" w:hint="default"/>
      </w:rPr>
    </w:lvl>
    <w:lvl w:ilvl="4" w:tplc="FFF26BB2">
      <w:start w:val="1"/>
      <w:numFmt w:val="bullet"/>
      <w:lvlText w:val="o"/>
      <w:lvlJc w:val="left"/>
      <w:pPr>
        <w:ind w:left="3600" w:hanging="360"/>
      </w:pPr>
      <w:rPr>
        <w:rFonts w:ascii="Courier New" w:hAnsi="Courier New" w:hint="default"/>
      </w:rPr>
    </w:lvl>
    <w:lvl w:ilvl="5" w:tplc="25AA3D04">
      <w:start w:val="1"/>
      <w:numFmt w:val="bullet"/>
      <w:lvlText w:val=""/>
      <w:lvlJc w:val="left"/>
      <w:pPr>
        <w:ind w:left="4320" w:hanging="360"/>
      </w:pPr>
      <w:rPr>
        <w:rFonts w:ascii="Wingdings" w:hAnsi="Wingdings" w:hint="default"/>
      </w:rPr>
    </w:lvl>
    <w:lvl w:ilvl="6" w:tplc="2C8426B0">
      <w:start w:val="1"/>
      <w:numFmt w:val="bullet"/>
      <w:lvlText w:val=""/>
      <w:lvlJc w:val="left"/>
      <w:pPr>
        <w:ind w:left="5040" w:hanging="360"/>
      </w:pPr>
      <w:rPr>
        <w:rFonts w:ascii="Symbol" w:hAnsi="Symbol" w:hint="default"/>
      </w:rPr>
    </w:lvl>
    <w:lvl w:ilvl="7" w:tplc="9EA480DE">
      <w:start w:val="1"/>
      <w:numFmt w:val="bullet"/>
      <w:lvlText w:val="o"/>
      <w:lvlJc w:val="left"/>
      <w:pPr>
        <w:ind w:left="5760" w:hanging="360"/>
      </w:pPr>
      <w:rPr>
        <w:rFonts w:ascii="Courier New" w:hAnsi="Courier New" w:hint="default"/>
      </w:rPr>
    </w:lvl>
    <w:lvl w:ilvl="8" w:tplc="2872E04A">
      <w:start w:val="1"/>
      <w:numFmt w:val="bullet"/>
      <w:lvlText w:val=""/>
      <w:lvlJc w:val="left"/>
      <w:pPr>
        <w:ind w:left="6480" w:hanging="360"/>
      </w:pPr>
      <w:rPr>
        <w:rFonts w:ascii="Wingdings" w:hAnsi="Wingdings" w:hint="default"/>
      </w:rPr>
    </w:lvl>
  </w:abstractNum>
  <w:abstractNum w:abstractNumId="10" w15:restartNumberingAfterBreak="0">
    <w:nsid w:val="36EA005F"/>
    <w:multiLevelType w:val="hybridMultilevel"/>
    <w:tmpl w:val="DEBC62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462EC"/>
    <w:multiLevelType w:val="hybridMultilevel"/>
    <w:tmpl w:val="6FD8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ED1AE5"/>
    <w:multiLevelType w:val="hybridMultilevel"/>
    <w:tmpl w:val="5C12A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30310"/>
    <w:multiLevelType w:val="hybridMultilevel"/>
    <w:tmpl w:val="48CA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C7E83"/>
    <w:multiLevelType w:val="hybridMultilevel"/>
    <w:tmpl w:val="7D5240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E2EF4"/>
    <w:multiLevelType w:val="hybridMultilevel"/>
    <w:tmpl w:val="592E9086"/>
    <w:lvl w:ilvl="0" w:tplc="F2FC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47222"/>
    <w:multiLevelType w:val="multilevel"/>
    <w:tmpl w:val="B37A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D52BD"/>
    <w:multiLevelType w:val="hybridMultilevel"/>
    <w:tmpl w:val="8D1C06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0D04C2F"/>
    <w:multiLevelType w:val="hybridMultilevel"/>
    <w:tmpl w:val="3D1A760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6D83DF2"/>
    <w:multiLevelType w:val="hybridMultilevel"/>
    <w:tmpl w:val="8018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54722"/>
    <w:multiLevelType w:val="hybridMultilevel"/>
    <w:tmpl w:val="277C1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41F0C"/>
    <w:multiLevelType w:val="hybridMultilevel"/>
    <w:tmpl w:val="51048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AC5C4A"/>
    <w:multiLevelType w:val="hybridMultilevel"/>
    <w:tmpl w:val="A13AC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E37EC7"/>
    <w:multiLevelType w:val="hybridMultilevel"/>
    <w:tmpl w:val="EB40A1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955E8"/>
    <w:multiLevelType w:val="hybridMultilevel"/>
    <w:tmpl w:val="C41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C1618"/>
    <w:multiLevelType w:val="hybridMultilevel"/>
    <w:tmpl w:val="AD145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8A2214"/>
    <w:multiLevelType w:val="hybridMultilevel"/>
    <w:tmpl w:val="45702A1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10"/>
  </w:num>
  <w:num w:numId="5">
    <w:abstractNumId w:val="6"/>
  </w:num>
  <w:num w:numId="6">
    <w:abstractNumId w:val="15"/>
  </w:num>
  <w:num w:numId="7">
    <w:abstractNumId w:val="24"/>
  </w:num>
  <w:num w:numId="8">
    <w:abstractNumId w:val="27"/>
  </w:num>
  <w:num w:numId="9">
    <w:abstractNumId w:val="0"/>
  </w:num>
  <w:num w:numId="10">
    <w:abstractNumId w:val="20"/>
  </w:num>
  <w:num w:numId="11">
    <w:abstractNumId w:val="13"/>
  </w:num>
  <w:num w:numId="12">
    <w:abstractNumId w:val="7"/>
  </w:num>
  <w:num w:numId="13">
    <w:abstractNumId w:val="18"/>
  </w:num>
  <w:num w:numId="14">
    <w:abstractNumId w:val="1"/>
  </w:num>
  <w:num w:numId="15">
    <w:abstractNumId w:val="22"/>
  </w:num>
  <w:num w:numId="16">
    <w:abstractNumId w:val="4"/>
  </w:num>
  <w:num w:numId="17">
    <w:abstractNumId w:val="21"/>
  </w:num>
  <w:num w:numId="18">
    <w:abstractNumId w:val="26"/>
  </w:num>
  <w:num w:numId="19">
    <w:abstractNumId w:val="23"/>
  </w:num>
  <w:num w:numId="20">
    <w:abstractNumId w:val="3"/>
  </w:num>
  <w:num w:numId="21">
    <w:abstractNumId w:val="19"/>
  </w:num>
  <w:num w:numId="22">
    <w:abstractNumId w:val="25"/>
  </w:num>
  <w:num w:numId="23">
    <w:abstractNumId w:val="14"/>
  </w:num>
  <w:num w:numId="24">
    <w:abstractNumId w:val="8"/>
  </w:num>
  <w:num w:numId="25">
    <w:abstractNumId w:val="11"/>
  </w:num>
  <w:num w:numId="26">
    <w:abstractNumId w:val="16"/>
  </w:num>
  <w:num w:numId="27">
    <w:abstractNumId w:val="17"/>
    <w:lvlOverride w:ilvl="0">
      <w:lvl w:ilvl="0">
        <w:numFmt w:val="decimal"/>
        <w:lvlText w:val=""/>
        <w:lvlJc w:val="left"/>
      </w:lvl>
    </w:lvlOverride>
    <w:lvlOverride w:ilvl="1">
      <w:lvl w:ilvl="1">
        <w:start w:val="1"/>
        <w:numFmt w:val="decimal"/>
        <w:lvlText w:val=""/>
        <w:lvlJc w:val="left"/>
        <w:pPr>
          <w:tabs>
            <w:tab w:val="num" w:pos="2160"/>
          </w:tabs>
          <w:ind w:left="216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0D"/>
    <w:rsid w:val="000021ED"/>
    <w:rsid w:val="00003A0E"/>
    <w:rsid w:val="00005A14"/>
    <w:rsid w:val="00006F29"/>
    <w:rsid w:val="00011D58"/>
    <w:rsid w:val="000131F9"/>
    <w:rsid w:val="000179FD"/>
    <w:rsid w:val="00017A91"/>
    <w:rsid w:val="0002162A"/>
    <w:rsid w:val="0002241B"/>
    <w:rsid w:val="00030AEA"/>
    <w:rsid w:val="0004012E"/>
    <w:rsid w:val="00042288"/>
    <w:rsid w:val="00042BB3"/>
    <w:rsid w:val="00043AD8"/>
    <w:rsid w:val="000441F1"/>
    <w:rsid w:val="00044AD6"/>
    <w:rsid w:val="00044CC2"/>
    <w:rsid w:val="0004509E"/>
    <w:rsid w:val="0005080E"/>
    <w:rsid w:val="00053304"/>
    <w:rsid w:val="00053E23"/>
    <w:rsid w:val="00055C12"/>
    <w:rsid w:val="00055E18"/>
    <w:rsid w:val="00056654"/>
    <w:rsid w:val="00060D50"/>
    <w:rsid w:val="0006280D"/>
    <w:rsid w:val="00065638"/>
    <w:rsid w:val="000668F1"/>
    <w:rsid w:val="00080845"/>
    <w:rsid w:val="0009054F"/>
    <w:rsid w:val="00093876"/>
    <w:rsid w:val="000962C4"/>
    <w:rsid w:val="000A05FA"/>
    <w:rsid w:val="000A60BA"/>
    <w:rsid w:val="000A6218"/>
    <w:rsid w:val="000B02CE"/>
    <w:rsid w:val="000B1770"/>
    <w:rsid w:val="000B3809"/>
    <w:rsid w:val="000B3EA5"/>
    <w:rsid w:val="000B781E"/>
    <w:rsid w:val="000B78B2"/>
    <w:rsid w:val="000C1D89"/>
    <w:rsid w:val="000C3DD2"/>
    <w:rsid w:val="000C551D"/>
    <w:rsid w:val="000C6FF4"/>
    <w:rsid w:val="000D17BC"/>
    <w:rsid w:val="000D1CFE"/>
    <w:rsid w:val="000D43D4"/>
    <w:rsid w:val="000E0C63"/>
    <w:rsid w:val="000E22D4"/>
    <w:rsid w:val="000E305E"/>
    <w:rsid w:val="000E3430"/>
    <w:rsid w:val="000E718E"/>
    <w:rsid w:val="000F0ACF"/>
    <w:rsid w:val="000F30FB"/>
    <w:rsid w:val="000F4280"/>
    <w:rsid w:val="000F6A98"/>
    <w:rsid w:val="000F718B"/>
    <w:rsid w:val="000F7B2A"/>
    <w:rsid w:val="001024CC"/>
    <w:rsid w:val="00102850"/>
    <w:rsid w:val="001118DA"/>
    <w:rsid w:val="00111CB1"/>
    <w:rsid w:val="00116478"/>
    <w:rsid w:val="00121489"/>
    <w:rsid w:val="0012626A"/>
    <w:rsid w:val="0012674F"/>
    <w:rsid w:val="00131FB0"/>
    <w:rsid w:val="00143175"/>
    <w:rsid w:val="0014467D"/>
    <w:rsid w:val="001549A3"/>
    <w:rsid w:val="00155201"/>
    <w:rsid w:val="001562C5"/>
    <w:rsid w:val="00157D95"/>
    <w:rsid w:val="00162198"/>
    <w:rsid w:val="00167FF8"/>
    <w:rsid w:val="00171DA5"/>
    <w:rsid w:val="0018098A"/>
    <w:rsid w:val="00181F64"/>
    <w:rsid w:val="0018205C"/>
    <w:rsid w:val="00184C8C"/>
    <w:rsid w:val="0019049F"/>
    <w:rsid w:val="0019082A"/>
    <w:rsid w:val="0019477E"/>
    <w:rsid w:val="00196C9D"/>
    <w:rsid w:val="00197A59"/>
    <w:rsid w:val="001A2204"/>
    <w:rsid w:val="001A62BB"/>
    <w:rsid w:val="001A7FFB"/>
    <w:rsid w:val="001B15CD"/>
    <w:rsid w:val="001B7700"/>
    <w:rsid w:val="001C0139"/>
    <w:rsid w:val="001C1495"/>
    <w:rsid w:val="001C6907"/>
    <w:rsid w:val="001D7336"/>
    <w:rsid w:val="001E5ACA"/>
    <w:rsid w:val="001E64A6"/>
    <w:rsid w:val="001E6E92"/>
    <w:rsid w:val="001E79FF"/>
    <w:rsid w:val="001F389A"/>
    <w:rsid w:val="002046BE"/>
    <w:rsid w:val="00206009"/>
    <w:rsid w:val="00206C23"/>
    <w:rsid w:val="002133EC"/>
    <w:rsid w:val="002164FA"/>
    <w:rsid w:val="00216ABB"/>
    <w:rsid w:val="00217120"/>
    <w:rsid w:val="0022020C"/>
    <w:rsid w:val="002206B1"/>
    <w:rsid w:val="00221917"/>
    <w:rsid w:val="00226C0E"/>
    <w:rsid w:val="00231996"/>
    <w:rsid w:val="00231B0D"/>
    <w:rsid w:val="00233848"/>
    <w:rsid w:val="00241F24"/>
    <w:rsid w:val="002424E6"/>
    <w:rsid w:val="00243550"/>
    <w:rsid w:val="00246024"/>
    <w:rsid w:val="002648D9"/>
    <w:rsid w:val="002663CD"/>
    <w:rsid w:val="00271FDE"/>
    <w:rsid w:val="00276749"/>
    <w:rsid w:val="00276DAC"/>
    <w:rsid w:val="00284C4E"/>
    <w:rsid w:val="00285E9A"/>
    <w:rsid w:val="00287A38"/>
    <w:rsid w:val="00290A0C"/>
    <w:rsid w:val="00294745"/>
    <w:rsid w:val="00296BBE"/>
    <w:rsid w:val="002B02BA"/>
    <w:rsid w:val="002B10E1"/>
    <w:rsid w:val="002B2DFD"/>
    <w:rsid w:val="002B602C"/>
    <w:rsid w:val="002B71ED"/>
    <w:rsid w:val="002C133C"/>
    <w:rsid w:val="002C186C"/>
    <w:rsid w:val="002C4B2E"/>
    <w:rsid w:val="002C588E"/>
    <w:rsid w:val="002C61C1"/>
    <w:rsid w:val="002D2720"/>
    <w:rsid w:val="002D27A2"/>
    <w:rsid w:val="002D2999"/>
    <w:rsid w:val="002D51B5"/>
    <w:rsid w:val="002E035D"/>
    <w:rsid w:val="002E15D1"/>
    <w:rsid w:val="002E290E"/>
    <w:rsid w:val="002E5345"/>
    <w:rsid w:val="002F190C"/>
    <w:rsid w:val="002F1BE6"/>
    <w:rsid w:val="002F1D0A"/>
    <w:rsid w:val="002F2CD8"/>
    <w:rsid w:val="002F466D"/>
    <w:rsid w:val="00300AE9"/>
    <w:rsid w:val="00302AA1"/>
    <w:rsid w:val="003125C4"/>
    <w:rsid w:val="003158AD"/>
    <w:rsid w:val="00316E2C"/>
    <w:rsid w:val="00322736"/>
    <w:rsid w:val="00325C8D"/>
    <w:rsid w:val="00325F97"/>
    <w:rsid w:val="00326607"/>
    <w:rsid w:val="00334BA3"/>
    <w:rsid w:val="00345755"/>
    <w:rsid w:val="00346D0A"/>
    <w:rsid w:val="00346D6C"/>
    <w:rsid w:val="00370025"/>
    <w:rsid w:val="003709E0"/>
    <w:rsid w:val="0037172A"/>
    <w:rsid w:val="0037215D"/>
    <w:rsid w:val="003747CB"/>
    <w:rsid w:val="00375F5C"/>
    <w:rsid w:val="003815BA"/>
    <w:rsid w:val="003819E7"/>
    <w:rsid w:val="00383B33"/>
    <w:rsid w:val="003862CE"/>
    <w:rsid w:val="00391CF4"/>
    <w:rsid w:val="00396D97"/>
    <w:rsid w:val="003A0F65"/>
    <w:rsid w:val="003A1806"/>
    <w:rsid w:val="003A3537"/>
    <w:rsid w:val="003A4762"/>
    <w:rsid w:val="003A51C7"/>
    <w:rsid w:val="003A56A4"/>
    <w:rsid w:val="003B05AB"/>
    <w:rsid w:val="003B270A"/>
    <w:rsid w:val="003B29B5"/>
    <w:rsid w:val="003C6E07"/>
    <w:rsid w:val="003D1337"/>
    <w:rsid w:val="003D285F"/>
    <w:rsid w:val="003D5A9D"/>
    <w:rsid w:val="003D5E45"/>
    <w:rsid w:val="003E0629"/>
    <w:rsid w:val="003E605B"/>
    <w:rsid w:val="003E65AF"/>
    <w:rsid w:val="003F3411"/>
    <w:rsid w:val="003F3D63"/>
    <w:rsid w:val="003F4534"/>
    <w:rsid w:val="0040128C"/>
    <w:rsid w:val="0041053D"/>
    <w:rsid w:val="00410597"/>
    <w:rsid w:val="00411F56"/>
    <w:rsid w:val="00420A29"/>
    <w:rsid w:val="0042103C"/>
    <w:rsid w:val="0042204F"/>
    <w:rsid w:val="004316F4"/>
    <w:rsid w:val="00431B8A"/>
    <w:rsid w:val="00440C3C"/>
    <w:rsid w:val="004415D4"/>
    <w:rsid w:val="00442ACB"/>
    <w:rsid w:val="004558B4"/>
    <w:rsid w:val="004619D7"/>
    <w:rsid w:val="00462092"/>
    <w:rsid w:val="00463F14"/>
    <w:rsid w:val="00465BE0"/>
    <w:rsid w:val="00465CE0"/>
    <w:rsid w:val="00466F5E"/>
    <w:rsid w:val="00474D68"/>
    <w:rsid w:val="004773E2"/>
    <w:rsid w:val="00477720"/>
    <w:rsid w:val="00480784"/>
    <w:rsid w:val="00483EDF"/>
    <w:rsid w:val="00485845"/>
    <w:rsid w:val="00486F96"/>
    <w:rsid w:val="00487336"/>
    <w:rsid w:val="004A0AAB"/>
    <w:rsid w:val="004A20DC"/>
    <w:rsid w:val="004A4833"/>
    <w:rsid w:val="004A5567"/>
    <w:rsid w:val="004A72D3"/>
    <w:rsid w:val="004A7D2B"/>
    <w:rsid w:val="004B1E1B"/>
    <w:rsid w:val="004B218D"/>
    <w:rsid w:val="004B3686"/>
    <w:rsid w:val="004B533E"/>
    <w:rsid w:val="004C1240"/>
    <w:rsid w:val="004C5E51"/>
    <w:rsid w:val="004D156A"/>
    <w:rsid w:val="004D26E1"/>
    <w:rsid w:val="004D2908"/>
    <w:rsid w:val="004D2B2B"/>
    <w:rsid w:val="004D4A91"/>
    <w:rsid w:val="004D56E7"/>
    <w:rsid w:val="004D7061"/>
    <w:rsid w:val="004F4792"/>
    <w:rsid w:val="00500131"/>
    <w:rsid w:val="00500772"/>
    <w:rsid w:val="0051375C"/>
    <w:rsid w:val="0051664A"/>
    <w:rsid w:val="005212F2"/>
    <w:rsid w:val="005233C9"/>
    <w:rsid w:val="0052410E"/>
    <w:rsid w:val="00531791"/>
    <w:rsid w:val="00534014"/>
    <w:rsid w:val="00541D05"/>
    <w:rsid w:val="00545E4E"/>
    <w:rsid w:val="00547835"/>
    <w:rsid w:val="00553D62"/>
    <w:rsid w:val="0056072A"/>
    <w:rsid w:val="0057198F"/>
    <w:rsid w:val="00580A98"/>
    <w:rsid w:val="00587058"/>
    <w:rsid w:val="00587107"/>
    <w:rsid w:val="00596A54"/>
    <w:rsid w:val="00596DDB"/>
    <w:rsid w:val="005A17B6"/>
    <w:rsid w:val="005A4F07"/>
    <w:rsid w:val="005A57D8"/>
    <w:rsid w:val="005A6340"/>
    <w:rsid w:val="005B1E20"/>
    <w:rsid w:val="005B38D8"/>
    <w:rsid w:val="005B45BA"/>
    <w:rsid w:val="005C1DB4"/>
    <w:rsid w:val="005C4371"/>
    <w:rsid w:val="005C44DB"/>
    <w:rsid w:val="005C5383"/>
    <w:rsid w:val="005C611C"/>
    <w:rsid w:val="005C618C"/>
    <w:rsid w:val="005C750E"/>
    <w:rsid w:val="005D0D49"/>
    <w:rsid w:val="005D1308"/>
    <w:rsid w:val="005D6623"/>
    <w:rsid w:val="005D7466"/>
    <w:rsid w:val="005E5A2E"/>
    <w:rsid w:val="005E6EB9"/>
    <w:rsid w:val="005F20AA"/>
    <w:rsid w:val="005F3800"/>
    <w:rsid w:val="00600861"/>
    <w:rsid w:val="00602C99"/>
    <w:rsid w:val="00603823"/>
    <w:rsid w:val="00607761"/>
    <w:rsid w:val="00615B82"/>
    <w:rsid w:val="00616B46"/>
    <w:rsid w:val="006218B1"/>
    <w:rsid w:val="006229AE"/>
    <w:rsid w:val="0062796A"/>
    <w:rsid w:val="00632A7F"/>
    <w:rsid w:val="00646A81"/>
    <w:rsid w:val="00646D53"/>
    <w:rsid w:val="0065372A"/>
    <w:rsid w:val="00657D47"/>
    <w:rsid w:val="00660763"/>
    <w:rsid w:val="00660B48"/>
    <w:rsid w:val="006613D4"/>
    <w:rsid w:val="006637D5"/>
    <w:rsid w:val="00667B0E"/>
    <w:rsid w:val="00667E36"/>
    <w:rsid w:val="0067448A"/>
    <w:rsid w:val="00676274"/>
    <w:rsid w:val="006779B6"/>
    <w:rsid w:val="00677F3C"/>
    <w:rsid w:val="00685FC3"/>
    <w:rsid w:val="00690231"/>
    <w:rsid w:val="0069443B"/>
    <w:rsid w:val="00695153"/>
    <w:rsid w:val="006961BE"/>
    <w:rsid w:val="006979E8"/>
    <w:rsid w:val="006A2BD8"/>
    <w:rsid w:val="006A52A1"/>
    <w:rsid w:val="006B3A33"/>
    <w:rsid w:val="006B41D0"/>
    <w:rsid w:val="006B660C"/>
    <w:rsid w:val="006C28E8"/>
    <w:rsid w:val="006C2E51"/>
    <w:rsid w:val="006D22D8"/>
    <w:rsid w:val="006D297D"/>
    <w:rsid w:val="006D3DE7"/>
    <w:rsid w:val="006D5891"/>
    <w:rsid w:val="006D59C4"/>
    <w:rsid w:val="006D6366"/>
    <w:rsid w:val="006E021A"/>
    <w:rsid w:val="006E17EB"/>
    <w:rsid w:val="006E5EF6"/>
    <w:rsid w:val="006E7FEE"/>
    <w:rsid w:val="006F6E93"/>
    <w:rsid w:val="0070057E"/>
    <w:rsid w:val="007026F2"/>
    <w:rsid w:val="0070294E"/>
    <w:rsid w:val="007030B7"/>
    <w:rsid w:val="00703A8B"/>
    <w:rsid w:val="00706AF3"/>
    <w:rsid w:val="00707B38"/>
    <w:rsid w:val="00713FE2"/>
    <w:rsid w:val="007147B9"/>
    <w:rsid w:val="00720790"/>
    <w:rsid w:val="007227D3"/>
    <w:rsid w:val="0072327C"/>
    <w:rsid w:val="007304CC"/>
    <w:rsid w:val="007375D0"/>
    <w:rsid w:val="00745596"/>
    <w:rsid w:val="0075121F"/>
    <w:rsid w:val="007513E2"/>
    <w:rsid w:val="0075373E"/>
    <w:rsid w:val="007548C2"/>
    <w:rsid w:val="00761F88"/>
    <w:rsid w:val="00764FB3"/>
    <w:rsid w:val="0076509C"/>
    <w:rsid w:val="00765502"/>
    <w:rsid w:val="0076597B"/>
    <w:rsid w:val="0076716E"/>
    <w:rsid w:val="007779CF"/>
    <w:rsid w:val="00783214"/>
    <w:rsid w:val="00784B2F"/>
    <w:rsid w:val="0078638A"/>
    <w:rsid w:val="0078736B"/>
    <w:rsid w:val="0078763B"/>
    <w:rsid w:val="00794548"/>
    <w:rsid w:val="00796019"/>
    <w:rsid w:val="007B0582"/>
    <w:rsid w:val="007B1D7C"/>
    <w:rsid w:val="007B4128"/>
    <w:rsid w:val="007C07D7"/>
    <w:rsid w:val="007C0CEC"/>
    <w:rsid w:val="007C5D7E"/>
    <w:rsid w:val="007D1E0F"/>
    <w:rsid w:val="007D2900"/>
    <w:rsid w:val="007D3CA9"/>
    <w:rsid w:val="007E23DB"/>
    <w:rsid w:val="007E76E5"/>
    <w:rsid w:val="007F0448"/>
    <w:rsid w:val="007F13F6"/>
    <w:rsid w:val="007F28E1"/>
    <w:rsid w:val="007F3423"/>
    <w:rsid w:val="007F49D2"/>
    <w:rsid w:val="00802534"/>
    <w:rsid w:val="00805383"/>
    <w:rsid w:val="00805E90"/>
    <w:rsid w:val="00810216"/>
    <w:rsid w:val="00812A9B"/>
    <w:rsid w:val="0081599D"/>
    <w:rsid w:val="0082560C"/>
    <w:rsid w:val="0083249D"/>
    <w:rsid w:val="00835DF7"/>
    <w:rsid w:val="00837236"/>
    <w:rsid w:val="00840FBE"/>
    <w:rsid w:val="008519E5"/>
    <w:rsid w:val="00853D30"/>
    <w:rsid w:val="00856E46"/>
    <w:rsid w:val="00857AB1"/>
    <w:rsid w:val="008656C9"/>
    <w:rsid w:val="008676D3"/>
    <w:rsid w:val="0086BF91"/>
    <w:rsid w:val="00871D28"/>
    <w:rsid w:val="00875C08"/>
    <w:rsid w:val="00880FDB"/>
    <w:rsid w:val="00883AF5"/>
    <w:rsid w:val="00884EFC"/>
    <w:rsid w:val="00895307"/>
    <w:rsid w:val="00897392"/>
    <w:rsid w:val="0089781F"/>
    <w:rsid w:val="008A34B7"/>
    <w:rsid w:val="008A474C"/>
    <w:rsid w:val="008A77AF"/>
    <w:rsid w:val="008B29C7"/>
    <w:rsid w:val="008B7215"/>
    <w:rsid w:val="008C1416"/>
    <w:rsid w:val="008C1EBF"/>
    <w:rsid w:val="008D1093"/>
    <w:rsid w:val="008D227A"/>
    <w:rsid w:val="008E0AFD"/>
    <w:rsid w:val="008E4CE8"/>
    <w:rsid w:val="008E4D8A"/>
    <w:rsid w:val="008E5A7D"/>
    <w:rsid w:val="008F0DF3"/>
    <w:rsid w:val="008F7544"/>
    <w:rsid w:val="0090143E"/>
    <w:rsid w:val="00902DE7"/>
    <w:rsid w:val="009037F8"/>
    <w:rsid w:val="009058E5"/>
    <w:rsid w:val="009122E4"/>
    <w:rsid w:val="0091348E"/>
    <w:rsid w:val="009135E5"/>
    <w:rsid w:val="00917B50"/>
    <w:rsid w:val="00920CE9"/>
    <w:rsid w:val="009212BD"/>
    <w:rsid w:val="00933FF3"/>
    <w:rsid w:val="00936099"/>
    <w:rsid w:val="00947C0D"/>
    <w:rsid w:val="009545EE"/>
    <w:rsid w:val="00955685"/>
    <w:rsid w:val="0096243F"/>
    <w:rsid w:val="00962E77"/>
    <w:rsid w:val="009630CD"/>
    <w:rsid w:val="00966503"/>
    <w:rsid w:val="0097403B"/>
    <w:rsid w:val="009744C4"/>
    <w:rsid w:val="00974F79"/>
    <w:rsid w:val="0097704B"/>
    <w:rsid w:val="00980DB8"/>
    <w:rsid w:val="00984D08"/>
    <w:rsid w:val="00986DCD"/>
    <w:rsid w:val="00992D04"/>
    <w:rsid w:val="00994C12"/>
    <w:rsid w:val="009A177F"/>
    <w:rsid w:val="009A6C4D"/>
    <w:rsid w:val="009B4479"/>
    <w:rsid w:val="009B45C8"/>
    <w:rsid w:val="009C0F13"/>
    <w:rsid w:val="009C1444"/>
    <w:rsid w:val="009C4549"/>
    <w:rsid w:val="009C56E8"/>
    <w:rsid w:val="009C6209"/>
    <w:rsid w:val="009D208F"/>
    <w:rsid w:val="009E0628"/>
    <w:rsid w:val="009E51F2"/>
    <w:rsid w:val="009E7BAE"/>
    <w:rsid w:val="009F2146"/>
    <w:rsid w:val="00A02520"/>
    <w:rsid w:val="00A04A81"/>
    <w:rsid w:val="00A125C6"/>
    <w:rsid w:val="00A13AAB"/>
    <w:rsid w:val="00A1703A"/>
    <w:rsid w:val="00A30E82"/>
    <w:rsid w:val="00A31433"/>
    <w:rsid w:val="00A3394F"/>
    <w:rsid w:val="00A3658B"/>
    <w:rsid w:val="00A41BCB"/>
    <w:rsid w:val="00A42A13"/>
    <w:rsid w:val="00A47253"/>
    <w:rsid w:val="00A5084A"/>
    <w:rsid w:val="00A5162F"/>
    <w:rsid w:val="00A54210"/>
    <w:rsid w:val="00A55C37"/>
    <w:rsid w:val="00A62650"/>
    <w:rsid w:val="00A6490D"/>
    <w:rsid w:val="00A7469C"/>
    <w:rsid w:val="00A77EE4"/>
    <w:rsid w:val="00A80C78"/>
    <w:rsid w:val="00A82082"/>
    <w:rsid w:val="00A820D2"/>
    <w:rsid w:val="00A82C93"/>
    <w:rsid w:val="00A834E5"/>
    <w:rsid w:val="00A85D6B"/>
    <w:rsid w:val="00AA0DC9"/>
    <w:rsid w:val="00AA1F51"/>
    <w:rsid w:val="00AA3F6F"/>
    <w:rsid w:val="00AA4A5C"/>
    <w:rsid w:val="00AA6AF4"/>
    <w:rsid w:val="00AB2405"/>
    <w:rsid w:val="00AB2770"/>
    <w:rsid w:val="00AB4C6A"/>
    <w:rsid w:val="00AB509A"/>
    <w:rsid w:val="00AB6454"/>
    <w:rsid w:val="00AB64CA"/>
    <w:rsid w:val="00AC5E8D"/>
    <w:rsid w:val="00AD390B"/>
    <w:rsid w:val="00AD3B5C"/>
    <w:rsid w:val="00AE0E6E"/>
    <w:rsid w:val="00AE2A06"/>
    <w:rsid w:val="00AE38A0"/>
    <w:rsid w:val="00AE7872"/>
    <w:rsid w:val="00AF258F"/>
    <w:rsid w:val="00B030C8"/>
    <w:rsid w:val="00B0562E"/>
    <w:rsid w:val="00B0669D"/>
    <w:rsid w:val="00B12A82"/>
    <w:rsid w:val="00B139C9"/>
    <w:rsid w:val="00B14CD4"/>
    <w:rsid w:val="00B154BF"/>
    <w:rsid w:val="00B15AAC"/>
    <w:rsid w:val="00B16D13"/>
    <w:rsid w:val="00B20CBE"/>
    <w:rsid w:val="00B215AC"/>
    <w:rsid w:val="00B24D15"/>
    <w:rsid w:val="00B40FBB"/>
    <w:rsid w:val="00B41CDF"/>
    <w:rsid w:val="00B43A26"/>
    <w:rsid w:val="00B4728A"/>
    <w:rsid w:val="00B513AE"/>
    <w:rsid w:val="00B51A6B"/>
    <w:rsid w:val="00B5500F"/>
    <w:rsid w:val="00B568FC"/>
    <w:rsid w:val="00B57E8B"/>
    <w:rsid w:val="00B60058"/>
    <w:rsid w:val="00B61C37"/>
    <w:rsid w:val="00B72BA6"/>
    <w:rsid w:val="00B73D15"/>
    <w:rsid w:val="00B77FDF"/>
    <w:rsid w:val="00B81294"/>
    <w:rsid w:val="00B82856"/>
    <w:rsid w:val="00B833F5"/>
    <w:rsid w:val="00B85C31"/>
    <w:rsid w:val="00B870BE"/>
    <w:rsid w:val="00B87D99"/>
    <w:rsid w:val="00B87F56"/>
    <w:rsid w:val="00B87FE9"/>
    <w:rsid w:val="00B91300"/>
    <w:rsid w:val="00B94E04"/>
    <w:rsid w:val="00B96753"/>
    <w:rsid w:val="00BA3875"/>
    <w:rsid w:val="00BA59B5"/>
    <w:rsid w:val="00BA602A"/>
    <w:rsid w:val="00BA77F3"/>
    <w:rsid w:val="00BB17C6"/>
    <w:rsid w:val="00BB3CD8"/>
    <w:rsid w:val="00BB3D9E"/>
    <w:rsid w:val="00BC0EE3"/>
    <w:rsid w:val="00BC1981"/>
    <w:rsid w:val="00BD02D8"/>
    <w:rsid w:val="00BD1FB3"/>
    <w:rsid w:val="00BD28A5"/>
    <w:rsid w:val="00BD46B6"/>
    <w:rsid w:val="00BE3529"/>
    <w:rsid w:val="00BE4ADC"/>
    <w:rsid w:val="00BE6A53"/>
    <w:rsid w:val="00BF1446"/>
    <w:rsid w:val="00BF229A"/>
    <w:rsid w:val="00BF6A66"/>
    <w:rsid w:val="00BF7F80"/>
    <w:rsid w:val="00C0353A"/>
    <w:rsid w:val="00C11E78"/>
    <w:rsid w:val="00C14FA8"/>
    <w:rsid w:val="00C17449"/>
    <w:rsid w:val="00C20DD9"/>
    <w:rsid w:val="00C228B3"/>
    <w:rsid w:val="00C22F8C"/>
    <w:rsid w:val="00C26576"/>
    <w:rsid w:val="00C30642"/>
    <w:rsid w:val="00C32317"/>
    <w:rsid w:val="00C36414"/>
    <w:rsid w:val="00C37C1D"/>
    <w:rsid w:val="00C41504"/>
    <w:rsid w:val="00C458CA"/>
    <w:rsid w:val="00C46B69"/>
    <w:rsid w:val="00C47CCD"/>
    <w:rsid w:val="00C52ACC"/>
    <w:rsid w:val="00C56CCF"/>
    <w:rsid w:val="00C57975"/>
    <w:rsid w:val="00C57EDD"/>
    <w:rsid w:val="00C64C79"/>
    <w:rsid w:val="00C70C29"/>
    <w:rsid w:val="00C70D94"/>
    <w:rsid w:val="00C71F49"/>
    <w:rsid w:val="00C7733F"/>
    <w:rsid w:val="00C80947"/>
    <w:rsid w:val="00C871CF"/>
    <w:rsid w:val="00C92517"/>
    <w:rsid w:val="00C96BA8"/>
    <w:rsid w:val="00C97EED"/>
    <w:rsid w:val="00CA052A"/>
    <w:rsid w:val="00CA07A6"/>
    <w:rsid w:val="00CA0D11"/>
    <w:rsid w:val="00CA4E65"/>
    <w:rsid w:val="00CA6C97"/>
    <w:rsid w:val="00CA74A1"/>
    <w:rsid w:val="00CB3557"/>
    <w:rsid w:val="00CC229D"/>
    <w:rsid w:val="00CC238C"/>
    <w:rsid w:val="00CC3627"/>
    <w:rsid w:val="00CC5433"/>
    <w:rsid w:val="00CC7018"/>
    <w:rsid w:val="00CC73D6"/>
    <w:rsid w:val="00CD01A7"/>
    <w:rsid w:val="00CE2CF2"/>
    <w:rsid w:val="00CE6F49"/>
    <w:rsid w:val="00CF2727"/>
    <w:rsid w:val="00D06A6A"/>
    <w:rsid w:val="00D125B6"/>
    <w:rsid w:val="00D12BCF"/>
    <w:rsid w:val="00D1395D"/>
    <w:rsid w:val="00D15E2B"/>
    <w:rsid w:val="00D15EEF"/>
    <w:rsid w:val="00D16BAF"/>
    <w:rsid w:val="00D17B22"/>
    <w:rsid w:val="00D26473"/>
    <w:rsid w:val="00D3272B"/>
    <w:rsid w:val="00D33A36"/>
    <w:rsid w:val="00D33FF6"/>
    <w:rsid w:val="00D3664F"/>
    <w:rsid w:val="00D425D8"/>
    <w:rsid w:val="00D55831"/>
    <w:rsid w:val="00D56798"/>
    <w:rsid w:val="00D60817"/>
    <w:rsid w:val="00D6304F"/>
    <w:rsid w:val="00D72D88"/>
    <w:rsid w:val="00D732BB"/>
    <w:rsid w:val="00D74371"/>
    <w:rsid w:val="00D749B4"/>
    <w:rsid w:val="00D753CC"/>
    <w:rsid w:val="00D75D8D"/>
    <w:rsid w:val="00D77212"/>
    <w:rsid w:val="00D80AE4"/>
    <w:rsid w:val="00D8264A"/>
    <w:rsid w:val="00D82A08"/>
    <w:rsid w:val="00D84759"/>
    <w:rsid w:val="00D9118D"/>
    <w:rsid w:val="00D91B67"/>
    <w:rsid w:val="00D95F14"/>
    <w:rsid w:val="00D977B5"/>
    <w:rsid w:val="00DA0884"/>
    <w:rsid w:val="00DA24DD"/>
    <w:rsid w:val="00DA3A2A"/>
    <w:rsid w:val="00DB03EA"/>
    <w:rsid w:val="00DB1CC6"/>
    <w:rsid w:val="00DB2348"/>
    <w:rsid w:val="00DC0543"/>
    <w:rsid w:val="00DC33E9"/>
    <w:rsid w:val="00DC403B"/>
    <w:rsid w:val="00DC40F2"/>
    <w:rsid w:val="00DC6A39"/>
    <w:rsid w:val="00DD0A61"/>
    <w:rsid w:val="00DD27FF"/>
    <w:rsid w:val="00DD3D72"/>
    <w:rsid w:val="00DD6775"/>
    <w:rsid w:val="00DE4DBD"/>
    <w:rsid w:val="00DE5D51"/>
    <w:rsid w:val="00DF68C0"/>
    <w:rsid w:val="00E03928"/>
    <w:rsid w:val="00E05DC3"/>
    <w:rsid w:val="00E06821"/>
    <w:rsid w:val="00E2061A"/>
    <w:rsid w:val="00E20C3E"/>
    <w:rsid w:val="00E22F75"/>
    <w:rsid w:val="00E2321D"/>
    <w:rsid w:val="00E23841"/>
    <w:rsid w:val="00E266D7"/>
    <w:rsid w:val="00E31FC8"/>
    <w:rsid w:val="00E321E7"/>
    <w:rsid w:val="00E40102"/>
    <w:rsid w:val="00E4269B"/>
    <w:rsid w:val="00E521C8"/>
    <w:rsid w:val="00E52640"/>
    <w:rsid w:val="00E55C8E"/>
    <w:rsid w:val="00E565E3"/>
    <w:rsid w:val="00E5728B"/>
    <w:rsid w:val="00E57648"/>
    <w:rsid w:val="00E57D52"/>
    <w:rsid w:val="00E62EEA"/>
    <w:rsid w:val="00E652BC"/>
    <w:rsid w:val="00E73CE1"/>
    <w:rsid w:val="00E74CC0"/>
    <w:rsid w:val="00E81A6D"/>
    <w:rsid w:val="00E81BE5"/>
    <w:rsid w:val="00E823BE"/>
    <w:rsid w:val="00E82F8B"/>
    <w:rsid w:val="00E83984"/>
    <w:rsid w:val="00E839F4"/>
    <w:rsid w:val="00E920EB"/>
    <w:rsid w:val="00E96FFA"/>
    <w:rsid w:val="00E97A49"/>
    <w:rsid w:val="00EA0F6F"/>
    <w:rsid w:val="00EA45DC"/>
    <w:rsid w:val="00EB408C"/>
    <w:rsid w:val="00EB57CB"/>
    <w:rsid w:val="00EB61C1"/>
    <w:rsid w:val="00EC2092"/>
    <w:rsid w:val="00EC2405"/>
    <w:rsid w:val="00EC5F12"/>
    <w:rsid w:val="00ED3077"/>
    <w:rsid w:val="00ED33F2"/>
    <w:rsid w:val="00ED37CF"/>
    <w:rsid w:val="00ED55AC"/>
    <w:rsid w:val="00ED59B1"/>
    <w:rsid w:val="00EE12AE"/>
    <w:rsid w:val="00EE32F0"/>
    <w:rsid w:val="00EE56F2"/>
    <w:rsid w:val="00EE6816"/>
    <w:rsid w:val="00EE77B1"/>
    <w:rsid w:val="00EE7D50"/>
    <w:rsid w:val="00EF1FEB"/>
    <w:rsid w:val="00EF4078"/>
    <w:rsid w:val="00EF6F31"/>
    <w:rsid w:val="00F00590"/>
    <w:rsid w:val="00F010E9"/>
    <w:rsid w:val="00F01361"/>
    <w:rsid w:val="00F06854"/>
    <w:rsid w:val="00F120B3"/>
    <w:rsid w:val="00F12F87"/>
    <w:rsid w:val="00F13581"/>
    <w:rsid w:val="00F140F3"/>
    <w:rsid w:val="00F16164"/>
    <w:rsid w:val="00F20DE7"/>
    <w:rsid w:val="00F21243"/>
    <w:rsid w:val="00F243B9"/>
    <w:rsid w:val="00F257EB"/>
    <w:rsid w:val="00F26293"/>
    <w:rsid w:val="00F33FE5"/>
    <w:rsid w:val="00F35A42"/>
    <w:rsid w:val="00F36799"/>
    <w:rsid w:val="00F39508"/>
    <w:rsid w:val="00F50280"/>
    <w:rsid w:val="00F5151C"/>
    <w:rsid w:val="00F517CB"/>
    <w:rsid w:val="00F553B1"/>
    <w:rsid w:val="00F56EEE"/>
    <w:rsid w:val="00F601C4"/>
    <w:rsid w:val="00F63173"/>
    <w:rsid w:val="00F72DDC"/>
    <w:rsid w:val="00F76B55"/>
    <w:rsid w:val="00F7740E"/>
    <w:rsid w:val="00F82E2C"/>
    <w:rsid w:val="00F833C2"/>
    <w:rsid w:val="00F83D78"/>
    <w:rsid w:val="00F96527"/>
    <w:rsid w:val="00F972B9"/>
    <w:rsid w:val="00FA0897"/>
    <w:rsid w:val="00FA2C4A"/>
    <w:rsid w:val="00FA447D"/>
    <w:rsid w:val="00FB26E6"/>
    <w:rsid w:val="00FB27EE"/>
    <w:rsid w:val="00FB3D39"/>
    <w:rsid w:val="00FB40D0"/>
    <w:rsid w:val="00FC097F"/>
    <w:rsid w:val="00FC19DA"/>
    <w:rsid w:val="00FC389B"/>
    <w:rsid w:val="00FD1AB3"/>
    <w:rsid w:val="00FD3FDD"/>
    <w:rsid w:val="00FD42BF"/>
    <w:rsid w:val="00FD4E48"/>
    <w:rsid w:val="00FD7472"/>
    <w:rsid w:val="00FE277E"/>
    <w:rsid w:val="00FE56A5"/>
    <w:rsid w:val="00FE6757"/>
    <w:rsid w:val="00FE7758"/>
    <w:rsid w:val="00FF01A3"/>
    <w:rsid w:val="00FF1730"/>
    <w:rsid w:val="00FF3E0F"/>
    <w:rsid w:val="00FF648E"/>
    <w:rsid w:val="0130952A"/>
    <w:rsid w:val="01868080"/>
    <w:rsid w:val="01E05C75"/>
    <w:rsid w:val="023A2C72"/>
    <w:rsid w:val="0255CCF1"/>
    <w:rsid w:val="0319DF78"/>
    <w:rsid w:val="0328F0A8"/>
    <w:rsid w:val="032AC994"/>
    <w:rsid w:val="035365D4"/>
    <w:rsid w:val="0356E882"/>
    <w:rsid w:val="03851A47"/>
    <w:rsid w:val="03F1F1C9"/>
    <w:rsid w:val="0437B4E4"/>
    <w:rsid w:val="047BAB12"/>
    <w:rsid w:val="04C37E17"/>
    <w:rsid w:val="04D58516"/>
    <w:rsid w:val="04FA3B99"/>
    <w:rsid w:val="0528818B"/>
    <w:rsid w:val="056C29BB"/>
    <w:rsid w:val="05F7D972"/>
    <w:rsid w:val="062157A5"/>
    <w:rsid w:val="066C04D7"/>
    <w:rsid w:val="06EB9881"/>
    <w:rsid w:val="0793118F"/>
    <w:rsid w:val="07CE5BC3"/>
    <w:rsid w:val="08535D8B"/>
    <w:rsid w:val="085E424E"/>
    <w:rsid w:val="08899ECB"/>
    <w:rsid w:val="088E5326"/>
    <w:rsid w:val="0898F833"/>
    <w:rsid w:val="0906150D"/>
    <w:rsid w:val="0933B49F"/>
    <w:rsid w:val="0964AA13"/>
    <w:rsid w:val="09783578"/>
    <w:rsid w:val="09B9FC38"/>
    <w:rsid w:val="09E22125"/>
    <w:rsid w:val="09FE4FB6"/>
    <w:rsid w:val="0AB21313"/>
    <w:rsid w:val="0ABE0A21"/>
    <w:rsid w:val="0AC09228"/>
    <w:rsid w:val="0AD9F7A4"/>
    <w:rsid w:val="0C43B756"/>
    <w:rsid w:val="0C4AB949"/>
    <w:rsid w:val="0C51962B"/>
    <w:rsid w:val="0CC3A413"/>
    <w:rsid w:val="0D01C351"/>
    <w:rsid w:val="0D1257FB"/>
    <w:rsid w:val="0D2B7D9E"/>
    <w:rsid w:val="0D342420"/>
    <w:rsid w:val="0D4A5101"/>
    <w:rsid w:val="0D5A2D90"/>
    <w:rsid w:val="0DC50CA6"/>
    <w:rsid w:val="0E3F9F36"/>
    <w:rsid w:val="0EA35FFF"/>
    <w:rsid w:val="0EFBA18F"/>
    <w:rsid w:val="0F362597"/>
    <w:rsid w:val="0F56D400"/>
    <w:rsid w:val="0F86B708"/>
    <w:rsid w:val="0FF30C5E"/>
    <w:rsid w:val="1005B7E8"/>
    <w:rsid w:val="1008DDDC"/>
    <w:rsid w:val="1027C2D6"/>
    <w:rsid w:val="102B145C"/>
    <w:rsid w:val="10415652"/>
    <w:rsid w:val="1089BE6D"/>
    <w:rsid w:val="10A78C38"/>
    <w:rsid w:val="10E2A32B"/>
    <w:rsid w:val="10F9F3B1"/>
    <w:rsid w:val="11AE874B"/>
    <w:rsid w:val="12271A7A"/>
    <w:rsid w:val="1233070F"/>
    <w:rsid w:val="123E82E3"/>
    <w:rsid w:val="1294FDE6"/>
    <w:rsid w:val="12B8BD15"/>
    <w:rsid w:val="136FEFAC"/>
    <w:rsid w:val="137AB1A9"/>
    <w:rsid w:val="139A37D0"/>
    <w:rsid w:val="139D1AF2"/>
    <w:rsid w:val="1509A89B"/>
    <w:rsid w:val="1584832C"/>
    <w:rsid w:val="15928E51"/>
    <w:rsid w:val="15B19F6F"/>
    <w:rsid w:val="15C02342"/>
    <w:rsid w:val="15CC124E"/>
    <w:rsid w:val="161EE4A9"/>
    <w:rsid w:val="1640893A"/>
    <w:rsid w:val="1643BF15"/>
    <w:rsid w:val="166E3646"/>
    <w:rsid w:val="1717BF14"/>
    <w:rsid w:val="1748E99B"/>
    <w:rsid w:val="179137CF"/>
    <w:rsid w:val="181ECAFA"/>
    <w:rsid w:val="18A16D4B"/>
    <w:rsid w:val="18BC23EE"/>
    <w:rsid w:val="19098397"/>
    <w:rsid w:val="192F5C0F"/>
    <w:rsid w:val="1946D9B5"/>
    <w:rsid w:val="19862023"/>
    <w:rsid w:val="198F8C00"/>
    <w:rsid w:val="19CA0B5D"/>
    <w:rsid w:val="1A11DEAF"/>
    <w:rsid w:val="1A354621"/>
    <w:rsid w:val="1A3B4BBD"/>
    <w:rsid w:val="1A3D0882"/>
    <w:rsid w:val="1A4860E5"/>
    <w:rsid w:val="1ABF3C79"/>
    <w:rsid w:val="1AED9650"/>
    <w:rsid w:val="1AF6C083"/>
    <w:rsid w:val="1B240DD5"/>
    <w:rsid w:val="1C5BFB96"/>
    <w:rsid w:val="1C70169F"/>
    <w:rsid w:val="1CF45A0F"/>
    <w:rsid w:val="1CF4C831"/>
    <w:rsid w:val="1D01AC1F"/>
    <w:rsid w:val="1D49F137"/>
    <w:rsid w:val="1E13C96A"/>
    <w:rsid w:val="1E40AD88"/>
    <w:rsid w:val="1E8B05DD"/>
    <w:rsid w:val="1EB4494A"/>
    <w:rsid w:val="1EF4BBBA"/>
    <w:rsid w:val="1F066434"/>
    <w:rsid w:val="1F87B97A"/>
    <w:rsid w:val="1FE7C6F0"/>
    <w:rsid w:val="1FF361CA"/>
    <w:rsid w:val="200651DE"/>
    <w:rsid w:val="202BD6E8"/>
    <w:rsid w:val="20327A97"/>
    <w:rsid w:val="20BB19EC"/>
    <w:rsid w:val="20D6F080"/>
    <w:rsid w:val="20ED34C4"/>
    <w:rsid w:val="210AAC6C"/>
    <w:rsid w:val="217A6675"/>
    <w:rsid w:val="21FE0D00"/>
    <w:rsid w:val="222B4A79"/>
    <w:rsid w:val="22608734"/>
    <w:rsid w:val="226863C9"/>
    <w:rsid w:val="2370EDA3"/>
    <w:rsid w:val="23A6F3CF"/>
    <w:rsid w:val="23AAB92D"/>
    <w:rsid w:val="23B0792F"/>
    <w:rsid w:val="23E43CC9"/>
    <w:rsid w:val="246921D3"/>
    <w:rsid w:val="24C2C56F"/>
    <w:rsid w:val="24FE7830"/>
    <w:rsid w:val="250CBE04"/>
    <w:rsid w:val="250DC5A0"/>
    <w:rsid w:val="2514A7EE"/>
    <w:rsid w:val="2562EB3B"/>
    <w:rsid w:val="259B171A"/>
    <w:rsid w:val="25C25967"/>
    <w:rsid w:val="25E7981B"/>
    <w:rsid w:val="25FD89C7"/>
    <w:rsid w:val="263A2714"/>
    <w:rsid w:val="26B52C9B"/>
    <w:rsid w:val="26FB0FBF"/>
    <w:rsid w:val="26FEBB9C"/>
    <w:rsid w:val="271B094C"/>
    <w:rsid w:val="272306D9"/>
    <w:rsid w:val="27417BEB"/>
    <w:rsid w:val="2773462A"/>
    <w:rsid w:val="2841C45F"/>
    <w:rsid w:val="28445EC6"/>
    <w:rsid w:val="28898538"/>
    <w:rsid w:val="28C9A8E4"/>
    <w:rsid w:val="292414C7"/>
    <w:rsid w:val="292C369D"/>
    <w:rsid w:val="297A97EF"/>
    <w:rsid w:val="29D064C4"/>
    <w:rsid w:val="29E02F27"/>
    <w:rsid w:val="29F06721"/>
    <w:rsid w:val="2A7B4B13"/>
    <w:rsid w:val="2A7C069C"/>
    <w:rsid w:val="2A8126BA"/>
    <w:rsid w:val="2A9C8353"/>
    <w:rsid w:val="2AFABF06"/>
    <w:rsid w:val="2BDD4F9F"/>
    <w:rsid w:val="2C0A2308"/>
    <w:rsid w:val="2C12FAA9"/>
    <w:rsid w:val="2C1B1C93"/>
    <w:rsid w:val="2C1FA7E0"/>
    <w:rsid w:val="2C472BB4"/>
    <w:rsid w:val="2C7F0965"/>
    <w:rsid w:val="2CC307DB"/>
    <w:rsid w:val="2D4668AA"/>
    <w:rsid w:val="2D5DC6CB"/>
    <w:rsid w:val="2D8A525A"/>
    <w:rsid w:val="2E225AB8"/>
    <w:rsid w:val="2E34EB43"/>
    <w:rsid w:val="2E965E3A"/>
    <w:rsid w:val="2EC7E006"/>
    <w:rsid w:val="2F4976C2"/>
    <w:rsid w:val="2FAFD70A"/>
    <w:rsid w:val="2FB2E402"/>
    <w:rsid w:val="2FE18F09"/>
    <w:rsid w:val="300B8353"/>
    <w:rsid w:val="3047BDBB"/>
    <w:rsid w:val="307282B1"/>
    <w:rsid w:val="30768018"/>
    <w:rsid w:val="3090D829"/>
    <w:rsid w:val="309F76F3"/>
    <w:rsid w:val="30C7FAE4"/>
    <w:rsid w:val="30DF3C25"/>
    <w:rsid w:val="30E1F103"/>
    <w:rsid w:val="314BA76B"/>
    <w:rsid w:val="319EDE59"/>
    <w:rsid w:val="31A2ADD5"/>
    <w:rsid w:val="31D4AA08"/>
    <w:rsid w:val="3218ED4F"/>
    <w:rsid w:val="325BBA90"/>
    <w:rsid w:val="326C452C"/>
    <w:rsid w:val="328793F0"/>
    <w:rsid w:val="34102C38"/>
    <w:rsid w:val="347873DF"/>
    <w:rsid w:val="34BC0AF7"/>
    <w:rsid w:val="34CCF68D"/>
    <w:rsid w:val="34D11ED1"/>
    <w:rsid w:val="35140A14"/>
    <w:rsid w:val="3532B93E"/>
    <w:rsid w:val="3555AE77"/>
    <w:rsid w:val="3580FC8B"/>
    <w:rsid w:val="3593144D"/>
    <w:rsid w:val="35B73602"/>
    <w:rsid w:val="36144440"/>
    <w:rsid w:val="3614B5BD"/>
    <w:rsid w:val="36AF93A4"/>
    <w:rsid w:val="36D44444"/>
    <w:rsid w:val="37577EDC"/>
    <w:rsid w:val="379E1D5C"/>
    <w:rsid w:val="379E548D"/>
    <w:rsid w:val="3822CC84"/>
    <w:rsid w:val="3848DC0A"/>
    <w:rsid w:val="387D458E"/>
    <w:rsid w:val="3889D585"/>
    <w:rsid w:val="388D4F39"/>
    <w:rsid w:val="3893D7BE"/>
    <w:rsid w:val="38D125AD"/>
    <w:rsid w:val="38F34F3D"/>
    <w:rsid w:val="3911F5F7"/>
    <w:rsid w:val="39455EAF"/>
    <w:rsid w:val="396F20E9"/>
    <w:rsid w:val="39C643EC"/>
    <w:rsid w:val="39D618D8"/>
    <w:rsid w:val="3A44E182"/>
    <w:rsid w:val="3A75F741"/>
    <w:rsid w:val="3AD73E4E"/>
    <w:rsid w:val="3AFDE716"/>
    <w:rsid w:val="3B275205"/>
    <w:rsid w:val="3B3D0402"/>
    <w:rsid w:val="3B5A4D3F"/>
    <w:rsid w:val="3BA1FAC2"/>
    <w:rsid w:val="3BEE494C"/>
    <w:rsid w:val="3C74A7D2"/>
    <w:rsid w:val="3C9305C6"/>
    <w:rsid w:val="3CF89B6E"/>
    <w:rsid w:val="3D076658"/>
    <w:rsid w:val="3D15B1BF"/>
    <w:rsid w:val="3D2A6FD5"/>
    <w:rsid w:val="3D8C0E70"/>
    <w:rsid w:val="3DE893A2"/>
    <w:rsid w:val="3E507118"/>
    <w:rsid w:val="3E663F76"/>
    <w:rsid w:val="3EBB42B2"/>
    <w:rsid w:val="3EE5CD73"/>
    <w:rsid w:val="3EF7C9C7"/>
    <w:rsid w:val="3F27C7D7"/>
    <w:rsid w:val="3F427328"/>
    <w:rsid w:val="3F600AB0"/>
    <w:rsid w:val="3F6B4DA1"/>
    <w:rsid w:val="3F8743D0"/>
    <w:rsid w:val="3F8B364D"/>
    <w:rsid w:val="3FAD2255"/>
    <w:rsid w:val="402A152B"/>
    <w:rsid w:val="403A3522"/>
    <w:rsid w:val="40836103"/>
    <w:rsid w:val="40DADB0D"/>
    <w:rsid w:val="4241D117"/>
    <w:rsid w:val="4245BEF2"/>
    <w:rsid w:val="42760A19"/>
    <w:rsid w:val="4276E66B"/>
    <w:rsid w:val="42E3E956"/>
    <w:rsid w:val="4327CE23"/>
    <w:rsid w:val="43BC39C6"/>
    <w:rsid w:val="43F2B596"/>
    <w:rsid w:val="440672D4"/>
    <w:rsid w:val="442B176B"/>
    <w:rsid w:val="445EA770"/>
    <w:rsid w:val="44C3DF36"/>
    <w:rsid w:val="44CFD3A7"/>
    <w:rsid w:val="4549A8DE"/>
    <w:rsid w:val="460CEDAC"/>
    <w:rsid w:val="4620BFAF"/>
    <w:rsid w:val="4677E35E"/>
    <w:rsid w:val="47282BD7"/>
    <w:rsid w:val="4764B2C9"/>
    <w:rsid w:val="481D7B89"/>
    <w:rsid w:val="48483344"/>
    <w:rsid w:val="48A8316E"/>
    <w:rsid w:val="48EDC499"/>
    <w:rsid w:val="48F85572"/>
    <w:rsid w:val="48FDE7BD"/>
    <w:rsid w:val="49079EAF"/>
    <w:rsid w:val="49318C2F"/>
    <w:rsid w:val="4936A1F3"/>
    <w:rsid w:val="49A735FD"/>
    <w:rsid w:val="49E7B78D"/>
    <w:rsid w:val="49EB11BE"/>
    <w:rsid w:val="4A3C19F1"/>
    <w:rsid w:val="4A764C40"/>
    <w:rsid w:val="4A81BB69"/>
    <w:rsid w:val="4AB6759B"/>
    <w:rsid w:val="4B17049B"/>
    <w:rsid w:val="4B1FEF55"/>
    <w:rsid w:val="4B76A26D"/>
    <w:rsid w:val="4B8684FA"/>
    <w:rsid w:val="4BC8F1FF"/>
    <w:rsid w:val="4BE34811"/>
    <w:rsid w:val="4C6F4277"/>
    <w:rsid w:val="4D27AC62"/>
    <w:rsid w:val="4D56A9FE"/>
    <w:rsid w:val="4D69FADB"/>
    <w:rsid w:val="4D9D744B"/>
    <w:rsid w:val="4DE99B41"/>
    <w:rsid w:val="4E3E8109"/>
    <w:rsid w:val="4E4991C9"/>
    <w:rsid w:val="4ECC9E18"/>
    <w:rsid w:val="4ED3AD2C"/>
    <w:rsid w:val="4EE202B1"/>
    <w:rsid w:val="4F461BF0"/>
    <w:rsid w:val="4FB20668"/>
    <w:rsid w:val="501ED398"/>
    <w:rsid w:val="5043AD00"/>
    <w:rsid w:val="505058EC"/>
    <w:rsid w:val="507627BC"/>
    <w:rsid w:val="5099227F"/>
    <w:rsid w:val="509F32FE"/>
    <w:rsid w:val="50D7A721"/>
    <w:rsid w:val="512BF7A5"/>
    <w:rsid w:val="51B81734"/>
    <w:rsid w:val="5203F3EB"/>
    <w:rsid w:val="5207913A"/>
    <w:rsid w:val="521D12ED"/>
    <w:rsid w:val="522B2973"/>
    <w:rsid w:val="5233B21C"/>
    <w:rsid w:val="524E47F7"/>
    <w:rsid w:val="52799A8A"/>
    <w:rsid w:val="528F6937"/>
    <w:rsid w:val="529137AD"/>
    <w:rsid w:val="52A64CC1"/>
    <w:rsid w:val="52E28CDC"/>
    <w:rsid w:val="52FCD20A"/>
    <w:rsid w:val="53681069"/>
    <w:rsid w:val="53AD5F7C"/>
    <w:rsid w:val="53B5CCAC"/>
    <w:rsid w:val="53D32FE1"/>
    <w:rsid w:val="54C9BEE7"/>
    <w:rsid w:val="54CC4A89"/>
    <w:rsid w:val="54F531F0"/>
    <w:rsid w:val="54FBDCB0"/>
    <w:rsid w:val="54FF6EB2"/>
    <w:rsid w:val="55243A33"/>
    <w:rsid w:val="55488076"/>
    <w:rsid w:val="55673D47"/>
    <w:rsid w:val="5584E3F0"/>
    <w:rsid w:val="55DC427A"/>
    <w:rsid w:val="55E4B3DD"/>
    <w:rsid w:val="56365AC0"/>
    <w:rsid w:val="569FF01D"/>
    <w:rsid w:val="570C8B95"/>
    <w:rsid w:val="572B7AD5"/>
    <w:rsid w:val="574ED5CF"/>
    <w:rsid w:val="57B45982"/>
    <w:rsid w:val="57BD73D6"/>
    <w:rsid w:val="57D9C199"/>
    <w:rsid w:val="57E12192"/>
    <w:rsid w:val="581EAD98"/>
    <w:rsid w:val="582E65BD"/>
    <w:rsid w:val="5847FA53"/>
    <w:rsid w:val="58A1368B"/>
    <w:rsid w:val="58A42902"/>
    <w:rsid w:val="58B913F7"/>
    <w:rsid w:val="58C2465A"/>
    <w:rsid w:val="58E929D7"/>
    <w:rsid w:val="58EE5DC4"/>
    <w:rsid w:val="59131363"/>
    <w:rsid w:val="59460929"/>
    <w:rsid w:val="594CAE16"/>
    <w:rsid w:val="5987DF69"/>
    <w:rsid w:val="599DA39E"/>
    <w:rsid w:val="5A0C3693"/>
    <w:rsid w:val="5A233A57"/>
    <w:rsid w:val="5A35D17A"/>
    <w:rsid w:val="5A3CC021"/>
    <w:rsid w:val="5A51A27D"/>
    <w:rsid w:val="5A8ED3BC"/>
    <w:rsid w:val="5AB9E928"/>
    <w:rsid w:val="5AD1D5C8"/>
    <w:rsid w:val="5B3EEE2B"/>
    <w:rsid w:val="5B5ED11E"/>
    <w:rsid w:val="5BE2E617"/>
    <w:rsid w:val="5BE66314"/>
    <w:rsid w:val="5C10A92D"/>
    <w:rsid w:val="5C5E9219"/>
    <w:rsid w:val="5CB06E84"/>
    <w:rsid w:val="5CCFAD74"/>
    <w:rsid w:val="5D0DE884"/>
    <w:rsid w:val="5D26B320"/>
    <w:rsid w:val="5D3CCA77"/>
    <w:rsid w:val="5D4DEE62"/>
    <w:rsid w:val="5DC1B27C"/>
    <w:rsid w:val="5E09768A"/>
    <w:rsid w:val="5E262B9D"/>
    <w:rsid w:val="5E3FB4BD"/>
    <w:rsid w:val="5E557E08"/>
    <w:rsid w:val="5F2B093F"/>
    <w:rsid w:val="5F3AC984"/>
    <w:rsid w:val="5F745C1E"/>
    <w:rsid w:val="602445AD"/>
    <w:rsid w:val="60D3DF78"/>
    <w:rsid w:val="610924DB"/>
    <w:rsid w:val="61494EB7"/>
    <w:rsid w:val="6189452B"/>
    <w:rsid w:val="6189F63A"/>
    <w:rsid w:val="619F03C7"/>
    <w:rsid w:val="62450246"/>
    <w:rsid w:val="624BD900"/>
    <w:rsid w:val="6257492F"/>
    <w:rsid w:val="629AC5A4"/>
    <w:rsid w:val="62B7A2A1"/>
    <w:rsid w:val="6325C69B"/>
    <w:rsid w:val="633FE81E"/>
    <w:rsid w:val="64028756"/>
    <w:rsid w:val="64150A17"/>
    <w:rsid w:val="642B7C9D"/>
    <w:rsid w:val="642BF627"/>
    <w:rsid w:val="645609E0"/>
    <w:rsid w:val="64B96ADE"/>
    <w:rsid w:val="64F9E3DE"/>
    <w:rsid w:val="65532602"/>
    <w:rsid w:val="65A97B80"/>
    <w:rsid w:val="65AB840B"/>
    <w:rsid w:val="65E6E8AD"/>
    <w:rsid w:val="65F1DA41"/>
    <w:rsid w:val="660FE902"/>
    <w:rsid w:val="6614886F"/>
    <w:rsid w:val="662A42BD"/>
    <w:rsid w:val="663EE4E5"/>
    <w:rsid w:val="665FC603"/>
    <w:rsid w:val="66881817"/>
    <w:rsid w:val="668E8C41"/>
    <w:rsid w:val="66CEB99C"/>
    <w:rsid w:val="67187369"/>
    <w:rsid w:val="67625F6D"/>
    <w:rsid w:val="6771A79A"/>
    <w:rsid w:val="67C4345F"/>
    <w:rsid w:val="67D2E05F"/>
    <w:rsid w:val="6866E17B"/>
    <w:rsid w:val="6891ABD2"/>
    <w:rsid w:val="69710807"/>
    <w:rsid w:val="698A1B05"/>
    <w:rsid w:val="69D05D8A"/>
    <w:rsid w:val="69D170B5"/>
    <w:rsid w:val="69FF1A5A"/>
    <w:rsid w:val="6A320675"/>
    <w:rsid w:val="6A3EBC7C"/>
    <w:rsid w:val="6AA5B6F1"/>
    <w:rsid w:val="6B561E07"/>
    <w:rsid w:val="6B62E4C8"/>
    <w:rsid w:val="6B6C2DEB"/>
    <w:rsid w:val="6B74AD85"/>
    <w:rsid w:val="6B9AEABB"/>
    <w:rsid w:val="6BA8F40F"/>
    <w:rsid w:val="6BBC0A5B"/>
    <w:rsid w:val="6C875A87"/>
    <w:rsid w:val="6CA4A17D"/>
    <w:rsid w:val="6D259E75"/>
    <w:rsid w:val="6D47B8CD"/>
    <w:rsid w:val="6D653DD6"/>
    <w:rsid w:val="6D927233"/>
    <w:rsid w:val="6DE98DE6"/>
    <w:rsid w:val="6E68FD28"/>
    <w:rsid w:val="6E9C13F8"/>
    <w:rsid w:val="6EA3CEAD"/>
    <w:rsid w:val="6ECF9548"/>
    <w:rsid w:val="6EE54F96"/>
    <w:rsid w:val="6F3975F6"/>
    <w:rsid w:val="6F72515E"/>
    <w:rsid w:val="6FC7EAC7"/>
    <w:rsid w:val="6FC83343"/>
    <w:rsid w:val="6FD2C2B8"/>
    <w:rsid w:val="6FE566A1"/>
    <w:rsid w:val="7000EFA4"/>
    <w:rsid w:val="704672D4"/>
    <w:rsid w:val="705014BE"/>
    <w:rsid w:val="707F598F"/>
    <w:rsid w:val="708CF01E"/>
    <w:rsid w:val="70AF2DA8"/>
    <w:rsid w:val="70FD91BF"/>
    <w:rsid w:val="717E7F13"/>
    <w:rsid w:val="724AAA8E"/>
    <w:rsid w:val="72687C70"/>
    <w:rsid w:val="72CD7FEF"/>
    <w:rsid w:val="72F7A336"/>
    <w:rsid w:val="7377EE95"/>
    <w:rsid w:val="73A74106"/>
    <w:rsid w:val="74A97678"/>
    <w:rsid w:val="74AC9E50"/>
    <w:rsid w:val="74BE3EFC"/>
    <w:rsid w:val="74C0E170"/>
    <w:rsid w:val="752BFE36"/>
    <w:rsid w:val="755FF09D"/>
    <w:rsid w:val="756B4706"/>
    <w:rsid w:val="7582637B"/>
    <w:rsid w:val="768689C5"/>
    <w:rsid w:val="76BEB076"/>
    <w:rsid w:val="76E6A7E6"/>
    <w:rsid w:val="76FBC0FE"/>
    <w:rsid w:val="7707A68B"/>
    <w:rsid w:val="778108FE"/>
    <w:rsid w:val="778BAF26"/>
    <w:rsid w:val="78225A26"/>
    <w:rsid w:val="786E4EBA"/>
    <w:rsid w:val="78B95FC5"/>
    <w:rsid w:val="78BB3BAC"/>
    <w:rsid w:val="78C050E2"/>
    <w:rsid w:val="78CE3373"/>
    <w:rsid w:val="78DED75A"/>
    <w:rsid w:val="78E1838A"/>
    <w:rsid w:val="7909199F"/>
    <w:rsid w:val="796A3A81"/>
    <w:rsid w:val="7997FEB0"/>
    <w:rsid w:val="79A90464"/>
    <w:rsid w:val="79ABD771"/>
    <w:rsid w:val="79BE2A87"/>
    <w:rsid w:val="7A44D2EC"/>
    <w:rsid w:val="7A592EFD"/>
    <w:rsid w:val="7A7D53EB"/>
    <w:rsid w:val="7A8D2C4D"/>
    <w:rsid w:val="7AE35EE1"/>
    <w:rsid w:val="7B817F75"/>
    <w:rsid w:val="7C539199"/>
    <w:rsid w:val="7C922169"/>
    <w:rsid w:val="7CEA0ACD"/>
    <w:rsid w:val="7D2430B7"/>
    <w:rsid w:val="7D2E3478"/>
    <w:rsid w:val="7D8021E6"/>
    <w:rsid w:val="7DD93029"/>
    <w:rsid w:val="7DED50E6"/>
    <w:rsid w:val="7E06F401"/>
    <w:rsid w:val="7E455D8C"/>
    <w:rsid w:val="7E555E9B"/>
    <w:rsid w:val="7E844492"/>
    <w:rsid w:val="7EACAABD"/>
    <w:rsid w:val="7EB4560E"/>
    <w:rsid w:val="7ED8D440"/>
    <w:rsid w:val="7F77E46E"/>
    <w:rsid w:val="7FA1C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C8CC"/>
  <w15:docId w15:val="{099F1DBE-38EE-432B-AB95-3AAAF049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58"/>
    <w:rPr>
      <w:rFonts w:ascii="Calibri" w:eastAsia="Calibri" w:hAnsi="Calibri" w:cs="Calibri"/>
    </w:rPr>
  </w:style>
  <w:style w:type="paragraph" w:styleId="Heading1">
    <w:name w:val="heading 1"/>
    <w:basedOn w:val="Normal"/>
    <w:uiPriority w:val="9"/>
    <w:qFormat/>
    <w:pPr>
      <w:spacing w:before="178"/>
      <w:ind w:left="111"/>
      <w:outlineLvl w:val="0"/>
    </w:pPr>
    <w:rPr>
      <w:sz w:val="24"/>
      <w:szCs w:val="24"/>
    </w:rPr>
  </w:style>
  <w:style w:type="paragraph" w:styleId="Heading2">
    <w:name w:val="heading 2"/>
    <w:basedOn w:val="Normal"/>
    <w:uiPriority w:val="9"/>
    <w:unhideWhenUsed/>
    <w:qFormat/>
    <w:pPr>
      <w:ind w:left="100"/>
      <w:outlineLvl w:val="1"/>
    </w:pPr>
    <w:rPr>
      <w:sz w:val="23"/>
      <w:szCs w:val="23"/>
    </w:rPr>
  </w:style>
  <w:style w:type="paragraph" w:styleId="Heading3">
    <w:name w:val="heading 3"/>
    <w:basedOn w:val="Normal"/>
    <w:uiPriority w:val="9"/>
    <w:unhideWhenUsed/>
    <w:qFormat/>
    <w:pPr>
      <w:spacing w:before="1"/>
      <w:ind w:left="92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14" w:lineRule="exact"/>
      <w:ind w:left="896"/>
    </w:pPr>
    <w:rPr>
      <w:rFonts w:ascii="Calibri Light" w:eastAsia="Calibri Light" w:hAnsi="Calibri Light" w:cs="Calibri Light"/>
      <w:sz w:val="52"/>
      <w:szCs w:val="52"/>
    </w:r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nhideWhenUsed/>
    <w:rsid w:val="00B030C8"/>
    <w:rPr>
      <w:sz w:val="16"/>
      <w:szCs w:val="16"/>
    </w:rPr>
  </w:style>
  <w:style w:type="paragraph" w:styleId="CommentText">
    <w:name w:val="annotation text"/>
    <w:basedOn w:val="Normal"/>
    <w:link w:val="CommentTextChar"/>
    <w:unhideWhenUsed/>
    <w:rsid w:val="00B030C8"/>
    <w:rPr>
      <w:sz w:val="20"/>
      <w:szCs w:val="20"/>
    </w:rPr>
  </w:style>
  <w:style w:type="character" w:customStyle="1" w:styleId="CommentTextChar">
    <w:name w:val="Comment Text Char"/>
    <w:basedOn w:val="DefaultParagraphFont"/>
    <w:link w:val="CommentText"/>
    <w:rsid w:val="00B030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30C8"/>
    <w:rPr>
      <w:b/>
      <w:bCs/>
    </w:rPr>
  </w:style>
  <w:style w:type="character" w:customStyle="1" w:styleId="CommentSubjectChar">
    <w:name w:val="Comment Subject Char"/>
    <w:basedOn w:val="CommentTextChar"/>
    <w:link w:val="CommentSubject"/>
    <w:uiPriority w:val="99"/>
    <w:semiHidden/>
    <w:rsid w:val="00B030C8"/>
    <w:rPr>
      <w:rFonts w:ascii="Calibri" w:eastAsia="Calibri" w:hAnsi="Calibri" w:cs="Calibri"/>
      <w:b/>
      <w:bCs/>
      <w:sz w:val="20"/>
      <w:szCs w:val="20"/>
    </w:rPr>
  </w:style>
  <w:style w:type="character" w:styleId="Hyperlink">
    <w:name w:val="Hyperlink"/>
    <w:basedOn w:val="DefaultParagraphFont"/>
    <w:uiPriority w:val="99"/>
    <w:unhideWhenUsed/>
    <w:rsid w:val="00C36414"/>
    <w:rPr>
      <w:color w:val="0000FF" w:themeColor="hyperlink"/>
      <w:u w:val="single"/>
    </w:rPr>
  </w:style>
  <w:style w:type="character" w:styleId="UnresolvedMention">
    <w:name w:val="Unresolved Mention"/>
    <w:basedOn w:val="DefaultParagraphFont"/>
    <w:uiPriority w:val="99"/>
    <w:semiHidden/>
    <w:unhideWhenUsed/>
    <w:rsid w:val="00C36414"/>
    <w:rPr>
      <w:color w:val="605E5C"/>
      <w:shd w:val="clear" w:color="auto" w:fill="E1DFDD"/>
    </w:rPr>
  </w:style>
  <w:style w:type="character" w:customStyle="1" w:styleId="contenttext">
    <w:name w:val="contenttext"/>
    <w:basedOn w:val="DefaultParagraphFont"/>
    <w:rsid w:val="005B1E20"/>
  </w:style>
  <w:style w:type="paragraph" w:styleId="BalloonText">
    <w:name w:val="Balloon Text"/>
    <w:basedOn w:val="Normal"/>
    <w:link w:val="BalloonTextChar"/>
    <w:uiPriority w:val="99"/>
    <w:semiHidden/>
    <w:unhideWhenUsed/>
    <w:rsid w:val="00C1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E78"/>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EE56F2"/>
    <w:rPr>
      <w:sz w:val="20"/>
      <w:szCs w:val="20"/>
    </w:rPr>
  </w:style>
  <w:style w:type="character" w:customStyle="1" w:styleId="FootnoteTextChar">
    <w:name w:val="Footnote Text Char"/>
    <w:basedOn w:val="DefaultParagraphFont"/>
    <w:link w:val="FootnoteText"/>
    <w:uiPriority w:val="99"/>
    <w:semiHidden/>
    <w:rsid w:val="00EE56F2"/>
    <w:rPr>
      <w:rFonts w:ascii="Calibri" w:eastAsia="Calibri" w:hAnsi="Calibri" w:cs="Calibri"/>
      <w:sz w:val="20"/>
      <w:szCs w:val="20"/>
    </w:rPr>
  </w:style>
  <w:style w:type="character" w:styleId="FootnoteReference">
    <w:name w:val="footnote reference"/>
    <w:basedOn w:val="DefaultParagraphFont"/>
    <w:uiPriority w:val="99"/>
    <w:semiHidden/>
    <w:unhideWhenUsed/>
    <w:rsid w:val="00EE56F2"/>
    <w:rPr>
      <w:vertAlign w:val="superscript"/>
    </w:rPr>
  </w:style>
  <w:style w:type="paragraph" w:styleId="EndnoteText">
    <w:name w:val="endnote text"/>
    <w:basedOn w:val="Normal"/>
    <w:link w:val="EndnoteTextChar"/>
    <w:uiPriority w:val="99"/>
    <w:semiHidden/>
    <w:unhideWhenUsed/>
    <w:rsid w:val="00EE56F2"/>
    <w:rPr>
      <w:sz w:val="20"/>
      <w:szCs w:val="20"/>
    </w:rPr>
  </w:style>
  <w:style w:type="character" w:customStyle="1" w:styleId="EndnoteTextChar">
    <w:name w:val="Endnote Text Char"/>
    <w:basedOn w:val="DefaultParagraphFont"/>
    <w:link w:val="EndnoteText"/>
    <w:uiPriority w:val="99"/>
    <w:semiHidden/>
    <w:rsid w:val="00EE56F2"/>
    <w:rPr>
      <w:rFonts w:ascii="Calibri" w:eastAsia="Calibri" w:hAnsi="Calibri" w:cs="Calibri"/>
      <w:sz w:val="20"/>
      <w:szCs w:val="20"/>
    </w:rPr>
  </w:style>
  <w:style w:type="character" w:styleId="EndnoteReference">
    <w:name w:val="endnote reference"/>
    <w:basedOn w:val="DefaultParagraphFont"/>
    <w:uiPriority w:val="99"/>
    <w:semiHidden/>
    <w:unhideWhenUsed/>
    <w:rsid w:val="00EE56F2"/>
    <w:rPr>
      <w:vertAlign w:val="superscript"/>
    </w:rPr>
  </w:style>
  <w:style w:type="character" w:styleId="FollowedHyperlink">
    <w:name w:val="FollowedHyperlink"/>
    <w:basedOn w:val="DefaultParagraphFont"/>
    <w:uiPriority w:val="99"/>
    <w:semiHidden/>
    <w:unhideWhenUsed/>
    <w:rsid w:val="004C5E51"/>
    <w:rPr>
      <w:color w:val="800080" w:themeColor="followedHyperlink"/>
      <w:u w:val="single"/>
    </w:rPr>
  </w:style>
  <w:style w:type="paragraph" w:styleId="NormalWeb">
    <w:name w:val="Normal (Web)"/>
    <w:basedOn w:val="Normal"/>
    <w:uiPriority w:val="99"/>
    <w:semiHidden/>
    <w:unhideWhenUsed/>
    <w:rsid w:val="00465C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11">
    <w:name w:val="s11"/>
    <w:basedOn w:val="DefaultParagraphFont"/>
    <w:rsid w:val="00465CE0"/>
  </w:style>
  <w:style w:type="paragraph" w:styleId="Header">
    <w:name w:val="header"/>
    <w:basedOn w:val="Normal"/>
    <w:link w:val="HeaderChar"/>
    <w:uiPriority w:val="99"/>
    <w:unhideWhenUsed/>
    <w:rsid w:val="00C70C29"/>
    <w:pPr>
      <w:tabs>
        <w:tab w:val="center" w:pos="4680"/>
        <w:tab w:val="right" w:pos="9360"/>
      </w:tabs>
    </w:pPr>
  </w:style>
  <w:style w:type="character" w:customStyle="1" w:styleId="HeaderChar">
    <w:name w:val="Header Char"/>
    <w:basedOn w:val="DefaultParagraphFont"/>
    <w:link w:val="Header"/>
    <w:uiPriority w:val="99"/>
    <w:rsid w:val="00C70C29"/>
    <w:rPr>
      <w:rFonts w:ascii="Calibri" w:eastAsia="Calibri" w:hAnsi="Calibri" w:cs="Calibri"/>
    </w:rPr>
  </w:style>
  <w:style w:type="paragraph" w:styleId="Footer">
    <w:name w:val="footer"/>
    <w:basedOn w:val="Normal"/>
    <w:link w:val="FooterChar"/>
    <w:uiPriority w:val="99"/>
    <w:unhideWhenUsed/>
    <w:rsid w:val="00C70C29"/>
    <w:pPr>
      <w:tabs>
        <w:tab w:val="center" w:pos="4680"/>
        <w:tab w:val="right" w:pos="9360"/>
      </w:tabs>
    </w:pPr>
  </w:style>
  <w:style w:type="character" w:customStyle="1" w:styleId="FooterChar">
    <w:name w:val="Footer Char"/>
    <w:basedOn w:val="DefaultParagraphFont"/>
    <w:link w:val="Footer"/>
    <w:uiPriority w:val="99"/>
    <w:rsid w:val="00C70C29"/>
    <w:rPr>
      <w:rFonts w:ascii="Calibri" w:eastAsia="Calibri" w:hAnsi="Calibri" w:cs="Calibri"/>
    </w:rPr>
  </w:style>
  <w:style w:type="paragraph" w:styleId="Revision">
    <w:name w:val="Revision"/>
    <w:hidden/>
    <w:uiPriority w:val="99"/>
    <w:semiHidden/>
    <w:rsid w:val="0042103C"/>
    <w:pPr>
      <w:widowControl/>
      <w:autoSpaceDE/>
      <w:autoSpaceDN/>
    </w:pPr>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A3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144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BF1446"/>
    <w:pPr>
      <w:spacing w:after="100"/>
    </w:pPr>
  </w:style>
  <w:style w:type="table" w:customStyle="1" w:styleId="TableGrid1">
    <w:name w:val="Table Grid1"/>
    <w:basedOn w:val="TableNormal"/>
    <w:next w:val="TableGrid"/>
    <w:uiPriority w:val="39"/>
    <w:rsid w:val="00EE681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11C"/>
    <w:pPr>
      <w:widowControl/>
      <w:adjustRightInd w:val="0"/>
    </w:pPr>
    <w:rPr>
      <w:rFonts w:ascii="Arial Black" w:hAnsi="Arial Black" w:cs="Arial Black"/>
      <w:color w:val="000000"/>
      <w:sz w:val="24"/>
      <w:szCs w:val="24"/>
    </w:rPr>
  </w:style>
  <w:style w:type="paragraph" w:customStyle="1" w:styleId="CM7">
    <w:name w:val="CM7"/>
    <w:basedOn w:val="Default"/>
    <w:next w:val="Default"/>
    <w:uiPriority w:val="99"/>
    <w:rsid w:val="005C611C"/>
    <w:rPr>
      <w:rFonts w:cstheme="minorBidi"/>
      <w:color w:val="auto"/>
    </w:rPr>
  </w:style>
  <w:style w:type="paragraph" w:styleId="NoSpacing">
    <w:name w:val="No Spacing"/>
    <w:uiPriority w:val="1"/>
    <w:qFormat/>
    <w:rsid w:val="00DC403B"/>
    <w:rPr>
      <w:rFonts w:ascii="Calibri" w:eastAsia="Calibri" w:hAnsi="Calibri" w:cs="Calibri"/>
    </w:rPr>
  </w:style>
  <w:style w:type="table" w:customStyle="1" w:styleId="TableGrid2">
    <w:name w:val="Table Grid2"/>
    <w:basedOn w:val="TableNormal"/>
    <w:next w:val="TableGrid"/>
    <w:uiPriority w:val="59"/>
    <w:rsid w:val="00C0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021992">
      <w:bodyDiv w:val="1"/>
      <w:marLeft w:val="0"/>
      <w:marRight w:val="0"/>
      <w:marTop w:val="0"/>
      <w:marBottom w:val="0"/>
      <w:divBdr>
        <w:top w:val="none" w:sz="0" w:space="0" w:color="auto"/>
        <w:left w:val="none" w:sz="0" w:space="0" w:color="auto"/>
        <w:bottom w:val="none" w:sz="0" w:space="0" w:color="auto"/>
        <w:right w:val="none" w:sz="0" w:space="0" w:color="auto"/>
      </w:divBdr>
    </w:div>
    <w:div w:id="1246299209">
      <w:bodyDiv w:val="1"/>
      <w:marLeft w:val="0"/>
      <w:marRight w:val="0"/>
      <w:marTop w:val="0"/>
      <w:marBottom w:val="0"/>
      <w:divBdr>
        <w:top w:val="none" w:sz="0" w:space="0" w:color="auto"/>
        <w:left w:val="none" w:sz="0" w:space="0" w:color="auto"/>
        <w:bottom w:val="none" w:sz="0" w:space="0" w:color="auto"/>
        <w:right w:val="none" w:sz="0" w:space="0" w:color="auto"/>
      </w:divBdr>
    </w:div>
    <w:div w:id="1334644633">
      <w:bodyDiv w:val="1"/>
      <w:marLeft w:val="0"/>
      <w:marRight w:val="0"/>
      <w:marTop w:val="0"/>
      <w:marBottom w:val="0"/>
      <w:divBdr>
        <w:top w:val="none" w:sz="0" w:space="0" w:color="auto"/>
        <w:left w:val="none" w:sz="0" w:space="0" w:color="auto"/>
        <w:bottom w:val="none" w:sz="0" w:space="0" w:color="auto"/>
        <w:right w:val="none" w:sz="0" w:space="0" w:color="auto"/>
      </w:divBdr>
    </w:div>
    <w:div w:id="1446078445">
      <w:bodyDiv w:val="1"/>
      <w:marLeft w:val="0"/>
      <w:marRight w:val="0"/>
      <w:marTop w:val="0"/>
      <w:marBottom w:val="0"/>
      <w:divBdr>
        <w:top w:val="none" w:sz="0" w:space="0" w:color="auto"/>
        <w:left w:val="none" w:sz="0" w:space="0" w:color="auto"/>
        <w:bottom w:val="none" w:sz="0" w:space="0" w:color="auto"/>
        <w:right w:val="none" w:sz="0" w:space="0" w:color="auto"/>
      </w:divBdr>
      <w:divsChild>
        <w:div w:id="618414847">
          <w:marLeft w:val="446"/>
          <w:marRight w:val="0"/>
          <w:marTop w:val="0"/>
          <w:marBottom w:val="0"/>
          <w:divBdr>
            <w:top w:val="none" w:sz="0" w:space="0" w:color="auto"/>
            <w:left w:val="none" w:sz="0" w:space="0" w:color="auto"/>
            <w:bottom w:val="none" w:sz="0" w:space="0" w:color="auto"/>
            <w:right w:val="none" w:sz="0" w:space="0" w:color="auto"/>
          </w:divBdr>
        </w:div>
        <w:div w:id="914705399">
          <w:marLeft w:val="1166"/>
          <w:marRight w:val="0"/>
          <w:marTop w:val="0"/>
          <w:marBottom w:val="0"/>
          <w:divBdr>
            <w:top w:val="none" w:sz="0" w:space="0" w:color="auto"/>
            <w:left w:val="none" w:sz="0" w:space="0" w:color="auto"/>
            <w:bottom w:val="none" w:sz="0" w:space="0" w:color="auto"/>
            <w:right w:val="none" w:sz="0" w:space="0" w:color="auto"/>
          </w:divBdr>
        </w:div>
        <w:div w:id="1288009258">
          <w:marLeft w:val="1166"/>
          <w:marRight w:val="0"/>
          <w:marTop w:val="0"/>
          <w:marBottom w:val="0"/>
          <w:divBdr>
            <w:top w:val="none" w:sz="0" w:space="0" w:color="auto"/>
            <w:left w:val="none" w:sz="0" w:space="0" w:color="auto"/>
            <w:bottom w:val="none" w:sz="0" w:space="0" w:color="auto"/>
            <w:right w:val="none" w:sz="0" w:space="0" w:color="auto"/>
          </w:divBdr>
        </w:div>
        <w:div w:id="1371224823">
          <w:marLeft w:val="1166"/>
          <w:marRight w:val="0"/>
          <w:marTop w:val="0"/>
          <w:marBottom w:val="0"/>
          <w:divBdr>
            <w:top w:val="none" w:sz="0" w:space="0" w:color="auto"/>
            <w:left w:val="none" w:sz="0" w:space="0" w:color="auto"/>
            <w:bottom w:val="none" w:sz="0" w:space="0" w:color="auto"/>
            <w:right w:val="none" w:sz="0" w:space="0" w:color="auto"/>
          </w:divBdr>
        </w:div>
        <w:div w:id="1429962472">
          <w:marLeft w:val="446"/>
          <w:marRight w:val="0"/>
          <w:marTop w:val="0"/>
          <w:marBottom w:val="0"/>
          <w:divBdr>
            <w:top w:val="none" w:sz="0" w:space="0" w:color="auto"/>
            <w:left w:val="none" w:sz="0" w:space="0" w:color="auto"/>
            <w:bottom w:val="none" w:sz="0" w:space="0" w:color="auto"/>
            <w:right w:val="none" w:sz="0" w:space="0" w:color="auto"/>
          </w:divBdr>
        </w:div>
        <w:div w:id="1744982821">
          <w:marLeft w:val="446"/>
          <w:marRight w:val="0"/>
          <w:marTop w:val="0"/>
          <w:marBottom w:val="0"/>
          <w:divBdr>
            <w:top w:val="none" w:sz="0" w:space="0" w:color="auto"/>
            <w:left w:val="none" w:sz="0" w:space="0" w:color="auto"/>
            <w:bottom w:val="none" w:sz="0" w:space="0" w:color="auto"/>
            <w:right w:val="none" w:sz="0" w:space="0" w:color="auto"/>
          </w:divBdr>
        </w:div>
        <w:div w:id="1943806086">
          <w:marLeft w:val="1166"/>
          <w:marRight w:val="0"/>
          <w:marTop w:val="0"/>
          <w:marBottom w:val="0"/>
          <w:divBdr>
            <w:top w:val="none" w:sz="0" w:space="0" w:color="auto"/>
            <w:left w:val="none" w:sz="0" w:space="0" w:color="auto"/>
            <w:bottom w:val="none" w:sz="0" w:space="0" w:color="auto"/>
            <w:right w:val="none" w:sz="0" w:space="0" w:color="auto"/>
          </w:divBdr>
        </w:div>
        <w:div w:id="1945724067">
          <w:marLeft w:val="446"/>
          <w:marRight w:val="0"/>
          <w:marTop w:val="0"/>
          <w:marBottom w:val="0"/>
          <w:divBdr>
            <w:top w:val="none" w:sz="0" w:space="0" w:color="auto"/>
            <w:left w:val="none" w:sz="0" w:space="0" w:color="auto"/>
            <w:bottom w:val="none" w:sz="0" w:space="0" w:color="auto"/>
            <w:right w:val="none" w:sz="0" w:space="0" w:color="auto"/>
          </w:divBdr>
        </w:div>
      </w:divsChild>
    </w:div>
    <w:div w:id="1747218677">
      <w:bodyDiv w:val="1"/>
      <w:marLeft w:val="0"/>
      <w:marRight w:val="0"/>
      <w:marTop w:val="0"/>
      <w:marBottom w:val="0"/>
      <w:divBdr>
        <w:top w:val="none" w:sz="0" w:space="0" w:color="auto"/>
        <w:left w:val="none" w:sz="0" w:space="0" w:color="auto"/>
        <w:bottom w:val="none" w:sz="0" w:space="0" w:color="auto"/>
        <w:right w:val="none" w:sz="0" w:space="0" w:color="auto"/>
      </w:divBdr>
    </w:div>
    <w:div w:id="1769537977">
      <w:bodyDiv w:val="1"/>
      <w:marLeft w:val="0"/>
      <w:marRight w:val="0"/>
      <w:marTop w:val="0"/>
      <w:marBottom w:val="0"/>
      <w:divBdr>
        <w:top w:val="none" w:sz="0" w:space="0" w:color="auto"/>
        <w:left w:val="none" w:sz="0" w:space="0" w:color="auto"/>
        <w:bottom w:val="none" w:sz="0" w:space="0" w:color="auto"/>
        <w:right w:val="none" w:sz="0" w:space="0" w:color="auto"/>
      </w:divBdr>
    </w:div>
    <w:div w:id="1829133565">
      <w:bodyDiv w:val="1"/>
      <w:marLeft w:val="0"/>
      <w:marRight w:val="0"/>
      <w:marTop w:val="0"/>
      <w:marBottom w:val="0"/>
      <w:divBdr>
        <w:top w:val="none" w:sz="0" w:space="0" w:color="auto"/>
        <w:left w:val="none" w:sz="0" w:space="0" w:color="auto"/>
        <w:bottom w:val="none" w:sz="0" w:space="0" w:color="auto"/>
        <w:right w:val="none" w:sz="0" w:space="0" w:color="auto"/>
      </w:divBdr>
    </w:div>
    <w:div w:id="2025669301">
      <w:bodyDiv w:val="1"/>
      <w:marLeft w:val="0"/>
      <w:marRight w:val="0"/>
      <w:marTop w:val="0"/>
      <w:marBottom w:val="0"/>
      <w:divBdr>
        <w:top w:val="none" w:sz="0" w:space="0" w:color="auto"/>
        <w:left w:val="none" w:sz="0" w:space="0" w:color="auto"/>
        <w:bottom w:val="none" w:sz="0" w:space="0" w:color="auto"/>
        <w:right w:val="none" w:sz="0" w:space="0" w:color="auto"/>
      </w:divBdr>
    </w:div>
    <w:div w:id="213393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ederalgrants/liaisons.xlsx" TargetMode="External"/><Relationship Id="rId18" Type="http://schemas.openxmlformats.org/officeDocument/2006/relationships/hyperlink" Target="mailto:federalgrantprograms@mass.gov" TargetMode="External"/><Relationship Id="rId26" Type="http://schemas.openxmlformats.org/officeDocument/2006/relationships/hyperlink" Target="https://www.blueprintsprograms.org/program-search/" TargetMode="External"/><Relationship Id="rId3" Type="http://schemas.openxmlformats.org/officeDocument/2006/relationships/customXml" Target="../customXml/item3.xml"/><Relationship Id="rId21" Type="http://schemas.openxmlformats.org/officeDocument/2006/relationships/hyperlink" Target="https://www.doe.mass.edu/federalgrants/titlei-d/localprograms.html"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ederalgrantprograms@mass.gov" TargetMode="External"/><Relationship Id="rId25" Type="http://schemas.openxmlformats.org/officeDocument/2006/relationships/hyperlink" Target="https://youth.gov/evidence-innovation/evidence-based-program-directories" TargetMode="External"/><Relationship Id="rId33" Type="http://schemas.openxmlformats.org/officeDocument/2006/relationships/hyperlink" Target="https://www.doe.mass.edu/ccte/ccr/massgrad/default.html"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oe.mass.edu/infoservices/data/nord/" TargetMode="External"/><Relationship Id="rId20" Type="http://schemas.openxmlformats.org/officeDocument/2006/relationships/hyperlink" Target="https://neglected-delinquent.ed.gov/" TargetMode="External"/><Relationship Id="rId29" Type="http://schemas.openxmlformats.org/officeDocument/2006/relationships/hyperlink" Target="https://www.doe.mass.edu/sfs/disciplin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imesolutions.ojp.gov/" TargetMode="External"/><Relationship Id="rId32" Type="http://schemas.openxmlformats.org/officeDocument/2006/relationships/hyperlink" Target="https://www.doe.mass.edu/alted/altedguide.doc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infoservices/data/nord/" TargetMode="External"/><Relationship Id="rId23" Type="http://schemas.openxmlformats.org/officeDocument/2006/relationships/hyperlink" Target="https://ies.ed.gov/ncee/wwc/" TargetMode="External"/><Relationship Id="rId28" Type="http://schemas.openxmlformats.org/officeDocument/2006/relationships/hyperlink" Target="https://www.doe.mass.edu/turnaround/howitworks/reports.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eglected-delinquent.ed.gov/title-i-part-d-statute" TargetMode="External"/><Relationship Id="rId31" Type="http://schemas.openxmlformats.org/officeDocument/2006/relationships/hyperlink" Target="https://www.doe.mass.edu/al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ederalgrants/titlei-a/guidance/eval-procedure.docx" TargetMode="External"/><Relationship Id="rId22" Type="http://schemas.openxmlformats.org/officeDocument/2006/relationships/hyperlink" Target="https://www.doe.mass.edu/infoservices/data/nord/" TargetMode="External"/><Relationship Id="rId27" Type="http://schemas.openxmlformats.org/officeDocument/2006/relationships/hyperlink" Target="https://www.doe.mass.edu/research/howdoweknow/" TargetMode="External"/><Relationship Id="rId30" Type="http://schemas.openxmlformats.org/officeDocument/2006/relationships/hyperlink" Target="https://www.doe.mass.edu/ccte/ccr/mycap/default.html" TargetMode="External"/><Relationship Id="rId35"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B18EEFF-14F6-4D51-83B0-396626CBCCEE}">
    <t:Anchor>
      <t:Comment id="248896828"/>
    </t:Anchor>
    <t:History>
      <t:Event id="{69A04370-447A-4200-945F-DC3AEE54E47C}" time="2021-07-19T15:01:59.207Z">
        <t:Attribution userId="S::eleanor.rounds@mass.gov::ae3cae55-aabd-4d2f-9bc9-45b61ff330c5" userProvider="AD" userName="Rounds-Bloom, Eleanor (DESE)"/>
        <t:Anchor>
          <t:Comment id="961732716"/>
        </t:Anchor>
        <t:Create/>
      </t:Event>
      <t:Event id="{F9C01D49-9700-4611-A89D-EB9098577F6E}" time="2021-07-19T15:01:59.207Z">
        <t:Attribution userId="S::eleanor.rounds@mass.gov::ae3cae55-aabd-4d2f-9bc9-45b61ff330c5" userProvider="AD" userName="Rounds-Bloom, Eleanor (DESE)"/>
        <t:Anchor>
          <t:Comment id="961732716"/>
        </t:Anchor>
        <t:Assign userId="S::Elizabeth.A.O'Connell@mass.gov::f1437753-d882-43da-bb9c-05152211f8fc" userProvider="AD" userName="O'Connell, Elizabeth (DESE)"/>
      </t:Event>
      <t:Event id="{903FEB4E-D12E-46B6-BD24-F182C8BA6417}" time="2021-07-19T15:01:59.207Z">
        <t:Attribution userId="S::eleanor.rounds@mass.gov::ae3cae55-aabd-4d2f-9bc9-45b61ff330c5" userProvider="AD" userName="Rounds-Bloom, Eleanor (DESE)"/>
        <t:Anchor>
          <t:Comment id="961732716"/>
        </t:Anchor>
        <t:SetTitle title="@O'Connell, Elizabeth (DESE) -just add to the body of the work and folks will review there. Easier to read."/>
      </t:Event>
      <t:Event id="{FD33FEDF-EBE3-4EDF-A364-F87762D7E6AC}" time="2021-07-19T15:05:43.122Z">
        <t:Attribution userId="S::elizabeth.a.o'connell@mass.gov::f1437753-d882-43da-bb9c-05152211f8fc" userProvider="AD" userName="O'Connell, Elizabeth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DESE-231-72925</_dlc_DocId>
    <_dlc_DocIdUrl xmlns="733efe1c-5bbe-4968-87dc-d400e65c879f">
      <Url>https://sharepoint.doemass.org/ese/webteam/cps/_layouts/DocIdRedir.aspx?ID=DESE-231-72925</Url>
      <Description>DESE-231-72925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3100-21A6-48B8-9145-35F0AA7FFB44}">
  <ds:schemaRefs>
    <ds:schemaRef ds:uri="http://schemas.microsoft.com/sharepoint/v3/contenttype/forms"/>
  </ds:schemaRefs>
</ds:datastoreItem>
</file>

<file path=customXml/itemProps2.xml><?xml version="1.0" encoding="utf-8"?>
<ds:datastoreItem xmlns:ds="http://schemas.openxmlformats.org/officeDocument/2006/customXml" ds:itemID="{725CDE47-D02C-47B2-95C7-A6CF3B953868}">
  <ds:schemaRefs>
    <ds:schemaRef ds:uri="http://schemas.microsoft.com/sharepoint/events"/>
  </ds:schemaRefs>
</ds:datastoreItem>
</file>

<file path=customXml/itemProps3.xml><?xml version="1.0" encoding="utf-8"?>
<ds:datastoreItem xmlns:ds="http://schemas.openxmlformats.org/officeDocument/2006/customXml" ds:itemID="{4C7C2153-4E47-48B1-A5E1-198A725DD6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ED92996-7C09-4D28-AEF8-B714FC08C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CDA9D-192D-4F01-AF43-0AE1B39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14</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Title I Part D Subpart 2 Resource Guide</vt:lpstr>
    </vt:vector>
  </TitlesOfParts>
  <Company/>
  <LinksUpToDate>false</LinksUpToDate>
  <CharactersWithSpaces>29411</CharactersWithSpaces>
  <SharedDoc>false</SharedDoc>
  <HLinks>
    <vt:vector size="192" baseType="variant">
      <vt:variant>
        <vt:i4>8192040</vt:i4>
      </vt:variant>
      <vt:variant>
        <vt:i4>126</vt:i4>
      </vt:variant>
      <vt:variant>
        <vt:i4>0</vt:i4>
      </vt:variant>
      <vt:variant>
        <vt:i4>5</vt:i4>
      </vt:variant>
      <vt:variant>
        <vt:lpwstr>https://www.doe.mass.edu/ccte/ccr/massgrad/default.html</vt:lpwstr>
      </vt:variant>
      <vt:variant>
        <vt:lpwstr/>
      </vt:variant>
      <vt:variant>
        <vt:i4>2293881</vt:i4>
      </vt:variant>
      <vt:variant>
        <vt:i4>123</vt:i4>
      </vt:variant>
      <vt:variant>
        <vt:i4>0</vt:i4>
      </vt:variant>
      <vt:variant>
        <vt:i4>5</vt:i4>
      </vt:variant>
      <vt:variant>
        <vt:lpwstr>https://www.doe.mass.edu/alted/altedguide.docx</vt:lpwstr>
      </vt:variant>
      <vt:variant>
        <vt:lpwstr/>
      </vt:variant>
      <vt:variant>
        <vt:i4>7995443</vt:i4>
      </vt:variant>
      <vt:variant>
        <vt:i4>120</vt:i4>
      </vt:variant>
      <vt:variant>
        <vt:i4>0</vt:i4>
      </vt:variant>
      <vt:variant>
        <vt:i4>5</vt:i4>
      </vt:variant>
      <vt:variant>
        <vt:lpwstr>https://www.doe.mass.edu/alted/</vt:lpwstr>
      </vt:variant>
      <vt:variant>
        <vt:lpwstr/>
      </vt:variant>
      <vt:variant>
        <vt:i4>1441877</vt:i4>
      </vt:variant>
      <vt:variant>
        <vt:i4>117</vt:i4>
      </vt:variant>
      <vt:variant>
        <vt:i4>0</vt:i4>
      </vt:variant>
      <vt:variant>
        <vt:i4>5</vt:i4>
      </vt:variant>
      <vt:variant>
        <vt:lpwstr>https://www.doe.mass.edu/ccte/ccr/mycap/default.html</vt:lpwstr>
      </vt:variant>
      <vt:variant>
        <vt:lpwstr/>
      </vt:variant>
      <vt:variant>
        <vt:i4>5767173</vt:i4>
      </vt:variant>
      <vt:variant>
        <vt:i4>114</vt:i4>
      </vt:variant>
      <vt:variant>
        <vt:i4>0</vt:i4>
      </vt:variant>
      <vt:variant>
        <vt:i4>5</vt:i4>
      </vt:variant>
      <vt:variant>
        <vt:lpwstr>https://www.doe.mass.edu/sfs/discipline/</vt:lpwstr>
      </vt:variant>
      <vt:variant>
        <vt:lpwstr/>
      </vt:variant>
      <vt:variant>
        <vt:i4>4784162</vt:i4>
      </vt:variant>
      <vt:variant>
        <vt:i4>111</vt:i4>
      </vt:variant>
      <vt:variant>
        <vt:i4>0</vt:i4>
      </vt:variant>
      <vt:variant>
        <vt:i4>5</vt:i4>
      </vt:variant>
      <vt:variant>
        <vt:lpwstr>https://rise.articulate.com/share/H365-3wnR_anaqTFdAjyQfDYxfz3EJdx</vt:lpwstr>
      </vt:variant>
      <vt:variant>
        <vt:lpwstr>/lessons/scwt-sCKdoSJdCk4CpXJM6Ab0Z20KESH</vt:lpwstr>
      </vt:variant>
      <vt:variant>
        <vt:i4>3407910</vt:i4>
      </vt:variant>
      <vt:variant>
        <vt:i4>108</vt:i4>
      </vt:variant>
      <vt:variant>
        <vt:i4>0</vt:i4>
      </vt:variant>
      <vt:variant>
        <vt:i4>5</vt:i4>
      </vt:variant>
      <vt:variant>
        <vt:lpwstr>https://www.doe.mass.edu/turnaround/howitworks/reports.html</vt:lpwstr>
      </vt:variant>
      <vt:variant>
        <vt:lpwstr/>
      </vt:variant>
      <vt:variant>
        <vt:i4>7340076</vt:i4>
      </vt:variant>
      <vt:variant>
        <vt:i4>105</vt:i4>
      </vt:variant>
      <vt:variant>
        <vt:i4>0</vt:i4>
      </vt:variant>
      <vt:variant>
        <vt:i4>5</vt:i4>
      </vt:variant>
      <vt:variant>
        <vt:lpwstr>https://www.doe.mass.edu/research/howdoweknow/</vt:lpwstr>
      </vt:variant>
      <vt:variant>
        <vt:lpwstr/>
      </vt:variant>
      <vt:variant>
        <vt:i4>8323183</vt:i4>
      </vt:variant>
      <vt:variant>
        <vt:i4>102</vt:i4>
      </vt:variant>
      <vt:variant>
        <vt:i4>0</vt:i4>
      </vt:variant>
      <vt:variant>
        <vt:i4>5</vt:i4>
      </vt:variant>
      <vt:variant>
        <vt:lpwstr>https://www.blueprintsprograms.org/program-search/</vt:lpwstr>
      </vt:variant>
      <vt:variant>
        <vt:lpwstr/>
      </vt:variant>
      <vt:variant>
        <vt:i4>5505101</vt:i4>
      </vt:variant>
      <vt:variant>
        <vt:i4>99</vt:i4>
      </vt:variant>
      <vt:variant>
        <vt:i4>0</vt:i4>
      </vt:variant>
      <vt:variant>
        <vt:i4>5</vt:i4>
      </vt:variant>
      <vt:variant>
        <vt:lpwstr>https://youth.gov/evidence-innovation/evidence-based-program-directories</vt:lpwstr>
      </vt:variant>
      <vt:variant>
        <vt:lpwstr/>
      </vt:variant>
      <vt:variant>
        <vt:i4>7798839</vt:i4>
      </vt:variant>
      <vt:variant>
        <vt:i4>96</vt:i4>
      </vt:variant>
      <vt:variant>
        <vt:i4>0</vt:i4>
      </vt:variant>
      <vt:variant>
        <vt:i4>5</vt:i4>
      </vt:variant>
      <vt:variant>
        <vt:lpwstr>https://crimesolutions.ojp.gov/</vt:lpwstr>
      </vt:variant>
      <vt:variant>
        <vt:lpwstr/>
      </vt:variant>
      <vt:variant>
        <vt:i4>5439555</vt:i4>
      </vt:variant>
      <vt:variant>
        <vt:i4>93</vt:i4>
      </vt:variant>
      <vt:variant>
        <vt:i4>0</vt:i4>
      </vt:variant>
      <vt:variant>
        <vt:i4>5</vt:i4>
      </vt:variant>
      <vt:variant>
        <vt:lpwstr>https://ies.ed.gov/ncee/wwc/</vt:lpwstr>
      </vt:variant>
      <vt:variant>
        <vt:lpwstr/>
      </vt:variant>
      <vt:variant>
        <vt:i4>1376268</vt:i4>
      </vt:variant>
      <vt:variant>
        <vt:i4>90</vt:i4>
      </vt:variant>
      <vt:variant>
        <vt:i4>0</vt:i4>
      </vt:variant>
      <vt:variant>
        <vt:i4>5</vt:i4>
      </vt:variant>
      <vt:variant>
        <vt:lpwstr>https://www.doe.mass.edu/infoservices/data/nord/</vt:lpwstr>
      </vt:variant>
      <vt:variant>
        <vt:lpwstr/>
      </vt:variant>
      <vt:variant>
        <vt:i4>2556015</vt:i4>
      </vt:variant>
      <vt:variant>
        <vt:i4>87</vt:i4>
      </vt:variant>
      <vt:variant>
        <vt:i4>0</vt:i4>
      </vt:variant>
      <vt:variant>
        <vt:i4>5</vt:i4>
      </vt:variant>
      <vt:variant>
        <vt:lpwstr>https://www.doe.mass.edu/federalgrants/titlei-d/localprograms.html</vt:lpwstr>
      </vt:variant>
      <vt:variant>
        <vt:lpwstr/>
      </vt:variant>
      <vt:variant>
        <vt:i4>5505050</vt:i4>
      </vt:variant>
      <vt:variant>
        <vt:i4>84</vt:i4>
      </vt:variant>
      <vt:variant>
        <vt:i4>0</vt:i4>
      </vt:variant>
      <vt:variant>
        <vt:i4>5</vt:i4>
      </vt:variant>
      <vt:variant>
        <vt:lpwstr>https://neglected-delinquent.ed.gov/</vt:lpwstr>
      </vt:variant>
      <vt:variant>
        <vt:lpwstr/>
      </vt:variant>
      <vt:variant>
        <vt:i4>2228320</vt:i4>
      </vt:variant>
      <vt:variant>
        <vt:i4>81</vt:i4>
      </vt:variant>
      <vt:variant>
        <vt:i4>0</vt:i4>
      </vt:variant>
      <vt:variant>
        <vt:i4>5</vt:i4>
      </vt:variant>
      <vt:variant>
        <vt:lpwstr>https://neglected-delinquent.ed.gov/title-i-part-d-statute</vt:lpwstr>
      </vt:variant>
      <vt:variant>
        <vt:lpwstr/>
      </vt:variant>
      <vt:variant>
        <vt:i4>2162689</vt:i4>
      </vt:variant>
      <vt:variant>
        <vt:i4>78</vt:i4>
      </vt:variant>
      <vt:variant>
        <vt:i4>0</vt:i4>
      </vt:variant>
      <vt:variant>
        <vt:i4>5</vt:i4>
      </vt:variant>
      <vt:variant>
        <vt:lpwstr>mailto:federalgrantprograms@mass.gov</vt:lpwstr>
      </vt:variant>
      <vt:variant>
        <vt:lpwstr/>
      </vt:variant>
      <vt:variant>
        <vt:i4>2162689</vt:i4>
      </vt:variant>
      <vt:variant>
        <vt:i4>75</vt:i4>
      </vt:variant>
      <vt:variant>
        <vt:i4>0</vt:i4>
      </vt:variant>
      <vt:variant>
        <vt:i4>5</vt:i4>
      </vt:variant>
      <vt:variant>
        <vt:lpwstr>mailto:federalgrantprograms@mass.gov</vt:lpwstr>
      </vt:variant>
      <vt:variant>
        <vt:lpwstr/>
      </vt:variant>
      <vt:variant>
        <vt:i4>1179743</vt:i4>
      </vt:variant>
      <vt:variant>
        <vt:i4>72</vt:i4>
      </vt:variant>
      <vt:variant>
        <vt:i4>0</vt:i4>
      </vt:variant>
      <vt:variant>
        <vt:i4>5</vt:i4>
      </vt:variant>
      <vt:variant>
        <vt:lpwstr>https://www.doe.mass.edu/federalgrants/titlei-a/guidance/eval-procedure.docx</vt:lpwstr>
      </vt:variant>
      <vt:variant>
        <vt:lpwstr/>
      </vt:variant>
      <vt:variant>
        <vt:i4>1376268</vt:i4>
      </vt:variant>
      <vt:variant>
        <vt:i4>69</vt:i4>
      </vt:variant>
      <vt:variant>
        <vt:i4>0</vt:i4>
      </vt:variant>
      <vt:variant>
        <vt:i4>5</vt:i4>
      </vt:variant>
      <vt:variant>
        <vt:lpwstr>https://www.doe.mass.edu/infoservices/data/nord/</vt:lpwstr>
      </vt:variant>
      <vt:variant>
        <vt:lpwstr/>
      </vt:variant>
      <vt:variant>
        <vt:i4>1376268</vt:i4>
      </vt:variant>
      <vt:variant>
        <vt:i4>66</vt:i4>
      </vt:variant>
      <vt:variant>
        <vt:i4>0</vt:i4>
      </vt:variant>
      <vt:variant>
        <vt:i4>5</vt:i4>
      </vt:variant>
      <vt:variant>
        <vt:lpwstr>https://www.doe.mass.edu/infoservices/data/nord/</vt:lpwstr>
      </vt:variant>
      <vt:variant>
        <vt:lpwstr/>
      </vt:variant>
      <vt:variant>
        <vt:i4>5373969</vt:i4>
      </vt:variant>
      <vt:variant>
        <vt:i4>63</vt:i4>
      </vt:variant>
      <vt:variant>
        <vt:i4>0</vt:i4>
      </vt:variant>
      <vt:variant>
        <vt:i4>5</vt:i4>
      </vt:variant>
      <vt:variant>
        <vt:lpwstr>https://www.doe.mass.edu/federalgrants/liaisons.xlsx</vt:lpwstr>
      </vt:variant>
      <vt:variant>
        <vt:lpwstr/>
      </vt:variant>
      <vt:variant>
        <vt:i4>1441850</vt:i4>
      </vt:variant>
      <vt:variant>
        <vt:i4>56</vt:i4>
      </vt:variant>
      <vt:variant>
        <vt:i4>0</vt:i4>
      </vt:variant>
      <vt:variant>
        <vt:i4>5</vt:i4>
      </vt:variant>
      <vt:variant>
        <vt:lpwstr/>
      </vt:variant>
      <vt:variant>
        <vt:lpwstr>_Toc129336161</vt:lpwstr>
      </vt:variant>
      <vt:variant>
        <vt:i4>1441850</vt:i4>
      </vt:variant>
      <vt:variant>
        <vt:i4>50</vt:i4>
      </vt:variant>
      <vt:variant>
        <vt:i4>0</vt:i4>
      </vt:variant>
      <vt:variant>
        <vt:i4>5</vt:i4>
      </vt:variant>
      <vt:variant>
        <vt:lpwstr/>
      </vt:variant>
      <vt:variant>
        <vt:lpwstr>_Toc129336160</vt:lpwstr>
      </vt:variant>
      <vt:variant>
        <vt:i4>1376314</vt:i4>
      </vt:variant>
      <vt:variant>
        <vt:i4>44</vt:i4>
      </vt:variant>
      <vt:variant>
        <vt:i4>0</vt:i4>
      </vt:variant>
      <vt:variant>
        <vt:i4>5</vt:i4>
      </vt:variant>
      <vt:variant>
        <vt:lpwstr/>
      </vt:variant>
      <vt:variant>
        <vt:lpwstr>_Toc129336159</vt:lpwstr>
      </vt:variant>
      <vt:variant>
        <vt:i4>1376314</vt:i4>
      </vt:variant>
      <vt:variant>
        <vt:i4>38</vt:i4>
      </vt:variant>
      <vt:variant>
        <vt:i4>0</vt:i4>
      </vt:variant>
      <vt:variant>
        <vt:i4>5</vt:i4>
      </vt:variant>
      <vt:variant>
        <vt:lpwstr/>
      </vt:variant>
      <vt:variant>
        <vt:lpwstr>_Toc129336158</vt:lpwstr>
      </vt:variant>
      <vt:variant>
        <vt:i4>1376314</vt:i4>
      </vt:variant>
      <vt:variant>
        <vt:i4>32</vt:i4>
      </vt:variant>
      <vt:variant>
        <vt:i4>0</vt:i4>
      </vt:variant>
      <vt:variant>
        <vt:i4>5</vt:i4>
      </vt:variant>
      <vt:variant>
        <vt:lpwstr/>
      </vt:variant>
      <vt:variant>
        <vt:lpwstr>_Toc129336157</vt:lpwstr>
      </vt:variant>
      <vt:variant>
        <vt:i4>1376314</vt:i4>
      </vt:variant>
      <vt:variant>
        <vt:i4>26</vt:i4>
      </vt:variant>
      <vt:variant>
        <vt:i4>0</vt:i4>
      </vt:variant>
      <vt:variant>
        <vt:i4>5</vt:i4>
      </vt:variant>
      <vt:variant>
        <vt:lpwstr/>
      </vt:variant>
      <vt:variant>
        <vt:lpwstr>_Toc129336156</vt:lpwstr>
      </vt:variant>
      <vt:variant>
        <vt:i4>1376314</vt:i4>
      </vt:variant>
      <vt:variant>
        <vt:i4>20</vt:i4>
      </vt:variant>
      <vt:variant>
        <vt:i4>0</vt:i4>
      </vt:variant>
      <vt:variant>
        <vt:i4>5</vt:i4>
      </vt:variant>
      <vt:variant>
        <vt:lpwstr/>
      </vt:variant>
      <vt:variant>
        <vt:lpwstr>_Toc129336155</vt:lpwstr>
      </vt:variant>
      <vt:variant>
        <vt:i4>1376314</vt:i4>
      </vt:variant>
      <vt:variant>
        <vt:i4>14</vt:i4>
      </vt:variant>
      <vt:variant>
        <vt:i4>0</vt:i4>
      </vt:variant>
      <vt:variant>
        <vt:i4>5</vt:i4>
      </vt:variant>
      <vt:variant>
        <vt:lpwstr/>
      </vt:variant>
      <vt:variant>
        <vt:lpwstr>_Toc129336154</vt:lpwstr>
      </vt:variant>
      <vt:variant>
        <vt:i4>1376314</vt:i4>
      </vt:variant>
      <vt:variant>
        <vt:i4>8</vt:i4>
      </vt:variant>
      <vt:variant>
        <vt:i4>0</vt:i4>
      </vt:variant>
      <vt:variant>
        <vt:i4>5</vt:i4>
      </vt:variant>
      <vt:variant>
        <vt:lpwstr/>
      </vt:variant>
      <vt:variant>
        <vt:lpwstr>_Toc129336153</vt:lpwstr>
      </vt:variant>
      <vt:variant>
        <vt:i4>1376314</vt:i4>
      </vt:variant>
      <vt:variant>
        <vt:i4>2</vt:i4>
      </vt:variant>
      <vt:variant>
        <vt:i4>0</vt:i4>
      </vt:variant>
      <vt:variant>
        <vt:i4>5</vt:i4>
      </vt:variant>
      <vt:variant>
        <vt:lpwstr/>
      </vt:variant>
      <vt:variant>
        <vt:lpwstr>_Toc129336152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D Subpart 2 Resource Guide</dc:title>
  <dc:subject/>
  <dc:creator>DESE</dc:creator>
  <cp:keywords/>
  <cp:lastModifiedBy>Zou, Dong (EOE)</cp:lastModifiedBy>
  <cp:revision>328</cp:revision>
  <dcterms:created xsi:type="dcterms:W3CDTF">2023-02-27T17:07:00Z</dcterms:created>
  <dcterms:modified xsi:type="dcterms:W3CDTF">2023-04-24T14:41:00Z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2023 12:00AM</vt:lpwstr>
  </property>
</Properties>
</file>